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7A5" w:rsidRDefault="00ED64E9">
      <w:pPr>
        <w:spacing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diecinueve de enero de dos mil veintidós. </w:t>
      </w:r>
    </w:p>
    <w:p w:rsidR="009A77A5" w:rsidRDefault="00ED64E9">
      <w:pPr>
        <w:spacing w:before="280" w:after="280"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05712/INFOEM/IP/RR/2021</w:t>
      </w:r>
      <w:r>
        <w:rPr>
          <w:rFonts w:ascii="Palatino Linotype" w:eastAsia="Palatino Linotype" w:hAnsi="Palatino Linotype" w:cs="Palatino Linotype"/>
        </w:rPr>
        <w:t xml:space="preserve">, promovido por un particular de forma anónima, quien en lo sucesivo se le denominará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 respuesta emitida por  </w:t>
      </w:r>
      <w:r>
        <w:rPr>
          <w:rFonts w:ascii="Palatino Linotype" w:eastAsia="Palatino Linotype" w:hAnsi="Palatino Linotype" w:cs="Palatino Linotype"/>
          <w:b/>
        </w:rPr>
        <w:t xml:space="preserve"> Servicios Educativos Integrados al Estado de México, </w:t>
      </w:r>
      <w:r>
        <w:rPr>
          <w:rFonts w:ascii="Palatino Linotype" w:eastAsia="Palatino Linotype" w:hAnsi="Palatino Linotype" w:cs="Palatino Linotype"/>
        </w:rPr>
        <w:t xml:space="preserve">en lo subsecuente se denominará como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se procede a dictar la presente resolución </w:t>
      </w:r>
      <w:bookmarkStart w:id="0" w:name="_GoBack"/>
      <w:bookmarkEnd w:id="0"/>
      <w:r>
        <w:rPr>
          <w:rFonts w:ascii="Palatino Linotype" w:eastAsia="Palatino Linotype" w:hAnsi="Palatino Linotype" w:cs="Palatino Linotype"/>
        </w:rPr>
        <w:t xml:space="preserve">con base en lo siguiente: </w:t>
      </w:r>
    </w:p>
    <w:p w:rsidR="009A77A5" w:rsidRDefault="00ED64E9">
      <w:pPr>
        <w:spacing w:before="280" w:after="28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RESULTANDO</w:t>
      </w:r>
    </w:p>
    <w:p w:rsidR="009A77A5" w:rsidRDefault="00ED64E9">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8"/>
          <w:szCs w:val="28"/>
        </w:rPr>
        <w:t>I.</w:t>
      </w:r>
      <w:r>
        <w:rPr>
          <w:rFonts w:ascii="Palatino Linotype" w:eastAsia="Palatino Linotype" w:hAnsi="Palatino Linotype" w:cs="Palatino Linotype"/>
          <w:color w:val="000000"/>
        </w:rPr>
        <w:t xml:space="preserve"> En fecha </w:t>
      </w:r>
      <w:r>
        <w:rPr>
          <w:rFonts w:ascii="Palatino Linotype" w:eastAsia="Palatino Linotype" w:hAnsi="Palatino Linotype" w:cs="Palatino Linotype"/>
        </w:rPr>
        <w:t xml:space="preserve">seis de octubre </w:t>
      </w:r>
      <w:r>
        <w:rPr>
          <w:rFonts w:ascii="Palatino Linotype" w:eastAsia="Palatino Linotype" w:hAnsi="Palatino Linotype" w:cs="Palatino Linotype"/>
          <w:color w:val="000000"/>
        </w:rPr>
        <w:t xml:space="preserve">de dos mil veintiuno, </w:t>
      </w:r>
      <w:r>
        <w:rPr>
          <w:rFonts w:ascii="Palatino Linotype" w:eastAsia="Palatino Linotype" w:hAnsi="Palatino Linotype" w:cs="Palatino Linotype"/>
          <w:b/>
          <w:color w:val="000000"/>
        </w:rPr>
        <w:t xml:space="preserve">EL RECURRENTE </w:t>
      </w:r>
      <w:r>
        <w:rPr>
          <w:rFonts w:ascii="Palatino Linotype" w:eastAsia="Palatino Linotype" w:hAnsi="Palatino Linotype" w:cs="Palatino Linotype"/>
          <w:color w:val="000000"/>
        </w:rPr>
        <w:t xml:space="preserve">presentó a través del Sistema de Acceso a la Información Mexiquense, en lo subsecuente </w:t>
      </w:r>
      <w:r>
        <w:rPr>
          <w:rFonts w:ascii="Palatino Linotype" w:eastAsia="Palatino Linotype" w:hAnsi="Palatino Linotype" w:cs="Palatino Linotype"/>
          <w:b/>
          <w:color w:val="000000"/>
        </w:rPr>
        <w:t>EL SAIMEX,</w:t>
      </w:r>
      <w:r>
        <w:rPr>
          <w:rFonts w:ascii="Palatino Linotype" w:eastAsia="Palatino Linotype" w:hAnsi="Palatino Linotype" w:cs="Palatino Linotype"/>
          <w:color w:val="000000"/>
        </w:rPr>
        <w:t xml:space="preserve"> ante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la solicitud de acceso a la información pública, a la que se le asignó el número </w:t>
      </w:r>
      <w:r>
        <w:rPr>
          <w:rFonts w:ascii="Palatino Linotype" w:eastAsia="Palatino Linotype" w:hAnsi="Palatino Linotype" w:cs="Palatino Linotype"/>
          <w:b/>
        </w:rPr>
        <w:t>00404/SEIEM/IP/2021</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mediante la cual requirió, lo siguiente:</w:t>
      </w:r>
    </w:p>
    <w:p w:rsidR="009A77A5" w:rsidRDefault="00ED64E9">
      <w:pPr>
        <w:ind w:left="851" w:right="899"/>
        <w:jc w:val="both"/>
        <w:rPr>
          <w:rFonts w:ascii="Palatino Linotype" w:eastAsia="Palatino Linotype" w:hAnsi="Palatino Linotype" w:cs="Palatino Linotype"/>
          <w:i/>
          <w:sz w:val="22"/>
          <w:szCs w:val="22"/>
        </w:rPr>
      </w:pPr>
      <w:bookmarkStart w:id="1" w:name="_heading=h.gjdgxs" w:colFirst="0" w:colLast="0"/>
      <w:bookmarkEnd w:id="1"/>
      <w:r>
        <w:rPr>
          <w:rFonts w:ascii="Palatino Linotype" w:eastAsia="Palatino Linotype" w:hAnsi="Palatino Linotype" w:cs="Palatino Linotype"/>
          <w:i/>
          <w:sz w:val="22"/>
          <w:szCs w:val="22"/>
        </w:rPr>
        <w:t xml:space="preserve">“Derivado de la solicitud 342/SEIEM/IP/2021 en la que se informó que el servidor público Miguel Ángel </w:t>
      </w:r>
      <w:proofErr w:type="spellStart"/>
      <w:r>
        <w:rPr>
          <w:rFonts w:ascii="Palatino Linotype" w:eastAsia="Palatino Linotype" w:hAnsi="Palatino Linotype" w:cs="Palatino Linotype"/>
          <w:i/>
          <w:sz w:val="22"/>
          <w:szCs w:val="22"/>
        </w:rPr>
        <w:t>velasco</w:t>
      </w:r>
      <w:proofErr w:type="spellEnd"/>
      <w:r>
        <w:rPr>
          <w:rFonts w:ascii="Palatino Linotype" w:eastAsia="Palatino Linotype" w:hAnsi="Palatino Linotype" w:cs="Palatino Linotype"/>
          <w:i/>
          <w:sz w:val="22"/>
          <w:szCs w:val="22"/>
        </w:rPr>
        <w:t xml:space="preserve"> Santiago ganaba un sueldo quincenal bruto de $7,380.72, solicito copias de sus recibos de pago o cualquier documento oficial de pago de los meses de enero a septiembre de 2021 de dicho servidor </w:t>
      </w:r>
      <w:proofErr w:type="spellStart"/>
      <w:r>
        <w:rPr>
          <w:rFonts w:ascii="Palatino Linotype" w:eastAsia="Palatino Linotype" w:hAnsi="Palatino Linotype" w:cs="Palatino Linotype"/>
          <w:i/>
          <w:sz w:val="22"/>
          <w:szCs w:val="22"/>
        </w:rPr>
        <w:t>publcio</w:t>
      </w:r>
      <w:proofErr w:type="spellEnd"/>
      <w:r>
        <w:rPr>
          <w:rFonts w:ascii="Palatino Linotype" w:eastAsia="Palatino Linotype" w:hAnsi="Palatino Linotype" w:cs="Palatino Linotype"/>
          <w:i/>
          <w:sz w:val="22"/>
          <w:szCs w:val="22"/>
        </w:rPr>
        <w:t>.”(Sic)</w:t>
      </w:r>
    </w:p>
    <w:p w:rsidR="009A77A5" w:rsidRDefault="009A77A5">
      <w:pPr>
        <w:ind w:left="851" w:right="899"/>
        <w:rPr>
          <w:rFonts w:ascii="Palatino Linotype" w:eastAsia="Palatino Linotype" w:hAnsi="Palatino Linotype" w:cs="Palatino Linotype"/>
          <w:i/>
          <w:sz w:val="22"/>
          <w:szCs w:val="22"/>
        </w:rPr>
      </w:pPr>
    </w:p>
    <w:p w:rsidR="009A77A5" w:rsidRDefault="00ED64E9">
      <w:pPr>
        <w:spacing w:before="280" w:after="280"/>
        <w:ind w:right="709"/>
        <w:jc w:val="both"/>
        <w:rPr>
          <w:rFonts w:ascii="Palatino Linotype" w:eastAsia="Palatino Linotype" w:hAnsi="Palatino Linotype" w:cs="Palatino Linotype"/>
          <w:b/>
        </w:rPr>
      </w:pPr>
      <w:r>
        <w:rPr>
          <w:rFonts w:ascii="Palatino Linotype" w:eastAsia="Palatino Linotype" w:hAnsi="Palatino Linotype" w:cs="Palatino Linotype"/>
          <w:b/>
        </w:rPr>
        <w:t xml:space="preserve">Modalidad de entrega: </w:t>
      </w:r>
      <w:r>
        <w:rPr>
          <w:rFonts w:ascii="Palatino Linotype" w:eastAsia="Palatino Linotype" w:hAnsi="Palatino Linotype" w:cs="Palatino Linotype"/>
        </w:rPr>
        <w:t xml:space="preserve">vía </w:t>
      </w:r>
      <w:r>
        <w:rPr>
          <w:rFonts w:ascii="Palatino Linotype" w:eastAsia="Palatino Linotype" w:hAnsi="Palatino Linotype" w:cs="Palatino Linotype"/>
          <w:b/>
        </w:rPr>
        <w:t xml:space="preserve">SAIMEX </w:t>
      </w:r>
    </w:p>
    <w:p w:rsidR="009A77A5" w:rsidRDefault="00ED64E9">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lastRenderedPageBreak/>
        <w:t>II.</w:t>
      </w:r>
      <w:r>
        <w:rPr>
          <w:rFonts w:ascii="Palatino Linotype" w:eastAsia="Palatino Linotype" w:hAnsi="Palatino Linotype" w:cs="Palatino Linotype"/>
          <w:color w:val="000000"/>
        </w:rPr>
        <w:t xml:space="preserve"> Posteriormente en fecha veintiséis de octubre de dos mil veintiuno,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 xml:space="preserve">dio respuesta en los términos </w:t>
      </w:r>
      <w:r>
        <w:rPr>
          <w:rFonts w:ascii="Palatino Linotype" w:eastAsia="Palatino Linotype" w:hAnsi="Palatino Linotype" w:cs="Palatino Linotype"/>
        </w:rPr>
        <w:t>siguientes</w:t>
      </w:r>
      <w:r>
        <w:rPr>
          <w:rFonts w:ascii="Palatino Linotype" w:eastAsia="Palatino Linotype" w:hAnsi="Palatino Linotype" w:cs="Palatino Linotype"/>
          <w:color w:val="000000"/>
        </w:rPr>
        <w:t xml:space="preserve">: </w:t>
      </w:r>
    </w:p>
    <w:p w:rsidR="009A77A5" w:rsidRDefault="00ED64E9">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eastAsia="es-MX"/>
        </w:rPr>
        <w:drawing>
          <wp:inline distT="0" distB="0" distL="0" distR="0">
            <wp:extent cx="5791835" cy="3557270"/>
            <wp:effectExtent l="0" t="0" r="0" b="0"/>
            <wp:docPr id="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t="36101"/>
                    <a:stretch>
                      <a:fillRect/>
                    </a:stretch>
                  </pic:blipFill>
                  <pic:spPr>
                    <a:xfrm>
                      <a:off x="0" y="0"/>
                      <a:ext cx="5791835" cy="3557270"/>
                    </a:xfrm>
                    <a:prstGeom prst="rect">
                      <a:avLst/>
                    </a:prstGeom>
                    <a:ln/>
                  </pic:spPr>
                </pic:pic>
              </a:graphicData>
            </a:graphic>
          </wp:inline>
        </w:drawing>
      </w:r>
      <w:r>
        <w:rPr>
          <w:rFonts w:ascii="Palatino Linotype" w:eastAsia="Palatino Linotype" w:hAnsi="Palatino Linotype" w:cs="Palatino Linotype"/>
          <w:noProof/>
          <w:color w:val="000000"/>
          <w:lang w:eastAsia="es-MX"/>
        </w:rPr>
        <w:drawing>
          <wp:inline distT="0" distB="0" distL="0" distR="0">
            <wp:extent cx="5791835" cy="1437640"/>
            <wp:effectExtent l="0" t="0" r="0" b="0"/>
            <wp:docPr id="6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791835" cy="1437640"/>
                    </a:xfrm>
                    <a:prstGeom prst="rect">
                      <a:avLst/>
                    </a:prstGeom>
                    <a:ln/>
                  </pic:spPr>
                </pic:pic>
              </a:graphicData>
            </a:graphic>
          </wp:inline>
        </w:drawing>
      </w:r>
    </w:p>
    <w:p w:rsidR="009A77A5" w:rsidRDefault="00ED64E9">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eastAsia="es-MX"/>
        </w:rPr>
        <w:lastRenderedPageBreak/>
        <w:drawing>
          <wp:inline distT="0" distB="0" distL="0" distR="0">
            <wp:extent cx="5791835" cy="3603625"/>
            <wp:effectExtent l="0" t="0" r="0" b="0"/>
            <wp:docPr id="6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91835" cy="3603625"/>
                    </a:xfrm>
                    <a:prstGeom prst="rect">
                      <a:avLst/>
                    </a:prstGeom>
                    <a:ln/>
                  </pic:spPr>
                </pic:pic>
              </a:graphicData>
            </a:graphic>
          </wp:inline>
        </w:drawing>
      </w:r>
    </w:p>
    <w:p w:rsidR="009A77A5" w:rsidRDefault="00ED64E9">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i/>
        </w:rPr>
      </w:pPr>
      <w:r>
        <w:rPr>
          <w:rFonts w:ascii="Palatino Linotype" w:eastAsia="Palatino Linotype" w:hAnsi="Palatino Linotype" w:cs="Palatino Linotype"/>
          <w:b/>
          <w:color w:val="000000"/>
          <w:sz w:val="28"/>
          <w:szCs w:val="28"/>
        </w:rPr>
        <w:t>III.</w:t>
      </w:r>
      <w:r>
        <w:rPr>
          <w:rFonts w:ascii="Palatino Linotype" w:eastAsia="Palatino Linotype" w:hAnsi="Palatino Linotype" w:cs="Palatino Linotype"/>
          <w:color w:val="000000"/>
        </w:rPr>
        <w:t xml:space="preserve"> Inconforme con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w:t>
      </w:r>
      <w:r>
        <w:rPr>
          <w:rFonts w:ascii="Palatino Linotype" w:eastAsia="Palatino Linotype" w:hAnsi="Palatino Linotype" w:cs="Palatino Linotype"/>
        </w:rPr>
        <w:t xml:space="preserve">fecha dieciocho de noviembre </w:t>
      </w:r>
      <w:r>
        <w:rPr>
          <w:rFonts w:ascii="Palatino Linotype" w:eastAsia="Palatino Linotype" w:hAnsi="Palatino Linotype" w:cs="Palatino Linotype"/>
          <w:color w:val="000000"/>
        </w:rPr>
        <w:t xml:space="preserve">de dos mil veintiuno,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a través del</w:t>
      </w:r>
      <w:r>
        <w:rPr>
          <w:rFonts w:ascii="Palatino Linotype" w:eastAsia="Palatino Linotype" w:hAnsi="Palatino Linotype" w:cs="Palatino Linotype"/>
          <w:b/>
          <w:color w:val="000000"/>
        </w:rPr>
        <w:t xml:space="preserve"> SAIMEX, </w:t>
      </w:r>
      <w:r>
        <w:rPr>
          <w:rFonts w:ascii="Palatino Linotype" w:eastAsia="Palatino Linotype" w:hAnsi="Palatino Linotype" w:cs="Palatino Linotype"/>
          <w:color w:val="000000"/>
        </w:rPr>
        <w:t>interpuso el recurso de revisión objeto del presente estudio, al que se le asignó el número al rubro citado, en el que señaló como acto impugnado:</w:t>
      </w:r>
    </w:p>
    <w:p w:rsidR="009A77A5" w:rsidRDefault="00ED64E9">
      <w:pPr>
        <w:spacing w:before="280" w:after="280"/>
        <w:ind w:left="851" w:right="12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respuesta.” (Sic)</w:t>
      </w:r>
    </w:p>
    <w:p w:rsidR="009A77A5" w:rsidRDefault="00ED64E9">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indicó como razones o motivos de inconformidad:</w:t>
      </w:r>
    </w:p>
    <w:p w:rsidR="009A77A5" w:rsidRDefault="00ED64E9">
      <w:pPr>
        <w:spacing w:before="280" w:after="280"/>
        <w:ind w:left="709"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corresponde a lo solicitado” (Sic)</w:t>
      </w:r>
    </w:p>
    <w:p w:rsidR="009A77A5" w:rsidRDefault="00ED64E9">
      <w:pPr>
        <w:widowControl w:val="0"/>
        <w:pBdr>
          <w:top w:val="nil"/>
          <w:left w:val="nil"/>
          <w:bottom w:val="nil"/>
          <w:right w:val="nil"/>
          <w:between w:val="nil"/>
        </w:pBdr>
        <w:tabs>
          <w:tab w:val="left" w:pos="0"/>
        </w:tabs>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 xml:space="preserve">V. </w:t>
      </w:r>
      <w:r>
        <w:rPr>
          <w:rFonts w:ascii="Palatino Linotype" w:eastAsia="Palatino Linotype" w:hAnsi="Palatino Linotype" w:cs="Palatino Linotype"/>
          <w:color w:val="000000"/>
        </w:rPr>
        <w:t xml:space="preserve">En fecha dieciocho de noviembre de dos mil veintiuno, el recurso que se trata se envió electrónicamente al Instituto de Transparencia, Acceso a la Información Pública </w:t>
      </w:r>
      <w:r>
        <w:rPr>
          <w:rFonts w:ascii="Palatino Linotype" w:eastAsia="Palatino Linotype" w:hAnsi="Palatino Linotype" w:cs="Palatino Linotype"/>
          <w:color w:val="000000"/>
        </w:rPr>
        <w:lastRenderedPageBreak/>
        <w:t xml:space="preserve">y Protección de Datos Personales del Estado de México y Municipios y con fundamento en el artículo 185, fracción I de la Ley de Transparencia y Acceso a la Información Pública del Estado de México y Municipios, se turnó, a través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a la Comisionada </w:t>
      </w:r>
      <w:r>
        <w:rPr>
          <w:rFonts w:ascii="Palatino Linotype" w:eastAsia="Palatino Linotype" w:hAnsi="Palatino Linotype" w:cs="Palatino Linotype"/>
          <w:b/>
          <w:color w:val="000000"/>
        </w:rPr>
        <w:t>Sharon Cristina Morales Martínez,</w:t>
      </w:r>
      <w:r>
        <w:rPr>
          <w:rFonts w:ascii="Palatino Linotype" w:eastAsia="Palatino Linotype" w:hAnsi="Palatino Linotype" w:cs="Palatino Linotype"/>
          <w:color w:val="000000"/>
        </w:rPr>
        <w:t xml:space="preserve"> a efecto de decretar su admisión o desechamiento.</w:t>
      </w:r>
    </w:p>
    <w:p w:rsidR="009A77A5" w:rsidRDefault="00ED64E9">
      <w:pPr>
        <w:widowControl w:val="0"/>
        <w:pBdr>
          <w:top w:val="nil"/>
          <w:left w:val="nil"/>
          <w:bottom w:val="nil"/>
          <w:right w:val="nil"/>
          <w:between w:val="nil"/>
        </w:pBdr>
        <w:tabs>
          <w:tab w:val="left" w:pos="0"/>
        </w:tabs>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V.</w:t>
      </w:r>
      <w:r>
        <w:rPr>
          <w:rFonts w:ascii="Palatino Linotype" w:eastAsia="Palatino Linotype" w:hAnsi="Palatino Linotype" w:cs="Palatino Linotype"/>
          <w:color w:val="000000"/>
        </w:rPr>
        <w:t xml:space="preserve"> Atento a lo dispuesto en el artículo 185, fracciones I, II y IV, de la Ley de Transparencia y Acceso a la Información Pública del Estado de México y Municipios, en fecha diecinueve de noviembre de dos mil veintiuno se acordó la admisión a trámite del referido recurso de revisión; así como, la integración del expediente respectivo, mismo que se puso a disposición de las partes, para que en el plazo máximo de siete días hábiles, </w:t>
      </w:r>
      <w:r>
        <w:rPr>
          <w:rFonts w:ascii="Palatino Linotype" w:eastAsia="Palatino Linotype" w:hAnsi="Palatino Linotype" w:cs="Palatino Linotype"/>
          <w:b/>
          <w:color w:val="000000"/>
        </w:rPr>
        <w:t xml:space="preserve">EL RECURRENTE </w:t>
      </w:r>
      <w:r>
        <w:rPr>
          <w:rFonts w:ascii="Palatino Linotype" w:eastAsia="Palatino Linotype" w:hAnsi="Palatino Linotype" w:cs="Palatino Linotype"/>
          <w:color w:val="000000"/>
        </w:rPr>
        <w:t>realizara manifestaciones, alegatos y ofreciera las pruebas que a su derecho conviniera y, en el caso del</w:t>
      </w:r>
      <w:r>
        <w:rPr>
          <w:rFonts w:ascii="Palatino Linotype" w:eastAsia="Palatino Linotype" w:hAnsi="Palatino Linotype" w:cs="Palatino Linotype"/>
          <w:b/>
          <w:color w:val="000000"/>
        </w:rPr>
        <w:t xml:space="preserve"> SUJETO OBLIGADO</w:t>
      </w:r>
      <w:r>
        <w:rPr>
          <w:rFonts w:ascii="Palatino Linotype" w:eastAsia="Palatino Linotype" w:hAnsi="Palatino Linotype" w:cs="Palatino Linotype"/>
          <w:color w:val="000000"/>
        </w:rPr>
        <w:t xml:space="preserve">, para que exhibiera el Informe Justificado correspondiente. </w:t>
      </w:r>
    </w:p>
    <w:p w:rsidR="009A77A5" w:rsidRDefault="00ED64E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VI.</w:t>
      </w:r>
      <w:r>
        <w:rPr>
          <w:rFonts w:ascii="Palatino Linotype" w:eastAsia="Palatino Linotype" w:hAnsi="Palatino Linotype" w:cs="Palatino Linotype"/>
          <w:color w:val="000000"/>
        </w:rPr>
        <w:t xml:space="preserve"> De las constancias que obran en 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se desprende que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no presentó alegatos o manifestaciones. </w:t>
      </w:r>
    </w:p>
    <w:p w:rsidR="009A77A5" w:rsidRDefault="00ED64E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su parte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fue omiso en rendir el Informe Justificado correspondiente </w:t>
      </w:r>
    </w:p>
    <w:p w:rsidR="009A77A5" w:rsidRDefault="00ED64E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sz w:val="28"/>
          <w:szCs w:val="28"/>
        </w:rPr>
        <w:t>VII.</w:t>
      </w:r>
      <w:r>
        <w:rPr>
          <w:rFonts w:ascii="Palatino Linotype" w:eastAsia="Palatino Linotype" w:hAnsi="Palatino Linotype" w:cs="Palatino Linotype"/>
          <w:color w:val="000000"/>
        </w:rPr>
        <w:t xml:space="preserve"> Una vez analizado el estado procesal que guarda el expediente, en fecha primero  de diciembre de dos mil veintiuno, la </w:t>
      </w:r>
      <w:r>
        <w:rPr>
          <w:rFonts w:ascii="Palatino Linotype" w:eastAsia="Palatino Linotype" w:hAnsi="Palatino Linotype" w:cs="Palatino Linotype"/>
          <w:b/>
          <w:color w:val="000000"/>
        </w:rPr>
        <w:t>Comisionada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Sharon Cristina Morales Martínez </w:t>
      </w:r>
      <w:r>
        <w:rPr>
          <w:rFonts w:ascii="Palatino Linotype" w:eastAsia="Palatino Linotype" w:hAnsi="Palatino Linotype" w:cs="Palatino Linotype"/>
          <w:color w:val="000000"/>
        </w:rPr>
        <w:t xml:space="preserve">acordó el cierre de instrucción; así como, la remisión del mismo a efecto de ser resuelto, </w:t>
      </w:r>
      <w:r>
        <w:rPr>
          <w:rFonts w:ascii="Palatino Linotype" w:eastAsia="Palatino Linotype" w:hAnsi="Palatino Linotype" w:cs="Palatino Linotype"/>
          <w:color w:val="000000"/>
        </w:rPr>
        <w:lastRenderedPageBreak/>
        <w:t>de conformidad con lo establecido en el artículo 185, fracciones VI y VIII de la Ley de Transparencia y Acceso a la Información Pública del Estado de México y Municipios</w:t>
      </w:r>
      <w:r>
        <w:rPr>
          <w:rFonts w:ascii="Palatino Linotype" w:eastAsia="Palatino Linotype" w:hAnsi="Palatino Linotype" w:cs="Palatino Linotype"/>
        </w:rPr>
        <w:t xml:space="preserve">. </w:t>
      </w:r>
    </w:p>
    <w:p w:rsidR="009A77A5" w:rsidRDefault="00ED64E9">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sz w:val="28"/>
          <w:szCs w:val="28"/>
        </w:rPr>
        <w:t xml:space="preserve">VIII. </w:t>
      </w:r>
      <w:r>
        <w:rPr>
          <w:rFonts w:ascii="Palatino Linotype" w:eastAsia="Palatino Linotype" w:hAnsi="Palatino Linotype" w:cs="Palatino Linotype"/>
          <w:color w:val="000000"/>
        </w:rPr>
        <w:t xml:space="preserve">En fecha nueve de diciembre de dos mil veintiuno, el Pleno del Instituto de Transparencia, Acceso a la Información Pública y Protección de Datos Personales del Estado de México y Municipios, mediante acuerdo signado por sus integrantes, aprobó la Licencia por incapacidad </w:t>
      </w:r>
      <w:r>
        <w:rPr>
          <w:rFonts w:ascii="Palatino Linotype" w:eastAsia="Palatino Linotype" w:hAnsi="Palatino Linotype" w:cs="Palatino Linotype"/>
        </w:rPr>
        <w:t xml:space="preserve">médica </w:t>
      </w:r>
      <w:r>
        <w:rPr>
          <w:rFonts w:ascii="Palatino Linotype" w:eastAsia="Palatino Linotype" w:hAnsi="Palatino Linotype" w:cs="Palatino Linotype"/>
          <w:color w:val="000000"/>
        </w:rPr>
        <w:t xml:space="preserve">de la </w:t>
      </w:r>
      <w:r>
        <w:rPr>
          <w:rFonts w:ascii="Palatino Linotype" w:eastAsia="Palatino Linotype" w:hAnsi="Palatino Linotype" w:cs="Palatino Linotype"/>
          <w:b/>
          <w:color w:val="000000"/>
        </w:rPr>
        <w:t>Comisionada Sharon Cristina Morales Martínez</w:t>
      </w:r>
      <w:r>
        <w:rPr>
          <w:rFonts w:ascii="Palatino Linotype" w:eastAsia="Palatino Linotype" w:hAnsi="Palatino Linotype" w:cs="Palatino Linotype"/>
          <w:color w:val="000000"/>
        </w:rPr>
        <w:t>, y a través del cual se convino el returno del recurso de revisión de mérito al Comisionado Presidente José Martínez Vilchis, para que diera trámite y resolviera conforme a derecho;</w:t>
      </w:r>
    </w:p>
    <w:p w:rsidR="009A77A5" w:rsidRDefault="00ED64E9">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sz w:val="28"/>
          <w:szCs w:val="28"/>
        </w:rPr>
        <w:t>IX.</w:t>
      </w:r>
      <w:r>
        <w:rPr>
          <w:rFonts w:ascii="Palatino Linotype" w:eastAsia="Palatino Linotype" w:hAnsi="Palatino Linotype" w:cs="Palatino Linotype"/>
        </w:rPr>
        <w:t xml:space="preserve"> El </w:t>
      </w:r>
      <w:r>
        <w:rPr>
          <w:rFonts w:ascii="Palatino Linotype" w:eastAsia="Palatino Linotype" w:hAnsi="Palatino Linotype" w:cs="Palatino Linotype"/>
          <w:b/>
        </w:rPr>
        <w:t>dieciocho de enero de dos mil veintidós</w:t>
      </w:r>
      <w:r>
        <w:rPr>
          <w:rFonts w:ascii="Palatino Linotype" w:eastAsia="Palatino Linotype" w:hAnsi="Palatino Linotype" w:cs="Palatino Linotype"/>
        </w:rPr>
        <w:t>, se acordó ampliar el plazo para resolver el recurso de revisión en estudio, por un periodo de hasta quince días hábiles, de conformidad con el artículo 181, tercer párrafo de la Ley de Transparencia y Acceso a la Información Pública del Estado de México y Municipios; y,</w:t>
      </w:r>
    </w:p>
    <w:p w:rsidR="009A77A5" w:rsidRDefault="009A77A5">
      <w:pPr>
        <w:spacing w:before="240" w:after="240" w:line="360" w:lineRule="auto"/>
        <w:jc w:val="both"/>
        <w:rPr>
          <w:rFonts w:ascii="Palatino Linotype" w:eastAsia="Palatino Linotype" w:hAnsi="Palatino Linotype" w:cs="Palatino Linotype"/>
          <w:color w:val="000000"/>
        </w:rPr>
      </w:pPr>
    </w:p>
    <w:p w:rsidR="009A77A5" w:rsidRDefault="00ED64E9">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CONSIDERANDO</w:t>
      </w:r>
    </w:p>
    <w:p w:rsidR="009A77A5" w:rsidRDefault="00ED64E9">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PRIMERO</w:t>
      </w:r>
      <w:r>
        <w:rPr>
          <w:rFonts w:ascii="Palatino Linotype" w:eastAsia="Palatino Linotype" w:hAnsi="Palatino Linotype" w:cs="Palatino Linotype"/>
          <w:b/>
          <w:color w:val="000000"/>
        </w:rPr>
        <w:t>. Competencia</w:t>
      </w:r>
      <w:r>
        <w:rPr>
          <w:rFonts w:ascii="Palatino Linotype" w:eastAsia="Palatino Linotype" w:hAnsi="Palatino Linotype" w:cs="Palatino Linotype"/>
          <w:color w:val="000000"/>
        </w:rPr>
        <w:t>.</w:t>
      </w:r>
    </w:p>
    <w:p w:rsidR="009A77A5" w:rsidRDefault="00ED64E9">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color w:val="000000"/>
        </w:rPr>
      </w:pPr>
      <w:bookmarkStart w:id="2" w:name="_heading=h.3znysh7" w:colFirst="0" w:colLast="0"/>
      <w:bookmarkEnd w:id="2"/>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w:t>
      </w:r>
      <w:r>
        <w:rPr>
          <w:rFonts w:ascii="Palatino Linotype" w:eastAsia="Palatino Linotype" w:hAnsi="Palatino Linotype" w:cs="Palatino Linotype"/>
          <w:color w:val="000000"/>
        </w:rPr>
        <w:lastRenderedPageBreak/>
        <w:t>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9A77A5" w:rsidRDefault="00ED64E9">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SEGUNDO</w:t>
      </w:r>
      <w:r>
        <w:rPr>
          <w:rFonts w:ascii="Palatino Linotype" w:eastAsia="Palatino Linotype" w:hAnsi="Palatino Linotype" w:cs="Palatino Linotype"/>
          <w:b/>
          <w:color w:val="000000"/>
        </w:rPr>
        <w:t>. Interés.</w:t>
      </w:r>
      <w:r>
        <w:rPr>
          <w:rFonts w:ascii="Palatino Linotype" w:eastAsia="Palatino Linotype" w:hAnsi="Palatino Linotype" w:cs="Palatino Linotype"/>
          <w:color w:val="000000"/>
        </w:rPr>
        <w:t xml:space="preserve"> </w:t>
      </w:r>
    </w:p>
    <w:p w:rsidR="009A77A5" w:rsidRDefault="00ED64E9">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recurso de revisión fue interpuesto por la parte legítima en atención a que fue presentado por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quien formuló la solicitud de información pública.</w:t>
      </w:r>
    </w:p>
    <w:p w:rsidR="009A77A5" w:rsidRDefault="00ED64E9">
      <w:pPr>
        <w:widowControl w:val="0"/>
        <w:pBdr>
          <w:top w:val="nil"/>
          <w:left w:val="nil"/>
          <w:bottom w:val="nil"/>
          <w:right w:val="nil"/>
          <w:between w:val="nil"/>
        </w:pBdr>
        <w:tabs>
          <w:tab w:val="left" w:pos="1701"/>
        </w:tabs>
        <w:spacing w:before="240" w:after="280"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8"/>
          <w:szCs w:val="28"/>
        </w:rPr>
        <w:t>TERCERO</w:t>
      </w:r>
      <w:r>
        <w:rPr>
          <w:rFonts w:ascii="Palatino Linotype" w:eastAsia="Palatino Linotype" w:hAnsi="Palatino Linotype" w:cs="Palatino Linotype"/>
          <w:b/>
          <w:color w:val="000000"/>
        </w:rPr>
        <w:t xml:space="preserve">. Oportunidad. </w:t>
      </w:r>
    </w:p>
    <w:p w:rsidR="009A77A5" w:rsidRDefault="00ED64E9">
      <w:pPr>
        <w:widowControl w:val="0"/>
        <w:pBdr>
          <w:top w:val="nil"/>
          <w:left w:val="nil"/>
          <w:bottom w:val="nil"/>
          <w:right w:val="nil"/>
          <w:between w:val="nil"/>
        </w:pBdr>
        <w:tabs>
          <w:tab w:val="left" w:pos="1701"/>
        </w:tabs>
        <w:spacing w:before="240" w:after="28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recurso de revisión fue interpuesto dentro del plazo de quince días hábiles, contados a partir del día siguiente al que </w:t>
      </w:r>
      <w:r>
        <w:rPr>
          <w:rFonts w:ascii="Palatino Linotype" w:eastAsia="Palatino Linotype" w:hAnsi="Palatino Linotype" w:cs="Palatino Linotype"/>
          <w:b/>
          <w:color w:val="000000"/>
        </w:rPr>
        <w:t xml:space="preserve">EL RECURRENTE </w:t>
      </w:r>
      <w:r>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rsidR="009A77A5" w:rsidRDefault="00ED64E9">
      <w:pPr>
        <w:spacing w:before="280"/>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178.</w:t>
      </w:r>
      <w:r>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p>
    <w:p w:rsidR="009A77A5" w:rsidRDefault="009A77A5">
      <w:pPr>
        <w:ind w:left="851" w:right="899"/>
        <w:jc w:val="both"/>
        <w:rPr>
          <w:rFonts w:ascii="Palatino Linotype" w:eastAsia="Palatino Linotype" w:hAnsi="Palatino Linotype" w:cs="Palatino Linotype"/>
          <w:i/>
          <w:sz w:val="22"/>
          <w:szCs w:val="22"/>
        </w:rPr>
      </w:pPr>
    </w:p>
    <w:p w:rsidR="009A77A5" w:rsidRDefault="00ED64E9">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9A77A5" w:rsidRDefault="009A77A5">
      <w:pPr>
        <w:ind w:left="851" w:right="899"/>
        <w:jc w:val="both"/>
        <w:rPr>
          <w:rFonts w:ascii="Palatino Linotype" w:eastAsia="Palatino Linotype" w:hAnsi="Palatino Linotype" w:cs="Palatino Linotype"/>
          <w:i/>
          <w:sz w:val="22"/>
          <w:szCs w:val="22"/>
        </w:rPr>
      </w:pPr>
    </w:p>
    <w:p w:rsidR="009A77A5" w:rsidRDefault="00ED64E9">
      <w:pPr>
        <w:spacing w:after="280"/>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 (Sic)</w:t>
      </w:r>
    </w:p>
    <w:p w:rsidR="009A77A5" w:rsidRDefault="00ED64E9">
      <w:pPr>
        <w:widowControl w:val="0"/>
        <w:tabs>
          <w:tab w:val="left" w:pos="0"/>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esa tesitura, atendiendo a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notificó la respuesta a la solicitud de acceso a la información pública el día</w:t>
      </w:r>
      <w:r>
        <w:rPr>
          <w:rFonts w:ascii="Palatino Linotype" w:eastAsia="Palatino Linotype" w:hAnsi="Palatino Linotype" w:cs="Palatino Linotype"/>
          <w:b/>
        </w:rPr>
        <w:t xml:space="preserve"> veintiséis de octubre de dos mil veintiuno</w:t>
      </w:r>
      <w:r>
        <w:rPr>
          <w:rFonts w:ascii="Palatino Linotype" w:eastAsia="Palatino Linotype" w:hAnsi="Palatino Linotype" w:cs="Palatino Linotype"/>
        </w:rPr>
        <w:t xml:space="preserve"> así, el plazo de quince días hábiles que prevé el artículo 178 citado otorga al hoy</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para presentar el recurso de revisión que nos ocupa, abarca del </w:t>
      </w:r>
      <w:r>
        <w:rPr>
          <w:rFonts w:ascii="Palatino Linotype" w:eastAsia="Palatino Linotype" w:hAnsi="Palatino Linotype" w:cs="Palatino Linotype"/>
          <w:b/>
        </w:rPr>
        <w:t xml:space="preserve">veintisiete de octubre al dieciocho de noviembre de dos mil veintiuno, </w:t>
      </w:r>
      <w:r>
        <w:rPr>
          <w:rFonts w:ascii="Palatino Linotype" w:eastAsia="Palatino Linotype" w:hAnsi="Palatino Linotype" w:cs="Palatino Linotype"/>
        </w:rPr>
        <w:t xml:space="preserve">sin contemplar en el  plazo treinta y treinta y uno de noviembre, así como, seis, siete, trece y catorce de diciembre de la anualidad, por corresponder a sábados y domingos en términos del artículo 3, fracción X de la Ley de Transparencia y Acceso a la Información Pública del Estado de México y Municipios. </w:t>
      </w:r>
    </w:p>
    <w:p w:rsidR="009A77A5" w:rsidRDefault="00ED64E9">
      <w:pPr>
        <w:widowControl w:val="0"/>
        <w:tabs>
          <w:tab w:val="left" w:pos="0"/>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En ese tenor, </w:t>
      </w:r>
      <w:r>
        <w:rPr>
          <w:rFonts w:ascii="Palatino Linotype" w:eastAsia="Palatino Linotype" w:hAnsi="Palatino Linotype" w:cs="Palatino Linotype"/>
        </w:rPr>
        <w:t>si el recurso de revisión que nos ocupa, se interpuso el</w:t>
      </w:r>
      <w:r>
        <w:rPr>
          <w:rFonts w:ascii="Palatino Linotype" w:eastAsia="Palatino Linotype" w:hAnsi="Palatino Linotype" w:cs="Palatino Linotype"/>
          <w:b/>
        </w:rPr>
        <w:t xml:space="preserve"> dieciocho noviembre de dos mil veintiuno, </w:t>
      </w:r>
      <w:r>
        <w:rPr>
          <w:rFonts w:ascii="Palatino Linotype" w:eastAsia="Palatino Linotype" w:hAnsi="Palatino Linotype" w:cs="Palatino Linotype"/>
        </w:rPr>
        <w:t>éste se encuentra dentro de los márgenes temporales previstos en el precepto legal citado en el párrafo anterior y, por tanto, su interposición se considera oportuna</w:t>
      </w:r>
      <w:r>
        <w:rPr>
          <w:rFonts w:ascii="Palatino Linotype" w:eastAsia="Palatino Linotype" w:hAnsi="Palatino Linotype" w:cs="Palatino Linotype"/>
          <w:color w:val="000000"/>
        </w:rPr>
        <w:t xml:space="preserve">. </w:t>
      </w:r>
    </w:p>
    <w:p w:rsidR="009A77A5" w:rsidRDefault="00ED64E9">
      <w:pPr>
        <w:spacing w:before="24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CUARTO</w:t>
      </w:r>
      <w:r>
        <w:rPr>
          <w:rFonts w:ascii="Palatino Linotype" w:eastAsia="Palatino Linotype" w:hAnsi="Palatino Linotype" w:cs="Palatino Linotype"/>
        </w:rPr>
        <w:t xml:space="preserve">. </w:t>
      </w:r>
      <w:r>
        <w:rPr>
          <w:rFonts w:ascii="Palatino Linotype" w:eastAsia="Palatino Linotype" w:hAnsi="Palatino Linotype" w:cs="Palatino Linotype"/>
          <w:b/>
        </w:rPr>
        <w:t>Procedibilidad</w:t>
      </w:r>
      <w:r>
        <w:rPr>
          <w:rFonts w:ascii="Palatino Linotype" w:eastAsia="Palatino Linotype" w:hAnsi="Palatino Linotype" w:cs="Palatino Linotype"/>
        </w:rPr>
        <w:t xml:space="preserve">. </w:t>
      </w:r>
    </w:p>
    <w:p w:rsidR="009A77A5" w:rsidRDefault="00ED64E9">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importante abordar el análisis de los requisitos de procedibilidad del recurso de revisión, así el artículo 180 de la Ley de Transparencia y Acceso a la Información Pública del Estado de México y Municipios, que establece lo siguiente:</w:t>
      </w:r>
    </w:p>
    <w:p w:rsidR="009A77A5" w:rsidRDefault="009A77A5">
      <w:pPr>
        <w:ind w:right="49"/>
        <w:jc w:val="both"/>
        <w:rPr>
          <w:rFonts w:ascii="Palatino Linotype" w:eastAsia="Palatino Linotype" w:hAnsi="Palatino Linotype" w:cs="Palatino Linotype"/>
        </w:rPr>
      </w:pPr>
    </w:p>
    <w:p w:rsidR="009A77A5" w:rsidRDefault="00ED64E9">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180. </w:t>
      </w:r>
      <w:r>
        <w:rPr>
          <w:rFonts w:ascii="Palatino Linotype" w:eastAsia="Palatino Linotype" w:hAnsi="Palatino Linotype" w:cs="Palatino Linotype"/>
          <w:i/>
          <w:sz w:val="22"/>
          <w:szCs w:val="22"/>
        </w:rPr>
        <w:t xml:space="preserve">El recurso </w:t>
      </w:r>
      <w:r>
        <w:rPr>
          <w:rFonts w:ascii="Palatino Linotype" w:eastAsia="Palatino Linotype" w:hAnsi="Palatino Linotype" w:cs="Palatino Linotype"/>
          <w:i/>
          <w:color w:val="222222"/>
          <w:sz w:val="22"/>
          <w:szCs w:val="22"/>
        </w:rPr>
        <w:t>de</w:t>
      </w:r>
      <w:r>
        <w:rPr>
          <w:rFonts w:ascii="Palatino Linotype" w:eastAsia="Palatino Linotype" w:hAnsi="Palatino Linotype" w:cs="Palatino Linotype"/>
          <w:i/>
          <w:sz w:val="22"/>
          <w:szCs w:val="22"/>
        </w:rPr>
        <w:t xml:space="preserve"> revisión contendrá:</w:t>
      </w:r>
      <w:r>
        <w:rPr>
          <w:rFonts w:ascii="Palatino Linotype" w:eastAsia="Palatino Linotype" w:hAnsi="Palatino Linotype" w:cs="Palatino Linotype"/>
          <w:b/>
          <w:i/>
          <w:sz w:val="22"/>
          <w:szCs w:val="22"/>
        </w:rPr>
        <w:t xml:space="preserve"> </w:t>
      </w:r>
    </w:p>
    <w:p w:rsidR="009A77A5" w:rsidRDefault="00ED64E9">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 xml:space="preserve">I. </w:t>
      </w:r>
      <w:r>
        <w:rPr>
          <w:rFonts w:ascii="Palatino Linotype" w:eastAsia="Palatino Linotype" w:hAnsi="Palatino Linotype" w:cs="Palatino Linotype"/>
          <w:i/>
          <w:sz w:val="22"/>
          <w:szCs w:val="22"/>
        </w:rPr>
        <w:t xml:space="preserve">El sujeto obligado ante la cual </w:t>
      </w:r>
      <w:r>
        <w:rPr>
          <w:rFonts w:ascii="Palatino Linotype" w:eastAsia="Palatino Linotype" w:hAnsi="Palatino Linotype" w:cs="Palatino Linotype"/>
          <w:i/>
          <w:color w:val="222222"/>
          <w:sz w:val="22"/>
          <w:szCs w:val="22"/>
        </w:rPr>
        <w:t>se</w:t>
      </w:r>
      <w:r>
        <w:rPr>
          <w:rFonts w:ascii="Palatino Linotype" w:eastAsia="Palatino Linotype" w:hAnsi="Palatino Linotype" w:cs="Palatino Linotype"/>
          <w:i/>
          <w:sz w:val="22"/>
          <w:szCs w:val="22"/>
        </w:rPr>
        <w:t xml:space="preserve"> presentó la solicitud;</w:t>
      </w:r>
      <w:r>
        <w:rPr>
          <w:rFonts w:ascii="Palatino Linotype" w:eastAsia="Palatino Linotype" w:hAnsi="Palatino Linotype" w:cs="Palatino Linotype"/>
          <w:b/>
          <w:i/>
          <w:sz w:val="22"/>
          <w:szCs w:val="22"/>
        </w:rPr>
        <w:t xml:space="preserve"> </w:t>
      </w:r>
    </w:p>
    <w:p w:rsidR="009A77A5" w:rsidRDefault="00ED64E9">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 </w:t>
      </w:r>
      <w:r>
        <w:rPr>
          <w:rFonts w:ascii="Palatino Linotype" w:eastAsia="Palatino Linotype" w:hAnsi="Palatino Linotype" w:cs="Palatino Linotype"/>
          <w:b/>
          <w:i/>
          <w:sz w:val="22"/>
          <w:szCs w:val="22"/>
          <w:u w:val="single"/>
        </w:rPr>
        <w:t xml:space="preserve">El nombre del solicitante </w:t>
      </w:r>
      <w:r>
        <w:rPr>
          <w:rFonts w:ascii="Palatino Linotype" w:eastAsia="Palatino Linotype" w:hAnsi="Palatino Linotype" w:cs="Palatino Linotype"/>
          <w:b/>
          <w:i/>
          <w:color w:val="222222"/>
          <w:sz w:val="22"/>
          <w:szCs w:val="22"/>
          <w:u w:val="single"/>
        </w:rPr>
        <w:t>que</w:t>
      </w:r>
      <w:r>
        <w:rPr>
          <w:rFonts w:ascii="Palatino Linotype" w:eastAsia="Palatino Linotype" w:hAnsi="Palatino Linotype" w:cs="Palatino Linotype"/>
          <w:b/>
          <w:i/>
          <w:sz w:val="22"/>
          <w:szCs w:val="22"/>
          <w:u w:val="single"/>
        </w:rPr>
        <w:t xml:space="preserve"> recurre </w:t>
      </w:r>
      <w:r>
        <w:rPr>
          <w:rFonts w:ascii="Palatino Linotype" w:eastAsia="Palatino Linotype" w:hAnsi="Palatino Linotype" w:cs="Palatino Linotype"/>
          <w:i/>
          <w:sz w:val="22"/>
          <w:szCs w:val="22"/>
        </w:rPr>
        <w:t>o de su representante y, en su caso, del tercero interesado, así como la dirección o medio que señale para recibir notificaciones;</w:t>
      </w:r>
      <w:r>
        <w:rPr>
          <w:rFonts w:ascii="Palatino Linotype" w:eastAsia="Palatino Linotype" w:hAnsi="Palatino Linotype" w:cs="Palatino Linotype"/>
          <w:b/>
          <w:i/>
          <w:sz w:val="22"/>
          <w:szCs w:val="22"/>
        </w:rPr>
        <w:t xml:space="preserve"> </w:t>
      </w:r>
    </w:p>
    <w:p w:rsidR="009A77A5" w:rsidRDefault="00ED64E9">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i/>
          <w:sz w:val="22"/>
          <w:szCs w:val="22"/>
        </w:rPr>
        <w:t xml:space="preserve">El número de folio de </w:t>
      </w:r>
      <w:r>
        <w:rPr>
          <w:rFonts w:ascii="Palatino Linotype" w:eastAsia="Palatino Linotype" w:hAnsi="Palatino Linotype" w:cs="Palatino Linotype"/>
          <w:i/>
          <w:color w:val="222222"/>
          <w:sz w:val="22"/>
          <w:szCs w:val="22"/>
        </w:rPr>
        <w:t>respuesta</w:t>
      </w:r>
      <w:r>
        <w:rPr>
          <w:rFonts w:ascii="Palatino Linotype" w:eastAsia="Palatino Linotype" w:hAnsi="Palatino Linotype" w:cs="Palatino Linotype"/>
          <w:i/>
          <w:sz w:val="22"/>
          <w:szCs w:val="22"/>
        </w:rPr>
        <w:t xml:space="preserve"> de la solicitud de acceso; </w:t>
      </w:r>
    </w:p>
    <w:p w:rsidR="009A77A5" w:rsidRDefault="00ED64E9">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 xml:space="preserve">La fecha en que fue </w:t>
      </w:r>
      <w:r>
        <w:rPr>
          <w:rFonts w:ascii="Palatino Linotype" w:eastAsia="Palatino Linotype" w:hAnsi="Palatino Linotype" w:cs="Palatino Linotype"/>
          <w:i/>
          <w:color w:val="222222"/>
          <w:sz w:val="22"/>
          <w:szCs w:val="22"/>
        </w:rPr>
        <w:t>notificada</w:t>
      </w:r>
      <w:r>
        <w:rPr>
          <w:rFonts w:ascii="Palatino Linotype" w:eastAsia="Palatino Linotype" w:hAnsi="Palatino Linotype" w:cs="Palatino Linotype"/>
          <w:i/>
          <w:sz w:val="22"/>
          <w:szCs w:val="22"/>
        </w:rPr>
        <w:t xml:space="preserve"> la respuesta al solicitante o tuvo conocimiento del acto reclamado, o de presentación de la solicitud, en caso de falta de respuesta;</w:t>
      </w:r>
      <w:r>
        <w:rPr>
          <w:rFonts w:ascii="Palatino Linotype" w:eastAsia="Palatino Linotype" w:hAnsi="Palatino Linotype" w:cs="Palatino Linotype"/>
          <w:b/>
          <w:i/>
          <w:sz w:val="22"/>
          <w:szCs w:val="22"/>
        </w:rPr>
        <w:t xml:space="preserve"> </w:t>
      </w:r>
    </w:p>
    <w:p w:rsidR="009A77A5" w:rsidRDefault="00ED64E9">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 xml:space="preserve">El acto que se </w:t>
      </w:r>
      <w:r>
        <w:rPr>
          <w:rFonts w:ascii="Palatino Linotype" w:eastAsia="Palatino Linotype" w:hAnsi="Palatino Linotype" w:cs="Palatino Linotype"/>
          <w:i/>
          <w:color w:val="222222"/>
          <w:sz w:val="22"/>
          <w:szCs w:val="22"/>
        </w:rPr>
        <w:t>recurre</w:t>
      </w: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 </w:t>
      </w:r>
    </w:p>
    <w:p w:rsidR="009A77A5" w:rsidRDefault="00ED64E9">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 xml:space="preserve">Las razones o </w:t>
      </w:r>
      <w:r>
        <w:rPr>
          <w:rFonts w:ascii="Palatino Linotype" w:eastAsia="Palatino Linotype" w:hAnsi="Palatino Linotype" w:cs="Palatino Linotype"/>
          <w:i/>
          <w:color w:val="222222"/>
          <w:sz w:val="22"/>
          <w:szCs w:val="22"/>
        </w:rPr>
        <w:t>motivos</w:t>
      </w:r>
      <w:r>
        <w:rPr>
          <w:rFonts w:ascii="Palatino Linotype" w:eastAsia="Palatino Linotype" w:hAnsi="Palatino Linotype" w:cs="Palatino Linotype"/>
          <w:i/>
          <w:sz w:val="22"/>
          <w:szCs w:val="22"/>
        </w:rPr>
        <w:t xml:space="preserve"> de inconformidad;</w:t>
      </w:r>
      <w:r>
        <w:rPr>
          <w:rFonts w:ascii="Palatino Linotype" w:eastAsia="Palatino Linotype" w:hAnsi="Palatino Linotype" w:cs="Palatino Linotype"/>
          <w:b/>
          <w:i/>
          <w:sz w:val="22"/>
          <w:szCs w:val="22"/>
        </w:rPr>
        <w:t xml:space="preserve"> </w:t>
      </w:r>
    </w:p>
    <w:p w:rsidR="009A77A5" w:rsidRDefault="00ED64E9">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copia de la respuesta que se impugna y, en su caso, de la notificación correspondiente, en el caso de respuesta de la solicitud; y</w:t>
      </w:r>
      <w:r>
        <w:rPr>
          <w:rFonts w:ascii="Palatino Linotype" w:eastAsia="Palatino Linotype" w:hAnsi="Palatino Linotype" w:cs="Palatino Linotype"/>
          <w:b/>
          <w:i/>
          <w:sz w:val="22"/>
          <w:szCs w:val="22"/>
        </w:rPr>
        <w:t xml:space="preserve"> </w:t>
      </w:r>
    </w:p>
    <w:p w:rsidR="009A77A5" w:rsidRDefault="00ED64E9">
      <w:pPr>
        <w:tabs>
          <w:tab w:val="left" w:pos="851"/>
        </w:tabs>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VIII. </w:t>
      </w:r>
      <w:r>
        <w:rPr>
          <w:rFonts w:ascii="Palatino Linotype" w:eastAsia="Palatino Linotype" w:hAnsi="Palatino Linotype" w:cs="Palatino Linotype"/>
          <w:i/>
          <w:sz w:val="22"/>
          <w:szCs w:val="22"/>
        </w:rPr>
        <w:t>Firma del recurrente, en su caso, cuando se presente por escrito, requisito sin el cual se dará trámite al recurso.</w:t>
      </w:r>
    </w:p>
    <w:p w:rsidR="009A77A5" w:rsidRDefault="00ED64E9">
      <w:pPr>
        <w:tabs>
          <w:tab w:val="left" w:pos="851"/>
        </w:tabs>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Adicionalmente, se podrán anexar las pruebas y demás elementos que considere procedentes someter a juicio del Instituto. </w:t>
      </w:r>
    </w:p>
    <w:p w:rsidR="009A77A5" w:rsidRDefault="00ED64E9">
      <w:pPr>
        <w:tabs>
          <w:tab w:val="left" w:pos="851"/>
        </w:tabs>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ningún caso será necesario que el particular ratifique el recurso de revisión interpuesto. </w:t>
      </w:r>
    </w:p>
    <w:p w:rsidR="009A77A5" w:rsidRDefault="00ED64E9">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u w:val="single"/>
        </w:rPr>
        <w:t xml:space="preserve">En caso de </w:t>
      </w:r>
      <w:r>
        <w:rPr>
          <w:rFonts w:ascii="Palatino Linotype" w:eastAsia="Palatino Linotype" w:hAnsi="Palatino Linotype" w:cs="Palatino Linotype"/>
          <w:b/>
          <w:i/>
          <w:color w:val="222222"/>
          <w:sz w:val="22"/>
          <w:szCs w:val="22"/>
          <w:u w:val="single"/>
        </w:rPr>
        <w:t>que</w:t>
      </w:r>
      <w:r>
        <w:rPr>
          <w:rFonts w:ascii="Palatino Linotype" w:eastAsia="Palatino Linotype" w:hAnsi="Palatino Linotype" w:cs="Palatino Linotype"/>
          <w:b/>
          <w:i/>
          <w:sz w:val="22"/>
          <w:szCs w:val="22"/>
          <w:u w:val="single"/>
        </w:rPr>
        <w:t xml:space="preserve"> el recurso se interponga de manera electrónica no será indispensable que contengan los requisitos establecidos en las fracciones II</w:t>
      </w:r>
      <w:r>
        <w:rPr>
          <w:rFonts w:ascii="Palatino Linotype" w:eastAsia="Palatino Linotype" w:hAnsi="Palatino Linotype" w:cs="Palatino Linotype"/>
          <w:i/>
          <w:sz w:val="22"/>
          <w:szCs w:val="22"/>
        </w:rPr>
        <w:t>, IV, VII y VIII.</w:t>
      </w:r>
      <w:r>
        <w:rPr>
          <w:rFonts w:ascii="Palatino Linotype" w:eastAsia="Palatino Linotype" w:hAnsi="Palatino Linotype" w:cs="Palatino Linotype"/>
          <w:b/>
          <w:i/>
          <w:sz w:val="22"/>
          <w:szCs w:val="22"/>
        </w:rPr>
        <w:t>”</w:t>
      </w:r>
    </w:p>
    <w:p w:rsidR="009A77A5" w:rsidRDefault="00ED64E9">
      <w:pPr>
        <w:tabs>
          <w:tab w:val="left" w:pos="851"/>
        </w:tabs>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9A77A5" w:rsidRDefault="009A77A5">
      <w:pPr>
        <w:tabs>
          <w:tab w:val="left" w:pos="851"/>
        </w:tabs>
        <w:ind w:left="851" w:right="901"/>
        <w:jc w:val="both"/>
        <w:rPr>
          <w:rFonts w:ascii="Palatino Linotype" w:eastAsia="Palatino Linotype" w:hAnsi="Palatino Linotype" w:cs="Palatino Linotype"/>
          <w:i/>
          <w:sz w:val="22"/>
          <w:szCs w:val="22"/>
        </w:rPr>
      </w:pPr>
    </w:p>
    <w:p w:rsidR="009A77A5" w:rsidRDefault="00ED64E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puede apreciar del contenido del artículo anterior, este enlista los requisitos de procedibilidad, lo cual, incluye el nombre del solicitante como uno de ellos; sin embargo, también contempla la posibilidad de que en caso de que el recurso se interponga de manera electrónica el nombre no será indispensable, y al ser este recurso interpuesto por la plataforma digital especializada para ello </w:t>
      </w:r>
      <w:r>
        <w:rPr>
          <w:rFonts w:ascii="Palatino Linotype" w:eastAsia="Palatino Linotype" w:hAnsi="Palatino Linotype" w:cs="Palatino Linotype"/>
          <w:b/>
        </w:rPr>
        <w:t>(SAIMEX),</w:t>
      </w:r>
      <w:r>
        <w:rPr>
          <w:rFonts w:ascii="Palatino Linotype" w:eastAsia="Palatino Linotype" w:hAnsi="Palatino Linotype" w:cs="Palatino Linotype"/>
        </w:rPr>
        <w:t xml:space="preserve"> es que puede ser declarado procedente sin necesidad de que se acredite el nombre de quien lo interpone. </w:t>
      </w:r>
    </w:p>
    <w:p w:rsidR="009A77A5" w:rsidRDefault="00ED64E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rsidR="009A77A5" w:rsidRDefault="00ED64E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en virtud, de una interpretación sistemática, armónica y progresiva del derecho humano de acceso a la información pública la cual dispone que toda persona, sin </w:t>
      </w:r>
      <w:r>
        <w:rPr>
          <w:rFonts w:ascii="Palatino Linotype" w:eastAsia="Palatino Linotype" w:hAnsi="Palatino Linotype" w:cs="Palatino Linotype"/>
        </w:rPr>
        <w:lastRenderedPageBreak/>
        <w:t>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9A77A5" w:rsidRDefault="009A77A5">
      <w:pPr>
        <w:spacing w:line="360" w:lineRule="auto"/>
        <w:jc w:val="both"/>
        <w:rPr>
          <w:rFonts w:ascii="Palatino Linotype" w:eastAsia="Palatino Linotype" w:hAnsi="Palatino Linotype" w:cs="Palatino Linotype"/>
        </w:rPr>
      </w:pPr>
    </w:p>
    <w:p w:rsidR="009A77A5" w:rsidRDefault="00ED64E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ello,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además de la existencia de un precepto legal que lo permite, resulta ocioso realizar dicho análisis. </w:t>
      </w:r>
    </w:p>
    <w:p w:rsidR="009A77A5" w:rsidRDefault="009A77A5">
      <w:pPr>
        <w:spacing w:line="360" w:lineRule="auto"/>
        <w:jc w:val="both"/>
        <w:rPr>
          <w:rFonts w:ascii="Palatino Linotype" w:eastAsia="Palatino Linotype" w:hAnsi="Palatino Linotype" w:cs="Palatino Linotype"/>
        </w:rPr>
      </w:pPr>
    </w:p>
    <w:p w:rsidR="009A77A5" w:rsidRDefault="00ED64E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9A77A5" w:rsidRDefault="009A77A5">
      <w:pPr>
        <w:tabs>
          <w:tab w:val="left" w:pos="851"/>
        </w:tabs>
        <w:ind w:left="851" w:right="901"/>
        <w:jc w:val="both"/>
        <w:rPr>
          <w:rFonts w:ascii="Palatino Linotype" w:eastAsia="Palatino Linotype" w:hAnsi="Palatino Linotype" w:cs="Palatino Linotype"/>
          <w:b/>
          <w:i/>
          <w:sz w:val="22"/>
          <w:szCs w:val="22"/>
        </w:rPr>
      </w:pPr>
    </w:p>
    <w:p w:rsidR="009A77A5" w:rsidRDefault="00ED64E9">
      <w:pPr>
        <w:tabs>
          <w:tab w:val="left" w:pos="851"/>
        </w:tabs>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“Acceso a información gubernamental. No debe condicionarse a que el solicitante acredite su personalidad, demuestre interés alguno o justifique su utilización.</w:t>
      </w:r>
      <w:r>
        <w:rPr>
          <w:rFonts w:ascii="Palatino Linotype" w:eastAsia="Palatino Linotype" w:hAnsi="Palatino Linotype" w:cs="Palatino Linotype"/>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w:t>
      </w:r>
      <w:r>
        <w:rPr>
          <w:rFonts w:ascii="Palatino Linotype" w:eastAsia="Palatino Linotype" w:hAnsi="Palatino Linotype" w:cs="Palatino Linotype"/>
          <w:i/>
          <w:sz w:val="22"/>
          <w:szCs w:val="22"/>
        </w:rPr>
        <w:lastRenderedPageBreak/>
        <w:t>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9A77A5" w:rsidRDefault="009A77A5">
      <w:pPr>
        <w:spacing w:line="360" w:lineRule="auto"/>
        <w:jc w:val="both"/>
        <w:rPr>
          <w:rFonts w:ascii="Palatino Linotype" w:eastAsia="Palatino Linotype" w:hAnsi="Palatino Linotype" w:cs="Palatino Linotype"/>
        </w:rPr>
      </w:pPr>
    </w:p>
    <w:p w:rsidR="009A77A5" w:rsidRDefault="00ED64E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se estima que el requisito relativo al nombre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es la misma persona que realizó la solicitud de acceso a la información pública que ahora se impugna.</w:t>
      </w:r>
    </w:p>
    <w:p w:rsidR="009A77A5" w:rsidRDefault="009A77A5">
      <w:pPr>
        <w:spacing w:line="360" w:lineRule="auto"/>
        <w:jc w:val="both"/>
        <w:rPr>
          <w:rFonts w:ascii="Palatino Linotype" w:eastAsia="Palatino Linotype" w:hAnsi="Palatino Linotype" w:cs="Palatino Linotype"/>
          <w:b/>
          <w:sz w:val="28"/>
          <w:szCs w:val="28"/>
        </w:rPr>
      </w:pPr>
    </w:p>
    <w:p w:rsidR="009A77A5" w:rsidRDefault="00ED64E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QUINTO.</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rPr>
        <w:t xml:space="preserve">Estudio y resolución del asunto. </w:t>
      </w:r>
    </w:p>
    <w:p w:rsidR="009A77A5" w:rsidRDefault="00ED64E9">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Es así que, una vez determinada la vía sobre la que versará el presente Recurso, y previa revisión del expediente electrónico formado en el</w:t>
      </w:r>
      <w:r>
        <w:rPr>
          <w:rFonts w:ascii="Palatino Linotype" w:eastAsia="Palatino Linotype" w:hAnsi="Palatino Linotype" w:cs="Palatino Linotype"/>
          <w:b/>
          <w:color w:val="000000"/>
        </w:rPr>
        <w:t xml:space="preserve"> SAIMEX</w:t>
      </w:r>
      <w:r>
        <w:rPr>
          <w:rFonts w:ascii="Palatino Linotype" w:eastAsia="Palatino Linotype" w:hAnsi="Palatino Linotype" w:cs="Palatino Linotype"/>
          <w:color w:val="000000"/>
        </w:rPr>
        <w:t xml:space="preserve">, es conveniente analizar si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cumple con los requisitos del derecho de acceso a la información pública, por lo que en primer término debemos recordar que </w:t>
      </w:r>
      <w:r>
        <w:rPr>
          <w:rFonts w:ascii="Palatino Linotype" w:eastAsia="Palatino Linotype" w:hAnsi="Palatino Linotype" w:cs="Palatino Linotype"/>
          <w:b/>
          <w:color w:val="000000"/>
        </w:rPr>
        <w:t xml:space="preserve">EL RECURRENTE </w:t>
      </w:r>
      <w:r>
        <w:rPr>
          <w:rFonts w:ascii="Palatino Linotype" w:eastAsia="Palatino Linotype" w:hAnsi="Palatino Linotype" w:cs="Palatino Linotype"/>
          <w:color w:val="000000"/>
        </w:rPr>
        <w:t xml:space="preserve">le solicitó al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lo siguiente: </w:t>
      </w:r>
    </w:p>
    <w:p w:rsidR="009A77A5" w:rsidRDefault="00ED64E9">
      <w:pPr>
        <w:pBdr>
          <w:top w:val="nil"/>
          <w:left w:val="nil"/>
          <w:bottom w:val="nil"/>
          <w:right w:val="nil"/>
          <w:between w:val="nil"/>
        </w:pBdr>
        <w:spacing w:before="280" w:after="280"/>
        <w:ind w:left="850" w:right="750"/>
        <w:jc w:val="both"/>
        <w:rPr>
          <w:color w:val="000000"/>
        </w:rPr>
      </w:pPr>
      <w:r>
        <w:rPr>
          <w:rFonts w:ascii="Palatino Linotype" w:eastAsia="Palatino Linotype" w:hAnsi="Palatino Linotype" w:cs="Palatino Linotype"/>
          <w:i/>
          <w:color w:val="000000"/>
          <w:sz w:val="22"/>
          <w:szCs w:val="22"/>
        </w:rPr>
        <w:lastRenderedPageBreak/>
        <w:t xml:space="preserve"> “Derivado de la solicitud 342/SEIEM/IP/2021 en la que se informó que el servidor público Miguel Ángel </w:t>
      </w:r>
      <w:proofErr w:type="spellStart"/>
      <w:r>
        <w:rPr>
          <w:rFonts w:ascii="Palatino Linotype" w:eastAsia="Palatino Linotype" w:hAnsi="Palatino Linotype" w:cs="Palatino Linotype"/>
          <w:i/>
          <w:color w:val="000000"/>
          <w:sz w:val="22"/>
          <w:szCs w:val="22"/>
        </w:rPr>
        <w:t>velasco</w:t>
      </w:r>
      <w:proofErr w:type="spellEnd"/>
      <w:r>
        <w:rPr>
          <w:rFonts w:ascii="Palatino Linotype" w:eastAsia="Palatino Linotype" w:hAnsi="Palatino Linotype" w:cs="Palatino Linotype"/>
          <w:i/>
          <w:color w:val="000000"/>
          <w:sz w:val="22"/>
          <w:szCs w:val="22"/>
        </w:rPr>
        <w:t xml:space="preserve"> Santiago ganaba un sueldo quincenal bruto de $7,380.72, solicito copias de sus recibos de pago o cualquier documento oficial de pago de los meses de enero a septiembre de 2021 de dicho servidor </w:t>
      </w:r>
      <w:proofErr w:type="spellStart"/>
      <w:r>
        <w:rPr>
          <w:rFonts w:ascii="Palatino Linotype" w:eastAsia="Palatino Linotype" w:hAnsi="Palatino Linotype" w:cs="Palatino Linotype"/>
          <w:i/>
          <w:color w:val="000000"/>
          <w:sz w:val="22"/>
          <w:szCs w:val="22"/>
        </w:rPr>
        <w:t>publcio</w:t>
      </w:r>
      <w:proofErr w:type="spellEnd"/>
      <w:r>
        <w:rPr>
          <w:rFonts w:ascii="Palatino Linotype" w:eastAsia="Palatino Linotype" w:hAnsi="Palatino Linotype" w:cs="Palatino Linotype"/>
          <w:i/>
          <w:color w:val="000000"/>
          <w:sz w:val="22"/>
          <w:szCs w:val="22"/>
        </w:rPr>
        <w:t>.”</w:t>
      </w:r>
    </w:p>
    <w:p w:rsidR="009A77A5" w:rsidRDefault="009A77A5">
      <w:pPr>
        <w:tabs>
          <w:tab w:val="left" w:pos="8222"/>
        </w:tabs>
        <w:spacing w:line="360" w:lineRule="auto"/>
        <w:jc w:val="both"/>
        <w:rPr>
          <w:rFonts w:ascii="Palatino Linotype" w:eastAsia="Palatino Linotype" w:hAnsi="Palatino Linotype" w:cs="Palatino Linotype"/>
        </w:rPr>
      </w:pPr>
    </w:p>
    <w:p w:rsidR="009A77A5" w:rsidRDefault="00ED64E9">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respuesta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mediante  el archivo electrónico denominado </w:t>
      </w:r>
      <w:r>
        <w:rPr>
          <w:rFonts w:ascii="Palatino Linotype" w:eastAsia="Palatino Linotype" w:hAnsi="Palatino Linotype" w:cs="Palatino Linotype"/>
          <w:b/>
          <w:color w:val="000000"/>
        </w:rPr>
        <w:t>RESP. 404-21.pdf</w:t>
      </w:r>
      <w:r>
        <w:rPr>
          <w:rFonts w:ascii="Palatino Linotype" w:eastAsia="Palatino Linotype" w:hAnsi="Palatino Linotype" w:cs="Palatino Linotype"/>
          <w:color w:val="000000"/>
        </w:rPr>
        <w:t>, a través del cual el Jefe de Departamento de Legislación y Consulta y Suplente del Titular de la Unidad de Transparencia, señala que el citado organismo es incompetente para atender la solicitud de información, derivado de la creación del Fondo para la Nómina Educativa y Gasto Operativo (FONE) por el que se sustituyó al anterior Fondo de Aportaciones para la Educación Básica y Normal (FAEB), transfiriendo así la administración de la nómina de los servicios educativos que prestan las Entidades Federativas a la Federación, decreto que fue publicado el 9 de diciembre de 2013 en el Diario Oficial de la Federación, mismo que entra en vigor en el ejercicio fiscal 2015.</w:t>
      </w:r>
    </w:p>
    <w:p w:rsidR="009A77A5" w:rsidRDefault="009A77A5">
      <w:pPr>
        <w:pBdr>
          <w:top w:val="nil"/>
          <w:left w:val="nil"/>
          <w:bottom w:val="nil"/>
          <w:right w:val="nil"/>
          <w:between w:val="nil"/>
        </w:pBdr>
        <w:spacing w:line="360" w:lineRule="auto"/>
        <w:jc w:val="both"/>
        <w:rPr>
          <w:color w:val="000000"/>
        </w:rPr>
      </w:pPr>
    </w:p>
    <w:p w:rsidR="009A77A5" w:rsidRDefault="00ED64E9">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señala la liga electrónica por medio del cual la Secretaría de Educación Pública Federal, genera el comprobante de pago mismo que puede ser consultado por cada trabajador. Orientando al recurrente a dirigir su solicitud a la Secretaría de Educación Pública, como se puede observar en las capturas de pantalla que se inserta a continuación: </w:t>
      </w:r>
    </w:p>
    <w:p w:rsidR="009A77A5" w:rsidRDefault="00ED64E9">
      <w:pPr>
        <w:pBdr>
          <w:top w:val="nil"/>
          <w:left w:val="nil"/>
          <w:bottom w:val="nil"/>
          <w:right w:val="nil"/>
          <w:between w:val="nil"/>
        </w:pBdr>
        <w:spacing w:line="360" w:lineRule="auto"/>
        <w:jc w:val="center"/>
        <w:rPr>
          <w:color w:val="000000"/>
        </w:rPr>
      </w:pPr>
      <w:r>
        <w:rPr>
          <w:noProof/>
          <w:color w:val="000000"/>
          <w:lang w:eastAsia="es-MX"/>
        </w:rPr>
        <w:lastRenderedPageBreak/>
        <w:drawing>
          <wp:inline distT="0" distB="0" distL="0" distR="0">
            <wp:extent cx="5231749" cy="2297243"/>
            <wp:effectExtent l="0" t="0" r="0" b="0"/>
            <wp:docPr id="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231749" cy="2297243"/>
                    </a:xfrm>
                    <a:prstGeom prst="rect">
                      <a:avLst/>
                    </a:prstGeom>
                    <a:ln/>
                  </pic:spPr>
                </pic:pic>
              </a:graphicData>
            </a:graphic>
          </wp:inline>
        </w:drawing>
      </w:r>
    </w:p>
    <w:p w:rsidR="009A77A5" w:rsidRDefault="00ED64E9">
      <w:pPr>
        <w:tabs>
          <w:tab w:val="left" w:pos="822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es-MX"/>
        </w:rPr>
        <w:drawing>
          <wp:inline distT="0" distB="0" distL="0" distR="0">
            <wp:extent cx="5791835" cy="3940810"/>
            <wp:effectExtent l="0" t="0" r="0" b="0"/>
            <wp:docPr id="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791835" cy="3940810"/>
                    </a:xfrm>
                    <a:prstGeom prst="rect">
                      <a:avLst/>
                    </a:prstGeom>
                    <a:ln/>
                  </pic:spPr>
                </pic:pic>
              </a:graphicData>
            </a:graphic>
          </wp:inline>
        </w:drawing>
      </w:r>
    </w:p>
    <w:p w:rsidR="009A77A5" w:rsidRDefault="00ED64E9">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Asimismo, es de recalcar que toda vez que existe un pronunciamiento por parte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respecto al estado que guarda la información solicitada por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este Órgano Garante estima conveniente señalar que no está facultado para </w:t>
      </w:r>
      <w:r>
        <w:rPr>
          <w:rFonts w:ascii="Palatino Linotype" w:eastAsia="Palatino Linotype" w:hAnsi="Palatino Linotype" w:cs="Palatino Linotype"/>
          <w:color w:val="000000"/>
        </w:rPr>
        <w:lastRenderedPageBreak/>
        <w:t>manifestarse sobre la veracidad de la información proporcionada, ya que no existe precepto legal alguna en la Ley de la Materia que permita, vía recurso de revisión, se pronuncia al respecto.</w:t>
      </w:r>
    </w:p>
    <w:p w:rsidR="009A77A5" w:rsidRDefault="009A77A5">
      <w:pPr>
        <w:spacing w:line="360" w:lineRule="auto"/>
      </w:pPr>
    </w:p>
    <w:p w:rsidR="009A77A5" w:rsidRDefault="00ED64E9">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Por analogía, sirve de apoyo a lo anterior el Criterio 31-10 emitido por el entonces Instituto Federal de Accesos a la Información y Protección de Datos, que a la letra establece lo siguiente:</w:t>
      </w:r>
    </w:p>
    <w:p w:rsidR="009A77A5" w:rsidRDefault="009A77A5"/>
    <w:p w:rsidR="009A77A5" w:rsidRDefault="00ED64E9">
      <w:pPr>
        <w:pBdr>
          <w:top w:val="nil"/>
          <w:left w:val="nil"/>
          <w:bottom w:val="nil"/>
          <w:right w:val="nil"/>
          <w:between w:val="nil"/>
        </w:pBdr>
        <w:ind w:left="567" w:right="567"/>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u w:val="single"/>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color w:val="000000"/>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rsidR="009A77A5" w:rsidRDefault="009A77A5"/>
    <w:p w:rsidR="009A77A5" w:rsidRDefault="00ED64E9">
      <w:pPr>
        <w:pBdr>
          <w:top w:val="nil"/>
          <w:left w:val="nil"/>
          <w:bottom w:val="nil"/>
          <w:right w:val="nil"/>
          <w:between w:val="nil"/>
        </w:pBdr>
        <w:spacing w:line="360" w:lineRule="auto"/>
        <w:ind w:right="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así que derivado de la respuesta emitida por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interpuso el presente recurso de revisión, señalando sustancialmente como sus razones o motivos de inconformidad, lo siguiente:</w:t>
      </w:r>
    </w:p>
    <w:p w:rsidR="009A77A5" w:rsidRDefault="009A77A5">
      <w:pPr>
        <w:pBdr>
          <w:top w:val="nil"/>
          <w:left w:val="nil"/>
          <w:bottom w:val="nil"/>
          <w:right w:val="nil"/>
          <w:between w:val="nil"/>
        </w:pBdr>
        <w:spacing w:line="360" w:lineRule="auto"/>
        <w:ind w:right="141"/>
        <w:jc w:val="both"/>
        <w:rPr>
          <w:color w:val="000000"/>
        </w:rPr>
      </w:pPr>
    </w:p>
    <w:p w:rsidR="009A77A5" w:rsidRDefault="00ED64E9">
      <w:pPr>
        <w:pBdr>
          <w:top w:val="nil"/>
          <w:left w:val="nil"/>
          <w:bottom w:val="nil"/>
          <w:right w:val="nil"/>
          <w:between w:val="nil"/>
        </w:pBdr>
        <w:ind w:left="851" w:right="899"/>
        <w:jc w:val="center"/>
        <w:rPr>
          <w:color w:val="000000"/>
        </w:rPr>
      </w:pPr>
      <w:r>
        <w:rPr>
          <w:rFonts w:ascii="Palatino Linotype" w:eastAsia="Palatino Linotype" w:hAnsi="Palatino Linotype" w:cs="Palatino Linotype"/>
          <w:i/>
          <w:color w:val="000000"/>
          <w:sz w:val="22"/>
          <w:szCs w:val="22"/>
        </w:rPr>
        <w:t>“No corresponde a lo solicitado.”(</w:t>
      </w:r>
      <w:proofErr w:type="gramStart"/>
      <w:r>
        <w:rPr>
          <w:rFonts w:ascii="Palatino Linotype" w:eastAsia="Palatino Linotype" w:hAnsi="Palatino Linotype" w:cs="Palatino Linotype"/>
          <w:i/>
          <w:color w:val="000000"/>
          <w:sz w:val="22"/>
          <w:szCs w:val="22"/>
        </w:rPr>
        <w:t>sic</w:t>
      </w:r>
      <w:proofErr w:type="gramEnd"/>
      <w:r>
        <w:rPr>
          <w:rFonts w:ascii="Palatino Linotype" w:eastAsia="Palatino Linotype" w:hAnsi="Palatino Linotype" w:cs="Palatino Linotype"/>
          <w:i/>
          <w:color w:val="000000"/>
          <w:sz w:val="22"/>
          <w:szCs w:val="22"/>
        </w:rPr>
        <w:t>)</w:t>
      </w:r>
    </w:p>
    <w:p w:rsidR="009A77A5" w:rsidRDefault="009A77A5"/>
    <w:p w:rsidR="009A77A5" w:rsidRDefault="00ED64E9">
      <w:pPr>
        <w:pBdr>
          <w:top w:val="nil"/>
          <w:left w:val="nil"/>
          <w:bottom w:val="nil"/>
          <w:right w:val="nil"/>
          <w:between w:val="nil"/>
        </w:pBdr>
        <w:spacing w:line="360" w:lineRule="auto"/>
        <w:jc w:val="both"/>
        <w:rPr>
          <w:color w:val="000000"/>
        </w:rPr>
      </w:pPr>
      <w:bookmarkStart w:id="3" w:name="_heading=h.1fob9te" w:colFirst="0" w:colLast="0"/>
      <w:bookmarkEnd w:id="3"/>
      <w:r>
        <w:rPr>
          <w:rFonts w:ascii="Palatino Linotype" w:eastAsia="Palatino Linotype" w:hAnsi="Palatino Linotype" w:cs="Palatino Linotype"/>
          <w:color w:val="000000"/>
        </w:rPr>
        <w:t>Expuesto lo anterior, se procede al análisis de las constancias que integran el expediente electrónico del Sistema de Acceso a la Información Mexiquense</w:t>
      </w:r>
      <w:r>
        <w:rPr>
          <w:rFonts w:ascii="Palatino Linotype" w:eastAsia="Palatino Linotype" w:hAnsi="Palatino Linotype" w:cs="Palatino Linotype"/>
          <w:b/>
          <w:color w:val="000000"/>
        </w:rPr>
        <w:t xml:space="preserve"> SAIMEX</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lastRenderedPageBreak/>
        <w:t xml:space="preserve">a efecto de determinar si con la información remitida por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 xml:space="preserve"> a través de su respuesta colma con lo requerido en dicha solicitud; por lo que con el afán de dar cumplimiento con lo solicitado,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 xml:space="preserve"> señaló primeramente su incompetencia ante el requerimiento realizado por el recurrente.</w:t>
      </w:r>
    </w:p>
    <w:p w:rsidR="009A77A5" w:rsidRDefault="009A77A5">
      <w:pPr>
        <w:spacing w:line="360" w:lineRule="auto"/>
      </w:pPr>
    </w:p>
    <w:p w:rsidR="009A77A5" w:rsidRDefault="00ED64E9">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que atento a lo anterior este Instituto accedió a localizar el Decreto de fecha nueve de diciembre de dos mil trece, por el que se reforman y adicionan diversas disposiciones de la Ley de Coordinación Fiscal y de la Ley General de Contabilidad Gubernamental, mismo que puede consultarse en la siguiente página electrónica </w:t>
      </w:r>
      <w:hyperlink r:id="rId12">
        <w:r>
          <w:rPr>
            <w:rFonts w:ascii="Palatino Linotype" w:eastAsia="Palatino Linotype" w:hAnsi="Palatino Linotype" w:cs="Palatino Linotype"/>
            <w:color w:val="0563C1"/>
          </w:rPr>
          <w:t>http://dof.gob.mx/nota_detalle.php?codigo=5324940&amp;fecha=09/12/2013</w:t>
        </w:r>
      </w:hyperlink>
      <w:r>
        <w:rPr>
          <w:rFonts w:ascii="Palatino Linotype" w:eastAsia="Palatino Linotype" w:hAnsi="Palatino Linotype" w:cs="Palatino Linotype"/>
          <w:color w:val="000000"/>
        </w:rPr>
        <w:t>, del cual se observó lo siguiente:</w:t>
      </w:r>
    </w:p>
    <w:p w:rsidR="009A77A5" w:rsidRDefault="009A77A5">
      <w:pPr>
        <w:pBdr>
          <w:top w:val="nil"/>
          <w:left w:val="nil"/>
          <w:bottom w:val="nil"/>
          <w:right w:val="nil"/>
          <w:between w:val="nil"/>
        </w:pBdr>
        <w:spacing w:line="360" w:lineRule="auto"/>
        <w:jc w:val="both"/>
        <w:rPr>
          <w:color w:val="000000"/>
        </w:rPr>
      </w:pPr>
    </w:p>
    <w:p w:rsidR="009A77A5" w:rsidRDefault="00ED64E9">
      <w:pPr>
        <w:pBdr>
          <w:top w:val="nil"/>
          <w:left w:val="nil"/>
          <w:bottom w:val="nil"/>
          <w:right w:val="nil"/>
          <w:between w:val="nil"/>
        </w:pBdr>
        <w:jc w:val="center"/>
        <w:rPr>
          <w:color w:val="000000"/>
        </w:rPr>
      </w:pPr>
      <w:r>
        <w:rPr>
          <w:noProof/>
          <w:color w:val="000000"/>
          <w:lang w:eastAsia="es-MX"/>
        </w:rPr>
        <w:drawing>
          <wp:inline distT="0" distB="0" distL="0" distR="0">
            <wp:extent cx="5229225" cy="3638550"/>
            <wp:effectExtent l="0" t="0" r="0" b="0"/>
            <wp:docPr id="66" name="image8.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Texto&#10;&#10;Descripción generada automáticamente"/>
                    <pic:cNvPicPr preferRelativeResize="0"/>
                  </pic:nvPicPr>
                  <pic:blipFill>
                    <a:blip r:embed="rId13"/>
                    <a:srcRect/>
                    <a:stretch>
                      <a:fillRect/>
                    </a:stretch>
                  </pic:blipFill>
                  <pic:spPr>
                    <a:xfrm>
                      <a:off x="0" y="0"/>
                      <a:ext cx="5229225" cy="3638550"/>
                    </a:xfrm>
                    <a:prstGeom prst="rect">
                      <a:avLst/>
                    </a:prstGeom>
                    <a:ln/>
                  </pic:spPr>
                </pic:pic>
              </a:graphicData>
            </a:graphic>
          </wp:inline>
        </w:drawing>
      </w:r>
      <w:r>
        <w:rPr>
          <w:color w:val="000000"/>
        </w:rPr>
        <w:t>///</w:t>
      </w:r>
    </w:p>
    <w:p w:rsidR="009A77A5" w:rsidRDefault="009A77A5"/>
    <w:p w:rsidR="009A77A5" w:rsidRDefault="00ED64E9">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anterior es necesario traer a colación lo dispuesto en los preceptos legales 26, 26-A y 27-A de la Ley de Coordinación Fiscal, mismos que disponen lo siguiente:</w:t>
      </w:r>
    </w:p>
    <w:p w:rsidR="009A77A5" w:rsidRDefault="009A77A5">
      <w:pPr>
        <w:pBdr>
          <w:top w:val="nil"/>
          <w:left w:val="nil"/>
          <w:bottom w:val="nil"/>
          <w:right w:val="nil"/>
          <w:between w:val="nil"/>
        </w:pBdr>
        <w:spacing w:line="360" w:lineRule="auto"/>
        <w:jc w:val="both"/>
        <w:rPr>
          <w:color w:val="000000"/>
        </w:rPr>
      </w:pPr>
    </w:p>
    <w:p w:rsidR="009A77A5" w:rsidRDefault="00ED64E9">
      <w:pPr>
        <w:pBdr>
          <w:top w:val="nil"/>
          <w:left w:val="nil"/>
          <w:bottom w:val="nil"/>
          <w:right w:val="nil"/>
          <w:between w:val="nil"/>
        </w:pBdr>
        <w:shd w:val="clear" w:color="auto" w:fill="FFFFFF"/>
        <w:ind w:left="851" w:right="899"/>
        <w:jc w:val="both"/>
        <w:rPr>
          <w:color w:val="000000"/>
        </w:rPr>
      </w:pPr>
      <w:r>
        <w:rPr>
          <w:rFonts w:ascii="Palatino Linotype" w:eastAsia="Palatino Linotype" w:hAnsi="Palatino Linotype" w:cs="Palatino Linotype"/>
          <w:b/>
          <w:i/>
          <w:color w:val="2F2F2F"/>
          <w:sz w:val="22"/>
          <w:szCs w:val="22"/>
        </w:rPr>
        <w:t>Artículo 26.-</w:t>
      </w:r>
      <w:r>
        <w:rPr>
          <w:rFonts w:ascii="Palatino Linotype" w:eastAsia="Palatino Linotype" w:hAnsi="Palatino Linotype" w:cs="Palatino Linotype"/>
          <w:i/>
          <w:color w:val="2F2F2F"/>
          <w:sz w:val="22"/>
          <w:szCs w:val="22"/>
        </w:rPr>
        <w:t xml:space="preserve"> Con cargo a las aportaciones del </w:t>
      </w:r>
      <w:r>
        <w:rPr>
          <w:rFonts w:ascii="Palatino Linotype" w:eastAsia="Palatino Linotype" w:hAnsi="Palatino Linotype" w:cs="Palatino Linotype"/>
          <w:b/>
          <w:i/>
          <w:color w:val="2F2F2F"/>
          <w:sz w:val="22"/>
          <w:szCs w:val="22"/>
          <w:u w:val="single"/>
        </w:rPr>
        <w:t>Fondo de Aportaciones para la Nómina Educativa y Gasto Operativo</w:t>
      </w:r>
      <w:r>
        <w:rPr>
          <w:rFonts w:ascii="Palatino Linotype" w:eastAsia="Palatino Linotype" w:hAnsi="Palatino Linotype" w:cs="Palatino Linotype"/>
          <w:i/>
          <w:color w:val="2F2F2F"/>
          <w:sz w:val="22"/>
          <w:szCs w:val="22"/>
        </w:rPr>
        <w:t xml:space="preserve"> que les correspondan, los Estados y el Distrito Federal serán apoyados con recursos económicos complementarios para ejercer las atribuciones, en materia de educación básica y normal, que de manera exclusiva se les asignan, respectivamente, en los artículos 13 y 16 de la Ley General de Educación.</w:t>
      </w:r>
    </w:p>
    <w:p w:rsidR="009A77A5" w:rsidRDefault="00ED64E9">
      <w:pPr>
        <w:pBdr>
          <w:top w:val="nil"/>
          <w:left w:val="nil"/>
          <w:bottom w:val="nil"/>
          <w:right w:val="nil"/>
          <w:between w:val="nil"/>
        </w:pBdr>
        <w:shd w:val="clear" w:color="auto" w:fill="FFFFFF"/>
        <w:ind w:left="851" w:right="899"/>
        <w:jc w:val="both"/>
        <w:rPr>
          <w:color w:val="000000"/>
        </w:rPr>
      </w:pPr>
      <w:r>
        <w:rPr>
          <w:rFonts w:ascii="Palatino Linotype" w:eastAsia="Palatino Linotype" w:hAnsi="Palatino Linotype" w:cs="Palatino Linotype"/>
          <w:i/>
          <w:color w:val="2F2F2F"/>
          <w:sz w:val="22"/>
          <w:szCs w:val="22"/>
        </w:rPr>
        <w:t>La Federación apoyará a los Estados con los recursos necesarios para cubrir el pago de servicios personales correspondiente al personal que ocupa las plazas transferidas a los Estados, en el marco del Acuerdo Nacional para la Modernización de la Educación Básica, publicado en el Diario Oficial de la Federación el 19 de mayo de 1992 y los convenios que de conformidad con el mismo fueron formalizados con los Estados, que se encuentren registradas por la Secretaría de Educación Pública, previa validación de la Secretaría de Hacienda y Crédito Público, en el Sistema de Información y Gestión Educativa a que se refiere el artículo 12, fracción X, de la Ley General de Educación. Asimismo, el registro en el Sistema podrá incluir plazas del personal docente que no es de jornada, de acuerdo a la asignación de horas correspondiente.</w:t>
      </w:r>
    </w:p>
    <w:p w:rsidR="009A77A5" w:rsidRDefault="00ED64E9">
      <w:pPr>
        <w:pBdr>
          <w:top w:val="nil"/>
          <w:left w:val="nil"/>
          <w:bottom w:val="nil"/>
          <w:right w:val="nil"/>
          <w:between w:val="nil"/>
        </w:pBdr>
        <w:shd w:val="clear" w:color="auto" w:fill="FFFFFF"/>
        <w:ind w:left="851" w:right="899" w:firstLine="288"/>
        <w:jc w:val="both"/>
        <w:rPr>
          <w:color w:val="000000"/>
        </w:rPr>
      </w:pPr>
      <w:r>
        <w:rPr>
          <w:rFonts w:ascii="Palatino Linotype" w:eastAsia="Palatino Linotype" w:hAnsi="Palatino Linotype" w:cs="Palatino Linotype"/>
          <w:i/>
          <w:color w:val="2F2F2F"/>
          <w:sz w:val="22"/>
          <w:szCs w:val="22"/>
        </w:rPr>
        <w:t>En el caso del Distrito Federal, el Fondo de Aportaciones para la Nómina Educativa y Gasto Operativo incluirá los recursos correspondientes a las plazas federales que sean transferidas a éste, mediante el convenio de descentralización correspondiente y registradas en el Sistema a que se refiere el párrafo anterior.</w:t>
      </w:r>
    </w:p>
    <w:p w:rsidR="009A77A5" w:rsidRDefault="00ED64E9">
      <w:pPr>
        <w:pBdr>
          <w:top w:val="nil"/>
          <w:left w:val="nil"/>
          <w:bottom w:val="nil"/>
          <w:right w:val="nil"/>
          <w:between w:val="nil"/>
        </w:pBdr>
        <w:shd w:val="clear" w:color="auto" w:fill="FFFFFF"/>
        <w:ind w:left="851" w:right="899" w:firstLine="288"/>
        <w:jc w:val="both"/>
        <w:rPr>
          <w:color w:val="000000"/>
        </w:rPr>
      </w:pPr>
      <w:r>
        <w:rPr>
          <w:rFonts w:ascii="Palatino Linotype" w:eastAsia="Palatino Linotype" w:hAnsi="Palatino Linotype" w:cs="Palatino Linotype"/>
          <w:i/>
          <w:color w:val="2F2F2F"/>
          <w:sz w:val="22"/>
          <w:szCs w:val="22"/>
        </w:rPr>
        <w:t>Asimismo, el Fondo incluirá recursos para apoyar a las entidades federativas a cubrir gastos de operación relacionados exclusivamente con las atribuciones a que se refiere el párrafo primero de este artículo.</w:t>
      </w:r>
    </w:p>
    <w:p w:rsidR="009A77A5" w:rsidRDefault="009A77A5"/>
    <w:p w:rsidR="009A77A5" w:rsidRDefault="00ED64E9">
      <w:pPr>
        <w:pBdr>
          <w:top w:val="nil"/>
          <w:left w:val="nil"/>
          <w:bottom w:val="nil"/>
          <w:right w:val="nil"/>
          <w:between w:val="nil"/>
        </w:pBdr>
        <w:shd w:val="clear" w:color="auto" w:fill="FFFFFF"/>
        <w:ind w:left="851" w:right="899"/>
        <w:jc w:val="both"/>
        <w:rPr>
          <w:color w:val="000000"/>
        </w:rPr>
      </w:pPr>
      <w:r>
        <w:rPr>
          <w:rFonts w:ascii="Palatino Linotype" w:eastAsia="Palatino Linotype" w:hAnsi="Palatino Linotype" w:cs="Palatino Linotype"/>
          <w:b/>
          <w:i/>
          <w:color w:val="2F2F2F"/>
          <w:sz w:val="22"/>
          <w:szCs w:val="22"/>
        </w:rPr>
        <w:t>Artículo 26-A.-</w:t>
      </w:r>
      <w:r>
        <w:rPr>
          <w:rFonts w:ascii="Palatino Linotype" w:eastAsia="Palatino Linotype" w:hAnsi="Palatino Linotype" w:cs="Palatino Linotype"/>
          <w:i/>
          <w:color w:val="2F2F2F"/>
          <w:sz w:val="22"/>
          <w:szCs w:val="22"/>
        </w:rPr>
        <w:t> El ejercicio de los recursos en materia de servicios personales a que se refiere el artículo anterior, se sujetará a lo siguiente: </w:t>
      </w:r>
    </w:p>
    <w:p w:rsidR="009A77A5" w:rsidRDefault="00ED64E9">
      <w:pPr>
        <w:pBdr>
          <w:top w:val="nil"/>
          <w:left w:val="nil"/>
          <w:bottom w:val="nil"/>
          <w:right w:val="nil"/>
          <w:between w:val="nil"/>
        </w:pBdr>
        <w:shd w:val="clear" w:color="auto" w:fill="FFFFFF"/>
        <w:ind w:left="851" w:right="899"/>
        <w:jc w:val="both"/>
        <w:rPr>
          <w:color w:val="000000"/>
        </w:rPr>
      </w:pPr>
      <w:r>
        <w:rPr>
          <w:rFonts w:ascii="Palatino Linotype" w:eastAsia="Palatino Linotype" w:hAnsi="Palatino Linotype" w:cs="Palatino Linotype"/>
          <w:b/>
          <w:i/>
          <w:color w:val="2F2F2F"/>
          <w:sz w:val="22"/>
          <w:szCs w:val="22"/>
        </w:rPr>
        <w:t>I.</w:t>
      </w:r>
      <w:r>
        <w:rPr>
          <w:rFonts w:ascii="Palatino Linotype" w:eastAsia="Palatino Linotype" w:hAnsi="Palatino Linotype" w:cs="Palatino Linotype"/>
          <w:i/>
          <w:color w:val="2F2F2F"/>
          <w:sz w:val="22"/>
          <w:szCs w:val="22"/>
        </w:rPr>
        <w:t xml:space="preserve"> La Secretaría de Educación Pública establecerá un sistema de administración de nómina, a través del cual se realizarán los pagos de servicios personales a que se refiere el artículo anterior. Para tal efecto, las secretarías de Hacienda y Crédito Público y de Educación Pública, emitirán las disposiciones que deberán observar las entidades federativas para registrar cada nómina. El sistema de administración de </w:t>
      </w:r>
      <w:r>
        <w:rPr>
          <w:rFonts w:ascii="Palatino Linotype" w:eastAsia="Palatino Linotype" w:hAnsi="Palatino Linotype" w:cs="Palatino Linotype"/>
          <w:i/>
          <w:color w:val="2F2F2F"/>
          <w:sz w:val="22"/>
          <w:szCs w:val="22"/>
        </w:rPr>
        <w:lastRenderedPageBreak/>
        <w:t>nómina deberá identificar al menos el nivel, tipo y modalidad educativa y la clave del centro de trabajo a la que corresponda la plaza.</w:t>
      </w:r>
    </w:p>
    <w:p w:rsidR="009A77A5" w:rsidRDefault="00ED64E9">
      <w:pPr>
        <w:pBdr>
          <w:top w:val="nil"/>
          <w:left w:val="nil"/>
          <w:bottom w:val="nil"/>
          <w:right w:val="nil"/>
          <w:between w:val="nil"/>
        </w:pBdr>
        <w:shd w:val="clear" w:color="auto" w:fill="FFFFFF"/>
        <w:ind w:left="851" w:right="899"/>
        <w:jc w:val="both"/>
        <w:rPr>
          <w:color w:val="000000"/>
        </w:rPr>
      </w:pPr>
      <w:r>
        <w:rPr>
          <w:rFonts w:ascii="Palatino Linotype" w:eastAsia="Palatino Linotype" w:hAnsi="Palatino Linotype" w:cs="Palatino Linotype"/>
          <w:i/>
          <w:color w:val="2F2F2F"/>
          <w:sz w:val="22"/>
          <w:szCs w:val="22"/>
        </w:rPr>
        <w:t>Las autoridades educativas de las entidades federativas deberán proporcionar a la Secretaría de Educación Pública toda la información que ésta les requiera en términos de este artículo;</w:t>
      </w:r>
    </w:p>
    <w:p w:rsidR="009A77A5" w:rsidRDefault="00ED64E9">
      <w:pPr>
        <w:pBdr>
          <w:top w:val="nil"/>
          <w:left w:val="nil"/>
          <w:bottom w:val="nil"/>
          <w:right w:val="nil"/>
          <w:between w:val="nil"/>
        </w:pBdr>
        <w:shd w:val="clear" w:color="auto" w:fill="FFFFFF"/>
        <w:ind w:left="851" w:right="899"/>
        <w:jc w:val="both"/>
        <w:rPr>
          <w:color w:val="000000"/>
        </w:rPr>
      </w:pPr>
      <w:r>
        <w:rPr>
          <w:rFonts w:ascii="Palatino Linotype" w:eastAsia="Palatino Linotype" w:hAnsi="Palatino Linotype" w:cs="Palatino Linotype"/>
          <w:b/>
          <w:i/>
          <w:color w:val="2F2F2F"/>
          <w:sz w:val="22"/>
          <w:szCs w:val="22"/>
        </w:rPr>
        <w:t>II.</w:t>
      </w:r>
      <w:r>
        <w:rPr>
          <w:rFonts w:ascii="Palatino Linotype" w:eastAsia="Palatino Linotype" w:hAnsi="Palatino Linotype" w:cs="Palatino Linotype"/>
          <w:i/>
          <w:color w:val="2F2F2F"/>
          <w:sz w:val="22"/>
          <w:szCs w:val="22"/>
        </w:rPr>
        <w:t> Las autoridades educativas de las entidades federativas deberán, en los plazos y condiciones establecidos en las disposiciones a que se refiere la fracción anterior, registrar en el sistema de administración de nómina la información relativa a los movimientos del personal que modifiquen cada nómina.</w:t>
      </w:r>
    </w:p>
    <w:p w:rsidR="009A77A5" w:rsidRDefault="00ED64E9">
      <w:pPr>
        <w:pBdr>
          <w:top w:val="nil"/>
          <w:left w:val="nil"/>
          <w:bottom w:val="nil"/>
          <w:right w:val="nil"/>
          <w:between w:val="nil"/>
        </w:pBdr>
        <w:shd w:val="clear" w:color="auto" w:fill="FFFFFF"/>
        <w:ind w:left="851" w:right="899"/>
        <w:jc w:val="both"/>
        <w:rPr>
          <w:color w:val="000000"/>
        </w:rPr>
      </w:pPr>
      <w:r>
        <w:rPr>
          <w:rFonts w:ascii="Palatino Linotype" w:eastAsia="Palatino Linotype" w:hAnsi="Palatino Linotype" w:cs="Palatino Linotype"/>
          <w:i/>
          <w:color w:val="2F2F2F"/>
          <w:sz w:val="22"/>
          <w:szCs w:val="22"/>
        </w:rPr>
        <w:t>La información que las autoridades educativas de las entidades federativas registren en el sistema de administración de nómina, deberá corresponder a aquélla registrada en el Sistema de Información y Gestión Educativa a que se refiere el artículo 12, fracción X, de la Ley General de Educación;</w:t>
      </w:r>
    </w:p>
    <w:p w:rsidR="009A77A5" w:rsidRDefault="00ED64E9">
      <w:pPr>
        <w:pBdr>
          <w:top w:val="nil"/>
          <w:left w:val="nil"/>
          <w:bottom w:val="nil"/>
          <w:right w:val="nil"/>
          <w:between w:val="nil"/>
        </w:pBdr>
        <w:shd w:val="clear" w:color="auto" w:fill="FFFFFF"/>
        <w:ind w:left="851" w:right="899"/>
        <w:jc w:val="both"/>
        <w:rPr>
          <w:color w:val="000000"/>
        </w:rPr>
      </w:pPr>
      <w:r>
        <w:rPr>
          <w:rFonts w:ascii="Palatino Linotype" w:eastAsia="Palatino Linotype" w:hAnsi="Palatino Linotype" w:cs="Palatino Linotype"/>
          <w:b/>
          <w:i/>
          <w:color w:val="2F2F2F"/>
          <w:sz w:val="22"/>
          <w:szCs w:val="22"/>
        </w:rPr>
        <w:t>III.</w:t>
      </w:r>
      <w:r>
        <w:rPr>
          <w:rFonts w:ascii="Palatino Linotype" w:eastAsia="Palatino Linotype" w:hAnsi="Palatino Linotype" w:cs="Palatino Linotype"/>
          <w:i/>
          <w:color w:val="2F2F2F"/>
          <w:sz w:val="22"/>
          <w:szCs w:val="22"/>
        </w:rPr>
        <w:t> Con base en la información registrada en el sistema de administración de nómina, la Secretaría de Educación Pública verificará que ésta corresponda con la contenida en el Sistema de Información y Gestión Educativa y solicitará a las autoridades educativas de las entidades federativas, la validación de la nómina correspondiente a cada una de ellas.</w:t>
      </w:r>
    </w:p>
    <w:p w:rsidR="009A77A5" w:rsidRDefault="00ED64E9">
      <w:pPr>
        <w:pBdr>
          <w:top w:val="nil"/>
          <w:left w:val="nil"/>
          <w:bottom w:val="nil"/>
          <w:right w:val="nil"/>
          <w:between w:val="nil"/>
        </w:pBdr>
        <w:shd w:val="clear" w:color="auto" w:fill="FFFFFF"/>
        <w:ind w:left="851" w:right="899"/>
        <w:jc w:val="both"/>
        <w:rPr>
          <w:color w:val="000000"/>
        </w:rPr>
      </w:pPr>
      <w:r>
        <w:rPr>
          <w:rFonts w:ascii="Palatino Linotype" w:eastAsia="Palatino Linotype" w:hAnsi="Palatino Linotype" w:cs="Palatino Linotype"/>
          <w:i/>
          <w:color w:val="2F2F2F"/>
          <w:sz w:val="22"/>
          <w:szCs w:val="22"/>
        </w:rPr>
        <w:t>Una vez validada la información por las autoridades educativas de las entidades federativas, la Secretaría de Educación Pública solicitará a la Tesorería de la Federación, realizar el pago correspondiente, con cargo a los recursos que correspondan del Fondo a cada entidad federativa;</w:t>
      </w:r>
    </w:p>
    <w:p w:rsidR="009A77A5" w:rsidRDefault="00ED64E9">
      <w:pPr>
        <w:pBdr>
          <w:top w:val="nil"/>
          <w:left w:val="nil"/>
          <w:bottom w:val="nil"/>
          <w:right w:val="nil"/>
          <w:between w:val="nil"/>
        </w:pBdr>
        <w:shd w:val="clear" w:color="auto" w:fill="FFFFFF"/>
        <w:ind w:left="851" w:right="899"/>
        <w:jc w:val="both"/>
        <w:rPr>
          <w:color w:val="000000"/>
        </w:rPr>
      </w:pPr>
      <w:r>
        <w:rPr>
          <w:rFonts w:ascii="Palatino Linotype" w:eastAsia="Palatino Linotype" w:hAnsi="Palatino Linotype" w:cs="Palatino Linotype"/>
          <w:b/>
          <w:i/>
          <w:color w:val="2F2F2F"/>
          <w:sz w:val="22"/>
          <w:szCs w:val="22"/>
        </w:rPr>
        <w:t>IV.</w:t>
      </w:r>
      <w:r>
        <w:rPr>
          <w:rFonts w:ascii="Palatino Linotype" w:eastAsia="Palatino Linotype" w:hAnsi="Palatino Linotype" w:cs="Palatino Linotype"/>
          <w:i/>
          <w:color w:val="2F2F2F"/>
          <w:sz w:val="22"/>
          <w:szCs w:val="22"/>
        </w:rPr>
        <w:t> Los recursos correspondientes a la nómina a que se refiere el artículo anterior serán pagados, por cuenta y orden de las entidades federativas en su calidad de patrones, a sus empleados del servicio educativo, a través de transferencias electrónicas a respectivas cuentas bancarias, salvo que los mismos se encuentren en localidades en donde no haya disponibilidad de servicios bancarios; en este último caso la Secretaría de Hacienda y Crédito Público determinará la forma y los medios a través de los cuales se entregarán los recursos correspondientes. </w:t>
      </w:r>
    </w:p>
    <w:p w:rsidR="009A77A5" w:rsidRDefault="00ED64E9">
      <w:pPr>
        <w:pBdr>
          <w:top w:val="nil"/>
          <w:left w:val="nil"/>
          <w:bottom w:val="nil"/>
          <w:right w:val="nil"/>
          <w:between w:val="nil"/>
        </w:pBdr>
        <w:shd w:val="clear" w:color="auto" w:fill="FFFFFF"/>
        <w:ind w:left="851" w:right="899"/>
        <w:jc w:val="both"/>
        <w:rPr>
          <w:color w:val="000000"/>
        </w:rPr>
      </w:pPr>
      <w:r>
        <w:rPr>
          <w:rFonts w:ascii="Palatino Linotype" w:eastAsia="Palatino Linotype" w:hAnsi="Palatino Linotype" w:cs="Palatino Linotype"/>
          <w:i/>
          <w:color w:val="2F2F2F"/>
          <w:sz w:val="22"/>
          <w:szCs w:val="22"/>
        </w:rPr>
        <w:t xml:space="preserve">La Secretaría de Educación Pública se coordinará con las entidades federativas para que los pagos de nómina se realicen solamente al personal que cuente con Registro Federal de Contribuyentes con </w:t>
      </w:r>
      <w:proofErr w:type="spellStart"/>
      <w:r>
        <w:rPr>
          <w:rFonts w:ascii="Palatino Linotype" w:eastAsia="Palatino Linotype" w:hAnsi="Palatino Linotype" w:cs="Palatino Linotype"/>
          <w:i/>
          <w:color w:val="2F2F2F"/>
          <w:sz w:val="22"/>
          <w:szCs w:val="22"/>
        </w:rPr>
        <w:t>Homoclave</w:t>
      </w:r>
      <w:proofErr w:type="spellEnd"/>
      <w:r>
        <w:rPr>
          <w:rFonts w:ascii="Palatino Linotype" w:eastAsia="Palatino Linotype" w:hAnsi="Palatino Linotype" w:cs="Palatino Linotype"/>
          <w:i/>
          <w:color w:val="2F2F2F"/>
          <w:sz w:val="22"/>
          <w:szCs w:val="22"/>
        </w:rPr>
        <w:t>, de acuerdo con las disposiciones aplicables; </w:t>
      </w:r>
    </w:p>
    <w:p w:rsidR="009A77A5" w:rsidRDefault="00ED64E9">
      <w:pPr>
        <w:pBdr>
          <w:top w:val="nil"/>
          <w:left w:val="nil"/>
          <w:bottom w:val="nil"/>
          <w:right w:val="nil"/>
          <w:between w:val="nil"/>
        </w:pBdr>
        <w:shd w:val="clear" w:color="auto" w:fill="FFFFFF"/>
        <w:ind w:left="851" w:right="899"/>
        <w:jc w:val="both"/>
        <w:rPr>
          <w:color w:val="000000"/>
        </w:rPr>
      </w:pPr>
      <w:r>
        <w:rPr>
          <w:rFonts w:ascii="Palatino Linotype" w:eastAsia="Palatino Linotype" w:hAnsi="Palatino Linotype" w:cs="Palatino Linotype"/>
          <w:b/>
          <w:i/>
          <w:color w:val="2F2F2F"/>
          <w:sz w:val="22"/>
          <w:szCs w:val="22"/>
        </w:rPr>
        <w:t xml:space="preserve">V. </w:t>
      </w:r>
      <w:r>
        <w:rPr>
          <w:rFonts w:ascii="Palatino Linotype" w:eastAsia="Palatino Linotype" w:hAnsi="Palatino Linotype" w:cs="Palatino Linotype"/>
          <w:i/>
          <w:color w:val="2F2F2F"/>
          <w:sz w:val="22"/>
          <w:szCs w:val="22"/>
        </w:rPr>
        <w:t>Los pagos deberán hacerse por las cantidades líquidas que correspondan a cada empleado, considerando las cantidades devengadas en el periodo de pago correspondiente.</w:t>
      </w:r>
    </w:p>
    <w:p w:rsidR="009A77A5" w:rsidRDefault="00ED64E9">
      <w:pPr>
        <w:pBdr>
          <w:top w:val="nil"/>
          <w:left w:val="nil"/>
          <w:bottom w:val="nil"/>
          <w:right w:val="nil"/>
          <w:between w:val="nil"/>
        </w:pBdr>
        <w:shd w:val="clear" w:color="auto" w:fill="FFFFFF"/>
        <w:ind w:left="851" w:right="899"/>
        <w:jc w:val="both"/>
        <w:rPr>
          <w:color w:val="000000"/>
        </w:rPr>
      </w:pPr>
      <w:r>
        <w:rPr>
          <w:rFonts w:ascii="Palatino Linotype" w:eastAsia="Palatino Linotype" w:hAnsi="Palatino Linotype" w:cs="Palatino Linotype"/>
          <w:i/>
          <w:color w:val="2F2F2F"/>
          <w:sz w:val="22"/>
          <w:szCs w:val="22"/>
        </w:rPr>
        <w:t xml:space="preserve">En todo caso, sólo procederán pagos retroactivos hasta por cuarenta y cinco días naturales, siempre y cuando se acredite la asistencia del personal durante dicho </w:t>
      </w:r>
      <w:r>
        <w:rPr>
          <w:rFonts w:ascii="Palatino Linotype" w:eastAsia="Palatino Linotype" w:hAnsi="Palatino Linotype" w:cs="Palatino Linotype"/>
          <w:i/>
          <w:color w:val="2F2F2F"/>
          <w:sz w:val="22"/>
          <w:szCs w:val="22"/>
        </w:rPr>
        <w:lastRenderedPageBreak/>
        <w:t>periodo en la plaza respectiva, debiendo precisar la autoridad educativa de la entidad federativa el tipo de plaza y el periodo que comprende.</w:t>
      </w:r>
    </w:p>
    <w:p w:rsidR="009A77A5" w:rsidRDefault="00ED64E9">
      <w:pPr>
        <w:pBdr>
          <w:top w:val="nil"/>
          <w:left w:val="nil"/>
          <w:bottom w:val="nil"/>
          <w:right w:val="nil"/>
          <w:between w:val="nil"/>
        </w:pBdr>
        <w:shd w:val="clear" w:color="auto" w:fill="FFFFFF"/>
        <w:ind w:left="851" w:right="899"/>
        <w:jc w:val="both"/>
        <w:rPr>
          <w:color w:val="000000"/>
        </w:rPr>
      </w:pPr>
      <w:r>
        <w:rPr>
          <w:rFonts w:ascii="Palatino Linotype" w:eastAsia="Palatino Linotype" w:hAnsi="Palatino Linotype" w:cs="Palatino Linotype"/>
          <w:i/>
          <w:color w:val="2F2F2F"/>
          <w:sz w:val="22"/>
          <w:szCs w:val="22"/>
        </w:rPr>
        <w:t>En los casos en que por causa no imputable al personal no se realice el pago, a solicitud del interesado y conforme al procedimiento establecido en su caso, los pagos no realizados deberán efectuarse en un plazo no mayor a 30 días;</w:t>
      </w:r>
    </w:p>
    <w:p w:rsidR="009A77A5" w:rsidRDefault="00ED64E9">
      <w:pPr>
        <w:pBdr>
          <w:top w:val="nil"/>
          <w:left w:val="nil"/>
          <w:bottom w:val="nil"/>
          <w:right w:val="nil"/>
          <w:between w:val="nil"/>
        </w:pBdr>
        <w:shd w:val="clear" w:color="auto" w:fill="FFFFFF"/>
        <w:ind w:left="851" w:right="899"/>
        <w:jc w:val="both"/>
        <w:rPr>
          <w:color w:val="000000"/>
        </w:rPr>
      </w:pPr>
      <w:r>
        <w:rPr>
          <w:rFonts w:ascii="Palatino Linotype" w:eastAsia="Palatino Linotype" w:hAnsi="Palatino Linotype" w:cs="Palatino Linotype"/>
          <w:b/>
          <w:i/>
          <w:color w:val="2F2F2F"/>
          <w:sz w:val="22"/>
          <w:szCs w:val="22"/>
        </w:rPr>
        <w:t xml:space="preserve">VI. </w:t>
      </w:r>
      <w:r>
        <w:rPr>
          <w:rFonts w:ascii="Palatino Linotype" w:eastAsia="Palatino Linotype" w:hAnsi="Palatino Linotype" w:cs="Palatino Linotype"/>
          <w:i/>
          <w:color w:val="2F2F2F"/>
          <w:sz w:val="22"/>
          <w:szCs w:val="22"/>
        </w:rPr>
        <w:t>La Secretaría de Educación Pública retendrá y enterará las cantidades que por ley deban pagarse por concepto de impuestos y seguridad social, de conformidad con la normatividad aplicable; así como, otras cantidades que, en su caso, deban retenerse con base en la instrucción correspondiente de la autoridad educativa de la entidad federativa; </w:t>
      </w:r>
    </w:p>
    <w:p w:rsidR="009A77A5" w:rsidRDefault="00ED64E9">
      <w:pPr>
        <w:pBdr>
          <w:top w:val="nil"/>
          <w:left w:val="nil"/>
          <w:bottom w:val="nil"/>
          <w:right w:val="nil"/>
          <w:between w:val="nil"/>
        </w:pBdr>
        <w:shd w:val="clear" w:color="auto" w:fill="FFFFFF"/>
        <w:ind w:left="851" w:right="899"/>
        <w:jc w:val="both"/>
        <w:rPr>
          <w:color w:val="000000"/>
        </w:rPr>
      </w:pPr>
      <w:r>
        <w:rPr>
          <w:rFonts w:ascii="Palatino Linotype" w:eastAsia="Palatino Linotype" w:hAnsi="Palatino Linotype" w:cs="Palatino Linotype"/>
          <w:b/>
          <w:i/>
          <w:color w:val="2F2F2F"/>
          <w:sz w:val="22"/>
          <w:szCs w:val="22"/>
        </w:rPr>
        <w:t xml:space="preserve">VII. </w:t>
      </w:r>
      <w:r>
        <w:rPr>
          <w:rFonts w:ascii="Palatino Linotype" w:eastAsia="Palatino Linotype" w:hAnsi="Palatino Linotype" w:cs="Palatino Linotype"/>
          <w:i/>
          <w:color w:val="2F2F2F"/>
          <w:sz w:val="22"/>
          <w:szCs w:val="22"/>
        </w:rPr>
        <w:t>Para efectos de la comprobación de las erogaciones, los registros en medios electrónicos correspondientes a los abonos en las cuentas del personal fungirán como comprobantes de la entrega de los recursos. Tratándose de los pagos que, por no existir servicios bancarios en la localidad correspondiente, se realicen a través de otros mecanismos, la comprobación de las erogaciones se realizará en términos de la Ley Federal de Presupuesto y Responsabilidad Hacendaria y demás disposiciones aplicables.</w:t>
      </w:r>
    </w:p>
    <w:p w:rsidR="009A77A5" w:rsidRDefault="00ED64E9">
      <w:pPr>
        <w:pBdr>
          <w:top w:val="nil"/>
          <w:left w:val="nil"/>
          <w:bottom w:val="nil"/>
          <w:right w:val="nil"/>
          <w:between w:val="nil"/>
        </w:pBdr>
        <w:shd w:val="clear" w:color="auto" w:fill="FFFFFF"/>
        <w:ind w:left="851" w:right="899"/>
        <w:jc w:val="both"/>
        <w:rPr>
          <w:color w:val="000000"/>
        </w:rPr>
      </w:pPr>
      <w:r>
        <w:rPr>
          <w:rFonts w:ascii="Palatino Linotype" w:eastAsia="Palatino Linotype" w:hAnsi="Palatino Linotype" w:cs="Palatino Linotype"/>
          <w:i/>
          <w:color w:val="2F2F2F"/>
          <w:sz w:val="22"/>
          <w:szCs w:val="22"/>
        </w:rPr>
        <w:t>Sin perjuicio de lo anterior, las autoridades educativas de las entidades federativas entregarán a cada uno de sus trabajadores el recibo de nómina respectivo, desglosando los conceptos de pago y descuentos correspondientes; </w:t>
      </w:r>
    </w:p>
    <w:p w:rsidR="009A77A5" w:rsidRDefault="00ED64E9">
      <w:pPr>
        <w:pBdr>
          <w:top w:val="nil"/>
          <w:left w:val="nil"/>
          <w:bottom w:val="nil"/>
          <w:right w:val="nil"/>
          <w:between w:val="nil"/>
        </w:pBdr>
        <w:shd w:val="clear" w:color="auto" w:fill="FFFFFF"/>
        <w:ind w:left="851" w:right="899"/>
        <w:jc w:val="both"/>
        <w:rPr>
          <w:color w:val="000000"/>
        </w:rPr>
      </w:pPr>
      <w:r>
        <w:rPr>
          <w:rFonts w:ascii="Palatino Linotype" w:eastAsia="Palatino Linotype" w:hAnsi="Palatino Linotype" w:cs="Palatino Linotype"/>
          <w:b/>
          <w:i/>
          <w:color w:val="2F2F2F"/>
          <w:sz w:val="22"/>
          <w:szCs w:val="22"/>
        </w:rPr>
        <w:t>VIII.</w:t>
      </w:r>
      <w:r>
        <w:rPr>
          <w:rFonts w:ascii="Palatino Linotype" w:eastAsia="Palatino Linotype" w:hAnsi="Palatino Linotype" w:cs="Palatino Linotype"/>
          <w:i/>
          <w:color w:val="2F2F2F"/>
          <w:sz w:val="22"/>
          <w:szCs w:val="22"/>
        </w:rPr>
        <w:t> Las entidades federativas realizarán los registros e informarán sobre las aportaciones federales a que se refiere este artículo, en los términos de los artículos 48 y 49 de esta Ley, y </w:t>
      </w:r>
    </w:p>
    <w:p w:rsidR="009A77A5" w:rsidRDefault="00ED64E9">
      <w:pPr>
        <w:pBdr>
          <w:top w:val="nil"/>
          <w:left w:val="nil"/>
          <w:bottom w:val="nil"/>
          <w:right w:val="nil"/>
          <w:between w:val="nil"/>
        </w:pBdr>
        <w:shd w:val="clear" w:color="auto" w:fill="FFFFFF"/>
        <w:ind w:left="851" w:right="899"/>
        <w:jc w:val="both"/>
        <w:rPr>
          <w:color w:val="000000"/>
        </w:rPr>
      </w:pPr>
      <w:r>
        <w:rPr>
          <w:rFonts w:ascii="Palatino Linotype" w:eastAsia="Palatino Linotype" w:hAnsi="Palatino Linotype" w:cs="Palatino Linotype"/>
          <w:b/>
          <w:i/>
          <w:color w:val="2F2F2F"/>
          <w:sz w:val="22"/>
          <w:szCs w:val="22"/>
        </w:rPr>
        <w:t xml:space="preserve">IX. </w:t>
      </w:r>
      <w:r>
        <w:rPr>
          <w:rFonts w:ascii="Palatino Linotype" w:eastAsia="Palatino Linotype" w:hAnsi="Palatino Linotype" w:cs="Palatino Linotype"/>
          <w:i/>
          <w:color w:val="2F2F2F"/>
          <w:sz w:val="22"/>
          <w:szCs w:val="22"/>
        </w:rPr>
        <w:t>La Secretaría de Educación Pública presentará a través de Internet la información a que se refiere el artículo 73 de la Ley General de Contabilidad Gubernamental, respecto al Fondo a que se refiere este artículo. </w:t>
      </w:r>
    </w:p>
    <w:p w:rsidR="009A77A5" w:rsidRDefault="00ED64E9">
      <w:pPr>
        <w:pBdr>
          <w:top w:val="nil"/>
          <w:left w:val="nil"/>
          <w:bottom w:val="nil"/>
          <w:right w:val="nil"/>
          <w:between w:val="nil"/>
        </w:pBdr>
        <w:shd w:val="clear" w:color="auto" w:fill="FFFFFF"/>
        <w:ind w:left="851" w:right="899"/>
        <w:jc w:val="both"/>
        <w:rPr>
          <w:color w:val="000000"/>
        </w:rPr>
      </w:pPr>
      <w:r>
        <w:rPr>
          <w:rFonts w:ascii="Palatino Linotype" w:eastAsia="Palatino Linotype" w:hAnsi="Palatino Linotype" w:cs="Palatino Linotype"/>
          <w:i/>
          <w:color w:val="2F2F2F"/>
          <w:sz w:val="22"/>
          <w:szCs w:val="22"/>
        </w:rPr>
        <w:t>Los recursos a que se refieren las fracciones anteriores sólo podrán erogarse en el ejercicio fiscal en que fueron presupuestados, exclusivamente para el pago de los conceptos relativos a servicios personales del personal a que se refiere el artículo anterior, incluyendo el incremento en remuneraciones que, en su caso, se acuerde en los términos del artículo 27-A de esta Ley. </w:t>
      </w:r>
    </w:p>
    <w:p w:rsidR="009A77A5" w:rsidRDefault="00ED64E9">
      <w:pPr>
        <w:pBdr>
          <w:top w:val="nil"/>
          <w:left w:val="nil"/>
          <w:bottom w:val="nil"/>
          <w:right w:val="nil"/>
          <w:between w:val="nil"/>
        </w:pBdr>
        <w:shd w:val="clear" w:color="auto" w:fill="FFFFFF"/>
        <w:ind w:left="851" w:right="899"/>
        <w:jc w:val="both"/>
        <w:rPr>
          <w:color w:val="000000"/>
        </w:rPr>
      </w:pPr>
      <w:r>
        <w:rPr>
          <w:rFonts w:ascii="Palatino Linotype" w:eastAsia="Palatino Linotype" w:hAnsi="Palatino Linotype" w:cs="Palatino Linotype"/>
          <w:i/>
          <w:color w:val="2F2F2F"/>
          <w:sz w:val="22"/>
          <w:szCs w:val="22"/>
          <w:u w:val="single"/>
        </w:rPr>
        <w:t xml:space="preserve">Tratándose del gasto de operación a que se refiere el último párrafo del artículo 26 de esta Ley, los recursos podrán utilizarse en los fines a que se refiere el párrafo anterior. </w:t>
      </w:r>
      <w:r>
        <w:rPr>
          <w:rFonts w:ascii="Palatino Linotype" w:eastAsia="Palatino Linotype" w:hAnsi="Palatino Linotype" w:cs="Palatino Linotype"/>
          <w:b/>
          <w:i/>
          <w:color w:val="2F2F2F"/>
          <w:sz w:val="22"/>
          <w:szCs w:val="22"/>
          <w:u w:val="single"/>
        </w:rPr>
        <w:t>Para tal efecto, las Secretarías de Hacienda y Crédito Público y de Educación Pública</w:t>
      </w:r>
      <w:r>
        <w:rPr>
          <w:rFonts w:ascii="Palatino Linotype" w:eastAsia="Palatino Linotype" w:hAnsi="Palatino Linotype" w:cs="Palatino Linotype"/>
          <w:i/>
          <w:color w:val="2F2F2F"/>
          <w:sz w:val="22"/>
          <w:szCs w:val="22"/>
          <w:u w:val="single"/>
        </w:rPr>
        <w:t xml:space="preserve"> emitirán los lineamientos para especificar el destino de estos recursos.</w:t>
      </w:r>
    </w:p>
    <w:p w:rsidR="009A77A5" w:rsidRDefault="009A77A5"/>
    <w:p w:rsidR="009A77A5" w:rsidRDefault="00ED64E9">
      <w:pPr>
        <w:pBdr>
          <w:top w:val="nil"/>
          <w:left w:val="nil"/>
          <w:bottom w:val="nil"/>
          <w:right w:val="nil"/>
          <w:between w:val="nil"/>
        </w:pBdr>
        <w:shd w:val="clear" w:color="auto" w:fill="FFFFFF"/>
        <w:ind w:left="851" w:right="899"/>
        <w:jc w:val="both"/>
        <w:rPr>
          <w:color w:val="000000"/>
        </w:rPr>
      </w:pPr>
      <w:r>
        <w:rPr>
          <w:rFonts w:ascii="Palatino Linotype" w:eastAsia="Palatino Linotype" w:hAnsi="Palatino Linotype" w:cs="Palatino Linotype"/>
          <w:b/>
          <w:i/>
          <w:color w:val="2F2F2F"/>
          <w:sz w:val="22"/>
          <w:szCs w:val="22"/>
        </w:rPr>
        <w:lastRenderedPageBreak/>
        <w:t>Artículo 27-A.- El Ejecutivo Federal y los gobiernos de las entidades federativas</w:t>
      </w:r>
      <w:r>
        <w:rPr>
          <w:rFonts w:ascii="Palatino Linotype" w:eastAsia="Palatino Linotype" w:hAnsi="Palatino Linotype" w:cs="Palatino Linotype"/>
          <w:i/>
          <w:color w:val="2F2F2F"/>
          <w:sz w:val="22"/>
          <w:szCs w:val="22"/>
        </w:rPr>
        <w:t xml:space="preserve">, conforme a lo dispuesto en el artículo 25 de la Ley General de Educación, </w:t>
      </w:r>
      <w:r>
        <w:rPr>
          <w:rFonts w:ascii="Palatino Linotype" w:eastAsia="Palatino Linotype" w:hAnsi="Palatino Linotype" w:cs="Palatino Linotype"/>
          <w:b/>
          <w:i/>
          <w:color w:val="2F2F2F"/>
          <w:sz w:val="22"/>
          <w:szCs w:val="22"/>
        </w:rPr>
        <w:t>concurrirán en el financiamiento del gasto en servicios personales para la educación pública</w:t>
      </w:r>
      <w:r>
        <w:rPr>
          <w:rFonts w:ascii="Palatino Linotype" w:eastAsia="Palatino Linotype" w:hAnsi="Palatino Linotype" w:cs="Palatino Linotype"/>
          <w:i/>
          <w:color w:val="2F2F2F"/>
          <w:sz w:val="22"/>
          <w:szCs w:val="22"/>
        </w:rPr>
        <w:t>, conforme a lo siguiente:</w:t>
      </w:r>
    </w:p>
    <w:p w:rsidR="009A77A5" w:rsidRDefault="00ED64E9">
      <w:pPr>
        <w:pBdr>
          <w:top w:val="nil"/>
          <w:left w:val="nil"/>
          <w:bottom w:val="nil"/>
          <w:right w:val="nil"/>
          <w:between w:val="nil"/>
        </w:pBdr>
        <w:shd w:val="clear" w:color="auto" w:fill="FFFFFF"/>
        <w:ind w:left="851" w:right="899"/>
        <w:jc w:val="both"/>
        <w:rPr>
          <w:color w:val="000000"/>
        </w:rPr>
      </w:pPr>
      <w:r>
        <w:rPr>
          <w:rFonts w:ascii="Palatino Linotype" w:eastAsia="Palatino Linotype" w:hAnsi="Palatino Linotype" w:cs="Palatino Linotype"/>
          <w:b/>
          <w:i/>
          <w:color w:val="2F2F2F"/>
          <w:sz w:val="22"/>
          <w:szCs w:val="22"/>
        </w:rPr>
        <w:t>I.</w:t>
      </w:r>
      <w:r>
        <w:rPr>
          <w:rFonts w:ascii="Palatino Linotype" w:eastAsia="Palatino Linotype" w:hAnsi="Palatino Linotype" w:cs="Palatino Linotype"/>
          <w:i/>
          <w:color w:val="2F2F2F"/>
          <w:sz w:val="22"/>
          <w:szCs w:val="22"/>
        </w:rPr>
        <w:t> El Ejecutivo Federal proveerá los recursos necesarios para cubrir los pagos de servicios personales a que se refieren los artículos 26, 26-A y 43 de esta Ley;</w:t>
      </w:r>
    </w:p>
    <w:p w:rsidR="009A77A5" w:rsidRDefault="00ED64E9">
      <w:pPr>
        <w:pBdr>
          <w:top w:val="nil"/>
          <w:left w:val="nil"/>
          <w:bottom w:val="nil"/>
          <w:right w:val="nil"/>
          <w:between w:val="nil"/>
        </w:pBdr>
        <w:shd w:val="clear" w:color="auto" w:fill="FFFFFF"/>
        <w:ind w:left="851" w:right="899"/>
        <w:jc w:val="both"/>
        <w:rPr>
          <w:color w:val="000000"/>
        </w:rPr>
      </w:pPr>
      <w:r>
        <w:rPr>
          <w:rFonts w:ascii="Palatino Linotype" w:eastAsia="Palatino Linotype" w:hAnsi="Palatino Linotype" w:cs="Palatino Linotype"/>
          <w:b/>
          <w:i/>
          <w:color w:val="2F2F2F"/>
          <w:sz w:val="22"/>
          <w:szCs w:val="22"/>
        </w:rPr>
        <w:t>II.</w:t>
      </w:r>
      <w:r>
        <w:rPr>
          <w:rFonts w:ascii="Palatino Linotype" w:eastAsia="Palatino Linotype" w:hAnsi="Palatino Linotype" w:cs="Palatino Linotype"/>
          <w:i/>
          <w:color w:val="2F2F2F"/>
          <w:sz w:val="22"/>
          <w:szCs w:val="22"/>
        </w:rPr>
        <w:t> Los gobiernos de las entidades federativas cubrirán, con cargo a sus propios ingresos, las erogaciones en materia de servicios personales de las plazas distintas a las señaladas en la fracción anterior, incluyendo el incremento salarial y de prestaciones correspondiente a dichas plazas;</w:t>
      </w:r>
    </w:p>
    <w:p w:rsidR="009A77A5" w:rsidRDefault="00ED64E9">
      <w:pPr>
        <w:pBdr>
          <w:top w:val="nil"/>
          <w:left w:val="nil"/>
          <w:bottom w:val="nil"/>
          <w:right w:val="nil"/>
          <w:between w:val="nil"/>
        </w:pBdr>
        <w:shd w:val="clear" w:color="auto" w:fill="FFFFFF"/>
        <w:ind w:left="851" w:right="899"/>
        <w:jc w:val="both"/>
        <w:rPr>
          <w:color w:val="000000"/>
        </w:rPr>
      </w:pPr>
      <w:r>
        <w:rPr>
          <w:rFonts w:ascii="Palatino Linotype" w:eastAsia="Palatino Linotype" w:hAnsi="Palatino Linotype" w:cs="Palatino Linotype"/>
          <w:b/>
          <w:i/>
          <w:color w:val="2F2F2F"/>
          <w:sz w:val="22"/>
          <w:szCs w:val="22"/>
        </w:rPr>
        <w:t>III.</w:t>
      </w:r>
      <w:r>
        <w:rPr>
          <w:rFonts w:ascii="Palatino Linotype" w:eastAsia="Palatino Linotype" w:hAnsi="Palatino Linotype" w:cs="Palatino Linotype"/>
          <w:i/>
          <w:color w:val="2F2F2F"/>
          <w:sz w:val="22"/>
          <w:szCs w:val="22"/>
        </w:rPr>
        <w:t> Los incrementos en las remuneraciones del personal que ocupa las plazas a que se refieren los artículos 26 y 26-A de esta Ley, serán acordados con base en:</w:t>
      </w:r>
    </w:p>
    <w:p w:rsidR="009A77A5" w:rsidRDefault="00ED64E9">
      <w:pPr>
        <w:pBdr>
          <w:top w:val="nil"/>
          <w:left w:val="nil"/>
          <w:bottom w:val="nil"/>
          <w:right w:val="nil"/>
          <w:between w:val="nil"/>
        </w:pBdr>
        <w:shd w:val="clear" w:color="auto" w:fill="FFFFFF"/>
        <w:ind w:left="851" w:right="899"/>
        <w:jc w:val="both"/>
        <w:rPr>
          <w:color w:val="000000"/>
        </w:rPr>
      </w:pPr>
      <w:r>
        <w:rPr>
          <w:rFonts w:ascii="Palatino Linotype" w:eastAsia="Palatino Linotype" w:hAnsi="Palatino Linotype" w:cs="Palatino Linotype"/>
          <w:b/>
          <w:i/>
          <w:color w:val="2F2F2F"/>
          <w:sz w:val="22"/>
          <w:szCs w:val="22"/>
        </w:rPr>
        <w:t>a)</w:t>
      </w:r>
      <w:r>
        <w:rPr>
          <w:rFonts w:ascii="Palatino Linotype" w:eastAsia="Palatino Linotype" w:hAnsi="Palatino Linotype" w:cs="Palatino Linotype"/>
          <w:i/>
          <w:color w:val="2F2F2F"/>
          <w:sz w:val="22"/>
          <w:szCs w:val="22"/>
        </w:rPr>
        <w:t>     La disponibilidad de recursos públicos aprobada en el Presupuesto de Egresos de la Federación;</w:t>
      </w:r>
    </w:p>
    <w:p w:rsidR="009A77A5" w:rsidRDefault="00ED64E9">
      <w:pPr>
        <w:pBdr>
          <w:top w:val="nil"/>
          <w:left w:val="nil"/>
          <w:bottom w:val="nil"/>
          <w:right w:val="nil"/>
          <w:between w:val="nil"/>
        </w:pBdr>
        <w:shd w:val="clear" w:color="auto" w:fill="FFFFFF"/>
        <w:ind w:left="851" w:right="899"/>
        <w:jc w:val="both"/>
        <w:rPr>
          <w:color w:val="000000"/>
        </w:rPr>
      </w:pPr>
      <w:r>
        <w:rPr>
          <w:rFonts w:ascii="Palatino Linotype" w:eastAsia="Palatino Linotype" w:hAnsi="Palatino Linotype" w:cs="Palatino Linotype"/>
          <w:b/>
          <w:i/>
          <w:color w:val="2F2F2F"/>
          <w:sz w:val="22"/>
          <w:szCs w:val="22"/>
        </w:rPr>
        <w:t>b)</w:t>
      </w:r>
      <w:r>
        <w:rPr>
          <w:rFonts w:ascii="Palatino Linotype" w:eastAsia="Palatino Linotype" w:hAnsi="Palatino Linotype" w:cs="Palatino Linotype"/>
          <w:i/>
          <w:color w:val="2F2F2F"/>
          <w:sz w:val="22"/>
          <w:szCs w:val="22"/>
        </w:rPr>
        <w:t>    Los objetivos, metas y resultados alcanzados del Servicio Profesional Docente, y</w:t>
      </w:r>
    </w:p>
    <w:p w:rsidR="009A77A5" w:rsidRDefault="00ED64E9">
      <w:pPr>
        <w:pBdr>
          <w:top w:val="nil"/>
          <w:left w:val="nil"/>
          <w:bottom w:val="nil"/>
          <w:right w:val="nil"/>
          <w:between w:val="nil"/>
        </w:pBdr>
        <w:shd w:val="clear" w:color="auto" w:fill="FFFFFF"/>
        <w:ind w:left="851" w:right="899"/>
        <w:jc w:val="both"/>
        <w:rPr>
          <w:color w:val="000000"/>
        </w:rPr>
      </w:pPr>
      <w:r>
        <w:rPr>
          <w:rFonts w:ascii="Palatino Linotype" w:eastAsia="Palatino Linotype" w:hAnsi="Palatino Linotype" w:cs="Palatino Linotype"/>
          <w:b/>
          <w:i/>
          <w:color w:val="2F2F2F"/>
          <w:sz w:val="22"/>
          <w:szCs w:val="22"/>
        </w:rPr>
        <w:t>c)</w:t>
      </w:r>
      <w:r>
        <w:rPr>
          <w:rFonts w:ascii="Palatino Linotype" w:eastAsia="Palatino Linotype" w:hAnsi="Palatino Linotype" w:cs="Palatino Linotype"/>
          <w:i/>
          <w:color w:val="2F2F2F"/>
          <w:sz w:val="22"/>
          <w:szCs w:val="22"/>
        </w:rPr>
        <w:t xml:space="preserve">     La negociación del incremento en remuneraciones, la cual se llevará a cabo por parte de los patrones, por una representación de las autoridades educativas de las entidades federativas; por parte de los trabajadores, una representación de su sindicato, en términos de la legislación laboral; </w:t>
      </w:r>
      <w:r>
        <w:rPr>
          <w:rFonts w:ascii="Palatino Linotype" w:eastAsia="Palatino Linotype" w:hAnsi="Palatino Linotype" w:cs="Palatino Linotype"/>
          <w:b/>
          <w:i/>
          <w:color w:val="2F2F2F"/>
          <w:sz w:val="22"/>
          <w:szCs w:val="22"/>
          <w:u w:val="single"/>
        </w:rPr>
        <w:t>así como con la participación de la Secretaría de Educación Pública para efectos del financiamiento que corresponde a la Federación en los términos de los artículos 26 y 26-A de esta Ley y para vigilar su consistencia con los objetivos del Servicio Profesional Docente.</w:t>
      </w:r>
    </w:p>
    <w:p w:rsidR="009A77A5" w:rsidRDefault="00ED64E9">
      <w:pPr>
        <w:pBdr>
          <w:top w:val="nil"/>
          <w:left w:val="nil"/>
          <w:bottom w:val="nil"/>
          <w:right w:val="nil"/>
          <w:between w:val="nil"/>
        </w:pBdr>
        <w:shd w:val="clear" w:color="auto" w:fill="FFFFFF"/>
        <w:ind w:left="851" w:right="899"/>
        <w:jc w:val="both"/>
        <w:rPr>
          <w:color w:val="000000"/>
        </w:rPr>
      </w:pPr>
      <w:r>
        <w:rPr>
          <w:rFonts w:ascii="Palatino Linotype" w:eastAsia="Palatino Linotype" w:hAnsi="Palatino Linotype" w:cs="Palatino Linotype"/>
          <w:i/>
          <w:color w:val="2F2F2F"/>
          <w:sz w:val="22"/>
          <w:szCs w:val="22"/>
        </w:rPr>
        <w:t>El incremento en remuneraciones que, en su caso, se acuerde, aplicable al personal a que se refiere esta fracción, deberá publicarse en el Diario Oficial de la Federación para que produzca sus efectos, así como en los medios oficiales de difusión de las entidades federativas, y</w:t>
      </w:r>
    </w:p>
    <w:p w:rsidR="009A77A5" w:rsidRDefault="00ED64E9">
      <w:pPr>
        <w:pBdr>
          <w:top w:val="nil"/>
          <w:left w:val="nil"/>
          <w:bottom w:val="nil"/>
          <w:right w:val="nil"/>
          <w:between w:val="nil"/>
        </w:pBdr>
        <w:shd w:val="clear" w:color="auto" w:fill="FFFFFF"/>
        <w:spacing w:after="101"/>
        <w:ind w:left="851" w:right="899"/>
        <w:jc w:val="both"/>
        <w:rPr>
          <w:color w:val="000000"/>
        </w:rPr>
      </w:pPr>
      <w:r>
        <w:rPr>
          <w:rFonts w:ascii="Palatino Linotype" w:eastAsia="Palatino Linotype" w:hAnsi="Palatino Linotype" w:cs="Palatino Linotype"/>
          <w:b/>
          <w:i/>
          <w:color w:val="2F2F2F"/>
          <w:sz w:val="22"/>
          <w:szCs w:val="22"/>
        </w:rPr>
        <w:t>IV.</w:t>
      </w:r>
      <w:r>
        <w:rPr>
          <w:rFonts w:ascii="Palatino Linotype" w:eastAsia="Palatino Linotype" w:hAnsi="Palatino Linotype" w:cs="Palatino Linotype"/>
          <w:i/>
          <w:color w:val="2F2F2F"/>
          <w:sz w:val="22"/>
          <w:szCs w:val="22"/>
        </w:rPr>
        <w:t> </w:t>
      </w:r>
      <w:r>
        <w:rPr>
          <w:rFonts w:ascii="Palatino Linotype" w:eastAsia="Palatino Linotype" w:hAnsi="Palatino Linotype" w:cs="Palatino Linotype"/>
          <w:b/>
          <w:i/>
          <w:color w:val="2F2F2F"/>
          <w:sz w:val="22"/>
          <w:szCs w:val="22"/>
          <w:u w:val="single"/>
        </w:rPr>
        <w:t>La Secretaría de Educación Pública y las autoridades educativas de las entidades federativas</w:t>
      </w:r>
      <w:r>
        <w:rPr>
          <w:rFonts w:ascii="Palatino Linotype" w:eastAsia="Palatino Linotype" w:hAnsi="Palatino Linotype" w:cs="Palatino Linotype"/>
          <w:i/>
          <w:color w:val="2F2F2F"/>
          <w:sz w:val="22"/>
          <w:szCs w:val="22"/>
        </w:rPr>
        <w:t> darán acceso al sistema establecido para el registro del personal educativo, para efectos de consulta, a las instancias locales y federales de control, evaluación y fiscalización que así lo soliciten. La información se hará pública en términos de las disposiciones aplicables en materia de transparencia y rendición de cuentas.</w:t>
      </w:r>
    </w:p>
    <w:p w:rsidR="009A77A5" w:rsidRDefault="009A77A5"/>
    <w:p w:rsidR="009A77A5" w:rsidRDefault="00ED64E9">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Aunado a lo anterior el Sujeto Obligado proporcionó la liga electrónica </w:t>
      </w:r>
      <w:hyperlink r:id="rId14">
        <w:r>
          <w:rPr>
            <w:rFonts w:ascii="Palatino Linotype" w:eastAsia="Palatino Linotype" w:hAnsi="Palatino Linotype" w:cs="Palatino Linotype"/>
            <w:color w:val="0563C1"/>
          </w:rPr>
          <w:t>http://miportal.fone.sep.gob.mx</w:t>
        </w:r>
      </w:hyperlink>
      <w:r>
        <w:rPr>
          <w:rFonts w:ascii="Palatino Linotype" w:eastAsia="Palatino Linotype" w:hAnsi="Palatino Linotype" w:cs="Palatino Linotype"/>
          <w:color w:val="0563C1"/>
          <w:u w:val="single"/>
        </w:rPr>
        <w:t>,</w:t>
      </w:r>
      <w:r>
        <w:rPr>
          <w:rFonts w:ascii="Palatino Linotype" w:eastAsia="Palatino Linotype" w:hAnsi="Palatino Linotype" w:cs="Palatino Linotype"/>
          <w:color w:val="0563C1"/>
        </w:rPr>
        <w:t xml:space="preserve"> </w:t>
      </w:r>
      <w:r>
        <w:rPr>
          <w:rFonts w:ascii="Palatino Linotype" w:eastAsia="Palatino Linotype" w:hAnsi="Palatino Linotype" w:cs="Palatino Linotype"/>
          <w:color w:val="000000"/>
        </w:rPr>
        <w:t xml:space="preserve">argumentando que en dicha página electrónica el </w:t>
      </w:r>
      <w:r>
        <w:rPr>
          <w:rFonts w:ascii="Palatino Linotype" w:eastAsia="Palatino Linotype" w:hAnsi="Palatino Linotype" w:cs="Palatino Linotype"/>
          <w:color w:val="000000"/>
        </w:rPr>
        <w:lastRenderedPageBreak/>
        <w:t>trabajador puede realizar consulta e imprimir el comprobante de pago, es de señalar que, al introducir en la página en cita, se observa que la Secretaría de Educación Pública, desarrollo el portal FONE Fondo para la Nómina Educativa y Gasto Operativo a través de la cual los maestros pueden descargar comprobantes de pago, tal y como se ilustra con la siguiente captura de pantalla:</w:t>
      </w:r>
    </w:p>
    <w:p w:rsidR="009A77A5" w:rsidRDefault="00ED64E9">
      <w:pPr>
        <w:pBdr>
          <w:top w:val="nil"/>
          <w:left w:val="nil"/>
          <w:bottom w:val="nil"/>
          <w:right w:val="nil"/>
          <w:between w:val="nil"/>
        </w:pBdr>
        <w:jc w:val="both"/>
        <w:rPr>
          <w:color w:val="000000"/>
        </w:rPr>
      </w:pPr>
      <w:r>
        <w:rPr>
          <w:noProof/>
          <w:color w:val="000000"/>
          <w:lang w:eastAsia="es-MX"/>
        </w:rPr>
        <w:drawing>
          <wp:inline distT="0" distB="0" distL="0" distR="0">
            <wp:extent cx="5581650" cy="4124325"/>
            <wp:effectExtent l="0" t="0" r="0" b="0"/>
            <wp:docPr id="65" name="image3.png" descr="Captura de pantalla de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Captura de pantalla de computadora&#10;&#10;Descripción generada automáticamente"/>
                    <pic:cNvPicPr preferRelativeResize="0"/>
                  </pic:nvPicPr>
                  <pic:blipFill>
                    <a:blip r:embed="rId15"/>
                    <a:srcRect/>
                    <a:stretch>
                      <a:fillRect/>
                    </a:stretch>
                  </pic:blipFill>
                  <pic:spPr>
                    <a:xfrm>
                      <a:off x="0" y="0"/>
                      <a:ext cx="5581650" cy="4124325"/>
                    </a:xfrm>
                    <a:prstGeom prst="rect">
                      <a:avLst/>
                    </a:prstGeom>
                    <a:ln/>
                  </pic:spPr>
                </pic:pic>
              </a:graphicData>
            </a:graphic>
          </wp:inline>
        </w:drawing>
      </w:r>
    </w:p>
    <w:p w:rsidR="009A77A5" w:rsidRDefault="00ED64E9">
      <w:pPr>
        <w:pBdr>
          <w:top w:val="nil"/>
          <w:left w:val="nil"/>
          <w:bottom w:val="nil"/>
          <w:right w:val="nil"/>
          <w:between w:val="nil"/>
        </w:pBdr>
        <w:jc w:val="both"/>
        <w:rPr>
          <w:color w:val="000000"/>
        </w:rPr>
      </w:pPr>
      <w:r>
        <w:rPr>
          <w:color w:val="000000"/>
        </w:rPr>
        <w:t>/</w:t>
      </w:r>
    </w:p>
    <w:p w:rsidR="009A77A5" w:rsidRDefault="00ED64E9">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Ahora bien, es importante precisar que aunque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puede conocer, administrar o poseer la información relativa al sueldo del servidor público, ya que este es, en sentido estricto, quien administra la plantilla de personal y por tanto el sueldo de cada uno de sus trabajadores; sin embargo, aun cuando conozca del sueldo, </w:t>
      </w:r>
      <w:r>
        <w:rPr>
          <w:rFonts w:ascii="Palatino Linotype" w:eastAsia="Palatino Linotype" w:hAnsi="Palatino Linotype" w:cs="Palatino Linotype"/>
        </w:rPr>
        <w:lastRenderedPageBreak/>
        <w:t xml:space="preserve">este no tiene la facultad de realizar el pago y por tanto emitir los documentos respectivos  en donde se acredite dicho pago, pues es la federación quien está facultada según lo establecido a lo largo del presente estudio para realizar el pago a los servidores públicos del sector educativo y, en consecuencia, es la federación quien pudiera conocer de los documentos tales como recibos en donde conste el pago al servidor público, tal y como lo solicita el ahora </w:t>
      </w:r>
      <w:r>
        <w:rPr>
          <w:rFonts w:ascii="Palatino Linotype" w:eastAsia="Palatino Linotype" w:hAnsi="Palatino Linotype" w:cs="Palatino Linotype"/>
          <w:b/>
        </w:rPr>
        <w:t xml:space="preserve">RECURRENTE. </w:t>
      </w:r>
    </w:p>
    <w:p w:rsidR="009A77A5" w:rsidRDefault="00ED64E9">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 ese sentido, y del análisis que se realizó a las atribuciones analizadas, es posible advertir que Servicios Educativos Integrados al Estado de México (SEIEM), carece de atribuciones para proporcionar la información solicitada, en consecuencia es notoriamente incompetente para atender la solicitud planteada por el particular, de conformidad con el artículo 12 de la Ley de Transparencia y Acceso a la Información Pública del Estado de México y Municipios, que establece que los sujetos obligados sólo proporcionarán la información pública que se les requiera y que obre en sus archivos, en el estado en que ésta se encuentre. </w:t>
      </w:r>
    </w:p>
    <w:p w:rsidR="009A77A5" w:rsidRDefault="00ED64E9">
      <w:pPr>
        <w:pBdr>
          <w:top w:val="nil"/>
          <w:left w:val="nil"/>
          <w:bottom w:val="nil"/>
          <w:right w:val="nil"/>
          <w:between w:val="nil"/>
        </w:pBdr>
        <w:spacing w:before="280" w:after="280" w:line="360" w:lineRule="auto"/>
        <w:jc w:val="both"/>
        <w:rPr>
          <w:color w:val="000000"/>
        </w:rPr>
      </w:pPr>
      <w:r>
        <w:rPr>
          <w:rFonts w:ascii="Palatino Linotype" w:eastAsia="Palatino Linotype" w:hAnsi="Palatino Linotype" w:cs="Palatino Linotype"/>
          <w:color w:val="000000"/>
        </w:rPr>
        <w:t xml:space="preserve">Entonces, es claro que las funciones y atribuciones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Servicios Educativos Integrados al Estado de México (SEIEM), no son coincidentes con la solicitud del recurrente y cuya competencia es distinta a la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por lo que, no se actualiza el supuesto jurídico, previsto en los artículos 12 y 24, de la Ley de Transparencia y Acceso a la Información Pública del Estado de México y Municipios, que a la letra indican:</w:t>
      </w:r>
    </w:p>
    <w:p w:rsidR="009A77A5" w:rsidRDefault="00ED64E9">
      <w:pPr>
        <w:pBdr>
          <w:top w:val="nil"/>
          <w:left w:val="nil"/>
          <w:bottom w:val="nil"/>
          <w:right w:val="nil"/>
          <w:between w:val="nil"/>
        </w:pBdr>
        <w:ind w:left="567" w:right="567"/>
        <w:jc w:val="both"/>
        <w:rPr>
          <w:color w:val="000000"/>
        </w:rPr>
      </w:pPr>
      <w:r>
        <w:rPr>
          <w:rFonts w:ascii="Palatino Linotype" w:eastAsia="Palatino Linotype" w:hAnsi="Palatino Linotype" w:cs="Palatino Linotype"/>
          <w:b/>
          <w:i/>
          <w:color w:val="000000"/>
        </w:rPr>
        <w:lastRenderedPageBreak/>
        <w:t>Artículo 12.</w:t>
      </w:r>
      <w:r>
        <w:rPr>
          <w:rFonts w:ascii="Palatino Linotype" w:eastAsia="Palatino Linotype" w:hAnsi="Palatino Linotype" w:cs="Palatino Linotype"/>
          <w:i/>
          <w:color w:val="000000"/>
        </w:rPr>
        <w:t xml:space="preserve"> Quienes generen, recopilen, administren, manejen, procesen, archiven o conserven información pública serán responsables de la misma en los términos de las disposiciones jurídicas aplicables.</w:t>
      </w:r>
    </w:p>
    <w:p w:rsidR="009A77A5" w:rsidRDefault="009A77A5"/>
    <w:p w:rsidR="009A77A5" w:rsidRDefault="00ED64E9">
      <w:pPr>
        <w:pBdr>
          <w:top w:val="nil"/>
          <w:left w:val="nil"/>
          <w:bottom w:val="nil"/>
          <w:right w:val="nil"/>
          <w:between w:val="nil"/>
        </w:pBdr>
        <w:ind w:left="567" w:right="567"/>
        <w:jc w:val="both"/>
        <w:rPr>
          <w:color w:val="000000"/>
        </w:rPr>
      </w:pPr>
      <w:r>
        <w:rPr>
          <w:rFonts w:ascii="Palatino Linotype" w:eastAsia="Palatino Linotype" w:hAnsi="Palatino Linotype" w:cs="Palatino Linotype"/>
          <w:b/>
          <w:i/>
          <w:color w:val="000000"/>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9A77A5" w:rsidRDefault="009A77A5"/>
    <w:p w:rsidR="009A77A5" w:rsidRDefault="00ED64E9">
      <w:pPr>
        <w:pBdr>
          <w:top w:val="nil"/>
          <w:left w:val="nil"/>
          <w:bottom w:val="nil"/>
          <w:right w:val="nil"/>
          <w:between w:val="nil"/>
        </w:pBdr>
        <w:ind w:left="567" w:right="567"/>
        <w:jc w:val="both"/>
        <w:rPr>
          <w:color w:val="000000"/>
        </w:rPr>
      </w:pPr>
      <w:r>
        <w:rPr>
          <w:rFonts w:ascii="Palatino Linotype" w:eastAsia="Palatino Linotype" w:hAnsi="Palatino Linotype" w:cs="Palatino Linotype"/>
          <w:b/>
          <w:i/>
          <w:color w:val="000000"/>
        </w:rPr>
        <w:t xml:space="preserve">Artículo 24. </w:t>
      </w:r>
      <w:r>
        <w:rPr>
          <w:rFonts w:ascii="Palatino Linotype" w:eastAsia="Palatino Linotype" w:hAnsi="Palatino Linotype" w:cs="Palatino Linotype"/>
          <w:i/>
          <w:color w:val="000000"/>
        </w:rPr>
        <w:t>Para el cumplimiento de los objetivos de esta Ley, los sujetos obligados deberán cumplir con las siguientes obligaciones, según corresponda, de acuerdo a su naturaleza:</w:t>
      </w:r>
    </w:p>
    <w:p w:rsidR="009A77A5" w:rsidRDefault="00ED64E9">
      <w:pPr>
        <w:pBdr>
          <w:top w:val="nil"/>
          <w:left w:val="nil"/>
          <w:bottom w:val="nil"/>
          <w:right w:val="nil"/>
          <w:between w:val="nil"/>
        </w:pBdr>
        <w:ind w:left="567" w:right="567"/>
        <w:jc w:val="both"/>
        <w:rPr>
          <w:color w:val="000000"/>
        </w:rPr>
      </w:pPr>
      <w:r>
        <w:rPr>
          <w:rFonts w:ascii="Palatino Linotype" w:eastAsia="Palatino Linotype" w:hAnsi="Palatino Linotype" w:cs="Palatino Linotype"/>
          <w:i/>
          <w:color w:val="000000"/>
        </w:rPr>
        <w:t>(…)</w:t>
      </w:r>
    </w:p>
    <w:p w:rsidR="009A77A5" w:rsidRDefault="00ED64E9">
      <w:pPr>
        <w:pBdr>
          <w:top w:val="nil"/>
          <w:left w:val="nil"/>
          <w:bottom w:val="nil"/>
          <w:right w:val="nil"/>
          <w:between w:val="nil"/>
        </w:pBdr>
        <w:ind w:left="567" w:right="567"/>
        <w:jc w:val="both"/>
        <w:rPr>
          <w:color w:val="000000"/>
        </w:rPr>
      </w:pPr>
      <w:r>
        <w:rPr>
          <w:rFonts w:ascii="Palatino Linotype" w:eastAsia="Palatino Linotype" w:hAnsi="Palatino Linotype" w:cs="Palatino Linotype"/>
          <w:b/>
          <w:i/>
          <w:color w:val="000000"/>
          <w:u w:val="single"/>
        </w:rPr>
        <w:t>Los sujetos obligados solo proporcionarán la información pública que generen, administren o posean en el ejercicio de sus atribuciones.”</w:t>
      </w:r>
    </w:p>
    <w:p w:rsidR="009A77A5" w:rsidRDefault="00ED64E9">
      <w:pPr>
        <w:pBdr>
          <w:top w:val="nil"/>
          <w:left w:val="nil"/>
          <w:bottom w:val="nil"/>
          <w:right w:val="nil"/>
          <w:between w:val="nil"/>
        </w:pBdr>
        <w:ind w:left="567" w:right="567"/>
        <w:jc w:val="both"/>
        <w:rPr>
          <w:color w:val="000000"/>
        </w:rPr>
      </w:pPr>
      <w:r>
        <w:rPr>
          <w:rFonts w:ascii="Palatino Linotype" w:eastAsia="Palatino Linotype" w:hAnsi="Palatino Linotype" w:cs="Palatino Linotype"/>
          <w:i/>
          <w:color w:val="000000"/>
        </w:rPr>
        <w:t>(…)</w:t>
      </w:r>
    </w:p>
    <w:p w:rsidR="009A77A5" w:rsidRDefault="00ED64E9">
      <w:pPr>
        <w:pBdr>
          <w:top w:val="nil"/>
          <w:left w:val="nil"/>
          <w:bottom w:val="nil"/>
          <w:right w:val="nil"/>
          <w:between w:val="nil"/>
        </w:pBdr>
        <w:ind w:right="567"/>
        <w:jc w:val="right"/>
        <w:rPr>
          <w:color w:val="000000"/>
        </w:rPr>
      </w:pPr>
      <w:r>
        <w:rPr>
          <w:rFonts w:ascii="Palatino Linotype" w:eastAsia="Palatino Linotype" w:hAnsi="Palatino Linotype" w:cs="Palatino Linotype"/>
          <w:i/>
          <w:color w:val="000000"/>
        </w:rPr>
        <w:t>(Énfasis añadido)</w:t>
      </w:r>
    </w:p>
    <w:p w:rsidR="009A77A5" w:rsidRDefault="009A77A5">
      <w:pPr>
        <w:spacing w:line="360" w:lineRule="auto"/>
      </w:pPr>
    </w:p>
    <w:p w:rsidR="009A77A5" w:rsidRDefault="00ED64E9">
      <w:pPr>
        <w:pBdr>
          <w:top w:val="nil"/>
          <w:left w:val="nil"/>
          <w:bottom w:val="nil"/>
          <w:right w:val="nil"/>
          <w:between w:val="nil"/>
        </w:pBdr>
        <w:spacing w:line="360" w:lineRule="auto"/>
        <w:ind w:right="51"/>
        <w:jc w:val="both"/>
        <w:rPr>
          <w:color w:val="000000"/>
        </w:rPr>
      </w:pPr>
      <w:r>
        <w:rPr>
          <w:rFonts w:ascii="Palatino Linotype" w:eastAsia="Palatino Linotype" w:hAnsi="Palatino Linotype" w:cs="Palatino Linotype"/>
          <w:color w:val="000000"/>
        </w:rPr>
        <w:t xml:space="preserve">De la misma forma,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manifestó que no es competencia de Servicios Educativos Integrados al Estado de México (SEIEM), observándose que dio contestación a la solicitud, refiriendo que la información requerida no la genera, orientando al particular a realizar dicha solicitud al Sujeto Obligado correspondiente, lo anterior conforme al artículo 167, párrafo primero de la Ley de la materia, que dicta:</w:t>
      </w:r>
    </w:p>
    <w:p w:rsidR="009A77A5" w:rsidRDefault="009A77A5">
      <w:pPr>
        <w:spacing w:line="360" w:lineRule="auto"/>
      </w:pPr>
    </w:p>
    <w:p w:rsidR="009A77A5" w:rsidRDefault="00ED64E9">
      <w:pPr>
        <w:pBdr>
          <w:top w:val="nil"/>
          <w:left w:val="nil"/>
          <w:bottom w:val="nil"/>
          <w:right w:val="nil"/>
          <w:between w:val="nil"/>
        </w:pBdr>
        <w:ind w:left="709" w:right="757"/>
        <w:jc w:val="both"/>
        <w:rPr>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167</w:t>
      </w:r>
      <w:r>
        <w:rPr>
          <w:rFonts w:ascii="Palatino Linotype" w:eastAsia="Palatino Linotype" w:hAnsi="Palatino Linotype" w:cs="Palatino Linotype"/>
          <w:i/>
          <w:color w:val="000000"/>
        </w:rPr>
        <w:t xml:space="preserve">. Cuando las unidades de transparencia </w:t>
      </w:r>
      <w:r>
        <w:rPr>
          <w:rFonts w:ascii="Palatino Linotype" w:eastAsia="Palatino Linotype" w:hAnsi="Palatino Linotype" w:cs="Palatino Linotype"/>
          <w:b/>
          <w:i/>
          <w:color w:val="000000"/>
          <w:u w:val="single"/>
        </w:rPr>
        <w:t>determinen la notoria incompetencia por parte de los sujetos obligados</w:t>
      </w:r>
      <w:r>
        <w:rPr>
          <w:rFonts w:ascii="Palatino Linotype" w:eastAsia="Palatino Linotype" w:hAnsi="Palatino Linotype" w:cs="Palatino Linotype"/>
          <w:i/>
          <w:color w:val="000000"/>
        </w:rPr>
        <w:t xml:space="preserve">, dentro del ámbito de aplicación, para atender la solicitud de acceso a la información, </w:t>
      </w:r>
      <w:r>
        <w:rPr>
          <w:rFonts w:ascii="Palatino Linotype" w:eastAsia="Palatino Linotype" w:hAnsi="Palatino Linotype" w:cs="Palatino Linotype"/>
          <w:b/>
          <w:i/>
          <w:color w:val="000000"/>
          <w:u w:val="single"/>
        </w:rPr>
        <w:t>deberán comunicarlo al solicitante, dentro de los tres días hábiles posteriores a la recepción de la solicitud</w:t>
      </w:r>
      <w:r>
        <w:rPr>
          <w:rFonts w:ascii="Palatino Linotype" w:eastAsia="Palatino Linotype" w:hAnsi="Palatino Linotype" w:cs="Palatino Linotype"/>
          <w:i/>
          <w:color w:val="000000"/>
          <w:u w:val="single"/>
        </w:rPr>
        <w:t xml:space="preserve"> </w:t>
      </w:r>
      <w:r>
        <w:rPr>
          <w:rFonts w:ascii="Palatino Linotype" w:eastAsia="Palatino Linotype" w:hAnsi="Palatino Linotype" w:cs="Palatino Linotype"/>
          <w:i/>
          <w:color w:val="000000"/>
        </w:rPr>
        <w:t>y, en su caso orientar al solicitante, el o los sujetos obligados competentes.</w:t>
      </w:r>
    </w:p>
    <w:p w:rsidR="009A77A5" w:rsidRDefault="009A77A5"/>
    <w:p w:rsidR="009A77A5" w:rsidRDefault="00ED64E9">
      <w:pPr>
        <w:pBdr>
          <w:top w:val="nil"/>
          <w:left w:val="nil"/>
          <w:bottom w:val="nil"/>
          <w:right w:val="nil"/>
          <w:between w:val="nil"/>
        </w:pBdr>
        <w:ind w:left="709" w:right="757"/>
        <w:jc w:val="both"/>
        <w:rPr>
          <w:color w:val="000000"/>
        </w:rPr>
      </w:pPr>
      <w:r>
        <w:rPr>
          <w:rFonts w:ascii="Palatino Linotype" w:eastAsia="Palatino Linotype" w:hAnsi="Palatino Linotype" w:cs="Palatino Linotype"/>
          <w:i/>
          <w:color w:val="000000"/>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9A77A5" w:rsidRDefault="009A77A5"/>
    <w:p w:rsidR="009A77A5" w:rsidRDefault="00ED64E9">
      <w:pPr>
        <w:pBdr>
          <w:top w:val="nil"/>
          <w:left w:val="nil"/>
          <w:bottom w:val="nil"/>
          <w:right w:val="nil"/>
          <w:between w:val="nil"/>
        </w:pBdr>
        <w:ind w:left="709" w:right="757"/>
        <w:jc w:val="both"/>
        <w:rPr>
          <w:color w:val="000000"/>
        </w:rPr>
      </w:pPr>
      <w:r>
        <w:rPr>
          <w:rFonts w:ascii="Palatino Linotype" w:eastAsia="Palatino Linotype" w:hAnsi="Palatino Linotype" w:cs="Palatino Linotype"/>
          <w:i/>
          <w:color w:val="000000"/>
        </w:rPr>
        <w:t>Si transcurrido el plazo señalado en el primer párrafo de este artículo, el sujeto obligado no declina la competencia en los términos establecidos, podrá canalizar la solicitud ante el sujeto obligado competente.”</w:t>
      </w:r>
    </w:p>
    <w:p w:rsidR="009A77A5" w:rsidRDefault="009A77A5">
      <w:pPr>
        <w:pBdr>
          <w:top w:val="nil"/>
          <w:left w:val="nil"/>
          <w:bottom w:val="nil"/>
          <w:right w:val="nil"/>
          <w:between w:val="nil"/>
        </w:pBdr>
        <w:jc w:val="both"/>
        <w:rPr>
          <w:rFonts w:ascii="Palatino Linotype" w:eastAsia="Palatino Linotype" w:hAnsi="Palatino Linotype" w:cs="Palatino Linotype"/>
          <w:color w:val="000000"/>
        </w:rPr>
      </w:pPr>
    </w:p>
    <w:p w:rsidR="009A77A5" w:rsidRDefault="00ED64E9">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No pasa desapercibido que el citado artículo 167 de la Ley de Transparencia y Acceso a la Información Pública del Estado de México y Municipios, establece que cuando se advierta notoria incompetencia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para atender la solicitud de acceso a la información, deberá hacerlo del conocimiento del recurrente dentro del</w:t>
      </w:r>
      <w:r>
        <w:rPr>
          <w:rFonts w:ascii="Palatino Linotype" w:eastAsia="Palatino Linotype" w:hAnsi="Palatino Linotype" w:cs="Palatino Linotype"/>
          <w:b/>
          <w:color w:val="000000"/>
        </w:rPr>
        <w:t xml:space="preserve"> plazo de tres días hábiles posteriores a la solicitud; </w:t>
      </w:r>
      <w:r>
        <w:rPr>
          <w:rFonts w:ascii="Palatino Linotype" w:eastAsia="Palatino Linotype" w:hAnsi="Palatino Linotype" w:cs="Palatino Linotype"/>
          <w:color w:val="000000"/>
        </w:rPr>
        <w:t xml:space="preserve">presupuesto que no fue cumplido, pues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ingresó su solicitud de acceso a la información en fecha seis de octubre de dos mil veintiuno, y el requerimiento al servidor público fue turnado en fecha siete de octubre de dos mil veintiuno, aunado a ello, dio respuesta en fecha veintiséis de octubre de dos mil veintiuno; ello se acredita con las constancias que integran el Sistema de Acceso a la Información Mexiquense (SAIMEX), se inserta imagen a continuación para mayor referencia:</w:t>
      </w:r>
    </w:p>
    <w:p w:rsidR="009A77A5" w:rsidRDefault="009A77A5"/>
    <w:p w:rsidR="009A77A5" w:rsidRDefault="00ED64E9">
      <w:pPr>
        <w:pBdr>
          <w:top w:val="nil"/>
          <w:left w:val="nil"/>
          <w:bottom w:val="nil"/>
          <w:right w:val="nil"/>
          <w:between w:val="nil"/>
        </w:pBdr>
        <w:jc w:val="both"/>
        <w:rPr>
          <w:color w:val="000000"/>
        </w:rPr>
      </w:pPr>
      <w:r>
        <w:rPr>
          <w:noProof/>
          <w:color w:val="000000"/>
          <w:lang w:eastAsia="es-MX"/>
        </w:rPr>
        <w:lastRenderedPageBreak/>
        <w:drawing>
          <wp:inline distT="0" distB="0" distL="0" distR="0">
            <wp:extent cx="5791835" cy="2786380"/>
            <wp:effectExtent l="0" t="0" r="0" b="0"/>
            <wp:docPr id="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791835" cy="2786380"/>
                    </a:xfrm>
                    <a:prstGeom prst="rect">
                      <a:avLst/>
                    </a:prstGeom>
                    <a:ln/>
                  </pic:spPr>
                </pic:pic>
              </a:graphicData>
            </a:graphic>
          </wp:inline>
        </w:drawing>
      </w:r>
    </w:p>
    <w:p w:rsidR="009A77A5" w:rsidRDefault="009A77A5"/>
    <w:p w:rsidR="009A77A5" w:rsidRDefault="00ED64E9">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Así, se advierte que la respuesta otorgada no se encuentra apegada a lo establecido en el artículo 167 de la Ley de Transparencia y Acceso a la Información Pública del Estado de México y Municipios, ya que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fue omiso en comunicar la referida incompetencia, dentro del plazo contenido en dicho artículo; por tanto, se reitera, no puede tenerse por satisfecho el derecho humano de acceso a la información, sino que, una vez concluido el plazo referido, el Comité de Transparencia del </w:t>
      </w:r>
      <w:r>
        <w:rPr>
          <w:rFonts w:ascii="Palatino Linotype" w:eastAsia="Palatino Linotype" w:hAnsi="Palatino Linotype" w:cs="Palatino Linotype"/>
          <w:b/>
          <w:color w:val="000000"/>
        </w:rPr>
        <w:t>SUJETO OBLIGADO debe proceder a realizar la declaratoria de incompetencia,</w:t>
      </w:r>
      <w:r>
        <w:rPr>
          <w:rFonts w:ascii="Palatino Linotype" w:eastAsia="Palatino Linotype" w:hAnsi="Palatino Linotype" w:cs="Palatino Linotype"/>
          <w:color w:val="000000"/>
        </w:rPr>
        <w:t xml:space="preserve"> en términos del artículo 49, fracciones I y II de la Ley de la materia, previamente citado, y hacer del conocimiento del</w:t>
      </w:r>
      <w:r>
        <w:rPr>
          <w:rFonts w:ascii="Palatino Linotype" w:eastAsia="Palatino Linotype" w:hAnsi="Palatino Linotype" w:cs="Palatino Linotype"/>
          <w:b/>
          <w:color w:val="000000"/>
        </w:rPr>
        <w:t xml:space="preserve"> RECURRENTE</w:t>
      </w:r>
      <w:r>
        <w:rPr>
          <w:rFonts w:ascii="Palatino Linotype" w:eastAsia="Palatino Linotype" w:hAnsi="Palatino Linotype" w:cs="Palatino Linotype"/>
          <w:color w:val="000000"/>
        </w:rPr>
        <w:t>, al carecer de facultades, funciones, atribuciones o competencias para generar, poseer o administrar la información requerida.</w:t>
      </w:r>
    </w:p>
    <w:p w:rsidR="009A77A5" w:rsidRDefault="009A77A5">
      <w:pPr>
        <w:spacing w:line="360" w:lineRule="auto"/>
      </w:pPr>
    </w:p>
    <w:p w:rsidR="009A77A5" w:rsidRDefault="00ED64E9">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Además, de conformidad con lo establecido en el artículo 12, de la Ley de Transparencia y Acceso a la Información Pública del Estado de México y Municipios, ya invocado el sujeto obligado sólo proporciona la información que obra en sus </w:t>
      </w:r>
      <w:r>
        <w:rPr>
          <w:rFonts w:ascii="Palatino Linotype" w:eastAsia="Palatino Linotype" w:hAnsi="Palatino Linotype" w:cs="Palatino Linotype"/>
          <w:color w:val="000000"/>
        </w:rPr>
        <w:lastRenderedPageBreak/>
        <w:t xml:space="preserve">archivos, lo que </w:t>
      </w:r>
      <w:r>
        <w:rPr>
          <w:rFonts w:ascii="Palatino Linotype" w:eastAsia="Palatino Linotype" w:hAnsi="Palatino Linotype" w:cs="Palatino Linotype"/>
          <w:i/>
          <w:color w:val="000000"/>
        </w:rPr>
        <w:t>a contrario sensu</w:t>
      </w:r>
      <w:r>
        <w:rPr>
          <w:rFonts w:ascii="Palatino Linotype" w:eastAsia="Palatino Linotype" w:hAnsi="Palatino Linotype" w:cs="Palatino Linotype"/>
          <w:color w:val="000000"/>
        </w:rPr>
        <w:t xml:space="preserve"> significa que no se está obligado a proporcionar lo que no obre en sus archivos.</w:t>
      </w:r>
    </w:p>
    <w:p w:rsidR="009A77A5" w:rsidRDefault="009A77A5">
      <w:pPr>
        <w:spacing w:line="360" w:lineRule="auto"/>
      </w:pPr>
    </w:p>
    <w:p w:rsidR="009A77A5" w:rsidRDefault="00ED64E9">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Por lo tanto,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y a fin de no retrasar el derecho de acceso a la información, como ya fue establecido, se dejan a salvo los derechos del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para que pueda realizar la solicitud de información ante el Sujeto Obligado correspondiente.</w:t>
      </w:r>
    </w:p>
    <w:p w:rsidR="009A77A5" w:rsidRDefault="009A77A5">
      <w:pPr>
        <w:tabs>
          <w:tab w:val="left" w:pos="8222"/>
        </w:tabs>
        <w:spacing w:line="360" w:lineRule="auto"/>
        <w:jc w:val="both"/>
        <w:rPr>
          <w:rFonts w:ascii="Palatino Linotype" w:eastAsia="Palatino Linotype" w:hAnsi="Palatino Linotype" w:cs="Palatino Linotype"/>
        </w:rPr>
      </w:pPr>
    </w:p>
    <w:p w:rsidR="009A77A5" w:rsidRDefault="00ED64E9">
      <w:pPr>
        <w:tabs>
          <w:tab w:val="left" w:pos="822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rsidR="009A77A5" w:rsidRDefault="009A77A5"/>
    <w:p w:rsidR="009A77A5" w:rsidRDefault="009A77A5">
      <w:pPr>
        <w:jc w:val="center"/>
        <w:rPr>
          <w:rFonts w:ascii="Palatino Linotype" w:eastAsia="Palatino Linotype" w:hAnsi="Palatino Linotype" w:cs="Palatino Linotype"/>
          <w:b/>
          <w:sz w:val="28"/>
          <w:szCs w:val="28"/>
        </w:rPr>
      </w:pPr>
      <w:bookmarkStart w:id="4" w:name="_heading=h.30j0zll" w:colFirst="0" w:colLast="0"/>
      <w:bookmarkEnd w:id="4"/>
    </w:p>
    <w:p w:rsidR="009A77A5" w:rsidRDefault="00ED64E9">
      <w:pPr>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RESUELVE</w:t>
      </w:r>
    </w:p>
    <w:p w:rsidR="009A77A5" w:rsidRDefault="009A77A5">
      <w:pPr>
        <w:jc w:val="center"/>
        <w:rPr>
          <w:rFonts w:ascii="Palatino Linotype" w:eastAsia="Palatino Linotype" w:hAnsi="Palatino Linotype" w:cs="Palatino Linotype"/>
          <w:b/>
          <w:sz w:val="28"/>
          <w:szCs w:val="28"/>
        </w:rPr>
      </w:pPr>
    </w:p>
    <w:p w:rsidR="009A77A5" w:rsidRDefault="00ED64E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PRIMERO</w:t>
      </w:r>
      <w:r>
        <w:rPr>
          <w:rFonts w:ascii="Palatino Linotype" w:eastAsia="Palatino Linotype" w:hAnsi="Palatino Linotype" w:cs="Palatino Linotype"/>
          <w:sz w:val="28"/>
          <w:szCs w:val="28"/>
        </w:rPr>
        <w:t>.</w:t>
      </w:r>
      <w:r>
        <w:rPr>
          <w:rFonts w:ascii="Palatino Linotype" w:eastAsia="Palatino Linotype" w:hAnsi="Palatino Linotype" w:cs="Palatino Linotype"/>
        </w:rPr>
        <w:t xml:space="preserve"> Resultan </w:t>
      </w:r>
      <w:r>
        <w:rPr>
          <w:rFonts w:ascii="Palatino Linotype" w:eastAsia="Palatino Linotype" w:hAnsi="Palatino Linotype" w:cs="Palatino Linotype"/>
          <w:b/>
        </w:rPr>
        <w:t>parcialmente fundadas</w:t>
      </w:r>
      <w:r>
        <w:rPr>
          <w:rFonts w:ascii="Palatino Linotype" w:eastAsia="Palatino Linotype" w:hAnsi="Palatino Linotype" w:cs="Palatino Linotype"/>
        </w:rPr>
        <w:t xml:space="preserve"> las razones o motivos de inconformidad planteadas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QUINTO</w:t>
      </w:r>
      <w:r>
        <w:rPr>
          <w:rFonts w:ascii="Palatino Linotype" w:eastAsia="Palatino Linotype" w:hAnsi="Palatino Linotype" w:cs="Palatino Linotype"/>
        </w:rPr>
        <w:t xml:space="preserve"> de la presente resolución.</w:t>
      </w:r>
    </w:p>
    <w:p w:rsidR="009A77A5" w:rsidRDefault="009A77A5">
      <w:pPr>
        <w:spacing w:line="360" w:lineRule="auto"/>
        <w:jc w:val="both"/>
        <w:rPr>
          <w:rFonts w:ascii="Palatino Linotype" w:eastAsia="Palatino Linotype" w:hAnsi="Palatino Linotype" w:cs="Palatino Linotype"/>
        </w:rPr>
      </w:pPr>
    </w:p>
    <w:p w:rsidR="009A77A5" w:rsidRDefault="00ED64E9">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lastRenderedPageBreak/>
        <w:t>SEGUNDO</w:t>
      </w:r>
      <w:r>
        <w:rPr>
          <w:rFonts w:ascii="Palatino Linotype" w:eastAsia="Palatino Linotype" w:hAnsi="Palatino Linotype" w:cs="Palatino Linotype"/>
          <w:color w:val="000000"/>
          <w:sz w:val="28"/>
          <w:szCs w:val="28"/>
        </w:rPr>
        <w:t>.</w:t>
      </w:r>
      <w:r>
        <w:rPr>
          <w:rFonts w:ascii="Palatino Linotype" w:eastAsia="Palatino Linotype" w:hAnsi="Palatino Linotype" w:cs="Palatino Linotype"/>
          <w:color w:val="000000"/>
        </w:rPr>
        <w:t xml:space="preserve"> Se</w:t>
      </w:r>
      <w:r>
        <w:rPr>
          <w:rFonts w:ascii="Palatino Linotype" w:eastAsia="Palatino Linotype" w:hAnsi="Palatino Linotype" w:cs="Palatino Linotype"/>
          <w:b/>
          <w:color w:val="000000"/>
        </w:rPr>
        <w:t xml:space="preserve"> MODIFICA </w:t>
      </w:r>
      <w:r>
        <w:rPr>
          <w:rFonts w:ascii="Palatino Linotype" w:eastAsia="Palatino Linotype" w:hAnsi="Palatino Linotype" w:cs="Palatino Linotype"/>
          <w:color w:val="000000"/>
        </w:rPr>
        <w:t xml:space="preserve">la respuesta proporcionada por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 xml:space="preserve">a la solicitud de información que derivó en el recurso de revisión </w:t>
      </w:r>
      <w:r>
        <w:rPr>
          <w:rFonts w:ascii="Palatino Linotype" w:eastAsia="Palatino Linotype" w:hAnsi="Palatino Linotype" w:cs="Palatino Linotype"/>
          <w:b/>
          <w:color w:val="000000"/>
        </w:rPr>
        <w:t>05712/INFOEM/IP/RR/2021</w:t>
      </w:r>
      <w:r>
        <w:rPr>
          <w:rFonts w:ascii="Palatino Linotype" w:eastAsia="Palatino Linotype" w:hAnsi="Palatino Linotype" w:cs="Palatino Linotype"/>
          <w:color w:val="000000"/>
        </w:rPr>
        <w:t xml:space="preserve">, en términos del Considerando </w:t>
      </w:r>
      <w:r>
        <w:rPr>
          <w:rFonts w:ascii="Palatino Linotype" w:eastAsia="Palatino Linotype" w:hAnsi="Palatino Linotype" w:cs="Palatino Linotype"/>
          <w:b/>
          <w:color w:val="000000"/>
        </w:rPr>
        <w:t xml:space="preserve">QUINTO y se ordena </w:t>
      </w:r>
      <w:r>
        <w:rPr>
          <w:rFonts w:ascii="Palatino Linotype" w:eastAsia="Palatino Linotype" w:hAnsi="Palatino Linotype" w:cs="Palatino Linotype"/>
          <w:color w:val="000000"/>
        </w:rPr>
        <w:t>haga entrega al</w:t>
      </w:r>
      <w:r>
        <w:rPr>
          <w:rFonts w:ascii="Palatino Linotype" w:eastAsia="Palatino Linotype" w:hAnsi="Palatino Linotype" w:cs="Palatino Linotype"/>
          <w:b/>
          <w:color w:val="000000"/>
        </w:rPr>
        <w:t xml:space="preserve"> RECURRENTE</w:t>
      </w:r>
      <w:r>
        <w:rPr>
          <w:rFonts w:ascii="Palatino Linotype" w:eastAsia="Palatino Linotype" w:hAnsi="Palatino Linotype" w:cs="Palatino Linotype"/>
          <w:color w:val="000000"/>
        </w:rPr>
        <w:t xml:space="preserve">, vía </w:t>
      </w:r>
      <w:r>
        <w:rPr>
          <w:rFonts w:ascii="Palatino Linotype" w:eastAsia="Palatino Linotype" w:hAnsi="Palatino Linotype" w:cs="Palatino Linotype"/>
          <w:b/>
          <w:color w:val="000000"/>
        </w:rPr>
        <w:t>EL SAIMEX</w:t>
      </w:r>
      <w:r>
        <w:rPr>
          <w:rFonts w:ascii="Palatino Linotype" w:eastAsia="Palatino Linotype" w:hAnsi="Palatino Linotype" w:cs="Palatino Linotype"/>
          <w:color w:val="000000"/>
        </w:rPr>
        <w:t>, lo siguiente:</w:t>
      </w:r>
    </w:p>
    <w:p w:rsidR="009A77A5" w:rsidRDefault="009A77A5"/>
    <w:p w:rsidR="009A77A5" w:rsidRDefault="00ED64E9">
      <w:pPr>
        <w:pBdr>
          <w:top w:val="nil"/>
          <w:left w:val="nil"/>
          <w:bottom w:val="nil"/>
          <w:right w:val="nil"/>
          <w:between w:val="nil"/>
        </w:pBdr>
        <w:ind w:left="709" w:right="709"/>
        <w:jc w:val="both"/>
        <w:rPr>
          <w:color w:val="000000"/>
        </w:rPr>
      </w:pPr>
      <w:r>
        <w:rPr>
          <w:rFonts w:ascii="Palatino Linotype" w:eastAsia="Palatino Linotype" w:hAnsi="Palatino Linotype" w:cs="Palatino Linotype"/>
          <w:i/>
          <w:color w:val="000000"/>
          <w:sz w:val="22"/>
          <w:szCs w:val="22"/>
        </w:rPr>
        <w:t xml:space="preserve">“El Acuerdo que emita el Comité de Transparencia mediante el que confirme la declaratoria de incompetencia del </w:t>
      </w:r>
      <w:r>
        <w:rPr>
          <w:rFonts w:ascii="Palatino Linotype" w:eastAsia="Palatino Linotype" w:hAnsi="Palatino Linotype" w:cs="Palatino Linotype"/>
          <w:b/>
          <w:i/>
          <w:color w:val="000000"/>
          <w:sz w:val="22"/>
          <w:szCs w:val="22"/>
        </w:rPr>
        <w:t>SUJETO OBLIGADO</w:t>
      </w:r>
      <w:r>
        <w:rPr>
          <w:rFonts w:ascii="Palatino Linotype" w:eastAsia="Palatino Linotype" w:hAnsi="Palatino Linotype" w:cs="Palatino Linotype"/>
          <w:i/>
          <w:color w:val="000000"/>
          <w:sz w:val="22"/>
          <w:szCs w:val="22"/>
        </w:rPr>
        <w:t xml:space="preserve"> respecto de la información solicitada recibos de pago de los meses de enero a septiembre de 2021 del servidor público referido en la solicitud de información 00404/SEIEM/IP/2021 ”</w:t>
      </w:r>
    </w:p>
    <w:p w:rsidR="009A77A5" w:rsidRDefault="009A77A5">
      <w:pPr>
        <w:pBdr>
          <w:top w:val="nil"/>
          <w:left w:val="nil"/>
          <w:bottom w:val="nil"/>
          <w:right w:val="nil"/>
          <w:between w:val="nil"/>
        </w:pBdr>
        <w:ind w:left="709" w:right="709"/>
        <w:jc w:val="both"/>
        <w:rPr>
          <w:color w:val="000000"/>
        </w:rPr>
      </w:pPr>
    </w:p>
    <w:p w:rsidR="009A77A5" w:rsidRDefault="00ED64E9">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222222"/>
          <w:sz w:val="28"/>
          <w:szCs w:val="28"/>
        </w:rPr>
        <w:t>TERCERO.</w:t>
      </w:r>
      <w:r>
        <w:rPr>
          <w:rFonts w:ascii="Palatino Linotype" w:eastAsia="Palatino Linotype" w:hAnsi="Palatino Linotype" w:cs="Palatino Linotype"/>
          <w:b/>
          <w:color w:val="222222"/>
        </w:rPr>
        <w:t> </w:t>
      </w:r>
      <w:r>
        <w:rPr>
          <w:rFonts w:ascii="Palatino Linotype" w:eastAsia="Palatino Linotype" w:hAnsi="Palatino Linotype" w:cs="Palatino Linotype"/>
          <w:b/>
          <w:color w:val="000000"/>
        </w:rPr>
        <w:t>Notifíquese</w:t>
      </w:r>
      <w:r>
        <w:rPr>
          <w:rFonts w:ascii="Palatino Linotype" w:eastAsia="Palatino Linotype" w:hAnsi="Palatino Linotype" w:cs="Palatino Linotype"/>
          <w:color w:val="000000"/>
        </w:rPr>
        <w:t xml:space="preserve"> al Titular de la Unidad de Transparencia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rsidR="009A77A5" w:rsidRDefault="00ED64E9">
      <w:pPr>
        <w:spacing w:before="280" w:after="280" w:line="360" w:lineRule="auto"/>
        <w:ind w:right="51"/>
        <w:jc w:val="both"/>
        <w:rPr>
          <w:rFonts w:ascii="Palatino Linotype" w:eastAsia="Palatino Linotype" w:hAnsi="Palatino Linotype" w:cs="Palatino Linotype"/>
          <w:color w:val="222222"/>
        </w:rPr>
      </w:pPr>
      <w:r>
        <w:rPr>
          <w:rFonts w:ascii="Palatino Linotype" w:eastAsia="Palatino Linotype" w:hAnsi="Palatino Linotype" w:cs="Palatino Linotype"/>
          <w:b/>
          <w:color w:val="000000"/>
          <w:sz w:val="28"/>
          <w:szCs w:val="28"/>
        </w:rPr>
        <w:t>CUARTO.</w:t>
      </w:r>
      <w:r>
        <w:rPr>
          <w:rFonts w:ascii="Palatino Linotype" w:eastAsia="Palatino Linotype" w:hAnsi="Palatino Linotype" w:cs="Palatino Linotype"/>
          <w:color w:val="000000"/>
          <w:sz w:val="28"/>
          <w:szCs w:val="28"/>
        </w:rPr>
        <w:t xml:space="preserve"> </w:t>
      </w:r>
      <w:r>
        <w:rPr>
          <w:rFonts w:ascii="Palatino Linotype" w:eastAsia="Palatino Linotype" w:hAnsi="Palatino Linotype" w:cs="Palatino Linotype"/>
          <w:color w:val="000000"/>
        </w:rPr>
        <w:t xml:space="preserve">De conformidad con el artículo 198 de la Ley de Transparencia y Acceso a la Información Pública del Estado de México y Municipios, de considerarlo procedente,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de manera fundada y motivada, podrá solicitar una ampliación de plazo para el cumplimiento de la presente resolución.</w:t>
      </w:r>
    </w:p>
    <w:p w:rsidR="009A77A5" w:rsidRDefault="009A77A5">
      <w:pPr>
        <w:spacing w:line="360" w:lineRule="auto"/>
        <w:ind w:right="49"/>
        <w:jc w:val="both"/>
        <w:rPr>
          <w:rFonts w:ascii="Palatino Linotype" w:eastAsia="Palatino Linotype" w:hAnsi="Palatino Linotype" w:cs="Palatino Linotype"/>
          <w:b/>
          <w:color w:val="222222"/>
        </w:rPr>
      </w:pPr>
    </w:p>
    <w:p w:rsidR="009A77A5" w:rsidRDefault="00ED64E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222222"/>
          <w:sz w:val="28"/>
          <w:szCs w:val="28"/>
        </w:rPr>
        <w:t>QUINTO</w:t>
      </w:r>
      <w:r>
        <w:rPr>
          <w:rFonts w:ascii="Palatino Linotype" w:eastAsia="Palatino Linotype" w:hAnsi="Palatino Linotype" w:cs="Palatino Linotype"/>
          <w:b/>
          <w:color w:val="222222"/>
        </w:rPr>
        <w:t>. Notifíquese</w:t>
      </w:r>
      <w:r>
        <w:rPr>
          <w:rFonts w:ascii="Palatino Linotype" w:eastAsia="Palatino Linotype" w:hAnsi="Palatino Linotype" w:cs="Palatino Linotype"/>
          <w:color w:val="222222"/>
        </w:rPr>
        <w:t xml:space="preserve"> al </w:t>
      </w:r>
      <w:r>
        <w:rPr>
          <w:rFonts w:ascii="Palatino Linotype" w:eastAsia="Palatino Linotype" w:hAnsi="Palatino Linotype" w:cs="Palatino Linotype"/>
          <w:b/>
          <w:color w:val="222222"/>
        </w:rPr>
        <w:t>RECURRENTE</w:t>
      </w:r>
      <w:r>
        <w:rPr>
          <w:rFonts w:ascii="Palatino Linotype" w:eastAsia="Palatino Linotype" w:hAnsi="Palatino Linotype" w:cs="Palatino Linotype"/>
          <w:color w:val="222222"/>
        </w:rPr>
        <w:t xml:space="preserve"> </w:t>
      </w:r>
      <w:r>
        <w:rPr>
          <w:rFonts w:ascii="Palatino Linotype" w:eastAsia="Palatino Linotype" w:hAnsi="Palatino Linotype" w:cs="Palatino Linotype"/>
          <w:b/>
          <w:color w:val="222222"/>
        </w:rPr>
        <w:t xml:space="preserve">vía </w:t>
      </w:r>
      <w:r>
        <w:rPr>
          <w:rFonts w:ascii="Palatino Linotype" w:eastAsia="Palatino Linotype" w:hAnsi="Palatino Linotype" w:cs="Palatino Linotype"/>
          <w:color w:val="222222"/>
        </w:rPr>
        <w:t xml:space="preserve">Sistema de Acceso a la Información Mexiquense </w:t>
      </w:r>
      <w:r>
        <w:rPr>
          <w:rFonts w:ascii="Palatino Linotype" w:eastAsia="Palatino Linotype" w:hAnsi="Palatino Linotype" w:cs="Palatino Linotype"/>
          <w:b/>
          <w:color w:val="222222"/>
        </w:rPr>
        <w:t xml:space="preserve">(SAIMEX) </w:t>
      </w:r>
      <w:r>
        <w:rPr>
          <w:rFonts w:ascii="Palatino Linotype" w:eastAsia="Palatino Linotype" w:hAnsi="Palatino Linotype" w:cs="Palatino Linotype"/>
          <w:color w:val="222222"/>
        </w:rPr>
        <w:t xml:space="preserve">la </w:t>
      </w:r>
      <w:r>
        <w:rPr>
          <w:rFonts w:ascii="Palatino Linotype" w:eastAsia="Palatino Linotype" w:hAnsi="Palatino Linotype" w:cs="Palatino Linotype"/>
        </w:rPr>
        <w:t>presente</w:t>
      </w:r>
      <w:r>
        <w:rPr>
          <w:rFonts w:ascii="Palatino Linotype" w:eastAsia="Palatino Linotype" w:hAnsi="Palatino Linotype" w:cs="Palatino Linotype"/>
          <w:color w:val="222222"/>
        </w:rPr>
        <w:t xml:space="preserve"> resolución.</w:t>
      </w:r>
    </w:p>
    <w:p w:rsidR="009A77A5" w:rsidRDefault="009A77A5">
      <w:pPr>
        <w:spacing w:line="360" w:lineRule="auto"/>
        <w:ind w:right="49"/>
        <w:jc w:val="both"/>
        <w:rPr>
          <w:rFonts w:ascii="Palatino Linotype" w:eastAsia="Palatino Linotype" w:hAnsi="Palatino Linotype" w:cs="Palatino Linotype"/>
          <w:b/>
          <w:color w:val="222222"/>
        </w:rPr>
      </w:pPr>
    </w:p>
    <w:p w:rsidR="009A77A5" w:rsidRDefault="00ED64E9">
      <w:pP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b/>
          <w:color w:val="222222"/>
          <w:sz w:val="28"/>
          <w:szCs w:val="28"/>
        </w:rPr>
        <w:lastRenderedPageBreak/>
        <w:t>SEXTO.</w:t>
      </w:r>
      <w:r>
        <w:rPr>
          <w:rFonts w:ascii="Palatino Linotype" w:eastAsia="Palatino Linotype" w:hAnsi="Palatino Linotype" w:cs="Palatino Linotype"/>
          <w:color w:val="222222"/>
        </w:rPr>
        <w:t xml:space="preserve"> </w:t>
      </w:r>
      <w:r>
        <w:rPr>
          <w:rFonts w:ascii="Palatino Linotype" w:eastAsia="Palatino Linotype" w:hAnsi="Palatino Linotype" w:cs="Palatino Linotype"/>
          <w:b/>
          <w:color w:val="222222"/>
        </w:rPr>
        <w:t>Hágase del conocimiento</w:t>
      </w:r>
      <w:r>
        <w:rPr>
          <w:rFonts w:ascii="Palatino Linotype" w:eastAsia="Palatino Linotype" w:hAnsi="Palatino Linotype" w:cs="Palatino Linotype"/>
          <w:color w:val="222222"/>
        </w:rPr>
        <w:t xml:space="preserve"> al </w:t>
      </w:r>
      <w:r>
        <w:rPr>
          <w:rFonts w:ascii="Palatino Linotype" w:eastAsia="Palatino Linotype" w:hAnsi="Palatino Linotype" w:cs="Palatino Linotype"/>
          <w:b/>
          <w:color w:val="222222"/>
        </w:rPr>
        <w:t>RECURRENTE</w:t>
      </w:r>
      <w:r>
        <w:rPr>
          <w:rFonts w:ascii="Palatino Linotype" w:eastAsia="Palatino Linotype" w:hAnsi="Palatino Linotype" w:cs="Palatino Linotype"/>
          <w:color w:val="222222"/>
        </w:rPr>
        <w:t xml:space="preserve"> </w:t>
      </w:r>
      <w:r>
        <w:rPr>
          <w:rFonts w:ascii="Palatino Linotype" w:eastAsia="Palatino Linotype" w:hAnsi="Palatino Linotype" w:cs="Palatino Linotype"/>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Pr>
          <w:rFonts w:ascii="Palatino Linotype" w:eastAsia="Palatino Linotype" w:hAnsi="Palatino Linotype" w:cs="Palatino Linotype"/>
          <w:color w:val="222222"/>
        </w:rPr>
        <w:t>vía juicio de amparo en los términos de las leyes aplicables.</w:t>
      </w:r>
    </w:p>
    <w:p w:rsidR="009A77A5" w:rsidRDefault="009A77A5">
      <w:pPr>
        <w:spacing w:line="360" w:lineRule="auto"/>
        <w:jc w:val="both"/>
        <w:rPr>
          <w:rFonts w:ascii="Palatino Linotype" w:eastAsia="Palatino Linotype" w:hAnsi="Palatino Linotype" w:cs="Palatino Linotype"/>
          <w:color w:val="222222"/>
        </w:rPr>
      </w:pPr>
    </w:p>
    <w:p w:rsidR="009A77A5" w:rsidRDefault="00ED64E9">
      <w:pPr>
        <w:spacing w:line="360" w:lineRule="auto"/>
        <w:jc w:val="both"/>
        <w:rPr>
          <w:rFonts w:ascii="Palatino Linotype" w:eastAsia="Palatino Linotype" w:hAnsi="Palatino Linotype" w:cs="Palatino Linotype"/>
          <w:color w:val="222222"/>
          <w:sz w:val="26"/>
          <w:szCs w:val="26"/>
        </w:rPr>
      </w:pPr>
      <w:r>
        <w:rPr>
          <w:rFonts w:ascii="Palatino Linotype" w:eastAsia="Palatino Linotype" w:hAnsi="Palatino Linotype" w:cs="Palatino Linotype"/>
          <w:color w:val="222222"/>
        </w:rPr>
        <w:t xml:space="preserve">Se dejan a salvo sus derechos para que pueda formular una nueva solicitud en los términos que estime convenientes. </w:t>
      </w:r>
    </w:p>
    <w:p w:rsidR="009A77A5" w:rsidRDefault="00ED64E9">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SEGUNDA SESIÓN ORDINARIA CELEBRADA EL DIECINUEVE DE ENERO DE DOS MIL VEINTIDÓS, ANTE EL SECRETARIO TÉCNICO DEL PLENO, ALEXIS TAPIA RAMÍREZ.</w:t>
      </w:r>
    </w:p>
    <w:p w:rsidR="009A77A5" w:rsidRDefault="00ED64E9">
      <w:pPr>
        <w:widowControl w:val="0"/>
        <w:spacing w:before="280" w:after="280" w:line="360" w:lineRule="auto"/>
        <w:jc w:val="both"/>
        <w:rPr>
          <w:rFonts w:ascii="Palatino Linotype" w:eastAsia="Palatino Linotype" w:hAnsi="Palatino Linotype" w:cs="Palatino Linotype"/>
          <w:sz w:val="20"/>
          <w:szCs w:val="20"/>
        </w:rPr>
      </w:pPr>
      <w:bookmarkStart w:id="5" w:name="_heading=h.2et92p0" w:colFirst="0" w:colLast="0"/>
      <w:bookmarkEnd w:id="5"/>
      <w:r>
        <w:rPr>
          <w:rFonts w:ascii="Palatino Linotype" w:eastAsia="Palatino Linotype" w:hAnsi="Palatino Linotype" w:cs="Palatino Linotype"/>
          <w:sz w:val="20"/>
          <w:szCs w:val="20"/>
        </w:rPr>
        <w:t xml:space="preserve">JMV/CCR/BLA/DEMF/PMRE </w:t>
      </w:r>
    </w:p>
    <w:p w:rsidR="009A77A5" w:rsidRDefault="00ED64E9">
      <w:pPr>
        <w:spacing w:after="160" w:line="259" w:lineRule="auto"/>
        <w:rPr>
          <w:rFonts w:ascii="Palatino Linotype" w:eastAsia="Palatino Linotype" w:hAnsi="Palatino Linotype" w:cs="Palatino Linotype"/>
          <w:sz w:val="20"/>
          <w:szCs w:val="20"/>
        </w:rPr>
      </w:pPr>
      <w:r>
        <w:br w:type="page"/>
      </w:r>
    </w:p>
    <w:p w:rsidR="009A77A5" w:rsidRDefault="009A77A5">
      <w:pPr>
        <w:spacing w:line="360" w:lineRule="auto"/>
        <w:ind w:right="51"/>
        <w:jc w:val="both"/>
        <w:rPr>
          <w:sz w:val="20"/>
          <w:szCs w:val="20"/>
        </w:rPr>
      </w:pPr>
    </w:p>
    <w:sectPr w:rsidR="009A77A5">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1FA" w:rsidRDefault="00ED64E9">
      <w:r>
        <w:separator/>
      </w:r>
    </w:p>
  </w:endnote>
  <w:endnote w:type="continuationSeparator" w:id="0">
    <w:p w:rsidR="007E71FA" w:rsidRDefault="00ED6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4D"/>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7A5" w:rsidRDefault="00ED64E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FA0CA4">
      <w:rPr>
        <w:rFonts w:ascii="Palatino Linotype" w:eastAsia="Palatino Linotype" w:hAnsi="Palatino Linotype" w:cs="Palatino Linotype"/>
        <w:noProof/>
        <w:color w:val="000000"/>
        <w:sz w:val="22"/>
        <w:szCs w:val="22"/>
      </w:rPr>
      <w:t>24</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FA0CA4">
      <w:rPr>
        <w:rFonts w:ascii="Palatino Linotype" w:eastAsia="Palatino Linotype" w:hAnsi="Palatino Linotype" w:cs="Palatino Linotype"/>
        <w:noProof/>
        <w:color w:val="000000"/>
        <w:sz w:val="22"/>
        <w:szCs w:val="22"/>
      </w:rPr>
      <w:t>27</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7A5" w:rsidRDefault="00ED64E9">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FA0CA4">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FA0CA4">
      <w:rPr>
        <w:rFonts w:ascii="Palatino Linotype" w:eastAsia="Palatino Linotype" w:hAnsi="Palatino Linotype" w:cs="Palatino Linotype"/>
        <w:noProof/>
        <w:color w:val="000000"/>
        <w:sz w:val="22"/>
        <w:szCs w:val="22"/>
      </w:rPr>
      <w:t>27</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1FA" w:rsidRDefault="00ED64E9">
      <w:r>
        <w:separator/>
      </w:r>
    </w:p>
  </w:footnote>
  <w:footnote w:type="continuationSeparator" w:id="0">
    <w:p w:rsidR="007E71FA" w:rsidRDefault="00ED64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7A5" w:rsidRDefault="00FA0CA4">
    <w:pPr>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40pt;height:10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7A5" w:rsidRDefault="00FA0CA4">
    <w:pPr>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540pt;height:10in;z-index:-251659776;mso-position-horizontal:center;mso-position-horizontal-relative:margin;mso-position-vertical:center;mso-position-vertical-relative:margin">
          <v:imagedata r:id="rId1" o:title="image1"/>
          <w10:wrap anchorx="margin" anchory="margin"/>
        </v:shape>
      </w:pict>
    </w:r>
  </w:p>
  <w:tbl>
    <w:tblPr>
      <w:tblStyle w:val="a5"/>
      <w:tblW w:w="9356" w:type="dxa"/>
      <w:tblInd w:w="-142" w:type="dxa"/>
      <w:tblLayout w:type="fixed"/>
      <w:tblLook w:val="0400" w:firstRow="0" w:lastRow="0" w:firstColumn="0" w:lastColumn="0" w:noHBand="0" w:noVBand="1"/>
    </w:tblPr>
    <w:tblGrid>
      <w:gridCol w:w="3828"/>
      <w:gridCol w:w="2551"/>
      <w:gridCol w:w="2977"/>
    </w:tblGrid>
    <w:tr w:rsidR="009A77A5">
      <w:tc>
        <w:tcPr>
          <w:tcW w:w="3828" w:type="dxa"/>
          <w:vMerge w:val="restart"/>
        </w:tcPr>
        <w:p w:rsidR="009A77A5" w:rsidRDefault="00ED64E9">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lang w:eastAsia="es-MX"/>
            </w:rPr>
            <w:drawing>
              <wp:inline distT="0" distB="0" distL="0" distR="0">
                <wp:extent cx="1692162" cy="852673"/>
                <wp:effectExtent l="0" t="0" r="0" b="0"/>
                <wp:docPr id="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rsidR="009A77A5" w:rsidRDefault="00ED64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shd w:val="clear" w:color="auto" w:fill="auto"/>
        </w:tcPr>
        <w:p w:rsidR="009A77A5" w:rsidRDefault="00ED64E9">
          <w:r>
            <w:rPr>
              <w:rFonts w:ascii="Palatino Linotype" w:eastAsia="Palatino Linotype" w:hAnsi="Palatino Linotype" w:cs="Palatino Linotype"/>
              <w:b/>
              <w:sz w:val="22"/>
              <w:szCs w:val="22"/>
            </w:rPr>
            <w:t>05712/INFOEM/IP/RR/2021</w:t>
          </w:r>
        </w:p>
      </w:tc>
    </w:tr>
    <w:tr w:rsidR="009A77A5">
      <w:tc>
        <w:tcPr>
          <w:tcW w:w="3828" w:type="dxa"/>
          <w:vMerge/>
        </w:tcPr>
        <w:p w:rsidR="009A77A5" w:rsidRDefault="009A77A5">
          <w:pPr>
            <w:widowControl w:val="0"/>
            <w:pBdr>
              <w:top w:val="nil"/>
              <w:left w:val="nil"/>
              <w:bottom w:val="nil"/>
              <w:right w:val="nil"/>
              <w:between w:val="nil"/>
            </w:pBdr>
            <w:spacing w:line="276" w:lineRule="auto"/>
          </w:pPr>
        </w:p>
      </w:tc>
      <w:tc>
        <w:tcPr>
          <w:tcW w:w="2551" w:type="dxa"/>
          <w:shd w:val="clear" w:color="auto" w:fill="auto"/>
        </w:tcPr>
        <w:p w:rsidR="009A77A5" w:rsidRDefault="00ED64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shd w:val="clear" w:color="auto" w:fill="auto"/>
        </w:tcPr>
        <w:p w:rsidR="009A77A5" w:rsidRDefault="00ED64E9">
          <w:r>
            <w:rPr>
              <w:rFonts w:ascii="Palatino Linotype" w:eastAsia="Palatino Linotype" w:hAnsi="Palatino Linotype" w:cs="Palatino Linotype"/>
              <w:b/>
              <w:sz w:val="22"/>
              <w:szCs w:val="22"/>
            </w:rPr>
            <w:t xml:space="preserve">Servicios Educativos Integrados al Estado de México. </w:t>
          </w:r>
        </w:p>
      </w:tc>
    </w:tr>
    <w:tr w:rsidR="009A77A5">
      <w:trPr>
        <w:trHeight w:val="228"/>
      </w:trPr>
      <w:tc>
        <w:tcPr>
          <w:tcW w:w="3828" w:type="dxa"/>
          <w:vMerge/>
        </w:tcPr>
        <w:p w:rsidR="009A77A5" w:rsidRDefault="009A77A5">
          <w:pPr>
            <w:widowControl w:val="0"/>
            <w:pBdr>
              <w:top w:val="nil"/>
              <w:left w:val="nil"/>
              <w:bottom w:val="nil"/>
              <w:right w:val="nil"/>
              <w:between w:val="nil"/>
            </w:pBdr>
            <w:spacing w:line="276" w:lineRule="auto"/>
          </w:pPr>
        </w:p>
      </w:tc>
      <w:tc>
        <w:tcPr>
          <w:tcW w:w="2551" w:type="dxa"/>
          <w:shd w:val="clear" w:color="auto" w:fill="auto"/>
        </w:tcPr>
        <w:p w:rsidR="009A77A5" w:rsidRDefault="00ED64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2977" w:type="dxa"/>
          <w:shd w:val="clear" w:color="auto" w:fill="auto"/>
        </w:tcPr>
        <w:p w:rsidR="009A77A5" w:rsidRDefault="00ED64E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José Martínez Vilchis</w:t>
          </w:r>
        </w:p>
      </w:tc>
    </w:tr>
  </w:tbl>
  <w:p w:rsidR="009A77A5" w:rsidRDefault="009A77A5">
    <w:pPr>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7A5" w:rsidRDefault="00FA0CA4">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0;margin-top:0;width:540pt;height:10in;z-index:-251658752;mso-position-horizontal:center;mso-position-horizontal-relative:margin;mso-position-vertical:center;mso-position-vertical-relative:margin">
          <v:imagedata r:id="rId1" o:title="image1"/>
          <w10:wrap anchorx="margin" anchory="margin"/>
        </v:shape>
      </w:pict>
    </w:r>
  </w:p>
  <w:tbl>
    <w:tblPr>
      <w:tblStyle w:val="a6"/>
      <w:tblW w:w="9356" w:type="dxa"/>
      <w:tblInd w:w="-142" w:type="dxa"/>
      <w:tblLayout w:type="fixed"/>
      <w:tblLook w:val="0400" w:firstRow="0" w:lastRow="0" w:firstColumn="0" w:lastColumn="0" w:noHBand="0" w:noVBand="1"/>
    </w:tblPr>
    <w:tblGrid>
      <w:gridCol w:w="3828"/>
      <w:gridCol w:w="2551"/>
      <w:gridCol w:w="2977"/>
    </w:tblGrid>
    <w:tr w:rsidR="009A77A5">
      <w:tc>
        <w:tcPr>
          <w:tcW w:w="3828" w:type="dxa"/>
          <w:vMerge w:val="restart"/>
        </w:tcPr>
        <w:p w:rsidR="009A77A5" w:rsidRDefault="00ED64E9">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lang w:eastAsia="es-MX"/>
            </w:rPr>
            <w:drawing>
              <wp:inline distT="0" distB="0" distL="0" distR="0">
                <wp:extent cx="1692162" cy="852673"/>
                <wp:effectExtent l="0" t="0" r="0" b="0"/>
                <wp:docPr id="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rsidR="009A77A5" w:rsidRDefault="00ED64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p w:rsidR="009A77A5" w:rsidRDefault="00ED64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2977" w:type="dxa"/>
          <w:shd w:val="clear" w:color="auto" w:fill="auto"/>
        </w:tcPr>
        <w:p w:rsidR="009A77A5" w:rsidRDefault="00ED64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05712/INFOEM/IP/RR/2021</w:t>
          </w:r>
        </w:p>
        <w:p w:rsidR="009A77A5" w:rsidRDefault="00FA0CA4">
          <w:pPr>
            <w:rPr>
              <w:rFonts w:ascii="Palatino Linotype" w:eastAsia="Palatino Linotype" w:hAnsi="Palatino Linotype" w:cs="Palatino Linotype"/>
              <w:b/>
              <w:sz w:val="22"/>
              <w:szCs w:val="22"/>
            </w:rPr>
          </w:pPr>
          <w:proofErr w:type="spellStart"/>
          <w:r>
            <w:rPr>
              <w:rFonts w:ascii="Palatino Linotype" w:eastAsia="Palatino Linotype" w:hAnsi="Palatino Linotype" w:cs="Palatino Linotype"/>
              <w:b/>
              <w:sz w:val="22"/>
              <w:szCs w:val="22"/>
            </w:rPr>
            <w:t>xxxx</w:t>
          </w:r>
          <w:proofErr w:type="spellEnd"/>
        </w:p>
      </w:tc>
    </w:tr>
    <w:tr w:rsidR="009A77A5">
      <w:tc>
        <w:tcPr>
          <w:tcW w:w="3828" w:type="dxa"/>
          <w:vMerge/>
        </w:tcPr>
        <w:p w:rsidR="009A77A5" w:rsidRDefault="009A77A5">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rsidR="009A77A5" w:rsidRDefault="00ED64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shd w:val="clear" w:color="auto" w:fill="auto"/>
        </w:tcPr>
        <w:p w:rsidR="009A77A5" w:rsidRDefault="00ED64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Servicios Educativos Integrados al Estado de México. </w:t>
          </w:r>
        </w:p>
      </w:tc>
    </w:tr>
    <w:tr w:rsidR="009A77A5">
      <w:trPr>
        <w:trHeight w:val="228"/>
      </w:trPr>
      <w:tc>
        <w:tcPr>
          <w:tcW w:w="3828" w:type="dxa"/>
          <w:vMerge/>
        </w:tcPr>
        <w:p w:rsidR="009A77A5" w:rsidRDefault="009A77A5">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rsidR="009A77A5" w:rsidRDefault="00ED64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2977" w:type="dxa"/>
          <w:shd w:val="clear" w:color="auto" w:fill="auto"/>
        </w:tcPr>
        <w:p w:rsidR="009A77A5" w:rsidRDefault="00ED64E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José Martínez Vilchis </w:t>
          </w:r>
        </w:p>
      </w:tc>
    </w:tr>
  </w:tbl>
  <w:p w:rsidR="009A77A5" w:rsidRDefault="009A77A5">
    <w:pPr>
      <w:rPr>
        <w:rFonts w:ascii="Palatino Linotype" w:eastAsia="Palatino Linotype" w:hAnsi="Palatino Linotype" w:cs="Palatino Linotype"/>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7A5"/>
    <w:rsid w:val="007E71FA"/>
    <w:rsid w:val="009A77A5"/>
    <w:rsid w:val="00ED64E9"/>
    <w:rsid w:val="00FA0C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3C3D514-3DAE-4B4C-A756-E16EE8DDB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794"/>
    <w:rPr>
      <w:lang w:eastAsia="es-ES"/>
    </w:rPr>
  </w:style>
  <w:style w:type="paragraph" w:styleId="Ttulo1">
    <w:name w:val="heading 1"/>
    <w:basedOn w:val="Normal"/>
    <w:next w:val="Normal"/>
    <w:link w:val="Ttulo1Car"/>
    <w:uiPriority w:val="9"/>
    <w:qFormat/>
    <w:rsid w:val="00846794"/>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semiHidden/>
    <w:unhideWhenUsed/>
    <w:qFormat/>
    <w:rsid w:val="00846794"/>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semiHidden/>
    <w:unhideWhenUsed/>
    <w:qFormat/>
    <w:rsid w:val="00846794"/>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semiHidden/>
    <w:unhideWhenUsed/>
    <w:qFormat/>
    <w:rsid w:val="00846794"/>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semiHidden/>
    <w:unhideWhenUsed/>
    <w:qFormat/>
    <w:rsid w:val="00846794"/>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semiHidden/>
    <w:unhideWhenUsed/>
    <w:qFormat/>
    <w:rsid w:val="00846794"/>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84679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846794"/>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46794"/>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846794"/>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846794"/>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846794"/>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84679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46794"/>
    <w:rPr>
      <w:rFonts w:eastAsiaTheme="minorEastAsia"/>
      <w:sz w:val="24"/>
      <w:szCs w:val="24"/>
      <w:lang w:val="es-ES_tradnl" w:eastAsia="es-ES"/>
    </w:rPr>
  </w:style>
  <w:style w:type="paragraph" w:styleId="Piedepgina">
    <w:name w:val="footer"/>
    <w:basedOn w:val="Normal"/>
    <w:link w:val="PiedepginaCar"/>
    <w:uiPriority w:val="99"/>
    <w:unhideWhenUsed/>
    <w:rsid w:val="0084679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46794"/>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846794"/>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846794"/>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4679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46794"/>
    <w:rPr>
      <w:rFonts w:ascii="Times New Roman" w:eastAsia="Times New Roman" w:hAnsi="Times New Roman" w:cs="Times New Roman"/>
      <w:sz w:val="24"/>
      <w:szCs w:val="24"/>
      <w:lang w:eastAsia="es-ES"/>
    </w:rPr>
  </w:style>
  <w:style w:type="character" w:styleId="Hipervnculo">
    <w:name w:val="Hyperlink"/>
    <w:uiPriority w:val="99"/>
    <w:unhideWhenUsed/>
    <w:rsid w:val="00846794"/>
    <w:rPr>
      <w:strike w:val="0"/>
      <w:dstrike w:val="0"/>
      <w:color w:val="035899"/>
      <w:u w:val="none"/>
      <w:effect w:val="none"/>
    </w:rPr>
  </w:style>
  <w:style w:type="paragraph" w:styleId="NormalWeb">
    <w:name w:val="Normal (Web)"/>
    <w:basedOn w:val="Normal"/>
    <w:uiPriority w:val="99"/>
    <w:rsid w:val="00846794"/>
    <w:pPr>
      <w:spacing w:before="100" w:beforeAutospacing="1" w:after="100" w:afterAutospacing="1"/>
    </w:pPr>
  </w:style>
  <w:style w:type="character" w:styleId="Textoennegrita">
    <w:name w:val="Strong"/>
    <w:uiPriority w:val="22"/>
    <w:qFormat/>
    <w:rsid w:val="00846794"/>
    <w:rPr>
      <w:b/>
      <w:bCs/>
    </w:rPr>
  </w:style>
  <w:style w:type="character" w:styleId="Hipervnculovisitado">
    <w:name w:val="FollowedHyperlink"/>
    <w:basedOn w:val="Fuentedeprrafopredeter"/>
    <w:uiPriority w:val="99"/>
    <w:semiHidden/>
    <w:unhideWhenUsed/>
    <w:rsid w:val="00846794"/>
    <w:rPr>
      <w:color w:val="954F72" w:themeColor="followedHyperlink"/>
      <w:u w:val="single"/>
    </w:rPr>
  </w:style>
  <w:style w:type="paragraph" w:styleId="Textoindependiente2">
    <w:name w:val="Body Text 2"/>
    <w:basedOn w:val="Normal"/>
    <w:link w:val="Textoindependiente2Car"/>
    <w:uiPriority w:val="99"/>
    <w:unhideWhenUsed/>
    <w:rsid w:val="00846794"/>
    <w:pPr>
      <w:spacing w:after="120" w:line="480" w:lineRule="auto"/>
    </w:pPr>
  </w:style>
  <w:style w:type="character" w:customStyle="1" w:styleId="Textoindependiente2Car">
    <w:name w:val="Texto independiente 2 Car"/>
    <w:basedOn w:val="Fuentedeprrafopredeter"/>
    <w:link w:val="Textoindependiente2"/>
    <w:uiPriority w:val="99"/>
    <w:rsid w:val="00846794"/>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846794"/>
    <w:rPr>
      <w:sz w:val="16"/>
      <w:szCs w:val="16"/>
    </w:rPr>
  </w:style>
  <w:style w:type="character" w:customStyle="1" w:styleId="apple-converted-space">
    <w:name w:val="apple-converted-space"/>
    <w:basedOn w:val="Fuentedeprrafopredeter"/>
    <w:rsid w:val="00846794"/>
  </w:style>
  <w:style w:type="paragraph" w:customStyle="1" w:styleId="Default">
    <w:name w:val="Default"/>
    <w:rsid w:val="00846794"/>
    <w:pPr>
      <w:autoSpaceDE w:val="0"/>
      <w:autoSpaceDN w:val="0"/>
      <w:adjustRightInd w:val="0"/>
    </w:pPr>
    <w:rPr>
      <w:rFonts w:ascii="Arial" w:hAnsi="Arial" w:cs="Arial"/>
      <w:color w:val="000000"/>
    </w:rPr>
  </w:style>
  <w:style w:type="paragraph" w:customStyle="1" w:styleId="Listavistosa-nfasis11">
    <w:name w:val="Lista vistosa - Énfasis 11"/>
    <w:basedOn w:val="Normal"/>
    <w:link w:val="Listavistosa-nfasis1Car"/>
    <w:uiPriority w:val="34"/>
    <w:qFormat/>
    <w:rsid w:val="00846794"/>
    <w:pPr>
      <w:ind w:left="708"/>
    </w:pPr>
  </w:style>
  <w:style w:type="character" w:customStyle="1" w:styleId="Listavistosa-nfasis1Car">
    <w:name w:val="Lista vistosa - Énfasis 1 Car"/>
    <w:link w:val="Listavistosa-nfasis11"/>
    <w:uiPriority w:val="34"/>
    <w:locked/>
    <w:rsid w:val="00846794"/>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46794"/>
    <w:pPr>
      <w:spacing w:after="101" w:line="216" w:lineRule="exact"/>
      <w:ind w:firstLine="288"/>
      <w:jc w:val="both"/>
    </w:pPr>
    <w:rPr>
      <w:rFonts w:ascii="Arial" w:hAnsi="Arial" w:cs="Arial"/>
      <w:sz w:val="18"/>
      <w:szCs w:val="18"/>
    </w:rPr>
  </w:style>
  <w:style w:type="character" w:customStyle="1" w:styleId="apple-style-span">
    <w:name w:val="apple-style-span"/>
    <w:rsid w:val="0084679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4679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46794"/>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846794"/>
    <w:rPr>
      <w:vertAlign w:val="superscript"/>
    </w:rPr>
  </w:style>
  <w:style w:type="paragraph" w:styleId="Sinespaciado">
    <w:name w:val="No Spacing"/>
    <w:aliases w:val="Francesa"/>
    <w:link w:val="SinespaciadoCar"/>
    <w:uiPriority w:val="1"/>
    <w:qFormat/>
    <w:rsid w:val="00846794"/>
    <w:rPr>
      <w:lang w:eastAsia="es-ES"/>
    </w:rPr>
  </w:style>
  <w:style w:type="paragraph" w:styleId="Textosinformato">
    <w:name w:val="Plain Text"/>
    <w:basedOn w:val="Normal"/>
    <w:link w:val="TextosinformatoCar"/>
    <w:rsid w:val="00846794"/>
    <w:rPr>
      <w:rFonts w:ascii="Courier New" w:hAnsi="Courier New"/>
      <w:sz w:val="20"/>
      <w:szCs w:val="20"/>
    </w:rPr>
  </w:style>
  <w:style w:type="character" w:customStyle="1" w:styleId="TextosinformatoCar">
    <w:name w:val="Texto sin formato Car"/>
    <w:basedOn w:val="Fuentedeprrafopredeter"/>
    <w:link w:val="Textosinformato"/>
    <w:rsid w:val="00846794"/>
    <w:rPr>
      <w:rFonts w:ascii="Courier New" w:eastAsia="Times New Roman" w:hAnsi="Courier New" w:cs="Times New Roman"/>
      <w:sz w:val="20"/>
      <w:szCs w:val="20"/>
      <w:lang w:eastAsia="es-ES"/>
    </w:rPr>
  </w:style>
  <w:style w:type="paragraph" w:customStyle="1" w:styleId="Standard">
    <w:name w:val="Standard"/>
    <w:rsid w:val="00846794"/>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846794"/>
    <w:rPr>
      <w:rFonts w:ascii="Arial" w:hAnsi="Arial" w:cs="Arial" w:hint="default"/>
      <w:b/>
      <w:bCs/>
      <w:sz w:val="18"/>
      <w:szCs w:val="18"/>
    </w:rPr>
  </w:style>
  <w:style w:type="paragraph" w:customStyle="1" w:styleId="Pa2">
    <w:name w:val="Pa2"/>
    <w:basedOn w:val="Normal"/>
    <w:next w:val="Normal"/>
    <w:uiPriority w:val="99"/>
    <w:rsid w:val="00846794"/>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846794"/>
  </w:style>
  <w:style w:type="paragraph" w:customStyle="1" w:styleId="q">
    <w:name w:val="q"/>
    <w:basedOn w:val="Normal"/>
    <w:rsid w:val="00846794"/>
    <w:pPr>
      <w:spacing w:before="100" w:beforeAutospacing="1" w:after="100" w:afterAutospacing="1"/>
    </w:pPr>
    <w:rPr>
      <w:lang w:eastAsia="es-MX"/>
    </w:rPr>
  </w:style>
  <w:style w:type="character" w:customStyle="1" w:styleId="d">
    <w:name w:val="d"/>
    <w:basedOn w:val="Fuentedeprrafopredeter"/>
    <w:rsid w:val="00846794"/>
  </w:style>
  <w:style w:type="character" w:customStyle="1" w:styleId="b">
    <w:name w:val="b"/>
    <w:basedOn w:val="Fuentedeprrafopredeter"/>
    <w:rsid w:val="00846794"/>
  </w:style>
  <w:style w:type="character" w:customStyle="1" w:styleId="k">
    <w:name w:val="k"/>
    <w:basedOn w:val="Fuentedeprrafopredeter"/>
    <w:rsid w:val="00846794"/>
  </w:style>
  <w:style w:type="character" w:customStyle="1" w:styleId="h">
    <w:name w:val="h"/>
    <w:basedOn w:val="Fuentedeprrafopredeter"/>
    <w:rsid w:val="00846794"/>
  </w:style>
  <w:style w:type="character" w:styleId="CitaHTML">
    <w:name w:val="HTML Cite"/>
    <w:uiPriority w:val="99"/>
    <w:semiHidden/>
    <w:unhideWhenUsed/>
    <w:rsid w:val="00846794"/>
    <w:rPr>
      <w:i/>
      <w:iCs/>
    </w:rPr>
  </w:style>
  <w:style w:type="paragraph" w:customStyle="1" w:styleId="RSCGnotaalpie">
    <w:name w:val="RSCG nota al pie"/>
    <w:basedOn w:val="Normal"/>
    <w:uiPriority w:val="99"/>
    <w:qFormat/>
    <w:rsid w:val="00846794"/>
    <w:pPr>
      <w:spacing w:after="120"/>
      <w:jc w:val="both"/>
    </w:pPr>
    <w:rPr>
      <w:rFonts w:ascii="Palatino" w:hAnsi="Palatino" w:cstheme="minorBidi"/>
      <w:sz w:val="22"/>
      <w:szCs w:val="22"/>
      <w:lang w:eastAsia="en-US"/>
    </w:rPr>
  </w:style>
  <w:style w:type="character" w:customStyle="1" w:styleId="lbl-encabezado-blanco2">
    <w:name w:val="lbl-encabezado-blanco2"/>
    <w:rsid w:val="00846794"/>
    <w:rPr>
      <w:color w:val="FFFFFF"/>
    </w:rPr>
  </w:style>
  <w:style w:type="character" w:customStyle="1" w:styleId="TextoCar">
    <w:name w:val="Texto Car"/>
    <w:link w:val="Texto"/>
    <w:locked/>
    <w:rsid w:val="00846794"/>
    <w:rPr>
      <w:rFonts w:ascii="Arial" w:eastAsia="Times New Roman" w:hAnsi="Arial" w:cs="Arial"/>
      <w:sz w:val="18"/>
      <w:szCs w:val="18"/>
      <w:lang w:eastAsia="es-ES"/>
    </w:rPr>
  </w:style>
  <w:style w:type="paragraph" w:customStyle="1" w:styleId="ANOTACION">
    <w:name w:val="ANOTACION"/>
    <w:basedOn w:val="Normal"/>
    <w:link w:val="ANOTACIONCar"/>
    <w:rsid w:val="00846794"/>
    <w:pPr>
      <w:spacing w:before="101" w:after="101"/>
      <w:jc w:val="center"/>
    </w:pPr>
    <w:rPr>
      <w:b/>
      <w:sz w:val="18"/>
      <w:szCs w:val="18"/>
    </w:rPr>
  </w:style>
  <w:style w:type="character" w:customStyle="1" w:styleId="ANOTACIONCar">
    <w:name w:val="ANOTACION Car"/>
    <w:link w:val="ANOTACION"/>
    <w:locked/>
    <w:rsid w:val="00846794"/>
    <w:rPr>
      <w:rFonts w:ascii="Times New Roman" w:eastAsia="Times New Roman" w:hAnsi="Times New Roman" w:cs="Times New Roman"/>
      <w:b/>
      <w:sz w:val="18"/>
      <w:szCs w:val="18"/>
      <w:lang w:eastAsia="es-ES"/>
    </w:rPr>
  </w:style>
  <w:style w:type="table" w:styleId="Tablaconcuadrcula">
    <w:name w:val="Table Grid"/>
    <w:basedOn w:val="Tablanormal"/>
    <w:uiPriority w:val="39"/>
    <w:rsid w:val="008467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846794"/>
    <w:rPr>
      <w:i/>
      <w:iCs/>
    </w:rPr>
  </w:style>
  <w:style w:type="character" w:customStyle="1" w:styleId="SinespaciadoCar">
    <w:name w:val="Sin espaciado Car"/>
    <w:aliases w:val="Francesa Car"/>
    <w:link w:val="Sinespaciado"/>
    <w:uiPriority w:val="1"/>
    <w:locked/>
    <w:rsid w:val="00846794"/>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846794"/>
  </w:style>
  <w:style w:type="paragraph" w:styleId="Textocomentario">
    <w:name w:val="annotation text"/>
    <w:basedOn w:val="Normal"/>
    <w:link w:val="TextocomentarioCar"/>
    <w:uiPriority w:val="99"/>
    <w:semiHidden/>
    <w:unhideWhenUsed/>
    <w:rsid w:val="00846794"/>
    <w:rPr>
      <w:sz w:val="20"/>
      <w:szCs w:val="20"/>
    </w:rPr>
  </w:style>
  <w:style w:type="character" w:customStyle="1" w:styleId="TextocomentarioCar">
    <w:name w:val="Texto comentario Car"/>
    <w:basedOn w:val="Fuentedeprrafopredeter"/>
    <w:link w:val="Textocomentario"/>
    <w:uiPriority w:val="99"/>
    <w:semiHidden/>
    <w:rsid w:val="0084679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46794"/>
    <w:rPr>
      <w:b/>
      <w:bCs/>
    </w:rPr>
  </w:style>
  <w:style w:type="character" w:customStyle="1" w:styleId="AsuntodelcomentarioCar">
    <w:name w:val="Asunto del comentario Car"/>
    <w:basedOn w:val="TextocomentarioCar"/>
    <w:link w:val="Asuntodelcomentario"/>
    <w:uiPriority w:val="99"/>
    <w:semiHidden/>
    <w:rsid w:val="00846794"/>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846794"/>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846794"/>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46794"/>
  </w:style>
  <w:style w:type="character" w:customStyle="1" w:styleId="Ninguno">
    <w:name w:val="Ninguno"/>
    <w:rsid w:val="00846794"/>
    <w:rPr>
      <w:lang w:val="es-ES_tradnl"/>
    </w:rPr>
  </w:style>
  <w:style w:type="paragraph" w:customStyle="1" w:styleId="Cuerpo">
    <w:name w:val="Cuerpo"/>
    <w:rsid w:val="00846794"/>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46794"/>
  </w:style>
  <w:style w:type="numbering" w:customStyle="1" w:styleId="Estiloimportado1">
    <w:name w:val="Estilo importado 1"/>
    <w:rsid w:val="00846794"/>
  </w:style>
  <w:style w:type="character" w:customStyle="1" w:styleId="normaltextrun">
    <w:name w:val="normaltextrun"/>
    <w:basedOn w:val="Fuentedeprrafopredeter"/>
    <w:rsid w:val="00846794"/>
  </w:style>
  <w:style w:type="paragraph" w:customStyle="1" w:styleId="INCISO">
    <w:name w:val="INCISO"/>
    <w:basedOn w:val="Normal"/>
    <w:rsid w:val="00846794"/>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846794"/>
    <w:pPr>
      <w:spacing w:before="100" w:beforeAutospacing="1" w:after="100" w:afterAutospacing="1"/>
    </w:pPr>
    <w:rPr>
      <w:lang w:eastAsia="es-MX"/>
    </w:rPr>
  </w:style>
  <w:style w:type="paragraph" w:customStyle="1" w:styleId="j">
    <w:name w:val="j"/>
    <w:basedOn w:val="Normal"/>
    <w:rsid w:val="00846794"/>
    <w:pPr>
      <w:spacing w:before="100" w:beforeAutospacing="1" w:after="100" w:afterAutospacing="1"/>
    </w:pPr>
    <w:rPr>
      <w:lang w:eastAsia="es-MX"/>
    </w:rPr>
  </w:style>
  <w:style w:type="character" w:customStyle="1" w:styleId="nacep">
    <w:name w:val="n_acep"/>
    <w:basedOn w:val="Fuentedeprrafopredeter"/>
    <w:rsid w:val="00846794"/>
  </w:style>
  <w:style w:type="paragraph" w:customStyle="1" w:styleId="m5212863947045306324gmail-msonormal">
    <w:name w:val="m_5212863947045306324gmail-msonormal"/>
    <w:basedOn w:val="Normal"/>
    <w:rsid w:val="00846794"/>
    <w:pPr>
      <w:spacing w:before="100" w:beforeAutospacing="1" w:after="100" w:afterAutospacing="1"/>
    </w:pPr>
    <w:rPr>
      <w:lang w:eastAsia="es-MX"/>
    </w:rPr>
  </w:style>
  <w:style w:type="character" w:customStyle="1" w:styleId="user-highlighted-active">
    <w:name w:val="user-highlighted-active"/>
    <w:basedOn w:val="Fuentedeprrafopredeter"/>
    <w:rsid w:val="00846794"/>
  </w:style>
  <w:style w:type="paragraph" w:styleId="Lista">
    <w:name w:val="List"/>
    <w:basedOn w:val="Normal"/>
    <w:uiPriority w:val="99"/>
    <w:unhideWhenUsed/>
    <w:rsid w:val="00846794"/>
    <w:pPr>
      <w:ind w:left="283" w:hanging="283"/>
      <w:contextualSpacing/>
    </w:pPr>
    <w:rPr>
      <w:lang w:val="es-ES"/>
    </w:rPr>
  </w:style>
  <w:style w:type="paragraph" w:styleId="Lista2">
    <w:name w:val="List 2"/>
    <w:basedOn w:val="Normal"/>
    <w:uiPriority w:val="99"/>
    <w:unhideWhenUsed/>
    <w:rsid w:val="00846794"/>
    <w:pPr>
      <w:ind w:left="566" w:hanging="283"/>
      <w:contextualSpacing/>
    </w:pPr>
    <w:rPr>
      <w:lang w:val="es-ES"/>
    </w:rPr>
  </w:style>
  <w:style w:type="paragraph" w:styleId="Lista3">
    <w:name w:val="List 3"/>
    <w:basedOn w:val="Normal"/>
    <w:uiPriority w:val="99"/>
    <w:unhideWhenUsed/>
    <w:rsid w:val="00846794"/>
    <w:pPr>
      <w:ind w:left="849" w:hanging="283"/>
      <w:contextualSpacing/>
    </w:pPr>
    <w:rPr>
      <w:lang w:val="es-ES"/>
    </w:rPr>
  </w:style>
  <w:style w:type="paragraph" w:styleId="Textoindependiente">
    <w:name w:val="Body Text"/>
    <w:basedOn w:val="Normal"/>
    <w:link w:val="TextoindependienteCar"/>
    <w:uiPriority w:val="99"/>
    <w:unhideWhenUsed/>
    <w:rsid w:val="00846794"/>
    <w:pPr>
      <w:spacing w:after="120"/>
    </w:pPr>
    <w:rPr>
      <w:lang w:val="es-ES"/>
    </w:rPr>
  </w:style>
  <w:style w:type="character" w:customStyle="1" w:styleId="TextoindependienteCar">
    <w:name w:val="Texto independiente Car"/>
    <w:basedOn w:val="Fuentedeprrafopredeter"/>
    <w:link w:val="Textoindependiente"/>
    <w:uiPriority w:val="99"/>
    <w:rsid w:val="0084679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46794"/>
    <w:pPr>
      <w:spacing w:after="120"/>
      <w:ind w:left="283"/>
    </w:pPr>
    <w:rPr>
      <w:lang w:val="es-ES"/>
    </w:rPr>
  </w:style>
  <w:style w:type="character" w:customStyle="1" w:styleId="SangradetextonormalCar">
    <w:name w:val="Sangría de texto normal Car"/>
    <w:basedOn w:val="Fuentedeprrafopredeter"/>
    <w:link w:val="Sangradetextonormal"/>
    <w:uiPriority w:val="99"/>
    <w:rsid w:val="00846794"/>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4679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46794"/>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46794"/>
  </w:style>
  <w:style w:type="character" w:customStyle="1" w:styleId="titulorubrolgt">
    <w:name w:val="titulorubrolgt"/>
    <w:basedOn w:val="Fuentedeprrafopredeter"/>
    <w:rsid w:val="00846794"/>
  </w:style>
  <w:style w:type="paragraph" w:customStyle="1" w:styleId="Text">
    <w:name w:val="Text"/>
    <w:basedOn w:val="Normal"/>
    <w:link w:val="TextChar"/>
    <w:rsid w:val="00846794"/>
    <w:pPr>
      <w:spacing w:after="240"/>
    </w:pPr>
    <w:rPr>
      <w:szCs w:val="20"/>
      <w:lang w:val="en-US" w:eastAsia="en-US"/>
    </w:rPr>
  </w:style>
  <w:style w:type="character" w:customStyle="1" w:styleId="TextChar">
    <w:name w:val="Text Char"/>
    <w:link w:val="Text"/>
    <w:locked/>
    <w:rsid w:val="00846794"/>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46794"/>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846794"/>
    <w:rPr>
      <w:rFonts w:asciiTheme="minorHAnsi" w:eastAsia="Cambria" w:hAnsiTheme="minorHAnsi" w:cstheme="minorBidi"/>
      <w:sz w:val="20"/>
      <w:szCs w:val="20"/>
      <w:lang w:eastAsia="en-US"/>
    </w:rPr>
  </w:style>
  <w:style w:type="paragraph" w:customStyle="1" w:styleId="paragraph">
    <w:name w:val="paragraph"/>
    <w:basedOn w:val="Normal"/>
    <w:uiPriority w:val="99"/>
    <w:rsid w:val="00846794"/>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846794"/>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846794"/>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846794"/>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8467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846794"/>
  </w:style>
  <w:style w:type="paragraph" w:styleId="Textoindependiente3">
    <w:name w:val="Body Text 3"/>
    <w:basedOn w:val="Normal"/>
    <w:link w:val="Textoindependiente3Car"/>
    <w:uiPriority w:val="99"/>
    <w:semiHidden/>
    <w:unhideWhenUsed/>
    <w:rsid w:val="0084679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46794"/>
    <w:rPr>
      <w:rFonts w:ascii="Times New Roman" w:eastAsia="Times New Roman" w:hAnsi="Times New Roman" w:cs="Times New Roman"/>
      <w:sz w:val="16"/>
      <w:szCs w:val="16"/>
      <w:lang w:eastAsia="es-ES"/>
    </w:rPr>
  </w:style>
  <w:style w:type="table" w:customStyle="1" w:styleId="Tablaconcuadrcula11">
    <w:name w:val="Tabla con cuadrícula11"/>
    <w:basedOn w:val="Tablanormal"/>
    <w:next w:val="Tablaconcuadrcula"/>
    <w:uiPriority w:val="39"/>
    <w:rsid w:val="008467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846794"/>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846794"/>
  </w:style>
  <w:style w:type="numbering" w:customStyle="1" w:styleId="Sinlista2">
    <w:name w:val="Sin lista2"/>
    <w:next w:val="Sinlista"/>
    <w:uiPriority w:val="99"/>
    <w:semiHidden/>
    <w:unhideWhenUsed/>
    <w:rsid w:val="00846794"/>
  </w:style>
  <w:style w:type="numbering" w:customStyle="1" w:styleId="Sinlista3">
    <w:name w:val="Sin lista3"/>
    <w:next w:val="Sinlista"/>
    <w:uiPriority w:val="99"/>
    <w:semiHidden/>
    <w:unhideWhenUsed/>
    <w:rsid w:val="00846794"/>
  </w:style>
  <w:style w:type="table" w:customStyle="1" w:styleId="Tablaconcuadrcula3">
    <w:name w:val="Tabla con cuadrícula3"/>
    <w:basedOn w:val="Tablanormal"/>
    <w:next w:val="Tablaconcuadrcula"/>
    <w:uiPriority w:val="39"/>
    <w:rsid w:val="008467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846794"/>
  </w:style>
  <w:style w:type="table" w:customStyle="1" w:styleId="Tablaconcuadrcula4">
    <w:name w:val="Tabla con cuadrícula4"/>
    <w:basedOn w:val="Tablanormal"/>
    <w:next w:val="Tablaconcuadrcula"/>
    <w:uiPriority w:val="39"/>
    <w:rsid w:val="008467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5">
    <w:name w:val="Tabla con cuadrícula1115"/>
    <w:basedOn w:val="Tablanormal"/>
    <w:next w:val="Tablaconcuadrcula"/>
    <w:uiPriority w:val="39"/>
    <w:rsid w:val="008467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51">
    <w:name w:val="Tabla con cuadrícula11151"/>
    <w:basedOn w:val="Tablanormal"/>
    <w:next w:val="Tablaconcuadrcula"/>
    <w:uiPriority w:val="39"/>
    <w:rsid w:val="008467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39"/>
    <w:rsid w:val="008467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8467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39"/>
    <w:rsid w:val="00846794"/>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8467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8467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next w:val="Tablaconcuadrcula"/>
    <w:uiPriority w:val="39"/>
    <w:rsid w:val="008467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next w:val="Tablaconcuadrcula"/>
    <w:uiPriority w:val="39"/>
    <w:rsid w:val="00846794"/>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op">
    <w:name w:val="eop"/>
    <w:basedOn w:val="Fuentedeprrafopredeter"/>
    <w:rsid w:val="00A33E08"/>
  </w:style>
  <w:style w:type="numbering" w:customStyle="1" w:styleId="Sinlista5">
    <w:name w:val="Sin lista5"/>
    <w:next w:val="Sinlista"/>
    <w:uiPriority w:val="99"/>
    <w:semiHidden/>
    <w:unhideWhenUsed/>
    <w:rsid w:val="00A33E08"/>
  </w:style>
  <w:style w:type="table" w:customStyle="1" w:styleId="Tablaconcuadrcula5">
    <w:name w:val="Tabla con cuadrícula5"/>
    <w:basedOn w:val="Tablanormal"/>
    <w:next w:val="Tablaconcuadrcula"/>
    <w:uiPriority w:val="39"/>
    <w:rsid w:val="00A33E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A33E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A33E08"/>
  </w:style>
  <w:style w:type="table" w:customStyle="1" w:styleId="Tablaconcuadrcula21">
    <w:name w:val="Tabla con cuadrícula21"/>
    <w:basedOn w:val="Tablanormal"/>
    <w:next w:val="Tablaconcuadrcula"/>
    <w:uiPriority w:val="39"/>
    <w:rsid w:val="00A33E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A33E08"/>
  </w:style>
  <w:style w:type="numbering" w:customStyle="1" w:styleId="Sinlista21">
    <w:name w:val="Sin lista21"/>
    <w:next w:val="Sinlista"/>
    <w:uiPriority w:val="99"/>
    <w:semiHidden/>
    <w:unhideWhenUsed/>
    <w:rsid w:val="00A33E08"/>
  </w:style>
  <w:style w:type="numbering" w:customStyle="1" w:styleId="Sinlista31">
    <w:name w:val="Sin lista31"/>
    <w:next w:val="Sinlista"/>
    <w:uiPriority w:val="99"/>
    <w:semiHidden/>
    <w:unhideWhenUsed/>
    <w:rsid w:val="00A33E08"/>
  </w:style>
  <w:style w:type="table" w:customStyle="1" w:styleId="Tablaconcuadrcula31">
    <w:name w:val="Tabla con cuadrícula31"/>
    <w:basedOn w:val="Tablanormal"/>
    <w:next w:val="Tablaconcuadrcula"/>
    <w:uiPriority w:val="39"/>
    <w:rsid w:val="00A33E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A33E08"/>
  </w:style>
  <w:style w:type="table" w:customStyle="1" w:styleId="Tablaconcuadrcula41">
    <w:name w:val="Tabla con cuadrícula41"/>
    <w:basedOn w:val="Tablanormal"/>
    <w:next w:val="Tablaconcuadrcula"/>
    <w:uiPriority w:val="39"/>
    <w:rsid w:val="00A33E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A33E08"/>
  </w:style>
  <w:style w:type="numbering" w:customStyle="1" w:styleId="Estiloimportado11">
    <w:name w:val="Estilo importado 11"/>
    <w:rsid w:val="00A33E08"/>
  </w:style>
  <w:style w:type="numbering" w:customStyle="1" w:styleId="Sinlista1111">
    <w:name w:val="Sin lista1111"/>
    <w:next w:val="Sinlista"/>
    <w:uiPriority w:val="99"/>
    <w:semiHidden/>
    <w:unhideWhenUsed/>
    <w:rsid w:val="00A33E08"/>
  </w:style>
  <w:style w:type="numbering" w:customStyle="1" w:styleId="Sinlista6">
    <w:name w:val="Sin lista6"/>
    <w:next w:val="Sinlista"/>
    <w:uiPriority w:val="99"/>
    <w:semiHidden/>
    <w:unhideWhenUsed/>
    <w:rsid w:val="00A33E08"/>
  </w:style>
  <w:style w:type="table" w:customStyle="1" w:styleId="Tablaconcuadrcula6">
    <w:name w:val="Tabla con cuadrícula6"/>
    <w:basedOn w:val="Tablanormal"/>
    <w:next w:val="Tablaconcuadrcula"/>
    <w:uiPriority w:val="39"/>
    <w:rsid w:val="00A33E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A33E08"/>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A33E08"/>
  </w:style>
  <w:style w:type="table" w:customStyle="1" w:styleId="Tablaconcuadrcula7">
    <w:name w:val="Tabla con cuadrícula7"/>
    <w:basedOn w:val="Tablanormal"/>
    <w:next w:val="Tablaconcuadrcula"/>
    <w:uiPriority w:val="39"/>
    <w:rsid w:val="00A33E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A33E08"/>
  </w:style>
  <w:style w:type="table" w:customStyle="1" w:styleId="Tablaconcuadrcula13">
    <w:name w:val="Tabla con cuadrícula13"/>
    <w:basedOn w:val="Tablanormal"/>
    <w:next w:val="Tablaconcuadrcula"/>
    <w:uiPriority w:val="59"/>
    <w:rsid w:val="00A33E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A33E08"/>
  </w:style>
  <w:style w:type="table" w:customStyle="1" w:styleId="Tablaconcuadrcula22">
    <w:name w:val="Tabla con cuadrícula22"/>
    <w:basedOn w:val="Tablanormal"/>
    <w:next w:val="Tablaconcuadrcula"/>
    <w:uiPriority w:val="39"/>
    <w:rsid w:val="00A33E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A33E08"/>
  </w:style>
  <w:style w:type="table" w:customStyle="1" w:styleId="Tablaconcuadrcula32">
    <w:name w:val="Tabla con cuadrícula32"/>
    <w:basedOn w:val="Tablanormal"/>
    <w:next w:val="Tablaconcuadrcula"/>
    <w:uiPriority w:val="39"/>
    <w:rsid w:val="00A33E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A33E08"/>
  </w:style>
  <w:style w:type="table" w:customStyle="1" w:styleId="Tablaconcuadrcula42">
    <w:name w:val="Tabla con cuadrícula42"/>
    <w:basedOn w:val="Tablanormal"/>
    <w:next w:val="Tablaconcuadrcula"/>
    <w:uiPriority w:val="39"/>
    <w:rsid w:val="00A33E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A33E08"/>
  </w:style>
  <w:style w:type="table" w:customStyle="1" w:styleId="Tablaconcuadrcula51">
    <w:name w:val="Tabla con cuadrícula51"/>
    <w:basedOn w:val="Tablanormal"/>
    <w:next w:val="Tablaconcuadrcula"/>
    <w:uiPriority w:val="39"/>
    <w:rsid w:val="00A33E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A33E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A33E08"/>
  </w:style>
  <w:style w:type="table" w:customStyle="1" w:styleId="Tablaconcuadrcula61">
    <w:name w:val="Tabla con cuadrícula61"/>
    <w:basedOn w:val="Tablanormal"/>
    <w:next w:val="Tablaconcuadrcula"/>
    <w:uiPriority w:val="39"/>
    <w:rsid w:val="00A33E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A33E08"/>
  </w:style>
  <w:style w:type="numbering" w:customStyle="1" w:styleId="Estiloimportado12">
    <w:name w:val="Estilo importado 12"/>
    <w:rsid w:val="00A33E08"/>
  </w:style>
  <w:style w:type="table" w:customStyle="1" w:styleId="Tablaconcuadrcula121">
    <w:name w:val="Tabla con cuadrícula121"/>
    <w:basedOn w:val="Tablanormal"/>
    <w:next w:val="Tablaconcuadrcula"/>
    <w:uiPriority w:val="59"/>
    <w:rsid w:val="00A33E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A33E08"/>
  </w:style>
  <w:style w:type="table" w:customStyle="1" w:styleId="Tablaconcuadrcula211">
    <w:name w:val="Tabla con cuadrícula211"/>
    <w:basedOn w:val="Tablanormal"/>
    <w:next w:val="Tablaconcuadrcula"/>
    <w:uiPriority w:val="39"/>
    <w:rsid w:val="00A33E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A33E08"/>
  </w:style>
  <w:style w:type="numbering" w:customStyle="1" w:styleId="Sinlista211">
    <w:name w:val="Sin lista211"/>
    <w:next w:val="Sinlista"/>
    <w:uiPriority w:val="99"/>
    <w:semiHidden/>
    <w:unhideWhenUsed/>
    <w:rsid w:val="00A33E08"/>
  </w:style>
  <w:style w:type="numbering" w:customStyle="1" w:styleId="Sinlista311">
    <w:name w:val="Sin lista311"/>
    <w:next w:val="Sinlista"/>
    <w:uiPriority w:val="99"/>
    <w:semiHidden/>
    <w:unhideWhenUsed/>
    <w:rsid w:val="00A33E08"/>
  </w:style>
  <w:style w:type="table" w:customStyle="1" w:styleId="Tablaconcuadrcula311">
    <w:name w:val="Tabla con cuadrícula311"/>
    <w:basedOn w:val="Tablanormal"/>
    <w:next w:val="Tablaconcuadrcula"/>
    <w:uiPriority w:val="39"/>
    <w:rsid w:val="00A33E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A33E08"/>
  </w:style>
  <w:style w:type="table" w:customStyle="1" w:styleId="Tablaconcuadrcula411">
    <w:name w:val="Tabla con cuadrícula411"/>
    <w:basedOn w:val="Tablanormal"/>
    <w:next w:val="Tablaconcuadrcula"/>
    <w:uiPriority w:val="39"/>
    <w:rsid w:val="00A33E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A33E08"/>
  </w:style>
  <w:style w:type="numbering" w:customStyle="1" w:styleId="Sinlista121">
    <w:name w:val="Sin lista121"/>
    <w:next w:val="Sinlista"/>
    <w:uiPriority w:val="99"/>
    <w:semiHidden/>
    <w:unhideWhenUsed/>
    <w:rsid w:val="00A33E08"/>
  </w:style>
  <w:style w:type="numbering" w:customStyle="1" w:styleId="Sinlista11111">
    <w:name w:val="Sin lista11111"/>
    <w:next w:val="Sinlista"/>
    <w:uiPriority w:val="99"/>
    <w:semiHidden/>
    <w:unhideWhenUsed/>
    <w:rsid w:val="00A33E08"/>
  </w:style>
  <w:style w:type="numbering" w:customStyle="1" w:styleId="Sinlista2111">
    <w:name w:val="Sin lista2111"/>
    <w:next w:val="Sinlista"/>
    <w:uiPriority w:val="99"/>
    <w:semiHidden/>
    <w:unhideWhenUsed/>
    <w:rsid w:val="00A33E08"/>
  </w:style>
  <w:style w:type="numbering" w:customStyle="1" w:styleId="Sinlista3111">
    <w:name w:val="Sin lista3111"/>
    <w:next w:val="Sinlista"/>
    <w:uiPriority w:val="99"/>
    <w:semiHidden/>
    <w:unhideWhenUsed/>
    <w:rsid w:val="00A33E08"/>
  </w:style>
  <w:style w:type="numbering" w:customStyle="1" w:styleId="Sinlista4111">
    <w:name w:val="Sin lista4111"/>
    <w:next w:val="Sinlista"/>
    <w:uiPriority w:val="99"/>
    <w:semiHidden/>
    <w:unhideWhenUsed/>
    <w:rsid w:val="00A33E08"/>
  </w:style>
  <w:style w:type="numbering" w:customStyle="1" w:styleId="Sinlista71">
    <w:name w:val="Sin lista71"/>
    <w:next w:val="Sinlista"/>
    <w:uiPriority w:val="99"/>
    <w:semiHidden/>
    <w:unhideWhenUsed/>
    <w:rsid w:val="00A33E08"/>
  </w:style>
  <w:style w:type="table" w:customStyle="1" w:styleId="Tablaconcuadrcula8">
    <w:name w:val="Tabla con cuadrícula8"/>
    <w:basedOn w:val="Tablanormal"/>
    <w:next w:val="Tablaconcuadrcula"/>
    <w:uiPriority w:val="39"/>
    <w:rsid w:val="00A33E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A33E08"/>
  </w:style>
  <w:style w:type="numbering" w:customStyle="1" w:styleId="Estiloimportado111">
    <w:name w:val="Estilo importado 111"/>
    <w:rsid w:val="00A33E08"/>
  </w:style>
  <w:style w:type="numbering" w:customStyle="1" w:styleId="Sinlista131">
    <w:name w:val="Sin lista131"/>
    <w:next w:val="Sinlista"/>
    <w:uiPriority w:val="99"/>
    <w:semiHidden/>
    <w:unhideWhenUsed/>
    <w:rsid w:val="00A33E08"/>
  </w:style>
  <w:style w:type="numbering" w:customStyle="1" w:styleId="Sinlista1121">
    <w:name w:val="Sin lista1121"/>
    <w:next w:val="Sinlista"/>
    <w:uiPriority w:val="99"/>
    <w:semiHidden/>
    <w:unhideWhenUsed/>
    <w:rsid w:val="00A33E08"/>
  </w:style>
  <w:style w:type="table" w:customStyle="1" w:styleId="Tablaconcuadrcula1121">
    <w:name w:val="Tabla con cuadrícula1121"/>
    <w:basedOn w:val="Tablanormal"/>
    <w:next w:val="Tablaconcuadrcula"/>
    <w:uiPriority w:val="39"/>
    <w:rsid w:val="00A33E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A33E08"/>
  </w:style>
  <w:style w:type="numbering" w:customStyle="1" w:styleId="Sinlista321">
    <w:name w:val="Sin lista321"/>
    <w:next w:val="Sinlista"/>
    <w:uiPriority w:val="99"/>
    <w:semiHidden/>
    <w:unhideWhenUsed/>
    <w:rsid w:val="00A33E08"/>
  </w:style>
  <w:style w:type="numbering" w:customStyle="1" w:styleId="Sinlista421">
    <w:name w:val="Sin lista421"/>
    <w:next w:val="Sinlista"/>
    <w:uiPriority w:val="99"/>
    <w:semiHidden/>
    <w:unhideWhenUsed/>
    <w:rsid w:val="00A33E08"/>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styleId="Tabladecuadrcula1clara-nfasis1">
    <w:name w:val="Grid Table 1 Light Accent 1"/>
    <w:basedOn w:val="Tablanormal"/>
    <w:uiPriority w:val="46"/>
    <w:rsid w:val="00930A1A"/>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decuadrcula2-nfasis5">
    <w:name w:val="Grid Table 2 Accent 5"/>
    <w:basedOn w:val="Tablanormal"/>
    <w:uiPriority w:val="47"/>
    <w:rsid w:val="00930A1A"/>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3-nfasis1">
    <w:name w:val="Grid Table 3 Accent 1"/>
    <w:basedOn w:val="Tablanormal"/>
    <w:uiPriority w:val="48"/>
    <w:rsid w:val="00930A1A"/>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decuadrcula3-nfasis5">
    <w:name w:val="Grid Table 3 Accent 5"/>
    <w:basedOn w:val="Tablanormal"/>
    <w:uiPriority w:val="48"/>
    <w:rsid w:val="00930A1A"/>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normal4">
    <w:name w:val="Plain Table 4"/>
    <w:basedOn w:val="Tablanormal"/>
    <w:uiPriority w:val="44"/>
    <w:rsid w:val="008563C3"/>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8563C3"/>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
    <w:name w:val="Plain Table 1"/>
    <w:basedOn w:val="Tablanormal"/>
    <w:uiPriority w:val="41"/>
    <w:rsid w:val="008563C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3"/>
    <w:tblPr>
      <w:tblStyleRowBandSize w:val="1"/>
      <w:tblStyleColBandSize w:val="1"/>
      <w:tblCellMar>
        <w:top w:w="0" w:type="dxa"/>
        <w:left w:w="115" w:type="dxa"/>
        <w:bottom w:w="0" w:type="dxa"/>
        <w:right w:w="115" w:type="dxa"/>
      </w:tblCellMar>
    </w:tblPr>
  </w:style>
  <w:style w:type="table" w:customStyle="1" w:styleId="a0">
    <w:basedOn w:val="TableNormal3"/>
    <w:tblPr>
      <w:tblStyleRowBandSize w:val="1"/>
      <w:tblStyleColBandSize w:val="1"/>
      <w:tblCellMar>
        <w:top w:w="0" w:type="dxa"/>
        <w:left w:w="115" w:type="dxa"/>
        <w:bottom w:w="0" w:type="dxa"/>
        <w:right w:w="115" w:type="dxa"/>
      </w:tblCellMar>
    </w:tblPr>
  </w:style>
  <w:style w:type="table" w:customStyle="1" w:styleId="a1">
    <w:basedOn w:val="TableNormal2"/>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2"/>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dof.gob.mx/nota_detalle.php?codigo=5324940&amp;fecha=09/12/2013"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miportal.fone.sep.gob.mx"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wP2VYdyG9ENCvNmfwWVdCklboQ==">AMUW2mXYVwOtRyf0DQfa4ctnAsbaNQIS/9/XOyN1CX1xRCM3oScHRCB420Q9qTs8I1y43bNWdyzx4ZcXXOotfA2H8HPkuCqnmxl8FnE8chCd3KyRALBHOM9Yzx/MhStQ58xyKaYkxdTZqJ0lx7rVcg42dCPs9Hqag2kef7dGF2xFKHAwV8rLwM4NmWRw9AkULTqCqseCq6LW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5921</Words>
  <Characters>32569</Characters>
  <Application>Microsoft Office Word</Application>
  <DocSecurity>0</DocSecurity>
  <Lines>271</Lines>
  <Paragraphs>76</Paragraphs>
  <ScaleCrop>false</ScaleCrop>
  <Company>INFOEM</Company>
  <LinksUpToDate>false</LinksUpToDate>
  <CharactersWithSpaces>38414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pcs</dc:creator>
  <cp:lastModifiedBy>USUARIO</cp:lastModifiedBy>
  <cp:revision>3</cp:revision>
  <dcterms:created xsi:type="dcterms:W3CDTF">2022-01-11T23:54:00Z</dcterms:created>
  <dcterms:modified xsi:type="dcterms:W3CDTF">2022-02-22T02:38:00Z</dcterms:modified>
</cp:coreProperties>
</file>