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99" w:rsidRDefault="007D0A3A">
      <w:pPr>
        <w:contextualSpacing/>
        <w:rPr>
          <w:rFonts w:eastAsia="Palatino Linotype" w:cs="Palatino Linotype"/>
          <w:color w:val="000000"/>
          <w:szCs w:val="24"/>
        </w:rPr>
      </w:pPr>
      <w:r>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w:t>
      </w:r>
      <w:r>
        <w:rPr>
          <w:rFonts w:eastAsia="Palatino Linotype" w:cs="Palatino Linotype"/>
          <w:color w:val="000000"/>
          <w:szCs w:val="24"/>
        </w:rPr>
        <w:t xml:space="preserve"> de México, a siete de septiembre de dos mil veintidós.</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color w:val="000000"/>
          <w:szCs w:val="24"/>
        </w:rPr>
      </w:pPr>
      <w:r>
        <w:rPr>
          <w:rFonts w:eastAsia="Palatino Linotype" w:cs="Palatino Linotype"/>
          <w:b/>
          <w:color w:val="000000"/>
          <w:szCs w:val="24"/>
        </w:rPr>
        <w:t>VISTO</w:t>
      </w:r>
      <w:r>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09985/INFOEM/IP/RR/2022</w:t>
      </w:r>
      <w:r>
        <w:rPr>
          <w:rFonts w:eastAsia="Palatino Linotype" w:cs="Palatino Linotype"/>
          <w:color w:val="000000"/>
          <w:szCs w:val="24"/>
        </w:rPr>
        <w:t xml:space="preserve">, interpuesto por </w:t>
      </w:r>
      <w:r w:rsidR="00DB37F7">
        <w:rPr>
          <w:rFonts w:eastAsia="Palatino Linotype" w:cs="Palatino Linotype"/>
          <w:b/>
          <w:bCs/>
          <w:color w:val="000000"/>
          <w:szCs w:val="24"/>
        </w:rPr>
        <w:t>XXXX</w:t>
      </w:r>
      <w:r>
        <w:rPr>
          <w:rFonts w:eastAsia="Palatino Linotype" w:cs="Palatino Linotype"/>
          <w:color w:val="000000"/>
          <w:szCs w:val="24"/>
        </w:rPr>
        <w:t xml:space="preserve">, en lo sucesivo el </w:t>
      </w:r>
      <w:r>
        <w:rPr>
          <w:rFonts w:eastAsia="Palatino Linotype" w:cs="Palatino Linotype"/>
          <w:b/>
          <w:color w:val="000000"/>
          <w:szCs w:val="24"/>
        </w:rPr>
        <w:t>Recurrente</w:t>
      </w:r>
      <w:r>
        <w:rPr>
          <w:rFonts w:eastAsia="Palatino Linotype" w:cs="Palatino Linotype"/>
          <w:color w:val="000000"/>
          <w:szCs w:val="24"/>
        </w:rPr>
        <w:t xml:space="preserve">, en contra de la respuesta del </w:t>
      </w:r>
      <w:r>
        <w:rPr>
          <w:rFonts w:eastAsia="Palatino Linotype" w:cs="Palatino Linotype"/>
          <w:b/>
          <w:bCs/>
          <w:color w:val="000000"/>
          <w:szCs w:val="24"/>
        </w:rPr>
        <w:t>Ayuntamien</w:t>
      </w:r>
      <w:r>
        <w:rPr>
          <w:rFonts w:eastAsia="Palatino Linotype" w:cs="Palatino Linotype"/>
          <w:b/>
          <w:bCs/>
          <w:color w:val="000000"/>
          <w:szCs w:val="24"/>
        </w:rPr>
        <w:t>to de Aculco</w:t>
      </w:r>
      <w:r>
        <w:rPr>
          <w:rFonts w:eastAsia="Palatino Linotype" w:cs="Palatino Linotype"/>
          <w:color w:val="000000"/>
          <w:szCs w:val="24"/>
        </w:rPr>
        <w:t>, en lo subsecuente el</w:t>
      </w:r>
      <w:r>
        <w:rPr>
          <w:rFonts w:eastAsia="Palatino Linotype" w:cs="Palatino Linotype"/>
          <w:b/>
          <w:color w:val="000000"/>
          <w:szCs w:val="24"/>
        </w:rPr>
        <w:t xml:space="preserve"> Sujeto Obligado, </w:t>
      </w:r>
      <w:r>
        <w:rPr>
          <w:rFonts w:eastAsia="Palatino Linotype" w:cs="Palatino Linotype"/>
          <w:color w:val="000000"/>
          <w:szCs w:val="24"/>
        </w:rPr>
        <w:t>se procede a dictar la presente resolución.</w:t>
      </w:r>
    </w:p>
    <w:p w:rsidR="00D51099" w:rsidRDefault="00D51099">
      <w:pPr>
        <w:contextualSpacing/>
        <w:rPr>
          <w:rFonts w:eastAsia="Palatino Linotype" w:cs="Palatino Linotype"/>
          <w:color w:val="000000"/>
          <w:szCs w:val="24"/>
        </w:rPr>
      </w:pPr>
    </w:p>
    <w:p w:rsidR="00D51099" w:rsidRDefault="007D0A3A">
      <w:pPr>
        <w:contextualSpacing/>
        <w:jc w:val="center"/>
        <w:rPr>
          <w:rFonts w:eastAsia="Palatino Linotype" w:cs="Palatino Linotype"/>
          <w:b/>
          <w:color w:val="000000"/>
          <w:sz w:val="28"/>
          <w:szCs w:val="28"/>
        </w:rPr>
      </w:pPr>
      <w:r>
        <w:rPr>
          <w:rFonts w:eastAsia="Palatino Linotype" w:cs="Palatino Linotype"/>
          <w:b/>
          <w:color w:val="000000"/>
          <w:sz w:val="28"/>
          <w:szCs w:val="28"/>
        </w:rPr>
        <w:t>A N T E C E D E N T E S</w:t>
      </w:r>
    </w:p>
    <w:p w:rsidR="00D51099" w:rsidRDefault="00D51099">
      <w:pPr>
        <w:contextualSpacing/>
        <w:rPr>
          <w:rFonts w:eastAsia="Palatino Linotype" w:cs="Palatino Linotype"/>
          <w:b/>
          <w:color w:val="000000"/>
          <w:szCs w:val="24"/>
        </w:rPr>
      </w:pPr>
    </w:p>
    <w:p w:rsidR="00D51099" w:rsidRDefault="007D0A3A">
      <w:pPr>
        <w:contextualSpacing/>
        <w:rPr>
          <w:rFonts w:eastAsia="Palatino Linotype" w:cs="Palatino Linotype"/>
          <w:color w:val="000000"/>
          <w:sz w:val="26"/>
          <w:szCs w:val="26"/>
        </w:rPr>
      </w:pPr>
      <w:r>
        <w:rPr>
          <w:rFonts w:eastAsia="Palatino Linotype" w:cs="Palatino Linotype"/>
          <w:b/>
          <w:color w:val="000000"/>
          <w:sz w:val="26"/>
          <w:szCs w:val="26"/>
        </w:rPr>
        <w:t>PRIMERO.</w:t>
      </w:r>
      <w:r>
        <w:rPr>
          <w:rFonts w:eastAsia="Palatino Linotype" w:cs="Palatino Linotype"/>
          <w:color w:val="000000"/>
          <w:sz w:val="26"/>
          <w:szCs w:val="26"/>
        </w:rPr>
        <w:t xml:space="preserve"> </w:t>
      </w:r>
      <w:r>
        <w:rPr>
          <w:rFonts w:eastAsia="Palatino Linotype" w:cs="Palatino Linotype"/>
          <w:b/>
          <w:color w:val="000000"/>
          <w:sz w:val="26"/>
          <w:szCs w:val="26"/>
        </w:rPr>
        <w:t>De la Solicitud de Información.</w:t>
      </w:r>
    </w:p>
    <w:p w:rsidR="00D51099" w:rsidRDefault="007D0A3A">
      <w:pPr>
        <w:contextualSpacing/>
        <w:rPr>
          <w:rFonts w:eastAsia="Palatino Linotype" w:cs="Palatino Linotype"/>
          <w:color w:val="000000"/>
          <w:szCs w:val="24"/>
        </w:rPr>
      </w:pPr>
      <w:r>
        <w:rPr>
          <w:rFonts w:eastAsia="Palatino Linotype" w:cs="Palatino Linotype"/>
          <w:color w:val="000000"/>
          <w:szCs w:val="24"/>
        </w:rPr>
        <w:t>Con fecha veintinueve de marzo de dos mil veintidós, el Recurrente presentó solicitud de info</w:t>
      </w:r>
      <w:r>
        <w:rPr>
          <w:rFonts w:eastAsia="Palatino Linotype" w:cs="Palatino Linotype"/>
          <w:color w:val="000000"/>
          <w:szCs w:val="24"/>
        </w:rPr>
        <w:t>rmación pública por medio del Sistema de Acceso a la Información Mexiquense (SAIMEX), registrada con el número de expediente</w:t>
      </w:r>
      <w:r>
        <w:rPr>
          <w:rFonts w:eastAsia="Palatino Linotype" w:cs="Palatino Linotype"/>
          <w:b/>
          <w:color w:val="000000"/>
          <w:szCs w:val="24"/>
        </w:rPr>
        <w:t xml:space="preserve"> </w:t>
      </w:r>
      <w:r>
        <w:rPr>
          <w:rFonts w:eastAsia="Palatino Linotype" w:cs="Palatino Linotype"/>
          <w:b/>
          <w:bCs/>
          <w:color w:val="000000"/>
          <w:szCs w:val="24"/>
        </w:rPr>
        <w:t>00076/ACULCO/IP/2022</w:t>
      </w:r>
      <w:r>
        <w:rPr>
          <w:rFonts w:eastAsia="Palatino Linotype" w:cs="Palatino Linotype"/>
          <w:color w:val="000000"/>
          <w:szCs w:val="24"/>
        </w:rPr>
        <w:t>,</w:t>
      </w:r>
      <w:r>
        <w:rPr>
          <w:rFonts w:eastAsia="Palatino Linotype" w:cs="Palatino Linotype"/>
          <w:b/>
          <w:color w:val="000000"/>
          <w:szCs w:val="24"/>
        </w:rPr>
        <w:t xml:space="preserve"> </w:t>
      </w:r>
      <w:r>
        <w:rPr>
          <w:rFonts w:eastAsia="Palatino Linotype" w:cs="Palatino Linotype"/>
          <w:color w:val="000000"/>
          <w:szCs w:val="24"/>
        </w:rPr>
        <w:t>mediante la cual solicitó información en el tenor siguiente:</w:t>
      </w:r>
    </w:p>
    <w:p w:rsidR="00D51099" w:rsidRDefault="00D51099">
      <w:pPr>
        <w:contextualSpacing/>
        <w:rPr>
          <w:rFonts w:eastAsia="Palatino Linotype" w:cs="Palatino Linotype"/>
          <w:color w:val="000000"/>
          <w:szCs w:val="24"/>
        </w:rPr>
      </w:pPr>
    </w:p>
    <w:p w:rsidR="00D51099" w:rsidRDefault="007D0A3A">
      <w:pPr>
        <w:spacing w:line="240" w:lineRule="auto"/>
        <w:ind w:left="567" w:right="567"/>
        <w:contextualSpacing/>
        <w:rPr>
          <w:rFonts w:eastAsia="Palatino Linotype" w:cs="Palatino Linotype"/>
          <w:i/>
          <w:color w:val="000000"/>
        </w:rPr>
      </w:pPr>
      <w:r>
        <w:rPr>
          <w:rFonts w:eastAsia="Palatino Linotype" w:cs="Palatino Linotype"/>
          <w:i/>
          <w:color w:val="000000"/>
        </w:rPr>
        <w:t>“Respuesta a las siguientes preguntas: Solicito</w:t>
      </w:r>
      <w:r>
        <w:rPr>
          <w:rFonts w:eastAsia="Palatino Linotype" w:cs="Palatino Linotype"/>
          <w:i/>
          <w:color w:val="000000"/>
        </w:rPr>
        <w:t xml:space="preserve"> saber cuáles bienes inmuebles ha adquirido el ayuntamiento, ¿cuál fue el costo de los mismos de enero del 2021 a la fecha? ¿Cuándo fueron ingresados al patrimonio municipal? Solicito copia de las actas y contratos ¿Qué bienes se han dado de baja del patri</w:t>
      </w:r>
      <w:r>
        <w:rPr>
          <w:rFonts w:eastAsia="Palatino Linotype" w:cs="Palatino Linotype"/>
          <w:i/>
          <w:color w:val="000000"/>
        </w:rPr>
        <w:t>monio municipal desde enero de 2022? Especificando cada bien y motivos de la baja ¿Qué bienes inmuebles renta el h. ayuntamiento y que costo mensual tienen? Copia del contrato” (Sic)</w:t>
      </w:r>
    </w:p>
    <w:p w:rsidR="00D51099" w:rsidRDefault="00D51099">
      <w:pPr>
        <w:contextualSpacing/>
        <w:rPr>
          <w:rFonts w:eastAsia="Palatino Linotype" w:cs="Palatino Linotype"/>
          <w:iCs/>
          <w:color w:val="000000"/>
          <w:szCs w:val="24"/>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Modalidad de entrega: </w:t>
      </w:r>
      <w:r>
        <w:rPr>
          <w:rFonts w:eastAsia="Palatino Linotype" w:cs="Palatino Linotype"/>
          <w:b/>
          <w:color w:val="000000"/>
          <w:szCs w:val="24"/>
        </w:rPr>
        <w:t>A través del SAIMEX</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bCs/>
          <w:color w:val="000000"/>
          <w:sz w:val="26"/>
          <w:szCs w:val="26"/>
        </w:rPr>
      </w:pPr>
      <w:r>
        <w:rPr>
          <w:rFonts w:eastAsia="Palatino Linotype" w:cs="Palatino Linotype"/>
          <w:b/>
          <w:bCs/>
          <w:color w:val="000000"/>
          <w:sz w:val="26"/>
          <w:szCs w:val="26"/>
        </w:rPr>
        <w:t xml:space="preserve">SEGUNDO. De la solicitud de </w:t>
      </w:r>
      <w:r>
        <w:rPr>
          <w:rFonts w:eastAsia="Palatino Linotype" w:cs="Palatino Linotype"/>
          <w:b/>
          <w:bCs/>
          <w:color w:val="000000"/>
          <w:sz w:val="26"/>
          <w:szCs w:val="26"/>
        </w:rPr>
        <w:t>aclaración y aclaración del Recurrente.</w:t>
      </w:r>
    </w:p>
    <w:p w:rsidR="00D51099" w:rsidRDefault="007D0A3A">
      <w:pPr>
        <w:contextualSpacing/>
        <w:rPr>
          <w:rFonts w:eastAsia="Palatino Linotype" w:cs="Palatino Linotype"/>
          <w:color w:val="000000"/>
          <w:szCs w:val="24"/>
        </w:rPr>
      </w:pPr>
      <w:r>
        <w:rPr>
          <w:rFonts w:eastAsia="Palatino Linotype" w:cs="Palatino Linotype"/>
          <w:color w:val="000000"/>
          <w:szCs w:val="24"/>
        </w:rPr>
        <w:t>El día cuatro de abril de dos mil veintidós, el Sujeto Obligado solicitó al Recurrente que, respecto de su pregunta número uno, especificará el periodo que desea conocer. Por lo que en fecha dieciséis de abril del añ</w:t>
      </w:r>
      <w:r>
        <w:rPr>
          <w:rFonts w:eastAsia="Palatino Linotype" w:cs="Palatino Linotype"/>
          <w:color w:val="000000"/>
          <w:szCs w:val="24"/>
        </w:rPr>
        <w:t>o en curso, el Recurrente presentó la aclaración solicitada en los siguientes términos:</w:t>
      </w:r>
    </w:p>
    <w:p w:rsidR="00D51099" w:rsidRDefault="00D51099">
      <w:pPr>
        <w:contextualSpacing/>
        <w:rPr>
          <w:rFonts w:eastAsia="Palatino Linotype" w:cs="Palatino Linotype"/>
          <w:color w:val="000000"/>
          <w:szCs w:val="24"/>
        </w:rPr>
      </w:pPr>
    </w:p>
    <w:p w:rsidR="00D51099" w:rsidRDefault="007D0A3A">
      <w:pPr>
        <w:pStyle w:val="Sinespaciado"/>
        <w:rPr>
          <w:rFonts w:eastAsia="Palatino Linotype"/>
        </w:rPr>
      </w:pPr>
      <w:r>
        <w:rPr>
          <w:rFonts w:eastAsia="Palatino Linotype"/>
        </w:rPr>
        <w:t>“Quiero conocer la información que solicito de enero del 2021 a la fecha” (Sic)</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TERCERO. De la respuesta del Sujeto Obligado.</w:t>
      </w: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De las constancias que obran en el </w:t>
      </w:r>
      <w:r>
        <w:rPr>
          <w:rFonts w:eastAsia="Palatino Linotype" w:cs="Palatino Linotype"/>
          <w:color w:val="000000"/>
          <w:szCs w:val="24"/>
        </w:rPr>
        <w:t>expediente electrónico, se observa que el día diez de mayo de dos mil veintidós, el Sujeto Obligado dio respuesta a la solicitud de información, manifestando lo siguiente:</w:t>
      </w:r>
    </w:p>
    <w:p w:rsidR="00D51099" w:rsidRDefault="00D51099">
      <w:pPr>
        <w:contextualSpacing/>
        <w:rPr>
          <w:rFonts w:eastAsia="Palatino Linotype" w:cs="Palatino Linotype"/>
          <w:color w:val="000000"/>
          <w:szCs w:val="24"/>
        </w:rPr>
      </w:pPr>
    </w:p>
    <w:p w:rsidR="00D51099" w:rsidRDefault="007D0A3A">
      <w:pPr>
        <w:spacing w:line="240" w:lineRule="auto"/>
        <w:ind w:left="567" w:right="567"/>
        <w:contextualSpacing/>
        <w:rPr>
          <w:rFonts w:eastAsia="Palatino Linotype" w:cs="Palatino Linotype"/>
          <w:i/>
          <w:color w:val="000000"/>
        </w:rPr>
      </w:pPr>
      <w:r>
        <w:rPr>
          <w:rFonts w:eastAsia="Palatino Linotype" w:cs="Palatino Linotype"/>
          <w:i/>
          <w:color w:val="000000"/>
        </w:rPr>
        <w:t xml:space="preserve">“En respuesta a la solicitud recibida, nos permitimos hacer de su conocimiento que </w:t>
      </w:r>
      <w:r>
        <w:rPr>
          <w:rFonts w:eastAsia="Palatino Linotype" w:cs="Palatino Linotype"/>
          <w:i/>
          <w:color w:val="000000"/>
        </w:rPr>
        <w:t>con fundamento en el artículo 53, Fracciones: II, V y VI de la Ley de Transparencia y Acceso a la Información Pública del Estado de México y Municipios, le contestamos que:</w:t>
      </w:r>
    </w:p>
    <w:p w:rsidR="00D51099" w:rsidRDefault="00D51099">
      <w:pPr>
        <w:spacing w:line="240" w:lineRule="auto"/>
        <w:ind w:left="567" w:right="567"/>
        <w:contextualSpacing/>
        <w:rPr>
          <w:rFonts w:eastAsia="Palatino Linotype" w:cs="Palatino Linotype"/>
          <w:i/>
          <w:color w:val="000000"/>
        </w:rPr>
      </w:pPr>
    </w:p>
    <w:p w:rsidR="00D51099" w:rsidRDefault="007D0A3A">
      <w:pPr>
        <w:spacing w:line="240" w:lineRule="auto"/>
        <w:ind w:left="567" w:right="567"/>
        <w:contextualSpacing/>
        <w:rPr>
          <w:rFonts w:eastAsia="Palatino Linotype" w:cs="Palatino Linotype"/>
          <w:i/>
          <w:color w:val="000000"/>
        </w:rPr>
      </w:pPr>
      <w:r>
        <w:rPr>
          <w:rFonts w:eastAsia="Palatino Linotype" w:cs="Palatino Linotype"/>
          <w:i/>
          <w:color w:val="000000"/>
        </w:rPr>
        <w:t>Buenas tardes, se anexa información solicitada</w:t>
      </w:r>
    </w:p>
    <w:p w:rsidR="00D51099" w:rsidRDefault="00D51099">
      <w:pPr>
        <w:spacing w:line="240" w:lineRule="auto"/>
        <w:ind w:left="567" w:right="567"/>
        <w:contextualSpacing/>
        <w:rPr>
          <w:rFonts w:eastAsia="Palatino Linotype" w:cs="Palatino Linotype"/>
          <w:i/>
          <w:color w:val="000000"/>
        </w:rPr>
      </w:pPr>
    </w:p>
    <w:p w:rsidR="00D51099" w:rsidRDefault="007D0A3A">
      <w:pPr>
        <w:spacing w:line="240" w:lineRule="auto"/>
        <w:ind w:left="567" w:right="567"/>
        <w:contextualSpacing/>
        <w:rPr>
          <w:rFonts w:eastAsia="Palatino Linotype" w:cs="Palatino Linotype"/>
          <w:i/>
          <w:color w:val="000000"/>
        </w:rPr>
      </w:pPr>
      <w:r>
        <w:rPr>
          <w:rFonts w:eastAsia="Palatino Linotype" w:cs="Palatino Linotype"/>
          <w:i/>
          <w:color w:val="000000"/>
        </w:rPr>
        <w:t>ATENTAMENTE</w:t>
      </w:r>
    </w:p>
    <w:p w:rsidR="00D51099" w:rsidRDefault="007D0A3A">
      <w:pPr>
        <w:spacing w:line="240" w:lineRule="auto"/>
        <w:ind w:left="567" w:right="567"/>
        <w:contextualSpacing/>
        <w:rPr>
          <w:rFonts w:eastAsia="Palatino Linotype" w:cs="Palatino Linotype"/>
          <w:i/>
          <w:color w:val="000000"/>
        </w:rPr>
      </w:pPr>
      <w:r>
        <w:rPr>
          <w:rFonts w:eastAsia="Palatino Linotype" w:cs="Palatino Linotype"/>
          <w:i/>
          <w:color w:val="000000"/>
        </w:rPr>
        <w:t xml:space="preserve">LIC. MARIA DEL CARMEN </w:t>
      </w:r>
      <w:r>
        <w:rPr>
          <w:rFonts w:eastAsia="Palatino Linotype" w:cs="Palatino Linotype"/>
          <w:i/>
          <w:color w:val="000000"/>
        </w:rPr>
        <w:t>YAÑEZ PEREZ” (Sic)</w:t>
      </w:r>
    </w:p>
    <w:p w:rsidR="00D51099" w:rsidRDefault="00D51099">
      <w:pPr>
        <w:ind w:right="567"/>
        <w:contextualSpacing/>
        <w:rPr>
          <w:rFonts w:eastAsia="Palatino Linotype" w:cs="Palatino Linotype"/>
          <w:iCs/>
          <w:color w:val="000000"/>
          <w:sz w:val="21"/>
          <w:szCs w:val="21"/>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lastRenderedPageBreak/>
        <w:t xml:space="preserve">El Sujeto Obligado anexó a su respuesta los documentos denominados </w:t>
      </w:r>
      <w:r>
        <w:rPr>
          <w:rFonts w:eastAsia="Palatino Linotype" w:cs="Palatino Linotype"/>
          <w:b/>
          <w:color w:val="000000"/>
          <w:szCs w:val="24"/>
        </w:rPr>
        <w:t>“SOL 76.pdf”</w:t>
      </w:r>
      <w:r>
        <w:rPr>
          <w:rFonts w:eastAsia="Palatino Linotype" w:cs="Palatino Linotype"/>
          <w:bCs/>
          <w:color w:val="000000"/>
          <w:szCs w:val="24"/>
        </w:rPr>
        <w:t xml:space="preserve"> y “</w:t>
      </w:r>
      <w:r>
        <w:rPr>
          <w:rFonts w:eastAsia="Palatino Linotype" w:cs="Palatino Linotype"/>
          <w:b/>
          <w:color w:val="000000"/>
          <w:szCs w:val="24"/>
        </w:rPr>
        <w:t>000-76-ACULCO-IP-2022.pdf”</w:t>
      </w:r>
      <w:r>
        <w:rPr>
          <w:rFonts w:eastAsia="Palatino Linotype" w:cs="Palatino Linotype"/>
          <w:bCs/>
          <w:color w:val="000000"/>
          <w:szCs w:val="24"/>
        </w:rPr>
        <w:t>,</w:t>
      </w:r>
      <w:r>
        <w:rPr>
          <w:rFonts w:eastAsia="Palatino Linotype" w:cs="Palatino Linotype"/>
          <w:color w:val="000000"/>
          <w:szCs w:val="24"/>
        </w:rPr>
        <w:t xml:space="preserve"> los cuales no se reproducen por ser del conocimiento de las partes; no obstante, se hará referencia de su contenido en el estudio correspondiente.</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CUARTO. Del recurso de revisión.</w:t>
      </w: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Inconforme con la respuesta emitida por el Sujeto Obligado, el Recurrente </w:t>
      </w:r>
      <w:r>
        <w:rPr>
          <w:rFonts w:eastAsia="Palatino Linotype" w:cs="Palatino Linotype"/>
          <w:color w:val="000000"/>
          <w:szCs w:val="24"/>
        </w:rPr>
        <w:t xml:space="preserve">interpuso el presente recurso de revisión el día treinta de mayo de dos mil veintidós, que fue registrado con el expediente número </w:t>
      </w:r>
      <w:r>
        <w:rPr>
          <w:rFonts w:eastAsia="Palatino Linotype" w:cs="Palatino Linotype"/>
          <w:b/>
          <w:color w:val="000000"/>
          <w:szCs w:val="24"/>
        </w:rPr>
        <w:t>09985/INFOEM/IP/RR/2022</w:t>
      </w:r>
      <w:r>
        <w:rPr>
          <w:rFonts w:eastAsia="Palatino Linotype" w:cs="Palatino Linotype"/>
          <w:color w:val="000000"/>
          <w:szCs w:val="24"/>
        </w:rPr>
        <w:t>, en el cual el particular manifestó lo siguiente:</w:t>
      </w:r>
    </w:p>
    <w:p w:rsidR="00D51099" w:rsidRDefault="00D51099">
      <w:pPr>
        <w:contextualSpacing/>
        <w:rPr>
          <w:rFonts w:eastAsia="Palatino Linotype" w:cs="Palatino Linotype"/>
          <w:color w:val="000000"/>
          <w:szCs w:val="24"/>
        </w:rPr>
      </w:pPr>
    </w:p>
    <w:p w:rsidR="00D51099" w:rsidRDefault="007D0A3A">
      <w:pPr>
        <w:spacing w:before="240"/>
        <w:ind w:right="-8"/>
        <w:contextualSpacing/>
        <w:rPr>
          <w:rFonts w:eastAsia="Palatino Linotype" w:cs="Palatino Linotype"/>
          <w:i/>
        </w:rPr>
      </w:pPr>
      <w:r>
        <w:rPr>
          <w:rFonts w:eastAsia="Palatino Linotype" w:cs="Palatino Linotype"/>
          <w:b/>
          <w:szCs w:val="24"/>
        </w:rPr>
        <w:t>Acto Impugnado:</w:t>
      </w:r>
      <w:r>
        <w:rPr>
          <w:rFonts w:eastAsia="Palatino Linotype" w:cs="Palatino Linotype"/>
          <w:i/>
        </w:rPr>
        <w:t xml:space="preserve"> </w:t>
      </w:r>
    </w:p>
    <w:p w:rsidR="00D51099" w:rsidRDefault="007D0A3A">
      <w:pPr>
        <w:spacing w:line="240" w:lineRule="auto"/>
        <w:ind w:left="567" w:right="567"/>
        <w:contextualSpacing/>
        <w:rPr>
          <w:rFonts w:eastAsia="Palatino Linotype" w:cs="Palatino Linotype"/>
          <w:b/>
          <w:szCs w:val="24"/>
        </w:rPr>
      </w:pPr>
      <w:r>
        <w:rPr>
          <w:rFonts w:eastAsia="Palatino Linotype" w:cs="Palatino Linotype"/>
          <w:i/>
        </w:rPr>
        <w:t>“Ninguno"(Sic)</w:t>
      </w:r>
    </w:p>
    <w:p w:rsidR="00D51099" w:rsidRDefault="00D51099">
      <w:pPr>
        <w:contextualSpacing/>
        <w:rPr>
          <w:rFonts w:eastAsia="Palatino Linotype" w:cs="Palatino Linotype"/>
          <w:szCs w:val="24"/>
        </w:rPr>
      </w:pPr>
    </w:p>
    <w:p w:rsidR="00D51099" w:rsidRDefault="007D0A3A">
      <w:pPr>
        <w:spacing w:before="240"/>
        <w:contextualSpacing/>
        <w:rPr>
          <w:rFonts w:eastAsia="Palatino Linotype" w:cs="Palatino Linotype"/>
          <w:szCs w:val="24"/>
        </w:rPr>
      </w:pPr>
      <w:r>
        <w:rPr>
          <w:rFonts w:eastAsia="Palatino Linotype" w:cs="Palatino Linotype"/>
          <w:b/>
          <w:szCs w:val="24"/>
        </w:rPr>
        <w:t>Razones o Motivos</w:t>
      </w:r>
      <w:r>
        <w:rPr>
          <w:rFonts w:eastAsia="Palatino Linotype" w:cs="Palatino Linotype"/>
          <w:b/>
          <w:szCs w:val="24"/>
        </w:rPr>
        <w:t xml:space="preserve"> de Inconformidad</w:t>
      </w:r>
      <w:r>
        <w:rPr>
          <w:rFonts w:eastAsia="Palatino Linotype" w:cs="Palatino Linotype"/>
          <w:szCs w:val="24"/>
        </w:rPr>
        <w:t xml:space="preserve">: </w:t>
      </w:r>
    </w:p>
    <w:p w:rsidR="00D51099" w:rsidRDefault="007D0A3A">
      <w:pPr>
        <w:spacing w:line="240" w:lineRule="auto"/>
        <w:ind w:left="567" w:right="567"/>
        <w:contextualSpacing/>
        <w:rPr>
          <w:rFonts w:eastAsia="Palatino Linotype" w:cs="Palatino Linotype"/>
          <w:szCs w:val="24"/>
        </w:rPr>
      </w:pPr>
      <w:r>
        <w:rPr>
          <w:rFonts w:eastAsia="Palatino Linotype" w:cs="Palatino Linotype"/>
          <w:i/>
        </w:rPr>
        <w:t>“Ninguno” (Sic)</w:t>
      </w:r>
    </w:p>
    <w:p w:rsidR="00D51099" w:rsidRDefault="00D51099">
      <w:pPr>
        <w:contextualSpacing/>
        <w:rPr>
          <w:rFonts w:eastAsia="Palatino Linotype" w:cs="Palatino Linotype"/>
          <w:bCs/>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QUINTO. Del turno y admisión del recurso de revisión.</w:t>
      </w: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Medio de impugnación que le fue turnado al </w:t>
      </w:r>
      <w:r>
        <w:rPr>
          <w:rFonts w:eastAsia="Palatino Linotype" w:cs="Palatino Linotype"/>
          <w:b/>
          <w:color w:val="000000"/>
          <w:szCs w:val="24"/>
        </w:rPr>
        <w:t>Comisionado Presidente José Martínez Vilchis</w:t>
      </w:r>
      <w:r>
        <w:rPr>
          <w:rFonts w:eastAsia="Palatino Linotype" w:cs="Palatino Linotype"/>
          <w:color w:val="000000"/>
          <w:szCs w:val="24"/>
        </w:rPr>
        <w:t xml:space="preserve">, por medio del sistema electrónico en términos del numeral 185 fracción I de </w:t>
      </w:r>
      <w:r>
        <w:rPr>
          <w:rFonts w:eastAsia="Palatino Linotype" w:cs="Palatino Linotype"/>
          <w:color w:val="000000"/>
          <w:szCs w:val="24"/>
        </w:rPr>
        <w:t xml:space="preserve">la Ley de Transparencia y Acceso a la información Pública del Estado de México y Municipios, del cual recayó acuerdo de admisión en fecha primero de junio de dos mil veintidós, </w:t>
      </w:r>
      <w:r>
        <w:rPr>
          <w:rFonts w:eastAsia="Palatino Linotype" w:cs="Palatino Linotype"/>
          <w:szCs w:val="24"/>
        </w:rPr>
        <w:t>otorgándose</w:t>
      </w:r>
      <w:r>
        <w:rPr>
          <w:rFonts w:eastAsia="Palatino Linotype" w:cs="Palatino Linotype"/>
          <w:color w:val="000000"/>
          <w:szCs w:val="24"/>
        </w:rPr>
        <w:t xml:space="preserve"> en él un plazo de siete días para que las partes manifestaran lo qu</w:t>
      </w:r>
      <w:r>
        <w:rPr>
          <w:rFonts w:eastAsia="Palatino Linotype" w:cs="Palatino Linotype"/>
          <w:color w:val="000000"/>
          <w:szCs w:val="24"/>
        </w:rPr>
        <w:t>e a su derecho corresponda en términos del numeral ya citado.</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lastRenderedPageBreak/>
        <w:t>SEXTO. De la etapa de instrucción.</w:t>
      </w: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Una vez abierta la etapa de instrucción, se observa que en fecha ocho de junio de dos mil veintidós, el Sujeto Obligado rindió su Informe Justificado, consistente en el documento denominado </w:t>
      </w:r>
      <w:r>
        <w:rPr>
          <w:rFonts w:eastAsia="Palatino Linotype" w:cs="Palatino Linotype"/>
          <w:b/>
          <w:bCs/>
          <w:color w:val="000000"/>
          <w:szCs w:val="24"/>
        </w:rPr>
        <w:t>“INFORME JUSTIFICADO RR 09985.pdf”</w:t>
      </w:r>
      <w:r>
        <w:rPr>
          <w:rFonts w:eastAsia="Palatino Linotype" w:cs="Palatino Linotype"/>
          <w:color w:val="000000"/>
          <w:szCs w:val="24"/>
        </w:rPr>
        <w:t xml:space="preserve">, el cual fue puesto a la vista </w:t>
      </w:r>
      <w:r>
        <w:rPr>
          <w:rFonts w:eastAsia="Palatino Linotype" w:cs="Palatino Linotype"/>
          <w:color w:val="000000"/>
          <w:szCs w:val="24"/>
        </w:rPr>
        <w:t>del Recurrente mediante acuerdo de fecha quince de junio del año en curso, en términos de la fracción III del artículo 185 de la Ley de Transparencia y Acceso a la Información Pública del Estado de México y Municipios, otorgando al particular un término de</w:t>
      </w:r>
      <w:r>
        <w:rPr>
          <w:rFonts w:eastAsia="Palatino Linotype" w:cs="Palatino Linotype"/>
          <w:color w:val="000000"/>
          <w:szCs w:val="24"/>
        </w:rPr>
        <w:t xml:space="preserve"> tres días para manifestar lo que a su derecho conviniera. Por otra parte, se observa que el Recurrente no emitió manifestaciones vertió alegatos o presentó pruebas que a su derecho conviniera, del mismo modo, no realizó pronunciamiento alguno respecto del</w:t>
      </w:r>
      <w:r>
        <w:rPr>
          <w:rFonts w:eastAsia="Palatino Linotype" w:cs="Palatino Linotype"/>
          <w:color w:val="000000"/>
          <w:szCs w:val="24"/>
        </w:rPr>
        <w:t xml:space="preserve"> Informe Justificado del Sujeto Obligado. El contenido del documento referido será motivo de análisis durante el estudio respectivo.</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SÉPTIMO. Del cierre de instrucción.</w:t>
      </w: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Transcurrido el término legal, se decretó el cierre de instrucción en fecha veintiuno </w:t>
      </w:r>
      <w:r>
        <w:rPr>
          <w:rFonts w:eastAsia="Palatino Linotype" w:cs="Palatino Linotype"/>
          <w:color w:val="000000"/>
          <w:szCs w:val="24"/>
        </w:rPr>
        <w:t>de junio de dos mil veintidós, en términos del artículo 185 fracción VI de la Ley de Transparencia y Acceso a la Información Pública del Estado de México y Municipios, iniciando el término legal para dictar resolución definitiva del asunto.</w:t>
      </w:r>
    </w:p>
    <w:p w:rsidR="00D51099" w:rsidRDefault="00D51099">
      <w:pPr>
        <w:contextualSpacing/>
        <w:rPr>
          <w:rFonts w:eastAsia="Palatino Linotype" w:cs="Palatino Linotype"/>
          <w:color w:val="000000"/>
          <w:szCs w:val="24"/>
        </w:rPr>
      </w:pPr>
    </w:p>
    <w:p w:rsidR="00D51099" w:rsidRDefault="007D0A3A">
      <w:pPr>
        <w:rPr>
          <w:rFonts w:eastAsiaTheme="minorHAnsi" w:cstheme="minorBidi"/>
          <w:b/>
          <w:sz w:val="26"/>
          <w:szCs w:val="26"/>
          <w:lang w:eastAsia="en-US"/>
        </w:rPr>
      </w:pPr>
      <w:r>
        <w:rPr>
          <w:rFonts w:eastAsiaTheme="minorHAnsi" w:cstheme="minorBidi"/>
          <w:b/>
          <w:sz w:val="26"/>
          <w:szCs w:val="26"/>
          <w:lang w:eastAsia="en-US"/>
        </w:rPr>
        <w:t xml:space="preserve">OCTAVO. De la </w:t>
      </w:r>
      <w:r>
        <w:rPr>
          <w:rFonts w:eastAsiaTheme="minorHAnsi" w:cstheme="minorBidi"/>
          <w:b/>
          <w:sz w:val="26"/>
          <w:szCs w:val="26"/>
          <w:lang w:eastAsia="en-US"/>
        </w:rPr>
        <w:t>ampliación del término para resolver.</w:t>
      </w:r>
    </w:p>
    <w:p w:rsidR="00D51099" w:rsidRDefault="007D0A3A">
      <w:pPr>
        <w:rPr>
          <w:rFonts w:eastAsiaTheme="minorHAnsi" w:cstheme="minorBidi"/>
          <w:szCs w:val="24"/>
          <w:lang w:eastAsia="en-US"/>
        </w:rPr>
      </w:pPr>
      <w:r>
        <w:rPr>
          <w:rFonts w:eastAsiaTheme="minorHAnsi" w:cstheme="minorBidi"/>
          <w:szCs w:val="24"/>
          <w:lang w:eastAsia="en-US"/>
        </w:rPr>
        <w:t xml:space="preserve">En fecha catorce de julio de dos mil veintidós, se amplió el término para resolver el recurso de revisión en términos del artículo 181 párrafo tercero de la Ley de </w:t>
      </w:r>
      <w:r>
        <w:rPr>
          <w:rFonts w:eastAsiaTheme="minorHAnsi" w:cstheme="minorBidi"/>
          <w:szCs w:val="24"/>
          <w:lang w:eastAsia="en-US"/>
        </w:rPr>
        <w:lastRenderedPageBreak/>
        <w:t>Transparencia y Acceso a la Información Pública del Es</w:t>
      </w:r>
      <w:r>
        <w:rPr>
          <w:rFonts w:eastAsiaTheme="minorHAnsi" w:cstheme="minorBidi"/>
          <w:szCs w:val="24"/>
          <w:lang w:eastAsia="en-US"/>
        </w:rPr>
        <w:t>tado de México y Municipios por un plazo de quince días hábiles.</w:t>
      </w:r>
    </w:p>
    <w:p w:rsidR="00D51099" w:rsidRDefault="00D51099">
      <w:pPr>
        <w:contextualSpacing/>
        <w:rPr>
          <w:rFonts w:eastAsia="Palatino Linotype" w:cs="Palatino Linotype"/>
          <w:color w:val="000000"/>
          <w:szCs w:val="24"/>
        </w:rPr>
      </w:pP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Este organismo garante no pasa por alto justificar, </w:t>
      </w:r>
      <w:r>
        <w:rPr>
          <w:rFonts w:eastAsiaTheme="minorHAnsi" w:cstheme="minorBidi"/>
          <w:bCs/>
          <w:szCs w:val="24"/>
          <w:lang w:eastAsia="en-US"/>
        </w:rPr>
        <w:t xml:space="preserve">que el plazo para emitir resolución en el presente asunto </w:t>
      </w:r>
      <w:r>
        <w:rPr>
          <w:rFonts w:eastAsiaTheme="minorHAnsi" w:cstheme="minorBidi"/>
          <w:szCs w:val="24"/>
          <w:lang w:eastAsia="en-US"/>
        </w:rPr>
        <w:t>encuentra justificación en el alto número de recursos de revisión recibidos dent</w:t>
      </w:r>
      <w:r>
        <w:rPr>
          <w:rFonts w:eastAsiaTheme="minorHAnsi" w:cstheme="minorBidi"/>
          <w:szCs w:val="24"/>
          <w:lang w:eastAsia="en-US"/>
        </w:rPr>
        <w:t>ro del primer semestre del año dos mil veintidós, que, en comparación con los recibidos el año pasado dentro del mismo periodo, se ha incrementado aproximadamente un 400%, circunstancia atípica que ha rebasado las capacidades técnicas y humanas del persona</w:t>
      </w:r>
      <w:r>
        <w:rPr>
          <w:rFonts w:eastAsiaTheme="minorHAnsi" w:cstheme="minorBidi"/>
          <w:szCs w:val="24"/>
          <w:lang w:eastAsia="en-US"/>
        </w:rPr>
        <w:t>l encargado de la proyección de las resoluciones a dichos medios de impugnación.</w:t>
      </w: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 </w:t>
      </w: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Por ello, es menester precisar que, si bien se ha excedido el plazo para resolver el presente medio de impugnación, de conformidad con la ley de la materia, </w:t>
      </w:r>
      <w:r>
        <w:rPr>
          <w:rFonts w:eastAsiaTheme="minorHAnsi" w:cstheme="minorBidi"/>
          <w:bCs/>
          <w:szCs w:val="24"/>
          <w:lang w:eastAsia="en-US"/>
        </w:rPr>
        <w:t>el plazo para em</w:t>
      </w:r>
      <w:r>
        <w:rPr>
          <w:rFonts w:eastAsiaTheme="minorHAnsi" w:cstheme="minorBidi"/>
          <w:bCs/>
          <w:szCs w:val="24"/>
          <w:lang w:eastAsia="en-US"/>
        </w:rPr>
        <w:t>itir resolución</w:t>
      </w:r>
      <w:r>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 </w:t>
      </w:r>
    </w:p>
    <w:p w:rsidR="00D51099" w:rsidRDefault="007D0A3A">
      <w:pPr>
        <w:contextualSpacing/>
        <w:rPr>
          <w:rFonts w:eastAsiaTheme="minorHAnsi" w:cstheme="minorBidi"/>
          <w:szCs w:val="24"/>
          <w:lang w:eastAsia="en-US"/>
        </w:rPr>
      </w:pPr>
      <w:r>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w:t>
      </w:r>
      <w:r>
        <w:rPr>
          <w:rFonts w:eastAsiaTheme="minorHAnsi" w:cstheme="minorBidi"/>
          <w:szCs w:val="24"/>
          <w:lang w:eastAsia="en-US"/>
        </w:rPr>
        <w:t>, en un plazo razonable.</w:t>
      </w: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 </w:t>
      </w:r>
    </w:p>
    <w:p w:rsidR="00D51099" w:rsidRDefault="007D0A3A">
      <w:pPr>
        <w:contextualSpacing/>
        <w:rPr>
          <w:rFonts w:eastAsiaTheme="minorHAnsi" w:cstheme="minorBidi"/>
          <w:szCs w:val="24"/>
          <w:lang w:eastAsia="en-US"/>
        </w:rPr>
      </w:pPr>
      <w:r>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w:t>
      </w:r>
      <w:r>
        <w:rPr>
          <w:rFonts w:eastAsiaTheme="minorHAnsi" w:cstheme="minorBidi"/>
          <w:szCs w:val="24"/>
          <w:lang w:eastAsia="en-US"/>
        </w:rPr>
        <w:t xml:space="preserve"> complejidad de los hechos, como por el número de casos que conocen.</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w:t>
      </w:r>
      <w:r>
        <w:rPr>
          <w:rFonts w:eastAsiaTheme="minorHAnsi" w:cstheme="minorBidi"/>
          <w:szCs w:val="24"/>
          <w:lang w:eastAsia="en-US"/>
        </w:rPr>
        <w:t xml:space="preserve">os a los siguientes criterios:  </w:t>
      </w:r>
    </w:p>
    <w:p w:rsidR="00D51099" w:rsidRDefault="00D51099">
      <w:pPr>
        <w:contextualSpacing/>
        <w:rPr>
          <w:rFonts w:eastAsiaTheme="minorHAnsi" w:cstheme="minorBidi"/>
          <w:szCs w:val="24"/>
          <w:lang w:eastAsia="en-US"/>
        </w:rPr>
      </w:pPr>
    </w:p>
    <w:p w:rsidR="00D51099" w:rsidRDefault="007D0A3A">
      <w:pPr>
        <w:numPr>
          <w:ilvl w:val="0"/>
          <w:numId w:val="1"/>
        </w:numPr>
        <w:contextualSpacing/>
        <w:rPr>
          <w:rFonts w:eastAsiaTheme="minorHAnsi" w:cstheme="minorBidi"/>
          <w:szCs w:val="24"/>
          <w:lang w:eastAsia="en-US"/>
        </w:rPr>
      </w:pPr>
      <w:r>
        <w:rPr>
          <w:rFonts w:eastAsiaTheme="minorHAnsi" w:cstheme="minorBidi"/>
          <w:szCs w:val="24"/>
          <w:lang w:eastAsia="en-US"/>
        </w:rPr>
        <w:t>Complejidad del asunto: La complejidad de la prueba, la pluralidad de sujetos procesales, el tiempo transcurrido, las características y contexto del recurso.</w:t>
      </w:r>
    </w:p>
    <w:p w:rsidR="00D51099" w:rsidRDefault="007D0A3A">
      <w:pPr>
        <w:numPr>
          <w:ilvl w:val="0"/>
          <w:numId w:val="1"/>
        </w:numPr>
        <w:contextualSpacing/>
        <w:rPr>
          <w:rFonts w:eastAsiaTheme="minorHAnsi" w:cstheme="minorBidi"/>
          <w:szCs w:val="24"/>
          <w:lang w:eastAsia="en-US"/>
        </w:rPr>
      </w:pPr>
      <w:r>
        <w:rPr>
          <w:rFonts w:eastAsiaTheme="minorHAnsi" w:cstheme="minorBidi"/>
          <w:szCs w:val="24"/>
          <w:lang w:eastAsia="en-US"/>
        </w:rPr>
        <w:t>Actividad Procesal del interesado: Acciones u omisiones del inte</w:t>
      </w:r>
      <w:r>
        <w:rPr>
          <w:rFonts w:eastAsiaTheme="minorHAnsi" w:cstheme="minorBidi"/>
          <w:szCs w:val="24"/>
          <w:lang w:eastAsia="en-US"/>
        </w:rPr>
        <w:t>resado.</w:t>
      </w:r>
    </w:p>
    <w:p w:rsidR="00D51099" w:rsidRDefault="007D0A3A">
      <w:pPr>
        <w:numPr>
          <w:ilvl w:val="0"/>
          <w:numId w:val="1"/>
        </w:numPr>
        <w:contextualSpacing/>
        <w:rPr>
          <w:rFonts w:eastAsiaTheme="minorHAnsi" w:cstheme="minorBidi"/>
          <w:szCs w:val="24"/>
          <w:lang w:eastAsia="en-US"/>
        </w:rPr>
      </w:pPr>
      <w:r>
        <w:rPr>
          <w:rFonts w:eastAsiaTheme="minorHAnsi" w:cstheme="minorBidi"/>
          <w:szCs w:val="24"/>
          <w:lang w:eastAsia="en-US"/>
        </w:rPr>
        <w:t>Conducta de la Autoridad: Las Acciones u omisiones realizadas en el procedimiento. Así como si la autoridad actuó con la debida diligencia.</w:t>
      </w:r>
    </w:p>
    <w:p w:rsidR="00D51099" w:rsidRDefault="007D0A3A">
      <w:pPr>
        <w:numPr>
          <w:ilvl w:val="0"/>
          <w:numId w:val="1"/>
        </w:numPr>
        <w:contextualSpacing/>
        <w:rPr>
          <w:rFonts w:eastAsiaTheme="minorHAnsi" w:cstheme="minorBidi"/>
          <w:szCs w:val="24"/>
          <w:lang w:eastAsia="en-US"/>
        </w:rPr>
      </w:pPr>
      <w:r>
        <w:rPr>
          <w:rFonts w:eastAsiaTheme="minorHAnsi" w:cstheme="minorBidi"/>
          <w:szCs w:val="24"/>
          <w:lang w:eastAsia="en-US"/>
        </w:rPr>
        <w:t>La afectación generada en la situación jurídica de la persona involucrada en el proceso: Violación a sus der</w:t>
      </w:r>
      <w:r>
        <w:rPr>
          <w:rFonts w:eastAsiaTheme="minorHAnsi" w:cstheme="minorBidi"/>
          <w:szCs w:val="24"/>
          <w:lang w:eastAsia="en-US"/>
        </w:rPr>
        <w:t>echos humanos.</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w:t>
      </w:r>
      <w:r>
        <w:rPr>
          <w:rFonts w:eastAsiaTheme="minorHAnsi" w:cstheme="minorBidi"/>
          <w:szCs w:val="24"/>
          <w:lang w:eastAsia="en-US"/>
        </w:rPr>
        <w:t>iderarse normal, debe concluirse que es una excluyente de responsabilidad en relación con la actuación del funcionario, como ha acontecido en el caso que nos ocupa.</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lastRenderedPageBreak/>
        <w:t>Argumento que encuentra sustento en la jurisprudencia P</w:t>
      </w:r>
      <w:proofErr w:type="gramStart"/>
      <w:r>
        <w:rPr>
          <w:rFonts w:eastAsiaTheme="minorHAnsi" w:cstheme="minorBidi"/>
          <w:szCs w:val="24"/>
          <w:lang w:eastAsia="en-US"/>
        </w:rPr>
        <w:t>./</w:t>
      </w:r>
      <w:proofErr w:type="gramEnd"/>
      <w:r>
        <w:rPr>
          <w:rFonts w:eastAsiaTheme="minorHAnsi" w:cstheme="minorBidi"/>
          <w:szCs w:val="24"/>
          <w:lang w:eastAsia="en-US"/>
        </w:rPr>
        <w:t xml:space="preserve">J. 32/92 emitida por el Pleno de </w:t>
      </w:r>
      <w:r>
        <w:rPr>
          <w:rFonts w:eastAsiaTheme="minorHAnsi" w:cstheme="minorBidi"/>
          <w:szCs w:val="24"/>
          <w:lang w:eastAsia="en-US"/>
        </w:rPr>
        <w:t>la Suprema Corte de Justicia de la Nación de rubro “TÉRMINOS PROCESALES. PARA DETERMINAR SI UN FUNCIONARIO JUDICIAL ACTUÓ INDEBIDAMENTE POR NO RESPETARLOS SE DEBE ATENDER AL PRESUPUESTO QUE CONSIDERÓ EL LEGISLADOR AL FIJARLOS Y LAS CARACTERÍSTICAS DEL CASO</w:t>
      </w:r>
      <w:r>
        <w:rPr>
          <w:rFonts w:eastAsiaTheme="minorHAnsi" w:cstheme="minorBidi"/>
          <w:szCs w:val="24"/>
          <w:lang w:eastAsia="en-US"/>
        </w:rPr>
        <w:t>.”, visible en la Gaceta del Seminario Judicial de la Federación con el registro digital 205635.</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Razones por las cuales cabe concluir que, la resolución al recurso de revisión se solventa hasta esta fecha, debido a que existe una excesiva carga de trabajo</w:t>
      </w:r>
      <w:r>
        <w:rPr>
          <w:rFonts w:eastAsiaTheme="minorHAnsi" w:cstheme="minorBidi"/>
          <w:szCs w:val="24"/>
          <w:lang w:eastAsia="en-US"/>
        </w:rPr>
        <w:t xml:space="preserve"> en desproporción a la capacidad de los recursos materiales y humanos con que cuenta este Instituto para atender la enorme demanda de usuarios que acuden para que se les garantice su Derecho de acceso a la información Pública y Protección de Datos Personal</w:t>
      </w:r>
      <w:r>
        <w:rPr>
          <w:rFonts w:eastAsiaTheme="minorHAnsi" w:cstheme="minorBidi"/>
          <w:szCs w:val="24"/>
          <w:lang w:eastAsia="en-US"/>
        </w:rPr>
        <w:t xml:space="preserve">es, aunado a la complejidad de los hechos a los que se refieren, así como al volumen del expediente, la extensión de los escritos y pruebas aportadas y desahogadas por las partes; lo que impide la tramitación de los recursos dentro de los términos legales </w:t>
      </w:r>
      <w:r>
        <w:rPr>
          <w:rFonts w:eastAsiaTheme="minorHAnsi" w:cstheme="minorBidi"/>
          <w:szCs w:val="24"/>
          <w:lang w:eastAsia="en-US"/>
        </w:rPr>
        <w:t xml:space="preserve">previamente establecidos por la Ley, por tratarse de causas de fuerza mayor. </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Al respecto, también son de considerar los criterios sostenidos por el Cuarto Tribunal Colegiado en Materia Administrativa del Primer Circuito, cuyos rubros y datos de </w:t>
      </w:r>
      <w:r>
        <w:rPr>
          <w:rFonts w:eastAsiaTheme="minorHAnsi" w:cstheme="minorBidi"/>
          <w:szCs w:val="24"/>
          <w:lang w:eastAsia="en-US"/>
        </w:rPr>
        <w:t>identificación son los siguientes:</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 xml:space="preserve">“PLAZO RAZONABLE PARA RESOLVER. DIMENSIÓN Y EFECTOS DE ESTE CONCEPTO CUANDO SE ADUCE EXCESIVA CARGA DE TRABAJO.” consultable en </w:t>
      </w:r>
      <w:r>
        <w:rPr>
          <w:rFonts w:eastAsiaTheme="minorHAnsi" w:cstheme="minorBidi"/>
          <w:szCs w:val="24"/>
          <w:lang w:eastAsia="en-US"/>
        </w:rPr>
        <w:lastRenderedPageBreak/>
        <w:t>el Seminario Judicial de la Federación y su gaceta, con el número de registro digital 200235</w:t>
      </w:r>
      <w:r>
        <w:rPr>
          <w:rFonts w:eastAsiaTheme="minorHAnsi" w:cstheme="minorBidi"/>
          <w:szCs w:val="24"/>
          <w:lang w:eastAsia="en-US"/>
        </w:rPr>
        <w:t>1.</w:t>
      </w:r>
    </w:p>
    <w:p w:rsidR="00D51099" w:rsidRDefault="00D51099">
      <w:pPr>
        <w:contextualSpacing/>
        <w:rPr>
          <w:rFonts w:eastAsiaTheme="minorHAnsi" w:cstheme="minorBidi"/>
          <w:szCs w:val="24"/>
          <w:lang w:eastAsia="en-US"/>
        </w:rPr>
      </w:pPr>
    </w:p>
    <w:p w:rsidR="00D51099" w:rsidRDefault="007D0A3A">
      <w:pPr>
        <w:contextualSpacing/>
        <w:rPr>
          <w:rFonts w:eastAsiaTheme="minorHAnsi" w:cstheme="minorBidi"/>
          <w:szCs w:val="24"/>
          <w:lang w:eastAsia="en-US"/>
        </w:rPr>
      </w:pPr>
      <w:r>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rsidR="00D51099" w:rsidRDefault="00D51099">
      <w:pPr>
        <w:contextualSpacing/>
        <w:rPr>
          <w:rFonts w:eastAsiaTheme="minorHAnsi" w:cstheme="minorBidi"/>
          <w:szCs w:val="24"/>
          <w:lang w:eastAsia="en-US"/>
        </w:rPr>
      </w:pPr>
    </w:p>
    <w:p w:rsidR="00D51099" w:rsidRDefault="007D0A3A">
      <w:pPr>
        <w:contextualSpacing/>
        <w:rPr>
          <w:rFonts w:eastAsia="Palatino Linotype" w:cs="Palatino Linotype"/>
          <w:color w:val="000000"/>
          <w:szCs w:val="24"/>
        </w:rPr>
      </w:pPr>
      <w:r>
        <w:rPr>
          <w:rFonts w:eastAsiaTheme="minorHAnsi" w:cstheme="minorBidi"/>
          <w:bCs/>
          <w:szCs w:val="24"/>
          <w:lang w:eastAsia="en-US"/>
        </w:rPr>
        <w:t>Por ello, este organismo</w:t>
      </w:r>
      <w:r>
        <w:rPr>
          <w:rFonts w:eastAsiaTheme="minorHAnsi" w:cstheme="minorBidi"/>
          <w:bCs/>
          <w:szCs w:val="24"/>
          <w:lang w:eastAsia="en-US"/>
        </w:rPr>
        <w:t xml:space="preserve"> garante comprometido con la tutela de los derechos humanos confiados señala que este exceso del plazo legal para resolver el presente asunto resulta de carácter excepcional.</w:t>
      </w:r>
    </w:p>
    <w:p w:rsidR="00D51099" w:rsidRDefault="00D51099">
      <w:pPr>
        <w:contextualSpacing/>
        <w:rPr>
          <w:rFonts w:eastAsia="Palatino Linotype" w:cs="Palatino Linotype"/>
          <w:color w:val="000000"/>
          <w:szCs w:val="24"/>
        </w:rPr>
      </w:pPr>
    </w:p>
    <w:p w:rsidR="00D51099" w:rsidRDefault="007D0A3A">
      <w:pPr>
        <w:contextualSpacing/>
        <w:jc w:val="center"/>
        <w:rPr>
          <w:rFonts w:eastAsia="Palatino Linotype" w:cs="Palatino Linotype"/>
          <w:b/>
          <w:color w:val="000000"/>
          <w:sz w:val="28"/>
          <w:szCs w:val="28"/>
        </w:rPr>
      </w:pPr>
      <w:r>
        <w:rPr>
          <w:rFonts w:eastAsia="Palatino Linotype" w:cs="Palatino Linotype"/>
          <w:b/>
          <w:color w:val="000000"/>
          <w:sz w:val="28"/>
          <w:szCs w:val="28"/>
        </w:rPr>
        <w:t>C O N S I D E R A N D O</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PRIMERO. De la competencia.</w:t>
      </w:r>
    </w:p>
    <w:p w:rsidR="00D51099" w:rsidRDefault="007D0A3A">
      <w:pPr>
        <w:contextualSpacing/>
        <w:rPr>
          <w:rFonts w:eastAsia="Palatino Linotype" w:cs="Palatino Linotype"/>
          <w:color w:val="000000"/>
          <w:szCs w:val="24"/>
        </w:rPr>
      </w:pPr>
      <w:r>
        <w:rPr>
          <w:rFonts w:eastAsia="Palatino Linotype" w:cs="Palatino Linotype"/>
          <w:color w:val="000000"/>
          <w:szCs w:val="24"/>
        </w:rPr>
        <w:t>Este Instituto de Transpare</w:t>
      </w:r>
      <w:r>
        <w:rPr>
          <w:rFonts w:eastAsia="Palatino Linotype" w:cs="Palatino Linotype"/>
          <w:color w:val="000000"/>
          <w:szCs w:val="24"/>
        </w:rPr>
        <w:t>ncia, Acceso a la Información Pública y Protección de Datos Personales del Estado de México, es competente para conocer y resolver el presente recurso de revisión interpuesto por el Recurrente conforme a lo dispuesto en los artículos 6, apartado A, fracció</w:t>
      </w:r>
      <w:r>
        <w:rPr>
          <w:rFonts w:eastAsia="Palatino Linotype" w:cs="Palatino Linotype"/>
          <w:color w:val="000000"/>
          <w:szCs w:val="24"/>
        </w:rPr>
        <w:t>n IV de la Constitución Política de los Estados Unidos Mexicanos; 5, párrafos trigésimo, trigésimo primero y trigésimo segundo, fracciones IV y V, de la Constitución Política del Estado Libre y Soberano de México; artículos 1, 2 fracción II, 13, 29, 36 fra</w:t>
      </w:r>
      <w:r>
        <w:rPr>
          <w:rFonts w:eastAsia="Palatino Linotype" w:cs="Palatino Linotype"/>
          <w:color w:val="000000"/>
          <w:szCs w:val="24"/>
        </w:rPr>
        <w:t xml:space="preserve">cciones I y II, 176, 178, 179, 181 párrafo tercero y 185 de la Ley de Transparencia y Acceso a la Información Pública del Estado de México y Municipios; y 10, 7, 9 fracciones </w:t>
      </w:r>
      <w:r>
        <w:rPr>
          <w:rFonts w:eastAsia="Palatino Linotype" w:cs="Palatino Linotype"/>
          <w:color w:val="000000"/>
          <w:szCs w:val="24"/>
        </w:rPr>
        <w:lastRenderedPageBreak/>
        <w:t>I y XXIV, y 11 del Reglamento Interior del Instituto de Transparencia, Acceso a l</w:t>
      </w:r>
      <w:r>
        <w:rPr>
          <w:rFonts w:eastAsia="Palatino Linotype" w:cs="Palatino Linotype"/>
          <w:color w:val="000000"/>
          <w:szCs w:val="24"/>
        </w:rPr>
        <w:t>a Información Pública y Protección de Datos Personales del Estado de México y Municipios.</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b/>
          <w:color w:val="000000"/>
          <w:sz w:val="26"/>
          <w:szCs w:val="26"/>
        </w:rPr>
      </w:pPr>
      <w:r>
        <w:rPr>
          <w:rFonts w:eastAsia="Palatino Linotype" w:cs="Palatino Linotype"/>
          <w:b/>
          <w:color w:val="000000"/>
          <w:sz w:val="26"/>
          <w:szCs w:val="26"/>
        </w:rPr>
        <w:t xml:space="preserve">SEGUNDO. Sobre los alcances del recurso de revisión. </w:t>
      </w:r>
    </w:p>
    <w:p w:rsidR="00D51099" w:rsidRDefault="007D0A3A">
      <w:pPr>
        <w:contextualSpacing/>
        <w:rPr>
          <w:rFonts w:eastAsia="Palatino Linotype" w:cs="Palatino Linotype"/>
          <w:color w:val="000000"/>
          <w:szCs w:val="24"/>
        </w:rPr>
      </w:pPr>
      <w:r>
        <w:rPr>
          <w:rFonts w:eastAsia="Palatino Linotype" w:cs="Palatino Linotype"/>
          <w:color w:val="000000"/>
          <w:szCs w:val="24"/>
        </w:rPr>
        <w:t>Derivado de la impugnación realizada, es menester señalar que el recurso de revisión inmerso en la Ley de Trans</w:t>
      </w:r>
      <w:r>
        <w:rPr>
          <w:rFonts w:eastAsia="Palatino Linotype" w:cs="Palatino Linotype"/>
          <w:color w:val="000000"/>
          <w:szCs w:val="24"/>
        </w:rPr>
        <w:t>parencia vigente en la entidad, tiene el fin y alcance que señalan los numerales 176, 179, 181 párrafo cuarto, 194 y 195 y demás aplicables de la Ley de Transparencia y Acceso a la Información Pública del Estado de México y Municipios vigente, el cual será</w:t>
      </w:r>
      <w:r>
        <w:rPr>
          <w:rFonts w:eastAsia="Palatino Linotype" w:cs="Palatino Linotype"/>
          <w:color w:val="000000"/>
          <w:szCs w:val="24"/>
        </w:rPr>
        <w:t xml:space="preserve"> analizado conforme a las actuaciones que obren en el expediente electrónico, con la finalidad de reparar cualquier posible afectación al derecho de acceso a la información pública y garantizando el principio rector de máxima publicidad.</w:t>
      </w:r>
    </w:p>
    <w:p w:rsidR="00D51099" w:rsidRDefault="00D51099">
      <w:pPr>
        <w:contextualSpacing/>
        <w:rPr>
          <w:rFonts w:eastAsia="Palatino Linotype" w:cs="Palatino Linotype"/>
          <w:color w:val="000000"/>
          <w:szCs w:val="24"/>
        </w:rPr>
      </w:pPr>
    </w:p>
    <w:p w:rsidR="00D51099" w:rsidRDefault="007D0A3A">
      <w:pPr>
        <w:rPr>
          <w:rFonts w:eastAsia="Palatino Linotype" w:cs="Palatino Linotype"/>
          <w:b/>
          <w:color w:val="000000"/>
          <w:sz w:val="26"/>
          <w:szCs w:val="26"/>
        </w:rPr>
      </w:pPr>
      <w:r>
        <w:rPr>
          <w:rFonts w:eastAsia="Palatino Linotype" w:cs="Palatino Linotype"/>
          <w:b/>
          <w:color w:val="000000"/>
          <w:sz w:val="26"/>
          <w:szCs w:val="26"/>
        </w:rPr>
        <w:t>TERCERO. Cuestion</w:t>
      </w:r>
      <w:r>
        <w:rPr>
          <w:rFonts w:eastAsia="Palatino Linotype" w:cs="Palatino Linotype"/>
          <w:b/>
          <w:color w:val="000000"/>
          <w:sz w:val="26"/>
          <w:szCs w:val="26"/>
        </w:rPr>
        <w:t>es de previo y especial pronunciamiento.</w:t>
      </w:r>
    </w:p>
    <w:p w:rsidR="00D51099" w:rsidRDefault="007D0A3A">
      <w:pPr>
        <w:rPr>
          <w:rFonts w:eastAsia="Palatino Linotype" w:cs="Palatino Linotype"/>
          <w:szCs w:val="24"/>
        </w:rPr>
      </w:pPr>
      <w:r>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w:t>
      </w:r>
      <w:r>
        <w:rPr>
          <w:rFonts w:eastAsia="Palatino Linotype" w:cs="Palatino Linotype"/>
          <w:szCs w:val="24"/>
        </w:rPr>
        <w:t xml:space="preserve"> que enuncia:</w:t>
      </w:r>
    </w:p>
    <w:p w:rsidR="00D51099" w:rsidRDefault="00D51099">
      <w:pPr>
        <w:rPr>
          <w:rFonts w:eastAsia="Palatino Linotype" w:cs="Palatino Linotype"/>
          <w:szCs w:val="24"/>
        </w:rPr>
      </w:pPr>
    </w:p>
    <w:p w:rsidR="00D51099" w:rsidRDefault="007D0A3A">
      <w:pPr>
        <w:spacing w:line="240" w:lineRule="auto"/>
        <w:ind w:left="567" w:right="567"/>
        <w:rPr>
          <w:rFonts w:eastAsia="Palatino Linotype" w:cs="Palatino Linotype"/>
          <w:i/>
        </w:rPr>
      </w:pPr>
      <w:r>
        <w:rPr>
          <w:rFonts w:eastAsia="Palatino Linotype" w:cs="Palatino Linotype"/>
          <w:b/>
          <w:i/>
        </w:rPr>
        <w:t xml:space="preserve">Artículo 180. </w:t>
      </w:r>
      <w:r>
        <w:rPr>
          <w:rFonts w:eastAsia="Palatino Linotype" w:cs="Palatino Linotype"/>
          <w:i/>
        </w:rPr>
        <w:t>El recurso de revisión contendrá:</w:t>
      </w:r>
    </w:p>
    <w:p w:rsidR="00D51099" w:rsidRDefault="007D0A3A">
      <w:pPr>
        <w:spacing w:line="240" w:lineRule="auto"/>
        <w:ind w:left="567" w:right="567"/>
        <w:rPr>
          <w:rFonts w:eastAsia="Palatino Linotype" w:cs="Palatino Linotype"/>
          <w:i/>
        </w:rPr>
      </w:pPr>
      <w:r>
        <w:rPr>
          <w:rFonts w:eastAsia="Palatino Linotype" w:cs="Palatino Linotype"/>
          <w:i/>
        </w:rPr>
        <w:t>I. El sujeto obligado ante la cual se presentó la solicitud;</w:t>
      </w:r>
    </w:p>
    <w:p w:rsidR="00D51099" w:rsidRDefault="007D0A3A">
      <w:pPr>
        <w:spacing w:line="240" w:lineRule="auto"/>
        <w:ind w:left="567" w:right="567"/>
        <w:rPr>
          <w:rFonts w:eastAsia="Palatino Linotype" w:cs="Palatino Linotype"/>
          <w:i/>
        </w:rPr>
      </w:pPr>
      <w:r>
        <w:rPr>
          <w:rFonts w:eastAsia="Palatino Linotype" w:cs="Palatino Linotype"/>
          <w:b/>
          <w:i/>
        </w:rPr>
        <w:t>II. El nombre del solicitante que recurre</w:t>
      </w:r>
      <w:r>
        <w:rPr>
          <w:rFonts w:eastAsia="Palatino Linotype" w:cs="Palatino Linotype"/>
          <w:i/>
        </w:rPr>
        <w:t xml:space="preserve"> o de su representante y, en su caso, del tercero interesado, así como la dirección o medio</w:t>
      </w:r>
      <w:r>
        <w:rPr>
          <w:rFonts w:eastAsia="Palatino Linotype" w:cs="Palatino Linotype"/>
          <w:i/>
        </w:rPr>
        <w:t xml:space="preserve"> que señale para recibir notificaciones;</w:t>
      </w:r>
    </w:p>
    <w:p w:rsidR="00D51099" w:rsidRDefault="007D0A3A">
      <w:pPr>
        <w:spacing w:line="240" w:lineRule="auto"/>
        <w:ind w:left="567" w:right="567"/>
        <w:rPr>
          <w:rFonts w:eastAsia="Palatino Linotype" w:cs="Palatino Linotype"/>
          <w:i/>
        </w:rPr>
      </w:pPr>
      <w:r>
        <w:rPr>
          <w:rFonts w:eastAsia="Palatino Linotype" w:cs="Palatino Linotype"/>
          <w:i/>
        </w:rPr>
        <w:t>III. El número de folio de respuesta de la solicitud de acceso;</w:t>
      </w:r>
    </w:p>
    <w:p w:rsidR="00D51099" w:rsidRDefault="007D0A3A">
      <w:pPr>
        <w:spacing w:line="240" w:lineRule="auto"/>
        <w:ind w:left="567" w:right="567"/>
        <w:rPr>
          <w:rFonts w:eastAsia="Palatino Linotype" w:cs="Palatino Linotype"/>
          <w:i/>
        </w:rPr>
      </w:pPr>
      <w:r>
        <w:rPr>
          <w:rFonts w:eastAsia="Palatino Linotype" w:cs="Palatino Linotype"/>
          <w:i/>
        </w:rPr>
        <w:t xml:space="preserve">IV. La fecha en que fue notificada la respuesta al solicitante o tuvo conocimiento del acto reclamado, o de presentación de la solicitud, en caso de </w:t>
      </w:r>
      <w:r>
        <w:rPr>
          <w:rFonts w:eastAsia="Palatino Linotype" w:cs="Palatino Linotype"/>
          <w:i/>
        </w:rPr>
        <w:t>falta de respuesta;</w:t>
      </w:r>
    </w:p>
    <w:p w:rsidR="00D51099" w:rsidRDefault="007D0A3A">
      <w:pPr>
        <w:spacing w:line="240" w:lineRule="auto"/>
        <w:ind w:left="567" w:right="567"/>
        <w:rPr>
          <w:rFonts w:eastAsia="Palatino Linotype" w:cs="Palatino Linotype"/>
          <w:i/>
        </w:rPr>
      </w:pPr>
      <w:r>
        <w:rPr>
          <w:rFonts w:eastAsia="Palatino Linotype" w:cs="Palatino Linotype"/>
          <w:i/>
        </w:rPr>
        <w:lastRenderedPageBreak/>
        <w:t>V. El acto que se recurre;</w:t>
      </w:r>
    </w:p>
    <w:p w:rsidR="00D51099" w:rsidRDefault="007D0A3A">
      <w:pPr>
        <w:spacing w:line="240" w:lineRule="auto"/>
        <w:ind w:left="567" w:right="567"/>
        <w:rPr>
          <w:rFonts w:eastAsia="Palatino Linotype" w:cs="Palatino Linotype"/>
          <w:i/>
        </w:rPr>
      </w:pPr>
      <w:r>
        <w:rPr>
          <w:rFonts w:eastAsia="Palatino Linotype" w:cs="Palatino Linotype"/>
          <w:i/>
        </w:rPr>
        <w:t>VI. Las razones o motivos de inconformidad;</w:t>
      </w:r>
    </w:p>
    <w:p w:rsidR="00D51099" w:rsidRDefault="007D0A3A">
      <w:pPr>
        <w:spacing w:line="240" w:lineRule="auto"/>
        <w:ind w:left="567" w:right="567"/>
        <w:rPr>
          <w:rFonts w:eastAsia="Palatino Linotype" w:cs="Palatino Linotype"/>
          <w:i/>
        </w:rPr>
      </w:pPr>
      <w:r>
        <w:rPr>
          <w:rFonts w:eastAsia="Palatino Linotype" w:cs="Palatino Linotype"/>
          <w:i/>
        </w:rPr>
        <w:t>VII. La copia de la respuesta que se impugna y, en su caso, de la notificación correspondiente, en el caso de respuesta de la solicitud; y</w:t>
      </w:r>
    </w:p>
    <w:p w:rsidR="00D51099" w:rsidRDefault="007D0A3A">
      <w:pPr>
        <w:spacing w:line="240" w:lineRule="auto"/>
        <w:ind w:left="567" w:right="567"/>
        <w:rPr>
          <w:rFonts w:eastAsia="Palatino Linotype" w:cs="Palatino Linotype"/>
          <w:i/>
        </w:rPr>
      </w:pPr>
      <w:r>
        <w:rPr>
          <w:rFonts w:eastAsia="Palatino Linotype" w:cs="Palatino Linotype"/>
          <w:i/>
        </w:rPr>
        <w:t xml:space="preserve">VIII. Firma del </w:t>
      </w:r>
      <w:r>
        <w:rPr>
          <w:rFonts w:eastAsia="Palatino Linotype" w:cs="Palatino Linotype"/>
          <w:i/>
        </w:rPr>
        <w:t>recurrente, en su caso, cuando se presente por escrito, requisito sin el cual se dará trámite al recurso.</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Adicionalmente, se podrán anexar las pruebas y demás elementos que considere procedentes someter a juicio del Instituto.</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En ningún caso será necesar</w:t>
      </w:r>
      <w:r>
        <w:rPr>
          <w:rFonts w:eastAsia="Palatino Linotype" w:cs="Palatino Linotype"/>
          <w:i/>
        </w:rPr>
        <w:t>io que el particular ratifique el recurso de revisión interpuesto.</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b/>
          <w:i/>
        </w:rPr>
        <w:t>En caso de que el recurso se interponga de manera electrónica no será indispensable que contengan los requisitos establecidos en las fracciones II</w:t>
      </w:r>
      <w:r>
        <w:rPr>
          <w:rFonts w:eastAsia="Palatino Linotype" w:cs="Palatino Linotype"/>
          <w:i/>
        </w:rPr>
        <w:t>, IV, VII y VIII.</w:t>
      </w:r>
    </w:p>
    <w:p w:rsidR="00D51099" w:rsidRDefault="00D51099">
      <w:pPr>
        <w:rPr>
          <w:rFonts w:eastAsia="Palatino Linotype" w:cs="Palatino Linotype"/>
          <w:b/>
          <w:i/>
          <w:szCs w:val="24"/>
        </w:rPr>
      </w:pPr>
    </w:p>
    <w:p w:rsidR="00D51099" w:rsidRDefault="007D0A3A">
      <w:pPr>
        <w:rPr>
          <w:rFonts w:eastAsia="Palatino Linotype" w:cs="Palatino Linotype"/>
          <w:szCs w:val="24"/>
        </w:rPr>
      </w:pPr>
      <w:r>
        <w:rPr>
          <w:rFonts w:eastAsia="Palatino Linotype" w:cs="Palatino Linotype"/>
          <w:szCs w:val="24"/>
        </w:rPr>
        <w:t>Cabe señalar que el hoy</w:t>
      </w:r>
      <w:r>
        <w:rPr>
          <w:rFonts w:eastAsia="Palatino Linotype" w:cs="Palatino Linotype"/>
          <w:szCs w:val="24"/>
        </w:rPr>
        <w:t xml:space="preserve"> Recurrente se identificó como </w:t>
      </w:r>
      <w:r>
        <w:rPr>
          <w:rFonts w:eastAsia="Palatino Linotype" w:cs="Palatino Linotype"/>
          <w:b/>
          <w:bCs/>
          <w:szCs w:val="24"/>
        </w:rPr>
        <w:t>“</w:t>
      </w:r>
      <w:r w:rsidR="00DB37F7">
        <w:rPr>
          <w:rFonts w:eastAsia="Palatino Linotype" w:cs="Palatino Linotype"/>
          <w:b/>
          <w:bCs/>
          <w:szCs w:val="24"/>
        </w:rPr>
        <w:t>XXXX</w:t>
      </w:r>
      <w:r>
        <w:rPr>
          <w:rFonts w:eastAsia="Palatino Linotype" w:cs="Palatino Linotype"/>
          <w:b/>
          <w:bCs/>
          <w:szCs w:val="24"/>
        </w:rPr>
        <w:t>”</w:t>
      </w:r>
      <w:r>
        <w:rPr>
          <w:rFonts w:eastAsia="Palatino Linotype" w:cs="Palatino Linotype"/>
          <w:szCs w:val="24"/>
        </w:rPr>
        <w:t>; no obstante, presentar solicitudes anónimas, con el nombre incompleto o c</w:t>
      </w:r>
      <w:bookmarkStart w:id="0" w:name="_GoBack"/>
      <w:bookmarkEnd w:id="0"/>
      <w:r>
        <w:rPr>
          <w:rFonts w:eastAsia="Palatino Linotype" w:cs="Palatino Linotype"/>
          <w:szCs w:val="24"/>
        </w:rPr>
        <w:t>on un seudónimo no es motivos para desechar las solicitudes de acceso a la información pública conforme a lo previsto en el artículo 155, penúlt</w:t>
      </w:r>
      <w:r>
        <w:rPr>
          <w:rFonts w:eastAsia="Palatino Linotype" w:cs="Palatino Linotype"/>
          <w:szCs w:val="24"/>
        </w:rPr>
        <w:t>imo párrafo de la Ley de Transparencia y Acceso a la Información Pública del Estado de México y Municipios que señala lo siguiente:</w:t>
      </w:r>
    </w:p>
    <w:p w:rsidR="00D51099" w:rsidRDefault="00D51099">
      <w:pPr>
        <w:rPr>
          <w:rFonts w:eastAsia="Palatino Linotype" w:cs="Palatino Linotype"/>
          <w:szCs w:val="24"/>
        </w:rPr>
      </w:pPr>
    </w:p>
    <w:p w:rsidR="00D51099" w:rsidRDefault="007D0A3A">
      <w:pPr>
        <w:spacing w:line="240" w:lineRule="auto"/>
        <w:ind w:left="567" w:right="567"/>
        <w:rPr>
          <w:rFonts w:eastAsia="Palatino Linotype" w:cs="Palatino Linotype"/>
          <w:i/>
        </w:rPr>
      </w:pPr>
      <w:r>
        <w:rPr>
          <w:rFonts w:eastAsia="Palatino Linotype" w:cs="Palatino Linotype"/>
          <w:b/>
          <w:i/>
        </w:rPr>
        <w:t>Artículo 155.</w:t>
      </w:r>
      <w:r>
        <w:rPr>
          <w:rFonts w:eastAsia="Palatino Linotype" w:cs="Palatino Linotype"/>
          <w:i/>
        </w:rPr>
        <w:t xml:space="preserve"> (…)</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 xml:space="preserve">Las solicitudes anónimas, con nombre incompleto o seudónimo serán procedentes para su trámite por parte </w:t>
      </w:r>
      <w:r>
        <w:rPr>
          <w:rFonts w:eastAsia="Palatino Linotype" w:cs="Palatino Linotype"/>
          <w:i/>
        </w:rPr>
        <w:t>del sujeto obligado ante quien se presente. No podrá requerirse información adicional con motivo del nombre proporcionado por el solicitante.</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D51099">
      <w:pPr>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szCs w:val="24"/>
        </w:rPr>
        <w:lastRenderedPageBreak/>
        <w:t>Robusteciendo lo anterior se encuentra lo dispuesto en los artículos 6, Apartado A, fracciones III y IV de la</w:t>
      </w:r>
      <w:r>
        <w:rPr>
          <w:rFonts w:eastAsia="Palatino Linotype" w:cs="Palatino Linotype"/>
          <w:szCs w:val="24"/>
        </w:rPr>
        <w:t xml:space="preserve"> Constitución Política de los Estados Unidos Mexicanos y 5 párrafos vigésimo, vigésimo primero y vigésimo segundo, de la Constitución Política del Estado Libre y Soberano de México, se establece lo siguiente:</w:t>
      </w:r>
    </w:p>
    <w:p w:rsidR="00D51099" w:rsidRDefault="00D51099">
      <w:pPr>
        <w:rPr>
          <w:rFonts w:eastAsia="Palatino Linotype" w:cs="Palatino Linotype"/>
          <w:szCs w:val="24"/>
        </w:rPr>
      </w:pPr>
    </w:p>
    <w:p w:rsidR="00D51099" w:rsidRDefault="007D0A3A">
      <w:pPr>
        <w:spacing w:line="240" w:lineRule="auto"/>
        <w:ind w:left="567" w:right="567"/>
        <w:jc w:val="center"/>
        <w:rPr>
          <w:rFonts w:eastAsia="Palatino Linotype" w:cs="Palatino Linotype"/>
          <w:b/>
          <w:i/>
          <w:u w:val="single"/>
        </w:rPr>
      </w:pPr>
      <w:r>
        <w:rPr>
          <w:rFonts w:eastAsia="Palatino Linotype" w:cs="Palatino Linotype"/>
          <w:b/>
          <w:i/>
          <w:u w:val="single"/>
        </w:rPr>
        <w:t>Constitución Política de los Estados Unidos Me</w:t>
      </w:r>
      <w:r>
        <w:rPr>
          <w:rFonts w:eastAsia="Palatino Linotype" w:cs="Palatino Linotype"/>
          <w:b/>
          <w:i/>
          <w:u w:val="single"/>
        </w:rPr>
        <w:t>xicanos</w:t>
      </w:r>
    </w:p>
    <w:p w:rsidR="00D51099" w:rsidRDefault="007D0A3A">
      <w:pPr>
        <w:spacing w:line="240" w:lineRule="auto"/>
        <w:ind w:left="567" w:right="567"/>
        <w:rPr>
          <w:rFonts w:eastAsia="Palatino Linotype" w:cs="Palatino Linotype"/>
          <w:i/>
        </w:rPr>
      </w:pPr>
      <w:r>
        <w:rPr>
          <w:rFonts w:eastAsia="Palatino Linotype" w:cs="Palatino Linotype"/>
          <w:b/>
          <w:i/>
        </w:rPr>
        <w:t>Artículo 6</w:t>
      </w:r>
      <w:r>
        <w:rPr>
          <w:rFonts w:eastAsia="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w:t>
      </w:r>
      <w:r>
        <w:rPr>
          <w:rFonts w:eastAsia="Palatino Linotype" w:cs="Palatino Linotype"/>
          <w:i/>
        </w:rPr>
        <w:t>l derecho de réplica será ejercido en los términos dispuestos por la ley. El derecho a la información será garantizado por el Estado.</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7D0A3A">
      <w:pPr>
        <w:spacing w:line="240" w:lineRule="auto"/>
        <w:ind w:left="567" w:right="567"/>
        <w:rPr>
          <w:rFonts w:eastAsia="Palatino Linotype" w:cs="Palatino Linotype"/>
          <w:i/>
        </w:rPr>
      </w:pPr>
      <w:r>
        <w:rPr>
          <w:rFonts w:eastAsia="Palatino Linotype" w:cs="Palatino Linotype"/>
          <w:i/>
        </w:rPr>
        <w:t xml:space="preserve">Para efectos de lo dispuesto en el presente artículo se observará lo siguiente: </w:t>
      </w:r>
    </w:p>
    <w:p w:rsidR="00D51099" w:rsidRDefault="007D0A3A">
      <w:pPr>
        <w:spacing w:line="240" w:lineRule="auto"/>
        <w:ind w:left="567" w:right="567"/>
        <w:rPr>
          <w:rFonts w:eastAsia="Palatino Linotype" w:cs="Palatino Linotype"/>
          <w:i/>
        </w:rPr>
      </w:pPr>
      <w:r>
        <w:rPr>
          <w:rFonts w:eastAsia="Palatino Linotype" w:cs="Palatino Linotype"/>
          <w:i/>
        </w:rPr>
        <w:t>A. Para el ejercicio del derecho de a</w:t>
      </w:r>
      <w:r>
        <w:rPr>
          <w:rFonts w:eastAsia="Palatino Linotype" w:cs="Palatino Linotype"/>
          <w:i/>
        </w:rPr>
        <w:t>cceso a la información, la Federación, los Estados y el Distrito Federal, en el ámbito de sus respectivas competencias, se regirán por los siguientes principios y bases:</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7D0A3A">
      <w:pPr>
        <w:spacing w:line="240" w:lineRule="auto"/>
        <w:ind w:left="567" w:right="567"/>
        <w:rPr>
          <w:rFonts w:eastAsia="Palatino Linotype" w:cs="Palatino Linotype"/>
          <w:i/>
        </w:rPr>
      </w:pPr>
      <w:r>
        <w:rPr>
          <w:rFonts w:eastAsia="Palatino Linotype" w:cs="Palatino Linotype"/>
          <w:i/>
        </w:rPr>
        <w:t>III. Toda persona, sin necesidad de acreditar interés alguno o justificar su utili</w:t>
      </w:r>
      <w:r>
        <w:rPr>
          <w:rFonts w:eastAsia="Palatino Linotype" w:cs="Palatino Linotype"/>
          <w:i/>
        </w:rPr>
        <w:t xml:space="preserve">zación, tendrá acceso gratuito a la información pública, a sus datos personales o a la rectificación de éstos. </w:t>
      </w:r>
    </w:p>
    <w:p w:rsidR="00D51099" w:rsidRDefault="007D0A3A">
      <w:pPr>
        <w:spacing w:line="240" w:lineRule="auto"/>
        <w:ind w:left="567" w:right="567"/>
        <w:rPr>
          <w:rFonts w:eastAsia="Palatino Linotype" w:cs="Palatino Linotype"/>
          <w:i/>
        </w:rPr>
      </w:pPr>
      <w:r>
        <w:rPr>
          <w:rFonts w:eastAsia="Palatino Linotype" w:cs="Palatino Linotype"/>
          <w:i/>
        </w:rPr>
        <w:t xml:space="preserve">IV. Se establecerán mecanismos de acceso a la información y procedimientos de revisión expeditos que se sustanciarán ante los organismos </w:t>
      </w:r>
      <w:r>
        <w:rPr>
          <w:rFonts w:eastAsia="Palatino Linotype" w:cs="Palatino Linotype"/>
          <w:i/>
        </w:rPr>
        <w:t>autónomos especializados e imparciales que establece esta Constitución.</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jc w:val="center"/>
        <w:rPr>
          <w:rFonts w:eastAsia="Palatino Linotype" w:cs="Palatino Linotype"/>
          <w:b/>
          <w:i/>
          <w:u w:val="single"/>
        </w:rPr>
      </w:pPr>
      <w:r>
        <w:rPr>
          <w:rFonts w:eastAsia="Palatino Linotype" w:cs="Palatino Linotype"/>
          <w:b/>
          <w:i/>
          <w:u w:val="single"/>
        </w:rPr>
        <w:t>Constitución Política del Estado Libre y Soberano de México</w:t>
      </w:r>
    </w:p>
    <w:p w:rsidR="00D51099" w:rsidRDefault="007D0A3A">
      <w:pPr>
        <w:spacing w:line="240" w:lineRule="auto"/>
        <w:ind w:left="567" w:right="567"/>
        <w:rPr>
          <w:rFonts w:eastAsia="Palatino Linotype" w:cs="Palatino Linotype"/>
          <w:i/>
        </w:rPr>
      </w:pPr>
      <w:r>
        <w:rPr>
          <w:rFonts w:eastAsia="Palatino Linotype" w:cs="Palatino Linotype"/>
          <w:b/>
          <w:i/>
        </w:rPr>
        <w:t>Artículo 5</w:t>
      </w:r>
      <w:r>
        <w:rPr>
          <w:rFonts w:eastAsia="Palatino Linotype" w:cs="Palatino Linotype"/>
          <w:i/>
        </w:rPr>
        <w:t>.- En el Estado de México todas las personas gozarán de los derechos humanos reconocidos en la Constitución Polít</w:t>
      </w:r>
      <w:r>
        <w:rPr>
          <w:rFonts w:eastAsia="Palatino Linotype" w:cs="Palatino Linotype"/>
          <w:i/>
        </w:rPr>
        <w:t xml:space="preserve">ica de los Estados Unidos Mexicanos, en los tratados internacionales en los que el Estado mexicano sea parte, en esta Constitución y en las leyes que de ésta emanen, por lo que gozarán de las garantías para su protección, las cuales no podrán restringirse </w:t>
      </w:r>
      <w:r>
        <w:rPr>
          <w:rFonts w:eastAsia="Palatino Linotype" w:cs="Palatino Linotype"/>
          <w:i/>
        </w:rPr>
        <w:t>ni suspenderse salvo en los casos y bajo las condiciones que la Constitución Política de los Estados Unidos Mexicanos establece.</w:t>
      </w:r>
    </w:p>
    <w:p w:rsidR="00D51099" w:rsidRDefault="007D0A3A">
      <w:pPr>
        <w:spacing w:line="240" w:lineRule="auto"/>
        <w:ind w:left="567" w:right="567"/>
        <w:rPr>
          <w:rFonts w:eastAsia="Palatino Linotype" w:cs="Palatino Linotype"/>
          <w:i/>
        </w:rPr>
      </w:pPr>
      <w:r>
        <w:rPr>
          <w:rFonts w:eastAsia="Palatino Linotype" w:cs="Palatino Linotype"/>
          <w:i/>
        </w:rPr>
        <w:lastRenderedPageBreak/>
        <w:t>(…)</w:t>
      </w:r>
    </w:p>
    <w:p w:rsidR="00D51099" w:rsidRDefault="007D0A3A">
      <w:pPr>
        <w:spacing w:line="240" w:lineRule="auto"/>
        <w:ind w:left="567" w:right="567"/>
        <w:rPr>
          <w:rFonts w:eastAsia="Palatino Linotype" w:cs="Palatino Linotype"/>
          <w:i/>
        </w:rPr>
      </w:pPr>
      <w:r>
        <w:rPr>
          <w:rFonts w:eastAsia="Palatino Linotype" w:cs="Palatino Linotype"/>
          <w:i/>
        </w:rPr>
        <w:t>Toda persona en el Estado de México, tiene derecho al libre acceso a la información plural y oportuna, así como a buscar re</w:t>
      </w:r>
      <w:r>
        <w:rPr>
          <w:rFonts w:eastAsia="Palatino Linotype" w:cs="Palatino Linotype"/>
          <w:i/>
        </w:rPr>
        <w:t>cibir y difundir información e ideas de toda índole por cualquier medio de expresión.</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7D0A3A">
      <w:pPr>
        <w:spacing w:line="240" w:lineRule="auto"/>
        <w:ind w:left="567" w:right="567"/>
        <w:rPr>
          <w:rFonts w:eastAsia="Palatino Linotype" w:cs="Palatino Linotype"/>
          <w:i/>
        </w:rPr>
      </w:pPr>
      <w:r>
        <w:rPr>
          <w:rFonts w:eastAsia="Palatino Linotype" w:cs="Palatino Linotype"/>
          <w:i/>
        </w:rPr>
        <w:t>El derecho a la información será garantizado por el Estado. La ley establecerá las previsiones que permitan asegurar la protección, el respeto y la difusión de este d</w:t>
      </w:r>
      <w:r>
        <w:rPr>
          <w:rFonts w:eastAsia="Palatino Linotype" w:cs="Palatino Linotype"/>
          <w:i/>
        </w:rPr>
        <w:t xml:space="preserve">erecho. </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w:t>
      </w:r>
      <w:r>
        <w:rPr>
          <w:rFonts w:eastAsia="Palatino Linotype" w:cs="Palatino Linotype"/>
          <w:i/>
        </w:rPr>
        <w:t xml:space="preserve">s, la información será oportuna, clara, veraz y de fácil acceso. </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Este derecho se regirá por los principios y bases siguientes:</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7D0A3A">
      <w:pPr>
        <w:spacing w:line="240" w:lineRule="auto"/>
        <w:ind w:left="567" w:right="567"/>
        <w:rPr>
          <w:rFonts w:eastAsia="Palatino Linotype" w:cs="Palatino Linotype"/>
          <w:i/>
        </w:rPr>
      </w:pPr>
      <w:r>
        <w:rPr>
          <w:rFonts w:eastAsia="Palatino Linotype" w:cs="Palatino Linotype"/>
          <w:b/>
          <w:i/>
        </w:rPr>
        <w:t>III.</w:t>
      </w:r>
      <w:r>
        <w:rPr>
          <w:rFonts w:eastAsia="Palatino Linotype" w:cs="Palatino Linotype"/>
          <w:i/>
        </w:rPr>
        <w:t xml:space="preserve"> Toda persona, sin necesidad de acreditar interés alguno o justificar su utilización, tendrá acceso gratuito a la información pública, a sus datos personales o a la rectificación de éstos;</w:t>
      </w:r>
    </w:p>
    <w:p w:rsidR="00D51099" w:rsidRDefault="007D0A3A">
      <w:pPr>
        <w:spacing w:line="240" w:lineRule="auto"/>
        <w:ind w:left="567" w:right="567"/>
        <w:rPr>
          <w:rFonts w:eastAsia="Palatino Linotype" w:cs="Palatino Linotype"/>
          <w:i/>
        </w:rPr>
      </w:pPr>
      <w:r>
        <w:rPr>
          <w:rFonts w:eastAsia="Palatino Linotype" w:cs="Palatino Linotype"/>
          <w:b/>
          <w:i/>
        </w:rPr>
        <w:t>IV.</w:t>
      </w:r>
      <w:r>
        <w:rPr>
          <w:rFonts w:eastAsia="Palatino Linotype" w:cs="Palatino Linotype"/>
          <w:i/>
        </w:rPr>
        <w:t xml:space="preserve"> Se establecerán mecanismos de acceso a la información y procedi</w:t>
      </w:r>
      <w:r>
        <w:rPr>
          <w:rFonts w:eastAsia="Palatino Linotype" w:cs="Palatino Linotype"/>
          <w:i/>
        </w:rPr>
        <w:t>mientos de revisión expeditos que se sustanciarán ante el organismo autónomo especializado e imparcial que establece esta Constitución.</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7D0A3A">
      <w:pPr>
        <w:spacing w:line="240" w:lineRule="auto"/>
        <w:ind w:left="567" w:right="567"/>
        <w:rPr>
          <w:rFonts w:eastAsia="Palatino Linotype" w:cs="Palatino Linotype"/>
          <w:i/>
        </w:rPr>
      </w:pPr>
      <w:r>
        <w:rPr>
          <w:rFonts w:eastAsia="Palatino Linotype" w:cs="Palatino Linotype"/>
          <w:b/>
          <w:i/>
        </w:rPr>
        <w:t>VIII.</w:t>
      </w:r>
      <w:r>
        <w:rPr>
          <w:rFonts w:eastAsia="Palatino Linotype" w:cs="Palatino Linotype"/>
          <w:i/>
        </w:rPr>
        <w:t xml:space="preserve"> El Estado contará con un organismo autónomo, especializado, imparcial, colegiado, con personalidad jurídica y </w:t>
      </w:r>
      <w:r>
        <w:rPr>
          <w:rFonts w:eastAsia="Palatino Linotype" w:cs="Palatino Linotype"/>
          <w:i/>
        </w:rPr>
        <w:t>patrimonio propio, con plena autonomía técnica y de gestión, con capacidad para decidir sobre el ejercicio de su presupuesto y determinar su organización interna, responsable de garantizar el cumplimiento del derecho de transparencia, acceso a la informaci</w:t>
      </w:r>
      <w:r>
        <w:rPr>
          <w:rFonts w:eastAsia="Palatino Linotype" w:cs="Palatino Linotype"/>
          <w:i/>
        </w:rPr>
        <w:t xml:space="preserve">ón pública y a la protección de datos personales en posesión de los sujetos obligados en los términos que establezca la ley. </w:t>
      </w:r>
    </w:p>
    <w:p w:rsidR="00D51099" w:rsidRDefault="007D0A3A">
      <w:pPr>
        <w:spacing w:line="240" w:lineRule="auto"/>
        <w:ind w:left="567" w:right="567"/>
        <w:rPr>
          <w:rFonts w:eastAsia="Palatino Linotype" w:cs="Palatino Linotype"/>
          <w:i/>
        </w:rPr>
      </w:pPr>
      <w:r>
        <w:rPr>
          <w:rFonts w:eastAsia="Palatino Linotype" w:cs="Palatino Linotype"/>
          <w:i/>
        </w:rPr>
        <w:t>(…)</w:t>
      </w:r>
    </w:p>
    <w:p w:rsidR="00D51099" w:rsidRDefault="00D51099">
      <w:pPr>
        <w:ind w:left="567" w:right="567"/>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szCs w:val="24"/>
        </w:rPr>
        <w:t>Por otra parte, del contenido del artículo 1 de la Constitución Política de los Estados Unidos Mexicanos, se destaca lo sigui</w:t>
      </w:r>
      <w:r>
        <w:rPr>
          <w:rFonts w:eastAsia="Palatino Linotype" w:cs="Palatino Linotype"/>
          <w:szCs w:val="24"/>
        </w:rPr>
        <w:t>ente:</w:t>
      </w:r>
    </w:p>
    <w:p w:rsidR="00D51099" w:rsidRDefault="00D51099">
      <w:pPr>
        <w:spacing w:line="240" w:lineRule="auto"/>
        <w:ind w:left="567" w:right="567"/>
        <w:rPr>
          <w:rFonts w:eastAsia="Palatino Linotype" w:cs="Palatino Linotype"/>
          <w:szCs w:val="24"/>
        </w:rPr>
      </w:pPr>
    </w:p>
    <w:p w:rsidR="00D51099" w:rsidRDefault="007D0A3A">
      <w:pPr>
        <w:spacing w:line="240" w:lineRule="auto"/>
        <w:ind w:left="567" w:right="567"/>
        <w:rPr>
          <w:rFonts w:eastAsia="Palatino Linotype" w:cs="Palatino Linotype"/>
          <w:i/>
        </w:rPr>
      </w:pPr>
      <w:r>
        <w:rPr>
          <w:rFonts w:eastAsia="Palatino Linotype" w:cs="Palatino Linotype"/>
          <w:b/>
          <w:i/>
        </w:rPr>
        <w:t>Artículo 1o</w:t>
      </w:r>
      <w:r>
        <w:rPr>
          <w:rFonts w:eastAsia="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w:t>
      </w:r>
      <w:r>
        <w:rPr>
          <w:rFonts w:eastAsia="Palatino Linotype" w:cs="Palatino Linotype"/>
          <w:i/>
        </w:rPr>
        <w:t xml:space="preserve"> cuyo ejercicio no podrá restringirse ni suspenderse, salvo en los casos y bajo las condiciones que esta Constitución establece.</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Las normas relativas a los derechos humanos se interpretarán de conformidad con esta Constitución y con los tratados internaci</w:t>
      </w:r>
      <w:r>
        <w:rPr>
          <w:rFonts w:eastAsia="Palatino Linotype" w:cs="Palatino Linotype"/>
          <w:i/>
        </w:rPr>
        <w:t>onales de la materia favoreciendo en todo tiempo a las personas la protección más amplia.</w:t>
      </w:r>
    </w:p>
    <w:p w:rsidR="00D51099" w:rsidRDefault="00D51099">
      <w:pPr>
        <w:spacing w:line="240" w:lineRule="auto"/>
        <w:ind w:left="567" w:right="567"/>
        <w:rPr>
          <w:rFonts w:eastAsia="Palatino Linotype" w:cs="Palatino Linotype"/>
          <w:i/>
        </w:rPr>
      </w:pPr>
    </w:p>
    <w:p w:rsidR="00D51099" w:rsidRDefault="007D0A3A">
      <w:pPr>
        <w:spacing w:line="240" w:lineRule="auto"/>
        <w:ind w:left="567" w:right="567"/>
        <w:rPr>
          <w:rFonts w:eastAsia="Palatino Linotype" w:cs="Palatino Linotype"/>
          <w:i/>
        </w:rPr>
      </w:pPr>
      <w:r>
        <w:rPr>
          <w:rFonts w:eastAsia="Palatino Linotype" w:cs="Palatino Linotype"/>
          <w:i/>
        </w:rPr>
        <w:t xml:space="preserve">Todas las autoridades, en el ámbito de sus competencias, tienen la obligación de promover, respetar, proteger y garantizar los derechos humanos de conformidad con </w:t>
      </w:r>
      <w:r>
        <w:rPr>
          <w:rFonts w:eastAsia="Palatino Linotype" w:cs="Palatino Linotype"/>
          <w:i/>
        </w:rPr>
        <w:t>los principios de universalidad, interdependencia, indivisibilidad y progresividad. En consecuencia, el Estado deberá prevenir, investigar, sancionar y reparar las violaciones a los derechos humanos, en los términos que establezca la ley.</w:t>
      </w:r>
    </w:p>
    <w:p w:rsidR="00D51099" w:rsidRDefault="00D51099">
      <w:pPr>
        <w:ind w:left="567" w:right="567"/>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szCs w:val="24"/>
        </w:rPr>
        <w:t xml:space="preserve">Por lo cual, de </w:t>
      </w:r>
      <w:r>
        <w:rPr>
          <w:rFonts w:eastAsia="Palatino Linotype" w:cs="Palatino Linotype"/>
          <w:szCs w:val="24"/>
        </w:rPr>
        <w:t>una interpretación sistemática, conforme y progresiva del derecho humano de acceso a la información pública se aprecia que toda persona, sin necesidad de acreditar interés alguno o justificar su utilización, deberá tener acceso a la información pública, es</w:t>
      </w:r>
      <w:r>
        <w:rPr>
          <w:rFonts w:eastAsia="Palatino Linotype" w:cs="Palatino Linotype"/>
          <w:szCs w:val="24"/>
        </w:rPr>
        <w:t xml:space="preserve"> decir, dicho derecho fundamental exime a quien lo ejerce, de acreditar su legitimación en la causa o su interés en el asunto, lo que permite la posibilidad de que, incluso, la solicitud de acceso a la información pueda ser anónima o no contener un nombre </w:t>
      </w:r>
      <w:r>
        <w:rPr>
          <w:rFonts w:eastAsia="Palatino Linotype" w:cs="Palatino Linotype"/>
          <w:szCs w:val="24"/>
        </w:rPr>
        <w:t>que identifique al solicitante o que permita tener certeza sobre su identidad.</w:t>
      </w:r>
    </w:p>
    <w:p w:rsidR="00D51099" w:rsidRDefault="00D51099">
      <w:pPr>
        <w:rPr>
          <w:rFonts w:eastAsia="Palatino Linotype" w:cs="Palatino Linotype"/>
          <w:szCs w:val="24"/>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En conclusión, se cubrieron los requisitos de procedencia y </w:t>
      </w:r>
      <w:proofErr w:type="spellStart"/>
      <w:r>
        <w:rPr>
          <w:rFonts w:eastAsia="Palatino Linotype" w:cs="Palatino Linotype"/>
          <w:color w:val="000000"/>
          <w:szCs w:val="24"/>
        </w:rPr>
        <w:t>procedibilidad</w:t>
      </w:r>
      <w:proofErr w:type="spellEnd"/>
      <w:r>
        <w:rPr>
          <w:rFonts w:eastAsia="Palatino Linotype" w:cs="Palatino Linotype"/>
          <w:color w:val="000000"/>
          <w:szCs w:val="24"/>
        </w:rPr>
        <w:t>, conforme a las constancias que obran en el expediente.</w:t>
      </w:r>
    </w:p>
    <w:p w:rsidR="00D51099" w:rsidRDefault="00D51099">
      <w:pPr>
        <w:contextualSpacing/>
        <w:rPr>
          <w:rFonts w:eastAsia="Palatino Linotype" w:cs="Palatino Linotype"/>
          <w:color w:val="000000"/>
          <w:szCs w:val="24"/>
        </w:rPr>
      </w:pPr>
    </w:p>
    <w:p w:rsidR="00D51099" w:rsidRDefault="007D0A3A">
      <w:pPr>
        <w:rPr>
          <w:rFonts w:eastAsiaTheme="minorHAnsi" w:cstheme="minorBidi"/>
          <w:b/>
          <w:sz w:val="26"/>
          <w:szCs w:val="26"/>
          <w:lang w:eastAsia="en-US"/>
        </w:rPr>
      </w:pPr>
      <w:r>
        <w:rPr>
          <w:rFonts w:eastAsiaTheme="minorHAnsi" w:cstheme="minorBidi"/>
          <w:b/>
          <w:sz w:val="26"/>
          <w:szCs w:val="26"/>
          <w:lang w:eastAsia="en-US"/>
        </w:rPr>
        <w:lastRenderedPageBreak/>
        <w:t xml:space="preserve">CUARTO. De las causas de improcedencia. </w:t>
      </w:r>
    </w:p>
    <w:p w:rsidR="00D51099" w:rsidRDefault="007D0A3A">
      <w:pPr>
        <w:rPr>
          <w:rFonts w:eastAsiaTheme="minorHAnsi" w:cstheme="minorBidi"/>
          <w:szCs w:val="24"/>
          <w:lang w:eastAsia="en-US"/>
        </w:rPr>
      </w:pPr>
      <w:r>
        <w:rPr>
          <w:rFonts w:eastAsiaTheme="minorHAnsi" w:cstheme="minorBidi"/>
          <w:szCs w:val="24"/>
          <w:lang w:eastAsia="en-US"/>
        </w:rPr>
        <w:t xml:space="preserve">En </w:t>
      </w:r>
      <w:r>
        <w:rPr>
          <w:rFonts w:eastAsiaTheme="minorHAnsi" w:cstheme="minorBidi"/>
          <w:szCs w:val="24"/>
          <w:lang w:eastAsia="en-US"/>
        </w:rPr>
        <w:t xml:space="preserve">el procedimiento de acceso a la información y de los medios de impugnación de la materia, se advierten diversos supuestos de </w:t>
      </w:r>
      <w:proofErr w:type="spellStart"/>
      <w:r>
        <w:rPr>
          <w:rFonts w:eastAsiaTheme="minorHAnsi" w:cstheme="minorBidi"/>
          <w:szCs w:val="24"/>
          <w:lang w:eastAsia="en-US"/>
        </w:rPr>
        <w:t>procedibilidad</w:t>
      </w:r>
      <w:proofErr w:type="spellEnd"/>
      <w:r>
        <w:rPr>
          <w:rFonts w:eastAsiaTheme="minorHAnsi" w:cstheme="minorBidi"/>
          <w:szCs w:val="24"/>
          <w:lang w:eastAsia="en-US"/>
        </w:rPr>
        <w:t xml:space="preserve"> que deben estudiarse con la finalidad de dar cumplimiento a los principios de legalidad y objetividad inmersos en el</w:t>
      </w:r>
      <w:r>
        <w:rPr>
          <w:rFonts w:eastAsiaTheme="minorHAnsi" w:cstheme="minorBidi"/>
          <w:szCs w:val="24"/>
          <w:lang w:eastAsia="en-US"/>
        </w:rPr>
        <w:t xml:space="preserve"> artículo 9 de Ley de Transparencia y Acceso a la Información Pública del Estado de México y Municipios, en correlación con la seguridad jurídica que debe generar lo actuado ante este Órgano Garante.</w:t>
      </w:r>
    </w:p>
    <w:p w:rsidR="00D51099" w:rsidRDefault="00D51099">
      <w:pPr>
        <w:rPr>
          <w:rFonts w:eastAsiaTheme="minorHAnsi" w:cstheme="minorBidi"/>
          <w:szCs w:val="24"/>
          <w:lang w:eastAsia="en-US"/>
        </w:rPr>
      </w:pPr>
    </w:p>
    <w:p w:rsidR="00D51099" w:rsidRDefault="007D0A3A">
      <w:pPr>
        <w:rPr>
          <w:rFonts w:eastAsiaTheme="minorHAnsi" w:cstheme="minorBidi"/>
          <w:szCs w:val="24"/>
          <w:lang w:eastAsia="en-US"/>
        </w:rPr>
      </w:pPr>
      <w:r>
        <w:rPr>
          <w:rFonts w:eastAsiaTheme="minorHAnsi" w:cstheme="minorBidi"/>
          <w:szCs w:val="24"/>
          <w:lang w:eastAsia="en-US"/>
        </w:rPr>
        <w:t>Siendo una facultad legal entrar al estudio de las caus</w:t>
      </w:r>
      <w:r>
        <w:rPr>
          <w:rFonts w:eastAsiaTheme="minorHAnsi" w:cstheme="minorBidi"/>
          <w:szCs w:val="24"/>
          <w:lang w:eastAsia="en-US"/>
        </w:rPr>
        <w:t xml:space="preserve">as de improcedencia que hagan valer las partes o que se adviertan de oficio por este Órgano </w:t>
      </w:r>
      <w:proofErr w:type="spellStart"/>
      <w:r>
        <w:rPr>
          <w:rFonts w:eastAsiaTheme="minorHAnsi" w:cstheme="minorBidi"/>
          <w:szCs w:val="24"/>
          <w:lang w:eastAsia="en-US"/>
        </w:rPr>
        <w:t>Resolutor</w:t>
      </w:r>
      <w:proofErr w:type="spellEnd"/>
      <w:r>
        <w:rPr>
          <w:rFonts w:eastAsiaTheme="minorHAnsi" w:cstheme="minorBidi"/>
          <w:szCs w:val="24"/>
          <w:lang w:eastAsia="en-US"/>
        </w:rPr>
        <w:t xml:space="preserve"> y por ende que son objeto de análisis previo al estudio de fondo del asunto; presupuestos procesales de inicio o trámite de un proceso, dotando de segurid</w:t>
      </w:r>
      <w:r>
        <w:rPr>
          <w:rFonts w:eastAsiaTheme="minorHAnsi" w:cstheme="minorBidi"/>
          <w:szCs w:val="24"/>
          <w:lang w:eastAsia="en-US"/>
        </w:rPr>
        <w:t>ad jurídica las resoluciones, máxime que se trata de una figura procesal adoptada en la ley de la materia, la cual permite dilucidar alguna causal que impida el estudio y resolución, cuando una vez admitido el recurso de revisión se advierta una causa de i</w:t>
      </w:r>
      <w:r>
        <w:rPr>
          <w:rFonts w:eastAsiaTheme="minorHAnsi" w:cstheme="minorBidi"/>
          <w:szCs w:val="24"/>
          <w:lang w:eastAsia="en-US"/>
        </w:rPr>
        <w:t>mprocedencia que permita sobreseerlo, sin estudiar el fondo del asunto; estudio oficioso o a petición de parte que no son incompatibles con el derecho de acceso a la justicia, ya que éste no se coarta por regular causas de improcedencia y sobreseimiento co</w:t>
      </w:r>
      <w:r>
        <w:rPr>
          <w:rFonts w:eastAsiaTheme="minorHAnsi" w:cstheme="minorBidi"/>
          <w:szCs w:val="24"/>
          <w:lang w:eastAsia="en-US"/>
        </w:rPr>
        <w:t>n tales fines.</w:t>
      </w:r>
    </w:p>
    <w:p w:rsidR="00D51099" w:rsidRDefault="00D51099">
      <w:pPr>
        <w:rPr>
          <w:rFonts w:eastAsiaTheme="minorHAnsi" w:cstheme="minorBidi"/>
          <w:szCs w:val="24"/>
          <w:lang w:eastAsia="en-US"/>
        </w:rPr>
      </w:pPr>
    </w:p>
    <w:p w:rsidR="00D51099" w:rsidRDefault="007D0A3A">
      <w:pPr>
        <w:rPr>
          <w:rFonts w:eastAsiaTheme="minorHAnsi" w:cstheme="minorBidi"/>
          <w:szCs w:val="24"/>
          <w:lang w:eastAsia="en-US"/>
        </w:rPr>
      </w:pPr>
      <w:r>
        <w:rPr>
          <w:rFonts w:eastAsiaTheme="minorHAnsi" w:cstheme="minorBidi"/>
          <w:szCs w:val="24"/>
          <w:lang w:eastAsia="en-US"/>
        </w:rPr>
        <w:t>Así las cosas, del análisis del expediente electrónico no se actualiza ninguna causa de improcedencia de las referidas en el artículo 191 de la Ley de Transparencia y Acceso a la Información Pública del Estado de México y Municipios, ni muc</w:t>
      </w:r>
      <w:r>
        <w:rPr>
          <w:rFonts w:eastAsiaTheme="minorHAnsi" w:cstheme="minorBidi"/>
          <w:szCs w:val="24"/>
          <w:lang w:eastAsia="en-US"/>
        </w:rPr>
        <w:t xml:space="preserve">ho menos se hizo valer causa de improcedencia alguna por las partes, que resulte dable abordar, encontrándose </w:t>
      </w:r>
      <w:r>
        <w:rPr>
          <w:rFonts w:eastAsiaTheme="minorHAnsi" w:cstheme="minorBidi"/>
          <w:szCs w:val="24"/>
          <w:lang w:eastAsia="en-US"/>
        </w:rPr>
        <w:lastRenderedPageBreak/>
        <w:t>actualizados todos los presupuestos procesales para atender el fondo del asunto, en los términos del considerando posterior.</w:t>
      </w:r>
    </w:p>
    <w:p w:rsidR="00D51099" w:rsidRDefault="00D51099">
      <w:pPr>
        <w:rPr>
          <w:rFonts w:eastAsiaTheme="minorHAnsi" w:cstheme="minorBidi"/>
          <w:szCs w:val="24"/>
          <w:lang w:eastAsia="en-US"/>
        </w:rPr>
      </w:pPr>
    </w:p>
    <w:p w:rsidR="00D51099" w:rsidRDefault="007D0A3A">
      <w:pPr>
        <w:rPr>
          <w:rFonts w:eastAsiaTheme="minorHAnsi" w:cstheme="minorBidi"/>
          <w:b/>
          <w:sz w:val="26"/>
          <w:szCs w:val="26"/>
          <w:lang w:eastAsia="en-US"/>
        </w:rPr>
      </w:pPr>
      <w:r>
        <w:rPr>
          <w:rFonts w:eastAsiaTheme="minorHAnsi" w:cstheme="minorBidi"/>
          <w:b/>
          <w:sz w:val="26"/>
          <w:szCs w:val="26"/>
          <w:lang w:eastAsia="en-US"/>
        </w:rPr>
        <w:t xml:space="preserve">QUINTO. Análisis de </w:t>
      </w:r>
      <w:r>
        <w:rPr>
          <w:rFonts w:eastAsiaTheme="minorHAnsi" w:cstheme="minorBidi"/>
          <w:b/>
          <w:sz w:val="26"/>
          <w:szCs w:val="26"/>
          <w:lang w:eastAsia="en-US"/>
        </w:rPr>
        <w:t>la causal de sobreseimiento.</w:t>
      </w:r>
    </w:p>
    <w:p w:rsidR="00D51099" w:rsidRDefault="007D0A3A">
      <w:pPr>
        <w:rPr>
          <w:rFonts w:eastAsia="Palatino Linotype" w:cs="Palatino Linotype"/>
          <w:szCs w:val="24"/>
        </w:rPr>
      </w:pPr>
      <w:r>
        <w:rPr>
          <w:rFonts w:eastAsia="Palatino Linotype" w:cs="Palatino Linotype"/>
          <w:szCs w:val="24"/>
        </w:rPr>
        <w:t>El análisis del presente recurso, se basará en el contenido íntegro de las actuaciones que obran en el expediente electrónico, para así estar en posibilidad este Órgano Colegiado de dictar el fallo correspondiente conforme a de</w:t>
      </w:r>
      <w:r>
        <w:rPr>
          <w:rFonts w:eastAsia="Palatino Linotype" w:cs="Palatino Linotype"/>
          <w:szCs w:val="24"/>
        </w:rPr>
        <w:t>recho, tomando en consideración los elementos aportados por las partes y respetando en todo momento al principio de máxima publicidad consagrado en nuestra Constitución Federal, Local y demás leyes aplicables en la materia, así como en los tratados interna</w:t>
      </w:r>
      <w:r>
        <w:rPr>
          <w:rFonts w:eastAsia="Palatino Linotype" w:cs="Palatino Linotype"/>
          <w:szCs w:val="24"/>
        </w:rPr>
        <w:t>cionales en los que el Estado Mexicano sea parte, en concordancia con el párrafo tercero del artículo 1 de la Constitución Federal y el diverso 8 de la Ley de Transparencia local.</w:t>
      </w:r>
    </w:p>
    <w:p w:rsidR="00D51099" w:rsidRDefault="00D51099">
      <w:pPr>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szCs w:val="24"/>
        </w:rPr>
        <w:t>La Ley de Transparencia de la entidad, en su artículo 192, contempla la fig</w:t>
      </w:r>
      <w:r>
        <w:rPr>
          <w:rFonts w:eastAsia="Palatino Linotype" w:cs="Palatino Linotype"/>
          <w:szCs w:val="24"/>
        </w:rPr>
        <w:t>ura jurídica del sobreseimiento, y específicamente en su hipótesis inmersa en la fracción IV, refiere que se sobreseerá el asunto cuando una vez admitido el recurso de revisión, aparezca alguna causal de improcedencia en los términos de la presente Ley, co</w:t>
      </w:r>
      <w:r>
        <w:rPr>
          <w:rFonts w:eastAsia="Palatino Linotype" w:cs="Palatino Linotype"/>
          <w:szCs w:val="24"/>
        </w:rPr>
        <w:t>n relación a la fracción III del artículo 191 de la Ley referida.</w:t>
      </w:r>
    </w:p>
    <w:p w:rsidR="00D51099" w:rsidRDefault="00D51099">
      <w:pPr>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szCs w:val="24"/>
        </w:rPr>
        <w:t>En ese contexto, para el efecto de verificar que el presente recurso de revisión haya quedado sin materia, es necesario realizar un estudio a las actuaciones que obran en el expediente elec</w:t>
      </w:r>
      <w:r>
        <w:rPr>
          <w:rFonts w:eastAsia="Palatino Linotype" w:cs="Palatino Linotype"/>
          <w:szCs w:val="24"/>
        </w:rPr>
        <w:t xml:space="preserve">trónico a fin de determinar si en el caso en concreto se actualiza el supuesto procesal que establece la fracción IV del artículo 192, de la Ley de Transparencia </w:t>
      </w:r>
      <w:r>
        <w:rPr>
          <w:rFonts w:eastAsia="Palatino Linotype" w:cs="Palatino Linotype"/>
          <w:szCs w:val="24"/>
        </w:rPr>
        <w:lastRenderedPageBreak/>
        <w:t>y Acceso a la Información Pública del Estado de México y Municipios, a efecto de generar certe</w:t>
      </w:r>
      <w:r>
        <w:rPr>
          <w:rFonts w:eastAsia="Palatino Linotype" w:cs="Palatino Linotype"/>
          <w:szCs w:val="24"/>
        </w:rPr>
        <w:t>za jurídica sobre la satisfacción del derecho de acceso a la información accionado por el particular, sirviendo para tales efectos las siguientes líneas argumentativas.</w:t>
      </w:r>
    </w:p>
    <w:p w:rsidR="00D51099" w:rsidRDefault="00D51099">
      <w:pPr>
        <w:rPr>
          <w:rFonts w:eastAsiaTheme="minorHAnsi" w:cstheme="minorBidi"/>
          <w:szCs w:val="24"/>
          <w:lang w:eastAsia="en-US"/>
        </w:rPr>
      </w:pPr>
    </w:p>
    <w:p w:rsidR="00D51099" w:rsidRDefault="007D0A3A">
      <w:pPr>
        <w:rPr>
          <w:rFonts w:eastAsiaTheme="minorHAnsi" w:cstheme="minorBidi"/>
          <w:szCs w:val="24"/>
          <w:lang w:eastAsia="en-US"/>
        </w:rPr>
      </w:pPr>
      <w:r>
        <w:rPr>
          <w:rFonts w:eastAsiaTheme="minorHAnsi" w:cstheme="minorBidi"/>
          <w:szCs w:val="24"/>
          <w:lang w:eastAsia="en-US"/>
        </w:rPr>
        <w:t>En virtud de lo anterior, es conveniente recordar que la Recurrente solicitó que el Su</w:t>
      </w:r>
      <w:r>
        <w:rPr>
          <w:rFonts w:eastAsiaTheme="minorHAnsi" w:cstheme="minorBidi"/>
          <w:szCs w:val="24"/>
          <w:lang w:eastAsia="en-US"/>
        </w:rPr>
        <w:t>jeto Obligado respondiera lo siguiente:</w:t>
      </w:r>
    </w:p>
    <w:p w:rsidR="00D51099" w:rsidRDefault="00D51099">
      <w:pPr>
        <w:rPr>
          <w:rFonts w:eastAsiaTheme="minorHAnsi" w:cstheme="minorBidi"/>
          <w:szCs w:val="24"/>
          <w:lang w:eastAsia="en-US"/>
        </w:rPr>
      </w:pPr>
    </w:p>
    <w:p w:rsidR="00D51099" w:rsidRDefault="007D0A3A">
      <w:pPr>
        <w:pStyle w:val="Prrafodelista"/>
        <w:numPr>
          <w:ilvl w:val="0"/>
          <w:numId w:val="2"/>
        </w:numPr>
        <w:spacing w:line="360" w:lineRule="auto"/>
        <w:rPr>
          <w:rFonts w:ascii="Palatino Linotype" w:eastAsiaTheme="minorHAnsi" w:hAnsi="Palatino Linotype" w:cstheme="minorBidi"/>
          <w:lang w:eastAsia="en-US"/>
        </w:rPr>
      </w:pPr>
      <w:r>
        <w:rPr>
          <w:rFonts w:ascii="Palatino Linotype" w:eastAsiaTheme="minorHAnsi" w:hAnsi="Palatino Linotype" w:cstheme="minorBidi"/>
          <w:lang w:eastAsia="en-US"/>
        </w:rPr>
        <w:t>¿Cuáles bienes inmuebles ha adquirido el ayuntamiento desde enero de 2021?</w:t>
      </w:r>
    </w:p>
    <w:p w:rsidR="00D51099" w:rsidRDefault="007D0A3A">
      <w:pPr>
        <w:pStyle w:val="Prrafodelista"/>
        <w:numPr>
          <w:ilvl w:val="0"/>
          <w:numId w:val="2"/>
        </w:numPr>
        <w:spacing w:line="360" w:lineRule="auto"/>
        <w:rPr>
          <w:rFonts w:ascii="Palatino Linotype" w:eastAsiaTheme="minorHAnsi" w:hAnsi="Palatino Linotype" w:cstheme="minorBidi"/>
          <w:lang w:eastAsia="en-US"/>
        </w:rPr>
      </w:pPr>
      <w:r>
        <w:rPr>
          <w:rFonts w:ascii="Palatino Linotype" w:eastAsiaTheme="minorHAnsi" w:hAnsi="Palatino Linotype" w:cstheme="minorBidi"/>
          <w:lang w:eastAsia="en-US"/>
        </w:rPr>
        <w:t>¿Cuál fue el costo de estos de enero de 2021 a la fecha?</w:t>
      </w:r>
    </w:p>
    <w:p w:rsidR="00D51099" w:rsidRDefault="007D0A3A">
      <w:pPr>
        <w:pStyle w:val="Prrafodelista"/>
        <w:numPr>
          <w:ilvl w:val="0"/>
          <w:numId w:val="2"/>
        </w:numPr>
        <w:spacing w:line="360" w:lineRule="auto"/>
        <w:rPr>
          <w:rFonts w:ascii="Palatino Linotype" w:eastAsiaTheme="minorHAnsi" w:hAnsi="Palatino Linotype" w:cstheme="minorBidi"/>
          <w:lang w:eastAsia="en-US"/>
        </w:rPr>
      </w:pPr>
      <w:r>
        <w:rPr>
          <w:rFonts w:ascii="Palatino Linotype" w:eastAsiaTheme="minorHAnsi" w:hAnsi="Palatino Linotype" w:cstheme="minorBidi"/>
          <w:lang w:eastAsia="en-US"/>
        </w:rPr>
        <w:t xml:space="preserve">¿Cuándo fueron ingresados al patrimonio municipal?, solicitando copia de las actas </w:t>
      </w:r>
      <w:r>
        <w:rPr>
          <w:rFonts w:ascii="Palatino Linotype" w:eastAsiaTheme="minorHAnsi" w:hAnsi="Palatino Linotype" w:cstheme="minorBidi"/>
          <w:lang w:eastAsia="en-US"/>
        </w:rPr>
        <w:t>y contratos.</w:t>
      </w:r>
    </w:p>
    <w:p w:rsidR="00D51099" w:rsidRDefault="007D0A3A">
      <w:pPr>
        <w:pStyle w:val="Prrafodelista"/>
        <w:numPr>
          <w:ilvl w:val="0"/>
          <w:numId w:val="2"/>
        </w:numPr>
        <w:spacing w:line="360" w:lineRule="auto"/>
        <w:rPr>
          <w:rFonts w:ascii="Palatino Linotype" w:eastAsiaTheme="minorHAnsi" w:hAnsi="Palatino Linotype" w:cstheme="minorBidi"/>
          <w:lang w:eastAsia="en-US"/>
        </w:rPr>
      </w:pPr>
      <w:r>
        <w:rPr>
          <w:rFonts w:ascii="Palatino Linotype" w:eastAsiaTheme="minorHAnsi" w:hAnsi="Palatino Linotype" w:cstheme="minorBidi"/>
          <w:lang w:eastAsia="en-US"/>
        </w:rPr>
        <w:t>¿Qué bienes inmuebles se han dado de baja del patrimonio municipal desde enero de 2022?, especificando cada uno de los bienes y motivos de la baja.</w:t>
      </w:r>
    </w:p>
    <w:p w:rsidR="00D51099" w:rsidRDefault="007D0A3A">
      <w:pPr>
        <w:pStyle w:val="Prrafodelista"/>
        <w:numPr>
          <w:ilvl w:val="0"/>
          <w:numId w:val="2"/>
        </w:numPr>
        <w:spacing w:line="360" w:lineRule="auto"/>
        <w:rPr>
          <w:rFonts w:ascii="Palatino Linotype" w:eastAsiaTheme="minorHAnsi" w:hAnsi="Palatino Linotype" w:cstheme="minorBidi"/>
          <w:lang w:eastAsia="en-US"/>
        </w:rPr>
      </w:pPr>
      <w:r>
        <w:rPr>
          <w:rFonts w:ascii="Palatino Linotype" w:eastAsiaTheme="minorHAnsi" w:hAnsi="Palatino Linotype" w:cstheme="minorBidi"/>
          <w:lang w:eastAsia="en-US"/>
        </w:rPr>
        <w:t>¿Qué bienes inmuebles renta el Sujeto Obligado y qué costo mensual tiene?, con la copia del con</w:t>
      </w:r>
      <w:r>
        <w:rPr>
          <w:rFonts w:ascii="Palatino Linotype" w:eastAsiaTheme="minorHAnsi" w:hAnsi="Palatino Linotype" w:cstheme="minorBidi"/>
          <w:lang w:eastAsia="en-US"/>
        </w:rPr>
        <w:t>trato.</w:t>
      </w:r>
    </w:p>
    <w:p w:rsidR="00D51099" w:rsidRDefault="00D51099">
      <w:pPr>
        <w:rPr>
          <w:rFonts w:eastAsiaTheme="minorHAnsi" w:cstheme="minorBidi"/>
          <w:szCs w:val="24"/>
          <w:lang w:eastAsia="en-US"/>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t>Al respecto, el Sujeto Obligado respondió al solicitante mediante la presentación de los siguientes documentos:</w:t>
      </w:r>
    </w:p>
    <w:p w:rsidR="00D51099" w:rsidRDefault="00D51099">
      <w:pPr>
        <w:contextualSpacing/>
        <w:rPr>
          <w:rFonts w:eastAsia="Palatino Linotype" w:cs="Palatino Linotype"/>
          <w:color w:val="000000"/>
          <w:szCs w:val="24"/>
        </w:rPr>
      </w:pPr>
    </w:p>
    <w:p w:rsidR="00D51099" w:rsidRDefault="007D0A3A">
      <w:pPr>
        <w:pStyle w:val="Prrafodelista"/>
        <w:numPr>
          <w:ilvl w:val="0"/>
          <w:numId w:val="3"/>
        </w:numPr>
        <w:spacing w:line="360" w:lineRule="auto"/>
        <w:contextualSpacing/>
        <w:rPr>
          <w:rFonts w:ascii="Palatino Linotype" w:eastAsia="Palatino Linotype" w:hAnsi="Palatino Linotype" w:cs="Palatino Linotype"/>
          <w:color w:val="000000"/>
        </w:rPr>
      </w:pPr>
      <w:r>
        <w:rPr>
          <w:rFonts w:ascii="Palatino Linotype" w:eastAsia="Palatino Linotype" w:hAnsi="Palatino Linotype" w:cs="Palatino Linotype"/>
          <w:b/>
          <w:color w:val="000000"/>
        </w:rPr>
        <w:t>000-76-ACULCO-IP-2022.pdf</w:t>
      </w:r>
      <w:r>
        <w:rPr>
          <w:rFonts w:ascii="Palatino Linotype" w:eastAsia="Palatino Linotype" w:hAnsi="Palatino Linotype" w:cs="Palatino Linotype"/>
          <w:bCs/>
          <w:color w:val="000000"/>
        </w:rPr>
        <w:t>. Oficio número PMA/OCIM/087/2022, suscrito por el Titular del Órgano de Control Interno Municipal, mediante e</w:t>
      </w:r>
      <w:r>
        <w:rPr>
          <w:rFonts w:ascii="Palatino Linotype" w:eastAsia="Palatino Linotype" w:hAnsi="Palatino Linotype" w:cs="Palatino Linotype"/>
          <w:bCs/>
          <w:color w:val="000000"/>
        </w:rPr>
        <w:t xml:space="preserve">l cual hizo referencia a las primeras cuatro preguntas del Recurrente y manifestó que la información puede ser consultarse en el portal de Información Pública de Oficio </w:t>
      </w:r>
      <w:r>
        <w:rPr>
          <w:rFonts w:ascii="Palatino Linotype" w:eastAsia="Palatino Linotype" w:hAnsi="Palatino Linotype" w:cs="Palatino Linotype"/>
          <w:bCs/>
          <w:color w:val="000000"/>
        </w:rPr>
        <w:lastRenderedPageBreak/>
        <w:t xml:space="preserve">Mexiquense IPOMEX en la página electrónica  </w:t>
      </w:r>
      <w:hyperlink r:id="rId9" w:history="1">
        <w:r>
          <w:rPr>
            <w:rStyle w:val="Hipervnculo"/>
            <w:rFonts w:ascii="Palatino Linotype" w:eastAsia="Palatino Linotype" w:hAnsi="Palatino Linotype" w:cs="Palatino Linotype"/>
            <w:bCs/>
          </w:rPr>
          <w:t>https://www.ipomex.org.mx/ipo3/lgt/indice/ACULCO/art_92_xxxviii_d.web</w:t>
        </w:r>
      </w:hyperlink>
      <w:r>
        <w:rPr>
          <w:rFonts w:ascii="Palatino Linotype" w:eastAsia="Palatino Linotype" w:hAnsi="Palatino Linotype" w:cs="Palatino Linotype"/>
          <w:bCs/>
          <w:color w:val="000000"/>
        </w:rPr>
        <w:t>, en la cual se puede consultar todos los bienes inmuebles que han sido adquiridos desde el año 2021 a la fecha, así como el costo y la fecha de</w:t>
      </w:r>
      <w:r>
        <w:rPr>
          <w:rFonts w:ascii="Palatino Linotype" w:eastAsia="Palatino Linotype" w:hAnsi="Palatino Linotype" w:cs="Palatino Linotype"/>
          <w:bCs/>
          <w:color w:val="000000"/>
        </w:rPr>
        <w:t xml:space="preserve"> incorporación, precisando que algunos predios se encuentran en etapa de regularización y aún no se ha asignado el monto de valor catastral. Asimismo, tocante a los bienes que se han dado de baja, en dicho enlace puede consultarse la información, pero resp</w:t>
      </w:r>
      <w:r>
        <w:rPr>
          <w:rFonts w:ascii="Palatino Linotype" w:eastAsia="Palatino Linotype" w:hAnsi="Palatino Linotype" w:cs="Palatino Linotype"/>
          <w:bCs/>
          <w:color w:val="000000"/>
        </w:rPr>
        <w:t>ecto del año 2022 aún no se ha realizado el procedimiento correspondiente para la desincorporación de algún bien mueble o inmueble propiedad del ayuntamiento, toda vez que próximamente se llevará a cabo el primer inventario físico del ejercicio 2022 de bie</w:t>
      </w:r>
      <w:r>
        <w:rPr>
          <w:rFonts w:ascii="Palatino Linotype" w:eastAsia="Palatino Linotype" w:hAnsi="Palatino Linotype" w:cs="Palatino Linotype"/>
          <w:bCs/>
          <w:color w:val="000000"/>
        </w:rPr>
        <w:t>nes muebles e inmuebles.</w:t>
      </w:r>
    </w:p>
    <w:p w:rsidR="00D51099" w:rsidRDefault="007D0A3A">
      <w:pPr>
        <w:pStyle w:val="Prrafodelista"/>
        <w:numPr>
          <w:ilvl w:val="0"/>
          <w:numId w:val="3"/>
        </w:numPr>
        <w:spacing w:line="360" w:lineRule="auto"/>
        <w:contextualSpacing/>
        <w:rPr>
          <w:rFonts w:ascii="Palatino Linotype" w:eastAsia="Palatino Linotype" w:hAnsi="Palatino Linotype" w:cs="Palatino Linotype"/>
          <w:color w:val="000000"/>
        </w:rPr>
      </w:pPr>
      <w:r>
        <w:rPr>
          <w:rFonts w:ascii="Palatino Linotype" w:eastAsia="Palatino Linotype" w:hAnsi="Palatino Linotype" w:cs="Palatino Linotype"/>
          <w:b/>
          <w:color w:val="000000"/>
        </w:rPr>
        <w:t>SOL 76.pdf</w:t>
      </w:r>
      <w:r>
        <w:rPr>
          <w:rFonts w:ascii="Palatino Linotype" w:eastAsia="Palatino Linotype" w:hAnsi="Palatino Linotype" w:cs="Palatino Linotype"/>
          <w:color w:val="000000"/>
        </w:rPr>
        <w:t>. Oficio número E00121/012/2022, emitido por el Subdirector de Recursos Materiales, por medio del cual manifestó que se renta una bodega con un costo mensual de $30 000.00 (treinta mil pesos 00/100 M.N.), adjuntando la ve</w:t>
      </w:r>
      <w:r>
        <w:rPr>
          <w:rFonts w:ascii="Palatino Linotype" w:eastAsia="Palatino Linotype" w:hAnsi="Palatino Linotype" w:cs="Palatino Linotype"/>
          <w:color w:val="000000"/>
        </w:rPr>
        <w:t>rsión pública de un contrato de arrendamiento.</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t xml:space="preserve">Ante la respuesta del Sujeto Obligado, el Recurrente interpuso el presente recurso de revisión señalando como acto impugnado y razones o motivos de inconformidad lo siguiente: </w:t>
      </w:r>
      <w:r>
        <w:rPr>
          <w:rFonts w:eastAsia="Palatino Linotype" w:cs="Palatino Linotype"/>
          <w:i/>
          <w:iCs/>
          <w:color w:val="000000"/>
          <w:szCs w:val="24"/>
        </w:rPr>
        <w:t>“Ninguno”</w:t>
      </w:r>
      <w:r>
        <w:rPr>
          <w:rFonts w:eastAsia="Palatino Linotype" w:cs="Palatino Linotype"/>
          <w:color w:val="000000"/>
          <w:szCs w:val="24"/>
        </w:rPr>
        <w:t xml:space="preserve"> (sic). </w:t>
      </w:r>
    </w:p>
    <w:p w:rsidR="00D51099" w:rsidRDefault="00D51099">
      <w:pPr>
        <w:contextualSpacing/>
        <w:rPr>
          <w:rFonts w:eastAsia="Palatino Linotype" w:cs="Palatino Linotype"/>
          <w:color w:val="000000"/>
          <w:szCs w:val="24"/>
        </w:rPr>
      </w:pPr>
    </w:p>
    <w:p w:rsidR="00D51099" w:rsidRDefault="007D0A3A">
      <w:pPr>
        <w:contextualSpacing/>
      </w:pPr>
      <w:r>
        <w:t>Se debe resal</w:t>
      </w:r>
      <w:r>
        <w:t xml:space="preserve">tar que el Sujeto Obligado rindió su Informe Justificado mediante la presentación del documento denominado </w:t>
      </w:r>
      <w:r>
        <w:rPr>
          <w:b/>
          <w:bCs/>
        </w:rPr>
        <w:t>“INFORME JUSTIFICADO RR 09985.pdf”</w:t>
      </w:r>
      <w:r>
        <w:t xml:space="preserve">, que consiste en el oficio número 199/UIPPE/2022 suscrito por la Directora de la Unidad </w:t>
      </w:r>
      <w:r>
        <w:lastRenderedPageBreak/>
        <w:t xml:space="preserve">de Información, </w:t>
      </w:r>
      <w:r>
        <w:t>Planeación, Programación, Evaluación y Transparencia, mediante el cual reiteró la respuesta otorgada al no encontrar elementos para presentar nueva información.</w:t>
      </w:r>
    </w:p>
    <w:p w:rsidR="00D51099" w:rsidRDefault="00D51099">
      <w:pPr>
        <w:contextualSpacing/>
        <w:rPr>
          <w:rFonts w:eastAsia="Palatino Linotype" w:cs="Palatino Linotype"/>
          <w:color w:val="000000"/>
          <w:szCs w:val="24"/>
        </w:rPr>
      </w:pPr>
    </w:p>
    <w:p w:rsidR="00D51099" w:rsidRDefault="007D0A3A">
      <w:pPr>
        <w:contextualSpacing/>
        <w:rPr>
          <w:rFonts w:eastAsia="Palatino Linotype" w:cs="Palatino Linotype"/>
          <w:color w:val="000000"/>
          <w:szCs w:val="24"/>
        </w:rPr>
      </w:pPr>
      <w:r>
        <w:rPr>
          <w:rFonts w:eastAsia="Palatino Linotype" w:cs="Palatino Linotype"/>
          <w:color w:val="000000"/>
          <w:szCs w:val="24"/>
        </w:rPr>
        <w:t>Una vez descritas las actuaciones que integran el expediente, se tiene que el Recurrente no ex</w:t>
      </w:r>
      <w:r>
        <w:rPr>
          <w:rFonts w:eastAsia="Palatino Linotype" w:cs="Palatino Linotype"/>
          <w:color w:val="000000"/>
          <w:szCs w:val="24"/>
        </w:rPr>
        <w:t xml:space="preserve">presó razones o motivos de inconformidad, pues en su medio de impugnación consideró que no había acto impugnado ni motivos de inconformidad al expresar textualmente </w:t>
      </w:r>
      <w:r>
        <w:rPr>
          <w:rFonts w:eastAsia="Palatino Linotype" w:cs="Palatino Linotype"/>
          <w:i/>
          <w:iCs/>
          <w:color w:val="000000"/>
          <w:szCs w:val="24"/>
        </w:rPr>
        <w:t>“Ninguno”</w:t>
      </w:r>
      <w:r>
        <w:rPr>
          <w:rFonts w:eastAsia="Palatino Linotype" w:cs="Palatino Linotype"/>
          <w:color w:val="000000"/>
          <w:szCs w:val="24"/>
        </w:rPr>
        <w:t>.</w:t>
      </w:r>
    </w:p>
    <w:p w:rsidR="00D51099" w:rsidRDefault="00D51099">
      <w:pPr>
        <w:contextualSpacing/>
        <w:rPr>
          <w:rFonts w:eastAsia="Palatino Linotype" w:cs="Palatino Linotype"/>
          <w:color w:val="000000"/>
          <w:szCs w:val="24"/>
        </w:rPr>
      </w:pPr>
    </w:p>
    <w:p w:rsidR="00D51099" w:rsidRDefault="007D0A3A">
      <w:pPr>
        <w:contextualSpacing/>
        <w:rPr>
          <w:rFonts w:cs="Arial"/>
        </w:rPr>
      </w:pPr>
      <w:r>
        <w:rPr>
          <w:rFonts w:eastAsia="Palatino Linotype" w:cs="Palatino Linotype"/>
          <w:color w:val="000000"/>
          <w:szCs w:val="24"/>
        </w:rPr>
        <w:t xml:space="preserve">Es así como </w:t>
      </w:r>
      <w:r>
        <w:rPr>
          <w:rFonts w:cs="Arial"/>
        </w:rPr>
        <w:t>debe estimarse que tanto el acto impugnado como los motivos de inco</w:t>
      </w:r>
      <w:r>
        <w:rPr>
          <w:rFonts w:cs="Arial"/>
        </w:rPr>
        <w:t>nformidad son inexistentes, pues no están encaminados a controvertir la respuesta emitida por el Sujeto Obligado, sino que el Recurrente no encontró ningún agravio a su derecho de acceso a la información derivado de la respuesta de la autoridad, por lo que</w:t>
      </w:r>
      <w:r>
        <w:rPr>
          <w:rFonts w:cs="Arial"/>
        </w:rPr>
        <w:t xml:space="preserve"> resulta aplicable la </w:t>
      </w:r>
      <w:proofErr w:type="spellStart"/>
      <w:r>
        <w:rPr>
          <w:rFonts w:cs="Arial"/>
        </w:rPr>
        <w:t>teis</w:t>
      </w:r>
      <w:proofErr w:type="spellEnd"/>
      <w:r>
        <w:rPr>
          <w:rFonts w:cs="Arial"/>
        </w:rPr>
        <w:t xml:space="preserve"> aislada con número de registro digital 2017549</w:t>
      </w:r>
      <w:r>
        <w:rPr>
          <w:rStyle w:val="Refdenotaalpie"/>
          <w:rFonts w:cs="Arial"/>
        </w:rPr>
        <w:footnoteReference w:id="1"/>
      </w:r>
      <w:r>
        <w:rPr>
          <w:rFonts w:cs="Arial"/>
        </w:rPr>
        <w:t>, que a la letra establece lo siguiente:</w:t>
      </w:r>
    </w:p>
    <w:p w:rsidR="00D51099" w:rsidRDefault="00D51099">
      <w:pPr>
        <w:rPr>
          <w:rFonts w:cs="Arial"/>
        </w:rPr>
      </w:pPr>
    </w:p>
    <w:p w:rsidR="00D51099" w:rsidRDefault="007D0A3A">
      <w:pPr>
        <w:spacing w:line="240" w:lineRule="auto"/>
        <w:ind w:left="567" w:right="567"/>
        <w:rPr>
          <w:rFonts w:eastAsia="Times New Roman" w:cs="Times New Roman"/>
          <w:b/>
          <w:bCs/>
          <w:i/>
          <w:lang w:eastAsia="es-ES"/>
        </w:rPr>
      </w:pPr>
      <w:r>
        <w:rPr>
          <w:rFonts w:eastAsia="Times New Roman" w:cs="Times New Roman"/>
          <w:b/>
          <w:bCs/>
          <w:i/>
          <w:lang w:eastAsia="es-ES"/>
        </w:rPr>
        <w:t xml:space="preserve">INEXISTENCIA DE LOS ACTOS RECLAMADOS EN EL AMPARO. NO ES UN MOTIVO MANIFIESTO E INDUDABLE DE IMPROCEDENCIA QUE DÉ LUGAR AL DESECHAMIENTO DE </w:t>
      </w:r>
      <w:r>
        <w:rPr>
          <w:rFonts w:eastAsia="Times New Roman" w:cs="Times New Roman"/>
          <w:b/>
          <w:bCs/>
          <w:i/>
          <w:lang w:eastAsia="es-ES"/>
        </w:rPr>
        <w:t xml:space="preserve">LA DEMANDA, SINO QUE CONSTITUYE UNA CAUSAL DE SOBRESEIMIENTO EN EL JUICIO. </w:t>
      </w:r>
    </w:p>
    <w:p w:rsidR="00D51099" w:rsidRDefault="007D0A3A">
      <w:pPr>
        <w:spacing w:line="240" w:lineRule="auto"/>
        <w:ind w:left="567" w:right="567"/>
        <w:rPr>
          <w:rFonts w:eastAsia="Times New Roman" w:cs="Times New Roman"/>
          <w:bCs/>
          <w:i/>
          <w:lang w:eastAsia="es-ES"/>
        </w:rPr>
      </w:pPr>
      <w:r>
        <w:rPr>
          <w:rFonts w:eastAsia="Times New Roman" w:cs="Times New Roman"/>
          <w:bCs/>
          <w:i/>
          <w:lang w:eastAsia="es-ES"/>
        </w:rPr>
        <w:t xml:space="preserve">Conforme al artículo 63, fracción IV, de la Ley de Amparo, </w:t>
      </w:r>
      <w:r>
        <w:rPr>
          <w:rFonts w:eastAsia="Times New Roman" w:cs="Times New Roman"/>
          <w:b/>
          <w:bCs/>
          <w:i/>
          <w:u w:val="single"/>
          <w:lang w:eastAsia="es-ES"/>
        </w:rPr>
        <w:t>la inexistencia de los actos reclamados es una causal de sobreseimiento</w:t>
      </w:r>
      <w:r>
        <w:rPr>
          <w:rFonts w:eastAsia="Times New Roman" w:cs="Times New Roman"/>
          <w:bCs/>
          <w:i/>
          <w:lang w:eastAsia="es-ES"/>
        </w:rPr>
        <w:t>, pero no de improcedencia del juicio de amparo; p</w:t>
      </w:r>
      <w:r>
        <w:rPr>
          <w:rFonts w:eastAsia="Times New Roman" w:cs="Times New Roman"/>
          <w:bCs/>
          <w:i/>
          <w:lang w:eastAsia="es-ES"/>
        </w:rPr>
        <w:t xml:space="preserve">or ende, no puede ser un motivo manifiesto e indudable que dé lugar </w:t>
      </w:r>
      <w:r>
        <w:rPr>
          <w:rFonts w:eastAsia="Times New Roman" w:cs="Times New Roman"/>
          <w:bCs/>
          <w:i/>
          <w:lang w:eastAsia="es-ES"/>
        </w:rPr>
        <w:lastRenderedPageBreak/>
        <w:t xml:space="preserve">al </w:t>
      </w:r>
      <w:proofErr w:type="spellStart"/>
      <w:r>
        <w:rPr>
          <w:rFonts w:eastAsia="Times New Roman" w:cs="Times New Roman"/>
          <w:bCs/>
          <w:i/>
          <w:lang w:eastAsia="es-ES"/>
        </w:rPr>
        <w:t>desechamiento</w:t>
      </w:r>
      <w:proofErr w:type="spellEnd"/>
      <w:r>
        <w:rPr>
          <w:rFonts w:eastAsia="Times New Roman" w:cs="Times New Roman"/>
          <w:bCs/>
          <w:i/>
          <w:lang w:eastAsia="es-ES"/>
        </w:rPr>
        <w:t xml:space="preserve"> de la demanda con sustento en el diverso precepto 113 de ese ordenamiento, pues el pronunciamiento relativo necesariamente debe efectuarse hasta la sentencia, al no habers</w:t>
      </w:r>
      <w:r>
        <w:rPr>
          <w:rFonts w:eastAsia="Times New Roman" w:cs="Times New Roman"/>
          <w:bCs/>
          <w:i/>
          <w:lang w:eastAsia="es-ES"/>
        </w:rPr>
        <w:t>e demostrado su existencia en la audiencia constitucional.</w:t>
      </w:r>
    </w:p>
    <w:p w:rsidR="00D51099" w:rsidRDefault="00D51099"/>
    <w:p w:rsidR="00D51099" w:rsidRDefault="007D0A3A">
      <w:pPr>
        <w:rPr>
          <w:rFonts w:eastAsia="Palatino Linotype" w:cs="Palatino Linotype"/>
        </w:rPr>
      </w:pPr>
      <w:r>
        <w:rPr>
          <w:rFonts w:eastAsia="Palatino Linotype" w:cs="Palatino Linotype"/>
        </w:rPr>
        <w:t xml:space="preserve">Por tanto, al acreditarse la procedencia del sobreseimiento, este Instituto está imposibilitado para analizar las cuestiones de fondo que se deriven de las actuaciones de las partes, en virtud de </w:t>
      </w:r>
      <w:r>
        <w:rPr>
          <w:rFonts w:eastAsia="Palatino Linotype" w:cs="Palatino Linotype"/>
        </w:rPr>
        <w:t>que el sobreseimiento constituye un acto procesal que termina el proceso por cuestiones ajenas al fondo del asunto, lo anterior conforme a la jurisprudencia identificada como el registro digital 220705</w:t>
      </w:r>
      <w:r>
        <w:rPr>
          <w:rStyle w:val="Refdenotaalpie"/>
          <w:rFonts w:eastAsia="Palatino Linotype" w:cs="Palatino Linotype"/>
        </w:rPr>
        <w:footnoteReference w:id="2"/>
      </w:r>
      <w:r>
        <w:rPr>
          <w:rFonts w:eastAsia="Palatino Linotype" w:cs="Palatino Linotype"/>
        </w:rPr>
        <w:t>, en la que se estipula lo siguiente:</w:t>
      </w:r>
    </w:p>
    <w:p w:rsidR="00D51099" w:rsidRDefault="00D51099">
      <w:pPr>
        <w:rPr>
          <w:rFonts w:eastAsia="Palatino Linotype" w:cs="Palatino Linotype"/>
        </w:rPr>
      </w:pPr>
    </w:p>
    <w:p w:rsidR="00D51099" w:rsidRDefault="007D0A3A">
      <w:pPr>
        <w:pStyle w:val="Sinespaciado"/>
        <w:rPr>
          <w:rFonts w:eastAsia="Palatino Linotype" w:cs="Palatino Linotype"/>
          <w:b/>
          <w:bCs/>
          <w:i w:val="0"/>
          <w:iCs/>
          <w:szCs w:val="22"/>
        </w:rPr>
      </w:pPr>
      <w:r>
        <w:rPr>
          <w:rFonts w:eastAsia="Palatino Linotype" w:cs="Palatino Linotype"/>
          <w:b/>
          <w:bCs/>
          <w:iCs/>
          <w:szCs w:val="22"/>
        </w:rPr>
        <w:t>SOBRESEIMIENTO.</w:t>
      </w:r>
      <w:r>
        <w:rPr>
          <w:rFonts w:eastAsia="Palatino Linotype" w:cs="Palatino Linotype"/>
          <w:b/>
          <w:bCs/>
          <w:iCs/>
          <w:szCs w:val="22"/>
        </w:rPr>
        <w:t xml:space="preserve"> IMPIDE EL ESTUDIO DE LAS CUESTIONES DE FONDO.</w:t>
      </w:r>
    </w:p>
    <w:p w:rsidR="00D51099" w:rsidRDefault="007D0A3A">
      <w:pPr>
        <w:pStyle w:val="Sinespaciado"/>
        <w:rPr>
          <w:rFonts w:eastAsia="Palatino Linotype" w:cs="Palatino Linotype"/>
          <w:i w:val="0"/>
          <w:iCs/>
          <w:szCs w:val="22"/>
        </w:rPr>
      </w:pPr>
      <w:r>
        <w:rPr>
          <w:rFonts w:eastAsia="Palatino Linotype" w:cs="Palatino Linotype"/>
          <w:iCs/>
          <w:szCs w:val="22"/>
        </w:rPr>
        <w:t xml:space="preserve">La resolución en que se decreta el sobreseimiento en el juicio, constituye un acto procesal que termina la instancia por cuestiones ajenas al aspecto de fondo planteado. Así, no causa agravio la sentencia que </w:t>
      </w:r>
      <w:r>
        <w:rPr>
          <w:rFonts w:eastAsia="Palatino Linotype" w:cs="Palatino Linotype"/>
          <w:iCs/>
          <w:szCs w:val="22"/>
        </w:rPr>
        <w:t>no se ocupa de examinar la constitucionalidad o inconstitucionalidad del acto reclamado, ya que tal cuestión constituye el problema de fondo planteado.</w:t>
      </w:r>
    </w:p>
    <w:p w:rsidR="00D51099" w:rsidRDefault="00D51099">
      <w:pPr>
        <w:rPr>
          <w:rFonts w:eastAsia="Palatino Linotype" w:cs="Palatino Linotype"/>
          <w:szCs w:val="24"/>
        </w:rPr>
      </w:pPr>
    </w:p>
    <w:p w:rsidR="00D51099" w:rsidRDefault="007D0A3A">
      <w:pPr>
        <w:rPr>
          <w:rFonts w:eastAsia="Palatino Linotype" w:cs="Palatino Linotype"/>
          <w:szCs w:val="24"/>
        </w:rPr>
      </w:pPr>
      <w:r>
        <w:rPr>
          <w:rFonts w:cs="Arial"/>
          <w:szCs w:val="24"/>
        </w:rPr>
        <w:t xml:space="preserve">Por lo anterior, </w:t>
      </w:r>
      <w:r>
        <w:rPr>
          <w:rFonts w:eastAsia="Palatino Linotype" w:cs="Palatino Linotype"/>
          <w:szCs w:val="24"/>
        </w:rPr>
        <w:t xml:space="preserve">el Pleno de este Instituto estima que en el presente recurso de revisión se actualiza </w:t>
      </w:r>
      <w:r>
        <w:rPr>
          <w:rFonts w:eastAsia="Palatino Linotype" w:cs="Palatino Linotype"/>
          <w:szCs w:val="24"/>
        </w:rPr>
        <w:t>la causal de sobreseimiento prevista en la fracción IV del artículo 192, con relación a la fracción III del artículo 191 de la Ley de Transparencia y Acceso a la Información Pública del Estado de México y Municipio, en los que se dispone lo siguiente:</w:t>
      </w:r>
    </w:p>
    <w:p w:rsidR="00D51099" w:rsidRDefault="00D51099">
      <w:pPr>
        <w:rPr>
          <w:rFonts w:eastAsia="Palatino Linotype" w:cs="Palatino Linotype"/>
          <w:szCs w:val="24"/>
        </w:rPr>
      </w:pPr>
    </w:p>
    <w:p w:rsidR="00D51099" w:rsidRDefault="007D0A3A">
      <w:pPr>
        <w:pStyle w:val="Sinespaciado"/>
        <w:rPr>
          <w:rFonts w:eastAsia="Palatino Linotype"/>
        </w:rPr>
      </w:pPr>
      <w:r>
        <w:rPr>
          <w:rFonts w:eastAsia="Palatino Linotype"/>
          <w:b/>
          <w:bCs/>
        </w:rPr>
        <w:t>Art</w:t>
      </w:r>
      <w:r>
        <w:rPr>
          <w:rFonts w:eastAsia="Palatino Linotype"/>
          <w:b/>
          <w:bCs/>
        </w:rPr>
        <w:t>ículo 191.</w:t>
      </w:r>
      <w:r>
        <w:rPr>
          <w:rFonts w:eastAsia="Palatino Linotype"/>
        </w:rPr>
        <w:t xml:space="preserve"> El recurso será desechado por improcedente cuando:</w:t>
      </w:r>
    </w:p>
    <w:p w:rsidR="00D51099" w:rsidRDefault="007D0A3A">
      <w:pPr>
        <w:pStyle w:val="Sinespaciado"/>
        <w:rPr>
          <w:rFonts w:eastAsia="Palatino Linotype"/>
          <w:bCs/>
        </w:rPr>
      </w:pPr>
      <w:r>
        <w:rPr>
          <w:rFonts w:eastAsia="Palatino Linotype"/>
          <w:bCs/>
        </w:rPr>
        <w:t>(…)</w:t>
      </w:r>
    </w:p>
    <w:p w:rsidR="00D51099" w:rsidRDefault="007D0A3A">
      <w:pPr>
        <w:pStyle w:val="Sinespaciado"/>
        <w:rPr>
          <w:rFonts w:eastAsia="Palatino Linotype"/>
          <w:bCs/>
        </w:rPr>
      </w:pPr>
      <w:r>
        <w:rPr>
          <w:rFonts w:eastAsia="Palatino Linotype"/>
          <w:b/>
          <w:bCs/>
        </w:rPr>
        <w:lastRenderedPageBreak/>
        <w:t>III.</w:t>
      </w:r>
      <w:r>
        <w:rPr>
          <w:rFonts w:eastAsia="Palatino Linotype"/>
          <w:bCs/>
        </w:rPr>
        <w:t xml:space="preserve"> No actualice alguno de los supuestos previstos en la presente Ley;</w:t>
      </w:r>
    </w:p>
    <w:p w:rsidR="00D51099" w:rsidRDefault="007D0A3A">
      <w:pPr>
        <w:pStyle w:val="Sinespaciado"/>
        <w:rPr>
          <w:rFonts w:eastAsia="Palatino Linotype"/>
          <w:bCs/>
        </w:rPr>
      </w:pPr>
      <w:r>
        <w:rPr>
          <w:rFonts w:eastAsia="Palatino Linotype"/>
          <w:bCs/>
        </w:rPr>
        <w:t>(…)</w:t>
      </w:r>
    </w:p>
    <w:p w:rsidR="00D51099" w:rsidRDefault="00D51099">
      <w:pPr>
        <w:pStyle w:val="Sinespaciado"/>
        <w:rPr>
          <w:rFonts w:eastAsia="Palatino Linotype"/>
        </w:rPr>
      </w:pPr>
    </w:p>
    <w:p w:rsidR="00D51099" w:rsidRDefault="007D0A3A">
      <w:pPr>
        <w:pStyle w:val="Sinespaciado"/>
        <w:rPr>
          <w:rFonts w:eastAsia="Palatino Linotype"/>
        </w:rPr>
      </w:pPr>
      <w:r>
        <w:rPr>
          <w:rFonts w:eastAsia="Palatino Linotype"/>
          <w:b/>
          <w:bCs/>
        </w:rPr>
        <w:t>Artículo 192.</w:t>
      </w:r>
      <w:r>
        <w:rPr>
          <w:rFonts w:eastAsia="Palatino Linotype"/>
        </w:rPr>
        <w:t xml:space="preserve"> El recurso será sobreseído, en todo o en parte, cuando una vez admitido, se actualicen alguno de lo</w:t>
      </w:r>
      <w:r>
        <w:rPr>
          <w:rFonts w:eastAsia="Palatino Linotype"/>
        </w:rPr>
        <w:t>s siguientes supuestos:</w:t>
      </w:r>
    </w:p>
    <w:p w:rsidR="00D51099" w:rsidRDefault="007D0A3A">
      <w:pPr>
        <w:pStyle w:val="Sinespaciado"/>
        <w:rPr>
          <w:rFonts w:eastAsia="Palatino Linotype"/>
        </w:rPr>
      </w:pPr>
      <w:r>
        <w:rPr>
          <w:rFonts w:eastAsia="Palatino Linotype"/>
        </w:rPr>
        <w:t>(…)</w:t>
      </w:r>
    </w:p>
    <w:p w:rsidR="00D51099" w:rsidRDefault="007D0A3A">
      <w:pPr>
        <w:pStyle w:val="Sinespaciado"/>
        <w:rPr>
          <w:rFonts w:eastAsia="Palatino Linotype"/>
        </w:rPr>
      </w:pPr>
      <w:r>
        <w:rPr>
          <w:rFonts w:eastAsia="Palatino Linotype"/>
          <w:b/>
          <w:bCs/>
        </w:rPr>
        <w:t>IV.</w:t>
      </w:r>
      <w:r>
        <w:rPr>
          <w:rFonts w:eastAsia="Palatino Linotype"/>
        </w:rPr>
        <w:t xml:space="preserve"> </w:t>
      </w:r>
      <w:r>
        <w:rPr>
          <w:rFonts w:eastAsia="Palatino Linotype"/>
          <w:bCs/>
        </w:rPr>
        <w:t>Admitido el recurso de revisión, aparezca alguna causal de improcedencia en los términos de la presente Ley; y</w:t>
      </w:r>
    </w:p>
    <w:p w:rsidR="00D51099" w:rsidRDefault="007D0A3A">
      <w:pPr>
        <w:pStyle w:val="Sinespaciado"/>
        <w:rPr>
          <w:rFonts w:eastAsia="Palatino Linotype"/>
          <w:bCs/>
        </w:rPr>
      </w:pPr>
      <w:r>
        <w:rPr>
          <w:rFonts w:eastAsia="Palatino Linotype"/>
          <w:bCs/>
        </w:rPr>
        <w:t>(…)</w:t>
      </w:r>
    </w:p>
    <w:p w:rsidR="00D51099" w:rsidRDefault="00D51099">
      <w:pPr>
        <w:rPr>
          <w:rFonts w:eastAsia="Palatino Linotype" w:cs="Palatino Linotype"/>
        </w:rPr>
      </w:pPr>
    </w:p>
    <w:p w:rsidR="00D51099" w:rsidRDefault="007D0A3A">
      <w:pPr>
        <w:rPr>
          <w:rFonts w:eastAsia="Palatino Linotype" w:cs="Palatino Linotype"/>
          <w:szCs w:val="24"/>
        </w:rPr>
      </w:pPr>
      <w:r>
        <w:rPr>
          <w:rFonts w:eastAsia="Palatino Linotype" w:cs="Palatino Linotype"/>
          <w:szCs w:val="24"/>
        </w:rPr>
        <w:t>Así, con fundamento en lo prescrito en los artículos 36 fracciones II y III, así como en la segunda hipótesi</w:t>
      </w:r>
      <w:r>
        <w:rPr>
          <w:rFonts w:eastAsia="Palatino Linotype" w:cs="Palatino Linotype"/>
          <w:szCs w:val="24"/>
        </w:rPr>
        <w:t>s de la fracción I del artículo 186 fracción I,  191 fracción III y 192 fracción IV de la Ley de Transparencia y Acceso a la Información Pública del Estado de México y Municipios el Pleno de este Órgano Garante:</w:t>
      </w:r>
    </w:p>
    <w:p w:rsidR="00D51099" w:rsidRDefault="00D51099">
      <w:pPr>
        <w:rPr>
          <w:rFonts w:eastAsia="Palatino Linotype" w:cs="Palatino Linotype"/>
        </w:rPr>
      </w:pPr>
    </w:p>
    <w:p w:rsidR="00D51099" w:rsidRDefault="007D0A3A">
      <w:pPr>
        <w:jc w:val="center"/>
        <w:rPr>
          <w:rFonts w:eastAsia="Palatino Linotype" w:cs="Palatino Linotype"/>
          <w:b/>
          <w:sz w:val="28"/>
          <w:szCs w:val="28"/>
        </w:rPr>
      </w:pPr>
      <w:r>
        <w:rPr>
          <w:rFonts w:eastAsia="Palatino Linotype" w:cs="Palatino Linotype"/>
          <w:b/>
          <w:sz w:val="28"/>
          <w:szCs w:val="28"/>
        </w:rPr>
        <w:t>RESUELVE</w:t>
      </w:r>
    </w:p>
    <w:p w:rsidR="00D51099" w:rsidRDefault="00D51099">
      <w:pPr>
        <w:rPr>
          <w:rFonts w:eastAsia="Palatino Linotype" w:cs="Palatino Linotype"/>
        </w:rPr>
      </w:pPr>
    </w:p>
    <w:p w:rsidR="00D51099" w:rsidRDefault="007D0A3A">
      <w:pPr>
        <w:rPr>
          <w:rFonts w:eastAsia="Palatino Linotype" w:cs="Palatino Linotype"/>
          <w:szCs w:val="24"/>
        </w:rPr>
      </w:pPr>
      <w:r>
        <w:rPr>
          <w:rFonts w:eastAsia="Palatino Linotype" w:cs="Palatino Linotype"/>
          <w:b/>
          <w:szCs w:val="24"/>
        </w:rPr>
        <w:t>PRIMERO</w:t>
      </w:r>
      <w:r>
        <w:rPr>
          <w:rFonts w:eastAsia="Palatino Linotype" w:cs="Palatino Linotype"/>
          <w:color w:val="000000"/>
          <w:szCs w:val="24"/>
        </w:rPr>
        <w:t xml:space="preserve"> Se</w:t>
      </w:r>
      <w:r>
        <w:rPr>
          <w:rFonts w:eastAsia="Palatino Linotype" w:cs="Palatino Linotype"/>
          <w:b/>
          <w:color w:val="000000"/>
          <w:szCs w:val="24"/>
        </w:rPr>
        <w:t xml:space="preserve"> SOBRESEE </w:t>
      </w:r>
      <w:r>
        <w:rPr>
          <w:rFonts w:eastAsia="Palatino Linotype" w:cs="Palatino Linotype"/>
          <w:color w:val="000000"/>
          <w:szCs w:val="24"/>
        </w:rPr>
        <w:t>el recurso de</w:t>
      </w:r>
      <w:r>
        <w:rPr>
          <w:rFonts w:eastAsia="Palatino Linotype" w:cs="Palatino Linotype"/>
          <w:color w:val="000000"/>
          <w:szCs w:val="24"/>
        </w:rPr>
        <w:t xml:space="preserve"> revisión número </w:t>
      </w:r>
      <w:r>
        <w:rPr>
          <w:rFonts w:eastAsia="Palatino Linotype" w:cs="Palatino Linotype"/>
          <w:b/>
          <w:color w:val="000000"/>
          <w:szCs w:val="24"/>
        </w:rPr>
        <w:t>09985/INFOEM/IP/RR/2022</w:t>
      </w:r>
      <w:r>
        <w:rPr>
          <w:rFonts w:eastAsia="Palatino Linotype" w:cs="Palatino Linotype"/>
          <w:color w:val="000000"/>
          <w:szCs w:val="24"/>
        </w:rPr>
        <w:t>, por improcedente al actualizarse lo dispuesto en el artículo 192 fracción IV, con relación a la fracción III del artículo 191 de la Ley de Transparencia y Acceso a la Información Pública del Estado de México y Muni</w:t>
      </w:r>
      <w:r>
        <w:rPr>
          <w:rFonts w:eastAsia="Palatino Linotype" w:cs="Palatino Linotype"/>
          <w:color w:val="000000"/>
          <w:szCs w:val="24"/>
        </w:rPr>
        <w:t xml:space="preserve">cipios, en términos del </w:t>
      </w:r>
      <w:r>
        <w:rPr>
          <w:rFonts w:eastAsia="Palatino Linotype" w:cs="Palatino Linotype"/>
          <w:b/>
          <w:bCs/>
          <w:color w:val="000000"/>
          <w:szCs w:val="24"/>
        </w:rPr>
        <w:t>Considerando QUINTO</w:t>
      </w:r>
      <w:r>
        <w:rPr>
          <w:rFonts w:eastAsia="Palatino Linotype" w:cs="Palatino Linotype"/>
          <w:color w:val="000000"/>
          <w:szCs w:val="24"/>
        </w:rPr>
        <w:t xml:space="preserve"> de la presente resolución.</w:t>
      </w:r>
    </w:p>
    <w:p w:rsidR="00D51099" w:rsidRDefault="00D51099">
      <w:pPr>
        <w:rPr>
          <w:rFonts w:eastAsia="Palatino Linotype" w:cs="Palatino Linotype"/>
          <w:bCs/>
          <w:szCs w:val="24"/>
        </w:rPr>
      </w:pPr>
    </w:p>
    <w:p w:rsidR="00D51099" w:rsidRDefault="007D0A3A">
      <w:pPr>
        <w:rPr>
          <w:rFonts w:eastAsia="Palatino Linotype" w:cs="Palatino Linotype"/>
          <w:szCs w:val="24"/>
        </w:rPr>
      </w:pPr>
      <w:r>
        <w:rPr>
          <w:rFonts w:eastAsia="Palatino Linotype" w:cs="Palatino Linotype"/>
          <w:b/>
          <w:szCs w:val="24"/>
        </w:rPr>
        <w:t>SEGUNDO.</w:t>
      </w:r>
      <w:r>
        <w:rPr>
          <w:rFonts w:eastAsia="Palatino Linotype" w:cs="Palatino Linotype"/>
          <w:szCs w:val="24"/>
        </w:rPr>
        <w:t xml:space="preserve"> </w:t>
      </w:r>
      <w:r>
        <w:rPr>
          <w:rFonts w:eastAsia="Palatino Linotype" w:cs="Palatino Linotype"/>
          <w:b/>
          <w:szCs w:val="24"/>
        </w:rPr>
        <w:t>Notifíquese</w:t>
      </w:r>
      <w:r>
        <w:rPr>
          <w:rFonts w:eastAsia="Palatino Linotype" w:cs="Palatino Linotype"/>
          <w:szCs w:val="24"/>
        </w:rPr>
        <w:t xml:space="preserve"> la presente resolución al Titular de la Unidad de Transparencia del Sujeto Obligado mediante el Sistema de Acceso a la Información Mexiquense (SAIMEX).</w:t>
      </w:r>
    </w:p>
    <w:p w:rsidR="00D51099" w:rsidRDefault="00D51099">
      <w:pPr>
        <w:rPr>
          <w:rFonts w:eastAsia="Palatino Linotype" w:cs="Palatino Linotype"/>
          <w:szCs w:val="24"/>
        </w:rPr>
      </w:pPr>
    </w:p>
    <w:p w:rsidR="00D51099" w:rsidRDefault="007D0A3A">
      <w:pPr>
        <w:rPr>
          <w:rFonts w:eastAsia="Palatino Linotype" w:cs="Palatino Linotype"/>
          <w:szCs w:val="24"/>
        </w:rPr>
      </w:pPr>
      <w:r>
        <w:rPr>
          <w:rFonts w:eastAsia="Palatino Linotype" w:cs="Palatino Linotype"/>
          <w:b/>
          <w:szCs w:val="24"/>
        </w:rPr>
        <w:t xml:space="preserve">TERCERO. </w:t>
      </w:r>
      <w:r>
        <w:rPr>
          <w:rFonts w:eastAsia="Palatino Linotype" w:cs="Palatino Linotype"/>
          <w:b/>
          <w:szCs w:val="24"/>
        </w:rPr>
        <w:t>Notifíquese</w:t>
      </w:r>
      <w:r>
        <w:rPr>
          <w:rFonts w:eastAsia="Palatino Linotype" w:cs="Palatino Linotype"/>
          <w:szCs w:val="24"/>
        </w:rPr>
        <w:t xml:space="preserve"> la presente resolución al Recurrente</w:t>
      </w:r>
      <w:r>
        <w:t xml:space="preserve"> </w:t>
      </w:r>
      <w:r>
        <w:rPr>
          <w:rFonts w:eastAsia="Palatino Linotype" w:cs="Palatino Linotype"/>
          <w:szCs w:val="24"/>
        </w:rPr>
        <w:t>a través del Sistema de Acceso a la Información Mexiquense (SAIMEX), y hágase de su conocimiento que, en caso de considerar que la misma le causa algún perjuicio, podrá promover el Juicio de Amparo en los té</w:t>
      </w:r>
      <w:r>
        <w:rPr>
          <w:rFonts w:eastAsia="Palatino Linotype" w:cs="Palatino Linotype"/>
          <w:szCs w:val="24"/>
        </w:rPr>
        <w:t>rminos de las leyes aplicables, de acuerdo a lo estipulado por el artículo 196 de la Ley de Transparencia y Acceso a la Información Pública del Estado de México y Municipios.</w:t>
      </w:r>
    </w:p>
    <w:p w:rsidR="00D51099" w:rsidRDefault="00D51099">
      <w:pPr>
        <w:pStyle w:val="Sinespaciado"/>
        <w:spacing w:line="360" w:lineRule="auto"/>
        <w:rPr>
          <w:rFonts w:eastAsia="Palatino Linotype" w:cs="Palatino Linotype"/>
          <w:sz w:val="18"/>
          <w:szCs w:val="18"/>
        </w:rPr>
      </w:pPr>
    </w:p>
    <w:p w:rsidR="00D51099" w:rsidRDefault="007D0A3A">
      <w:pPr>
        <w:ind w:right="-8"/>
        <w:contextualSpacing/>
        <w:rPr>
          <w:rFonts w:eastAsia="Palatino Linotype" w:cs="Palatino Linotype"/>
          <w:color w:val="000000"/>
          <w:szCs w:val="24"/>
        </w:rPr>
      </w:pPr>
      <w:r>
        <w:rPr>
          <w:rFonts w:eastAsia="Palatino Linotype" w:cs="Palatino Linotype"/>
          <w:color w:val="000000"/>
          <w:szCs w:val="24"/>
        </w:rPr>
        <w:t>ASÍ LO RESUELVE, POR UNANIMIDAD DE VOTOS, EL PLENO DEL INSTITUTO DE TRANSPARENCI</w:t>
      </w:r>
      <w:r>
        <w:rPr>
          <w:rFonts w:eastAsia="Palatino Linotype" w:cs="Palatino Linotype"/>
          <w:color w:val="000000"/>
          <w:szCs w:val="24"/>
        </w:rPr>
        <w:t>A, ACCESO A LA INFORMACIÓN PÚBLICA Y PROTECCIÓN DE DATOS PERSONALES DEL ESTADO DE MÉXICO Y MUNICIPIOS, CONFORMADO POR LOS COMISIONADOS JOSÉ MARTÍNEZ VILCHIS, MARÍA DEL ROSARIO MEJÍA AYALA, SHARON CRISTINA MORALES MARTÍNEZ, LUIS GUSTAVO PARRA NORIEGA Y GUAD</w:t>
      </w:r>
      <w:r>
        <w:rPr>
          <w:rFonts w:eastAsia="Palatino Linotype" w:cs="Palatino Linotype"/>
          <w:color w:val="000000"/>
          <w:szCs w:val="24"/>
        </w:rPr>
        <w:t>ALUPE RAMÍREZ PEÑA, EN LA TRIGÉSIMA SEGUNDA SESIÓN ORDINARIA CELEBRADA EL SIETE DE SEPTIEMBRE DE DOS MIL VEINTIDÓS, ANTE EL SECRETARIO TÉCNICO DEL PLENO, ALEXIS TAPIA RAMÍREZ.---------------------------------------------------------------------------------</w:t>
      </w:r>
      <w:r>
        <w:rPr>
          <w:rFonts w:eastAsia="Palatino Linotype" w:cs="Palatino Linotype"/>
          <w:color w:val="000000"/>
          <w:szCs w:val="24"/>
        </w:rPr>
        <w:t>----------------------------------------------------------------------------------------------------------------------------------------------------------------------------------------------------------------------------------------------------------------</w:t>
      </w:r>
      <w:r>
        <w:rPr>
          <w:rFonts w:eastAsia="Palatino Linotype" w:cs="Palatino Linotype"/>
          <w:color w:val="000000"/>
          <w:szCs w:val="24"/>
        </w:rPr>
        <w:t>--------------------------------------------------------------------------------------------------------------------</w:t>
      </w:r>
    </w:p>
    <w:p w:rsidR="00D51099" w:rsidRDefault="007D0A3A">
      <w:pPr>
        <w:ind w:right="-8"/>
        <w:contextualSpacing/>
        <w:rPr>
          <w:rFonts w:eastAsia="Palatino Linotype" w:cs="Palatino Linotype"/>
          <w:color w:val="000000"/>
          <w:sz w:val="20"/>
          <w:szCs w:val="20"/>
        </w:rPr>
      </w:pPr>
      <w:r>
        <w:rPr>
          <w:rFonts w:eastAsia="Palatino Linotype" w:cs="Palatino Linotype"/>
          <w:color w:val="000000"/>
          <w:sz w:val="20"/>
          <w:szCs w:val="20"/>
        </w:rPr>
        <w:t>JMV/CCR/</w:t>
      </w:r>
      <w:proofErr w:type="spellStart"/>
      <w:r>
        <w:rPr>
          <w:rFonts w:eastAsia="Palatino Linotype" w:cs="Palatino Linotype"/>
          <w:color w:val="000000"/>
          <w:sz w:val="20"/>
          <w:szCs w:val="20"/>
        </w:rPr>
        <w:t>fzh</w:t>
      </w:r>
      <w:proofErr w:type="spellEnd"/>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contextualSpacing/>
        <w:rPr>
          <w:rFonts w:eastAsia="Palatino Linotype" w:cs="Palatino Linotype"/>
          <w:color w:val="000000"/>
          <w:sz w:val="20"/>
          <w:szCs w:val="20"/>
        </w:rPr>
      </w:pPr>
    </w:p>
    <w:p w:rsidR="00D51099" w:rsidRDefault="00D51099">
      <w:pPr>
        <w:rPr>
          <w:sz w:val="20"/>
          <w:szCs w:val="20"/>
        </w:rPr>
      </w:pPr>
    </w:p>
    <w:sectPr w:rsidR="00D51099">
      <w:headerReference w:type="even" r:id="rId10"/>
      <w:headerReference w:type="default" r:id="rId11"/>
      <w:footerReference w:type="default" r:id="rId12"/>
      <w:headerReference w:type="first" r:id="rId13"/>
      <w:footerReference w:type="first" r:id="rId14"/>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3A" w:rsidRDefault="007D0A3A">
      <w:pPr>
        <w:spacing w:line="240" w:lineRule="auto"/>
      </w:pPr>
      <w:r>
        <w:separator/>
      </w:r>
    </w:p>
  </w:endnote>
  <w:endnote w:type="continuationSeparator" w:id="0">
    <w:p w:rsidR="007D0A3A" w:rsidRDefault="007D0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099" w:rsidRDefault="007D0A3A">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DB37F7">
      <w:rPr>
        <w:rFonts w:ascii="Palatino Linotype" w:hAnsi="Palatino Linotype"/>
        <w:b/>
        <w:bCs/>
        <w:noProof/>
        <w:sz w:val="20"/>
      </w:rPr>
      <w:t>21</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DB37F7">
      <w:rPr>
        <w:rFonts w:ascii="Palatino Linotype" w:hAnsi="Palatino Linotype"/>
        <w:b/>
        <w:bCs/>
        <w:noProof/>
        <w:sz w:val="20"/>
      </w:rPr>
      <w:t>22</w:t>
    </w:r>
    <w:r>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099" w:rsidRDefault="007D0A3A">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DB37F7">
      <w:rPr>
        <w:rFonts w:ascii="Palatino Linotype" w:hAnsi="Palatino Linotype"/>
        <w:b/>
        <w:bCs/>
        <w:noProof/>
        <w:sz w:val="20"/>
      </w:rPr>
      <w:t>1</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DB37F7">
      <w:rPr>
        <w:rFonts w:ascii="Palatino Linotype" w:hAnsi="Palatino Linotype"/>
        <w:b/>
        <w:bCs/>
        <w:noProof/>
        <w:sz w:val="20"/>
      </w:rPr>
      <w:t>22</w:t>
    </w:r>
    <w:r>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3A" w:rsidRDefault="007D0A3A">
      <w:r>
        <w:separator/>
      </w:r>
    </w:p>
  </w:footnote>
  <w:footnote w:type="continuationSeparator" w:id="0">
    <w:p w:rsidR="007D0A3A" w:rsidRDefault="007D0A3A">
      <w:r>
        <w:continuationSeparator/>
      </w:r>
    </w:p>
  </w:footnote>
  <w:footnote w:id="1">
    <w:p w:rsidR="00D51099" w:rsidRDefault="007D0A3A">
      <w:pPr>
        <w:pStyle w:val="Textonotapie"/>
      </w:pPr>
      <w:r>
        <w:rPr>
          <w:rStyle w:val="Refdenotaalpie"/>
        </w:rPr>
        <w:footnoteRef/>
      </w:r>
      <w:r>
        <w:t xml:space="preserve"> Tesis I.1o.A. 40 K, </w:t>
      </w:r>
      <w:r>
        <w:rPr>
          <w:i/>
          <w:iCs/>
        </w:rPr>
        <w:t>Gaceta del Semanario Judicial de la Federación</w:t>
      </w:r>
      <w:r>
        <w:t>, Décima Época, libro 57, tomo III, agosto de 2018, p. 2860.</w:t>
      </w:r>
    </w:p>
  </w:footnote>
  <w:footnote w:id="2">
    <w:p w:rsidR="00D51099" w:rsidRDefault="007D0A3A">
      <w:pPr>
        <w:pStyle w:val="Textonotapie"/>
      </w:pPr>
      <w:r>
        <w:rPr>
          <w:rStyle w:val="Refdenotaalpie"/>
        </w:rPr>
        <w:footnoteRef/>
      </w:r>
      <w:r>
        <w:t xml:space="preserve"> 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099" w:rsidRDefault="007D0A3A">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7728;mso-position-horizontal:center;mso-position-horizontal-relative:margin;mso-position-vertical:center;mso-position-vertical-relative:margin;mso-width-relative:page;mso-height-relative:page"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51099">
      <w:trPr>
        <w:trHeight w:val="227"/>
      </w:trPr>
      <w:tc>
        <w:tcPr>
          <w:tcW w:w="5103" w:type="dxa"/>
        </w:tcPr>
        <w:p w:rsidR="00D51099" w:rsidRDefault="007D0A3A">
          <w:pPr>
            <w:spacing w:after="120" w:line="240" w:lineRule="auto"/>
            <w:ind w:right="69"/>
            <w:jc w:val="right"/>
            <w:rPr>
              <w:rFonts w:cs="Arial"/>
              <w:b/>
              <w:szCs w:val="24"/>
            </w:rPr>
          </w:pPr>
          <w:r>
            <w:rPr>
              <w:rFonts w:cs="Arial"/>
              <w:b/>
              <w:szCs w:val="24"/>
            </w:rPr>
            <w:t>Recurso de Revisión:</w:t>
          </w:r>
        </w:p>
      </w:tc>
      <w:tc>
        <w:tcPr>
          <w:tcW w:w="4395" w:type="dxa"/>
        </w:tcPr>
        <w:p w:rsidR="00D51099" w:rsidRDefault="007D0A3A">
          <w:pPr>
            <w:spacing w:after="120" w:line="240" w:lineRule="auto"/>
            <w:ind w:right="71"/>
            <w:jc w:val="right"/>
            <w:rPr>
              <w:rFonts w:cs="Arial"/>
              <w:b/>
              <w:szCs w:val="24"/>
            </w:rPr>
          </w:pPr>
          <w:r>
            <w:rPr>
              <w:rFonts w:cs="Arial"/>
              <w:b/>
              <w:bCs/>
              <w:szCs w:val="24"/>
            </w:rPr>
            <w:t>08040/INFOEM/IP/RR/2022</w:t>
          </w:r>
        </w:p>
      </w:tc>
    </w:tr>
    <w:tr w:rsidR="00D51099">
      <w:trPr>
        <w:trHeight w:val="242"/>
      </w:trPr>
      <w:tc>
        <w:tcPr>
          <w:tcW w:w="5103" w:type="dxa"/>
        </w:tcPr>
        <w:p w:rsidR="00D51099" w:rsidRDefault="007D0A3A">
          <w:pPr>
            <w:spacing w:after="120" w:line="240" w:lineRule="auto"/>
            <w:ind w:right="69"/>
            <w:jc w:val="right"/>
            <w:rPr>
              <w:rFonts w:cs="Arial"/>
              <w:b/>
              <w:szCs w:val="24"/>
            </w:rPr>
          </w:pPr>
          <w:r>
            <w:rPr>
              <w:rFonts w:cs="Arial"/>
              <w:b/>
              <w:szCs w:val="24"/>
            </w:rPr>
            <w:t>Sujeto Obligado:</w:t>
          </w:r>
        </w:p>
      </w:tc>
      <w:tc>
        <w:tcPr>
          <w:tcW w:w="4395" w:type="dxa"/>
        </w:tcPr>
        <w:p w:rsidR="00D51099" w:rsidRDefault="007D0A3A">
          <w:pPr>
            <w:spacing w:after="120" w:line="240" w:lineRule="auto"/>
            <w:ind w:right="74"/>
            <w:jc w:val="right"/>
            <w:rPr>
              <w:rFonts w:cs="Arial"/>
              <w:szCs w:val="24"/>
            </w:rPr>
          </w:pPr>
          <w:r>
            <w:rPr>
              <w:rFonts w:cs="Arial"/>
              <w:szCs w:val="24"/>
            </w:rPr>
            <w:t>Ayuntamiento de Chimalhuacán</w:t>
          </w:r>
        </w:p>
      </w:tc>
    </w:tr>
    <w:tr w:rsidR="00D51099">
      <w:trPr>
        <w:trHeight w:val="342"/>
      </w:trPr>
      <w:tc>
        <w:tcPr>
          <w:tcW w:w="5103" w:type="dxa"/>
        </w:tcPr>
        <w:p w:rsidR="00D51099" w:rsidRDefault="007D0A3A">
          <w:pPr>
            <w:tabs>
              <w:tab w:val="left" w:pos="4892"/>
            </w:tabs>
            <w:spacing w:after="120" w:line="240" w:lineRule="auto"/>
            <w:ind w:right="69"/>
            <w:jc w:val="right"/>
            <w:rPr>
              <w:rFonts w:cs="Arial"/>
              <w:b/>
              <w:szCs w:val="24"/>
            </w:rPr>
          </w:pPr>
          <w:r>
            <w:rPr>
              <w:rFonts w:cs="Arial"/>
              <w:b/>
              <w:szCs w:val="24"/>
            </w:rPr>
            <w:t>Comisionado Ponente:</w:t>
          </w:r>
        </w:p>
      </w:tc>
      <w:tc>
        <w:tcPr>
          <w:tcW w:w="4395" w:type="dxa"/>
        </w:tcPr>
        <w:p w:rsidR="00D51099" w:rsidRDefault="007D0A3A">
          <w:pPr>
            <w:spacing w:after="120" w:line="240" w:lineRule="auto"/>
            <w:ind w:left="-486" w:right="71" w:firstLine="567"/>
            <w:jc w:val="right"/>
            <w:rPr>
              <w:rFonts w:cs="Arial"/>
              <w:szCs w:val="24"/>
            </w:rPr>
          </w:pPr>
          <w:r>
            <w:rPr>
              <w:rFonts w:cs="Arial"/>
              <w:szCs w:val="24"/>
            </w:rPr>
            <w:t xml:space="preserve">José Martínez </w:t>
          </w:r>
          <w:r>
            <w:rPr>
              <w:rFonts w:cs="Arial"/>
              <w:szCs w:val="24"/>
            </w:rPr>
            <w:t>Vilchis</w:t>
          </w:r>
        </w:p>
      </w:tc>
    </w:tr>
  </w:tbl>
  <w:p w:rsidR="00D51099" w:rsidRDefault="007D0A3A">
    <w:pPr>
      <w:pStyle w:val="Encabezado"/>
      <w:rPr>
        <w:sz w:val="2"/>
        <w:szCs w:val="2"/>
      </w:rPr>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1.05pt;margin-top:-146.05pt;width:609.4pt;height:793.75pt;z-index:-251658752;mso-position-horizontal-relative:margin;mso-position-vertical-relative:margin;mso-width-relative:page;mso-height-relative:page" o:allowincell="f">
          <v:imagedata r:id="rId1" o:title="infoem"/>
          <w10:wrap anchorx="margin" anchory="margin"/>
        </v:shape>
      </w:pic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D51099">
      <w:trPr>
        <w:trHeight w:val="227"/>
      </w:trPr>
      <w:tc>
        <w:tcPr>
          <w:tcW w:w="5245" w:type="dxa"/>
        </w:tcPr>
        <w:p w:rsidR="00D51099" w:rsidRDefault="007D0A3A">
          <w:pPr>
            <w:spacing w:after="120" w:line="240" w:lineRule="auto"/>
            <w:ind w:right="68"/>
            <w:jc w:val="right"/>
            <w:rPr>
              <w:rFonts w:cs="Arial"/>
              <w:b/>
              <w:szCs w:val="24"/>
            </w:rPr>
          </w:pPr>
          <w:r>
            <w:rPr>
              <w:rFonts w:cs="Arial"/>
              <w:b/>
              <w:szCs w:val="24"/>
            </w:rPr>
            <w:t>Recurso de Revisión:</w:t>
          </w:r>
        </w:p>
      </w:tc>
      <w:tc>
        <w:tcPr>
          <w:tcW w:w="4395" w:type="dxa"/>
        </w:tcPr>
        <w:p w:rsidR="00D51099" w:rsidRDefault="007D0A3A">
          <w:pPr>
            <w:spacing w:after="120" w:line="240" w:lineRule="auto"/>
            <w:ind w:left="-488" w:right="68" w:firstLine="556"/>
            <w:jc w:val="right"/>
            <w:rPr>
              <w:rFonts w:cs="Arial"/>
              <w:b/>
              <w:szCs w:val="24"/>
            </w:rPr>
          </w:pPr>
          <w:r>
            <w:rPr>
              <w:rFonts w:cs="Arial"/>
              <w:b/>
              <w:bCs/>
              <w:szCs w:val="24"/>
            </w:rPr>
            <w:t>09985/INFOEM/IP/RR/2022</w:t>
          </w:r>
        </w:p>
      </w:tc>
    </w:tr>
    <w:tr w:rsidR="00D51099">
      <w:trPr>
        <w:trHeight w:val="196"/>
      </w:trPr>
      <w:tc>
        <w:tcPr>
          <w:tcW w:w="5245" w:type="dxa"/>
        </w:tcPr>
        <w:p w:rsidR="00D51099" w:rsidRDefault="007D0A3A">
          <w:pPr>
            <w:spacing w:after="120" w:line="240" w:lineRule="auto"/>
            <w:ind w:right="68"/>
            <w:jc w:val="right"/>
            <w:rPr>
              <w:rFonts w:cs="Arial"/>
              <w:b/>
              <w:szCs w:val="24"/>
            </w:rPr>
          </w:pPr>
          <w:r>
            <w:rPr>
              <w:rFonts w:cs="Arial"/>
              <w:b/>
              <w:szCs w:val="24"/>
            </w:rPr>
            <w:t>Recurrente:</w:t>
          </w:r>
        </w:p>
      </w:tc>
      <w:tc>
        <w:tcPr>
          <w:tcW w:w="4395" w:type="dxa"/>
        </w:tcPr>
        <w:p w:rsidR="00D51099" w:rsidRDefault="00DB37F7">
          <w:pPr>
            <w:spacing w:after="120" w:line="240" w:lineRule="auto"/>
            <w:ind w:right="68"/>
            <w:jc w:val="right"/>
            <w:rPr>
              <w:rFonts w:cs="Arial"/>
              <w:szCs w:val="24"/>
            </w:rPr>
          </w:pPr>
          <w:r>
            <w:rPr>
              <w:rFonts w:cs="Arial"/>
              <w:szCs w:val="24"/>
            </w:rPr>
            <w:t>XXXX</w:t>
          </w:r>
        </w:p>
      </w:tc>
    </w:tr>
    <w:tr w:rsidR="00D51099">
      <w:trPr>
        <w:trHeight w:val="242"/>
      </w:trPr>
      <w:tc>
        <w:tcPr>
          <w:tcW w:w="5245" w:type="dxa"/>
        </w:tcPr>
        <w:p w:rsidR="00D51099" w:rsidRDefault="007D0A3A">
          <w:pPr>
            <w:spacing w:after="120" w:line="240" w:lineRule="auto"/>
            <w:ind w:right="68"/>
            <w:jc w:val="right"/>
            <w:rPr>
              <w:rFonts w:cs="Arial"/>
              <w:b/>
              <w:szCs w:val="24"/>
            </w:rPr>
          </w:pPr>
          <w:r>
            <w:rPr>
              <w:rFonts w:cs="Arial"/>
              <w:b/>
              <w:szCs w:val="24"/>
            </w:rPr>
            <w:t>Sujeto Obligado:</w:t>
          </w:r>
        </w:p>
      </w:tc>
      <w:tc>
        <w:tcPr>
          <w:tcW w:w="4395" w:type="dxa"/>
        </w:tcPr>
        <w:p w:rsidR="00D51099" w:rsidRDefault="007D0A3A">
          <w:pPr>
            <w:spacing w:after="120" w:line="240" w:lineRule="auto"/>
            <w:ind w:left="-68" w:right="68"/>
            <w:jc w:val="right"/>
            <w:rPr>
              <w:rFonts w:cs="Arial"/>
              <w:szCs w:val="24"/>
            </w:rPr>
          </w:pPr>
          <w:r>
            <w:rPr>
              <w:rFonts w:cs="Arial"/>
              <w:szCs w:val="24"/>
            </w:rPr>
            <w:t>Ayuntamiento de Aculco</w:t>
          </w:r>
        </w:p>
      </w:tc>
    </w:tr>
    <w:tr w:rsidR="00D51099">
      <w:trPr>
        <w:trHeight w:val="342"/>
      </w:trPr>
      <w:tc>
        <w:tcPr>
          <w:tcW w:w="5245" w:type="dxa"/>
        </w:tcPr>
        <w:p w:rsidR="00D51099" w:rsidRDefault="007D0A3A">
          <w:pPr>
            <w:tabs>
              <w:tab w:val="left" w:pos="4892"/>
            </w:tabs>
            <w:spacing w:after="120" w:line="240" w:lineRule="auto"/>
            <w:ind w:right="68"/>
            <w:jc w:val="right"/>
            <w:rPr>
              <w:rFonts w:cs="Arial"/>
              <w:b/>
              <w:szCs w:val="24"/>
            </w:rPr>
          </w:pPr>
          <w:r>
            <w:rPr>
              <w:rFonts w:cs="Arial"/>
              <w:b/>
              <w:szCs w:val="24"/>
            </w:rPr>
            <w:t xml:space="preserve">Comisionado </w:t>
          </w:r>
          <w:r>
            <w:rPr>
              <w:rFonts w:cs="Arial"/>
              <w:b/>
              <w:szCs w:val="24"/>
            </w:rPr>
            <w:t>Ponente:</w:t>
          </w:r>
        </w:p>
      </w:tc>
      <w:tc>
        <w:tcPr>
          <w:tcW w:w="4395" w:type="dxa"/>
        </w:tcPr>
        <w:p w:rsidR="00D51099" w:rsidRDefault="007D0A3A">
          <w:pPr>
            <w:spacing w:after="120" w:line="240" w:lineRule="auto"/>
            <w:ind w:left="-486" w:right="68" w:firstLine="567"/>
            <w:jc w:val="right"/>
            <w:rPr>
              <w:rFonts w:cs="Arial"/>
              <w:szCs w:val="24"/>
            </w:rPr>
          </w:pPr>
          <w:r>
            <w:rPr>
              <w:rFonts w:cs="Arial"/>
              <w:szCs w:val="24"/>
            </w:rPr>
            <w:t>José Martínez Vilchis</w:t>
          </w:r>
        </w:p>
      </w:tc>
    </w:tr>
  </w:tbl>
  <w:p w:rsidR="00D51099" w:rsidRDefault="007D0A3A">
    <w:pPr>
      <w:pStyle w:val="Encabezado"/>
      <w:rPr>
        <w:sz w:val="2"/>
        <w:szCs w:val="2"/>
      </w:rPr>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81.45pt;margin-top:-146.1pt;width:609.4pt;height:793.75pt;z-index:-251659776;mso-position-horizontal-relative:margin;mso-position-vertical-relative:margin;mso-width-relative:page;mso-height-relative:page" o:allowincell="f">
          <v:imagedata r:id="rId1" o:title="infoem"/>
          <w10:wrap anchorx="margin" anchory="margin"/>
        </v:shape>
      </w:pic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219C"/>
    <w:multiLevelType w:val="multilevel"/>
    <w:tmpl w:val="196D219C"/>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AA0EA7"/>
    <w:multiLevelType w:val="multilevel"/>
    <w:tmpl w:val="29AA0EA7"/>
    <w:lvl w:ilvl="0">
      <w:start w:val="1"/>
      <w:numFmt w:val="lowerLetter"/>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430DFF"/>
    <w:multiLevelType w:val="multilevel"/>
    <w:tmpl w:val="4B430DFF"/>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0A3A"/>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99"/>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7F7"/>
    <w:rsid w:val="00DB44A1"/>
    <w:rsid w:val="00DB5CD7"/>
    <w:rsid w:val="00DB6647"/>
    <w:rsid w:val="00DC0C9F"/>
    <w:rsid w:val="00DC33BA"/>
    <w:rsid w:val="00DC4957"/>
    <w:rsid w:val="00DC4AE2"/>
    <w:rsid w:val="00DC5BCA"/>
    <w:rsid w:val="00DC5D46"/>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 w:val="6BB0483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CBBD39-6661-47E7-BAF3-9F032CE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Palatino Linotype" w:eastAsia="Calibri" w:hAnsi="Palatino Linotype" w:cs="Calibri"/>
      <w:sz w:val="24"/>
      <w:szCs w:val="22"/>
    </w:rPr>
  </w:style>
  <w:style w:type="paragraph" w:styleId="Ttulo1">
    <w:name w:val="heading 1"/>
    <w:basedOn w:val="Normal"/>
    <w:next w:val="Normal"/>
    <w:link w:val="Ttulo1Car"/>
    <w:uiPriority w:val="9"/>
    <w:qFormat/>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line="240" w:lineRule="auto"/>
    </w:pPr>
    <w:rPr>
      <w:rFonts w:ascii="Times New Roman" w:hAnsi="Times New Roman" w:cs="Times New Roman"/>
      <w:szCs w:val="24"/>
      <w:lang w:val="es-ES" w:eastAsia="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rPr>
  </w:style>
  <w:style w:type="paragraph" w:styleId="Piedepgina">
    <w:name w:val="footer"/>
    <w:basedOn w:val="Normal"/>
    <w:link w:val="PiedepginaCar"/>
    <w:uiPriority w:val="99"/>
    <w:unhideWhenUsed/>
    <w:pPr>
      <w:tabs>
        <w:tab w:val="center" w:pos="4419"/>
        <w:tab w:val="right" w:pos="8838"/>
      </w:tabs>
      <w:spacing w:line="240" w:lineRule="auto"/>
    </w:pPr>
    <w:rPr>
      <w:rFonts w:ascii="Times New Roman" w:hAnsi="Times New Roman" w:cs="Times New Roman"/>
      <w:szCs w:val="24"/>
      <w:lang w:val="es-ES" w:eastAsia="es-ES"/>
    </w:rPr>
  </w:style>
  <w:style w:type="paragraph" w:styleId="Textoindependiente">
    <w:name w:val="Body Text"/>
    <w:basedOn w:val="Normal"/>
    <w:link w:val="TextoindependienteCar"/>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rPr>
      <w:sz w:val="20"/>
      <w:szCs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link w:val="SinespaciadoCar"/>
    <w:uiPriority w:val="1"/>
    <w:qFormat/>
    <w:pPr>
      <w:ind w:left="567" w:right="567"/>
      <w:jc w:val="both"/>
    </w:pPr>
    <w:rPr>
      <w:rFonts w:ascii="Palatino Linotype" w:eastAsia="Times New Roman" w:hAnsi="Palatino Linotype" w:cs="Times New Roman"/>
      <w:i/>
      <w:sz w:val="22"/>
      <w:szCs w:val="24"/>
      <w:lang w:eastAsia="es-ES"/>
    </w:rPr>
  </w:style>
  <w:style w:type="character" w:customStyle="1" w:styleId="SinespaciadoCar">
    <w:name w:val="Sin espaciado Car"/>
    <w:link w:val="Sinespaciado"/>
    <w:uiPriority w:val="1"/>
    <w:locked/>
    <w:rPr>
      <w:rFonts w:ascii="Palatino Linotype" w:eastAsia="Times New Roman" w:hAnsi="Palatino Linotype" w:cs="Times New Roman"/>
      <w:i/>
      <w:szCs w:val="24"/>
      <w:lang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character" w:customStyle="1" w:styleId="TextoindependienteCar">
    <w:name w:val="Texto independiente Car"/>
    <w:basedOn w:val="Fuentedeprrafopredeter"/>
    <w:link w:val="Textoindependiente"/>
    <w:uiPriority w:val="99"/>
    <w:semiHidden/>
    <w:rPr>
      <w:rFonts w:ascii="Times New Roman" w:eastAsia="Times New Roman" w:hAnsi="Times New Roman" w:cs="Times New Roman"/>
      <w:sz w:val="24"/>
      <w:szCs w:val="24"/>
      <w:lang w:eastAsia="es-MX"/>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j">
    <w:name w:val="j"/>
    <w:basedOn w:val="Normal"/>
    <w:pPr>
      <w:spacing w:before="100" w:beforeAutospacing="1" w:after="100" w:afterAutospacing="1" w:line="240" w:lineRule="auto"/>
    </w:pPr>
    <w:rPr>
      <w:rFonts w:ascii="Times New Roman" w:hAnsi="Times New Roman" w:cs="Times New Roman"/>
      <w:szCs w:val="24"/>
    </w:rPr>
  </w:style>
  <w:style w:type="paragraph" w:customStyle="1" w:styleId="Revisin1">
    <w:name w:val="Revisión1"/>
    <w:hidden/>
    <w:uiPriority w:val="99"/>
    <w:semiHidden/>
    <w:rPr>
      <w:rFonts w:ascii="Calibri" w:eastAsia="Calibri" w:hAnsi="Calibri" w:cs="Calibri"/>
      <w:sz w:val="22"/>
      <w:szCs w:val="22"/>
    </w:r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pomex.org.mx/ipo3/lgt/indice/ACULCO/art_92_xxxviii_d.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78EEC-0D84-45B0-8E94-57F4921E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4785</Words>
  <Characters>26323</Characters>
  <Application>Microsoft Office Word</Application>
  <DocSecurity>0</DocSecurity>
  <Lines>219</Lines>
  <Paragraphs>62</Paragraphs>
  <ScaleCrop>false</ScaleCrop>
  <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Rodrigo Nájera</cp:lastModifiedBy>
  <cp:revision>11</cp:revision>
  <cp:lastPrinted>2019-06-13T15:30:00Z</cp:lastPrinted>
  <dcterms:created xsi:type="dcterms:W3CDTF">2022-08-18T15:26:00Z</dcterms:created>
  <dcterms:modified xsi:type="dcterms:W3CDTF">2022-09-25T04:10:00Z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0587F726D2D04779A5622429E6F5FA5A</vt:lpwstr>
  </property>
</Properties>
</file>