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B684F" w14:textId="77777777" w:rsidR="000F0CA1" w:rsidRDefault="000F0CA1" w:rsidP="000F0CA1">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dieciocho de mayo de dos mil veintidós.</w:t>
      </w:r>
    </w:p>
    <w:p w14:paraId="30FD6762" w14:textId="55FA1BD5" w:rsidR="000F0CA1" w:rsidRDefault="000F0CA1" w:rsidP="000F0CA1">
      <w:pPr>
        <w:spacing w:line="360" w:lineRule="auto"/>
        <w:jc w:val="both"/>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sidRPr="000F0CA1">
        <w:rPr>
          <w:rFonts w:ascii="Palatino Linotype" w:eastAsia="Palatino Linotype" w:hAnsi="Palatino Linotype" w:cs="Palatino Linotype"/>
          <w:b/>
          <w:color w:val="000000"/>
          <w:sz w:val="24"/>
          <w:szCs w:val="24"/>
        </w:rPr>
        <w:t>02419/INFOEM/IP/RR/2022</w:t>
      </w:r>
      <w:r>
        <w:rPr>
          <w:rFonts w:ascii="Palatino Linotype" w:eastAsia="Palatino Linotype" w:hAnsi="Palatino Linotype" w:cs="Palatino Linotype"/>
          <w:sz w:val="24"/>
          <w:szCs w:val="24"/>
        </w:rPr>
        <w:t>, interpuesto por</w:t>
      </w:r>
      <w:r w:rsidRPr="00B83B54">
        <w:rPr>
          <w:rFonts w:ascii="Palatino Linotype" w:eastAsia="Palatino Linotype" w:hAnsi="Palatino Linotype" w:cs="Palatino Linotype"/>
          <w:b/>
          <w:sz w:val="24"/>
          <w:szCs w:val="24"/>
        </w:rPr>
        <w:t xml:space="preserve"> </w:t>
      </w:r>
      <w:proofErr w:type="spellStart"/>
      <w:r w:rsidR="00475935">
        <w:rPr>
          <w:rFonts w:ascii="Palatino Linotype" w:eastAsia="Palatino Linotype" w:hAnsi="Palatino Linotype" w:cs="Palatino Linotype"/>
          <w:b/>
          <w:sz w:val="24"/>
          <w:szCs w:val="24"/>
        </w:rPr>
        <w:t>xxxxx</w:t>
      </w:r>
      <w:bookmarkStart w:id="0" w:name="_GoBack"/>
      <w:bookmarkEnd w:id="0"/>
      <w:proofErr w:type="spellEnd"/>
      <w:r>
        <w:rPr>
          <w:rFonts w:ascii="Palatino Linotype" w:eastAsia="Palatino Linotype" w:hAnsi="Palatino Linotype" w:cs="Palatino Linotype"/>
          <w:sz w:val="24"/>
          <w:szCs w:val="24"/>
        </w:rPr>
        <w:t xml:space="preserve">, al cual en lo sucesivo se le denominara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en contra de la respuesta a la solicitud de información con número de folio </w:t>
      </w:r>
      <w:r w:rsidRPr="000F0CA1">
        <w:rPr>
          <w:rFonts w:ascii="Palatino Linotype" w:eastAsia="Palatino Linotype" w:hAnsi="Palatino Linotype" w:cs="Palatino Linotype"/>
          <w:b/>
          <w:sz w:val="24"/>
          <w:szCs w:val="24"/>
        </w:rPr>
        <w:t>00011/CHAPULTE/IP/2022</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parte del</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color w:val="000000"/>
          <w:sz w:val="24"/>
          <w:szCs w:val="24"/>
        </w:rPr>
        <w:t>Ayuntamiento de Chapultepec</w:t>
      </w:r>
      <w:r>
        <w:rPr>
          <w:rFonts w:ascii="Palatino Linotype" w:eastAsia="Palatino Linotype" w:hAnsi="Palatino Linotype" w:cs="Palatino Linotype"/>
          <w:sz w:val="24"/>
          <w:szCs w:val="24"/>
        </w:rPr>
        <w:t xml:space="preserve">, en lo sucesivo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se procede a dictar la presente resolución, con base en lo siguiente.</w:t>
      </w:r>
    </w:p>
    <w:p w14:paraId="0473D56D" w14:textId="77777777" w:rsidR="000F0CA1" w:rsidRDefault="000F0CA1" w:rsidP="000F0CA1">
      <w:pPr>
        <w:spacing w:before="240" w:after="24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AN T E C E D E N T E S</w:t>
      </w:r>
    </w:p>
    <w:p w14:paraId="6ACF5A43" w14:textId="77777777" w:rsidR="000F0CA1" w:rsidRDefault="000F0CA1" w:rsidP="000F0CA1">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1. SOLICITUD. </w:t>
      </w:r>
      <w:r w:rsidRPr="00B83B54">
        <w:rPr>
          <w:rFonts w:ascii="Palatino Linotype" w:eastAsia="Palatino Linotype" w:hAnsi="Palatino Linotype" w:cs="Palatino Linotype"/>
          <w:sz w:val="24"/>
          <w:szCs w:val="24"/>
        </w:rPr>
        <w:t xml:space="preserve">Con fecha veinte de enero de dos mil veintidós, </w:t>
      </w:r>
      <w:r w:rsidRPr="00B83B54">
        <w:rPr>
          <w:rFonts w:ascii="Palatino Linotype" w:eastAsia="Palatino Linotype" w:hAnsi="Palatino Linotype" w:cs="Palatino Linotype"/>
          <w:b/>
          <w:sz w:val="24"/>
          <w:szCs w:val="24"/>
        </w:rPr>
        <w:t>EL RECURRENTE</w:t>
      </w:r>
      <w:r w:rsidRPr="00B83B54">
        <w:rPr>
          <w:rFonts w:ascii="Palatino Linotype" w:eastAsia="Palatino Linotype" w:hAnsi="Palatino Linotype" w:cs="Palatino Linotype"/>
          <w:sz w:val="24"/>
          <w:szCs w:val="24"/>
        </w:rPr>
        <w:t xml:space="preserve">, presentó a </w:t>
      </w:r>
      <w:r w:rsidR="00B83B54" w:rsidRPr="00B83B54">
        <w:rPr>
          <w:rFonts w:ascii="Palatino Linotype" w:hAnsi="Palatino Linotype"/>
          <w:color w:val="000000"/>
          <w:sz w:val="24"/>
          <w:szCs w:val="24"/>
        </w:rPr>
        <w:t xml:space="preserve">través de la Plataforma Nacional de Transparencia vinculada al Sistema de Acceso a la Información Mexiquense, en lo subsecuente el </w:t>
      </w:r>
      <w:r w:rsidR="00B83B54" w:rsidRPr="00B83B54">
        <w:rPr>
          <w:rFonts w:ascii="Palatino Linotype" w:hAnsi="Palatino Linotype"/>
          <w:b/>
          <w:bCs/>
          <w:color w:val="000000"/>
          <w:sz w:val="24"/>
          <w:szCs w:val="24"/>
        </w:rPr>
        <w:t>SAIMEX</w:t>
      </w:r>
      <w:r w:rsidR="00B83B54" w:rsidRPr="00B83B54">
        <w:rPr>
          <w:rFonts w:ascii="Palatino Linotype" w:hAnsi="Palatino Linotype"/>
          <w:color w:val="000000"/>
          <w:sz w:val="24"/>
          <w:szCs w:val="24"/>
        </w:rPr>
        <w:t xml:space="preserve">, ante el </w:t>
      </w:r>
      <w:r w:rsidR="00B83B54" w:rsidRPr="00B83B54">
        <w:rPr>
          <w:rFonts w:ascii="Palatino Linotype" w:hAnsi="Palatino Linotype"/>
          <w:b/>
          <w:bCs/>
          <w:color w:val="000000"/>
          <w:sz w:val="24"/>
          <w:szCs w:val="24"/>
        </w:rPr>
        <w:t>Sujeto Obligado</w:t>
      </w:r>
      <w:r w:rsidR="00B83B54" w:rsidRPr="00B83B54">
        <w:rPr>
          <w:rFonts w:ascii="Palatino Linotype" w:hAnsi="Palatino Linotype"/>
          <w:color w:val="000000"/>
          <w:sz w:val="24"/>
          <w:szCs w:val="24"/>
        </w:rPr>
        <w:t xml:space="preserve">, la solicitud de acceso a la información pública, a la que se le asignó el número de folio </w:t>
      </w:r>
      <w:r w:rsidRPr="00B83B54">
        <w:rPr>
          <w:rFonts w:ascii="Palatino Linotype" w:eastAsia="Palatino Linotype" w:hAnsi="Palatino Linotype" w:cs="Palatino Linotype"/>
          <w:b/>
          <w:sz w:val="24"/>
          <w:szCs w:val="24"/>
        </w:rPr>
        <w:t>00011/CHAPULTE/IP/2022</w:t>
      </w:r>
      <w:r w:rsidRPr="00B83B54">
        <w:rPr>
          <w:rFonts w:ascii="Palatino Linotype" w:eastAsia="Palatino Linotype" w:hAnsi="Palatino Linotype" w:cs="Palatino Linotype"/>
          <w:sz w:val="24"/>
          <w:szCs w:val="24"/>
        </w:rPr>
        <w:t>,</w:t>
      </w:r>
      <w:r w:rsidRPr="00B83B54">
        <w:rPr>
          <w:rFonts w:ascii="Palatino Linotype" w:eastAsia="Palatino Linotype" w:hAnsi="Palatino Linotype" w:cs="Palatino Linotype"/>
          <w:b/>
          <w:sz w:val="24"/>
          <w:szCs w:val="24"/>
        </w:rPr>
        <w:t xml:space="preserve"> </w:t>
      </w:r>
      <w:r w:rsidRPr="00B83B54">
        <w:rPr>
          <w:rFonts w:ascii="Palatino Linotype" w:eastAsia="Palatino Linotype" w:hAnsi="Palatino Linotype" w:cs="Palatino Linotype"/>
          <w:sz w:val="24"/>
          <w:szCs w:val="24"/>
        </w:rPr>
        <w:t xml:space="preserve">mediante la cual </w:t>
      </w:r>
      <w:r w:rsidR="00B83B54">
        <w:rPr>
          <w:rFonts w:ascii="Palatino Linotype" w:eastAsia="Palatino Linotype" w:hAnsi="Palatino Linotype" w:cs="Palatino Linotype"/>
          <w:sz w:val="24"/>
          <w:szCs w:val="24"/>
        </w:rPr>
        <w:t xml:space="preserve">requirió la información siguiente: </w:t>
      </w:r>
    </w:p>
    <w:p w14:paraId="2FC6A7DD" w14:textId="77777777" w:rsidR="000F0CA1" w:rsidRPr="000F0CA1" w:rsidRDefault="000F0CA1" w:rsidP="000F0CA1">
      <w:pPr>
        <w:spacing w:before="240" w:after="240" w:line="276"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0F0CA1">
        <w:rPr>
          <w:rFonts w:ascii="Palatino Linotype" w:eastAsia="Palatino Linotype" w:hAnsi="Palatino Linotype" w:cs="Palatino Linotype"/>
          <w:i/>
          <w:color w:val="000000"/>
        </w:rPr>
        <w:t xml:space="preserve">Sirva este medio para solicitar la información pública consistente en los montos totales erogados por el </w:t>
      </w:r>
      <w:r w:rsidRPr="00B83B54">
        <w:rPr>
          <w:rFonts w:ascii="Palatino Linotype" w:eastAsia="Palatino Linotype" w:hAnsi="Palatino Linotype" w:cs="Palatino Linotype"/>
          <w:b/>
          <w:i/>
          <w:color w:val="000000"/>
        </w:rPr>
        <w:t>Ayuntamiento de Ixtlahuaca</w:t>
      </w:r>
      <w:r w:rsidRPr="000F0CA1">
        <w:rPr>
          <w:rFonts w:ascii="Palatino Linotype" w:eastAsia="Palatino Linotype" w:hAnsi="Palatino Linotype" w:cs="Palatino Linotype"/>
          <w:i/>
          <w:color w:val="000000"/>
        </w:rPr>
        <w:t xml:space="preserve"> por el arrendamiento o uso de lonas, carpas, sillas, equipo de audio, mamparas y todo artículo similar utilizado en los eventos públicos organizados durante los años 2019, 2020 y 2021.</w:t>
      </w:r>
      <w:r>
        <w:rPr>
          <w:rFonts w:ascii="Palatino Linotype" w:eastAsia="Palatino Linotype" w:hAnsi="Palatino Linotype" w:cs="Palatino Linotype"/>
          <w:i/>
          <w:color w:val="000000"/>
        </w:rPr>
        <w:t xml:space="preserve"> “(Sic)</w:t>
      </w:r>
    </w:p>
    <w:p w14:paraId="732295EF" w14:textId="77777777" w:rsidR="00B83B54" w:rsidRDefault="00B83B54" w:rsidP="00B83B54">
      <w:pPr>
        <w:pStyle w:val="NormalWeb"/>
        <w:spacing w:before="0" w:beforeAutospacing="0" w:after="0" w:afterAutospacing="0"/>
        <w:ind w:right="900"/>
        <w:jc w:val="both"/>
      </w:pPr>
      <w:r>
        <w:rPr>
          <w:rFonts w:ascii="Palatino Linotype" w:hAnsi="Palatino Linotype"/>
          <w:color w:val="000000"/>
        </w:rPr>
        <w:t xml:space="preserve">La parte </w:t>
      </w:r>
      <w:r>
        <w:rPr>
          <w:rFonts w:ascii="Palatino Linotype" w:hAnsi="Palatino Linotype"/>
          <w:b/>
          <w:bCs/>
          <w:color w:val="000000"/>
        </w:rPr>
        <w:t>Recurrente</w:t>
      </w:r>
      <w:r>
        <w:rPr>
          <w:rFonts w:ascii="Palatino Linotype" w:hAnsi="Palatino Linotype"/>
          <w:color w:val="000000"/>
        </w:rPr>
        <w:t xml:space="preserve"> adjuntó un archivo, el cual no se puede visualizar.</w:t>
      </w:r>
    </w:p>
    <w:p w14:paraId="10DEEB10" w14:textId="77777777" w:rsidR="00B83B54" w:rsidRDefault="00B83B54" w:rsidP="00B83B54">
      <w:pPr>
        <w:pStyle w:val="NormalWeb"/>
        <w:spacing w:before="240" w:beforeAutospacing="0" w:after="240" w:afterAutospacing="0" w:line="360" w:lineRule="auto"/>
        <w:jc w:val="both"/>
      </w:pPr>
      <w:r>
        <w:rPr>
          <w:rFonts w:ascii="Palatino Linotype" w:hAnsi="Palatino Linotype"/>
          <w:b/>
          <w:bCs/>
          <w:color w:val="000000"/>
        </w:rPr>
        <w:lastRenderedPageBreak/>
        <w:t xml:space="preserve">Modalidad de Entrega: </w:t>
      </w:r>
      <w:r>
        <w:rPr>
          <w:rFonts w:ascii="Palatino Linotype" w:hAnsi="Palatino Linotype"/>
          <w:color w:val="000000"/>
        </w:rPr>
        <w:t>Toda vez que la solicitud se presentó a</w:t>
      </w:r>
      <w:r>
        <w:rPr>
          <w:rFonts w:ascii="Palatino Linotype" w:hAnsi="Palatino Linotype"/>
          <w:b/>
          <w:bCs/>
          <w:color w:val="000000"/>
        </w:rPr>
        <w:t xml:space="preserve"> </w:t>
      </w:r>
      <w:r>
        <w:rPr>
          <w:rFonts w:ascii="Palatino Linotype" w:hAnsi="Palatino Linotype"/>
          <w:color w:val="000000"/>
        </w:rPr>
        <w:t xml:space="preserve">través de la Plataforma Nacional de Transparencia, se entiende que la información se requiere a través de </w:t>
      </w:r>
      <w:r>
        <w:rPr>
          <w:rFonts w:ascii="Palatino Linotype" w:hAnsi="Palatino Linotype"/>
          <w:b/>
          <w:bCs/>
          <w:color w:val="000000"/>
        </w:rPr>
        <w:t>SAIMEX</w:t>
      </w:r>
      <w:r>
        <w:rPr>
          <w:rFonts w:ascii="Palatino Linotype" w:hAnsi="Palatino Linotype"/>
          <w:color w:val="000000"/>
        </w:rPr>
        <w:t>, como se aprecia a continuación:</w:t>
      </w:r>
    </w:p>
    <w:p w14:paraId="52EC7464" w14:textId="77777777" w:rsidR="00B83B54" w:rsidRDefault="00B83B54" w:rsidP="00B83B54">
      <w:pPr>
        <w:pStyle w:val="NormalWeb"/>
        <w:spacing w:before="240" w:beforeAutospacing="0" w:after="240" w:afterAutospacing="0"/>
        <w:jc w:val="both"/>
      </w:pPr>
      <w:r>
        <w:rPr>
          <w:rFonts w:ascii="Palatino Linotype" w:hAnsi="Palatino Linotype"/>
          <w:noProof/>
          <w:color w:val="000000"/>
          <w:bdr w:val="none" w:sz="0" w:space="0" w:color="auto" w:frame="1"/>
        </w:rPr>
        <w:drawing>
          <wp:inline distT="0" distB="0" distL="0" distR="0" wp14:anchorId="34354FEB" wp14:editId="7C47AC28">
            <wp:extent cx="5610225" cy="600075"/>
            <wp:effectExtent l="0" t="0" r="9525" b="9525"/>
            <wp:docPr id="7" name="Imagen 7" descr="https://lh5.googleusercontent.com/KEECZK6h2-CyaeIrUIP66eZN-tBjX9Yg_oXbNwJkIopJ-GbsCjnFQmYBEO37Ow6qdwDm_8K3Lty04IKszE1fFn1c_s5IRBYV0vUSMclw9g3Az82bw1mEEJN2MXXo16CdynSKuLCKLeTHuGBU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KEECZK6h2-CyaeIrUIP66eZN-tBjX9Yg_oXbNwJkIopJ-GbsCjnFQmYBEO37Ow6qdwDm_8K3Lty04IKszE1fFn1c_s5IRBYV0vUSMclw9g3Az82bw1mEEJN2MXXo16CdynSKuLCKLeTHuGBUB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p w14:paraId="543A0747" w14:textId="77777777" w:rsidR="00B83B54" w:rsidRDefault="00B83B54" w:rsidP="000F0CA1">
      <w:pPr>
        <w:spacing w:line="360" w:lineRule="auto"/>
        <w:jc w:val="both"/>
        <w:rPr>
          <w:rFonts w:ascii="Palatino Linotype" w:eastAsia="Palatino Linotype" w:hAnsi="Palatino Linotype" w:cs="Palatino Linotype"/>
          <w:b/>
          <w:sz w:val="24"/>
          <w:szCs w:val="24"/>
        </w:rPr>
      </w:pPr>
    </w:p>
    <w:p w14:paraId="51361EA9" w14:textId="77777777" w:rsidR="000F0CA1" w:rsidRDefault="00B83B54" w:rsidP="000F0CA1">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2</w:t>
      </w:r>
      <w:r w:rsidR="000F0CA1">
        <w:rPr>
          <w:rFonts w:ascii="Palatino Linotype" w:eastAsia="Palatino Linotype" w:hAnsi="Palatino Linotype" w:cs="Palatino Linotype"/>
          <w:b/>
          <w:sz w:val="24"/>
          <w:szCs w:val="24"/>
        </w:rPr>
        <w:t xml:space="preserve">. RESPUESTA.  </w:t>
      </w:r>
      <w:r w:rsidR="000F0CA1">
        <w:rPr>
          <w:rFonts w:ascii="Palatino Linotype" w:eastAsia="Palatino Linotype" w:hAnsi="Palatino Linotype" w:cs="Palatino Linotype"/>
          <w:sz w:val="24"/>
          <w:szCs w:val="24"/>
        </w:rPr>
        <w:t xml:space="preserve">Con fecha veinticinco de enero del dos mil veintidós, </w:t>
      </w:r>
      <w:r w:rsidR="000F0CA1">
        <w:rPr>
          <w:rFonts w:ascii="Palatino Linotype" w:eastAsia="Palatino Linotype" w:hAnsi="Palatino Linotype" w:cs="Palatino Linotype"/>
          <w:b/>
          <w:sz w:val="24"/>
          <w:szCs w:val="24"/>
        </w:rPr>
        <w:t>EL SUJETO OBLIGADO</w:t>
      </w:r>
      <w:r w:rsidR="000F0CA1">
        <w:rPr>
          <w:rFonts w:ascii="Palatino Linotype" w:eastAsia="Palatino Linotype" w:hAnsi="Palatino Linotype" w:cs="Palatino Linotype"/>
          <w:sz w:val="24"/>
          <w:szCs w:val="24"/>
        </w:rPr>
        <w:t xml:space="preserve"> otorgó, a través del SAIMEX, respuesta a la solicitud de acceso a la información de la siguiente manera:</w:t>
      </w:r>
    </w:p>
    <w:p w14:paraId="24431A81" w14:textId="77777777" w:rsidR="000F0CA1" w:rsidRPr="000F0CA1" w:rsidRDefault="000F0CA1" w:rsidP="00B83B54">
      <w:pPr>
        <w:spacing w:line="276" w:lineRule="auto"/>
        <w:ind w:left="851" w:right="900"/>
        <w:jc w:val="both"/>
        <w:rPr>
          <w:rFonts w:ascii="Palatino Linotype" w:hAnsi="Palatino Linotype"/>
          <w:i/>
        </w:rPr>
      </w:pPr>
      <w:r w:rsidRPr="000F0CA1">
        <w:rPr>
          <w:rFonts w:ascii="Palatino Linotype" w:hAnsi="Palatino Linotype"/>
          <w:i/>
        </w:rPr>
        <w:t xml:space="preserve">En </w:t>
      </w:r>
      <w:proofErr w:type="spellStart"/>
      <w:r w:rsidRPr="000F0CA1">
        <w:rPr>
          <w:rFonts w:ascii="Palatino Linotype" w:hAnsi="Palatino Linotype"/>
          <w:i/>
        </w:rPr>
        <w:t>relacion</w:t>
      </w:r>
      <w:proofErr w:type="spellEnd"/>
      <w:r w:rsidRPr="000F0CA1">
        <w:rPr>
          <w:rFonts w:ascii="Palatino Linotype" w:hAnsi="Palatino Linotype"/>
          <w:i/>
        </w:rPr>
        <w:t xml:space="preserve"> a su solicitud le informo que la dicha petición no es de nuestra competencia y no corresponde a este Ayuntamiento. Sin otro particular, me reitero a sus ordenes</w:t>
      </w:r>
    </w:p>
    <w:p w14:paraId="3D5C89ED" w14:textId="77777777" w:rsidR="000F0CA1" w:rsidRPr="000F0CA1" w:rsidRDefault="000F0CA1" w:rsidP="00B83B54">
      <w:pPr>
        <w:spacing w:line="276" w:lineRule="auto"/>
        <w:ind w:left="851" w:right="900"/>
        <w:jc w:val="both"/>
        <w:rPr>
          <w:rFonts w:ascii="Palatino Linotype" w:hAnsi="Palatino Linotype"/>
          <w:i/>
        </w:rPr>
      </w:pPr>
      <w:r w:rsidRPr="000F0CA1">
        <w:rPr>
          <w:rFonts w:ascii="Palatino Linotype" w:hAnsi="Palatino Linotype"/>
          <w:i/>
        </w:rPr>
        <w:t>ATENTAMENTE</w:t>
      </w:r>
    </w:p>
    <w:p w14:paraId="22241261" w14:textId="77777777" w:rsidR="000F0CA1" w:rsidRDefault="000F0CA1" w:rsidP="00B83B54">
      <w:pPr>
        <w:spacing w:line="276" w:lineRule="auto"/>
        <w:ind w:left="851" w:right="900"/>
        <w:jc w:val="both"/>
        <w:rPr>
          <w:rFonts w:ascii="Palatino Linotype" w:hAnsi="Palatino Linotype"/>
          <w:i/>
        </w:rPr>
      </w:pPr>
      <w:r w:rsidRPr="000F0CA1">
        <w:rPr>
          <w:rFonts w:ascii="Palatino Linotype" w:hAnsi="Palatino Linotype"/>
          <w:i/>
        </w:rPr>
        <w:t>URIEL SANCHEZ DELGADO</w:t>
      </w:r>
    </w:p>
    <w:p w14:paraId="5CE1DF70" w14:textId="77777777" w:rsidR="000F0CA1" w:rsidRDefault="000F0CA1" w:rsidP="000F0CA1">
      <w:pPr>
        <w:spacing w:line="360" w:lineRule="auto"/>
        <w:jc w:val="both"/>
        <w:rPr>
          <w:rFonts w:ascii="Palatino Linotype" w:hAnsi="Palatino Linotype"/>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adjuntó a su respuesta el archivo electrónico denominado:</w:t>
      </w:r>
    </w:p>
    <w:p w14:paraId="6045C179" w14:textId="77777777" w:rsidR="00280DA4" w:rsidRDefault="000F0CA1" w:rsidP="00280DA4">
      <w:pPr>
        <w:spacing w:line="360" w:lineRule="auto"/>
        <w:jc w:val="both"/>
        <w:rPr>
          <w:rFonts w:ascii="Palatino Linotype" w:eastAsia="Palatino Linotype" w:hAnsi="Palatino Linotype" w:cs="Palatino Linotype"/>
          <w:sz w:val="24"/>
          <w:szCs w:val="24"/>
        </w:rPr>
      </w:pPr>
      <w:r w:rsidRPr="00280DA4">
        <w:rPr>
          <w:rFonts w:ascii="Palatino Linotype" w:hAnsi="Palatino Linotype"/>
          <w:b/>
          <w:i/>
          <w:sz w:val="24"/>
          <w:szCs w:val="24"/>
          <w:u w:val="single"/>
        </w:rPr>
        <w:t>020.pdf</w:t>
      </w:r>
      <w:r w:rsidR="00280DA4">
        <w:rPr>
          <w:rFonts w:ascii="Palatino Linotype" w:hAnsi="Palatino Linotype"/>
          <w:b/>
          <w:i/>
          <w:sz w:val="24"/>
          <w:szCs w:val="24"/>
          <w:u w:val="single"/>
        </w:rPr>
        <w:t>:</w:t>
      </w:r>
      <w:r w:rsidRPr="00280DA4">
        <w:rPr>
          <w:rFonts w:ascii="Palatino Linotype" w:hAnsi="Palatino Linotype"/>
          <w:sz w:val="24"/>
          <w:szCs w:val="24"/>
        </w:rPr>
        <w:t xml:space="preserve"> </w:t>
      </w:r>
      <w:r w:rsidRPr="00280DA4">
        <w:rPr>
          <w:rFonts w:ascii="Palatino Linotype" w:eastAsia="Palatino Linotype" w:hAnsi="Palatino Linotype" w:cs="Palatino Linotype"/>
          <w:sz w:val="24"/>
          <w:szCs w:val="24"/>
        </w:rPr>
        <w:t xml:space="preserve">el cual contiene el oficio ACH/UT/020/2022, signado por Uriel Sánchez </w:t>
      </w:r>
      <w:r w:rsidR="00280DA4" w:rsidRPr="00280DA4">
        <w:rPr>
          <w:rFonts w:ascii="Palatino Linotype" w:eastAsia="Palatino Linotype" w:hAnsi="Palatino Linotype" w:cs="Palatino Linotype"/>
          <w:sz w:val="24"/>
          <w:szCs w:val="24"/>
        </w:rPr>
        <w:t>Delgado, Titular de la Unidad de Transparencia y Acceso a la Información Pública del Municipio de Chapultepec, Estado de México, mediante el cual informa que dicha solicitud no es de su competencia, que al que le corresponde brindarle Atención e</w:t>
      </w:r>
      <w:r w:rsidR="00280DA4">
        <w:rPr>
          <w:rFonts w:ascii="Palatino Linotype" w:eastAsia="Palatino Linotype" w:hAnsi="Palatino Linotype" w:cs="Palatino Linotype"/>
          <w:sz w:val="24"/>
          <w:szCs w:val="24"/>
        </w:rPr>
        <w:t>s al Ayuntamiento de Ixtlahuaca,</w:t>
      </w:r>
      <w:r w:rsidR="00280DA4" w:rsidRPr="00280DA4">
        <w:rPr>
          <w:rFonts w:ascii="Palatino Linotype" w:eastAsia="Palatino Linotype" w:hAnsi="Palatino Linotype" w:cs="Palatino Linotype"/>
          <w:sz w:val="24"/>
          <w:szCs w:val="24"/>
        </w:rPr>
        <w:t xml:space="preserve"> </w:t>
      </w:r>
      <w:r w:rsidR="00280DA4">
        <w:rPr>
          <w:rFonts w:ascii="Palatino Linotype" w:eastAsia="Palatino Linotype" w:hAnsi="Palatino Linotype" w:cs="Palatino Linotype"/>
          <w:sz w:val="24"/>
          <w:szCs w:val="24"/>
        </w:rPr>
        <w:t>tal como se advierte a continuación:</w:t>
      </w:r>
    </w:p>
    <w:p w14:paraId="6F1C2D79" w14:textId="77777777" w:rsidR="000F0CA1" w:rsidRDefault="00280DA4" w:rsidP="00280DA4">
      <w:pPr>
        <w:spacing w:line="360" w:lineRule="auto"/>
        <w:jc w:val="center"/>
        <w:rPr>
          <w:rFonts w:ascii="Palatino Linotype" w:hAnsi="Palatino Linotype"/>
          <w:sz w:val="24"/>
          <w:szCs w:val="24"/>
        </w:rPr>
      </w:pPr>
      <w:r>
        <w:rPr>
          <w:noProof/>
        </w:rPr>
        <w:lastRenderedPageBreak/>
        <w:drawing>
          <wp:inline distT="0" distB="0" distL="0" distR="0" wp14:anchorId="64A466CD" wp14:editId="1208B273">
            <wp:extent cx="4442681" cy="5743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601" t="12975" r="26680" b="16415"/>
                    <a:stretch/>
                  </pic:blipFill>
                  <pic:spPr bwMode="auto">
                    <a:xfrm>
                      <a:off x="0" y="0"/>
                      <a:ext cx="4465348" cy="5772879"/>
                    </a:xfrm>
                    <a:prstGeom prst="rect">
                      <a:avLst/>
                    </a:prstGeom>
                    <a:ln>
                      <a:noFill/>
                    </a:ln>
                    <a:extLst>
                      <a:ext uri="{53640926-AAD7-44D8-BBD7-CCE9431645EC}">
                        <a14:shadowObscured xmlns:a14="http://schemas.microsoft.com/office/drawing/2010/main"/>
                      </a:ext>
                    </a:extLst>
                  </pic:spPr>
                </pic:pic>
              </a:graphicData>
            </a:graphic>
          </wp:inline>
        </w:drawing>
      </w:r>
    </w:p>
    <w:p w14:paraId="27097817" w14:textId="77777777" w:rsidR="00280DA4" w:rsidRDefault="00280DA4" w:rsidP="00280DA4">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3. DEL RECURSO DE REVISIÓN. </w:t>
      </w:r>
      <w:r>
        <w:rPr>
          <w:rFonts w:ascii="Palatino Linotype" w:eastAsia="Palatino Linotype" w:hAnsi="Palatino Linotype" w:cs="Palatino Linotype"/>
          <w:sz w:val="24"/>
          <w:szCs w:val="24"/>
        </w:rPr>
        <w:t>Inconforme con la respuesta del</w:t>
      </w:r>
      <w:r>
        <w:rPr>
          <w:rFonts w:ascii="Palatino Linotype" w:eastAsia="Palatino Linotype" w:hAnsi="Palatino Linotype" w:cs="Palatino Linotype"/>
          <w:b/>
          <w:sz w:val="24"/>
          <w:szCs w:val="24"/>
        </w:rPr>
        <w:t xml:space="preserve"> SUJETO OBLIGADO, </w:t>
      </w:r>
      <w:r>
        <w:rPr>
          <w:rFonts w:ascii="Palatino Linotype" w:eastAsia="Palatino Linotype" w:hAnsi="Palatino Linotype" w:cs="Palatino Linotype"/>
          <w:sz w:val="24"/>
          <w:szCs w:val="24"/>
        </w:rPr>
        <w:t>en fecha veintiocho de febrero de dos mil veintidós</w:t>
      </w:r>
      <w:r>
        <w:rPr>
          <w:rFonts w:ascii="Palatino Linotype" w:eastAsia="Palatino Linotype" w:hAnsi="Palatino Linotype" w:cs="Palatino Linotype"/>
          <w:b/>
          <w:sz w:val="24"/>
          <w:szCs w:val="24"/>
        </w:rPr>
        <w:t xml:space="preserve">, EL RECURRENTE </w:t>
      </w:r>
      <w:r>
        <w:rPr>
          <w:rFonts w:ascii="Palatino Linotype" w:eastAsia="Palatino Linotype" w:hAnsi="Palatino Linotype" w:cs="Palatino Linotype"/>
          <w:sz w:val="24"/>
          <w:szCs w:val="24"/>
        </w:rPr>
        <w:t>interpuso el recurso de revisión, el cual fue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sistema electrónico con el expediente número </w:t>
      </w:r>
      <w:r>
        <w:rPr>
          <w:rFonts w:ascii="Palatino Linotype" w:eastAsia="Palatino Linotype" w:hAnsi="Palatino Linotype" w:cs="Palatino Linotype"/>
          <w:b/>
          <w:color w:val="000000"/>
          <w:sz w:val="24"/>
          <w:szCs w:val="24"/>
        </w:rPr>
        <w:t>02419/INFOEM/IP/RR/2022</w:t>
      </w:r>
      <w:r>
        <w:rPr>
          <w:rFonts w:ascii="Palatino Linotype" w:eastAsia="Palatino Linotype" w:hAnsi="Palatino Linotype" w:cs="Palatino Linotype"/>
          <w:sz w:val="24"/>
          <w:szCs w:val="24"/>
        </w:rPr>
        <w:t>, en el cual manifiesta, lo siguiente:</w:t>
      </w:r>
    </w:p>
    <w:p w14:paraId="3150CB05" w14:textId="77777777" w:rsidR="00280DA4" w:rsidRDefault="00280DA4" w:rsidP="00280DA4">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lastRenderedPageBreak/>
        <w:t>Acto Impugnado:</w:t>
      </w:r>
    </w:p>
    <w:p w14:paraId="03894F4B" w14:textId="77777777" w:rsidR="00280DA4" w:rsidRDefault="00280DA4" w:rsidP="00280DA4">
      <w:pPr>
        <w:spacing w:before="240" w:after="240" w:line="276" w:lineRule="auto"/>
        <w:ind w:left="851"/>
        <w:jc w:val="both"/>
        <w:rPr>
          <w:rFonts w:ascii="Palatino Linotype" w:eastAsia="Palatino Linotype" w:hAnsi="Palatino Linotype" w:cs="Palatino Linotype"/>
          <w:i/>
        </w:rPr>
      </w:pPr>
      <w:r>
        <w:rPr>
          <w:rFonts w:ascii="Palatino Linotype" w:eastAsia="Palatino Linotype" w:hAnsi="Palatino Linotype" w:cs="Palatino Linotype"/>
          <w:i/>
        </w:rPr>
        <w:t>“</w:t>
      </w:r>
      <w:r w:rsidRPr="00280DA4">
        <w:rPr>
          <w:rFonts w:ascii="Palatino Linotype" w:eastAsia="Palatino Linotype" w:hAnsi="Palatino Linotype" w:cs="Palatino Linotype"/>
          <w:i/>
          <w:color w:val="000000"/>
        </w:rPr>
        <w:t>no es lo solicitado</w:t>
      </w:r>
      <w:r>
        <w:rPr>
          <w:rFonts w:ascii="Palatino Linotype" w:eastAsia="Palatino Linotype" w:hAnsi="Palatino Linotype" w:cs="Palatino Linotype"/>
          <w:i/>
        </w:rPr>
        <w:t>” [sic]</w:t>
      </w:r>
    </w:p>
    <w:p w14:paraId="45B3A6DE" w14:textId="77777777" w:rsidR="00280DA4" w:rsidRDefault="00280DA4" w:rsidP="00280DA4">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14:paraId="18157C73" w14:textId="77777777" w:rsidR="00B83B54" w:rsidRDefault="00B83B54" w:rsidP="00280DA4">
      <w:pPr>
        <w:spacing w:line="360" w:lineRule="auto"/>
        <w:jc w:val="both"/>
        <w:rPr>
          <w:rFonts w:ascii="Palatino Linotype" w:hAnsi="Palatino Linotype"/>
          <w:color w:val="000000"/>
        </w:rPr>
      </w:pPr>
      <w:r>
        <w:rPr>
          <w:rFonts w:ascii="Palatino Linotype" w:hAnsi="Palatino Linotype"/>
          <w:color w:val="000000"/>
        </w:rPr>
        <w:t>(No señaló razones o motivos de inconformidad)</w:t>
      </w:r>
    </w:p>
    <w:p w14:paraId="0B540D8A" w14:textId="77777777" w:rsidR="00280DA4" w:rsidRDefault="00280DA4" w:rsidP="00280DA4">
      <w:pPr>
        <w:spacing w:line="360" w:lineRule="auto"/>
        <w:jc w:val="both"/>
        <w:rPr>
          <w:rFonts w:ascii="Palatino Linotype" w:hAnsi="Palatino Linotype"/>
          <w:sz w:val="24"/>
          <w:szCs w:val="24"/>
        </w:rPr>
      </w:pPr>
      <w:r>
        <w:rPr>
          <w:rFonts w:ascii="Palatino Linotype" w:hAnsi="Palatino Linotype"/>
          <w:sz w:val="24"/>
          <w:szCs w:val="24"/>
        </w:rPr>
        <w:t>Cabe resaltar que el RECURRENTE adjunt</w:t>
      </w:r>
      <w:r w:rsidR="00B83B54">
        <w:rPr>
          <w:rFonts w:ascii="Palatino Linotype" w:hAnsi="Palatino Linotype"/>
          <w:sz w:val="24"/>
          <w:szCs w:val="24"/>
        </w:rPr>
        <w:t>ó</w:t>
      </w:r>
      <w:r>
        <w:rPr>
          <w:rFonts w:ascii="Palatino Linotype" w:hAnsi="Palatino Linotype"/>
          <w:sz w:val="24"/>
          <w:szCs w:val="24"/>
        </w:rPr>
        <w:t xml:space="preserve"> un archivo denominado  </w:t>
      </w:r>
      <w:r w:rsidRPr="00280DA4">
        <w:rPr>
          <w:rFonts w:ascii="Palatino Linotype" w:hAnsi="Palatino Linotype"/>
          <w:b/>
          <w:i/>
          <w:sz w:val="24"/>
          <w:szCs w:val="24"/>
          <w:u w:val="single"/>
        </w:rPr>
        <w:t>Archivo1646076739256.</w:t>
      </w:r>
      <w:r w:rsidR="00B83B54">
        <w:rPr>
          <w:rFonts w:ascii="Palatino Linotype" w:hAnsi="Palatino Linotype"/>
          <w:sz w:val="24"/>
          <w:szCs w:val="24"/>
        </w:rPr>
        <w:t xml:space="preserve"> El cual no</w:t>
      </w:r>
      <w:r>
        <w:rPr>
          <w:rFonts w:ascii="Palatino Linotype" w:hAnsi="Palatino Linotype"/>
          <w:sz w:val="24"/>
          <w:szCs w:val="24"/>
        </w:rPr>
        <w:t xml:space="preserve"> es posible visualizar </w:t>
      </w:r>
    </w:p>
    <w:p w14:paraId="32981EBB" w14:textId="77777777" w:rsidR="00B738F5" w:rsidRDefault="00B738F5" w:rsidP="00B738F5">
      <w:pPr>
        <w:rPr>
          <w:rFonts w:ascii="Palatino Linotype" w:hAnsi="Palatino Linotype"/>
          <w:sz w:val="24"/>
          <w:szCs w:val="24"/>
        </w:rPr>
      </w:pPr>
    </w:p>
    <w:p w14:paraId="10DFBD3C" w14:textId="77777777" w:rsidR="00B738F5" w:rsidRDefault="00B738F5" w:rsidP="00B738F5">
      <w:pPr>
        <w:spacing w:line="360" w:lineRule="auto"/>
        <w:jc w:val="both"/>
        <w:rPr>
          <w:rFonts w:ascii="Palatino Linotype" w:hAnsi="Palatino Linotype"/>
          <w:sz w:val="24"/>
          <w:szCs w:val="24"/>
        </w:rPr>
      </w:pPr>
      <w:r>
        <w:rPr>
          <w:rFonts w:ascii="Palatino Linotype" w:eastAsia="Palatino Linotype" w:hAnsi="Palatino Linotype" w:cs="Palatino Linotype"/>
          <w:b/>
          <w:sz w:val="24"/>
          <w:szCs w:val="24"/>
        </w:rPr>
        <w:t xml:space="preserve">4. TURNO. </w:t>
      </w:r>
      <w:r>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sz w:val="24"/>
          <w:szCs w:val="24"/>
        </w:rPr>
        <w:t xml:space="preserve">Guadalupe Ramírez Peña, </w:t>
      </w:r>
      <w:r>
        <w:rPr>
          <w:rFonts w:ascii="Palatino Linotype" w:eastAsia="Palatino Linotype" w:hAnsi="Palatino Linotype" w:cs="Palatino Linotype"/>
          <w:sz w:val="24"/>
          <w:szCs w:val="24"/>
        </w:rPr>
        <w:t xml:space="preserve">a efecto de que analizara sobre su admisión o su </w:t>
      </w:r>
      <w:proofErr w:type="spellStart"/>
      <w:r>
        <w:rPr>
          <w:rFonts w:ascii="Palatino Linotype" w:eastAsia="Palatino Linotype" w:hAnsi="Palatino Linotype" w:cs="Palatino Linotype"/>
          <w:sz w:val="24"/>
          <w:szCs w:val="24"/>
        </w:rPr>
        <w:t>desechamiento</w:t>
      </w:r>
      <w:proofErr w:type="spellEnd"/>
      <w:r>
        <w:rPr>
          <w:rFonts w:ascii="Palatino Linotype" w:eastAsia="Palatino Linotype" w:hAnsi="Palatino Linotype" w:cs="Palatino Linotype"/>
          <w:sz w:val="24"/>
          <w:szCs w:val="24"/>
        </w:rPr>
        <w:t>.</w:t>
      </w:r>
    </w:p>
    <w:p w14:paraId="726B5D58" w14:textId="77777777" w:rsidR="00B738F5" w:rsidRDefault="00B738F5" w:rsidP="00B738F5">
      <w:pPr>
        <w:spacing w:line="360" w:lineRule="auto"/>
        <w:jc w:val="both"/>
        <w:rPr>
          <w:rFonts w:ascii="Palatino Linotype" w:hAnsi="Palatino Linotype"/>
          <w:sz w:val="24"/>
          <w:szCs w:val="24"/>
        </w:rPr>
      </w:pPr>
      <w:r>
        <w:rPr>
          <w:rFonts w:ascii="Palatino Linotype" w:eastAsia="Palatino Linotype" w:hAnsi="Palatino Linotype" w:cs="Palatino Linotype"/>
          <w:b/>
          <w:sz w:val="24"/>
          <w:szCs w:val="24"/>
        </w:rPr>
        <w:t>5. ADMISIÓN DEL RECURSO DE REVISIÓN.</w:t>
      </w:r>
      <w:r>
        <w:rPr>
          <w:rFonts w:ascii="Palatino Linotype" w:eastAsia="Palatino Linotype" w:hAnsi="Palatino Linotype" w:cs="Palatino Linotype"/>
          <w:sz w:val="24"/>
          <w:szCs w:val="24"/>
        </w:rPr>
        <w:t xml:space="preserve"> Con fecha</w:t>
      </w:r>
      <w:r>
        <w:rPr>
          <w:rFonts w:ascii="Palatino Linotype" w:eastAsia="Palatino Linotype" w:hAnsi="Palatino Linotype" w:cs="Palatino Linotype"/>
          <w:b/>
          <w:sz w:val="24"/>
          <w:szCs w:val="24"/>
        </w:rPr>
        <w:t xml:space="preserve"> cuatro de marzo de dos mil veintidós, </w:t>
      </w:r>
      <w:r>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presentara su informe justificado.</w:t>
      </w:r>
    </w:p>
    <w:p w14:paraId="1BE8DBCD" w14:textId="77777777" w:rsidR="00B738F5" w:rsidRDefault="00B738F5" w:rsidP="00B738F5">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202124"/>
          <w:sz w:val="24"/>
          <w:szCs w:val="24"/>
        </w:rPr>
        <w:lastRenderedPageBreak/>
        <w:t xml:space="preserve">6. </w:t>
      </w:r>
      <w:r>
        <w:rPr>
          <w:rFonts w:ascii="Palatino Linotype" w:eastAsia="Palatino Linotype" w:hAnsi="Palatino Linotype" w:cs="Palatino Linotype"/>
          <w:b/>
          <w:sz w:val="24"/>
          <w:szCs w:val="24"/>
        </w:rPr>
        <w:t xml:space="preserve">INFORME JUSTIFICADO O MANIFESTACIONES. </w:t>
      </w:r>
      <w:r>
        <w:rPr>
          <w:rFonts w:ascii="Palatino Linotype" w:eastAsia="Palatino Linotype" w:hAnsi="Palatino Linotype" w:cs="Palatino Linotype"/>
          <w:sz w:val="24"/>
          <w:szCs w:val="24"/>
        </w:rPr>
        <w:t xml:space="preserve">El once de marzo de dos mil veintidós, se recibió, a través del Sistema de Acceso a la Información Mexiquense (SAIMEX), el Informe Justificado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través del siguiente archivo electrónico: </w:t>
      </w:r>
    </w:p>
    <w:p w14:paraId="4F45116D" w14:textId="77777777" w:rsidR="00280DA4" w:rsidRDefault="00B738F5" w:rsidP="00B738F5">
      <w:pPr>
        <w:rPr>
          <w:rFonts w:ascii="Palatino Linotype" w:eastAsia="Palatino Linotype" w:hAnsi="Palatino Linotype" w:cs="Palatino Linotype"/>
          <w:color w:val="000000"/>
          <w:sz w:val="24"/>
          <w:szCs w:val="24"/>
        </w:rPr>
      </w:pPr>
      <w:r w:rsidRPr="00B738F5">
        <w:rPr>
          <w:rFonts w:ascii="Palatino Linotype" w:hAnsi="Palatino Linotype"/>
          <w:b/>
          <w:i/>
          <w:sz w:val="24"/>
          <w:szCs w:val="24"/>
          <w:u w:val="single"/>
        </w:rPr>
        <w:t>S0011.pdf</w:t>
      </w:r>
      <w:r>
        <w:rPr>
          <w:rFonts w:ascii="Palatino Linotype" w:hAnsi="Palatino Linotype"/>
          <w:b/>
          <w:i/>
          <w:sz w:val="24"/>
          <w:szCs w:val="24"/>
          <w:u w:val="single"/>
        </w:rPr>
        <w:t xml:space="preserve"> </w:t>
      </w:r>
      <w:r>
        <w:rPr>
          <w:rFonts w:ascii="Palatino Linotype" w:eastAsia="Palatino Linotype" w:hAnsi="Palatino Linotype" w:cs="Palatino Linotype"/>
          <w:color w:val="000000"/>
          <w:sz w:val="24"/>
          <w:szCs w:val="24"/>
        </w:rPr>
        <w:t>el cual contiene el siguiente documento:</w:t>
      </w:r>
    </w:p>
    <w:p w14:paraId="27BA6727" w14:textId="77777777" w:rsidR="00B738F5" w:rsidRDefault="00B738F5" w:rsidP="00B738F5">
      <w:pPr>
        <w:jc w:val="center"/>
        <w:rPr>
          <w:rFonts w:ascii="Palatino Linotype" w:hAnsi="Palatino Linotype"/>
          <w:b/>
          <w:i/>
          <w:sz w:val="24"/>
          <w:szCs w:val="24"/>
          <w:u w:val="single"/>
        </w:rPr>
      </w:pPr>
      <w:r>
        <w:rPr>
          <w:noProof/>
        </w:rPr>
        <w:drawing>
          <wp:inline distT="0" distB="0" distL="0" distR="0" wp14:anchorId="72B28F6F" wp14:editId="4735953A">
            <wp:extent cx="3076575" cy="33748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733" t="13579" r="26002" b="21545"/>
                    <a:stretch/>
                  </pic:blipFill>
                  <pic:spPr bwMode="auto">
                    <a:xfrm>
                      <a:off x="0" y="0"/>
                      <a:ext cx="3095310" cy="3395367"/>
                    </a:xfrm>
                    <a:prstGeom prst="rect">
                      <a:avLst/>
                    </a:prstGeom>
                    <a:ln>
                      <a:noFill/>
                    </a:ln>
                    <a:extLst>
                      <a:ext uri="{53640926-AAD7-44D8-BBD7-CCE9431645EC}">
                        <a14:shadowObscured xmlns:a14="http://schemas.microsoft.com/office/drawing/2010/main"/>
                      </a:ext>
                    </a:extLst>
                  </pic:spPr>
                </pic:pic>
              </a:graphicData>
            </a:graphic>
          </wp:inline>
        </w:drawing>
      </w:r>
    </w:p>
    <w:p w14:paraId="351413DE" w14:textId="77777777" w:rsidR="00CD60A7" w:rsidRDefault="00B83B54" w:rsidP="00CD60A7">
      <w:pPr>
        <w:pStyle w:val="NormalWeb"/>
        <w:spacing w:before="240" w:beforeAutospacing="0" w:after="240" w:afterAutospacing="0" w:line="360" w:lineRule="auto"/>
        <w:jc w:val="both"/>
      </w:pPr>
      <w:r>
        <w:rPr>
          <w:rFonts w:ascii="Palatino Linotype" w:eastAsia="Palatino Linotype" w:hAnsi="Palatino Linotype" w:cs="Palatino Linotype"/>
          <w:b/>
        </w:rPr>
        <w:t>7</w:t>
      </w:r>
      <w:r w:rsidR="00B738F5">
        <w:rPr>
          <w:rFonts w:ascii="Palatino Linotype" w:eastAsia="Palatino Linotype" w:hAnsi="Palatino Linotype" w:cs="Palatino Linotype"/>
          <w:b/>
        </w:rPr>
        <w:t xml:space="preserve">. </w:t>
      </w:r>
      <w:r w:rsidR="00CD60A7">
        <w:rPr>
          <w:rFonts w:ascii="Palatino Linotype" w:hAnsi="Palatino Linotype"/>
          <w:b/>
          <w:bCs/>
          <w:color w:val="000000"/>
        </w:rPr>
        <w:t xml:space="preserve">AMPLIACIÓN DEL PLAZO. </w:t>
      </w:r>
      <w:r w:rsidR="00CD60A7">
        <w:rPr>
          <w:rFonts w:ascii="Palatino Linotype" w:hAnsi="Palatino Linotype"/>
          <w:color w:val="000000"/>
        </w:rPr>
        <w:t xml:space="preserve">En fecha </w:t>
      </w:r>
      <w:r w:rsidR="00CD60A7">
        <w:rPr>
          <w:rFonts w:ascii="Palatino Linotype" w:hAnsi="Palatino Linotype"/>
          <w:b/>
          <w:bCs/>
          <w:color w:val="000000"/>
        </w:rPr>
        <w:t>doce de mayo del año dos mil veintidós</w:t>
      </w:r>
      <w:r w:rsidR="00CD60A7">
        <w:rPr>
          <w:rFonts w:ascii="Palatino Linotype" w:hAnsi="Palatino Linotype"/>
          <w:color w:val="000000"/>
        </w:rPr>
        <w:t>, con fundamento en el artículo 181, párrafo tercero de la Ley de Transparencia y Acceso a la Información Pública del Estado de México y Municipios, se acordó la ampliación del plazo para su resolución.</w:t>
      </w:r>
    </w:p>
    <w:p w14:paraId="5E4AF72D" w14:textId="77777777" w:rsidR="00CD60A7" w:rsidRDefault="00CD60A7" w:rsidP="00B738F5">
      <w:pPr>
        <w:spacing w:before="120" w:after="120" w:line="360" w:lineRule="auto"/>
        <w:ind w:right="49"/>
        <w:jc w:val="both"/>
        <w:rPr>
          <w:rFonts w:ascii="Palatino Linotype" w:eastAsia="Palatino Linotype" w:hAnsi="Palatino Linotype" w:cs="Palatino Linotype"/>
          <w:b/>
          <w:sz w:val="24"/>
          <w:szCs w:val="24"/>
        </w:rPr>
      </w:pPr>
    </w:p>
    <w:p w14:paraId="7CF956C8" w14:textId="77777777" w:rsidR="00CD60A7" w:rsidRDefault="00CD60A7" w:rsidP="00B738F5">
      <w:pPr>
        <w:spacing w:before="120" w:after="120" w:line="360" w:lineRule="auto"/>
        <w:ind w:right="49"/>
        <w:jc w:val="both"/>
        <w:rPr>
          <w:rFonts w:ascii="Palatino Linotype" w:eastAsia="Palatino Linotype" w:hAnsi="Palatino Linotype" w:cs="Palatino Linotype"/>
          <w:b/>
          <w:sz w:val="24"/>
          <w:szCs w:val="24"/>
        </w:rPr>
      </w:pPr>
    </w:p>
    <w:p w14:paraId="048323E8" w14:textId="77777777" w:rsidR="00B738F5" w:rsidRPr="00B738F5" w:rsidRDefault="00CD60A7" w:rsidP="00B738F5">
      <w:pPr>
        <w:spacing w:before="120" w:after="12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lastRenderedPageBreak/>
        <w:t xml:space="preserve">8. </w:t>
      </w:r>
      <w:r w:rsidR="00B738F5">
        <w:rPr>
          <w:rFonts w:ascii="Palatino Linotype" w:eastAsia="Palatino Linotype" w:hAnsi="Palatino Linotype" w:cs="Palatino Linotype"/>
          <w:b/>
          <w:sz w:val="24"/>
          <w:szCs w:val="24"/>
        </w:rPr>
        <w:t xml:space="preserve">DEL CIERRE DE INSTRUCCIÓN. </w:t>
      </w:r>
      <w:r w:rsidR="00B738F5" w:rsidRPr="00B738F5">
        <w:rPr>
          <w:rFonts w:ascii="Palatino Linotype" w:eastAsia="Palatino Linotype" w:hAnsi="Palatino Linotype" w:cs="Palatino Linotype"/>
          <w:color w:val="000000"/>
          <w:sz w:val="24"/>
          <w:szCs w:val="24"/>
        </w:rPr>
        <w:t>El die</w:t>
      </w:r>
      <w:r w:rsidR="00B738F5">
        <w:rPr>
          <w:rFonts w:ascii="Palatino Linotype" w:eastAsia="Palatino Linotype" w:hAnsi="Palatino Linotype" w:cs="Palatino Linotype"/>
          <w:color w:val="000000"/>
          <w:sz w:val="24"/>
          <w:szCs w:val="24"/>
        </w:rPr>
        <w:t>ciocho</w:t>
      </w:r>
      <w:r w:rsidR="00B738F5" w:rsidRPr="00B738F5">
        <w:rPr>
          <w:rFonts w:ascii="Palatino Linotype" w:eastAsia="Palatino Linotype" w:hAnsi="Palatino Linotype" w:cs="Palatino Linotype"/>
          <w:color w:val="000000"/>
          <w:sz w:val="24"/>
          <w:szCs w:val="24"/>
        </w:rPr>
        <w:t xml:space="preserve"> de mayo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 </w:t>
      </w:r>
    </w:p>
    <w:p w14:paraId="36052877" w14:textId="77777777" w:rsidR="00B738F5" w:rsidRDefault="00B738F5" w:rsidP="00B738F5">
      <w:pPr>
        <w:spacing w:before="120" w:after="120" w:line="360" w:lineRule="auto"/>
        <w:ind w:right="49"/>
        <w:jc w:val="both"/>
        <w:rPr>
          <w:rFonts w:ascii="Palatino Linotype" w:eastAsia="Palatino Linotype" w:hAnsi="Palatino Linotype" w:cs="Palatino Linotype"/>
          <w:b/>
          <w:sz w:val="24"/>
          <w:szCs w:val="24"/>
        </w:rPr>
      </w:pPr>
      <w:r w:rsidRPr="00B738F5">
        <w:rPr>
          <w:rFonts w:ascii="Palatino Linotype" w:eastAsia="Palatino Linotype" w:hAnsi="Palatino Linotype" w:cs="Palatino Linotype"/>
          <w:color w:val="000000"/>
          <w:sz w:val="24"/>
          <w:szCs w:val="24"/>
        </w:rPr>
        <w:t>En razón de que fue debidamente sustanciado el expediente electrónico y no existe diligencia pendiente de desahogo, se emite la Resolución que conforme a Derecho proceda, de acuerdo con los siguientes:</w:t>
      </w:r>
    </w:p>
    <w:p w14:paraId="7EEE2502" w14:textId="77777777" w:rsidR="00B738F5" w:rsidRDefault="00B738F5" w:rsidP="00B738F5">
      <w:pPr>
        <w:rPr>
          <w:rFonts w:ascii="Palatino Linotype" w:eastAsia="Palatino Linotype" w:hAnsi="Palatino Linotype" w:cs="Palatino Linotype"/>
          <w:sz w:val="24"/>
          <w:szCs w:val="24"/>
        </w:rPr>
      </w:pPr>
    </w:p>
    <w:p w14:paraId="110EBE62" w14:textId="77777777" w:rsidR="00B738F5" w:rsidRDefault="00B738F5" w:rsidP="00B738F5">
      <w:pPr>
        <w:widowControl w:val="0"/>
        <w:spacing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 O N S I D E R A N D O S</w:t>
      </w:r>
    </w:p>
    <w:p w14:paraId="7DAA646E" w14:textId="77777777" w:rsidR="00B738F5" w:rsidRDefault="00B738F5" w:rsidP="00B738F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 COMPETENCIA.</w:t>
      </w:r>
      <w:r>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CDBBDF6" w14:textId="77777777" w:rsidR="00CD60A7" w:rsidRPr="00CD60A7" w:rsidRDefault="00CD60A7" w:rsidP="00CD60A7">
      <w:pPr>
        <w:spacing w:before="240" w:after="240" w:line="360" w:lineRule="auto"/>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color w:val="000000"/>
          <w:sz w:val="24"/>
          <w:szCs w:val="24"/>
        </w:rPr>
        <w:lastRenderedPageBreak/>
        <w:t>SEGUNDO. ANÁLISIS DE LAS CAUSALES DE IMPROCEDENCIA Y SOBRESEIMIENTO</w:t>
      </w:r>
      <w:r w:rsidRPr="00CD60A7">
        <w:rPr>
          <w:rFonts w:ascii="Palatino Linotype" w:eastAsia="Times New Roman" w:hAnsi="Palatino Linotype" w:cs="Times New Roman"/>
          <w:b/>
          <w:bCs/>
          <w:color w:val="000000"/>
          <w:sz w:val="28"/>
          <w:szCs w:val="28"/>
        </w:rPr>
        <w:t xml:space="preserve">. </w:t>
      </w:r>
      <w:r w:rsidRPr="00CD60A7">
        <w:rPr>
          <w:rFonts w:ascii="Palatino Linotype" w:eastAsia="Times New Roman" w:hAnsi="Palatino Linotype" w:cs="Times New Roman"/>
          <w:color w:val="000000"/>
          <w:sz w:val="24"/>
          <w:szCs w:val="24"/>
        </w:rPr>
        <w:t>Este Instituto, realiza el estudio preferente y oficioso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14:paraId="65132C5B" w14:textId="77777777" w:rsidR="00CD60A7" w:rsidRPr="00CD60A7" w:rsidRDefault="00CD60A7" w:rsidP="00CD60A7">
      <w:pPr>
        <w:spacing w:after="0" w:line="240" w:lineRule="auto"/>
        <w:ind w:left="851" w:right="900"/>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 xml:space="preserve">“Improcedencia: </w:t>
      </w:r>
      <w:r w:rsidRPr="00CD60A7">
        <w:rPr>
          <w:rFonts w:ascii="Palatino Linotype" w:eastAsia="Times New Roman" w:hAnsi="Palatino Linotype" w:cs="Times New Roman"/>
          <w:i/>
          <w:iCs/>
          <w:color w:val="000000"/>
        </w:rPr>
        <w:t>Sea que las partes la aleguen o no, debe examinarse previamente la procedencia del juicio de amparo, por ser cuestión de orden público en el juicio de garantías.”</w:t>
      </w:r>
    </w:p>
    <w:p w14:paraId="2B997C6C" w14:textId="77777777" w:rsidR="00CD60A7" w:rsidRPr="00CD60A7" w:rsidRDefault="00CD60A7" w:rsidP="00CD60A7">
      <w:pPr>
        <w:spacing w:before="240" w:after="240" w:line="360" w:lineRule="auto"/>
        <w:jc w:val="both"/>
        <w:rPr>
          <w:rFonts w:ascii="Times New Roman" w:eastAsia="Times New Roman" w:hAnsi="Times New Roman" w:cs="Times New Roman"/>
          <w:sz w:val="24"/>
          <w:szCs w:val="24"/>
        </w:rPr>
      </w:pPr>
      <w:r w:rsidRPr="00CD60A7">
        <w:rPr>
          <w:rFonts w:ascii="Palatino Linotype" w:eastAsia="Times New Roman" w:hAnsi="Palatino Linotype" w:cs="Times New Roman"/>
          <w:color w:val="000000"/>
          <w:sz w:val="24"/>
          <w:szCs w:val="24"/>
        </w:rPr>
        <w:t>Al respecto la Ley de Transparencia y Acceso a la Información Pública del Estado de México y Municipios, establece lo siguiente:</w:t>
      </w:r>
    </w:p>
    <w:p w14:paraId="3A46FB26" w14:textId="77777777" w:rsidR="00CD60A7" w:rsidRPr="00CD60A7" w:rsidRDefault="00CD60A7" w:rsidP="00CD60A7">
      <w:pPr>
        <w:spacing w:after="0" w:line="240" w:lineRule="auto"/>
        <w:ind w:left="851" w:right="900"/>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 xml:space="preserve">“Artículo 178. </w:t>
      </w:r>
      <w:r w:rsidRPr="00CD60A7">
        <w:rPr>
          <w:rFonts w:ascii="Palatino Linotype" w:eastAsia="Times New Roman" w:hAnsi="Palatino Linotype" w:cs="Times New Roman"/>
          <w:i/>
          <w:iCs/>
          <w:color w:val="000000"/>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1DB852" w14:textId="77777777" w:rsidR="00CD60A7" w:rsidRPr="00CD60A7" w:rsidRDefault="00CD60A7" w:rsidP="00CD60A7">
      <w:pPr>
        <w:spacing w:before="240" w:after="240" w:line="360" w:lineRule="auto"/>
        <w:ind w:right="49"/>
        <w:jc w:val="both"/>
        <w:rPr>
          <w:rFonts w:ascii="Times New Roman" w:eastAsia="Times New Roman" w:hAnsi="Times New Roman" w:cs="Times New Roman"/>
          <w:sz w:val="24"/>
          <w:szCs w:val="24"/>
        </w:rPr>
      </w:pPr>
      <w:r w:rsidRPr="00CD60A7">
        <w:rPr>
          <w:rFonts w:ascii="Palatino Linotype" w:eastAsia="Times New Roman" w:hAnsi="Palatino Linotype" w:cs="Times New Roman"/>
          <w:color w:val="000000"/>
          <w:sz w:val="24"/>
          <w:szCs w:val="24"/>
        </w:rPr>
        <w:t>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w:t>
      </w:r>
    </w:p>
    <w:p w14:paraId="1F3501A0" w14:textId="77777777" w:rsidR="00CD60A7" w:rsidRPr="00CD60A7" w:rsidRDefault="00CD60A7" w:rsidP="00CD60A7">
      <w:pPr>
        <w:spacing w:before="240" w:after="240" w:line="240" w:lineRule="auto"/>
        <w:ind w:right="-1134"/>
        <w:jc w:val="both"/>
        <w:rPr>
          <w:rFonts w:ascii="Times New Roman" w:eastAsia="Times New Roman" w:hAnsi="Times New Roman" w:cs="Times New Roman"/>
          <w:sz w:val="24"/>
          <w:szCs w:val="24"/>
        </w:rPr>
      </w:pPr>
      <w:r w:rsidRPr="00CD60A7">
        <w:rPr>
          <w:rFonts w:ascii="Palatino Linotype" w:eastAsia="Times New Roman" w:hAnsi="Palatino Linotype" w:cs="Times New Roman"/>
          <w:color w:val="000000"/>
          <w:sz w:val="24"/>
          <w:szCs w:val="24"/>
        </w:rPr>
        <w:t>Por su parte los artículos 186, 191 y 192 de la Ley en cita, disponen lo siguiente:</w:t>
      </w:r>
    </w:p>
    <w:p w14:paraId="4F8C16D0" w14:textId="77777777" w:rsidR="00CD60A7" w:rsidRPr="00CD60A7" w:rsidRDefault="00CD60A7" w:rsidP="00CD60A7">
      <w:pPr>
        <w:spacing w:after="120" w:line="240" w:lineRule="auto"/>
        <w:ind w:left="851"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 “Artículo 186.</w:t>
      </w:r>
      <w:r w:rsidRPr="00CD60A7">
        <w:rPr>
          <w:rFonts w:ascii="Palatino Linotype" w:eastAsia="Times New Roman" w:hAnsi="Palatino Linotype" w:cs="Times New Roman"/>
          <w:i/>
          <w:iCs/>
          <w:color w:val="000000"/>
        </w:rPr>
        <w:t xml:space="preserve"> Las resoluciones del Instituto podrán: </w:t>
      </w:r>
    </w:p>
    <w:p w14:paraId="4C541289" w14:textId="77777777" w:rsidR="00CD60A7" w:rsidRPr="00CD60A7" w:rsidRDefault="00CD60A7" w:rsidP="00CD60A7">
      <w:pPr>
        <w:spacing w:after="120" w:line="240" w:lineRule="auto"/>
        <w:ind w:left="1134"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lastRenderedPageBreak/>
        <w:t>I.</w:t>
      </w:r>
      <w:r w:rsidRPr="00CD60A7">
        <w:rPr>
          <w:rFonts w:ascii="Palatino Linotype" w:eastAsia="Times New Roman" w:hAnsi="Palatino Linotype" w:cs="Times New Roman"/>
          <w:i/>
          <w:iCs/>
          <w:color w:val="000000"/>
        </w:rPr>
        <w:t xml:space="preserve"> Desechar o sobreseer el recurso; </w:t>
      </w:r>
    </w:p>
    <w:p w14:paraId="5057FDF7" w14:textId="77777777" w:rsidR="00CD60A7" w:rsidRPr="00CD60A7" w:rsidRDefault="00CD60A7" w:rsidP="00CD60A7">
      <w:pPr>
        <w:spacing w:after="120" w:line="240" w:lineRule="auto"/>
        <w:ind w:left="851"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i/>
          <w:iCs/>
          <w:color w:val="000000"/>
        </w:rPr>
        <w:t>…</w:t>
      </w:r>
    </w:p>
    <w:p w14:paraId="5AB6D1A8" w14:textId="77777777" w:rsidR="00CD60A7" w:rsidRPr="00CD60A7" w:rsidRDefault="00CD60A7" w:rsidP="00CD60A7">
      <w:pPr>
        <w:spacing w:before="120" w:after="120" w:line="240" w:lineRule="auto"/>
        <w:ind w:left="851"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 xml:space="preserve">Artículo 191. </w:t>
      </w:r>
      <w:r w:rsidRPr="00CD60A7">
        <w:rPr>
          <w:rFonts w:ascii="Palatino Linotype" w:eastAsia="Times New Roman" w:hAnsi="Palatino Linotype" w:cs="Times New Roman"/>
          <w:i/>
          <w:iCs/>
          <w:color w:val="000000"/>
        </w:rPr>
        <w:t>El recurso será desechado por improcedente cuando:</w:t>
      </w:r>
    </w:p>
    <w:p w14:paraId="32960D92" w14:textId="77777777" w:rsidR="00CD60A7" w:rsidRPr="00CD60A7" w:rsidRDefault="00CD60A7" w:rsidP="00CD60A7">
      <w:pPr>
        <w:spacing w:before="120" w:after="120" w:line="240" w:lineRule="auto"/>
        <w:ind w:left="1134"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I. Sea extemporáneo por haber transcurrido el plazo establecido en la presente Ley, a partir de la respuesta;</w:t>
      </w:r>
    </w:p>
    <w:p w14:paraId="41937753" w14:textId="77777777" w:rsidR="00CD60A7" w:rsidRPr="00CD60A7" w:rsidRDefault="00CD60A7" w:rsidP="00CD60A7">
      <w:pPr>
        <w:spacing w:before="120" w:after="120" w:line="240" w:lineRule="auto"/>
        <w:ind w:left="1134"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 xml:space="preserve">II. </w:t>
      </w:r>
      <w:r w:rsidRPr="00CD60A7">
        <w:rPr>
          <w:rFonts w:ascii="Palatino Linotype" w:eastAsia="Times New Roman" w:hAnsi="Palatino Linotype" w:cs="Times New Roman"/>
          <w:i/>
          <w:iCs/>
          <w:color w:val="000000"/>
        </w:rPr>
        <w:t>Se esté tramitando ante el Poder Judicial de la Federación algún recurso o medio de defensa interpuesto por el recurrente;</w:t>
      </w:r>
    </w:p>
    <w:p w14:paraId="51558A76" w14:textId="77777777" w:rsidR="00CD60A7" w:rsidRPr="00CD60A7" w:rsidRDefault="00CD60A7" w:rsidP="00CD60A7">
      <w:pPr>
        <w:spacing w:before="120" w:after="120" w:line="240" w:lineRule="auto"/>
        <w:ind w:left="1134"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 xml:space="preserve">III. </w:t>
      </w:r>
      <w:r w:rsidRPr="00CD60A7">
        <w:rPr>
          <w:rFonts w:ascii="Palatino Linotype" w:eastAsia="Times New Roman" w:hAnsi="Palatino Linotype" w:cs="Times New Roman"/>
          <w:i/>
          <w:iCs/>
          <w:color w:val="000000"/>
        </w:rPr>
        <w:t>No actualice alguno de los supuestos previstos en la presente Ley;</w:t>
      </w:r>
    </w:p>
    <w:p w14:paraId="59ADAC81" w14:textId="77777777" w:rsidR="00CD60A7" w:rsidRPr="00CD60A7" w:rsidRDefault="00CD60A7" w:rsidP="00CD60A7">
      <w:pPr>
        <w:spacing w:before="120" w:after="120" w:line="240" w:lineRule="auto"/>
        <w:ind w:left="1134"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 xml:space="preserve">IV. </w:t>
      </w:r>
      <w:r w:rsidRPr="00CD60A7">
        <w:rPr>
          <w:rFonts w:ascii="Palatino Linotype" w:eastAsia="Times New Roman" w:hAnsi="Palatino Linotype" w:cs="Times New Roman"/>
          <w:i/>
          <w:iCs/>
          <w:color w:val="000000"/>
        </w:rPr>
        <w:t>No se haya desahogado la prevención en los términos establecidos en la presente Ley;</w:t>
      </w:r>
    </w:p>
    <w:p w14:paraId="76BFB052" w14:textId="77777777" w:rsidR="00CD60A7" w:rsidRPr="00CD60A7" w:rsidRDefault="00CD60A7" w:rsidP="00CD60A7">
      <w:pPr>
        <w:spacing w:before="120" w:after="120" w:line="240" w:lineRule="auto"/>
        <w:ind w:left="1134"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 xml:space="preserve">V. </w:t>
      </w:r>
      <w:r w:rsidRPr="00CD60A7">
        <w:rPr>
          <w:rFonts w:ascii="Palatino Linotype" w:eastAsia="Times New Roman" w:hAnsi="Palatino Linotype" w:cs="Times New Roman"/>
          <w:i/>
          <w:iCs/>
          <w:color w:val="000000"/>
        </w:rPr>
        <w:t>Se impugne la veracidad de la información proporcionada;</w:t>
      </w:r>
    </w:p>
    <w:p w14:paraId="32DC235D" w14:textId="77777777" w:rsidR="00CD60A7" w:rsidRPr="00CD60A7" w:rsidRDefault="00CD60A7" w:rsidP="00CD60A7">
      <w:pPr>
        <w:spacing w:before="120" w:after="120" w:line="240" w:lineRule="auto"/>
        <w:ind w:left="1134"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 xml:space="preserve">VI. </w:t>
      </w:r>
      <w:r w:rsidRPr="00CD60A7">
        <w:rPr>
          <w:rFonts w:ascii="Palatino Linotype" w:eastAsia="Times New Roman" w:hAnsi="Palatino Linotype" w:cs="Times New Roman"/>
          <w:i/>
          <w:iCs/>
          <w:color w:val="000000"/>
        </w:rPr>
        <w:t>Se trate de una consulta, o trámite en específico; y</w:t>
      </w:r>
    </w:p>
    <w:p w14:paraId="42457E14" w14:textId="77777777" w:rsidR="00CD60A7" w:rsidRPr="00CD60A7" w:rsidRDefault="00CD60A7" w:rsidP="00CD60A7">
      <w:pPr>
        <w:spacing w:before="120" w:after="120" w:line="240" w:lineRule="auto"/>
        <w:ind w:left="1134"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 xml:space="preserve">VII. </w:t>
      </w:r>
      <w:r w:rsidRPr="00CD60A7">
        <w:rPr>
          <w:rFonts w:ascii="Palatino Linotype" w:eastAsia="Times New Roman" w:hAnsi="Palatino Linotype" w:cs="Times New Roman"/>
          <w:i/>
          <w:iCs/>
          <w:color w:val="000000"/>
        </w:rPr>
        <w:t>El recurrente amplíe su solicitud en el recurso de revisión, únicamente respecto de los nuevos contenidos.”</w:t>
      </w:r>
    </w:p>
    <w:p w14:paraId="7F029031" w14:textId="77777777" w:rsidR="00CD60A7" w:rsidRPr="00CD60A7" w:rsidRDefault="00CD60A7" w:rsidP="00CD60A7">
      <w:pPr>
        <w:spacing w:after="0" w:line="240" w:lineRule="auto"/>
        <w:rPr>
          <w:rFonts w:ascii="Times New Roman" w:eastAsia="Times New Roman" w:hAnsi="Times New Roman" w:cs="Times New Roman"/>
          <w:sz w:val="24"/>
          <w:szCs w:val="24"/>
        </w:rPr>
      </w:pPr>
    </w:p>
    <w:p w14:paraId="20629A38" w14:textId="77777777" w:rsidR="00CD60A7" w:rsidRPr="00CD60A7" w:rsidRDefault="00CD60A7" w:rsidP="00CD60A7">
      <w:pPr>
        <w:spacing w:before="120" w:after="120" w:line="240" w:lineRule="auto"/>
        <w:ind w:left="851"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 xml:space="preserve">“Artículo 192. </w:t>
      </w:r>
      <w:r w:rsidRPr="00CD60A7">
        <w:rPr>
          <w:rFonts w:ascii="Palatino Linotype" w:eastAsia="Times New Roman" w:hAnsi="Palatino Linotype" w:cs="Times New Roman"/>
          <w:i/>
          <w:iCs/>
          <w:color w:val="000000"/>
        </w:rPr>
        <w:t>El recurso será sobreseído, en todo o en parte, cuando una vez admitido, se actualicen alguno de los siguientes supuestos:</w:t>
      </w:r>
    </w:p>
    <w:p w14:paraId="01C317E9" w14:textId="77777777" w:rsidR="00CD60A7" w:rsidRPr="00CD60A7" w:rsidRDefault="00CD60A7" w:rsidP="00CD60A7">
      <w:pPr>
        <w:spacing w:before="120" w:after="120" w:line="240" w:lineRule="auto"/>
        <w:ind w:left="1134"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 xml:space="preserve">I. </w:t>
      </w:r>
      <w:r w:rsidRPr="00CD60A7">
        <w:rPr>
          <w:rFonts w:ascii="Palatino Linotype" w:eastAsia="Times New Roman" w:hAnsi="Palatino Linotype" w:cs="Times New Roman"/>
          <w:i/>
          <w:iCs/>
          <w:color w:val="000000"/>
        </w:rPr>
        <w:t>El recurrente se desista expresamente del recurso;</w:t>
      </w:r>
    </w:p>
    <w:p w14:paraId="3478F6A6" w14:textId="77777777" w:rsidR="00CD60A7" w:rsidRPr="00CD60A7" w:rsidRDefault="00CD60A7" w:rsidP="00CD60A7">
      <w:pPr>
        <w:spacing w:before="120" w:after="120" w:line="240" w:lineRule="auto"/>
        <w:ind w:left="1134"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 xml:space="preserve">II. </w:t>
      </w:r>
      <w:r w:rsidRPr="00CD60A7">
        <w:rPr>
          <w:rFonts w:ascii="Palatino Linotype" w:eastAsia="Times New Roman" w:hAnsi="Palatino Linotype" w:cs="Times New Roman"/>
          <w:i/>
          <w:iCs/>
          <w:color w:val="000000"/>
        </w:rPr>
        <w:t>El recurrente fallezca o, tratándose de personas jurídicas colectivas, se disuelva;</w:t>
      </w:r>
    </w:p>
    <w:p w14:paraId="1F9B1035" w14:textId="77777777" w:rsidR="00CD60A7" w:rsidRPr="00CD60A7" w:rsidRDefault="00CD60A7" w:rsidP="00CD60A7">
      <w:pPr>
        <w:spacing w:before="120" w:after="120" w:line="240" w:lineRule="auto"/>
        <w:ind w:left="1134"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 xml:space="preserve">III. </w:t>
      </w:r>
      <w:r w:rsidRPr="00CD60A7">
        <w:rPr>
          <w:rFonts w:ascii="Palatino Linotype" w:eastAsia="Times New Roman" w:hAnsi="Palatino Linotype" w:cs="Times New Roman"/>
          <w:i/>
          <w:iCs/>
          <w:color w:val="000000"/>
        </w:rPr>
        <w:t>El sujeto obligado responsable del acto lo modifique o revoque de tal manera que el recurso de revisión quede sin materia;</w:t>
      </w:r>
    </w:p>
    <w:p w14:paraId="1AC979D4" w14:textId="77777777" w:rsidR="00CD60A7" w:rsidRPr="00CD60A7" w:rsidRDefault="00CD60A7" w:rsidP="00CD60A7">
      <w:pPr>
        <w:spacing w:before="120" w:after="120" w:line="240" w:lineRule="auto"/>
        <w:ind w:left="1134"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IV. Admitido el recurso de revisión, aparezca alguna causal de improcedencia en los términos de la presente Ley; y</w:t>
      </w:r>
    </w:p>
    <w:p w14:paraId="3E5372D0" w14:textId="77777777" w:rsidR="00CD60A7" w:rsidRPr="00CD60A7" w:rsidRDefault="00CD60A7" w:rsidP="00CD60A7">
      <w:pPr>
        <w:spacing w:before="120" w:after="120" w:line="240" w:lineRule="auto"/>
        <w:ind w:left="1134" w:right="902"/>
        <w:jc w:val="both"/>
        <w:rPr>
          <w:rFonts w:ascii="Times New Roman" w:eastAsia="Times New Roman" w:hAnsi="Times New Roman" w:cs="Times New Roman"/>
          <w:sz w:val="24"/>
          <w:szCs w:val="24"/>
        </w:rPr>
      </w:pPr>
      <w:r w:rsidRPr="00CD60A7">
        <w:rPr>
          <w:rFonts w:ascii="Palatino Linotype" w:eastAsia="Times New Roman" w:hAnsi="Palatino Linotype" w:cs="Times New Roman"/>
          <w:b/>
          <w:bCs/>
          <w:i/>
          <w:iCs/>
          <w:color w:val="000000"/>
        </w:rPr>
        <w:t xml:space="preserve">V. </w:t>
      </w:r>
      <w:r w:rsidRPr="00CD60A7">
        <w:rPr>
          <w:rFonts w:ascii="Palatino Linotype" w:eastAsia="Times New Roman" w:hAnsi="Palatino Linotype" w:cs="Times New Roman"/>
          <w:i/>
          <w:iCs/>
          <w:color w:val="000000"/>
        </w:rPr>
        <w:t>Cuando por cualquier motivo quede sin materia el recurso</w:t>
      </w:r>
      <w:r w:rsidRPr="00CD60A7">
        <w:rPr>
          <w:rFonts w:ascii="Palatino Linotype" w:eastAsia="Times New Roman" w:hAnsi="Palatino Linotype" w:cs="Times New Roman"/>
          <w:color w:val="000000"/>
        </w:rPr>
        <w:t>.”</w:t>
      </w:r>
    </w:p>
    <w:p w14:paraId="22686344" w14:textId="77777777" w:rsidR="00CD60A7" w:rsidRPr="00CD60A7" w:rsidRDefault="00CD60A7" w:rsidP="00CD60A7">
      <w:pPr>
        <w:spacing w:before="240" w:after="240" w:line="360" w:lineRule="auto"/>
        <w:ind w:right="49"/>
        <w:jc w:val="both"/>
        <w:rPr>
          <w:rFonts w:ascii="Times New Roman" w:eastAsia="Times New Roman" w:hAnsi="Times New Roman" w:cs="Times New Roman"/>
          <w:sz w:val="24"/>
          <w:szCs w:val="24"/>
        </w:rPr>
      </w:pPr>
      <w:r w:rsidRPr="00CD60A7">
        <w:rPr>
          <w:rFonts w:ascii="Palatino Linotype" w:eastAsia="Times New Roman" w:hAnsi="Palatino Linotype" w:cs="Times New Roman"/>
          <w:color w:val="000000"/>
          <w:sz w:val="24"/>
          <w:szCs w:val="24"/>
        </w:rPr>
        <w:t xml:space="preserve">En primer lugar, cabe destacar que, la Ley da la posibilidad de desechar el recurso de revisión en el momento procesal en que también se puede admitir, por alguna de las causales transcritas, artículo que tiene un momento de aplicabilidad previo a </w:t>
      </w:r>
      <w:r w:rsidRPr="00CD60A7">
        <w:rPr>
          <w:rFonts w:ascii="Palatino Linotype" w:eastAsia="Times New Roman" w:hAnsi="Palatino Linotype" w:cs="Times New Roman"/>
          <w:color w:val="000000"/>
          <w:sz w:val="24"/>
          <w:szCs w:val="24"/>
        </w:rPr>
        <w:lastRenderedPageBreak/>
        <w:t>la admisión del recurso de revisión por no reunir los requisitos de procedibilidad previstos en el artículo 179 de la Ley en la Materia.</w:t>
      </w:r>
    </w:p>
    <w:p w14:paraId="28DA1FC4" w14:textId="77777777" w:rsidR="00CD60A7" w:rsidRPr="00CD60A7" w:rsidRDefault="00CD60A7" w:rsidP="00CD60A7">
      <w:pPr>
        <w:spacing w:before="240" w:after="240" w:line="360" w:lineRule="auto"/>
        <w:ind w:right="49"/>
        <w:jc w:val="both"/>
        <w:rPr>
          <w:rFonts w:ascii="Times New Roman" w:eastAsia="Times New Roman" w:hAnsi="Times New Roman" w:cs="Times New Roman"/>
          <w:sz w:val="24"/>
          <w:szCs w:val="24"/>
        </w:rPr>
      </w:pPr>
      <w:r w:rsidRPr="00CD60A7">
        <w:rPr>
          <w:rFonts w:ascii="Palatino Linotype" w:eastAsia="Times New Roman" w:hAnsi="Palatino Linotype" w:cs="Times New Roman"/>
          <w:color w:val="000000"/>
          <w:sz w:val="24"/>
          <w:szCs w:val="24"/>
        </w:rPr>
        <w:t>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I del artículo 191 de la misma Ley, por no existir elementos de procedencia.</w:t>
      </w:r>
    </w:p>
    <w:p w14:paraId="53016902" w14:textId="77777777" w:rsidR="00CD60A7" w:rsidRPr="00CD60A7" w:rsidRDefault="00CD60A7" w:rsidP="00CD60A7">
      <w:pPr>
        <w:spacing w:before="280" w:after="280" w:line="360" w:lineRule="auto"/>
        <w:jc w:val="both"/>
        <w:rPr>
          <w:rFonts w:ascii="Times New Roman" w:eastAsia="Times New Roman" w:hAnsi="Times New Roman" w:cs="Times New Roman"/>
          <w:sz w:val="24"/>
          <w:szCs w:val="24"/>
        </w:rPr>
      </w:pPr>
      <w:r w:rsidRPr="00CD60A7">
        <w:rPr>
          <w:rFonts w:ascii="Palatino Linotype" w:eastAsia="Times New Roman" w:hAnsi="Palatino Linotype" w:cs="Times New Roman"/>
          <w:color w:val="000000"/>
          <w:sz w:val="24"/>
          <w:szCs w:val="24"/>
        </w:rPr>
        <w:t xml:space="preserve">Lo anterior se afirma así, en virtud de que no escapa de la óptica de este Organismo Garante que, el </w:t>
      </w:r>
      <w:r w:rsidRPr="00CD60A7">
        <w:rPr>
          <w:rFonts w:ascii="Palatino Linotype" w:eastAsia="Times New Roman" w:hAnsi="Palatino Linotype" w:cs="Times New Roman"/>
          <w:b/>
          <w:bCs/>
          <w:color w:val="000000"/>
          <w:sz w:val="24"/>
          <w:szCs w:val="24"/>
        </w:rPr>
        <w:t xml:space="preserve">Sujeto Obligado </w:t>
      </w:r>
      <w:r w:rsidRPr="00CD60A7">
        <w:rPr>
          <w:rFonts w:ascii="Palatino Linotype" w:eastAsia="Times New Roman" w:hAnsi="Palatino Linotype" w:cs="Times New Roman"/>
          <w:color w:val="000000"/>
          <w:sz w:val="24"/>
          <w:szCs w:val="24"/>
        </w:rPr>
        <w:t xml:space="preserve">dio respuesta a la solicitud de información el día </w:t>
      </w:r>
      <w:r w:rsidRPr="00CD60A7">
        <w:rPr>
          <w:rFonts w:ascii="Palatino Linotype" w:eastAsia="Times New Roman" w:hAnsi="Palatino Linotype" w:cs="Times New Roman"/>
          <w:b/>
          <w:bCs/>
          <w:color w:val="000000"/>
          <w:sz w:val="24"/>
          <w:szCs w:val="24"/>
        </w:rPr>
        <w:t>veinti</w:t>
      </w:r>
      <w:r>
        <w:rPr>
          <w:rFonts w:ascii="Palatino Linotype" w:eastAsia="Times New Roman" w:hAnsi="Palatino Linotype" w:cs="Times New Roman"/>
          <w:b/>
          <w:bCs/>
          <w:color w:val="000000"/>
          <w:sz w:val="24"/>
          <w:szCs w:val="24"/>
        </w:rPr>
        <w:t>cinco</w:t>
      </w:r>
      <w:r w:rsidRPr="00CD60A7">
        <w:rPr>
          <w:rFonts w:ascii="Palatino Linotype" w:eastAsia="Times New Roman" w:hAnsi="Palatino Linotype" w:cs="Times New Roman"/>
          <w:b/>
          <w:bCs/>
          <w:color w:val="000000"/>
          <w:sz w:val="24"/>
          <w:szCs w:val="24"/>
        </w:rPr>
        <w:t xml:space="preserve"> de enero de dos mil veintidós, </w:t>
      </w:r>
      <w:r w:rsidRPr="00CD60A7">
        <w:rPr>
          <w:rFonts w:ascii="Palatino Linotype" w:eastAsia="Times New Roman" w:hAnsi="Palatino Linotype" w:cs="Times New Roman"/>
          <w:color w:val="000000"/>
          <w:sz w:val="24"/>
          <w:szCs w:val="24"/>
        </w:rPr>
        <w:t xml:space="preserve">mientras que el particular interpuso el recurso de revisión que nos ocupa hasta el día </w:t>
      </w:r>
      <w:r w:rsidRPr="00CD60A7">
        <w:rPr>
          <w:rFonts w:ascii="Palatino Linotype" w:eastAsia="Times New Roman" w:hAnsi="Palatino Linotype" w:cs="Times New Roman"/>
          <w:b/>
          <w:bCs/>
          <w:color w:val="000000"/>
          <w:sz w:val="24"/>
          <w:szCs w:val="24"/>
        </w:rPr>
        <w:t xml:space="preserve">veintiocho de febrero de dos mil veintidós, </w:t>
      </w:r>
      <w:r w:rsidRPr="00CD60A7">
        <w:rPr>
          <w:rFonts w:ascii="Palatino Linotype" w:eastAsia="Times New Roman" w:hAnsi="Palatino Linotype" w:cs="Times New Roman"/>
          <w:color w:val="000000"/>
          <w:sz w:val="24"/>
          <w:szCs w:val="24"/>
        </w:rPr>
        <w:t>de tal suerte que trascurrieron más de quince días hábiles desde la notificación de la respuesta, hasta el día de la interposición del medio de impugnación.</w:t>
      </w:r>
    </w:p>
    <w:p w14:paraId="78266483" w14:textId="77777777" w:rsidR="00CD60A7" w:rsidRPr="00CD60A7" w:rsidRDefault="00CD60A7" w:rsidP="00CD60A7">
      <w:pPr>
        <w:spacing w:before="280" w:after="280" w:line="360" w:lineRule="auto"/>
        <w:jc w:val="both"/>
        <w:rPr>
          <w:rFonts w:ascii="Times New Roman" w:eastAsia="Times New Roman" w:hAnsi="Times New Roman" w:cs="Times New Roman"/>
          <w:sz w:val="24"/>
          <w:szCs w:val="24"/>
        </w:rPr>
      </w:pPr>
      <w:r w:rsidRPr="00CD60A7">
        <w:rPr>
          <w:rFonts w:ascii="Palatino Linotype" w:eastAsia="Times New Roman" w:hAnsi="Palatino Linotype" w:cs="Times New Roman"/>
          <w:color w:val="000000"/>
          <w:sz w:val="24"/>
          <w:szCs w:val="24"/>
        </w:rPr>
        <w:t xml:space="preserve">Lo anterior se afirma así, en virtud de que el plazo de quince días previsto en el artículo 178 de la Ley de Transparencia y Acceso a la Información Pública del Estado de México y Municipios citado con antelación, comenzó a computarse a partir del día </w:t>
      </w:r>
      <w:proofErr w:type="spellStart"/>
      <w:r>
        <w:rPr>
          <w:rFonts w:ascii="Palatino Linotype" w:eastAsia="Times New Roman" w:hAnsi="Palatino Linotype" w:cs="Times New Roman"/>
          <w:b/>
          <w:bCs/>
          <w:color w:val="000000"/>
          <w:sz w:val="24"/>
          <w:szCs w:val="24"/>
        </w:rPr>
        <w:t>veintisies</w:t>
      </w:r>
      <w:proofErr w:type="spellEnd"/>
      <w:r w:rsidRPr="00CD60A7">
        <w:rPr>
          <w:rFonts w:ascii="Palatino Linotype" w:eastAsia="Times New Roman" w:hAnsi="Palatino Linotype" w:cs="Times New Roman"/>
          <w:b/>
          <w:bCs/>
          <w:color w:val="000000"/>
          <w:sz w:val="24"/>
          <w:szCs w:val="24"/>
        </w:rPr>
        <w:t xml:space="preserve"> de enero de dos mil veintidós</w:t>
      </w:r>
      <w:r w:rsidRPr="00CD60A7">
        <w:rPr>
          <w:rFonts w:ascii="Palatino Linotype" w:eastAsia="Times New Roman" w:hAnsi="Palatino Linotype" w:cs="Times New Roman"/>
          <w:color w:val="000000"/>
          <w:sz w:val="24"/>
          <w:szCs w:val="24"/>
        </w:rPr>
        <w:t xml:space="preserve"> y </w:t>
      </w:r>
      <w:r w:rsidRPr="00CD60A7">
        <w:rPr>
          <w:rFonts w:ascii="Palatino Linotype" w:eastAsia="Times New Roman" w:hAnsi="Palatino Linotype" w:cs="Times New Roman"/>
          <w:color w:val="000000"/>
          <w:sz w:val="24"/>
          <w:szCs w:val="24"/>
          <w:u w:val="single"/>
        </w:rPr>
        <w:t xml:space="preserve">feneció el día </w:t>
      </w:r>
      <w:r>
        <w:rPr>
          <w:rFonts w:ascii="Palatino Linotype" w:eastAsia="Times New Roman" w:hAnsi="Palatino Linotype" w:cs="Times New Roman"/>
          <w:color w:val="000000"/>
          <w:sz w:val="24"/>
          <w:szCs w:val="24"/>
          <w:u w:val="single"/>
        </w:rPr>
        <w:t>dieciséis</w:t>
      </w:r>
      <w:r w:rsidRPr="00CD60A7">
        <w:rPr>
          <w:rFonts w:ascii="Palatino Linotype" w:eastAsia="Times New Roman" w:hAnsi="Palatino Linotype" w:cs="Times New Roman"/>
          <w:b/>
          <w:bCs/>
          <w:color w:val="000000"/>
          <w:sz w:val="24"/>
          <w:szCs w:val="24"/>
          <w:u w:val="single"/>
        </w:rPr>
        <w:t xml:space="preserve"> de febrero de dos mil veintidós</w:t>
      </w:r>
      <w:r w:rsidRPr="00CD60A7">
        <w:rPr>
          <w:rFonts w:ascii="Palatino Linotype" w:eastAsia="Times New Roman" w:hAnsi="Palatino Linotype" w:cs="Times New Roman"/>
          <w:color w:val="000000"/>
          <w:sz w:val="24"/>
          <w:szCs w:val="24"/>
        </w:rPr>
        <w:t xml:space="preserve">,  sin tomar en cuenta los días veintinueve y treinta de enero, así como los días cinco, seis, siete, doce y trece de febrero, en términos del artículo 3, fracción X de la Ley de la Materia y el ACUERDO SEGUNDO del Acuerdo por el cual se expide el Calendario Oficial en Materia de Transparencia, Acceso a la </w:t>
      </w:r>
      <w:r w:rsidRPr="00CD60A7">
        <w:rPr>
          <w:rFonts w:ascii="Palatino Linotype" w:eastAsia="Times New Roman" w:hAnsi="Palatino Linotype" w:cs="Times New Roman"/>
          <w:color w:val="000000"/>
          <w:sz w:val="24"/>
          <w:szCs w:val="24"/>
        </w:rPr>
        <w:lastRenderedPageBreak/>
        <w:t>Información Pública y Protección de Datos Personales del Estado de México y Municipios, así como de labores de este Organismo Garante para el año dos mil veintidós y enero del dos mil veintitrés.</w:t>
      </w:r>
    </w:p>
    <w:p w14:paraId="73EB0047" w14:textId="77777777" w:rsidR="00CD60A7" w:rsidRPr="00CD60A7" w:rsidRDefault="00CD60A7" w:rsidP="00CD60A7">
      <w:pPr>
        <w:spacing w:before="240" w:after="240" w:line="360" w:lineRule="auto"/>
        <w:jc w:val="both"/>
        <w:rPr>
          <w:rFonts w:ascii="Times New Roman" w:eastAsia="Times New Roman" w:hAnsi="Times New Roman" w:cs="Times New Roman"/>
          <w:sz w:val="24"/>
          <w:szCs w:val="24"/>
        </w:rPr>
      </w:pPr>
      <w:r w:rsidRPr="00CD60A7">
        <w:rPr>
          <w:rFonts w:ascii="Palatino Linotype" w:eastAsia="Times New Roman" w:hAnsi="Palatino Linotype" w:cs="Times New Roman"/>
          <w:color w:val="000000"/>
          <w:sz w:val="24"/>
          <w:szCs w:val="24"/>
        </w:rPr>
        <w:t>De lo hasta aquí expuesto, es evidente que el presente asunto actualiza la causal de improcedencia enunciada en el artículo 191 fracción I de la Ley de Transparencia y Acceso a la Información Pública del Estado de México y Municipios, en virtud de que el recurso de revisión fue presentado fuera del plazo señalado en el artículo 178 de la Ley de la Materia; situación que trae aparejada el sobreseimiento, atendiendo a lo dispuesto en el artículo 192 fracción IV del citado ordenamiento legal. </w:t>
      </w:r>
    </w:p>
    <w:p w14:paraId="1976AC64" w14:textId="77777777" w:rsidR="00CD60A7" w:rsidRPr="00CD60A7" w:rsidRDefault="00CD60A7" w:rsidP="00CD60A7">
      <w:pPr>
        <w:spacing w:before="240" w:after="240" w:line="360" w:lineRule="auto"/>
        <w:ind w:right="51"/>
        <w:jc w:val="both"/>
        <w:rPr>
          <w:rFonts w:ascii="Times New Roman" w:eastAsia="Times New Roman" w:hAnsi="Times New Roman" w:cs="Times New Roman"/>
          <w:sz w:val="24"/>
          <w:szCs w:val="24"/>
        </w:rPr>
      </w:pPr>
      <w:r w:rsidRPr="00CD60A7">
        <w:rPr>
          <w:rFonts w:ascii="Palatino Linotype" w:eastAsia="Times New Roman" w:hAnsi="Palatino Linotype" w:cs="Times New Roman"/>
          <w:color w:val="000000"/>
          <w:sz w:val="24"/>
          <w:szCs w:val="24"/>
        </w:rPr>
        <w:t>Sirve como criterio orientador, lo establecido en la Jurisprudencia 1ª.J3/99 de la Novena Época, emitida por la Primera Sala de la Suprema Corte de Justicia de la Nación, publicada en el Semanario Judicial de la Federación y su Gaceta, que en lo conducente dispone: </w:t>
      </w:r>
    </w:p>
    <w:p w14:paraId="78C030E5" w14:textId="77777777" w:rsidR="00CD60A7" w:rsidRPr="00CD60A7" w:rsidRDefault="00CD60A7" w:rsidP="00CD60A7">
      <w:pPr>
        <w:spacing w:before="240" w:after="240" w:line="240" w:lineRule="auto"/>
        <w:ind w:left="851" w:right="900"/>
        <w:jc w:val="both"/>
        <w:rPr>
          <w:rFonts w:ascii="Times New Roman" w:eastAsia="Times New Roman" w:hAnsi="Times New Roman" w:cs="Times New Roman"/>
          <w:sz w:val="24"/>
          <w:szCs w:val="24"/>
        </w:rPr>
      </w:pPr>
      <w:r w:rsidRPr="00CD60A7">
        <w:rPr>
          <w:rFonts w:ascii="Palatino Linotype" w:eastAsia="Times New Roman" w:hAnsi="Palatino Linotype" w:cs="Times New Roman"/>
          <w:i/>
          <w:iCs/>
          <w:color w:val="000000"/>
        </w:rPr>
        <w:t>“</w:t>
      </w:r>
      <w:r w:rsidRPr="00CD60A7">
        <w:rPr>
          <w:rFonts w:ascii="Palatino Linotype" w:eastAsia="Times New Roman" w:hAnsi="Palatino Linotype" w:cs="Times New Roman"/>
          <w:b/>
          <w:bCs/>
          <w:i/>
          <w:iCs/>
          <w:color w:val="000000"/>
        </w:rPr>
        <w:t>IMPROCEDENCIA. ESTUDIO PREFERENCIAL DE LAS CAUSALES PREVISTAS EN EL ARTÍCULO 73 DE LA LEY DE AMPARO.</w:t>
      </w:r>
      <w:r w:rsidRPr="00CD60A7">
        <w:rPr>
          <w:rFonts w:ascii="Palatino Linotype" w:eastAsia="Times New Roman" w:hAnsi="Palatino Linotype" w:cs="Times New Roman"/>
          <w:i/>
          <w:iCs/>
          <w:color w:val="000000"/>
        </w:rPr>
        <w:t xml:space="preserve"> 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0020C6B8" w14:textId="77777777" w:rsidR="00CD60A7" w:rsidRPr="00CD60A7" w:rsidRDefault="00CD60A7" w:rsidP="00CD60A7">
      <w:pPr>
        <w:spacing w:before="240" w:after="240" w:line="360" w:lineRule="auto"/>
        <w:jc w:val="both"/>
        <w:rPr>
          <w:rFonts w:ascii="Times New Roman" w:eastAsia="Times New Roman" w:hAnsi="Times New Roman" w:cs="Times New Roman"/>
          <w:sz w:val="24"/>
          <w:szCs w:val="24"/>
        </w:rPr>
      </w:pPr>
      <w:r w:rsidRPr="00CD60A7">
        <w:rPr>
          <w:rFonts w:ascii="Palatino Linotype" w:eastAsia="Times New Roman" w:hAnsi="Palatino Linotype" w:cs="Times New Roman"/>
          <w:color w:val="000000"/>
          <w:sz w:val="24"/>
          <w:szCs w:val="24"/>
        </w:rPr>
        <w:t xml:space="preserve">Atento a los razonamientos lógico jurídicos que han quedado precisados y toda vez que el  </w:t>
      </w:r>
      <w:r w:rsidRPr="00CD60A7">
        <w:rPr>
          <w:rFonts w:ascii="Palatino Linotype" w:eastAsia="Times New Roman" w:hAnsi="Palatino Linotype" w:cs="Times New Roman"/>
          <w:b/>
          <w:bCs/>
          <w:i/>
          <w:iCs/>
          <w:color w:val="000000"/>
          <w:sz w:val="24"/>
          <w:szCs w:val="24"/>
        </w:rPr>
        <w:t>sobreseimiento</w:t>
      </w:r>
      <w:r w:rsidRPr="00CD60A7">
        <w:rPr>
          <w:rFonts w:ascii="Palatino Linotype" w:eastAsia="Times New Roman" w:hAnsi="Palatino Linotype" w:cs="Times New Roman"/>
          <w:i/>
          <w:iCs/>
          <w:color w:val="000000"/>
          <w:sz w:val="24"/>
          <w:szCs w:val="24"/>
        </w:rPr>
        <w:t xml:space="preserve"> </w:t>
      </w:r>
      <w:r w:rsidRPr="00CD60A7">
        <w:rPr>
          <w:rFonts w:ascii="Palatino Linotype" w:eastAsia="Times New Roman" w:hAnsi="Palatino Linotype" w:cs="Times New Roman"/>
          <w:color w:val="000000"/>
          <w:sz w:val="24"/>
          <w:szCs w:val="24"/>
        </w:rPr>
        <w:t xml:space="preserve">es un acto que da por terminado el procedimiento administrativo de impugnación por alguna causa que sobreviniente en el juicio de que se trate, que impide a la autoridad referirse a lo sustancial de lo planteado por </w:t>
      </w:r>
      <w:r w:rsidRPr="00CD60A7">
        <w:rPr>
          <w:rFonts w:ascii="Palatino Linotype" w:eastAsia="Times New Roman" w:hAnsi="Palatino Linotype" w:cs="Times New Roman"/>
          <w:color w:val="000000"/>
          <w:sz w:val="24"/>
          <w:szCs w:val="24"/>
        </w:rPr>
        <w:lastRenderedPageBreak/>
        <w:t xml:space="preserve">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CD60A7">
        <w:rPr>
          <w:rFonts w:ascii="Palatino Linotype" w:eastAsia="Times New Roman" w:hAnsi="Palatino Linotype" w:cs="Times New Roman"/>
          <w:b/>
          <w:bCs/>
          <w:color w:val="000000"/>
          <w:sz w:val="24"/>
          <w:szCs w:val="24"/>
        </w:rPr>
        <w:t>SOBRESEIMIENTO, NO PERMITE ENTRAR AL ESTUDIO DE LAS CUESTIONES DE FONDO.</w:t>
      </w:r>
    </w:p>
    <w:p w14:paraId="04742856" w14:textId="77777777" w:rsidR="00CD60A7" w:rsidRPr="00CD60A7" w:rsidRDefault="00CD60A7" w:rsidP="00CD60A7">
      <w:pPr>
        <w:spacing w:before="240" w:after="240" w:line="360" w:lineRule="auto"/>
        <w:jc w:val="both"/>
        <w:rPr>
          <w:rFonts w:ascii="Times New Roman" w:eastAsia="Times New Roman" w:hAnsi="Times New Roman" w:cs="Times New Roman"/>
          <w:sz w:val="24"/>
          <w:szCs w:val="24"/>
        </w:rPr>
      </w:pPr>
      <w:r w:rsidRPr="00CD60A7">
        <w:rPr>
          <w:rFonts w:ascii="Palatino Linotype" w:eastAsia="Times New Roman" w:hAnsi="Palatino Linotype" w:cs="Times New Roman"/>
          <w:color w:val="000000"/>
          <w:sz w:val="24"/>
          <w:szCs w:val="24"/>
        </w:rPr>
        <w:t xml:space="preserve">En consecuencia, resulta procedente </w:t>
      </w:r>
      <w:r w:rsidRPr="00CD60A7">
        <w:rPr>
          <w:rFonts w:ascii="Palatino Linotype" w:eastAsia="Times New Roman" w:hAnsi="Palatino Linotype" w:cs="Times New Roman"/>
          <w:b/>
          <w:bCs/>
          <w:i/>
          <w:iCs/>
          <w:color w:val="000000"/>
          <w:sz w:val="24"/>
          <w:szCs w:val="24"/>
        </w:rPr>
        <w:t>sobreseer</w:t>
      </w:r>
      <w:r w:rsidRPr="00CD60A7">
        <w:rPr>
          <w:rFonts w:ascii="Palatino Linotype" w:eastAsia="Times New Roman" w:hAnsi="Palatino Linotype" w:cs="Times New Roman"/>
          <w:color w:val="000000"/>
          <w:sz w:val="24"/>
          <w:szCs w:val="24"/>
        </w:rPr>
        <w:t xml:space="preserve"> el recurso de revisión materia de la presente resolución en términos del artículo 186 fracción I de la de la Ley de Transparencia y Acceso a la Información Pública del Estado de México y Municipios en relación directa con los artículos 191 fracción I y 192 fracción IV de mismo ordenamiento legal, citados con anterioridad, pues se actualizó una causal de improcedencia; ya que fue interpuesto fuera del plazo legal establecido para tal efecto.</w:t>
      </w:r>
    </w:p>
    <w:p w14:paraId="773C1427" w14:textId="77777777" w:rsidR="00CD60A7" w:rsidRPr="00CD60A7" w:rsidRDefault="00CD60A7" w:rsidP="00CD60A7">
      <w:pPr>
        <w:spacing w:before="240" w:after="240" w:line="360" w:lineRule="auto"/>
        <w:jc w:val="both"/>
        <w:rPr>
          <w:rFonts w:ascii="Times New Roman" w:eastAsia="Times New Roman" w:hAnsi="Times New Roman" w:cs="Times New Roman"/>
          <w:sz w:val="24"/>
          <w:szCs w:val="24"/>
        </w:rPr>
      </w:pPr>
      <w:r w:rsidRPr="00CD60A7">
        <w:rPr>
          <w:rFonts w:ascii="Palatino Linotype" w:eastAsia="Times New Roman" w:hAnsi="Palatino Linotype" w:cs="Times New Roman"/>
          <w:color w:val="000000"/>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6DE0B1F" w14:textId="77777777" w:rsidR="007E3A97" w:rsidRDefault="00CD60A7" w:rsidP="007E3A97">
      <w:pPr>
        <w:spacing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III. </w:t>
      </w:r>
      <w:r w:rsidR="007E3A97">
        <w:rPr>
          <w:rFonts w:ascii="Palatino Linotype" w:eastAsia="Palatino Linotype" w:hAnsi="Palatino Linotype" w:cs="Palatino Linotype"/>
          <w:b/>
          <w:color w:val="000000"/>
          <w:sz w:val="24"/>
          <w:szCs w:val="24"/>
        </w:rPr>
        <w:t>RESUELVE</w:t>
      </w:r>
    </w:p>
    <w:p w14:paraId="1F5D8DFD" w14:textId="77777777" w:rsidR="007E3A97" w:rsidRDefault="007E3A97" w:rsidP="007E3A97">
      <w:pPr>
        <w:spacing w:before="160"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highlight w:val="white"/>
        </w:rPr>
        <w:t>PRIMERO</w:t>
      </w:r>
      <w:r>
        <w:rPr>
          <w:rFonts w:ascii="Palatino Linotype" w:eastAsia="Palatino Linotype" w:hAnsi="Palatino Linotype" w:cs="Palatino Linotype"/>
          <w:color w:val="000000"/>
          <w:sz w:val="24"/>
          <w:szCs w:val="24"/>
          <w:highlight w:val="white"/>
        </w:rPr>
        <w:t xml:space="preserve">. </w:t>
      </w:r>
      <w:r w:rsidR="00B83B54" w:rsidRPr="00B83B54">
        <w:rPr>
          <w:rFonts w:ascii="Palatino Linotype" w:eastAsia="Palatino Linotype" w:hAnsi="Palatino Linotype" w:cs="Palatino Linotype"/>
          <w:color w:val="000000"/>
          <w:sz w:val="24"/>
          <w:szCs w:val="24"/>
        </w:rPr>
        <w:t xml:space="preserve">Se </w:t>
      </w:r>
      <w:r w:rsidR="00B83B54" w:rsidRPr="00CD60A7">
        <w:rPr>
          <w:rFonts w:ascii="Palatino Linotype" w:eastAsia="Palatino Linotype" w:hAnsi="Palatino Linotype" w:cs="Palatino Linotype"/>
          <w:b/>
          <w:color w:val="000000"/>
          <w:sz w:val="24"/>
          <w:szCs w:val="24"/>
        </w:rPr>
        <w:t xml:space="preserve">Sobresee </w:t>
      </w:r>
      <w:r w:rsidR="00B83B54">
        <w:rPr>
          <w:rFonts w:ascii="Palatino Linotype" w:eastAsia="Palatino Linotype" w:hAnsi="Palatino Linotype" w:cs="Palatino Linotype"/>
          <w:color w:val="000000"/>
          <w:sz w:val="24"/>
          <w:szCs w:val="24"/>
        </w:rPr>
        <w:t xml:space="preserve">el recurso de revisión </w:t>
      </w:r>
      <w:r w:rsidR="00B83B54" w:rsidRPr="00CD60A7">
        <w:rPr>
          <w:rFonts w:ascii="Palatino Linotype" w:eastAsia="Palatino Linotype" w:hAnsi="Palatino Linotype" w:cs="Palatino Linotype"/>
          <w:b/>
          <w:color w:val="000000"/>
          <w:sz w:val="24"/>
          <w:szCs w:val="24"/>
        </w:rPr>
        <w:t>02419/INFOEM/IP/RR/2022</w:t>
      </w:r>
      <w:r w:rsidR="00B83B54" w:rsidRPr="00B83B54">
        <w:rPr>
          <w:rFonts w:ascii="Palatino Linotype" w:eastAsia="Palatino Linotype" w:hAnsi="Palatino Linotype" w:cs="Palatino Linotype"/>
          <w:color w:val="000000"/>
          <w:sz w:val="24"/>
          <w:szCs w:val="24"/>
        </w:rPr>
        <w:t xml:space="preserve">, en términos de lo establecido en el artículo 192 fracción IV, de la Ley de Transparencia y Acceso a la Información Pública del Estado de México y Municipios, por </w:t>
      </w:r>
      <w:r w:rsidR="00B83B54" w:rsidRPr="00B83B54">
        <w:rPr>
          <w:rFonts w:ascii="Palatino Linotype" w:eastAsia="Palatino Linotype" w:hAnsi="Palatino Linotype" w:cs="Palatino Linotype"/>
          <w:color w:val="000000"/>
          <w:sz w:val="24"/>
          <w:szCs w:val="24"/>
        </w:rPr>
        <w:lastRenderedPageBreak/>
        <w:t>actualizarse una causal de improcedencia, de conformidad con lo señalado en el Considerando Segundo de la presente Resolución.</w:t>
      </w:r>
    </w:p>
    <w:p w14:paraId="631CE1B3" w14:textId="77777777" w:rsidR="007E3A97" w:rsidRDefault="007E3A97" w:rsidP="007E3A97">
      <w:pPr>
        <w:spacing w:after="0" w:line="360" w:lineRule="auto"/>
        <w:jc w:val="both"/>
        <w:rPr>
          <w:rFonts w:ascii="Palatino Linotype" w:eastAsia="Palatino Linotype" w:hAnsi="Palatino Linotype" w:cs="Palatino Linotype"/>
          <w:b/>
          <w:color w:val="000000"/>
          <w:sz w:val="24"/>
          <w:szCs w:val="24"/>
          <w:highlight w:val="white"/>
        </w:rPr>
      </w:pPr>
    </w:p>
    <w:p w14:paraId="660B721B" w14:textId="77777777" w:rsidR="007E3A97" w:rsidRDefault="007E3A97" w:rsidP="007E3A97">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highlight w:val="white"/>
        </w:rPr>
        <w:t xml:space="preserve">SEGUNDO. </w:t>
      </w:r>
      <w:r>
        <w:rPr>
          <w:rFonts w:ascii="Palatino Linotype" w:eastAsia="Palatino Linotype" w:hAnsi="Palatino Linotype" w:cs="Palatino Linotype"/>
          <w:b/>
          <w:color w:val="000000"/>
          <w:sz w:val="24"/>
          <w:szCs w:val="24"/>
        </w:rPr>
        <w:t xml:space="preserve">Notifíquese, </w:t>
      </w:r>
      <w:r>
        <w:rPr>
          <w:rFonts w:ascii="Palatino Linotype" w:eastAsia="Palatino Linotype" w:hAnsi="Palatino Linotype" w:cs="Palatino Linotype"/>
          <w:color w:val="000000"/>
          <w:sz w:val="24"/>
          <w:szCs w:val="24"/>
        </w:rPr>
        <w:t xml:space="preserve">vía </w:t>
      </w:r>
      <w:r>
        <w:rPr>
          <w:rFonts w:ascii="Palatino Linotype" w:eastAsia="Palatino Linotype" w:hAnsi="Palatino Linotype" w:cs="Palatino Linotype"/>
          <w:b/>
          <w:color w:val="000000"/>
          <w:sz w:val="24"/>
          <w:szCs w:val="24"/>
        </w:rPr>
        <w:t xml:space="preserve">SAIMEX, </w:t>
      </w:r>
      <w:r>
        <w:rPr>
          <w:rFonts w:ascii="Palatino Linotype" w:eastAsia="Palatino Linotype" w:hAnsi="Palatino Linotype" w:cs="Palatino Linotype"/>
          <w:color w:val="000000"/>
          <w:sz w:val="24"/>
          <w:szCs w:val="24"/>
        </w:rPr>
        <w:t xml:space="preserve">al Responsable de la Unidad de Transparencia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la presente resolución, para su conocimiento.</w:t>
      </w:r>
    </w:p>
    <w:p w14:paraId="60256D18" w14:textId="77777777" w:rsidR="007E3A97" w:rsidRDefault="007E3A97" w:rsidP="007E3A97">
      <w:pPr>
        <w:spacing w:after="0" w:line="360" w:lineRule="auto"/>
        <w:jc w:val="both"/>
        <w:rPr>
          <w:rFonts w:ascii="Palatino Linotype" w:eastAsia="Palatino Linotype" w:hAnsi="Palatino Linotype" w:cs="Palatino Linotype"/>
          <w:color w:val="000000"/>
          <w:sz w:val="24"/>
          <w:szCs w:val="24"/>
        </w:rPr>
      </w:pPr>
    </w:p>
    <w:p w14:paraId="16D71228" w14:textId="77777777" w:rsidR="007E3A97" w:rsidRDefault="007E3A97" w:rsidP="007E3A97">
      <w:pPr>
        <w:spacing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TERCERO. Notifíquese </w:t>
      </w:r>
      <w:r>
        <w:rPr>
          <w:rFonts w:ascii="Palatino Linotype" w:eastAsia="Palatino Linotype" w:hAnsi="Palatino Linotype" w:cs="Palatino Linotype"/>
          <w:b/>
          <w:color w:val="000000"/>
          <w:sz w:val="24"/>
          <w:szCs w:val="24"/>
          <w:highlight w:val="white"/>
        </w:rPr>
        <w:t>vía SAIMEX</w:t>
      </w:r>
      <w:r w:rsidR="00242B6A">
        <w:rPr>
          <w:rFonts w:ascii="Palatino Linotype" w:eastAsia="Palatino Linotype" w:hAnsi="Palatino Linotype" w:cs="Palatino Linotype"/>
          <w:color w:val="000000"/>
          <w:sz w:val="24"/>
          <w:szCs w:val="24"/>
        </w:rPr>
        <w:t>, al</w:t>
      </w:r>
      <w:r>
        <w:rPr>
          <w:rFonts w:ascii="Palatino Linotype" w:eastAsia="Palatino Linotype" w:hAnsi="Palatino Linotype" w:cs="Palatino Linotype"/>
          <w:b/>
          <w:color w:val="000000"/>
          <w:sz w:val="24"/>
          <w:szCs w:val="24"/>
        </w:rPr>
        <w:t xml:space="preserve"> RECURRENTE</w:t>
      </w:r>
      <w:r>
        <w:rPr>
          <w:rFonts w:ascii="Palatino Linotype" w:eastAsia="Palatino Linotype" w:hAnsi="Palatino Linotype" w:cs="Palatino Linotype"/>
          <w:color w:val="000000"/>
          <w:sz w:val="24"/>
          <w:szCs w:val="24"/>
        </w:rPr>
        <w:t xml:space="preserve"> la presente resolución; así como, que de conformidad con lo establecido en el artículo 196 de la Ley de Transparencia y Acceso a la Información Pública del Estado de México y Municipios, podrá </w:t>
      </w:r>
      <w:r>
        <w:rPr>
          <w:rFonts w:ascii="Palatino Linotype" w:eastAsia="Palatino Linotype" w:hAnsi="Palatino Linotype" w:cs="Palatino Linotype"/>
          <w:sz w:val="24"/>
          <w:szCs w:val="24"/>
        </w:rPr>
        <w:t>impugnar vía</w:t>
      </w:r>
      <w:r>
        <w:rPr>
          <w:rFonts w:ascii="Palatino Linotype" w:eastAsia="Palatino Linotype" w:hAnsi="Palatino Linotype" w:cs="Palatino Linotype"/>
          <w:color w:val="000000"/>
          <w:sz w:val="24"/>
          <w:szCs w:val="24"/>
        </w:rPr>
        <w:t xml:space="preserve"> Juicio de Amparo en los términos de las leyes aplicables.</w:t>
      </w:r>
    </w:p>
    <w:p w14:paraId="53E0333D" w14:textId="6B4BA562" w:rsidR="007E3A97" w:rsidRDefault="007E3A97" w:rsidP="007E3A97">
      <w:pPr>
        <w:spacing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OCTAVA SESIÓN ORDINARIA CELEBRADA EL DIECIOCHO DE MAYO DEL DOS MIL VEINTIDÓS, ANTE EL SECRETARIO TÉCNICO DEL PLENO ALEXIS TAPIA RAMÍREZ.</w:t>
      </w:r>
    </w:p>
    <w:p w14:paraId="50148B39" w14:textId="3F2DF5D4" w:rsidR="00677A55" w:rsidRDefault="00677A55" w:rsidP="007E3A97">
      <w:pPr>
        <w:spacing w:line="360" w:lineRule="auto"/>
        <w:ind w:right="49"/>
        <w:jc w:val="both"/>
        <w:rPr>
          <w:rFonts w:ascii="Palatino Linotype" w:eastAsia="Palatino Linotype" w:hAnsi="Palatino Linotype" w:cs="Palatino Linotype"/>
          <w:color w:val="000000"/>
          <w:sz w:val="24"/>
          <w:szCs w:val="24"/>
        </w:rPr>
      </w:pPr>
    </w:p>
    <w:p w14:paraId="613CA3F9" w14:textId="6E6B7F1D" w:rsidR="00677A55" w:rsidRDefault="00677A55" w:rsidP="007E3A97">
      <w:pPr>
        <w:spacing w:line="360" w:lineRule="auto"/>
        <w:ind w:right="49"/>
        <w:jc w:val="both"/>
        <w:rPr>
          <w:rFonts w:ascii="Palatino Linotype" w:eastAsia="Palatino Linotype" w:hAnsi="Palatino Linotype" w:cs="Palatino Linotype"/>
          <w:color w:val="000000"/>
          <w:sz w:val="24"/>
          <w:szCs w:val="24"/>
        </w:rPr>
      </w:pPr>
    </w:p>
    <w:p w14:paraId="2CF87ED0" w14:textId="5425AE07" w:rsidR="00677A55" w:rsidRDefault="00677A55" w:rsidP="007E3A97">
      <w:pPr>
        <w:spacing w:line="360" w:lineRule="auto"/>
        <w:ind w:right="49"/>
        <w:jc w:val="both"/>
        <w:rPr>
          <w:rFonts w:ascii="Palatino Linotype" w:eastAsia="Palatino Linotype" w:hAnsi="Palatino Linotype" w:cs="Palatino Linotype"/>
          <w:color w:val="000000"/>
          <w:sz w:val="24"/>
          <w:szCs w:val="24"/>
        </w:rPr>
      </w:pPr>
    </w:p>
    <w:p w14:paraId="449232C9" w14:textId="37B3269B" w:rsidR="00677A55" w:rsidRDefault="00677A55" w:rsidP="007E3A97">
      <w:pPr>
        <w:spacing w:line="360" w:lineRule="auto"/>
        <w:ind w:right="49"/>
        <w:jc w:val="both"/>
        <w:rPr>
          <w:rFonts w:ascii="Palatino Linotype" w:eastAsia="Palatino Linotype" w:hAnsi="Palatino Linotype" w:cs="Palatino Linotype"/>
          <w:color w:val="000000"/>
          <w:sz w:val="24"/>
          <w:szCs w:val="24"/>
        </w:rPr>
      </w:pPr>
    </w:p>
    <w:p w14:paraId="6EDCDD20" w14:textId="2A1C0625" w:rsidR="00677A55" w:rsidRDefault="00677A55" w:rsidP="007E3A97">
      <w:pPr>
        <w:spacing w:line="360" w:lineRule="auto"/>
        <w:ind w:right="49"/>
        <w:jc w:val="both"/>
        <w:rPr>
          <w:rFonts w:ascii="Palatino Linotype" w:eastAsia="Palatino Linotype" w:hAnsi="Palatino Linotype" w:cs="Palatino Linotype"/>
          <w:color w:val="000000"/>
          <w:sz w:val="24"/>
          <w:szCs w:val="24"/>
        </w:rPr>
      </w:pPr>
    </w:p>
    <w:p w14:paraId="1024741D" w14:textId="77777777" w:rsidR="00677A55" w:rsidRDefault="00677A55" w:rsidP="007E3A97">
      <w:pPr>
        <w:spacing w:line="360" w:lineRule="auto"/>
        <w:ind w:right="49"/>
        <w:jc w:val="both"/>
        <w:rPr>
          <w:rFonts w:ascii="Palatino Linotype" w:eastAsia="Palatino Linotype" w:hAnsi="Palatino Linotype" w:cs="Palatino Linotype"/>
          <w:color w:val="000000"/>
          <w:sz w:val="24"/>
          <w:szCs w:val="24"/>
        </w:rPr>
      </w:pPr>
    </w:p>
    <w:p w14:paraId="5B1A9987" w14:textId="77777777" w:rsidR="007E3A97" w:rsidRDefault="007E3A97" w:rsidP="007E3A97">
      <w:pPr>
        <w:spacing w:line="360" w:lineRule="auto"/>
        <w:ind w:right="-93"/>
        <w:jc w:val="both"/>
        <w:rPr>
          <w:rFonts w:ascii="Palatino Linotype" w:eastAsia="Palatino Linotype" w:hAnsi="Palatino Linotype" w:cs="Palatino Linotype"/>
          <w:sz w:val="24"/>
          <w:szCs w:val="24"/>
        </w:rPr>
      </w:pPr>
    </w:p>
    <w:p w14:paraId="2680BF3D" w14:textId="77777777" w:rsidR="00B738F5" w:rsidRPr="004976BB" w:rsidRDefault="00B738F5" w:rsidP="007E3A97">
      <w:pPr>
        <w:tabs>
          <w:tab w:val="left" w:pos="2400"/>
        </w:tabs>
        <w:spacing w:line="360" w:lineRule="auto"/>
        <w:contextualSpacing/>
        <w:rPr>
          <w:rFonts w:ascii="Palatino Linotype" w:eastAsia="Palatino Linotype" w:hAnsi="Palatino Linotype" w:cs="Palatino Linotype"/>
          <w:sz w:val="24"/>
          <w:szCs w:val="24"/>
        </w:rPr>
      </w:pPr>
    </w:p>
    <w:sectPr w:rsidR="00B738F5" w:rsidRPr="004976BB" w:rsidSect="002B0EA6">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46356" w14:textId="77777777" w:rsidR="0090502E" w:rsidRDefault="0090502E" w:rsidP="000F0CA1">
      <w:pPr>
        <w:spacing w:after="0" w:line="240" w:lineRule="auto"/>
      </w:pPr>
      <w:r>
        <w:separator/>
      </w:r>
    </w:p>
  </w:endnote>
  <w:endnote w:type="continuationSeparator" w:id="0">
    <w:p w14:paraId="6AF1A0AC" w14:textId="77777777" w:rsidR="0090502E" w:rsidRDefault="0090502E" w:rsidP="000F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C3289" w14:textId="77777777" w:rsidR="002B0EA6" w:rsidRDefault="002B0EA6" w:rsidP="002B0EA6">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75935">
      <w:rPr>
        <w:rFonts w:ascii="Arial" w:hAnsi="Arial" w:cs="Arial"/>
        <w:b/>
        <w:bCs/>
        <w:noProof/>
        <w:sz w:val="20"/>
        <w:szCs w:val="20"/>
      </w:rPr>
      <w:t>10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75935">
      <w:rPr>
        <w:rFonts w:ascii="Arial" w:hAnsi="Arial" w:cs="Arial"/>
        <w:b/>
        <w:bCs/>
        <w:noProof/>
        <w:sz w:val="20"/>
        <w:szCs w:val="20"/>
      </w:rPr>
      <w:t>13</w:t>
    </w:r>
    <w:r>
      <w:rPr>
        <w:rFonts w:ascii="Arial" w:hAnsi="Arial" w:cs="Arial"/>
        <w:b/>
        <w:bCs/>
        <w:sz w:val="20"/>
        <w:szCs w:val="20"/>
      </w:rPr>
      <w:fldChar w:fldCharType="end"/>
    </w:r>
  </w:p>
  <w:p w14:paraId="44BB95CD" w14:textId="77777777" w:rsidR="002B0EA6" w:rsidRDefault="002B0E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325DD" w14:textId="77777777" w:rsidR="002B0EA6" w:rsidRDefault="002B0EA6" w:rsidP="002B0EA6">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7593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75935">
      <w:rPr>
        <w:rFonts w:ascii="Arial" w:hAnsi="Arial" w:cs="Arial"/>
        <w:b/>
        <w:bCs/>
        <w:noProof/>
        <w:sz w:val="20"/>
        <w:szCs w:val="20"/>
      </w:rPr>
      <w:t>13</w:t>
    </w:r>
    <w:r>
      <w:rPr>
        <w:rFonts w:ascii="Arial" w:hAnsi="Arial" w:cs="Arial"/>
        <w:b/>
        <w:bCs/>
        <w:sz w:val="20"/>
        <w:szCs w:val="20"/>
      </w:rPr>
      <w:fldChar w:fldCharType="end"/>
    </w:r>
  </w:p>
  <w:p w14:paraId="4C10447C" w14:textId="77777777" w:rsidR="002B0EA6" w:rsidRDefault="002B0E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E2B5C" w14:textId="77777777" w:rsidR="0090502E" w:rsidRDefault="0090502E" w:rsidP="000F0CA1">
      <w:pPr>
        <w:spacing w:after="0" w:line="240" w:lineRule="auto"/>
      </w:pPr>
      <w:r>
        <w:separator/>
      </w:r>
    </w:p>
  </w:footnote>
  <w:footnote w:type="continuationSeparator" w:id="0">
    <w:p w14:paraId="793728F2" w14:textId="77777777" w:rsidR="0090502E" w:rsidRDefault="0090502E" w:rsidP="000F0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79" w:type="dxa"/>
      <w:tblInd w:w="-1281" w:type="dxa"/>
      <w:tblLayout w:type="fixed"/>
      <w:tblLook w:val="0400" w:firstRow="0" w:lastRow="0" w:firstColumn="0" w:lastColumn="0" w:noHBand="0" w:noVBand="1"/>
    </w:tblPr>
    <w:tblGrid>
      <w:gridCol w:w="5576"/>
      <w:gridCol w:w="4903"/>
    </w:tblGrid>
    <w:tr w:rsidR="000F0CA1" w14:paraId="6DDBB7F9" w14:textId="77777777" w:rsidTr="003571AB">
      <w:trPr>
        <w:trHeight w:val="245"/>
      </w:trPr>
      <w:tc>
        <w:tcPr>
          <w:tcW w:w="5576" w:type="dxa"/>
        </w:tcPr>
        <w:p w14:paraId="6434B3F2" w14:textId="77777777" w:rsidR="000F0CA1" w:rsidRDefault="000F0CA1" w:rsidP="000F0CA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903" w:type="dxa"/>
        </w:tcPr>
        <w:p w14:paraId="54E8463F" w14:textId="77777777" w:rsidR="000F0CA1" w:rsidRDefault="000F0CA1" w:rsidP="000F0CA1">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02419/INFOEM/IP/RR/2022</w:t>
          </w:r>
        </w:p>
      </w:tc>
    </w:tr>
    <w:tr w:rsidR="000F0CA1" w14:paraId="7C1C0534" w14:textId="77777777" w:rsidTr="003571AB">
      <w:trPr>
        <w:trHeight w:val="211"/>
      </w:trPr>
      <w:tc>
        <w:tcPr>
          <w:tcW w:w="5576" w:type="dxa"/>
        </w:tcPr>
        <w:p w14:paraId="212DCA8A" w14:textId="77777777" w:rsidR="000F0CA1" w:rsidRDefault="000F0CA1" w:rsidP="000F0CA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903" w:type="dxa"/>
        </w:tcPr>
        <w:p w14:paraId="74BFC601" w14:textId="77777777" w:rsidR="000F0CA1" w:rsidRDefault="000F0CA1" w:rsidP="000F0CA1">
          <w:pPr>
            <w:spacing w:after="120"/>
            <w:ind w:left="-486" w:right="214" w:firstLine="567"/>
            <w:jc w:val="right"/>
            <w:rPr>
              <w:rFonts w:ascii="Palatino Linotype" w:eastAsia="Palatino Linotype" w:hAnsi="Palatino Linotype" w:cs="Palatino Linotype"/>
              <w:sz w:val="24"/>
              <w:szCs w:val="24"/>
            </w:rPr>
          </w:pPr>
        </w:p>
      </w:tc>
    </w:tr>
    <w:tr w:rsidR="000F0CA1" w14:paraId="2AC16485" w14:textId="77777777" w:rsidTr="003571AB">
      <w:trPr>
        <w:trHeight w:val="262"/>
      </w:trPr>
      <w:tc>
        <w:tcPr>
          <w:tcW w:w="5576" w:type="dxa"/>
        </w:tcPr>
        <w:p w14:paraId="5A008B02" w14:textId="77777777" w:rsidR="000F0CA1" w:rsidRDefault="000F0CA1" w:rsidP="000F0CA1">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903" w:type="dxa"/>
        </w:tcPr>
        <w:p w14:paraId="61E1B3F3" w14:textId="77777777" w:rsidR="000F0CA1" w:rsidRDefault="000F0CA1" w:rsidP="000F0CA1">
          <w:pPr>
            <w:pBdr>
              <w:top w:val="nil"/>
              <w:left w:val="nil"/>
              <w:bottom w:val="nil"/>
              <w:right w:val="nil"/>
              <w:between w:val="nil"/>
            </w:pBdr>
            <w:spacing w:after="0"/>
            <w:ind w:left="432"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Ayuntamiento de Chapultepec.</w:t>
          </w:r>
        </w:p>
      </w:tc>
    </w:tr>
    <w:tr w:rsidR="000F0CA1" w14:paraId="5E6B57EC" w14:textId="77777777" w:rsidTr="003571AB">
      <w:trPr>
        <w:trHeight w:val="371"/>
      </w:trPr>
      <w:tc>
        <w:tcPr>
          <w:tcW w:w="5576" w:type="dxa"/>
        </w:tcPr>
        <w:p w14:paraId="583A03BA" w14:textId="77777777" w:rsidR="000F0CA1" w:rsidRDefault="000F0CA1" w:rsidP="000F0CA1">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903" w:type="dxa"/>
        </w:tcPr>
        <w:p w14:paraId="44ADE65D" w14:textId="77777777" w:rsidR="000F0CA1" w:rsidRDefault="000F0CA1" w:rsidP="000F0CA1">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5718E647" w14:textId="77777777" w:rsidR="000F0CA1" w:rsidRDefault="002B0EA6">
    <w:pPr>
      <w:pStyle w:val="Encabezado"/>
    </w:pPr>
    <w:r>
      <w:rPr>
        <w:noProof/>
      </w:rPr>
      <w:drawing>
        <wp:anchor distT="0" distB="0" distL="0" distR="0" simplePos="0" relativeHeight="251659264" behindDoc="1" locked="0" layoutInCell="1" hidden="0" allowOverlap="1" wp14:anchorId="7D3B1612" wp14:editId="5ECA9E62">
          <wp:simplePos x="0" y="0"/>
          <wp:positionH relativeFrom="page">
            <wp:posOffset>-108585</wp:posOffset>
          </wp:positionH>
          <wp:positionV relativeFrom="paragraph">
            <wp:posOffset>-1597660</wp:posOffset>
          </wp:positionV>
          <wp:extent cx="7867650" cy="10133330"/>
          <wp:effectExtent l="0" t="0" r="0" b="127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79" w:type="dxa"/>
      <w:tblInd w:w="-1281" w:type="dxa"/>
      <w:tblLayout w:type="fixed"/>
      <w:tblLook w:val="0400" w:firstRow="0" w:lastRow="0" w:firstColumn="0" w:lastColumn="0" w:noHBand="0" w:noVBand="1"/>
    </w:tblPr>
    <w:tblGrid>
      <w:gridCol w:w="5576"/>
      <w:gridCol w:w="4903"/>
    </w:tblGrid>
    <w:tr w:rsidR="002B0EA6" w14:paraId="1992571D" w14:textId="77777777" w:rsidTr="00370EDE">
      <w:trPr>
        <w:trHeight w:val="245"/>
      </w:trPr>
      <w:tc>
        <w:tcPr>
          <w:tcW w:w="5576" w:type="dxa"/>
        </w:tcPr>
        <w:p w14:paraId="0DF3977E" w14:textId="77777777" w:rsidR="002B0EA6" w:rsidRDefault="002B0EA6" w:rsidP="002B0EA6">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903" w:type="dxa"/>
        </w:tcPr>
        <w:p w14:paraId="5507714C" w14:textId="77777777" w:rsidR="002B0EA6" w:rsidRDefault="002B0EA6" w:rsidP="002B0EA6">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02419/INFOEM/IP/RR/2022</w:t>
          </w:r>
        </w:p>
      </w:tc>
    </w:tr>
    <w:tr w:rsidR="002B0EA6" w14:paraId="0E5C7A1E" w14:textId="77777777" w:rsidTr="00370EDE">
      <w:trPr>
        <w:trHeight w:val="211"/>
      </w:trPr>
      <w:tc>
        <w:tcPr>
          <w:tcW w:w="5576" w:type="dxa"/>
        </w:tcPr>
        <w:p w14:paraId="1E24B998" w14:textId="77777777" w:rsidR="002B0EA6" w:rsidRDefault="002B0EA6" w:rsidP="002B0EA6">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903" w:type="dxa"/>
        </w:tcPr>
        <w:p w14:paraId="01F0CFB1" w14:textId="390797DD" w:rsidR="002B0EA6" w:rsidRDefault="00475935" w:rsidP="002B0EA6">
          <w:pPr>
            <w:spacing w:after="120"/>
            <w:ind w:left="-486" w:right="214" w:firstLine="567"/>
            <w:jc w:val="right"/>
            <w:rPr>
              <w:rFonts w:ascii="Palatino Linotype" w:eastAsia="Palatino Linotype" w:hAnsi="Palatino Linotype" w:cs="Palatino Linotype"/>
              <w:sz w:val="24"/>
              <w:szCs w:val="24"/>
            </w:rPr>
          </w:pPr>
          <w:proofErr w:type="spellStart"/>
          <w:r>
            <w:rPr>
              <w:rFonts w:ascii="Palatino Linotype" w:eastAsia="Palatino Linotype" w:hAnsi="Palatino Linotype" w:cs="Palatino Linotype"/>
              <w:sz w:val="24"/>
              <w:szCs w:val="24"/>
            </w:rPr>
            <w:t>xxxxx</w:t>
          </w:r>
          <w:proofErr w:type="spellEnd"/>
        </w:p>
      </w:tc>
    </w:tr>
    <w:tr w:rsidR="002B0EA6" w14:paraId="1D7E0FE1" w14:textId="77777777" w:rsidTr="00370EDE">
      <w:trPr>
        <w:trHeight w:val="262"/>
      </w:trPr>
      <w:tc>
        <w:tcPr>
          <w:tcW w:w="5576" w:type="dxa"/>
        </w:tcPr>
        <w:p w14:paraId="0CC588F3" w14:textId="77777777" w:rsidR="002B0EA6" w:rsidRDefault="002B0EA6" w:rsidP="002B0EA6">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903" w:type="dxa"/>
        </w:tcPr>
        <w:p w14:paraId="112397AA" w14:textId="77777777" w:rsidR="002B0EA6" w:rsidRDefault="002B0EA6" w:rsidP="002B0EA6">
          <w:pPr>
            <w:pBdr>
              <w:top w:val="nil"/>
              <w:left w:val="nil"/>
              <w:bottom w:val="nil"/>
              <w:right w:val="nil"/>
              <w:between w:val="nil"/>
            </w:pBdr>
            <w:spacing w:after="0"/>
            <w:ind w:left="432"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Ayuntamiento de Chapultepec.</w:t>
          </w:r>
        </w:p>
      </w:tc>
    </w:tr>
    <w:tr w:rsidR="002B0EA6" w14:paraId="49EE3974" w14:textId="77777777" w:rsidTr="00370EDE">
      <w:trPr>
        <w:trHeight w:val="371"/>
      </w:trPr>
      <w:tc>
        <w:tcPr>
          <w:tcW w:w="5576" w:type="dxa"/>
        </w:tcPr>
        <w:p w14:paraId="0833EA48" w14:textId="77777777" w:rsidR="002B0EA6" w:rsidRDefault="002B0EA6" w:rsidP="002B0EA6">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903" w:type="dxa"/>
        </w:tcPr>
        <w:p w14:paraId="4AAF80D5" w14:textId="77777777" w:rsidR="002B0EA6" w:rsidRDefault="002B0EA6" w:rsidP="002B0EA6">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531EFB52" w14:textId="77777777" w:rsidR="002B0EA6" w:rsidRDefault="002B0EA6">
    <w:pPr>
      <w:pStyle w:val="Encabezado"/>
    </w:pPr>
    <w:r>
      <w:rPr>
        <w:noProof/>
      </w:rPr>
      <w:drawing>
        <wp:anchor distT="0" distB="0" distL="0" distR="0" simplePos="0" relativeHeight="251661312" behindDoc="1" locked="0" layoutInCell="1" hidden="0" allowOverlap="1" wp14:anchorId="1E2AFA88" wp14:editId="71DA0094">
          <wp:simplePos x="0" y="0"/>
          <wp:positionH relativeFrom="page">
            <wp:posOffset>-137160</wp:posOffset>
          </wp:positionH>
          <wp:positionV relativeFrom="paragraph">
            <wp:posOffset>-1597660</wp:posOffset>
          </wp:positionV>
          <wp:extent cx="7867650" cy="10133330"/>
          <wp:effectExtent l="0" t="0" r="0" b="127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B17DB7"/>
    <w:multiLevelType w:val="multilevel"/>
    <w:tmpl w:val="37BA24F2"/>
    <w:lvl w:ilvl="0">
      <w:start w:val="1"/>
      <w:numFmt w:val="decimal"/>
      <w:lvlText w:val="%1."/>
      <w:lvlJc w:val="left"/>
      <w:pPr>
        <w:ind w:left="360" w:hanging="360"/>
      </w:pPr>
      <w:rPr>
        <w:rFonts w:ascii="Palatino Linotype" w:eastAsia="Palatino Linotype" w:hAnsi="Palatino Linotype" w:cs="Palatino Linotype"/>
        <w:b/>
        <w:smallCaps/>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6811040"/>
    <w:multiLevelType w:val="multilevel"/>
    <w:tmpl w:val="173A6F9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CA2DD8"/>
    <w:multiLevelType w:val="multilevel"/>
    <w:tmpl w:val="CE485E8E"/>
    <w:lvl w:ilvl="0">
      <w:start w:val="1"/>
      <w:numFmt w:val="upperRoman"/>
      <w:lvlText w:val="%1."/>
      <w:lvlJc w:val="left"/>
      <w:pPr>
        <w:ind w:left="2236" w:hanging="720"/>
      </w:pPr>
    </w:lvl>
    <w:lvl w:ilvl="1">
      <w:start w:val="1"/>
      <w:numFmt w:val="lowerLetter"/>
      <w:lvlText w:val="%2."/>
      <w:lvlJc w:val="left"/>
      <w:pPr>
        <w:ind w:left="2596" w:hanging="360"/>
      </w:pPr>
    </w:lvl>
    <w:lvl w:ilvl="2">
      <w:start w:val="1"/>
      <w:numFmt w:val="lowerRoman"/>
      <w:lvlText w:val="%3."/>
      <w:lvlJc w:val="right"/>
      <w:pPr>
        <w:ind w:left="3316" w:hanging="180"/>
      </w:pPr>
    </w:lvl>
    <w:lvl w:ilvl="3">
      <w:start w:val="1"/>
      <w:numFmt w:val="decimal"/>
      <w:lvlText w:val="%4."/>
      <w:lvlJc w:val="left"/>
      <w:pPr>
        <w:ind w:left="4036" w:hanging="360"/>
      </w:pPr>
    </w:lvl>
    <w:lvl w:ilvl="4">
      <w:start w:val="1"/>
      <w:numFmt w:val="lowerLetter"/>
      <w:lvlText w:val="%5."/>
      <w:lvlJc w:val="left"/>
      <w:pPr>
        <w:ind w:left="4756" w:hanging="360"/>
      </w:pPr>
    </w:lvl>
    <w:lvl w:ilvl="5">
      <w:start w:val="1"/>
      <w:numFmt w:val="lowerRoman"/>
      <w:lvlText w:val="%6."/>
      <w:lvlJc w:val="right"/>
      <w:pPr>
        <w:ind w:left="5476" w:hanging="180"/>
      </w:pPr>
    </w:lvl>
    <w:lvl w:ilvl="6">
      <w:start w:val="1"/>
      <w:numFmt w:val="decimal"/>
      <w:lvlText w:val="%7."/>
      <w:lvlJc w:val="left"/>
      <w:pPr>
        <w:ind w:left="6196" w:hanging="360"/>
      </w:pPr>
    </w:lvl>
    <w:lvl w:ilvl="7">
      <w:start w:val="1"/>
      <w:numFmt w:val="lowerLetter"/>
      <w:lvlText w:val="%8."/>
      <w:lvlJc w:val="left"/>
      <w:pPr>
        <w:ind w:left="6916" w:hanging="360"/>
      </w:pPr>
    </w:lvl>
    <w:lvl w:ilvl="8">
      <w:start w:val="1"/>
      <w:numFmt w:val="lowerRoman"/>
      <w:lvlText w:val="%9."/>
      <w:lvlJc w:val="right"/>
      <w:pPr>
        <w:ind w:left="763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A1"/>
    <w:rsid w:val="000F0CA1"/>
    <w:rsid w:val="001C103E"/>
    <w:rsid w:val="00242B6A"/>
    <w:rsid w:val="00280DA4"/>
    <w:rsid w:val="002B0EA6"/>
    <w:rsid w:val="00356E14"/>
    <w:rsid w:val="00475935"/>
    <w:rsid w:val="004976BB"/>
    <w:rsid w:val="00522822"/>
    <w:rsid w:val="00677A55"/>
    <w:rsid w:val="00680F27"/>
    <w:rsid w:val="0069174E"/>
    <w:rsid w:val="007E3A97"/>
    <w:rsid w:val="008076DF"/>
    <w:rsid w:val="0090502E"/>
    <w:rsid w:val="00B738F5"/>
    <w:rsid w:val="00B83B54"/>
    <w:rsid w:val="00C6523A"/>
    <w:rsid w:val="00CD60A7"/>
    <w:rsid w:val="00D3272D"/>
    <w:rsid w:val="00D40A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58EE5"/>
  <w15:chartTrackingRefBased/>
  <w15:docId w15:val="{CA3BEF9E-5919-4E6A-87E6-832E2996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CA1"/>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0C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0CA1"/>
  </w:style>
  <w:style w:type="paragraph" w:styleId="Piedepgina">
    <w:name w:val="footer"/>
    <w:basedOn w:val="Normal"/>
    <w:link w:val="PiedepginaCar"/>
    <w:uiPriority w:val="99"/>
    <w:unhideWhenUsed/>
    <w:rsid w:val="000F0C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0CA1"/>
  </w:style>
  <w:style w:type="paragraph" w:styleId="NormalWeb">
    <w:name w:val="Normal (Web)"/>
    <w:basedOn w:val="Normal"/>
    <w:uiPriority w:val="99"/>
    <w:semiHidden/>
    <w:unhideWhenUsed/>
    <w:rsid w:val="00B83B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98383">
      <w:bodyDiv w:val="1"/>
      <w:marLeft w:val="0"/>
      <w:marRight w:val="0"/>
      <w:marTop w:val="0"/>
      <w:marBottom w:val="0"/>
      <w:divBdr>
        <w:top w:val="none" w:sz="0" w:space="0" w:color="auto"/>
        <w:left w:val="none" w:sz="0" w:space="0" w:color="auto"/>
        <w:bottom w:val="none" w:sz="0" w:space="0" w:color="auto"/>
        <w:right w:val="none" w:sz="0" w:space="0" w:color="auto"/>
      </w:divBdr>
    </w:div>
    <w:div w:id="255090140">
      <w:bodyDiv w:val="1"/>
      <w:marLeft w:val="0"/>
      <w:marRight w:val="0"/>
      <w:marTop w:val="0"/>
      <w:marBottom w:val="0"/>
      <w:divBdr>
        <w:top w:val="none" w:sz="0" w:space="0" w:color="auto"/>
        <w:left w:val="none" w:sz="0" w:space="0" w:color="auto"/>
        <w:bottom w:val="none" w:sz="0" w:space="0" w:color="auto"/>
        <w:right w:val="none" w:sz="0" w:space="0" w:color="auto"/>
      </w:divBdr>
    </w:div>
    <w:div w:id="779303442">
      <w:bodyDiv w:val="1"/>
      <w:marLeft w:val="0"/>
      <w:marRight w:val="0"/>
      <w:marTop w:val="0"/>
      <w:marBottom w:val="0"/>
      <w:divBdr>
        <w:top w:val="none" w:sz="0" w:space="0" w:color="auto"/>
        <w:left w:val="none" w:sz="0" w:space="0" w:color="auto"/>
        <w:bottom w:val="none" w:sz="0" w:space="0" w:color="auto"/>
        <w:right w:val="none" w:sz="0" w:space="0" w:color="auto"/>
      </w:divBdr>
    </w:div>
    <w:div w:id="214056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2396</Words>
  <Characters>13181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2022-05-22T05:29:00Z</cp:lastPrinted>
  <dcterms:created xsi:type="dcterms:W3CDTF">2022-05-12T23:35:00Z</dcterms:created>
  <dcterms:modified xsi:type="dcterms:W3CDTF">2022-06-02T18:15:00Z</dcterms:modified>
</cp:coreProperties>
</file>