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F7F940" w14:textId="7C37C04A" w:rsidR="00662C69" w:rsidRPr="0036005D" w:rsidRDefault="009B11D6" w:rsidP="00B31E90">
      <w:pPr>
        <w:tabs>
          <w:tab w:val="left" w:pos="3465"/>
        </w:tabs>
        <w:spacing w:line="360" w:lineRule="auto"/>
        <w:jc w:val="both"/>
        <w:rPr>
          <w:rFonts w:ascii="Palatino Linotype" w:hAnsi="Palatino Linotype"/>
          <w:color w:val="000000" w:themeColor="text1"/>
        </w:rPr>
      </w:pPr>
      <w:r w:rsidRPr="0036005D">
        <w:rPr>
          <w:rFonts w:ascii="Palatino Linotype" w:hAnsi="Palatino Linotype"/>
          <w:color w:val="000000" w:themeColor="text1"/>
        </w:rPr>
        <w:t>R</w:t>
      </w:r>
      <w:r w:rsidR="00662C69" w:rsidRPr="0036005D">
        <w:rPr>
          <w:rFonts w:ascii="Palatino Linotype" w:hAnsi="Palatino Linotype"/>
          <w:color w:val="000000" w:themeColor="text1"/>
        </w:rPr>
        <w:t>esolución del Pleno del Instituto de Transparencia, Acceso a la Información Pública y Protección de Datos Personales del Estado de México y Mun</w:t>
      </w:r>
      <w:r w:rsidR="000D5A1D" w:rsidRPr="0036005D">
        <w:rPr>
          <w:rFonts w:ascii="Palatino Linotype" w:hAnsi="Palatino Linotype"/>
          <w:color w:val="000000" w:themeColor="text1"/>
        </w:rPr>
        <w:t>icipios, con</w:t>
      </w:r>
      <w:r w:rsidR="00662C69" w:rsidRPr="0036005D">
        <w:rPr>
          <w:rFonts w:ascii="Palatino Linotype" w:hAnsi="Palatino Linotype"/>
          <w:color w:val="000000" w:themeColor="text1"/>
        </w:rPr>
        <w:t xml:space="preserve"> </w:t>
      </w:r>
      <w:r w:rsidR="00485DB6" w:rsidRPr="0036005D">
        <w:rPr>
          <w:rFonts w:ascii="Palatino Linotype" w:hAnsi="Palatino Linotype"/>
          <w:color w:val="000000" w:themeColor="text1"/>
        </w:rPr>
        <w:t xml:space="preserve">domicilio </w:t>
      </w:r>
      <w:r w:rsidR="00662C69" w:rsidRPr="0036005D">
        <w:rPr>
          <w:rFonts w:ascii="Palatino Linotype" w:hAnsi="Palatino Linotype"/>
          <w:color w:val="000000" w:themeColor="text1"/>
        </w:rPr>
        <w:t xml:space="preserve">en Metepec, Estado de México; </w:t>
      </w:r>
      <w:r w:rsidR="00523640" w:rsidRPr="0036005D">
        <w:rPr>
          <w:rFonts w:ascii="Palatino Linotype" w:hAnsi="Palatino Linotype"/>
          <w:color w:val="000000" w:themeColor="text1"/>
        </w:rPr>
        <w:t xml:space="preserve">de </w:t>
      </w:r>
      <w:r w:rsidR="00A36D6E" w:rsidRPr="0036005D">
        <w:rPr>
          <w:rFonts w:ascii="Palatino Linotype" w:hAnsi="Palatino Linotype"/>
          <w:color w:val="000000" w:themeColor="text1"/>
        </w:rPr>
        <w:t>cuatro (04) de mayo</w:t>
      </w:r>
      <w:r w:rsidR="00523640" w:rsidRPr="0036005D">
        <w:rPr>
          <w:rFonts w:ascii="Palatino Linotype" w:hAnsi="Palatino Linotype"/>
          <w:color w:val="000000" w:themeColor="text1"/>
        </w:rPr>
        <w:t xml:space="preserve"> de dos mil veintidós</w:t>
      </w:r>
      <w:r w:rsidR="00662C69" w:rsidRPr="0036005D">
        <w:rPr>
          <w:rFonts w:ascii="Palatino Linotype" w:hAnsi="Palatino Linotype"/>
          <w:color w:val="000000" w:themeColor="text1"/>
        </w:rPr>
        <w:t>.</w:t>
      </w:r>
    </w:p>
    <w:p w14:paraId="1181C59D" w14:textId="77777777" w:rsidR="00B31E90" w:rsidRPr="0036005D" w:rsidRDefault="00B31E90" w:rsidP="00B31E90">
      <w:pPr>
        <w:tabs>
          <w:tab w:val="left" w:pos="3465"/>
        </w:tabs>
        <w:spacing w:line="360" w:lineRule="auto"/>
        <w:jc w:val="both"/>
        <w:rPr>
          <w:rFonts w:ascii="Palatino Linotype" w:hAnsi="Palatino Linotype"/>
          <w:color w:val="000000" w:themeColor="text1"/>
        </w:rPr>
      </w:pPr>
    </w:p>
    <w:p w14:paraId="04F87235" w14:textId="21CE9B78" w:rsidR="005F0007" w:rsidRPr="0036005D" w:rsidRDefault="00662C69" w:rsidP="00B31E90">
      <w:pPr>
        <w:spacing w:line="360" w:lineRule="auto"/>
        <w:jc w:val="both"/>
        <w:rPr>
          <w:rFonts w:ascii="Palatino Linotype" w:eastAsia="Times New Roman" w:hAnsi="Palatino Linotype" w:cs="Times New Roman"/>
          <w:color w:val="000000" w:themeColor="text1"/>
        </w:rPr>
      </w:pPr>
      <w:r w:rsidRPr="0036005D">
        <w:rPr>
          <w:rFonts w:ascii="Palatino Linotype" w:hAnsi="Palatino Linotype"/>
          <w:b/>
          <w:color w:val="000000" w:themeColor="text1"/>
        </w:rPr>
        <w:t>VISTO</w:t>
      </w:r>
      <w:r w:rsidRPr="0036005D">
        <w:rPr>
          <w:rFonts w:ascii="Palatino Linotype" w:hAnsi="Palatino Linotype"/>
          <w:color w:val="000000" w:themeColor="text1"/>
        </w:rPr>
        <w:t xml:space="preserve"> el expediente electrónico for</w:t>
      </w:r>
      <w:r w:rsidR="00D37494" w:rsidRPr="0036005D">
        <w:rPr>
          <w:rFonts w:ascii="Palatino Linotype" w:hAnsi="Palatino Linotype"/>
          <w:color w:val="000000" w:themeColor="text1"/>
        </w:rPr>
        <w:t>mado con motivo del</w:t>
      </w:r>
      <w:r w:rsidRPr="0036005D">
        <w:rPr>
          <w:rFonts w:ascii="Palatino Linotype" w:hAnsi="Palatino Linotype"/>
          <w:color w:val="000000" w:themeColor="text1"/>
        </w:rPr>
        <w:t xml:space="preserve"> recurso de revisión </w:t>
      </w:r>
      <w:r w:rsidR="00A36D6E" w:rsidRPr="0036005D">
        <w:rPr>
          <w:rFonts w:ascii="Palatino Linotype" w:hAnsi="Palatino Linotype"/>
          <w:b/>
          <w:bCs/>
          <w:color w:val="000000" w:themeColor="text1"/>
        </w:rPr>
        <w:t>03533/INFOEM/IP/RR/2022</w:t>
      </w:r>
      <w:r w:rsidR="005F1362" w:rsidRPr="0036005D">
        <w:rPr>
          <w:rFonts w:ascii="Palatino Linotype" w:eastAsia="Times New Roman" w:hAnsi="Palatino Linotype" w:cs="Arial"/>
          <w:bCs/>
          <w:color w:val="000000" w:themeColor="text1"/>
        </w:rPr>
        <w:t xml:space="preserve">, </w:t>
      </w:r>
      <w:r w:rsidR="006B31E7" w:rsidRPr="0036005D">
        <w:rPr>
          <w:rFonts w:ascii="Palatino Linotype" w:eastAsia="Times New Roman" w:hAnsi="Palatino Linotype" w:cs="Times New Roman"/>
          <w:color w:val="000000" w:themeColor="text1"/>
        </w:rPr>
        <w:t>interpuesto por</w:t>
      </w:r>
      <w:r w:rsidR="0078249C" w:rsidRPr="0036005D">
        <w:rPr>
          <w:rFonts w:ascii="Palatino Linotype" w:eastAsia="Times New Roman" w:hAnsi="Palatino Linotype" w:cs="Times New Roman"/>
          <w:color w:val="000000" w:themeColor="text1"/>
        </w:rPr>
        <w:t xml:space="preserve"> </w:t>
      </w:r>
      <w:r w:rsidR="005A339D" w:rsidRPr="0036005D">
        <w:rPr>
          <w:rFonts w:ascii="Palatino Linotype" w:eastAsia="Times New Roman" w:hAnsi="Palatino Linotype" w:cs="Times New Roman"/>
          <w:color w:val="000000" w:themeColor="text1"/>
        </w:rPr>
        <w:t>una o un usuario del Sistema de Acceso a la Información Mexiquense (SAIMEX) quien no señaló ningún nombre, seudónimo o carácter para ser identificado, por lo que en lo sucesivo se le denominará como</w:t>
      </w:r>
      <w:r w:rsidR="00F17EFA" w:rsidRPr="0036005D">
        <w:rPr>
          <w:rFonts w:ascii="Palatino Linotype" w:eastAsia="Times New Roman" w:hAnsi="Palatino Linotype" w:cs="Times New Roman"/>
          <w:color w:val="000000" w:themeColor="text1"/>
        </w:rPr>
        <w:t xml:space="preserve"> </w:t>
      </w:r>
      <w:r w:rsidR="005A339D" w:rsidRPr="0036005D">
        <w:rPr>
          <w:rFonts w:ascii="Palatino Linotype" w:eastAsia="Times New Roman" w:hAnsi="Palatino Linotype" w:cs="Times New Roman"/>
          <w:color w:val="000000" w:themeColor="text1"/>
        </w:rPr>
        <w:t>el</w:t>
      </w:r>
      <w:r w:rsidR="00E92215" w:rsidRPr="0036005D">
        <w:rPr>
          <w:rFonts w:ascii="Palatino Linotype" w:eastAsia="Times New Roman" w:hAnsi="Palatino Linotype" w:cs="Times New Roman"/>
          <w:color w:val="000000" w:themeColor="text1"/>
        </w:rPr>
        <w:t xml:space="preserve"> </w:t>
      </w:r>
      <w:r w:rsidR="006B31E7" w:rsidRPr="0036005D">
        <w:rPr>
          <w:rFonts w:ascii="Palatino Linotype" w:eastAsia="Times New Roman" w:hAnsi="Palatino Linotype" w:cs="Times New Roman"/>
          <w:b/>
          <w:bCs/>
          <w:color w:val="000000" w:themeColor="text1"/>
        </w:rPr>
        <w:t>RECURRENTE</w:t>
      </w:r>
      <w:r w:rsidR="00E647FF" w:rsidRPr="0036005D">
        <w:rPr>
          <w:rFonts w:ascii="Palatino Linotype" w:eastAsia="Times New Roman" w:hAnsi="Palatino Linotype" w:cs="Arial"/>
          <w:color w:val="000000" w:themeColor="text1"/>
        </w:rPr>
        <w:t>;</w:t>
      </w:r>
      <w:r w:rsidR="005F1362" w:rsidRPr="0036005D">
        <w:rPr>
          <w:rFonts w:ascii="Palatino Linotype" w:eastAsia="Times New Roman" w:hAnsi="Palatino Linotype" w:cs="Arial"/>
          <w:color w:val="000000" w:themeColor="text1"/>
        </w:rPr>
        <w:t xml:space="preserve"> en contra de la respuesta del</w:t>
      </w:r>
      <w:r w:rsidR="002C1007" w:rsidRPr="0036005D">
        <w:rPr>
          <w:rFonts w:ascii="Palatino Linotype" w:eastAsia="Times New Roman" w:hAnsi="Palatino Linotype" w:cs="Arial"/>
          <w:color w:val="000000" w:themeColor="text1"/>
        </w:rPr>
        <w:t xml:space="preserve"> </w:t>
      </w:r>
      <w:r w:rsidR="00A36D6E" w:rsidRPr="0036005D">
        <w:rPr>
          <w:rFonts w:ascii="Palatino Linotype" w:eastAsia="Times New Roman" w:hAnsi="Palatino Linotype" w:cs="Arial"/>
          <w:b/>
          <w:color w:val="000000" w:themeColor="text1"/>
        </w:rPr>
        <w:t>Instituto de Transparencia, Acceso a la Información Pública y Protección de Datos Personales del Estado de México y Municipios</w:t>
      </w:r>
      <w:r w:rsidR="009572EE" w:rsidRPr="0036005D">
        <w:rPr>
          <w:rFonts w:ascii="Palatino Linotype" w:eastAsia="Calibri" w:hAnsi="Palatino Linotype" w:cs="Arial"/>
          <w:color w:val="000000" w:themeColor="text1"/>
          <w:lang w:val="es-ES"/>
        </w:rPr>
        <w:t>,</w:t>
      </w:r>
      <w:r w:rsidR="005F1362" w:rsidRPr="0036005D">
        <w:rPr>
          <w:rFonts w:ascii="Palatino Linotype" w:eastAsia="Calibri" w:hAnsi="Palatino Linotype" w:cs="Arial"/>
          <w:color w:val="000000" w:themeColor="text1"/>
          <w:lang w:val="es-ES"/>
        </w:rPr>
        <w:t xml:space="preserve"> </w:t>
      </w:r>
      <w:r w:rsidR="00F17EFA" w:rsidRPr="0036005D">
        <w:rPr>
          <w:rFonts w:ascii="Palatino Linotype" w:eastAsia="Calibri" w:hAnsi="Palatino Linotype" w:cs="Arial"/>
          <w:color w:val="000000" w:themeColor="text1"/>
          <w:lang w:val="es-ES"/>
        </w:rPr>
        <w:t>en adelante,</w:t>
      </w:r>
      <w:r w:rsidR="00F17EFA" w:rsidRPr="0036005D">
        <w:rPr>
          <w:rFonts w:ascii="Palatino Linotype" w:eastAsia="Times New Roman" w:hAnsi="Palatino Linotype" w:cs="Times New Roman"/>
          <w:color w:val="000000" w:themeColor="text1"/>
        </w:rPr>
        <w:t xml:space="preserve"> </w:t>
      </w:r>
      <w:r w:rsidR="005F1362" w:rsidRPr="0036005D">
        <w:rPr>
          <w:rFonts w:ascii="Palatino Linotype" w:eastAsia="Times New Roman" w:hAnsi="Palatino Linotype" w:cs="Times New Roman"/>
          <w:color w:val="000000" w:themeColor="text1"/>
        </w:rPr>
        <w:t>el</w:t>
      </w:r>
      <w:r w:rsidR="005F1362" w:rsidRPr="0036005D">
        <w:rPr>
          <w:rFonts w:ascii="Palatino Linotype" w:eastAsia="Times New Roman" w:hAnsi="Palatino Linotype" w:cs="Times New Roman"/>
          <w:b/>
          <w:color w:val="000000" w:themeColor="text1"/>
        </w:rPr>
        <w:t xml:space="preserve"> SUJETO OBLIGADO, </w:t>
      </w:r>
      <w:r w:rsidR="005F1362" w:rsidRPr="0036005D">
        <w:rPr>
          <w:rFonts w:ascii="Palatino Linotype" w:eastAsia="Times New Roman" w:hAnsi="Palatino Linotype" w:cs="Times New Roman"/>
          <w:color w:val="000000" w:themeColor="text1"/>
        </w:rPr>
        <w:t>se procede a dictar la presente resolución, con base en los siguientes:</w:t>
      </w:r>
    </w:p>
    <w:p w14:paraId="11EE5310" w14:textId="77777777" w:rsidR="009A593A" w:rsidRPr="0036005D" w:rsidRDefault="009A593A" w:rsidP="00B31E90">
      <w:pPr>
        <w:spacing w:line="360" w:lineRule="auto"/>
        <w:jc w:val="both"/>
        <w:rPr>
          <w:rFonts w:ascii="Palatino Linotype" w:hAnsi="Palatino Linotype"/>
          <w:b/>
          <w:color w:val="000000" w:themeColor="text1"/>
        </w:rPr>
      </w:pPr>
    </w:p>
    <w:p w14:paraId="769E1410" w14:textId="5740327F" w:rsidR="00587366" w:rsidRPr="0036005D" w:rsidRDefault="00662C69" w:rsidP="00B31E90">
      <w:pPr>
        <w:pStyle w:val="Ttulo1"/>
        <w:spacing w:before="0" w:line="360" w:lineRule="auto"/>
        <w:jc w:val="center"/>
        <w:rPr>
          <w:b/>
          <w:color w:val="000000" w:themeColor="text1"/>
        </w:rPr>
      </w:pPr>
      <w:bookmarkStart w:id="0" w:name="_Toc461555884"/>
      <w:bookmarkStart w:id="1" w:name="_Toc466371847"/>
      <w:bookmarkStart w:id="2" w:name="_Toc86945038"/>
      <w:r w:rsidRPr="0036005D">
        <w:rPr>
          <w:b/>
          <w:color w:val="000000" w:themeColor="text1"/>
        </w:rPr>
        <w:t>ANTECEDENTES</w:t>
      </w:r>
      <w:bookmarkEnd w:id="0"/>
      <w:bookmarkEnd w:id="1"/>
      <w:bookmarkEnd w:id="2"/>
    </w:p>
    <w:p w14:paraId="5672105D" w14:textId="77777777" w:rsidR="00B31E90" w:rsidRPr="0036005D" w:rsidRDefault="00B31E90"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402A4C0A" w14:textId="57E64E23" w:rsidR="00D9392E" w:rsidRPr="0036005D" w:rsidRDefault="005F0007"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6005D">
        <w:rPr>
          <w:rFonts w:ascii="Palatino Linotype" w:eastAsia="Calibri" w:hAnsi="Palatino Linotype" w:cs="Arial"/>
          <w:color w:val="000000" w:themeColor="text1"/>
          <w:lang w:val="es-ES"/>
        </w:rPr>
        <w:t>El</w:t>
      </w:r>
      <w:r w:rsidR="00D9392E" w:rsidRPr="0036005D">
        <w:rPr>
          <w:rFonts w:ascii="Palatino Linotype" w:eastAsia="Calibri" w:hAnsi="Palatino Linotype" w:cs="Arial"/>
          <w:color w:val="000000" w:themeColor="text1"/>
          <w:lang w:val="es-ES"/>
        </w:rPr>
        <w:t xml:space="preserve"> </w:t>
      </w:r>
      <w:r w:rsidR="00211149" w:rsidRPr="0036005D">
        <w:rPr>
          <w:rFonts w:ascii="Palatino Linotype" w:eastAsia="Calibri" w:hAnsi="Palatino Linotype" w:cs="Arial"/>
          <w:color w:val="000000" w:themeColor="text1"/>
          <w:lang w:val="es-ES"/>
        </w:rPr>
        <w:t>tres (03) de marzo</w:t>
      </w:r>
      <w:r w:rsidR="005A339D" w:rsidRPr="0036005D">
        <w:rPr>
          <w:rFonts w:ascii="Palatino Linotype" w:eastAsia="Calibri" w:hAnsi="Palatino Linotype" w:cs="Arial"/>
          <w:color w:val="000000" w:themeColor="text1"/>
          <w:lang w:val="es-ES"/>
        </w:rPr>
        <w:t xml:space="preserve"> de dos mil veintidós</w:t>
      </w:r>
      <w:r w:rsidR="005F1362" w:rsidRPr="0036005D">
        <w:rPr>
          <w:rFonts w:ascii="Palatino Linotype" w:eastAsia="Calibri" w:hAnsi="Palatino Linotype" w:cs="Arial"/>
          <w:color w:val="000000" w:themeColor="text1"/>
          <w:lang w:val="es-ES"/>
        </w:rPr>
        <w:t xml:space="preserve">, </w:t>
      </w:r>
      <w:r w:rsidR="005A339D" w:rsidRPr="0036005D">
        <w:rPr>
          <w:rFonts w:ascii="Palatino Linotype" w:hAnsi="Palatino Linotype"/>
          <w:color w:val="000000" w:themeColor="text1"/>
        </w:rPr>
        <w:t>el</w:t>
      </w:r>
      <w:r w:rsidR="00B31E90" w:rsidRPr="0036005D">
        <w:rPr>
          <w:rFonts w:ascii="Palatino Linotype" w:hAnsi="Palatino Linotype"/>
          <w:color w:val="000000" w:themeColor="text1"/>
        </w:rPr>
        <w:t xml:space="preserve"> particular</w:t>
      </w:r>
      <w:r w:rsidR="005F1362" w:rsidRPr="0036005D">
        <w:rPr>
          <w:rFonts w:ascii="Palatino Linotype" w:hAnsi="Palatino Linotype"/>
          <w:color w:val="000000" w:themeColor="text1"/>
        </w:rPr>
        <w:t xml:space="preserve"> presentó</w:t>
      </w:r>
      <w:r w:rsidR="005A339D" w:rsidRPr="0036005D">
        <w:rPr>
          <w:rFonts w:ascii="Palatino Linotype" w:hAnsi="Palatino Linotype"/>
          <w:color w:val="000000" w:themeColor="text1"/>
        </w:rPr>
        <w:t>,</w:t>
      </w:r>
      <w:r w:rsidR="005F1362" w:rsidRPr="0036005D">
        <w:rPr>
          <w:rFonts w:ascii="Palatino Linotype" w:hAnsi="Palatino Linotype"/>
          <w:b/>
          <w:color w:val="000000" w:themeColor="text1"/>
        </w:rPr>
        <w:t xml:space="preserve"> </w:t>
      </w:r>
      <w:r w:rsidR="00127E68" w:rsidRPr="0036005D">
        <w:rPr>
          <w:rFonts w:ascii="Palatino Linotype" w:hAnsi="Palatino Linotype"/>
          <w:bCs/>
          <w:color w:val="000000" w:themeColor="text1"/>
        </w:rPr>
        <w:t xml:space="preserve">a través </w:t>
      </w:r>
      <w:r w:rsidR="00DE4F75" w:rsidRPr="0036005D">
        <w:rPr>
          <w:rFonts w:ascii="Palatino Linotype" w:hAnsi="Palatino Linotype"/>
          <w:bCs/>
          <w:color w:val="000000" w:themeColor="text1"/>
        </w:rPr>
        <w:t xml:space="preserve">del </w:t>
      </w:r>
      <w:r w:rsidR="005A339D" w:rsidRPr="0036005D">
        <w:rPr>
          <w:rFonts w:ascii="Palatino Linotype" w:eastAsia="Calibri" w:hAnsi="Palatino Linotype" w:cs="Arial"/>
          <w:color w:val="000000" w:themeColor="text1"/>
          <w:lang w:val="es-ES"/>
        </w:rPr>
        <w:t>SAIMEX</w:t>
      </w:r>
      <w:r w:rsidR="005F1362" w:rsidRPr="0036005D">
        <w:rPr>
          <w:rFonts w:ascii="Palatino Linotype" w:eastAsia="Calibri" w:hAnsi="Palatino Linotype" w:cs="Arial"/>
          <w:color w:val="000000" w:themeColor="text1"/>
          <w:lang w:val="es-ES"/>
        </w:rPr>
        <w:t>, la solicitud de información pública registrada con el número</w:t>
      </w:r>
      <w:r w:rsidR="005F1362" w:rsidRPr="0036005D">
        <w:rPr>
          <w:rFonts w:ascii="Palatino Linotype" w:hAnsi="Palatino Linotype"/>
          <w:b/>
          <w:bCs/>
          <w:color w:val="000000" w:themeColor="text1"/>
        </w:rPr>
        <w:t xml:space="preserve"> </w:t>
      </w:r>
      <w:r w:rsidR="00A36D6E" w:rsidRPr="0036005D">
        <w:rPr>
          <w:rFonts w:ascii="Palatino Linotype" w:hAnsi="Palatino Linotype"/>
          <w:b/>
          <w:bCs/>
          <w:color w:val="000000" w:themeColor="text1"/>
        </w:rPr>
        <w:t>00271/INFOEM/IP/2022</w:t>
      </w:r>
      <w:r w:rsidR="005F1362" w:rsidRPr="0036005D">
        <w:rPr>
          <w:rFonts w:ascii="Palatino Linotype" w:hAnsi="Palatino Linotype"/>
          <w:b/>
          <w:bCs/>
          <w:color w:val="000000" w:themeColor="text1"/>
        </w:rPr>
        <w:t>,</w:t>
      </w:r>
      <w:r w:rsidR="005F1362" w:rsidRPr="0036005D">
        <w:rPr>
          <w:rFonts w:ascii="Palatino Linotype" w:eastAsia="Calibri" w:hAnsi="Palatino Linotype" w:cs="Arial"/>
          <w:color w:val="000000" w:themeColor="text1"/>
          <w:lang w:val="es-ES"/>
        </w:rPr>
        <w:t xml:space="preserve"> mediante la cual requirió</w:t>
      </w:r>
      <w:r w:rsidR="00022D89" w:rsidRPr="0036005D">
        <w:rPr>
          <w:rFonts w:ascii="Palatino Linotype" w:eastAsia="Calibri" w:hAnsi="Palatino Linotype" w:cs="Arial"/>
          <w:color w:val="000000" w:themeColor="text1"/>
          <w:lang w:val="es-ES"/>
        </w:rPr>
        <w:t xml:space="preserve"> lo siguiente</w:t>
      </w:r>
      <w:r w:rsidR="005F1362" w:rsidRPr="0036005D">
        <w:rPr>
          <w:rFonts w:ascii="Palatino Linotype" w:eastAsia="Calibri" w:hAnsi="Palatino Linotype" w:cs="Arial"/>
          <w:color w:val="000000" w:themeColor="text1"/>
          <w:lang w:val="es-ES"/>
        </w:rPr>
        <w:t>:</w:t>
      </w:r>
    </w:p>
    <w:p w14:paraId="76EB7490" w14:textId="77777777" w:rsidR="00B31E90" w:rsidRPr="0036005D" w:rsidRDefault="00B31E90" w:rsidP="00B31E90">
      <w:pPr>
        <w:pStyle w:val="Prrafodelista"/>
        <w:spacing w:line="276" w:lineRule="auto"/>
        <w:ind w:left="567" w:right="567"/>
        <w:jc w:val="both"/>
        <w:rPr>
          <w:rFonts w:ascii="Palatino Linotype" w:hAnsi="Palatino Linotype"/>
          <w:i/>
          <w:color w:val="000000" w:themeColor="text1"/>
          <w:sz w:val="22"/>
          <w:szCs w:val="22"/>
        </w:rPr>
      </w:pPr>
    </w:p>
    <w:p w14:paraId="605C5067" w14:textId="3CF0837D" w:rsidR="0097210F" w:rsidRPr="0036005D" w:rsidRDefault="005F1362" w:rsidP="00B31E90">
      <w:pPr>
        <w:pStyle w:val="Prrafodelista"/>
        <w:spacing w:line="276" w:lineRule="auto"/>
        <w:ind w:left="567" w:right="567"/>
        <w:jc w:val="both"/>
        <w:rPr>
          <w:rFonts w:ascii="Palatino Linotype" w:hAnsi="Palatino Linotype"/>
          <w:i/>
          <w:color w:val="000000" w:themeColor="text1"/>
          <w:szCs w:val="22"/>
        </w:rPr>
      </w:pPr>
      <w:r w:rsidRPr="0036005D">
        <w:rPr>
          <w:rFonts w:ascii="Palatino Linotype" w:hAnsi="Palatino Linotype"/>
          <w:i/>
          <w:color w:val="000000" w:themeColor="text1"/>
          <w:sz w:val="22"/>
          <w:szCs w:val="22"/>
        </w:rPr>
        <w:t>“</w:t>
      </w:r>
      <w:r w:rsidR="00211149" w:rsidRPr="0036005D">
        <w:rPr>
          <w:rFonts w:ascii="Palatino Linotype" w:hAnsi="Palatino Linotype"/>
          <w:i/>
          <w:iCs/>
          <w:color w:val="000000" w:themeColor="text1"/>
          <w:sz w:val="22"/>
          <w:szCs w:val="22"/>
        </w:rPr>
        <w:t xml:space="preserve">El día de hoy en la capacitación en materia de Información Pública de Oficio al Municipio de San Mateo Atenco, por parte de la Comisionada Guadalupe, dicha Comisionada contaba con una impresión de las obligaciones de transparencia del Ayuntamiento, mencionando que era un tabla para facilitar la publicación de las obligaciones de transparencia, por lo cual solicito se me remita dicha documento via saimex. Por otra parte, ya no existe la información pública de oficio sino las obligaciones </w:t>
      </w:r>
      <w:r w:rsidR="00211149" w:rsidRPr="0036005D">
        <w:rPr>
          <w:rFonts w:ascii="Palatino Linotype" w:hAnsi="Palatino Linotype"/>
          <w:i/>
          <w:iCs/>
          <w:color w:val="000000" w:themeColor="text1"/>
          <w:sz w:val="22"/>
          <w:szCs w:val="22"/>
        </w:rPr>
        <w:lastRenderedPageBreak/>
        <w:t>de transparencia comunes y especificas, que mal que el desconocimiento de la Comisionada Guadalupe sea exhibido frente a servidores públicos.</w:t>
      </w:r>
      <w:r w:rsidRPr="0036005D">
        <w:rPr>
          <w:rFonts w:ascii="Palatino Linotype" w:hAnsi="Palatino Linotype"/>
          <w:i/>
          <w:color w:val="000000" w:themeColor="text1"/>
          <w:sz w:val="22"/>
          <w:szCs w:val="22"/>
        </w:rPr>
        <w:t xml:space="preserve">” </w:t>
      </w:r>
      <w:r w:rsidRPr="0036005D">
        <w:rPr>
          <w:rFonts w:ascii="Palatino Linotype" w:hAnsi="Palatino Linotype"/>
          <w:color w:val="000000" w:themeColor="text1"/>
          <w:sz w:val="22"/>
          <w:szCs w:val="22"/>
        </w:rPr>
        <w:t>(Sic).</w:t>
      </w:r>
    </w:p>
    <w:p w14:paraId="65A03C8D" w14:textId="77777777" w:rsidR="005F1362" w:rsidRPr="0036005D" w:rsidRDefault="005F1362" w:rsidP="00B31E90">
      <w:pPr>
        <w:spacing w:line="360" w:lineRule="auto"/>
        <w:ind w:right="333"/>
        <w:jc w:val="both"/>
        <w:rPr>
          <w:rFonts w:ascii="Palatino Linotype" w:hAnsi="Palatino Linotype"/>
          <w:color w:val="000000" w:themeColor="text1"/>
        </w:rPr>
      </w:pPr>
    </w:p>
    <w:p w14:paraId="49C21E77" w14:textId="2BD524B1" w:rsidR="0039142B" w:rsidRPr="0036005D" w:rsidRDefault="005F1362"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6005D">
        <w:rPr>
          <w:rFonts w:ascii="Palatino Linotype" w:hAnsi="Palatino Linotype" w:cs="Arial"/>
          <w:color w:val="000000" w:themeColor="text1"/>
        </w:rPr>
        <w:t xml:space="preserve">Se hace constar que </w:t>
      </w:r>
      <w:r w:rsidR="00025127" w:rsidRPr="0036005D">
        <w:rPr>
          <w:rFonts w:ascii="Palatino Linotype" w:eastAsia="Times New Roman" w:hAnsi="Palatino Linotype" w:cs="Arial"/>
          <w:color w:val="000000" w:themeColor="text1"/>
          <w:lang w:val="es-ES"/>
        </w:rPr>
        <w:t>el entonces</w:t>
      </w:r>
      <w:r w:rsidR="00FD7996" w:rsidRPr="0036005D">
        <w:rPr>
          <w:rFonts w:ascii="Palatino Linotype" w:eastAsia="Times New Roman" w:hAnsi="Palatino Linotype" w:cs="Arial"/>
          <w:color w:val="000000" w:themeColor="text1"/>
          <w:lang w:val="es-ES"/>
        </w:rPr>
        <w:t xml:space="preserve"> </w:t>
      </w:r>
      <w:r w:rsidR="00FD7996" w:rsidRPr="0036005D">
        <w:rPr>
          <w:rFonts w:ascii="Palatino Linotype" w:eastAsia="Times New Roman" w:hAnsi="Palatino Linotype" w:cs="Arial"/>
          <w:b/>
          <w:color w:val="000000" w:themeColor="text1"/>
          <w:lang w:val="es-ES"/>
        </w:rPr>
        <w:t>SOLICITANTE</w:t>
      </w:r>
      <w:r w:rsidRPr="0036005D">
        <w:rPr>
          <w:rFonts w:ascii="Palatino Linotype" w:eastAsia="Times New Roman" w:hAnsi="Palatino Linotype" w:cs="Arial"/>
          <w:color w:val="000000" w:themeColor="text1"/>
          <w:lang w:val="es-ES"/>
        </w:rPr>
        <w:t xml:space="preserve"> señaló como modalidad de entrega de la información</w:t>
      </w:r>
      <w:r w:rsidRPr="0036005D">
        <w:rPr>
          <w:rFonts w:ascii="Palatino Linotype" w:eastAsia="Times New Roman" w:hAnsi="Palatino Linotype" w:cs="Arial"/>
          <w:b/>
          <w:color w:val="000000" w:themeColor="text1"/>
          <w:lang w:val="es-ES"/>
        </w:rPr>
        <w:t>:</w:t>
      </w:r>
      <w:r w:rsidR="001E4152" w:rsidRPr="0036005D">
        <w:rPr>
          <w:rFonts w:ascii="Palatino Linotype" w:eastAsia="Times New Roman" w:hAnsi="Palatino Linotype" w:cs="Arial"/>
          <w:b/>
          <w:color w:val="000000" w:themeColor="text1"/>
          <w:lang w:val="es-ES"/>
        </w:rPr>
        <w:t xml:space="preserve"> </w:t>
      </w:r>
      <w:r w:rsidR="001E4152" w:rsidRPr="0036005D">
        <w:rPr>
          <w:rFonts w:ascii="Palatino Linotype" w:eastAsia="Times New Roman" w:hAnsi="Palatino Linotype" w:cs="Arial"/>
          <w:b/>
          <w:i/>
          <w:iCs/>
          <w:color w:val="000000" w:themeColor="text1"/>
          <w:lang w:val="es-ES"/>
        </w:rPr>
        <w:t>A través del SAIMEX</w:t>
      </w:r>
      <w:r w:rsidR="0039142B" w:rsidRPr="0036005D">
        <w:rPr>
          <w:rFonts w:ascii="Palatino Linotype" w:eastAsia="Calibri" w:hAnsi="Palatino Linotype" w:cs="Arial"/>
          <w:i/>
          <w:color w:val="000000" w:themeColor="text1"/>
          <w:lang w:val="es-AR"/>
        </w:rPr>
        <w:t>.</w:t>
      </w:r>
    </w:p>
    <w:p w14:paraId="35BA18A9" w14:textId="77777777" w:rsidR="0039142B" w:rsidRPr="0036005D" w:rsidRDefault="0039142B" w:rsidP="00B31E90">
      <w:pPr>
        <w:pStyle w:val="Prrafodelista"/>
        <w:spacing w:line="360" w:lineRule="auto"/>
        <w:ind w:left="284"/>
        <w:jc w:val="both"/>
        <w:rPr>
          <w:rFonts w:ascii="Palatino Linotype" w:eastAsia="MS Mincho" w:hAnsi="Palatino Linotype" w:cs="Times New Roman"/>
          <w:color w:val="000000" w:themeColor="text1"/>
        </w:rPr>
      </w:pPr>
    </w:p>
    <w:p w14:paraId="60DCDA4B" w14:textId="3144459F" w:rsidR="0022448D" w:rsidRPr="0036005D" w:rsidRDefault="00B31E90" w:rsidP="00DA22D8">
      <w:pPr>
        <w:pStyle w:val="Prrafodelista"/>
        <w:numPr>
          <w:ilvl w:val="0"/>
          <w:numId w:val="1"/>
        </w:numPr>
        <w:tabs>
          <w:tab w:val="left" w:pos="426"/>
        </w:tabs>
        <w:spacing w:line="360" w:lineRule="auto"/>
        <w:jc w:val="both"/>
        <w:rPr>
          <w:rFonts w:ascii="Palatino Linotype" w:eastAsia="MS Mincho" w:hAnsi="Palatino Linotype" w:cs="Times New Roman"/>
          <w:color w:val="000000" w:themeColor="text1"/>
        </w:rPr>
      </w:pPr>
      <w:r w:rsidRPr="0036005D">
        <w:rPr>
          <w:rFonts w:ascii="Palatino Linotype" w:eastAsia="MS Mincho" w:hAnsi="Palatino Linotype" w:cs="Times New Roman"/>
          <w:color w:val="000000" w:themeColor="text1"/>
        </w:rPr>
        <w:t xml:space="preserve">El </w:t>
      </w:r>
      <w:r w:rsidR="00211149" w:rsidRPr="0036005D">
        <w:rPr>
          <w:rFonts w:ascii="Palatino Linotype" w:eastAsia="MS Mincho" w:hAnsi="Palatino Linotype" w:cs="Times New Roman"/>
          <w:color w:val="000000" w:themeColor="text1"/>
        </w:rPr>
        <w:t>cuatro (04) de marzo</w:t>
      </w:r>
      <w:r w:rsidR="005A339D" w:rsidRPr="0036005D">
        <w:rPr>
          <w:rFonts w:ascii="Palatino Linotype" w:eastAsia="MS Mincho" w:hAnsi="Palatino Linotype" w:cs="Times New Roman"/>
          <w:color w:val="000000" w:themeColor="text1"/>
        </w:rPr>
        <w:t xml:space="preserve"> de dos mil veintidós</w:t>
      </w:r>
      <w:r w:rsidR="000411E2" w:rsidRPr="0036005D">
        <w:rPr>
          <w:rFonts w:ascii="Palatino Linotype" w:eastAsia="MS Mincho" w:hAnsi="Palatino Linotype" w:cs="Times New Roman"/>
          <w:color w:val="000000" w:themeColor="text1"/>
        </w:rPr>
        <w:t xml:space="preserve">, </w:t>
      </w:r>
      <w:r w:rsidR="000411E2" w:rsidRPr="0036005D">
        <w:rPr>
          <w:rFonts w:ascii="Palatino Linotype" w:hAnsi="Palatino Linotype"/>
          <w:color w:val="000000" w:themeColor="text1"/>
          <w:szCs w:val="14"/>
        </w:rPr>
        <w:t xml:space="preserve">el </w:t>
      </w:r>
      <w:r w:rsidR="000411E2" w:rsidRPr="0036005D">
        <w:rPr>
          <w:rFonts w:ascii="Palatino Linotype" w:hAnsi="Palatino Linotype"/>
          <w:b/>
          <w:color w:val="000000" w:themeColor="text1"/>
          <w:szCs w:val="14"/>
        </w:rPr>
        <w:t>SUJETO OBLIGADO</w:t>
      </w:r>
      <w:r w:rsidR="000411E2" w:rsidRPr="0036005D">
        <w:rPr>
          <w:rFonts w:ascii="Palatino Linotype" w:hAnsi="Palatino Linotype"/>
          <w:color w:val="000000" w:themeColor="text1"/>
          <w:szCs w:val="14"/>
        </w:rPr>
        <w:t xml:space="preserve"> dio respuesta a la solicitud de información en los siguientes términos:</w:t>
      </w:r>
    </w:p>
    <w:p w14:paraId="0E759FD5" w14:textId="77777777" w:rsidR="009A593A" w:rsidRPr="0036005D" w:rsidRDefault="009A593A" w:rsidP="00B31E90">
      <w:pPr>
        <w:pStyle w:val="Sinespaciado"/>
        <w:ind w:left="567" w:right="567"/>
        <w:jc w:val="right"/>
        <w:rPr>
          <w:rFonts w:ascii="Palatino Linotype" w:hAnsi="Palatino Linotype"/>
          <w:i/>
          <w:noProof/>
          <w:color w:val="000000" w:themeColor="text1"/>
          <w:lang w:eastAsia="es-MX"/>
        </w:rPr>
      </w:pPr>
    </w:p>
    <w:p w14:paraId="01009EE4" w14:textId="77777777" w:rsidR="00211149" w:rsidRPr="0036005D" w:rsidRDefault="005F1362" w:rsidP="00211149">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36005D">
        <w:rPr>
          <w:rFonts w:ascii="Palatino Linotype" w:hAnsi="Palatino Linotype"/>
          <w:i/>
          <w:noProof/>
          <w:color w:val="000000" w:themeColor="text1"/>
          <w:sz w:val="22"/>
          <w:szCs w:val="22"/>
          <w:lang w:val="es-MX" w:eastAsia="es-MX"/>
        </w:rPr>
        <w:t>“</w:t>
      </w:r>
      <w:r w:rsidR="00211149" w:rsidRPr="0036005D">
        <w:rPr>
          <w:rFonts w:ascii="Palatino Linotype" w:hAnsi="Palatino Linotype"/>
          <w:i/>
          <w:noProof/>
          <w:color w:val="000000" w:themeColor="text1"/>
          <w:sz w:val="22"/>
          <w:szCs w:val="22"/>
          <w:lang w:val="es-MX" w:eastAsia="es-MX"/>
        </w:rPr>
        <w:t>Metepec, México a 04 de Marzo de 2022</w:t>
      </w:r>
    </w:p>
    <w:p w14:paraId="0FDC365F" w14:textId="77777777" w:rsidR="00211149" w:rsidRPr="0036005D" w:rsidRDefault="00211149" w:rsidP="00211149">
      <w:pPr>
        <w:pStyle w:val="Sinespaciado"/>
        <w:spacing w:line="276" w:lineRule="auto"/>
        <w:ind w:left="567" w:right="567"/>
        <w:jc w:val="right"/>
        <w:rPr>
          <w:rFonts w:ascii="Palatino Linotype" w:hAnsi="Palatino Linotype"/>
          <w:i/>
          <w:noProof/>
          <w:color w:val="000000" w:themeColor="text1"/>
          <w:sz w:val="22"/>
          <w:szCs w:val="22"/>
          <w:lang w:val="es-MX" w:eastAsia="es-MX"/>
        </w:rPr>
      </w:pPr>
      <w:r w:rsidRPr="0036005D">
        <w:rPr>
          <w:rFonts w:ascii="Palatino Linotype" w:hAnsi="Palatino Linotype"/>
          <w:i/>
          <w:noProof/>
          <w:color w:val="000000" w:themeColor="text1"/>
          <w:sz w:val="22"/>
          <w:szCs w:val="22"/>
          <w:lang w:val="es-MX" w:eastAsia="es-MX"/>
        </w:rPr>
        <w:t>Folio de la solicitud: 00271/INFOEM/IP/2022</w:t>
      </w:r>
    </w:p>
    <w:p w14:paraId="453CDFF4" w14:textId="77777777" w:rsidR="00211149" w:rsidRPr="0036005D" w:rsidRDefault="00211149" w:rsidP="002111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4B68778F" w14:textId="77777777" w:rsidR="00211149" w:rsidRPr="0036005D" w:rsidRDefault="00211149" w:rsidP="00211149">
      <w:pPr>
        <w:pStyle w:val="Sinespaciado"/>
        <w:spacing w:line="276" w:lineRule="auto"/>
        <w:ind w:left="567" w:right="567"/>
        <w:jc w:val="both"/>
        <w:rPr>
          <w:rFonts w:ascii="Palatino Linotype" w:hAnsi="Palatino Linotype"/>
          <w:i/>
          <w:noProof/>
          <w:color w:val="000000" w:themeColor="text1"/>
          <w:sz w:val="22"/>
          <w:szCs w:val="22"/>
          <w:lang w:val="es-MX" w:eastAsia="es-MX"/>
        </w:rPr>
      </w:pPr>
    </w:p>
    <w:p w14:paraId="35A36DE0" w14:textId="0E1E8E11" w:rsidR="0039142B" w:rsidRPr="0036005D" w:rsidRDefault="00211149" w:rsidP="00211149">
      <w:pPr>
        <w:pStyle w:val="Sinespaciado"/>
        <w:spacing w:line="276" w:lineRule="auto"/>
        <w:ind w:left="567" w:right="567"/>
        <w:jc w:val="both"/>
        <w:rPr>
          <w:rFonts w:ascii="Palatino Linotype" w:hAnsi="Palatino Linotype"/>
          <w:noProof/>
          <w:color w:val="000000" w:themeColor="text1"/>
          <w:sz w:val="22"/>
          <w:szCs w:val="22"/>
          <w:lang w:val="es-MX" w:eastAsia="es-MX"/>
        </w:rPr>
      </w:pPr>
      <w:r w:rsidRPr="0036005D">
        <w:rPr>
          <w:rFonts w:ascii="Palatino Linotype" w:hAnsi="Palatino Linotype"/>
          <w:i/>
          <w:noProof/>
          <w:color w:val="000000" w:themeColor="text1"/>
          <w:sz w:val="22"/>
          <w:szCs w:val="22"/>
          <w:lang w:val="es-MX" w:eastAsia="es-MX"/>
        </w:rPr>
        <w:t>ATENTAMENTE</w:t>
      </w:r>
      <w:r w:rsidR="005F1362" w:rsidRPr="0036005D">
        <w:rPr>
          <w:rFonts w:ascii="Palatino Linotype" w:hAnsi="Palatino Linotype"/>
          <w:i/>
          <w:noProof/>
          <w:color w:val="000000" w:themeColor="text1"/>
          <w:sz w:val="22"/>
          <w:szCs w:val="22"/>
          <w:lang w:val="es-MX" w:eastAsia="es-MX"/>
        </w:rPr>
        <w:t>”</w:t>
      </w:r>
      <w:r w:rsidR="00EB3DF7" w:rsidRPr="0036005D">
        <w:rPr>
          <w:rFonts w:ascii="Palatino Linotype" w:hAnsi="Palatino Linotype"/>
          <w:noProof/>
          <w:color w:val="000000" w:themeColor="text1"/>
          <w:sz w:val="22"/>
          <w:szCs w:val="22"/>
          <w:lang w:val="es-MX" w:eastAsia="es-MX"/>
        </w:rPr>
        <w:t xml:space="preserve"> (Sic.)</w:t>
      </w:r>
    </w:p>
    <w:p w14:paraId="2D68519B" w14:textId="77777777" w:rsidR="0097210F" w:rsidRPr="0036005D" w:rsidRDefault="0097210F" w:rsidP="009A593A">
      <w:pPr>
        <w:pStyle w:val="Sinespaciado"/>
        <w:ind w:right="567"/>
        <w:jc w:val="both"/>
        <w:rPr>
          <w:rFonts w:ascii="Palatino Linotype" w:hAnsi="Palatino Linotype"/>
          <w:noProof/>
          <w:color w:val="000000" w:themeColor="text1"/>
          <w:lang w:val="es-MX" w:eastAsia="es-MX"/>
        </w:rPr>
      </w:pPr>
    </w:p>
    <w:p w14:paraId="170BD45E" w14:textId="6CAC5C0C" w:rsidR="00022D89" w:rsidRPr="0036005D" w:rsidRDefault="00022D89"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6005D">
        <w:rPr>
          <w:rFonts w:ascii="Palatino Linotype" w:hAnsi="Palatino Linotype"/>
          <w:color w:val="000000" w:themeColor="text1"/>
          <w:szCs w:val="22"/>
        </w:rPr>
        <w:t xml:space="preserve">Adjunto al acuse de </w:t>
      </w:r>
      <w:r w:rsidR="000411E2" w:rsidRPr="0036005D">
        <w:rPr>
          <w:rFonts w:ascii="Palatino Linotype" w:hAnsi="Palatino Linotype"/>
          <w:color w:val="000000" w:themeColor="text1"/>
          <w:szCs w:val="22"/>
        </w:rPr>
        <w:t>respuesta</w:t>
      </w:r>
      <w:r w:rsidRPr="0036005D">
        <w:rPr>
          <w:rFonts w:ascii="Palatino Linotype" w:hAnsi="Palatino Linotype"/>
          <w:color w:val="000000" w:themeColor="text1"/>
          <w:szCs w:val="22"/>
        </w:rPr>
        <w:t xml:space="preserve">, el </w:t>
      </w:r>
      <w:r w:rsidRPr="0036005D">
        <w:rPr>
          <w:rFonts w:ascii="Palatino Linotype" w:hAnsi="Palatino Linotype"/>
          <w:b/>
          <w:bCs/>
          <w:color w:val="000000" w:themeColor="text1"/>
          <w:szCs w:val="22"/>
        </w:rPr>
        <w:t>SUJETO OBLIGADO</w:t>
      </w:r>
      <w:r w:rsidRPr="0036005D">
        <w:rPr>
          <w:rFonts w:ascii="Palatino Linotype" w:hAnsi="Palatino Linotype"/>
          <w:color w:val="000000" w:themeColor="text1"/>
          <w:szCs w:val="22"/>
        </w:rPr>
        <w:t xml:space="preserve"> entregó al particular </w:t>
      </w:r>
      <w:r w:rsidR="00211149" w:rsidRPr="0036005D">
        <w:rPr>
          <w:rFonts w:ascii="Palatino Linotype" w:hAnsi="Palatino Linotype"/>
          <w:color w:val="000000" w:themeColor="text1"/>
          <w:szCs w:val="22"/>
        </w:rPr>
        <w:t xml:space="preserve">una carpeta comprimida titulada </w:t>
      </w:r>
      <w:r w:rsidR="00211149" w:rsidRPr="0036005D">
        <w:rPr>
          <w:rFonts w:ascii="Palatino Linotype" w:hAnsi="Palatino Linotype"/>
          <w:b/>
          <w:i/>
          <w:color w:val="000000" w:themeColor="text1"/>
          <w:szCs w:val="22"/>
        </w:rPr>
        <w:t>“RespuestaSolicitud00271.2022.zip”</w:t>
      </w:r>
      <w:r w:rsidR="00211149" w:rsidRPr="0036005D">
        <w:rPr>
          <w:rFonts w:ascii="Palatino Linotype" w:hAnsi="Palatino Linotype"/>
          <w:color w:val="000000" w:themeColor="text1"/>
          <w:szCs w:val="22"/>
        </w:rPr>
        <w:t>, dentro de la cual, se observan los siguientes documentos:</w:t>
      </w:r>
    </w:p>
    <w:p w14:paraId="6F01E6D1" w14:textId="285D1136" w:rsidR="00C52FCF" w:rsidRPr="0036005D" w:rsidRDefault="00C52FCF" w:rsidP="00123F6A">
      <w:pPr>
        <w:pStyle w:val="Prrafodelista"/>
        <w:numPr>
          <w:ilvl w:val="0"/>
          <w:numId w:val="6"/>
        </w:numPr>
        <w:spacing w:line="360" w:lineRule="auto"/>
        <w:ind w:left="1134"/>
        <w:contextualSpacing w:val="0"/>
        <w:jc w:val="both"/>
        <w:rPr>
          <w:rFonts w:ascii="Palatino Linotype" w:hAnsi="Palatino Linotype" w:cs="Arial"/>
        </w:rPr>
      </w:pPr>
      <w:r w:rsidRPr="0036005D">
        <w:rPr>
          <w:rFonts w:ascii="Palatino Linotype" w:hAnsi="Palatino Linotype" w:cs="Arial"/>
          <w:b/>
          <w:i/>
        </w:rPr>
        <w:t>“</w:t>
      </w:r>
      <w:r w:rsidR="00211149" w:rsidRPr="0036005D">
        <w:rPr>
          <w:rFonts w:ascii="Palatino Linotype" w:hAnsi="Palatino Linotype" w:cs="Arial"/>
          <w:b/>
          <w:i/>
        </w:rPr>
        <w:t>RespuestaSolicitud00271UT</w:t>
      </w:r>
      <w:r w:rsidR="005A339D" w:rsidRPr="0036005D">
        <w:rPr>
          <w:rFonts w:ascii="Palatino Linotype" w:hAnsi="Palatino Linotype" w:cs="Arial"/>
          <w:b/>
          <w:i/>
        </w:rPr>
        <w:t>.pdf</w:t>
      </w:r>
      <w:r w:rsidRPr="0036005D">
        <w:rPr>
          <w:rFonts w:ascii="Palatino Linotype" w:hAnsi="Palatino Linotype" w:cs="Arial"/>
          <w:b/>
          <w:i/>
        </w:rPr>
        <w:t>”</w:t>
      </w:r>
      <w:r w:rsidRPr="0036005D">
        <w:rPr>
          <w:rFonts w:ascii="Palatino Linotype" w:hAnsi="Palatino Linotype" w:cs="Arial"/>
        </w:rPr>
        <w:t xml:space="preserve">: Documento de </w:t>
      </w:r>
      <w:r w:rsidR="00211149" w:rsidRPr="0036005D">
        <w:rPr>
          <w:rFonts w:ascii="Palatino Linotype" w:hAnsi="Palatino Linotype" w:cs="Arial"/>
        </w:rPr>
        <w:t>nueve fojas consistente en el oficio número INFOEM/COM-GRP/087/2022, de cuatro (04) de marzo de dos mil veintidós, emitido por la Servidora Pública Habilitada de la Ponencia de la Comisionada Guadalupe Ramírez Peña, mediante el cual, informa que la información solicitada consiste en capturas de pantalla para ingresar al portal de Información Pública de Oficio Mexiquense (IPOMEX)</w:t>
      </w:r>
      <w:r w:rsidR="00F176C0" w:rsidRPr="0036005D">
        <w:rPr>
          <w:rFonts w:ascii="Palatino Linotype" w:hAnsi="Palatino Linotype" w:cs="Arial"/>
        </w:rPr>
        <w:t>, donde se puede consultar la información relativa a las obligaciones de transparencia común, y específicas, así como la Tabla de Aplicabilidad, del Ayuntamiento de San Mateo Atenco.</w:t>
      </w:r>
    </w:p>
    <w:p w14:paraId="0EA30743" w14:textId="0FD39C57" w:rsidR="00211149" w:rsidRPr="0036005D" w:rsidRDefault="00211149" w:rsidP="00123F6A">
      <w:pPr>
        <w:pStyle w:val="Prrafodelista"/>
        <w:numPr>
          <w:ilvl w:val="0"/>
          <w:numId w:val="6"/>
        </w:numPr>
        <w:spacing w:line="360" w:lineRule="auto"/>
        <w:ind w:left="1134"/>
        <w:contextualSpacing w:val="0"/>
        <w:jc w:val="both"/>
        <w:rPr>
          <w:rFonts w:ascii="Palatino Linotype" w:hAnsi="Palatino Linotype" w:cs="Arial"/>
        </w:rPr>
      </w:pPr>
      <w:r w:rsidRPr="0036005D">
        <w:rPr>
          <w:rFonts w:ascii="Palatino Linotype" w:hAnsi="Palatino Linotype" w:cs="Arial"/>
          <w:b/>
          <w:i/>
        </w:rPr>
        <w:lastRenderedPageBreak/>
        <w:t>“RespuestaSolicitud00271CGRP</w:t>
      </w:r>
      <w:r w:rsidRPr="0036005D">
        <w:rPr>
          <w:rFonts w:ascii="Palatino Linotype" w:hAnsi="Palatino Linotype" w:cs="Arial"/>
        </w:rPr>
        <w:t>.</w:t>
      </w:r>
      <w:r w:rsidRPr="0036005D">
        <w:rPr>
          <w:rFonts w:ascii="Palatino Linotype" w:hAnsi="Palatino Linotype" w:cs="Arial"/>
          <w:b/>
          <w:i/>
        </w:rPr>
        <w:t>pdf”</w:t>
      </w:r>
      <w:r w:rsidRPr="0036005D">
        <w:rPr>
          <w:rFonts w:ascii="Palatino Linotype" w:hAnsi="Palatino Linotype" w:cs="Arial"/>
        </w:rPr>
        <w:t>: Documento de</w:t>
      </w:r>
      <w:r w:rsidR="00F176C0" w:rsidRPr="0036005D">
        <w:rPr>
          <w:rFonts w:ascii="Palatino Linotype" w:hAnsi="Palatino Linotype" w:cs="Arial"/>
        </w:rPr>
        <w:t xml:space="preserve"> seis fojas consistente en el oficio número INFOEM/UT/177/2022, de cuatro (04) de marzo de dos mil veintidós, emitido por el Titular de la Unidad de Transparencia, mediante el cual, presenta al particular, la respuesta proporcionada por la Ponencia de la Comisionada Guadalupe Ramírez Peña.</w:t>
      </w:r>
    </w:p>
    <w:p w14:paraId="60F159D0" w14:textId="46739254" w:rsidR="00211149" w:rsidRPr="0036005D" w:rsidRDefault="00211149" w:rsidP="00123F6A">
      <w:pPr>
        <w:pStyle w:val="Prrafodelista"/>
        <w:numPr>
          <w:ilvl w:val="0"/>
          <w:numId w:val="6"/>
        </w:numPr>
        <w:spacing w:line="360" w:lineRule="auto"/>
        <w:ind w:left="1134"/>
        <w:contextualSpacing w:val="0"/>
        <w:jc w:val="both"/>
        <w:rPr>
          <w:rFonts w:ascii="Palatino Linotype" w:hAnsi="Palatino Linotype" w:cs="Arial"/>
        </w:rPr>
      </w:pPr>
      <w:r w:rsidRPr="0036005D">
        <w:rPr>
          <w:rFonts w:ascii="Palatino Linotype" w:hAnsi="Palatino Linotype" w:cs="Arial"/>
          <w:b/>
          <w:i/>
        </w:rPr>
        <w:t>“Tabla_A_San_Mateo_Atenco (3).xlsx”</w:t>
      </w:r>
      <w:r w:rsidRPr="0036005D">
        <w:rPr>
          <w:rFonts w:ascii="Palatino Linotype" w:hAnsi="Palatino Linotype" w:cs="Arial"/>
        </w:rPr>
        <w:t xml:space="preserve">: Hoja de cálculo </w:t>
      </w:r>
      <w:r w:rsidR="00F176C0" w:rsidRPr="0036005D">
        <w:rPr>
          <w:rFonts w:ascii="Palatino Linotype" w:hAnsi="Palatino Linotype" w:cs="Arial"/>
        </w:rPr>
        <w:t>consistente en la Tabla de Aplicabilidad de las obligaciones de transparencia común, y específicas, del Ayuntamiento de San Mateo Atenco.</w:t>
      </w:r>
    </w:p>
    <w:p w14:paraId="11423777" w14:textId="77777777" w:rsidR="00F96460" w:rsidRPr="0036005D" w:rsidRDefault="00F96460" w:rsidP="00F96460">
      <w:pPr>
        <w:spacing w:line="360" w:lineRule="auto"/>
        <w:jc w:val="both"/>
        <w:rPr>
          <w:rFonts w:ascii="Palatino Linotype" w:hAnsi="Palatino Linotype" w:cs="Arial"/>
        </w:rPr>
      </w:pPr>
    </w:p>
    <w:p w14:paraId="272B63B3" w14:textId="47ADEF75" w:rsidR="000D5A1D" w:rsidRPr="0036005D" w:rsidRDefault="00FD7996" w:rsidP="00DA22D8">
      <w:pPr>
        <w:pStyle w:val="Prrafodelista"/>
        <w:numPr>
          <w:ilvl w:val="0"/>
          <w:numId w:val="1"/>
        </w:numPr>
        <w:tabs>
          <w:tab w:val="left" w:pos="284"/>
          <w:tab w:val="left" w:pos="426"/>
        </w:tabs>
        <w:spacing w:line="360" w:lineRule="auto"/>
        <w:jc w:val="both"/>
        <w:rPr>
          <w:rFonts w:ascii="Palatino Linotype" w:hAnsi="Palatino Linotype"/>
          <w:color w:val="000000" w:themeColor="text1"/>
          <w:szCs w:val="22"/>
        </w:rPr>
      </w:pPr>
      <w:r w:rsidRPr="0036005D">
        <w:rPr>
          <w:rFonts w:ascii="Palatino Linotype" w:eastAsia="Times New Roman" w:hAnsi="Palatino Linotype" w:cs="Arial"/>
          <w:color w:val="000000" w:themeColor="text1"/>
          <w:lang w:val="es-ES"/>
        </w:rPr>
        <w:t>D</w:t>
      </w:r>
      <w:r w:rsidR="00561ED1" w:rsidRPr="0036005D">
        <w:rPr>
          <w:rFonts w:ascii="Palatino Linotype" w:eastAsia="Times New Roman" w:hAnsi="Palatino Linotype" w:cs="Arial"/>
          <w:color w:val="000000" w:themeColor="text1"/>
          <w:lang w:val="es-ES"/>
        </w:rPr>
        <w:t xml:space="preserve">erivado de la respuesta emitida por el </w:t>
      </w:r>
      <w:r w:rsidR="00561ED1" w:rsidRPr="0036005D">
        <w:rPr>
          <w:rFonts w:ascii="Palatino Linotype" w:eastAsia="Times New Roman" w:hAnsi="Palatino Linotype" w:cs="Arial"/>
          <w:b/>
          <w:color w:val="000000" w:themeColor="text1"/>
          <w:lang w:val="es-ES"/>
        </w:rPr>
        <w:t>SUJETO OBLIGADO</w:t>
      </w:r>
      <w:r w:rsidR="00561ED1" w:rsidRPr="0036005D">
        <w:rPr>
          <w:rFonts w:ascii="Palatino Linotype" w:eastAsia="Times New Roman" w:hAnsi="Palatino Linotype" w:cs="Arial"/>
          <w:color w:val="000000" w:themeColor="text1"/>
          <w:lang w:val="es-ES"/>
        </w:rPr>
        <w:t>, e</w:t>
      </w:r>
      <w:r w:rsidR="00DB4BEF" w:rsidRPr="0036005D">
        <w:rPr>
          <w:rFonts w:ascii="Palatino Linotype" w:eastAsia="Times New Roman" w:hAnsi="Palatino Linotype" w:cs="Arial"/>
          <w:color w:val="000000" w:themeColor="text1"/>
          <w:lang w:val="es-ES"/>
        </w:rPr>
        <w:t xml:space="preserve">l </w:t>
      </w:r>
      <w:r w:rsidR="00F176C0" w:rsidRPr="0036005D">
        <w:rPr>
          <w:rFonts w:ascii="Palatino Linotype" w:eastAsia="Times New Roman" w:hAnsi="Palatino Linotype" w:cs="Arial"/>
          <w:color w:val="000000" w:themeColor="text1"/>
          <w:lang w:val="es-ES"/>
        </w:rPr>
        <w:t>ocho (08) de marzo</w:t>
      </w:r>
      <w:r w:rsidR="00B970A2" w:rsidRPr="0036005D">
        <w:rPr>
          <w:rFonts w:ascii="Palatino Linotype" w:eastAsia="Times New Roman" w:hAnsi="Palatino Linotype" w:cs="Arial"/>
          <w:color w:val="000000" w:themeColor="text1"/>
          <w:lang w:val="es-ES"/>
        </w:rPr>
        <w:t xml:space="preserve"> de dos mil veintidós</w:t>
      </w:r>
      <w:r w:rsidR="00FE49E3" w:rsidRPr="0036005D">
        <w:rPr>
          <w:rFonts w:ascii="Palatino Linotype" w:eastAsia="Times New Roman" w:hAnsi="Palatino Linotype" w:cs="Arial"/>
          <w:color w:val="000000" w:themeColor="text1"/>
          <w:lang w:val="es-ES"/>
        </w:rPr>
        <w:t xml:space="preserve">, </w:t>
      </w:r>
      <w:r w:rsidR="00B970A2" w:rsidRPr="0036005D">
        <w:rPr>
          <w:rFonts w:ascii="Palatino Linotype" w:eastAsia="Times New Roman" w:hAnsi="Palatino Linotype" w:cs="Arial"/>
          <w:color w:val="000000" w:themeColor="text1"/>
          <w:lang w:val="es-ES"/>
        </w:rPr>
        <w:t>el</w:t>
      </w:r>
      <w:r w:rsidR="005F1362" w:rsidRPr="0036005D">
        <w:rPr>
          <w:rFonts w:ascii="Palatino Linotype" w:eastAsia="Times New Roman" w:hAnsi="Palatino Linotype" w:cs="Arial"/>
          <w:color w:val="000000" w:themeColor="text1"/>
          <w:lang w:val="es-ES"/>
        </w:rPr>
        <w:t xml:space="preserve"> particular</w:t>
      </w:r>
      <w:r w:rsidR="00DB4BEF" w:rsidRPr="0036005D">
        <w:rPr>
          <w:rFonts w:ascii="Palatino Linotype" w:eastAsia="Times New Roman" w:hAnsi="Palatino Linotype" w:cs="Arial"/>
          <w:color w:val="000000" w:themeColor="text1"/>
          <w:lang w:val="es-ES"/>
        </w:rPr>
        <w:t xml:space="preserve"> interpuso</w:t>
      </w:r>
      <w:r w:rsidR="009316E9" w:rsidRPr="0036005D">
        <w:rPr>
          <w:rFonts w:ascii="Palatino Linotype" w:eastAsia="Times New Roman" w:hAnsi="Palatino Linotype" w:cs="Arial"/>
          <w:color w:val="000000" w:themeColor="text1"/>
          <w:lang w:val="es-ES"/>
        </w:rPr>
        <w:t xml:space="preserve"> </w:t>
      </w:r>
      <w:r w:rsidR="00102D65" w:rsidRPr="0036005D">
        <w:rPr>
          <w:rFonts w:ascii="Palatino Linotype" w:eastAsia="Times New Roman" w:hAnsi="Palatino Linotype" w:cs="Arial"/>
          <w:color w:val="000000" w:themeColor="text1"/>
          <w:lang w:val="es-ES"/>
        </w:rPr>
        <w:t>el</w:t>
      </w:r>
      <w:r w:rsidR="004D68F8" w:rsidRPr="0036005D">
        <w:rPr>
          <w:rFonts w:ascii="Palatino Linotype" w:eastAsia="Times New Roman" w:hAnsi="Palatino Linotype" w:cs="Arial"/>
          <w:color w:val="000000" w:themeColor="text1"/>
          <w:lang w:val="es-ES"/>
        </w:rPr>
        <w:t xml:space="preserve"> recurso de revisión </w:t>
      </w:r>
      <w:r w:rsidR="00A36D6E" w:rsidRPr="0036005D">
        <w:rPr>
          <w:rFonts w:ascii="Palatino Linotype" w:eastAsia="Calibri" w:hAnsi="Palatino Linotype" w:cs="Arial"/>
          <w:b/>
          <w:color w:val="000000" w:themeColor="text1"/>
          <w:lang w:val="es-ES"/>
        </w:rPr>
        <w:t>03533/INFOEM/IP/RR/2022</w:t>
      </w:r>
      <w:r w:rsidR="009A0461" w:rsidRPr="0036005D">
        <w:rPr>
          <w:rFonts w:ascii="Palatino Linotype" w:eastAsia="Calibri" w:hAnsi="Palatino Linotype" w:cs="Arial"/>
          <w:bCs/>
          <w:color w:val="000000" w:themeColor="text1"/>
          <w:lang w:val="es-ES"/>
        </w:rPr>
        <w:t>;</w:t>
      </w:r>
      <w:r w:rsidR="00102D65" w:rsidRPr="0036005D">
        <w:rPr>
          <w:rFonts w:ascii="Palatino Linotype" w:eastAsia="Times New Roman" w:hAnsi="Palatino Linotype" w:cs="Arial"/>
          <w:color w:val="000000" w:themeColor="text1"/>
          <w:lang w:val="es-ES"/>
        </w:rPr>
        <w:t xml:space="preserve"> impugnación</w:t>
      </w:r>
      <w:r w:rsidR="004D68F8" w:rsidRPr="0036005D">
        <w:rPr>
          <w:rFonts w:ascii="Palatino Linotype" w:eastAsia="Times New Roman" w:hAnsi="Palatino Linotype" w:cs="Arial"/>
          <w:color w:val="000000" w:themeColor="text1"/>
          <w:lang w:val="es-ES"/>
        </w:rPr>
        <w:t xml:space="preserve"> </w:t>
      </w:r>
      <w:r w:rsidR="00A45546" w:rsidRPr="0036005D">
        <w:rPr>
          <w:rFonts w:ascii="Palatino Linotype" w:eastAsia="Times New Roman" w:hAnsi="Palatino Linotype" w:cs="Arial"/>
          <w:color w:val="000000" w:themeColor="text1"/>
          <w:lang w:val="es-ES"/>
        </w:rPr>
        <w:t xml:space="preserve">en </w:t>
      </w:r>
      <w:r w:rsidR="00977D37" w:rsidRPr="0036005D">
        <w:rPr>
          <w:rFonts w:ascii="Palatino Linotype" w:eastAsia="Times New Roman" w:hAnsi="Palatino Linotype" w:cs="Arial"/>
          <w:color w:val="000000" w:themeColor="text1"/>
          <w:lang w:val="es-ES"/>
        </w:rPr>
        <w:t>la</w:t>
      </w:r>
      <w:r w:rsidR="00A45546" w:rsidRPr="0036005D">
        <w:rPr>
          <w:rFonts w:ascii="Palatino Linotype" w:eastAsia="Times New Roman" w:hAnsi="Palatino Linotype" w:cs="Arial"/>
          <w:color w:val="000000" w:themeColor="text1"/>
          <w:lang w:val="es-ES"/>
        </w:rPr>
        <w:t xml:space="preserve"> que refirió </w:t>
      </w:r>
      <w:r w:rsidR="004D68F8" w:rsidRPr="0036005D">
        <w:rPr>
          <w:rFonts w:ascii="Palatino Linotype" w:eastAsia="Times New Roman" w:hAnsi="Palatino Linotype" w:cs="Arial"/>
          <w:color w:val="000000" w:themeColor="text1"/>
          <w:lang w:val="es-ES"/>
        </w:rPr>
        <w:t>lo siguiente:</w:t>
      </w:r>
    </w:p>
    <w:p w14:paraId="054906C6" w14:textId="77777777" w:rsidR="00E34622" w:rsidRPr="0036005D" w:rsidRDefault="00E34622" w:rsidP="00B31E90">
      <w:pPr>
        <w:pStyle w:val="Prrafodelista"/>
        <w:tabs>
          <w:tab w:val="left" w:pos="426"/>
        </w:tabs>
        <w:spacing w:line="360" w:lineRule="auto"/>
        <w:ind w:left="284"/>
        <w:jc w:val="both"/>
        <w:rPr>
          <w:rFonts w:ascii="Palatino Linotype" w:eastAsia="Times New Roman" w:hAnsi="Palatino Linotype" w:cs="Arial"/>
          <w:color w:val="000000" w:themeColor="text1"/>
        </w:rPr>
      </w:pPr>
    </w:p>
    <w:p w14:paraId="5D958B88" w14:textId="63D29400" w:rsidR="00E34622" w:rsidRPr="0036005D"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6005D">
        <w:rPr>
          <w:rFonts w:ascii="Palatino Linotype" w:eastAsia="Times New Roman" w:hAnsi="Palatino Linotype" w:cs="Arial"/>
          <w:b/>
          <w:color w:val="000000" w:themeColor="text1"/>
          <w:lang w:val="es-ES"/>
        </w:rPr>
        <w:t>Acto impugnado:</w:t>
      </w:r>
      <w:r w:rsidRPr="0036005D">
        <w:rPr>
          <w:rFonts w:ascii="Palatino Linotype" w:eastAsia="Times New Roman" w:hAnsi="Palatino Linotype" w:cs="Arial"/>
          <w:color w:val="000000" w:themeColor="text1"/>
          <w:lang w:val="es-ES"/>
        </w:rPr>
        <w:t xml:space="preserve"> “</w:t>
      </w:r>
      <w:r w:rsidR="00F176C0" w:rsidRPr="0036005D">
        <w:rPr>
          <w:rFonts w:ascii="Palatino Linotype" w:eastAsia="Times New Roman" w:hAnsi="Palatino Linotype" w:cs="Arial"/>
          <w:i/>
          <w:color w:val="000000" w:themeColor="text1"/>
        </w:rPr>
        <w:t>La respuesta proporcionada</w:t>
      </w:r>
      <w:r w:rsidRPr="0036005D">
        <w:rPr>
          <w:rFonts w:ascii="Palatino Linotype" w:eastAsia="Times New Roman" w:hAnsi="Palatino Linotype" w:cs="Arial"/>
          <w:i/>
          <w:color w:val="000000" w:themeColor="text1"/>
          <w:lang w:val="es-ES"/>
        </w:rPr>
        <w:t>”</w:t>
      </w:r>
      <w:r w:rsidRPr="0036005D">
        <w:rPr>
          <w:rFonts w:ascii="Palatino Linotype" w:eastAsia="Times New Roman" w:hAnsi="Palatino Linotype" w:cs="Arial"/>
          <w:color w:val="000000" w:themeColor="text1"/>
          <w:lang w:val="es-ES"/>
        </w:rPr>
        <w:t xml:space="preserve"> (Sic).</w:t>
      </w:r>
    </w:p>
    <w:p w14:paraId="38724B8B" w14:textId="77777777" w:rsidR="001468E9" w:rsidRPr="0036005D" w:rsidRDefault="001468E9" w:rsidP="00B31E90">
      <w:pPr>
        <w:pStyle w:val="Prrafodelista"/>
        <w:tabs>
          <w:tab w:val="left" w:pos="426"/>
        </w:tabs>
        <w:spacing w:line="360" w:lineRule="auto"/>
        <w:ind w:left="1004"/>
        <w:jc w:val="both"/>
        <w:rPr>
          <w:rFonts w:ascii="Palatino Linotype" w:eastAsia="Times New Roman" w:hAnsi="Palatino Linotype" w:cs="Arial"/>
          <w:color w:val="000000" w:themeColor="text1"/>
          <w:lang w:val="es-ES"/>
        </w:rPr>
      </w:pPr>
    </w:p>
    <w:p w14:paraId="4E73B63B" w14:textId="22226244" w:rsidR="00E34622" w:rsidRPr="0036005D" w:rsidRDefault="00E34622" w:rsidP="00D12402">
      <w:pPr>
        <w:pStyle w:val="Prrafodelista"/>
        <w:numPr>
          <w:ilvl w:val="0"/>
          <w:numId w:val="2"/>
        </w:numPr>
        <w:tabs>
          <w:tab w:val="left" w:pos="426"/>
        </w:tabs>
        <w:spacing w:line="360" w:lineRule="auto"/>
        <w:jc w:val="both"/>
        <w:rPr>
          <w:rFonts w:ascii="Palatino Linotype" w:eastAsia="Times New Roman" w:hAnsi="Palatino Linotype" w:cs="Arial"/>
          <w:color w:val="000000" w:themeColor="text1"/>
          <w:lang w:val="es-ES"/>
        </w:rPr>
      </w:pPr>
      <w:r w:rsidRPr="0036005D">
        <w:rPr>
          <w:rFonts w:ascii="Palatino Linotype" w:eastAsia="Times New Roman" w:hAnsi="Palatino Linotype" w:cs="Arial"/>
          <w:b/>
          <w:color w:val="000000" w:themeColor="text1"/>
          <w:lang w:val="es-ES"/>
        </w:rPr>
        <w:t>Razones o motivos de inconformidad:</w:t>
      </w:r>
      <w:r w:rsidRPr="0036005D">
        <w:rPr>
          <w:rFonts w:ascii="Palatino Linotype" w:eastAsia="Times New Roman" w:hAnsi="Palatino Linotype" w:cs="Arial"/>
          <w:color w:val="000000" w:themeColor="text1"/>
          <w:lang w:val="es-ES"/>
        </w:rPr>
        <w:t xml:space="preserve"> “</w:t>
      </w:r>
      <w:r w:rsidR="00F176C0" w:rsidRPr="0036005D">
        <w:rPr>
          <w:rFonts w:ascii="Palatino Linotype" w:hAnsi="Palatino Linotype"/>
          <w:i/>
          <w:iCs/>
          <w:color w:val="000000"/>
        </w:rPr>
        <w:t>En mi solicitud requerí la impresión de ipomex que llevó la Comisionada de las obligaciones de transparencia del Ayuntamiento, la cual contenia anotaciones sobre como ingresar la información, en cambio me mandaron la tabla de aplicabilidad del ayuntamiento, información que no solicite, anexo foto del evento de la capacitación en la cual se advierte la impresión que requiero.</w:t>
      </w:r>
      <w:r w:rsidRPr="0036005D">
        <w:rPr>
          <w:rFonts w:ascii="Palatino Linotype" w:eastAsia="Times New Roman" w:hAnsi="Palatino Linotype" w:cs="Arial"/>
          <w:i/>
          <w:color w:val="000000" w:themeColor="text1"/>
          <w:lang w:val="es-ES"/>
        </w:rPr>
        <w:t>”</w:t>
      </w:r>
      <w:r w:rsidRPr="0036005D">
        <w:rPr>
          <w:rFonts w:ascii="Palatino Linotype" w:eastAsia="Times New Roman" w:hAnsi="Palatino Linotype" w:cs="Arial"/>
          <w:color w:val="000000" w:themeColor="text1"/>
          <w:lang w:val="es-ES"/>
        </w:rPr>
        <w:t xml:space="preserve"> (Sic).</w:t>
      </w:r>
    </w:p>
    <w:p w14:paraId="4D16C3B0" w14:textId="77777777" w:rsidR="00E34622" w:rsidRPr="0036005D" w:rsidRDefault="00E34622" w:rsidP="00B31E90">
      <w:pPr>
        <w:pStyle w:val="Prrafodelista"/>
        <w:tabs>
          <w:tab w:val="left" w:pos="426"/>
        </w:tabs>
        <w:spacing w:line="360" w:lineRule="auto"/>
        <w:ind w:left="284"/>
        <w:jc w:val="both"/>
        <w:rPr>
          <w:rFonts w:ascii="Palatino Linotype" w:hAnsi="Palatino Linotype"/>
          <w:color w:val="000000" w:themeColor="text1"/>
          <w:szCs w:val="22"/>
        </w:rPr>
      </w:pPr>
    </w:p>
    <w:p w14:paraId="266FF28E" w14:textId="1BF08FA3" w:rsidR="00F176C0" w:rsidRPr="0036005D" w:rsidRDefault="005F1362"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6005D">
        <w:rPr>
          <w:rFonts w:ascii="Palatino Linotype" w:eastAsia="Times New Roman" w:hAnsi="Palatino Linotype" w:cs="Arial"/>
          <w:color w:val="000000" w:themeColor="text1"/>
          <w:lang w:val="es-ES"/>
        </w:rPr>
        <w:lastRenderedPageBreak/>
        <w:t>S</w:t>
      </w:r>
      <w:r w:rsidR="00F176C0" w:rsidRPr="0036005D">
        <w:rPr>
          <w:rFonts w:ascii="Palatino Linotype" w:eastAsia="Times New Roman" w:hAnsi="Palatino Linotype" w:cs="Arial"/>
          <w:color w:val="000000" w:themeColor="text1"/>
          <w:lang w:val="es-ES"/>
        </w:rPr>
        <w:t xml:space="preserve">e hace constar que el ahora </w:t>
      </w:r>
      <w:r w:rsidR="00F176C0" w:rsidRPr="0036005D">
        <w:rPr>
          <w:rFonts w:ascii="Palatino Linotype" w:eastAsia="Times New Roman" w:hAnsi="Palatino Linotype" w:cs="Arial"/>
          <w:b/>
          <w:color w:val="000000" w:themeColor="text1"/>
          <w:lang w:val="es-ES"/>
        </w:rPr>
        <w:t>RECURRENTE</w:t>
      </w:r>
      <w:r w:rsidR="00F176C0" w:rsidRPr="0036005D">
        <w:rPr>
          <w:rFonts w:ascii="Palatino Linotype" w:eastAsia="Times New Roman" w:hAnsi="Palatino Linotype" w:cs="Arial"/>
          <w:color w:val="000000" w:themeColor="text1"/>
          <w:lang w:val="es-ES"/>
        </w:rPr>
        <w:t xml:space="preserve"> adjuntó a su impugnación el siguiente archivo electrónico:</w:t>
      </w:r>
    </w:p>
    <w:p w14:paraId="76C325E5" w14:textId="7B60AF85" w:rsidR="00F176C0" w:rsidRPr="0036005D" w:rsidRDefault="00F176C0" w:rsidP="00F176C0">
      <w:pPr>
        <w:pStyle w:val="Prrafodelista"/>
        <w:numPr>
          <w:ilvl w:val="1"/>
          <w:numId w:val="17"/>
        </w:numPr>
        <w:tabs>
          <w:tab w:val="left" w:pos="426"/>
        </w:tabs>
        <w:spacing w:line="360" w:lineRule="auto"/>
        <w:ind w:left="1134"/>
        <w:jc w:val="both"/>
        <w:rPr>
          <w:rFonts w:ascii="Palatino Linotype" w:eastAsia="Calibri" w:hAnsi="Palatino Linotype" w:cs="Arial"/>
          <w:color w:val="000000" w:themeColor="text1"/>
          <w:lang w:val="es-ES"/>
        </w:rPr>
      </w:pPr>
      <w:r w:rsidRPr="0036005D">
        <w:rPr>
          <w:rFonts w:ascii="Palatino Linotype" w:eastAsia="Times New Roman" w:hAnsi="Palatino Linotype" w:cs="Arial"/>
          <w:b/>
          <w:i/>
          <w:color w:val="000000" w:themeColor="text1"/>
          <w:lang w:val="es-ES"/>
        </w:rPr>
        <w:t>“IPOMEX.pdf”</w:t>
      </w:r>
      <w:r w:rsidRPr="0036005D">
        <w:rPr>
          <w:rFonts w:ascii="Palatino Linotype" w:eastAsia="Times New Roman" w:hAnsi="Palatino Linotype" w:cs="Arial"/>
          <w:color w:val="000000" w:themeColor="text1"/>
          <w:lang w:val="es-ES"/>
        </w:rPr>
        <w:t xml:space="preserve">: Documento de una foja donde se observa la fotografía tomada a la Comisionada Guadalupe Ramírez Peña, </w:t>
      </w:r>
      <w:r w:rsidR="001B6695" w:rsidRPr="0036005D">
        <w:rPr>
          <w:rFonts w:ascii="Palatino Linotype" w:eastAsia="Times New Roman" w:hAnsi="Palatino Linotype" w:cs="Arial"/>
          <w:color w:val="000000" w:themeColor="text1"/>
          <w:lang w:val="es-ES"/>
        </w:rPr>
        <w:t>sosteniendo un micrófono, así como una hoja cuyo contenido será analizado más adelante.</w:t>
      </w:r>
    </w:p>
    <w:p w14:paraId="4E1FC44C" w14:textId="77777777" w:rsidR="00F176C0" w:rsidRPr="0036005D" w:rsidRDefault="00F176C0" w:rsidP="00F176C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65CB77BE" w14:textId="67F571E8" w:rsidR="005F1362" w:rsidRPr="0036005D" w:rsidRDefault="00F176C0"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6005D">
        <w:rPr>
          <w:rFonts w:ascii="Palatino Linotype" w:eastAsia="Times New Roman" w:hAnsi="Palatino Linotype" w:cs="Arial"/>
          <w:color w:val="000000" w:themeColor="text1"/>
          <w:lang w:val="es-ES"/>
        </w:rPr>
        <w:t>S</w:t>
      </w:r>
      <w:r w:rsidR="005F1362" w:rsidRPr="0036005D">
        <w:rPr>
          <w:rFonts w:ascii="Palatino Linotype" w:eastAsia="Times New Roman" w:hAnsi="Palatino Linotype" w:cs="Arial"/>
          <w:color w:val="000000" w:themeColor="text1"/>
          <w:lang w:val="es-ES"/>
        </w:rPr>
        <w:t xml:space="preserve">e registró el recurso de revisión bajo el número de expediente </w:t>
      </w:r>
      <w:r w:rsidR="004F785F" w:rsidRPr="0036005D">
        <w:rPr>
          <w:rFonts w:ascii="Palatino Linotype" w:hAnsi="Palatino Linotype" w:cs="Arial"/>
          <w:bCs/>
          <w:color w:val="000000" w:themeColor="text1"/>
        </w:rPr>
        <w:t>al rubro indicado</w:t>
      </w:r>
      <w:r w:rsidR="00B970A2" w:rsidRPr="0036005D">
        <w:rPr>
          <w:rFonts w:ascii="Palatino Linotype" w:hAnsi="Palatino Linotype" w:cs="Arial"/>
          <w:bCs/>
          <w:color w:val="000000" w:themeColor="text1"/>
        </w:rPr>
        <w:t>;</w:t>
      </w:r>
      <w:r w:rsidR="004F785F" w:rsidRPr="0036005D">
        <w:rPr>
          <w:rFonts w:ascii="Palatino Linotype" w:hAnsi="Palatino Linotype" w:cs="Arial"/>
          <w:bCs/>
          <w:color w:val="000000" w:themeColor="text1"/>
        </w:rPr>
        <w:t xml:space="preserve"> asi</w:t>
      </w:r>
      <w:r w:rsidR="005F1362" w:rsidRPr="0036005D">
        <w:rPr>
          <w:rFonts w:ascii="Palatino Linotype" w:hAnsi="Palatino Linotype" w:cs="Arial"/>
          <w:bCs/>
          <w:color w:val="000000" w:themeColor="text1"/>
        </w:rPr>
        <w:t xml:space="preserve">mismo, con fundamento en lo dispuesto por el </w:t>
      </w:r>
      <w:r w:rsidR="005F1362" w:rsidRPr="0036005D">
        <w:rPr>
          <w:rFonts w:ascii="Palatino Linotype" w:eastAsia="Calibri" w:hAnsi="Palatino Linotype" w:cs="Arial"/>
          <w:bCs/>
          <w:color w:val="000000" w:themeColor="text1"/>
          <w:lang w:val="es-ES"/>
        </w:rPr>
        <w:t>artículo 185</w:t>
      </w:r>
      <w:r w:rsidR="00B970A2" w:rsidRPr="0036005D">
        <w:rPr>
          <w:rFonts w:ascii="Palatino Linotype" w:eastAsia="Calibri" w:hAnsi="Palatino Linotype" w:cs="Arial"/>
          <w:bCs/>
          <w:color w:val="000000" w:themeColor="text1"/>
          <w:lang w:val="es-ES"/>
        </w:rPr>
        <w:t>,</w:t>
      </w:r>
      <w:r w:rsidR="005F1362" w:rsidRPr="0036005D">
        <w:rPr>
          <w:rFonts w:ascii="Palatino Linotype" w:eastAsia="Calibri" w:hAnsi="Palatino Linotype" w:cs="Arial"/>
          <w:bCs/>
          <w:color w:val="000000" w:themeColor="text1"/>
          <w:lang w:val="es-ES"/>
        </w:rPr>
        <w:t xml:space="preserve"> fracción I</w:t>
      </w:r>
      <w:r w:rsidR="00B970A2" w:rsidRPr="0036005D">
        <w:rPr>
          <w:rFonts w:ascii="Palatino Linotype" w:eastAsia="Calibri" w:hAnsi="Palatino Linotype" w:cs="Arial"/>
          <w:bCs/>
          <w:color w:val="000000" w:themeColor="text1"/>
          <w:lang w:val="es-ES"/>
        </w:rPr>
        <w:t>,</w:t>
      </w:r>
      <w:r w:rsidR="005F1362" w:rsidRPr="0036005D">
        <w:rPr>
          <w:rFonts w:ascii="Palatino Linotype" w:eastAsia="Calibri" w:hAnsi="Palatino Linotype" w:cs="Arial"/>
          <w:bCs/>
          <w:color w:val="000000" w:themeColor="text1"/>
          <w:lang w:val="es-ES"/>
        </w:rPr>
        <w:t xml:space="preserve"> de la Ley de Transparencia y Acceso a la Información Pública del Estado de México y Municipios</w:t>
      </w:r>
      <w:r w:rsidR="00B970A2" w:rsidRPr="0036005D">
        <w:rPr>
          <w:rFonts w:ascii="Palatino Linotype" w:eastAsia="Calibri" w:hAnsi="Palatino Linotype" w:cs="Arial"/>
          <w:bCs/>
          <w:color w:val="000000" w:themeColor="text1"/>
          <w:lang w:val="es-ES"/>
        </w:rPr>
        <w:t>,</w:t>
      </w:r>
      <w:r w:rsidR="005F1362" w:rsidRPr="0036005D">
        <w:rPr>
          <w:rFonts w:ascii="Palatino Linotype" w:eastAsia="Calibri" w:hAnsi="Palatino Linotype" w:cs="Arial"/>
          <w:bCs/>
          <w:color w:val="000000" w:themeColor="text1"/>
          <w:lang w:val="es-ES"/>
        </w:rPr>
        <w:t xml:space="preserve"> </w:t>
      </w:r>
      <w:r w:rsidR="005F1362" w:rsidRPr="0036005D">
        <w:rPr>
          <w:rFonts w:ascii="Palatino Linotype" w:eastAsia="Times New Roman" w:hAnsi="Palatino Linotype" w:cs="Arial"/>
          <w:bCs/>
          <w:color w:val="000000" w:themeColor="text1"/>
          <w:lang w:val="es-ES"/>
        </w:rPr>
        <w:t xml:space="preserve">se turnó </w:t>
      </w:r>
      <w:r w:rsidR="0096234B" w:rsidRPr="0036005D">
        <w:rPr>
          <w:rFonts w:ascii="Palatino Linotype" w:eastAsia="Times New Roman" w:hAnsi="Palatino Linotype" w:cs="Arial"/>
          <w:bCs/>
          <w:color w:val="000000" w:themeColor="text1"/>
          <w:lang w:val="es-ES"/>
        </w:rPr>
        <w:t xml:space="preserve">a la </w:t>
      </w:r>
      <w:r w:rsidR="0096234B" w:rsidRPr="0036005D">
        <w:rPr>
          <w:rFonts w:ascii="Palatino Linotype" w:eastAsia="Times New Roman" w:hAnsi="Palatino Linotype" w:cs="Arial"/>
          <w:b/>
          <w:color w:val="000000" w:themeColor="text1"/>
          <w:lang w:val="es-ES"/>
        </w:rPr>
        <w:t xml:space="preserve">Comisionada </w:t>
      </w:r>
      <w:r w:rsidR="00D12402" w:rsidRPr="0036005D">
        <w:rPr>
          <w:rFonts w:ascii="Palatino Linotype" w:eastAsia="Times New Roman" w:hAnsi="Palatino Linotype" w:cs="Arial"/>
          <w:b/>
          <w:color w:val="000000" w:themeColor="text1"/>
          <w:lang w:val="es-ES"/>
        </w:rPr>
        <w:t>María del Rosario Mejía Ayala</w:t>
      </w:r>
      <w:r w:rsidR="005F1362" w:rsidRPr="0036005D">
        <w:rPr>
          <w:rFonts w:ascii="Palatino Linotype" w:eastAsia="Times New Roman" w:hAnsi="Palatino Linotype" w:cs="Arial"/>
          <w:bCs/>
          <w:color w:val="000000" w:themeColor="text1"/>
          <w:lang w:val="es-ES"/>
        </w:rPr>
        <w:t xml:space="preserve">, con el objeto de </w:t>
      </w:r>
      <w:r w:rsidR="005F1362" w:rsidRPr="0036005D">
        <w:rPr>
          <w:rFonts w:ascii="Palatino Linotype" w:eastAsia="Times New Roman" w:hAnsi="Palatino Linotype" w:cs="Arial"/>
          <w:bCs/>
          <w:color w:val="000000" w:themeColor="text1"/>
        </w:rPr>
        <w:t>su análisis.</w:t>
      </w:r>
    </w:p>
    <w:p w14:paraId="2BDE682E" w14:textId="77777777" w:rsidR="005F1362" w:rsidRPr="0036005D" w:rsidRDefault="005F1362" w:rsidP="00B31E90">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7DD2621B" w14:textId="73F11774" w:rsidR="007446C2" w:rsidRPr="0036005D" w:rsidRDefault="0096234B" w:rsidP="00DA22D8">
      <w:pPr>
        <w:pStyle w:val="Prrafodelista"/>
        <w:numPr>
          <w:ilvl w:val="0"/>
          <w:numId w:val="1"/>
        </w:numPr>
        <w:tabs>
          <w:tab w:val="left" w:pos="426"/>
        </w:tabs>
        <w:spacing w:line="360" w:lineRule="auto"/>
        <w:jc w:val="both"/>
        <w:rPr>
          <w:rFonts w:ascii="Palatino Linotype" w:eastAsia="Calibri" w:hAnsi="Palatino Linotype" w:cs="Arial"/>
          <w:color w:val="000000" w:themeColor="text1"/>
          <w:lang w:val="es-ES"/>
        </w:rPr>
      </w:pPr>
      <w:r w:rsidRPr="0036005D">
        <w:rPr>
          <w:rFonts w:ascii="Palatino Linotype" w:eastAsia="Times New Roman" w:hAnsi="Palatino Linotype" w:cs="Arial"/>
          <w:color w:val="000000" w:themeColor="text1"/>
          <w:lang w:val="es-ES"/>
        </w:rPr>
        <w:t>La</w:t>
      </w:r>
      <w:r w:rsidR="00E647FF" w:rsidRPr="0036005D">
        <w:rPr>
          <w:rFonts w:ascii="Palatino Linotype" w:eastAsia="Times New Roman" w:hAnsi="Palatino Linotype" w:cs="Arial"/>
          <w:color w:val="000000" w:themeColor="text1"/>
          <w:lang w:val="es-ES"/>
        </w:rPr>
        <w:t xml:space="preserve"> </w:t>
      </w:r>
      <w:r w:rsidR="0004686A" w:rsidRPr="0036005D">
        <w:rPr>
          <w:rFonts w:ascii="Palatino Linotype" w:eastAsia="Calibri" w:hAnsi="Palatino Linotype" w:cs="Arial"/>
          <w:color w:val="000000" w:themeColor="text1"/>
          <w:lang w:val="es-ES"/>
        </w:rPr>
        <w:t>Comisionad</w:t>
      </w:r>
      <w:r w:rsidRPr="0036005D">
        <w:rPr>
          <w:rFonts w:ascii="Palatino Linotype" w:eastAsia="Calibri" w:hAnsi="Palatino Linotype" w:cs="Arial"/>
          <w:color w:val="000000" w:themeColor="text1"/>
          <w:lang w:val="es-ES"/>
        </w:rPr>
        <w:t>a</w:t>
      </w:r>
      <w:r w:rsidR="0004686A" w:rsidRPr="0036005D">
        <w:rPr>
          <w:rFonts w:ascii="Palatino Linotype" w:eastAsia="Calibri" w:hAnsi="Palatino Linotype" w:cs="Arial"/>
          <w:color w:val="000000" w:themeColor="text1"/>
          <w:lang w:val="es-ES"/>
        </w:rPr>
        <w:t xml:space="preserve"> Ponente</w:t>
      </w:r>
      <w:r w:rsidR="006B31E7" w:rsidRPr="0036005D">
        <w:rPr>
          <w:rFonts w:ascii="Palatino Linotype" w:eastAsia="Calibri" w:hAnsi="Palatino Linotype" w:cs="Arial"/>
          <w:color w:val="000000" w:themeColor="text1"/>
          <w:lang w:val="es-ES"/>
        </w:rPr>
        <w:t>,</w:t>
      </w:r>
      <w:r w:rsidR="0004686A" w:rsidRPr="0036005D">
        <w:rPr>
          <w:rFonts w:ascii="Palatino Linotype" w:eastAsia="Calibri" w:hAnsi="Palatino Linotype" w:cs="Arial"/>
          <w:color w:val="000000" w:themeColor="text1"/>
          <w:lang w:val="es-ES"/>
        </w:rPr>
        <w:t xml:space="preserve"> con fundamento en lo dispuesto por el artículo 185</w:t>
      </w:r>
      <w:r w:rsidR="00B970A2" w:rsidRPr="0036005D">
        <w:rPr>
          <w:rFonts w:ascii="Palatino Linotype" w:eastAsia="Calibri" w:hAnsi="Palatino Linotype" w:cs="Arial"/>
          <w:color w:val="000000" w:themeColor="text1"/>
          <w:lang w:val="es-ES"/>
        </w:rPr>
        <w:t>,</w:t>
      </w:r>
      <w:r w:rsidR="0004686A" w:rsidRPr="0036005D">
        <w:rPr>
          <w:rFonts w:ascii="Palatino Linotype" w:eastAsia="Calibri" w:hAnsi="Palatino Linotype" w:cs="Arial"/>
          <w:color w:val="000000" w:themeColor="text1"/>
          <w:lang w:val="es-ES"/>
        </w:rPr>
        <w:t xml:space="preserve"> fracción II</w:t>
      </w:r>
      <w:r w:rsidR="00B970A2" w:rsidRPr="0036005D">
        <w:rPr>
          <w:rFonts w:ascii="Palatino Linotype" w:eastAsia="Calibri" w:hAnsi="Palatino Linotype" w:cs="Arial"/>
          <w:color w:val="000000" w:themeColor="text1"/>
          <w:lang w:val="es-ES"/>
        </w:rPr>
        <w:t>,</w:t>
      </w:r>
      <w:r w:rsidR="0004686A" w:rsidRPr="0036005D">
        <w:rPr>
          <w:rFonts w:ascii="Palatino Linotype" w:eastAsia="Calibri" w:hAnsi="Palatino Linotype" w:cs="Arial"/>
          <w:color w:val="000000" w:themeColor="text1"/>
          <w:lang w:val="es-ES"/>
        </w:rPr>
        <w:t xml:space="preserve"> de la </w:t>
      </w:r>
      <w:r w:rsidR="00613655" w:rsidRPr="0036005D">
        <w:rPr>
          <w:rFonts w:ascii="Palatino Linotype" w:eastAsia="Calibri" w:hAnsi="Palatino Linotype" w:cs="Arial"/>
          <w:color w:val="000000" w:themeColor="text1"/>
          <w:lang w:val="es-ES"/>
        </w:rPr>
        <w:t>Ley de Transparencia y Acceso a la Información Pública del Estado de México y Municipios</w:t>
      </w:r>
      <w:r w:rsidR="0004686A" w:rsidRPr="0036005D">
        <w:rPr>
          <w:rFonts w:ascii="Palatino Linotype" w:eastAsia="Calibri" w:hAnsi="Palatino Linotype" w:cs="Arial"/>
          <w:color w:val="000000" w:themeColor="text1"/>
          <w:lang w:val="es-ES"/>
        </w:rPr>
        <w:t xml:space="preserve">, a través </w:t>
      </w:r>
      <w:r w:rsidR="006E4E2A" w:rsidRPr="0036005D">
        <w:rPr>
          <w:rFonts w:ascii="Palatino Linotype" w:eastAsia="Calibri" w:hAnsi="Palatino Linotype" w:cs="Arial"/>
          <w:color w:val="000000" w:themeColor="text1"/>
          <w:lang w:val="es-ES"/>
        </w:rPr>
        <w:t>del</w:t>
      </w:r>
      <w:r w:rsidR="0004686A" w:rsidRPr="0036005D">
        <w:rPr>
          <w:rFonts w:ascii="Palatino Linotype" w:eastAsia="Calibri" w:hAnsi="Palatino Linotype" w:cs="Arial"/>
          <w:color w:val="000000" w:themeColor="text1"/>
          <w:lang w:val="es-ES"/>
        </w:rPr>
        <w:t xml:space="preserve"> </w:t>
      </w:r>
      <w:r w:rsidR="00B81371" w:rsidRPr="0036005D">
        <w:rPr>
          <w:rFonts w:ascii="Palatino Linotype" w:eastAsia="Calibri" w:hAnsi="Palatino Linotype" w:cs="Arial"/>
          <w:color w:val="000000" w:themeColor="text1"/>
          <w:lang w:val="es-ES"/>
        </w:rPr>
        <w:t xml:space="preserve">acuerdo </w:t>
      </w:r>
      <w:r w:rsidR="00F147C6" w:rsidRPr="0036005D">
        <w:rPr>
          <w:rFonts w:ascii="Palatino Linotype" w:eastAsia="Calibri" w:hAnsi="Palatino Linotype" w:cs="Arial"/>
          <w:color w:val="000000" w:themeColor="text1"/>
          <w:lang w:val="es-ES"/>
        </w:rPr>
        <w:t xml:space="preserve">de admisión </w:t>
      </w:r>
      <w:r w:rsidR="00B81371" w:rsidRPr="0036005D">
        <w:rPr>
          <w:rFonts w:ascii="Palatino Linotype" w:eastAsia="Calibri" w:hAnsi="Palatino Linotype" w:cs="Arial"/>
          <w:color w:val="000000" w:themeColor="text1"/>
          <w:lang w:val="es-ES"/>
        </w:rPr>
        <w:t xml:space="preserve">de </w:t>
      </w:r>
      <w:r w:rsidR="001B6695" w:rsidRPr="0036005D">
        <w:rPr>
          <w:rFonts w:ascii="Palatino Linotype" w:eastAsia="Calibri" w:hAnsi="Palatino Linotype" w:cs="Arial"/>
          <w:color w:val="000000" w:themeColor="text1"/>
          <w:lang w:val="es-ES"/>
        </w:rPr>
        <w:t>once (11) de marzo</w:t>
      </w:r>
      <w:r w:rsidR="00A33B22" w:rsidRPr="0036005D">
        <w:rPr>
          <w:rFonts w:ascii="Palatino Linotype" w:eastAsia="Calibri" w:hAnsi="Palatino Linotype" w:cs="Arial"/>
          <w:color w:val="000000" w:themeColor="text1"/>
          <w:lang w:val="es-ES"/>
        </w:rPr>
        <w:t xml:space="preserve"> de dos mil veintidós</w:t>
      </w:r>
      <w:r w:rsidR="006A1047" w:rsidRPr="0036005D">
        <w:rPr>
          <w:rFonts w:ascii="Palatino Linotype" w:eastAsia="Calibri" w:hAnsi="Palatino Linotype" w:cs="Arial"/>
          <w:color w:val="000000" w:themeColor="text1"/>
          <w:lang w:val="es-ES"/>
        </w:rPr>
        <w:t xml:space="preserve">, </w:t>
      </w:r>
      <w:r w:rsidR="00B81371" w:rsidRPr="0036005D">
        <w:rPr>
          <w:rFonts w:ascii="Palatino Linotype" w:eastAsia="Calibri" w:hAnsi="Palatino Linotype" w:cs="Arial"/>
          <w:color w:val="000000" w:themeColor="text1"/>
          <w:lang w:val="es-ES"/>
        </w:rPr>
        <w:t xml:space="preserve">puso a </w:t>
      </w:r>
      <w:r w:rsidR="00875167" w:rsidRPr="0036005D">
        <w:rPr>
          <w:rFonts w:ascii="Palatino Linotype" w:eastAsia="Calibri" w:hAnsi="Palatino Linotype" w:cs="Arial"/>
          <w:color w:val="000000" w:themeColor="text1"/>
          <w:lang w:val="es-ES"/>
        </w:rPr>
        <w:t>disposición</w:t>
      </w:r>
      <w:r w:rsidR="00B81371" w:rsidRPr="0036005D">
        <w:rPr>
          <w:rFonts w:ascii="Palatino Linotype" w:eastAsia="Calibri" w:hAnsi="Palatino Linotype" w:cs="Arial"/>
          <w:color w:val="000000" w:themeColor="text1"/>
          <w:lang w:val="es-ES"/>
        </w:rPr>
        <w:t xml:space="preserve"> de las partes el expediente electrónico</w:t>
      </w:r>
      <w:r w:rsidR="00A33B22" w:rsidRPr="0036005D">
        <w:rPr>
          <w:rFonts w:ascii="Palatino Linotype" w:eastAsia="Calibri" w:hAnsi="Palatino Linotype" w:cs="Arial"/>
          <w:color w:val="000000" w:themeColor="text1"/>
          <w:lang w:val="es-ES"/>
        </w:rPr>
        <w:t>,</w:t>
      </w:r>
      <w:r w:rsidR="00B81371" w:rsidRPr="0036005D">
        <w:rPr>
          <w:rFonts w:ascii="Palatino Linotype" w:eastAsia="Calibri" w:hAnsi="Palatino Linotype" w:cs="Arial"/>
          <w:color w:val="000000" w:themeColor="text1"/>
          <w:lang w:val="es-ES"/>
        </w:rPr>
        <w:t xml:space="preserve"> </w:t>
      </w:r>
      <w:r w:rsidR="00B81371" w:rsidRPr="0036005D">
        <w:rPr>
          <w:rFonts w:ascii="Palatino Linotype" w:eastAsia="Calibri" w:hAnsi="Palatino Linotype" w:cs="Arial"/>
          <w:color w:val="000000" w:themeColor="text1"/>
        </w:rPr>
        <w:t xml:space="preserve">vía </w:t>
      </w:r>
      <w:r w:rsidR="00A33B22" w:rsidRPr="0036005D">
        <w:rPr>
          <w:rFonts w:ascii="Palatino Linotype" w:eastAsia="Calibri" w:hAnsi="Palatino Linotype" w:cs="Arial"/>
          <w:color w:val="000000" w:themeColor="text1"/>
          <w:lang w:val="es-ES"/>
        </w:rPr>
        <w:t>SAIMEX,</w:t>
      </w:r>
      <w:r w:rsidR="00B81371" w:rsidRPr="0036005D">
        <w:rPr>
          <w:rFonts w:ascii="Palatino Linotype" w:eastAsia="Calibri" w:hAnsi="Palatino Linotype" w:cs="Arial"/>
          <w:b/>
          <w:color w:val="000000" w:themeColor="text1"/>
          <w:lang w:val="es-ES"/>
        </w:rPr>
        <w:t xml:space="preserve"> </w:t>
      </w:r>
      <w:r w:rsidR="00B81371" w:rsidRPr="0036005D">
        <w:rPr>
          <w:rFonts w:ascii="Palatino Linotype" w:eastAsia="Calibri" w:hAnsi="Palatino Linotype" w:cs="Arial"/>
          <w:color w:val="000000" w:themeColor="text1"/>
          <w:lang w:val="es-ES"/>
        </w:rPr>
        <w:t xml:space="preserve">a efecto de que en un plazo máximo de siete días </w:t>
      </w:r>
      <w:r w:rsidR="00875167" w:rsidRPr="0036005D">
        <w:rPr>
          <w:rFonts w:ascii="Palatino Linotype" w:eastAsia="Calibri" w:hAnsi="Palatino Linotype" w:cs="Arial"/>
          <w:color w:val="000000" w:themeColor="text1"/>
          <w:lang w:val="es-ES"/>
        </w:rPr>
        <w:t>manifestaran</w:t>
      </w:r>
      <w:r w:rsidR="00B81371" w:rsidRPr="0036005D">
        <w:rPr>
          <w:rFonts w:ascii="Palatino Linotype" w:eastAsia="Calibri" w:hAnsi="Palatino Linotype" w:cs="Arial"/>
          <w:color w:val="000000" w:themeColor="text1"/>
          <w:lang w:val="es-ES"/>
        </w:rPr>
        <w:t xml:space="preserve"> lo que a</w:t>
      </w:r>
      <w:r w:rsidR="003A2029" w:rsidRPr="0036005D">
        <w:rPr>
          <w:rFonts w:ascii="Palatino Linotype" w:eastAsia="Calibri" w:hAnsi="Palatino Linotype" w:cs="Arial"/>
          <w:color w:val="000000" w:themeColor="text1"/>
          <w:lang w:val="es-ES"/>
        </w:rPr>
        <w:t xml:space="preserve"> su</w:t>
      </w:r>
      <w:r w:rsidR="00B81371" w:rsidRPr="0036005D">
        <w:rPr>
          <w:rFonts w:ascii="Palatino Linotype" w:eastAsia="Calibri" w:hAnsi="Palatino Linotype" w:cs="Arial"/>
          <w:color w:val="000000" w:themeColor="text1"/>
          <w:lang w:val="es-ES"/>
        </w:rPr>
        <w:t xml:space="preserve"> derecho conviniera</w:t>
      </w:r>
      <w:r w:rsidR="00875167" w:rsidRPr="0036005D">
        <w:rPr>
          <w:rFonts w:ascii="Palatino Linotype" w:eastAsia="Calibri" w:hAnsi="Palatino Linotype" w:cs="Arial"/>
          <w:color w:val="000000" w:themeColor="text1"/>
          <w:lang w:val="es-ES"/>
        </w:rPr>
        <w:t>n</w:t>
      </w:r>
      <w:r w:rsidR="00032493" w:rsidRPr="0036005D">
        <w:rPr>
          <w:rFonts w:ascii="Palatino Linotype" w:eastAsia="Calibri" w:hAnsi="Palatino Linotype" w:cs="Arial"/>
          <w:color w:val="000000" w:themeColor="text1"/>
          <w:lang w:val="es-ES"/>
        </w:rPr>
        <w:t>,</w:t>
      </w:r>
      <w:r w:rsidR="00B81371" w:rsidRPr="0036005D">
        <w:rPr>
          <w:rFonts w:ascii="Palatino Linotype" w:eastAsia="Calibri" w:hAnsi="Palatino Linotype" w:cs="Arial"/>
          <w:color w:val="000000" w:themeColor="text1"/>
          <w:lang w:val="es-ES"/>
        </w:rPr>
        <w:t xml:space="preserve"> </w:t>
      </w:r>
      <w:r w:rsidR="00875167" w:rsidRPr="0036005D">
        <w:rPr>
          <w:rFonts w:ascii="Palatino Linotype" w:eastAsia="Calibri" w:hAnsi="Palatino Linotype" w:cs="Arial"/>
          <w:color w:val="000000" w:themeColor="text1"/>
          <w:lang w:val="es-ES"/>
        </w:rPr>
        <w:t>ofrecieran pruebas y</w:t>
      </w:r>
      <w:r w:rsidR="00132C06" w:rsidRPr="0036005D">
        <w:rPr>
          <w:rFonts w:ascii="Palatino Linotype" w:eastAsia="Calibri" w:hAnsi="Palatino Linotype" w:cs="Arial"/>
          <w:color w:val="000000" w:themeColor="text1"/>
          <w:lang w:val="es-ES"/>
        </w:rPr>
        <w:t xml:space="preserve"> </w:t>
      </w:r>
      <w:r w:rsidR="00875167" w:rsidRPr="0036005D">
        <w:rPr>
          <w:rFonts w:ascii="Palatino Linotype" w:eastAsia="Calibri" w:hAnsi="Palatino Linotype" w:cs="Arial"/>
          <w:color w:val="000000" w:themeColor="text1"/>
          <w:lang w:val="es-ES"/>
        </w:rPr>
        <w:t>alegatos según corresponda a</w:t>
      </w:r>
      <w:r w:rsidR="004C20F2" w:rsidRPr="0036005D">
        <w:rPr>
          <w:rFonts w:ascii="Palatino Linotype" w:eastAsia="Calibri" w:hAnsi="Palatino Linotype" w:cs="Arial"/>
          <w:color w:val="000000" w:themeColor="text1"/>
          <w:lang w:val="es-ES"/>
        </w:rPr>
        <w:t xml:space="preserve"> </w:t>
      </w:r>
      <w:r w:rsidR="00875167" w:rsidRPr="0036005D">
        <w:rPr>
          <w:rFonts w:ascii="Palatino Linotype" w:eastAsia="Calibri" w:hAnsi="Palatino Linotype" w:cs="Arial"/>
          <w:color w:val="000000" w:themeColor="text1"/>
          <w:lang w:val="es-ES"/>
        </w:rPr>
        <w:t>l</w:t>
      </w:r>
      <w:r w:rsidR="004C20F2" w:rsidRPr="0036005D">
        <w:rPr>
          <w:rFonts w:ascii="Palatino Linotype" w:eastAsia="Calibri" w:hAnsi="Palatino Linotype" w:cs="Arial"/>
          <w:color w:val="000000" w:themeColor="text1"/>
          <w:lang w:val="es-ES"/>
        </w:rPr>
        <w:t>os</w:t>
      </w:r>
      <w:r w:rsidR="00875167" w:rsidRPr="0036005D">
        <w:rPr>
          <w:rFonts w:ascii="Palatino Linotype" w:eastAsia="Calibri" w:hAnsi="Palatino Linotype" w:cs="Arial"/>
          <w:color w:val="000000" w:themeColor="text1"/>
          <w:lang w:val="es-ES"/>
        </w:rPr>
        <w:t xml:space="preserve"> caso</w:t>
      </w:r>
      <w:r w:rsidR="004C20F2" w:rsidRPr="0036005D">
        <w:rPr>
          <w:rFonts w:ascii="Palatino Linotype" w:eastAsia="Calibri" w:hAnsi="Palatino Linotype" w:cs="Arial"/>
          <w:color w:val="000000" w:themeColor="text1"/>
          <w:lang w:val="es-ES"/>
        </w:rPr>
        <w:t>s</w:t>
      </w:r>
      <w:r w:rsidR="00875167" w:rsidRPr="0036005D">
        <w:rPr>
          <w:rFonts w:ascii="Palatino Linotype" w:eastAsia="Calibri" w:hAnsi="Palatino Linotype" w:cs="Arial"/>
          <w:color w:val="000000" w:themeColor="text1"/>
          <w:lang w:val="es-ES"/>
        </w:rPr>
        <w:t xml:space="preserve"> concreto</w:t>
      </w:r>
      <w:r w:rsidR="004C20F2" w:rsidRPr="0036005D">
        <w:rPr>
          <w:rFonts w:ascii="Palatino Linotype" w:eastAsia="Calibri" w:hAnsi="Palatino Linotype" w:cs="Arial"/>
          <w:color w:val="000000" w:themeColor="text1"/>
          <w:lang w:val="es-ES"/>
        </w:rPr>
        <w:t>s</w:t>
      </w:r>
      <w:r w:rsidR="00875167" w:rsidRPr="0036005D">
        <w:rPr>
          <w:rFonts w:ascii="Palatino Linotype" w:eastAsia="Calibri" w:hAnsi="Palatino Linotype" w:cs="Arial"/>
          <w:color w:val="000000" w:themeColor="text1"/>
          <w:lang w:val="es-ES"/>
        </w:rPr>
        <w:t xml:space="preserve">, </w:t>
      </w:r>
      <w:r w:rsidR="00F147C6" w:rsidRPr="0036005D">
        <w:rPr>
          <w:rFonts w:ascii="Palatino Linotype" w:eastAsia="Calibri" w:hAnsi="Palatino Linotype" w:cs="Arial"/>
          <w:color w:val="000000" w:themeColor="text1"/>
          <w:lang w:val="es-ES"/>
        </w:rPr>
        <w:t>de esta forma</w:t>
      </w:r>
      <w:r w:rsidR="00875167" w:rsidRPr="0036005D">
        <w:rPr>
          <w:rFonts w:ascii="Palatino Linotype" w:eastAsia="Calibri" w:hAnsi="Palatino Linotype" w:cs="Arial"/>
          <w:color w:val="000000" w:themeColor="text1"/>
          <w:lang w:val="es-ES"/>
        </w:rPr>
        <w:t xml:space="preserve"> para que el </w:t>
      </w:r>
      <w:r w:rsidR="00875167" w:rsidRPr="0036005D">
        <w:rPr>
          <w:rFonts w:ascii="Palatino Linotype" w:eastAsia="Calibri" w:hAnsi="Palatino Linotype" w:cs="Arial"/>
          <w:b/>
          <w:color w:val="000000" w:themeColor="text1"/>
          <w:lang w:val="es-ES"/>
        </w:rPr>
        <w:t>SUJETO OBLIGADO</w:t>
      </w:r>
      <w:r w:rsidR="00875167" w:rsidRPr="0036005D">
        <w:rPr>
          <w:rFonts w:ascii="Palatino Linotype" w:eastAsia="Calibri" w:hAnsi="Palatino Linotype" w:cs="Arial"/>
          <w:color w:val="000000" w:themeColor="text1"/>
          <w:lang w:val="es-ES"/>
        </w:rPr>
        <w:t xml:space="preserve"> </w:t>
      </w:r>
      <w:r w:rsidR="00B81371" w:rsidRPr="0036005D">
        <w:rPr>
          <w:rFonts w:ascii="Palatino Linotype" w:eastAsia="Calibri" w:hAnsi="Palatino Linotype" w:cs="Arial"/>
          <w:color w:val="000000" w:themeColor="text1"/>
          <w:lang w:val="es-ES"/>
        </w:rPr>
        <w:t>presentar</w:t>
      </w:r>
      <w:r w:rsidR="003A03D0" w:rsidRPr="0036005D">
        <w:rPr>
          <w:rFonts w:ascii="Palatino Linotype" w:eastAsia="Calibri" w:hAnsi="Palatino Linotype" w:cs="Arial"/>
          <w:color w:val="000000" w:themeColor="text1"/>
          <w:lang w:val="es-ES"/>
        </w:rPr>
        <w:t>a</w:t>
      </w:r>
      <w:r w:rsidR="00B81371" w:rsidRPr="0036005D">
        <w:rPr>
          <w:rFonts w:ascii="Palatino Linotype" w:eastAsia="Calibri" w:hAnsi="Palatino Linotype" w:cs="Arial"/>
          <w:color w:val="000000" w:themeColor="text1"/>
          <w:lang w:val="es-ES"/>
        </w:rPr>
        <w:t xml:space="preserve"> el </w:t>
      </w:r>
      <w:r w:rsidR="00556F72" w:rsidRPr="0036005D">
        <w:rPr>
          <w:rFonts w:ascii="Palatino Linotype" w:eastAsia="Calibri" w:hAnsi="Palatino Linotype" w:cs="Arial"/>
          <w:color w:val="000000" w:themeColor="text1"/>
          <w:lang w:val="es-ES"/>
        </w:rPr>
        <w:t xml:space="preserve">informe justificado </w:t>
      </w:r>
      <w:r w:rsidR="00875167" w:rsidRPr="0036005D">
        <w:rPr>
          <w:rFonts w:ascii="Palatino Linotype" w:eastAsia="Calibri" w:hAnsi="Palatino Linotype" w:cs="Arial"/>
          <w:color w:val="000000" w:themeColor="text1"/>
          <w:lang w:val="es-ES"/>
        </w:rPr>
        <w:t>procedente</w:t>
      </w:r>
      <w:r w:rsidR="00787184" w:rsidRPr="0036005D">
        <w:rPr>
          <w:rFonts w:ascii="Palatino Linotype" w:eastAsia="Calibri" w:hAnsi="Palatino Linotype" w:cs="Arial"/>
          <w:color w:val="000000" w:themeColor="text1"/>
          <w:lang w:val="es-ES"/>
        </w:rPr>
        <w:t>.</w:t>
      </w:r>
    </w:p>
    <w:p w14:paraId="455C196B" w14:textId="77777777" w:rsidR="003F0DDA" w:rsidRPr="0036005D" w:rsidRDefault="003F0DDA" w:rsidP="003F0DDA">
      <w:pPr>
        <w:pStyle w:val="Prrafodelista"/>
        <w:tabs>
          <w:tab w:val="left" w:pos="426"/>
        </w:tabs>
        <w:spacing w:line="360" w:lineRule="auto"/>
        <w:ind w:left="0"/>
        <w:jc w:val="both"/>
        <w:rPr>
          <w:rFonts w:ascii="Palatino Linotype" w:eastAsia="Calibri" w:hAnsi="Palatino Linotype" w:cs="Arial"/>
          <w:color w:val="000000" w:themeColor="text1"/>
          <w:lang w:val="es-ES"/>
        </w:rPr>
      </w:pPr>
    </w:p>
    <w:p w14:paraId="1270080F" w14:textId="2C1FEDB3" w:rsidR="001E4152" w:rsidRPr="0036005D" w:rsidRDefault="0096234B" w:rsidP="0096234B">
      <w:pPr>
        <w:pStyle w:val="Prrafodelista"/>
        <w:numPr>
          <w:ilvl w:val="0"/>
          <w:numId w:val="1"/>
        </w:numPr>
        <w:tabs>
          <w:tab w:val="left" w:pos="426"/>
        </w:tabs>
        <w:spacing w:line="360" w:lineRule="auto"/>
        <w:jc w:val="both"/>
        <w:rPr>
          <w:rFonts w:ascii="Palatino Linotype" w:hAnsi="Palatino Linotype"/>
          <w:color w:val="000000" w:themeColor="text1"/>
        </w:rPr>
      </w:pPr>
      <w:r w:rsidRPr="0036005D">
        <w:rPr>
          <w:rFonts w:ascii="Palatino Linotype" w:eastAsia="Calibri" w:hAnsi="Palatino Linotype" w:cs="Arial"/>
          <w:color w:val="000000" w:themeColor="text1"/>
          <w:lang w:val="es-ES"/>
        </w:rPr>
        <w:lastRenderedPageBreak/>
        <w:t xml:space="preserve">El </w:t>
      </w:r>
      <w:r w:rsidR="001B6695" w:rsidRPr="0036005D">
        <w:rPr>
          <w:rFonts w:ascii="Palatino Linotype" w:eastAsia="Calibri" w:hAnsi="Palatino Linotype" w:cs="Arial"/>
          <w:color w:val="000000" w:themeColor="text1"/>
          <w:lang w:val="es-ES"/>
        </w:rPr>
        <w:t>veintitrés (23</w:t>
      </w:r>
      <w:r w:rsidR="00F85E14" w:rsidRPr="0036005D">
        <w:rPr>
          <w:rFonts w:ascii="Palatino Linotype" w:eastAsia="Calibri" w:hAnsi="Palatino Linotype" w:cs="Arial"/>
          <w:color w:val="000000" w:themeColor="text1"/>
          <w:lang w:val="es-ES"/>
        </w:rPr>
        <w:t xml:space="preserve">) de </w:t>
      </w:r>
      <w:r w:rsidR="00A33B22" w:rsidRPr="0036005D">
        <w:rPr>
          <w:rFonts w:ascii="Palatino Linotype" w:eastAsia="Calibri" w:hAnsi="Palatino Linotype" w:cs="Arial"/>
          <w:color w:val="000000" w:themeColor="text1"/>
          <w:lang w:val="es-ES"/>
        </w:rPr>
        <w:t>marzo de dos mil veintidós</w:t>
      </w:r>
      <w:r w:rsidRPr="0036005D">
        <w:rPr>
          <w:rFonts w:ascii="Palatino Linotype" w:eastAsia="Calibri" w:hAnsi="Palatino Linotype" w:cs="Arial"/>
          <w:color w:val="000000" w:themeColor="text1"/>
          <w:lang w:val="es-ES"/>
        </w:rPr>
        <w:t xml:space="preserve">, el </w:t>
      </w:r>
      <w:r w:rsidRPr="0036005D">
        <w:rPr>
          <w:rFonts w:ascii="Palatino Linotype" w:eastAsia="Calibri" w:hAnsi="Palatino Linotype" w:cs="Arial"/>
          <w:b/>
          <w:bCs/>
          <w:color w:val="000000" w:themeColor="text1"/>
          <w:lang w:val="es-ES"/>
        </w:rPr>
        <w:t>SUJETO OBLIGADO</w:t>
      </w:r>
      <w:r w:rsidRPr="0036005D">
        <w:rPr>
          <w:rFonts w:ascii="Palatino Linotype" w:eastAsia="Calibri" w:hAnsi="Palatino Linotype" w:cs="Arial"/>
          <w:color w:val="000000" w:themeColor="text1"/>
          <w:lang w:val="es-ES"/>
        </w:rPr>
        <w:t xml:space="preserve"> presentó su Informe Justificado mediante </w:t>
      </w:r>
      <w:r w:rsidR="001B6695" w:rsidRPr="0036005D">
        <w:rPr>
          <w:rFonts w:ascii="Palatino Linotype" w:eastAsia="Calibri" w:hAnsi="Palatino Linotype" w:cs="Arial"/>
          <w:color w:val="000000" w:themeColor="text1"/>
          <w:lang w:val="es-ES"/>
        </w:rPr>
        <w:t>los</w:t>
      </w:r>
      <w:r w:rsidRPr="0036005D">
        <w:rPr>
          <w:rFonts w:ascii="Palatino Linotype" w:eastAsia="Calibri" w:hAnsi="Palatino Linotype" w:cs="Arial"/>
          <w:color w:val="000000" w:themeColor="text1"/>
          <w:lang w:val="es-ES"/>
        </w:rPr>
        <w:t xml:space="preserve"> archivo</w:t>
      </w:r>
      <w:r w:rsidR="001B6695" w:rsidRPr="0036005D">
        <w:rPr>
          <w:rFonts w:ascii="Palatino Linotype" w:eastAsia="Calibri" w:hAnsi="Palatino Linotype" w:cs="Arial"/>
          <w:color w:val="000000" w:themeColor="text1"/>
          <w:lang w:val="es-ES"/>
        </w:rPr>
        <w:t>s</w:t>
      </w:r>
      <w:r w:rsidRPr="0036005D">
        <w:rPr>
          <w:rFonts w:ascii="Palatino Linotype" w:eastAsia="Calibri" w:hAnsi="Palatino Linotype" w:cs="Arial"/>
          <w:color w:val="000000" w:themeColor="text1"/>
          <w:lang w:val="es-ES"/>
        </w:rPr>
        <w:t xml:space="preserve"> electrónic</w:t>
      </w:r>
      <w:r w:rsidR="00894767" w:rsidRPr="0036005D">
        <w:rPr>
          <w:rFonts w:ascii="Palatino Linotype" w:eastAsia="Calibri" w:hAnsi="Palatino Linotype" w:cs="Arial"/>
          <w:color w:val="000000" w:themeColor="text1"/>
          <w:lang w:val="es-ES"/>
        </w:rPr>
        <w:t>o</w:t>
      </w:r>
      <w:r w:rsidR="001B6695" w:rsidRPr="0036005D">
        <w:rPr>
          <w:rFonts w:ascii="Palatino Linotype" w:eastAsia="Calibri" w:hAnsi="Palatino Linotype" w:cs="Arial"/>
          <w:color w:val="000000" w:themeColor="text1"/>
          <w:lang w:val="es-ES"/>
        </w:rPr>
        <w:t>s</w:t>
      </w:r>
      <w:r w:rsidRPr="0036005D">
        <w:rPr>
          <w:rFonts w:ascii="Palatino Linotype" w:eastAsia="Calibri" w:hAnsi="Palatino Linotype" w:cs="Arial"/>
          <w:color w:val="000000" w:themeColor="text1"/>
          <w:lang w:val="es-ES"/>
        </w:rPr>
        <w:t xml:space="preserve"> descrito</w:t>
      </w:r>
      <w:r w:rsidR="001B6695" w:rsidRPr="0036005D">
        <w:rPr>
          <w:rFonts w:ascii="Palatino Linotype" w:eastAsia="Calibri" w:hAnsi="Palatino Linotype" w:cs="Arial"/>
          <w:color w:val="000000" w:themeColor="text1"/>
          <w:lang w:val="es-ES"/>
        </w:rPr>
        <w:t>s</w:t>
      </w:r>
      <w:r w:rsidRPr="0036005D">
        <w:rPr>
          <w:rFonts w:ascii="Palatino Linotype" w:eastAsia="Calibri" w:hAnsi="Palatino Linotype" w:cs="Arial"/>
          <w:color w:val="000000" w:themeColor="text1"/>
          <w:lang w:val="es-ES"/>
        </w:rPr>
        <w:t xml:space="preserve"> a continuación:</w:t>
      </w:r>
    </w:p>
    <w:p w14:paraId="21C768AE" w14:textId="03E85D18" w:rsidR="00C65726" w:rsidRPr="0036005D" w:rsidRDefault="00894767" w:rsidP="00A33B22">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6005D">
        <w:rPr>
          <w:rFonts w:ascii="Palatino Linotype" w:eastAsia="Calibri" w:hAnsi="Palatino Linotype" w:cs="Arial"/>
          <w:b/>
          <w:i/>
          <w:color w:val="000000" w:themeColor="text1"/>
          <w:lang w:val="es-ES"/>
        </w:rPr>
        <w:t>“</w:t>
      </w:r>
      <w:r w:rsidR="001B6695" w:rsidRPr="0036005D">
        <w:rPr>
          <w:rFonts w:ascii="Palatino Linotype" w:eastAsia="Calibri" w:hAnsi="Palatino Linotype" w:cs="Arial"/>
          <w:b/>
          <w:i/>
          <w:color w:val="000000" w:themeColor="text1"/>
          <w:lang w:val="es-ES"/>
        </w:rPr>
        <w:t>InformeJustificadoRR03533UT</w:t>
      </w:r>
      <w:r w:rsidR="00A33B22" w:rsidRPr="0036005D">
        <w:rPr>
          <w:rFonts w:ascii="Palatino Linotype" w:eastAsia="Calibri" w:hAnsi="Palatino Linotype" w:cs="Arial"/>
          <w:b/>
          <w:i/>
          <w:color w:val="000000" w:themeColor="text1"/>
          <w:lang w:val="es-ES"/>
        </w:rPr>
        <w:t>.pdf</w:t>
      </w:r>
      <w:r w:rsidRPr="0036005D">
        <w:rPr>
          <w:rFonts w:ascii="Palatino Linotype" w:eastAsia="Calibri" w:hAnsi="Palatino Linotype" w:cs="Arial"/>
          <w:b/>
          <w:i/>
          <w:color w:val="000000" w:themeColor="text1"/>
          <w:lang w:val="es-ES"/>
        </w:rPr>
        <w:t>”</w:t>
      </w:r>
      <w:r w:rsidRPr="0036005D">
        <w:rPr>
          <w:rFonts w:ascii="Palatino Linotype" w:eastAsia="Calibri" w:hAnsi="Palatino Linotype" w:cs="Arial"/>
          <w:color w:val="000000" w:themeColor="text1"/>
          <w:lang w:val="es-ES"/>
        </w:rPr>
        <w:t xml:space="preserve">: Documento </w:t>
      </w:r>
      <w:r w:rsidR="00E63964" w:rsidRPr="0036005D">
        <w:rPr>
          <w:rFonts w:ascii="Palatino Linotype" w:eastAsia="Calibri" w:hAnsi="Palatino Linotype" w:cs="Arial"/>
          <w:color w:val="000000" w:themeColor="text1"/>
          <w:lang w:val="es-ES"/>
        </w:rPr>
        <w:t>de siete fojas consistente en el oficio número INFOEM/UT/254/2022, de veintitrés (23) de marzo de dos mil veintidós, emitido por el Titular de la Unidad de Transparencia, por medio del cual, ratifica esencialmente la respuesta inicial.</w:t>
      </w:r>
    </w:p>
    <w:p w14:paraId="64243E99" w14:textId="2671D57D" w:rsidR="001B6695" w:rsidRPr="0036005D" w:rsidRDefault="001B6695" w:rsidP="00A33B22">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6005D">
        <w:rPr>
          <w:rFonts w:ascii="Palatino Linotype" w:hAnsi="Palatino Linotype"/>
          <w:b/>
          <w:i/>
          <w:color w:val="000000" w:themeColor="text1"/>
        </w:rPr>
        <w:t>“RequerimientoInformeRR03533.pdf”</w:t>
      </w:r>
      <w:r w:rsidRPr="0036005D">
        <w:rPr>
          <w:rFonts w:ascii="Palatino Linotype" w:hAnsi="Palatino Linotype"/>
          <w:color w:val="000000" w:themeColor="text1"/>
        </w:rPr>
        <w:t xml:space="preserve">: Documento </w:t>
      </w:r>
      <w:r w:rsidR="00E63964" w:rsidRPr="0036005D">
        <w:rPr>
          <w:rFonts w:ascii="Palatino Linotype" w:hAnsi="Palatino Linotype"/>
          <w:color w:val="000000" w:themeColor="text1"/>
        </w:rPr>
        <w:t xml:space="preserve">de dos fojas consistente en el memorándum número INFOEM/UT/070/2022, de dieciséis (16) de marzo de dos mil veintidós, emitido por el Titular de la Unidad de Transparencia, y dirigido a la Servidora Pública Habilitada </w:t>
      </w:r>
      <w:r w:rsidR="00F54A7B" w:rsidRPr="0036005D">
        <w:rPr>
          <w:rFonts w:ascii="Palatino Linotype" w:hAnsi="Palatino Linotype"/>
          <w:color w:val="000000" w:themeColor="text1"/>
        </w:rPr>
        <w:t xml:space="preserve">de la Ponencia de la Comisionada Guadalupe Ramírez Peña, por medio del cual, informa sobre la interposición del recurso de revisión </w:t>
      </w:r>
      <w:r w:rsidR="00F54A7B" w:rsidRPr="0036005D">
        <w:rPr>
          <w:rFonts w:ascii="Palatino Linotype" w:hAnsi="Palatino Linotype"/>
          <w:b/>
          <w:color w:val="000000" w:themeColor="text1"/>
        </w:rPr>
        <w:t>03533/INFOEM/IP/RR/2022</w:t>
      </w:r>
      <w:r w:rsidR="00F54A7B" w:rsidRPr="0036005D">
        <w:rPr>
          <w:rFonts w:ascii="Palatino Linotype" w:hAnsi="Palatino Linotype"/>
          <w:color w:val="000000" w:themeColor="text1"/>
        </w:rPr>
        <w:t xml:space="preserve"> y solicita la remisión del informe que justifique la respuesta inicialmente otorgada a la solicitud de información </w:t>
      </w:r>
      <w:r w:rsidR="00F54A7B" w:rsidRPr="0036005D">
        <w:rPr>
          <w:rFonts w:ascii="Palatino Linotype" w:hAnsi="Palatino Linotype"/>
          <w:b/>
          <w:color w:val="000000" w:themeColor="text1"/>
        </w:rPr>
        <w:t>00271/INFOEM/IP/2022</w:t>
      </w:r>
      <w:r w:rsidR="00F54A7B" w:rsidRPr="0036005D">
        <w:rPr>
          <w:rFonts w:ascii="Palatino Linotype" w:hAnsi="Palatino Linotype"/>
          <w:color w:val="000000" w:themeColor="text1"/>
        </w:rPr>
        <w:t>.</w:t>
      </w:r>
    </w:p>
    <w:p w14:paraId="05266A82" w14:textId="1564BA38" w:rsidR="001B6695" w:rsidRPr="0036005D" w:rsidRDefault="001B6695" w:rsidP="00A33B22">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6005D">
        <w:rPr>
          <w:rFonts w:ascii="Palatino Linotype" w:hAnsi="Palatino Linotype"/>
          <w:b/>
          <w:i/>
          <w:color w:val="000000" w:themeColor="text1"/>
        </w:rPr>
        <w:t>“IPOMEX-AYUNTAMIENTO DE SAN MATEO ATENCO (1).pdf..pdf”</w:t>
      </w:r>
      <w:r w:rsidRPr="0036005D">
        <w:rPr>
          <w:rFonts w:ascii="Palatino Linotype" w:hAnsi="Palatino Linotype"/>
          <w:color w:val="000000" w:themeColor="text1"/>
        </w:rPr>
        <w:t xml:space="preserve">: Documento </w:t>
      </w:r>
      <w:r w:rsidR="00F54A7B" w:rsidRPr="0036005D">
        <w:rPr>
          <w:rFonts w:ascii="Palatino Linotype" w:hAnsi="Palatino Linotype"/>
          <w:color w:val="000000" w:themeColor="text1"/>
        </w:rPr>
        <w:t>de cinco fojas consistente en la captura de imagen del portal IPOMEX del Ayuntamiento de San Mateo Atenco, donde se despliegan todos los enlaces para consultar la información relativa a cada una de las obligaciones de transparencia común, y específicas.</w:t>
      </w:r>
    </w:p>
    <w:p w14:paraId="7FE0ED69" w14:textId="76502C7A" w:rsidR="001B6695" w:rsidRPr="0036005D" w:rsidRDefault="001B6695" w:rsidP="00A33B22">
      <w:pPr>
        <w:pStyle w:val="Prrafodelista"/>
        <w:numPr>
          <w:ilvl w:val="1"/>
          <w:numId w:val="5"/>
        </w:numPr>
        <w:tabs>
          <w:tab w:val="left" w:pos="426"/>
        </w:tabs>
        <w:spacing w:line="360" w:lineRule="auto"/>
        <w:ind w:left="1134"/>
        <w:jc w:val="both"/>
        <w:rPr>
          <w:rFonts w:ascii="Palatino Linotype" w:hAnsi="Palatino Linotype"/>
          <w:color w:val="000000" w:themeColor="text1"/>
        </w:rPr>
      </w:pPr>
      <w:r w:rsidRPr="0036005D">
        <w:rPr>
          <w:rFonts w:ascii="Palatino Linotype" w:hAnsi="Palatino Linotype"/>
          <w:b/>
          <w:i/>
          <w:color w:val="000000" w:themeColor="text1"/>
        </w:rPr>
        <w:t>“InformeRR03533PCGRP.pdf”</w:t>
      </w:r>
      <w:r w:rsidRPr="0036005D">
        <w:rPr>
          <w:rFonts w:ascii="Palatino Linotype" w:hAnsi="Palatino Linotype"/>
          <w:color w:val="000000" w:themeColor="text1"/>
        </w:rPr>
        <w:t xml:space="preserve">: Documento </w:t>
      </w:r>
      <w:r w:rsidR="00F54A7B" w:rsidRPr="0036005D">
        <w:rPr>
          <w:rFonts w:ascii="Palatino Linotype" w:hAnsi="Palatino Linotype"/>
          <w:color w:val="000000" w:themeColor="text1"/>
        </w:rPr>
        <w:t xml:space="preserve">de cuatro (04) fojas consistente en el oficio número INFOEM/COM-GRP/108/2022, de </w:t>
      </w:r>
      <w:r w:rsidR="00F54A7B" w:rsidRPr="0036005D">
        <w:rPr>
          <w:rFonts w:ascii="Palatino Linotype" w:hAnsi="Palatino Linotype"/>
          <w:color w:val="000000" w:themeColor="text1"/>
        </w:rPr>
        <w:lastRenderedPageBreak/>
        <w:t>veintidós (22) de marzo de dos mil veintidós, emitido por la Servidora Pública Habilitada de la Ponencia de la Comisionada Guadalupe Ramírez Peña, por medio del cual, reitera su respuesta inicial.</w:t>
      </w:r>
    </w:p>
    <w:p w14:paraId="49293A41" w14:textId="77777777" w:rsidR="00C65726" w:rsidRPr="0036005D" w:rsidRDefault="00C65726" w:rsidP="00C65726">
      <w:pPr>
        <w:tabs>
          <w:tab w:val="left" w:pos="426"/>
        </w:tabs>
        <w:spacing w:line="360" w:lineRule="auto"/>
        <w:jc w:val="both"/>
        <w:rPr>
          <w:rFonts w:ascii="Palatino Linotype" w:hAnsi="Palatino Linotype"/>
          <w:color w:val="000000" w:themeColor="text1"/>
        </w:rPr>
      </w:pPr>
    </w:p>
    <w:p w14:paraId="23BE587A" w14:textId="7771BAD3" w:rsidR="0096234B" w:rsidRPr="0036005D" w:rsidRDefault="0096234B"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36005D">
        <w:rPr>
          <w:rFonts w:ascii="Palatino Linotype" w:hAnsi="Palatino Linotype"/>
          <w:color w:val="000000" w:themeColor="text1"/>
        </w:rPr>
        <w:t xml:space="preserve">Del </w:t>
      </w:r>
      <w:r w:rsidRPr="0036005D">
        <w:rPr>
          <w:rFonts w:ascii="Palatino Linotype" w:hAnsi="Palatino Linotype"/>
          <w:color w:val="000000" w:themeColor="text1"/>
          <w:lang w:val="es-ES"/>
        </w:rPr>
        <w:t xml:space="preserve">análisis </w:t>
      </w:r>
      <w:r w:rsidRPr="0036005D">
        <w:rPr>
          <w:rFonts w:ascii="Palatino Linotype" w:hAnsi="Palatino Linotype"/>
          <w:color w:val="000000" w:themeColor="text1"/>
        </w:rPr>
        <w:t>realizado a</w:t>
      </w:r>
      <w:r w:rsidR="00774AB3" w:rsidRPr="0036005D">
        <w:rPr>
          <w:rFonts w:ascii="Palatino Linotype" w:hAnsi="Palatino Linotype"/>
          <w:color w:val="000000" w:themeColor="text1"/>
        </w:rPr>
        <w:t xml:space="preserve"> </w:t>
      </w:r>
      <w:r w:rsidRPr="0036005D">
        <w:rPr>
          <w:rFonts w:ascii="Palatino Linotype" w:hAnsi="Palatino Linotype"/>
          <w:color w:val="000000" w:themeColor="text1"/>
        </w:rPr>
        <w:t>l</w:t>
      </w:r>
      <w:r w:rsidR="00774AB3" w:rsidRPr="0036005D">
        <w:rPr>
          <w:rFonts w:ascii="Palatino Linotype" w:hAnsi="Palatino Linotype"/>
          <w:color w:val="000000" w:themeColor="text1"/>
        </w:rPr>
        <w:t>os</w:t>
      </w:r>
      <w:r w:rsidRPr="0036005D">
        <w:rPr>
          <w:rFonts w:ascii="Palatino Linotype" w:hAnsi="Palatino Linotype"/>
          <w:color w:val="000000" w:themeColor="text1"/>
        </w:rPr>
        <w:t xml:space="preserve"> archivo</w:t>
      </w:r>
      <w:r w:rsidR="00774AB3" w:rsidRPr="0036005D">
        <w:rPr>
          <w:rFonts w:ascii="Palatino Linotype" w:hAnsi="Palatino Linotype"/>
          <w:color w:val="000000" w:themeColor="text1"/>
        </w:rPr>
        <w:t>s</w:t>
      </w:r>
      <w:r w:rsidRPr="0036005D">
        <w:rPr>
          <w:rFonts w:ascii="Palatino Linotype" w:hAnsi="Palatino Linotype"/>
          <w:color w:val="000000" w:themeColor="text1"/>
        </w:rPr>
        <w:t xml:space="preserve"> remitido</w:t>
      </w:r>
      <w:r w:rsidR="00774AB3" w:rsidRPr="0036005D">
        <w:rPr>
          <w:rFonts w:ascii="Palatino Linotype" w:hAnsi="Palatino Linotype"/>
          <w:color w:val="000000" w:themeColor="text1"/>
        </w:rPr>
        <w:t>s</w:t>
      </w:r>
      <w:r w:rsidRPr="0036005D">
        <w:rPr>
          <w:rFonts w:ascii="Palatino Linotype" w:hAnsi="Palatino Linotype"/>
          <w:color w:val="000000" w:themeColor="text1"/>
        </w:rPr>
        <w:t xml:space="preserve"> por el </w:t>
      </w:r>
      <w:r w:rsidRPr="0036005D">
        <w:rPr>
          <w:rFonts w:ascii="Palatino Linotype" w:hAnsi="Palatino Linotype"/>
          <w:b/>
          <w:bCs/>
          <w:color w:val="000000" w:themeColor="text1"/>
        </w:rPr>
        <w:t>SUJETO OBLIGADO</w:t>
      </w:r>
      <w:r w:rsidRPr="0036005D">
        <w:rPr>
          <w:rFonts w:ascii="Palatino Linotype" w:hAnsi="Palatino Linotype"/>
          <w:color w:val="000000" w:themeColor="text1"/>
        </w:rPr>
        <w:t xml:space="preserve"> en el apartado de </w:t>
      </w:r>
      <w:r w:rsidRPr="0036005D">
        <w:rPr>
          <w:rFonts w:ascii="Palatino Linotype" w:hAnsi="Palatino Linotype"/>
          <w:i/>
          <w:iCs/>
          <w:color w:val="000000" w:themeColor="text1"/>
        </w:rPr>
        <w:t>Manifestaciones</w:t>
      </w:r>
      <w:r w:rsidRPr="0036005D">
        <w:rPr>
          <w:rFonts w:ascii="Palatino Linotype" w:hAnsi="Palatino Linotype"/>
          <w:color w:val="000000" w:themeColor="text1"/>
        </w:rPr>
        <w:t xml:space="preserve"> del SAIMEX, </w:t>
      </w:r>
      <w:r w:rsidR="004B2713" w:rsidRPr="0036005D">
        <w:rPr>
          <w:rFonts w:ascii="Palatino Linotype" w:hAnsi="Palatino Linotype"/>
          <w:color w:val="000000" w:themeColor="text1"/>
        </w:rPr>
        <w:t>se</w:t>
      </w:r>
      <w:r w:rsidR="00774AB3" w:rsidRPr="0036005D">
        <w:rPr>
          <w:rFonts w:ascii="Palatino Linotype" w:hAnsi="Palatino Linotype"/>
          <w:color w:val="000000" w:themeColor="text1"/>
        </w:rPr>
        <w:t xml:space="preserve"> concluyó que éstos</w:t>
      </w:r>
      <w:r w:rsidRPr="0036005D">
        <w:rPr>
          <w:rFonts w:ascii="Palatino Linotype" w:hAnsi="Palatino Linotype"/>
          <w:color w:val="000000" w:themeColor="text1"/>
        </w:rPr>
        <w:t xml:space="preserve"> contenía</w:t>
      </w:r>
      <w:r w:rsidR="00774AB3" w:rsidRPr="0036005D">
        <w:rPr>
          <w:rFonts w:ascii="Palatino Linotype" w:hAnsi="Palatino Linotype"/>
          <w:color w:val="000000" w:themeColor="text1"/>
        </w:rPr>
        <w:t>n</w:t>
      </w:r>
      <w:r w:rsidRPr="0036005D">
        <w:rPr>
          <w:rFonts w:ascii="Palatino Linotype" w:hAnsi="Palatino Linotype"/>
          <w:color w:val="000000" w:themeColor="text1"/>
        </w:rPr>
        <w:t xml:space="preserve"> información novedosa y de probable interés para </w:t>
      </w:r>
      <w:r w:rsidR="004B2713" w:rsidRPr="0036005D">
        <w:rPr>
          <w:rFonts w:ascii="Palatino Linotype" w:hAnsi="Palatino Linotype"/>
          <w:color w:val="000000" w:themeColor="text1"/>
        </w:rPr>
        <w:t>el</w:t>
      </w:r>
      <w:r w:rsidRPr="0036005D">
        <w:rPr>
          <w:rFonts w:ascii="Palatino Linotype" w:hAnsi="Palatino Linotype"/>
          <w:color w:val="000000" w:themeColor="text1"/>
        </w:rPr>
        <w:t xml:space="preserve"> </w:t>
      </w:r>
      <w:r w:rsidRPr="0036005D">
        <w:rPr>
          <w:rFonts w:ascii="Palatino Linotype" w:hAnsi="Palatino Linotype"/>
          <w:b/>
          <w:bCs/>
          <w:color w:val="000000" w:themeColor="text1"/>
        </w:rPr>
        <w:t>RECURRENTE</w:t>
      </w:r>
      <w:r w:rsidRPr="0036005D">
        <w:rPr>
          <w:rFonts w:ascii="Palatino Linotype" w:hAnsi="Palatino Linotype"/>
          <w:color w:val="000000" w:themeColor="text1"/>
        </w:rPr>
        <w:t>, por lo que fue</w:t>
      </w:r>
      <w:r w:rsidR="00774AB3" w:rsidRPr="0036005D">
        <w:rPr>
          <w:rFonts w:ascii="Palatino Linotype" w:hAnsi="Palatino Linotype"/>
          <w:color w:val="000000" w:themeColor="text1"/>
        </w:rPr>
        <w:t>ron</w:t>
      </w:r>
      <w:r w:rsidRPr="0036005D">
        <w:rPr>
          <w:rFonts w:ascii="Palatino Linotype" w:hAnsi="Palatino Linotype"/>
          <w:color w:val="000000" w:themeColor="text1"/>
        </w:rPr>
        <w:t xml:space="preserve"> puesto</w:t>
      </w:r>
      <w:r w:rsidR="00774AB3" w:rsidRPr="0036005D">
        <w:rPr>
          <w:rFonts w:ascii="Palatino Linotype" w:hAnsi="Palatino Linotype"/>
          <w:color w:val="000000" w:themeColor="text1"/>
        </w:rPr>
        <w:t>s</w:t>
      </w:r>
      <w:r w:rsidRPr="0036005D">
        <w:rPr>
          <w:rFonts w:ascii="Palatino Linotype" w:hAnsi="Palatino Linotype"/>
          <w:color w:val="000000" w:themeColor="text1"/>
        </w:rPr>
        <w:t xml:space="preserve"> a la vista del particular el </w:t>
      </w:r>
      <w:r w:rsidR="001B6695" w:rsidRPr="0036005D">
        <w:rPr>
          <w:rFonts w:ascii="Palatino Linotype" w:hAnsi="Palatino Linotype"/>
          <w:color w:val="000000" w:themeColor="text1"/>
        </w:rPr>
        <w:t>veinticinco (25) de abril</w:t>
      </w:r>
      <w:r w:rsidR="004B2713" w:rsidRPr="0036005D">
        <w:rPr>
          <w:rFonts w:ascii="Palatino Linotype" w:hAnsi="Palatino Linotype"/>
          <w:color w:val="000000" w:themeColor="text1"/>
        </w:rPr>
        <w:t xml:space="preserve"> de dos mil veintidós</w:t>
      </w:r>
      <w:r w:rsidRPr="0036005D">
        <w:rPr>
          <w:rFonts w:ascii="Palatino Linotype" w:hAnsi="Palatino Linotype"/>
          <w:color w:val="000000" w:themeColor="text1"/>
        </w:rPr>
        <w:t>, concediéndole un plazo de tres (03) días para que manifestara lo que a su derecho conviniera, de conformidad con el artículo 185, fracción III, de la Ley de Transparencia y Acceso a la Información Pública del Estado de México y Municipios</w:t>
      </w:r>
      <w:r w:rsidR="00774AB3" w:rsidRPr="0036005D">
        <w:rPr>
          <w:rFonts w:ascii="Palatino Linotype" w:hAnsi="Palatino Linotype"/>
          <w:color w:val="000000" w:themeColor="text1"/>
        </w:rPr>
        <w:t xml:space="preserve">; no obstante, </w:t>
      </w:r>
      <w:r w:rsidR="00B7387B" w:rsidRPr="0036005D">
        <w:rPr>
          <w:rFonts w:ascii="Palatino Linotype" w:hAnsi="Palatino Linotype"/>
          <w:color w:val="000000" w:themeColor="text1"/>
        </w:rPr>
        <w:t>se hace constar que el</w:t>
      </w:r>
      <w:r w:rsidR="00774AB3" w:rsidRPr="0036005D">
        <w:rPr>
          <w:rFonts w:ascii="Palatino Linotype" w:hAnsi="Palatino Linotype"/>
          <w:color w:val="000000" w:themeColor="text1"/>
        </w:rPr>
        <w:t xml:space="preserve"> particular no ejerció su derecho de réplica sobre los nuevos contenidos.</w:t>
      </w:r>
    </w:p>
    <w:p w14:paraId="4CFAEB9B" w14:textId="77777777" w:rsidR="005C450C" w:rsidRPr="0036005D" w:rsidRDefault="005C450C" w:rsidP="005C450C">
      <w:pPr>
        <w:pStyle w:val="Prrafodelista"/>
        <w:tabs>
          <w:tab w:val="left" w:pos="426"/>
        </w:tabs>
        <w:spacing w:line="360" w:lineRule="auto"/>
        <w:ind w:left="0"/>
        <w:jc w:val="both"/>
        <w:rPr>
          <w:rFonts w:ascii="Palatino Linotype" w:hAnsi="Palatino Linotype"/>
          <w:color w:val="000000" w:themeColor="text1"/>
        </w:rPr>
      </w:pPr>
    </w:p>
    <w:p w14:paraId="3001AA57" w14:textId="3BE6D58F" w:rsidR="008965EF" w:rsidRPr="0036005D" w:rsidRDefault="00861622" w:rsidP="001D5464">
      <w:pPr>
        <w:pStyle w:val="Prrafodelista"/>
        <w:numPr>
          <w:ilvl w:val="0"/>
          <w:numId w:val="1"/>
        </w:numPr>
        <w:tabs>
          <w:tab w:val="left" w:pos="426"/>
        </w:tabs>
        <w:spacing w:line="360" w:lineRule="auto"/>
        <w:jc w:val="both"/>
        <w:rPr>
          <w:rFonts w:ascii="Palatino Linotype" w:hAnsi="Palatino Linotype"/>
          <w:color w:val="000000" w:themeColor="text1"/>
        </w:rPr>
      </w:pPr>
      <w:r w:rsidRPr="0036005D">
        <w:rPr>
          <w:rFonts w:ascii="Palatino Linotype" w:eastAsia="Calibri" w:hAnsi="Palatino Linotype" w:cs="Arial"/>
          <w:color w:val="000000" w:themeColor="text1"/>
          <w:lang w:val="es-ES"/>
        </w:rPr>
        <w:t>El</w:t>
      </w:r>
      <w:bookmarkStart w:id="3" w:name="_Toc461555889"/>
      <w:bookmarkStart w:id="4" w:name="_Toc466371858"/>
      <w:r w:rsidR="00B855AA" w:rsidRPr="0036005D">
        <w:rPr>
          <w:rFonts w:ascii="Palatino Linotype" w:eastAsia="Calibri" w:hAnsi="Palatino Linotype" w:cs="Arial"/>
          <w:color w:val="000000" w:themeColor="text1"/>
          <w:lang w:val="es-ES"/>
        </w:rPr>
        <w:t xml:space="preserve"> </w:t>
      </w:r>
      <w:r w:rsidR="00F54A7B" w:rsidRPr="0036005D">
        <w:rPr>
          <w:rFonts w:ascii="Palatino Linotype" w:eastAsia="Calibri" w:hAnsi="Palatino Linotype" w:cs="Arial"/>
          <w:color w:val="000000" w:themeColor="text1"/>
          <w:lang w:val="es-ES"/>
        </w:rPr>
        <w:t>veintinueve (29) de abril</w:t>
      </w:r>
      <w:r w:rsidR="00B7387B" w:rsidRPr="0036005D">
        <w:rPr>
          <w:rFonts w:ascii="Palatino Linotype" w:eastAsia="Calibri" w:hAnsi="Palatino Linotype" w:cs="Arial"/>
          <w:color w:val="000000" w:themeColor="text1"/>
          <w:lang w:val="es-ES"/>
        </w:rPr>
        <w:t xml:space="preserve"> de dos mil veintidós</w:t>
      </w:r>
      <w:r w:rsidR="00AD6AC5" w:rsidRPr="0036005D">
        <w:rPr>
          <w:rFonts w:ascii="Palatino Linotype" w:hAnsi="Palatino Linotype" w:cs="Arial"/>
          <w:color w:val="000000" w:themeColor="text1"/>
        </w:rPr>
        <w:t xml:space="preserve">, </w:t>
      </w:r>
      <w:r w:rsidR="0096234B" w:rsidRPr="0036005D">
        <w:rPr>
          <w:rFonts w:ascii="Palatino Linotype" w:hAnsi="Palatino Linotype" w:cs="Arial"/>
          <w:color w:val="000000" w:themeColor="text1"/>
        </w:rPr>
        <w:t xml:space="preserve">la </w:t>
      </w:r>
      <w:r w:rsidR="00AD6AC5" w:rsidRPr="0036005D">
        <w:rPr>
          <w:rFonts w:ascii="Palatino Linotype" w:hAnsi="Palatino Linotype" w:cs="Arial"/>
          <w:color w:val="000000" w:themeColor="text1"/>
        </w:rPr>
        <w:t>Comisionad</w:t>
      </w:r>
      <w:r w:rsidR="0096234B" w:rsidRPr="0036005D">
        <w:rPr>
          <w:rFonts w:ascii="Palatino Linotype" w:hAnsi="Palatino Linotype" w:cs="Arial"/>
          <w:color w:val="000000" w:themeColor="text1"/>
        </w:rPr>
        <w:t>a</w:t>
      </w:r>
      <w:r w:rsidR="00AD6AC5" w:rsidRPr="0036005D">
        <w:rPr>
          <w:rFonts w:ascii="Palatino Linotype" w:hAnsi="Palatino Linotype" w:cs="Arial"/>
          <w:color w:val="000000" w:themeColor="text1"/>
        </w:rPr>
        <w:t xml:space="preserve"> Ponente decretó el cierre del periodo de instrucción, por lo que ordenó turnar el expediente para su resolución, misma que ahora se pronuncia</w:t>
      </w:r>
      <w:r w:rsidR="00614DC5" w:rsidRPr="0036005D">
        <w:rPr>
          <w:rFonts w:ascii="Palatino Linotype" w:hAnsi="Palatino Linotype" w:cs="Arial"/>
          <w:color w:val="000000" w:themeColor="text1"/>
        </w:rPr>
        <w:t>; y</w:t>
      </w:r>
      <w:r w:rsidR="00F54A7B" w:rsidRPr="0036005D">
        <w:rPr>
          <w:rFonts w:ascii="Palatino Linotype" w:hAnsi="Palatino Linotype" w:cs="Arial"/>
          <w:color w:val="000000" w:themeColor="text1"/>
        </w:rPr>
        <w:t>, en misma fecha, con fundamento en lo dispuesto por el artículo 181, tercer párrafo, de la Ley de Transparencia y Acceso a la Información Pública del Estado de México y Municipios, se notificó que el plazo de 30 días para resolver el recurso de revisión sería ampliado por un período de 15 días hábiles adicionales; y -----------------------------------------------</w:t>
      </w:r>
    </w:p>
    <w:p w14:paraId="76723CF0" w14:textId="1E451BB4" w:rsidR="009917E9" w:rsidRPr="0036005D" w:rsidRDefault="009917E9" w:rsidP="00B31E90">
      <w:pPr>
        <w:pStyle w:val="Prrafodelista"/>
        <w:tabs>
          <w:tab w:val="left" w:pos="426"/>
        </w:tabs>
        <w:spacing w:line="360" w:lineRule="auto"/>
        <w:ind w:left="0"/>
        <w:jc w:val="both"/>
        <w:rPr>
          <w:rFonts w:ascii="Palatino Linotype" w:hAnsi="Palatino Linotype"/>
          <w:color w:val="000000" w:themeColor="text1"/>
        </w:rPr>
      </w:pPr>
    </w:p>
    <w:p w14:paraId="5C447C51" w14:textId="77777777" w:rsidR="0096234B" w:rsidRPr="0036005D" w:rsidRDefault="0096234B" w:rsidP="00B31E90">
      <w:pPr>
        <w:pStyle w:val="Prrafodelista"/>
        <w:tabs>
          <w:tab w:val="left" w:pos="426"/>
        </w:tabs>
        <w:spacing w:line="360" w:lineRule="auto"/>
        <w:ind w:left="0"/>
        <w:jc w:val="both"/>
        <w:rPr>
          <w:rFonts w:ascii="Palatino Linotype" w:hAnsi="Palatino Linotype"/>
          <w:color w:val="000000" w:themeColor="text1"/>
        </w:rPr>
      </w:pPr>
    </w:p>
    <w:p w14:paraId="5CB47E4D" w14:textId="272D7EDF" w:rsidR="00C33279" w:rsidRPr="0036005D" w:rsidRDefault="007C0013" w:rsidP="00B31E90">
      <w:pPr>
        <w:pStyle w:val="Ttulo1"/>
        <w:spacing w:before="0"/>
        <w:jc w:val="center"/>
        <w:rPr>
          <w:b/>
          <w:color w:val="000000" w:themeColor="text1"/>
        </w:rPr>
      </w:pPr>
      <w:bookmarkStart w:id="5" w:name="_Toc86945039"/>
      <w:r w:rsidRPr="0036005D">
        <w:rPr>
          <w:b/>
          <w:color w:val="000000" w:themeColor="text1"/>
        </w:rPr>
        <w:lastRenderedPageBreak/>
        <w:t>CONSIDERANDO</w:t>
      </w:r>
      <w:bookmarkEnd w:id="3"/>
      <w:bookmarkEnd w:id="4"/>
      <w:bookmarkEnd w:id="5"/>
    </w:p>
    <w:p w14:paraId="435CF9A4" w14:textId="77777777" w:rsidR="00FC1DA7" w:rsidRPr="0036005D" w:rsidRDefault="00FC1DA7" w:rsidP="00B31E90">
      <w:pPr>
        <w:rPr>
          <w:color w:val="000000" w:themeColor="text1"/>
          <w:lang w:eastAsia="en-US"/>
        </w:rPr>
      </w:pPr>
    </w:p>
    <w:p w14:paraId="629A5BE2" w14:textId="56C3E7D5" w:rsidR="007C0013" w:rsidRPr="0036005D" w:rsidRDefault="007C0013" w:rsidP="00B31E90">
      <w:pPr>
        <w:pStyle w:val="Ttulo2"/>
        <w:spacing w:before="0"/>
        <w:rPr>
          <w:rFonts w:ascii="Palatino Linotype" w:hAnsi="Palatino Linotype"/>
          <w:b/>
          <w:color w:val="000000" w:themeColor="text1"/>
          <w:sz w:val="24"/>
        </w:rPr>
      </w:pPr>
      <w:bookmarkStart w:id="6" w:name="_Toc461555890"/>
      <w:bookmarkStart w:id="7" w:name="_Toc466371859"/>
      <w:bookmarkStart w:id="8" w:name="_Toc86945040"/>
      <w:r w:rsidRPr="0036005D">
        <w:rPr>
          <w:rFonts w:ascii="Palatino Linotype" w:hAnsi="Palatino Linotype"/>
          <w:b/>
          <w:color w:val="000000" w:themeColor="text1"/>
          <w:sz w:val="24"/>
        </w:rPr>
        <w:t>PRIMERO. De la competencia</w:t>
      </w:r>
      <w:bookmarkEnd w:id="6"/>
      <w:bookmarkEnd w:id="7"/>
      <w:bookmarkEnd w:id="8"/>
    </w:p>
    <w:p w14:paraId="60FBD8C7" w14:textId="77777777" w:rsidR="00FC1DA7" w:rsidRPr="0036005D" w:rsidRDefault="00FC1DA7" w:rsidP="00B31E90">
      <w:pPr>
        <w:rPr>
          <w:rFonts w:ascii="Palatino Linotype" w:hAnsi="Palatino Linotype"/>
          <w:color w:val="000000" w:themeColor="text1"/>
          <w:lang w:eastAsia="en-US"/>
        </w:rPr>
      </w:pPr>
    </w:p>
    <w:p w14:paraId="0BF52B18" w14:textId="515C3AEB" w:rsidR="005A228F" w:rsidRPr="0036005D" w:rsidRDefault="00A45546" w:rsidP="00DA22D8">
      <w:pPr>
        <w:pStyle w:val="Prrafodelista"/>
        <w:numPr>
          <w:ilvl w:val="0"/>
          <w:numId w:val="1"/>
        </w:numPr>
        <w:tabs>
          <w:tab w:val="left" w:pos="426"/>
        </w:tabs>
        <w:spacing w:line="360" w:lineRule="auto"/>
        <w:jc w:val="both"/>
        <w:rPr>
          <w:rFonts w:ascii="Palatino Linotype" w:eastAsia="Calibri" w:hAnsi="Palatino Linotype" w:cs="Times New Roman"/>
          <w:b/>
          <w:color w:val="000000" w:themeColor="text1"/>
          <w:lang w:val="es-ES"/>
        </w:rPr>
      </w:pPr>
      <w:r w:rsidRPr="0036005D">
        <w:rPr>
          <w:rFonts w:ascii="Palatino Linotype" w:eastAsia="Calibri" w:hAnsi="Palatino Linotype" w:cs="Times New Roman"/>
          <w:color w:val="000000" w:themeColor="text1"/>
          <w:lang w:val="es-ES"/>
        </w:rPr>
        <w:t>Este Instituto de Transparencia, Acceso a la Información Pública y Protección de Datos Personales del Estado de México y Municipios, es comp</w:t>
      </w:r>
      <w:r w:rsidR="00D10AB0" w:rsidRPr="0036005D">
        <w:rPr>
          <w:rFonts w:ascii="Palatino Linotype" w:eastAsia="Calibri" w:hAnsi="Palatino Linotype" w:cs="Times New Roman"/>
          <w:color w:val="000000" w:themeColor="text1"/>
          <w:lang w:val="es-ES"/>
        </w:rPr>
        <w:t xml:space="preserve">etente para conocer y resolver </w:t>
      </w:r>
      <w:r w:rsidRPr="0036005D">
        <w:rPr>
          <w:rFonts w:ascii="Palatino Linotype" w:eastAsia="Calibri" w:hAnsi="Palatino Linotype" w:cs="Times New Roman"/>
          <w:color w:val="000000" w:themeColor="text1"/>
          <w:lang w:val="es-ES"/>
        </w:rPr>
        <w:t xml:space="preserve">el presente recurso de conformidad con el artículo: 6, apartado A, fracción IV de la </w:t>
      </w:r>
      <w:r w:rsidRPr="0036005D">
        <w:rPr>
          <w:rFonts w:ascii="Palatino Linotype" w:eastAsia="Calibri" w:hAnsi="Palatino Linotype" w:cs="Times New Roman"/>
          <w:b/>
          <w:color w:val="000000" w:themeColor="text1"/>
          <w:lang w:val="es-ES"/>
        </w:rPr>
        <w:t>Constitución Política de los Estados Unidos Mexicanos</w:t>
      </w:r>
      <w:r w:rsidRPr="0036005D">
        <w:rPr>
          <w:rFonts w:ascii="Palatino Linotype" w:eastAsia="Calibri" w:hAnsi="Palatino Linotype" w:cs="Times New Roman"/>
          <w:color w:val="000000" w:themeColor="text1"/>
          <w:lang w:val="es-ES"/>
        </w:rPr>
        <w:t xml:space="preserve">; 5, párrafos </w:t>
      </w:r>
      <w:r w:rsidR="000B7C4F" w:rsidRPr="0036005D">
        <w:rPr>
          <w:rFonts w:ascii="Palatino Linotype" w:eastAsia="Calibri" w:hAnsi="Palatino Linotype" w:cs="Times New Roman"/>
          <w:color w:val="000000" w:themeColor="text1"/>
          <w:lang w:val="es-ES"/>
        </w:rPr>
        <w:t>trigésimo, trigésimo primero y trigésimo segundo</w:t>
      </w:r>
      <w:r w:rsidR="004F785F" w:rsidRPr="0036005D">
        <w:rPr>
          <w:rFonts w:ascii="Palatino Linotype" w:eastAsia="Calibri" w:hAnsi="Palatino Linotype" w:cs="Times New Roman"/>
          <w:color w:val="000000" w:themeColor="text1"/>
          <w:lang w:val="es-ES"/>
        </w:rPr>
        <w:t>,</w:t>
      </w:r>
      <w:r w:rsidRPr="0036005D">
        <w:rPr>
          <w:rFonts w:ascii="Palatino Linotype" w:eastAsia="Calibri" w:hAnsi="Palatino Linotype" w:cs="Times New Roman"/>
          <w:color w:val="000000" w:themeColor="text1"/>
          <w:lang w:val="es-ES"/>
        </w:rPr>
        <w:t xml:space="preserve"> fracciones IV y V</w:t>
      </w:r>
      <w:r w:rsidR="004F785F" w:rsidRPr="0036005D">
        <w:rPr>
          <w:rFonts w:ascii="Palatino Linotype" w:eastAsia="Calibri" w:hAnsi="Palatino Linotype" w:cs="Times New Roman"/>
          <w:color w:val="000000" w:themeColor="text1"/>
          <w:lang w:val="es-ES"/>
        </w:rPr>
        <w:t>,</w:t>
      </w:r>
      <w:r w:rsidRPr="0036005D">
        <w:rPr>
          <w:rFonts w:ascii="Palatino Linotype" w:eastAsia="Calibri" w:hAnsi="Palatino Linotype" w:cs="Times New Roman"/>
          <w:color w:val="000000" w:themeColor="text1"/>
          <w:lang w:val="es-ES"/>
        </w:rPr>
        <w:t xml:space="preserve"> de la </w:t>
      </w:r>
      <w:r w:rsidRPr="0036005D">
        <w:rPr>
          <w:rFonts w:ascii="Palatino Linotype" w:eastAsia="Calibri" w:hAnsi="Palatino Linotype" w:cs="Times New Roman"/>
          <w:b/>
          <w:color w:val="000000" w:themeColor="text1"/>
          <w:lang w:val="es-ES"/>
        </w:rPr>
        <w:t>Constitución Política del Estado Libre y Soberano de México</w:t>
      </w:r>
      <w:r w:rsidRPr="0036005D">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36005D">
        <w:rPr>
          <w:rFonts w:ascii="Palatino Linotype" w:eastAsia="Calibri" w:hAnsi="Palatino Linotype" w:cs="Arial"/>
          <w:color w:val="000000" w:themeColor="text1"/>
          <w:lang w:val="es-ES"/>
        </w:rPr>
        <w:t xml:space="preserve">de la </w:t>
      </w:r>
      <w:r w:rsidRPr="0036005D">
        <w:rPr>
          <w:rFonts w:ascii="Palatino Linotype" w:eastAsia="Calibri" w:hAnsi="Palatino Linotype" w:cs="Arial"/>
          <w:b/>
          <w:color w:val="000000" w:themeColor="text1"/>
          <w:lang w:val="es-ES"/>
        </w:rPr>
        <w:t>Ley de Transparencia y Acceso a la Información Pública del Estado de México y Municipios</w:t>
      </w:r>
      <w:r w:rsidRPr="0036005D">
        <w:rPr>
          <w:rFonts w:ascii="Palatino Linotype" w:eastAsia="Calibri" w:hAnsi="Palatino Linotype" w:cs="Arial"/>
          <w:color w:val="000000" w:themeColor="text1"/>
          <w:lang w:val="es-ES"/>
        </w:rPr>
        <w:t xml:space="preserve">; y 10, 7, 9 fracciones I y XXIV, y 11 del </w:t>
      </w:r>
      <w:r w:rsidRPr="0036005D">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14:paraId="1956B329" w14:textId="77777777" w:rsidR="00B76C73" w:rsidRPr="0036005D" w:rsidRDefault="00B76C73" w:rsidP="00751061">
      <w:pPr>
        <w:pStyle w:val="Prrafodelista"/>
        <w:tabs>
          <w:tab w:val="left" w:pos="426"/>
        </w:tabs>
        <w:spacing w:line="360" w:lineRule="auto"/>
        <w:ind w:left="0"/>
        <w:jc w:val="both"/>
        <w:rPr>
          <w:rFonts w:ascii="Palatino Linotype" w:eastAsia="Calibri" w:hAnsi="Palatino Linotype" w:cs="Times New Roman"/>
          <w:b/>
          <w:color w:val="000000" w:themeColor="text1"/>
          <w:lang w:val="es-ES"/>
        </w:rPr>
      </w:pPr>
    </w:p>
    <w:p w14:paraId="753DC7A1" w14:textId="5E205177" w:rsidR="00C6440A" w:rsidRPr="0036005D" w:rsidRDefault="007C0013" w:rsidP="00B31E90">
      <w:pPr>
        <w:pStyle w:val="Ttulo2"/>
        <w:tabs>
          <w:tab w:val="left" w:pos="426"/>
        </w:tabs>
        <w:spacing w:before="0"/>
        <w:rPr>
          <w:rFonts w:ascii="Palatino Linotype" w:hAnsi="Palatino Linotype"/>
          <w:b/>
          <w:color w:val="000000" w:themeColor="text1"/>
          <w:sz w:val="24"/>
        </w:rPr>
      </w:pPr>
      <w:bookmarkStart w:id="9" w:name="_Toc461555891"/>
      <w:bookmarkStart w:id="10" w:name="_Toc466371860"/>
      <w:bookmarkStart w:id="11" w:name="_Toc86945041"/>
      <w:r w:rsidRPr="0036005D">
        <w:rPr>
          <w:rFonts w:ascii="Palatino Linotype" w:hAnsi="Palatino Linotype"/>
          <w:b/>
          <w:color w:val="000000" w:themeColor="text1"/>
          <w:sz w:val="24"/>
        </w:rPr>
        <w:t>SEGUNDO. De la oportunidad y proced</w:t>
      </w:r>
      <w:r w:rsidR="00F35C44" w:rsidRPr="0036005D">
        <w:rPr>
          <w:rFonts w:ascii="Palatino Linotype" w:hAnsi="Palatino Linotype"/>
          <w:b/>
          <w:color w:val="000000" w:themeColor="text1"/>
          <w:sz w:val="24"/>
        </w:rPr>
        <w:t>encia</w:t>
      </w:r>
      <w:r w:rsidRPr="0036005D">
        <w:rPr>
          <w:rFonts w:ascii="Palatino Linotype" w:hAnsi="Palatino Linotype"/>
          <w:b/>
          <w:color w:val="000000" w:themeColor="text1"/>
          <w:sz w:val="24"/>
        </w:rPr>
        <w:t>.</w:t>
      </w:r>
      <w:bookmarkEnd w:id="9"/>
      <w:bookmarkEnd w:id="10"/>
      <w:bookmarkEnd w:id="11"/>
    </w:p>
    <w:p w14:paraId="18E22450" w14:textId="77777777" w:rsidR="00C6440A" w:rsidRPr="0036005D" w:rsidRDefault="00C6440A" w:rsidP="00B31E90">
      <w:pPr>
        <w:rPr>
          <w:color w:val="000000" w:themeColor="text1"/>
          <w:lang w:eastAsia="en-US"/>
        </w:rPr>
      </w:pPr>
    </w:p>
    <w:p w14:paraId="59CCEA40" w14:textId="661DF4AC" w:rsidR="00774AB3" w:rsidRPr="0036005D" w:rsidRDefault="003E6D0F"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eastAsia="Calibri" w:hAnsi="Palatino Linotype" w:cs="Arial"/>
          <w:color w:val="000000" w:themeColor="text1"/>
        </w:rPr>
        <w:t xml:space="preserve">El </w:t>
      </w:r>
      <w:r w:rsidR="00B7387B" w:rsidRPr="0036005D">
        <w:rPr>
          <w:rFonts w:ascii="Palatino Linotype" w:eastAsia="Calibri" w:hAnsi="Palatino Linotype" w:cs="Arial"/>
          <w:color w:val="000000" w:themeColor="text1"/>
        </w:rPr>
        <w:t xml:space="preserve">medio de impugnación fue presentado a través del </w:t>
      </w:r>
      <w:r w:rsidR="00B7387B" w:rsidRPr="0036005D">
        <w:rPr>
          <w:rFonts w:ascii="Palatino Linotype" w:eastAsia="Calibri" w:hAnsi="Palatino Linotype" w:cs="Arial"/>
          <w:bCs/>
          <w:iCs/>
          <w:color w:val="000000" w:themeColor="text1"/>
        </w:rPr>
        <w:t>SAIMEX</w:t>
      </w:r>
      <w:r w:rsidR="00B7387B" w:rsidRPr="0036005D">
        <w:rPr>
          <w:rFonts w:ascii="Palatino Linotype" w:eastAsia="Calibri" w:hAnsi="Palatino Linotype" w:cs="Arial"/>
          <w:color w:val="000000" w:themeColor="text1"/>
        </w:rPr>
        <w:t xml:space="preserve"> en el formato previamente aprobado para tal efecto y dentro del plazo legal de quince días hábiles otorgados; siendo así que el </w:t>
      </w:r>
      <w:r w:rsidR="00B7387B" w:rsidRPr="0036005D">
        <w:rPr>
          <w:rFonts w:ascii="Palatino Linotype" w:eastAsia="Calibri" w:hAnsi="Palatino Linotype" w:cs="Arial"/>
          <w:b/>
          <w:color w:val="000000" w:themeColor="text1"/>
        </w:rPr>
        <w:t>SUJETO OBLIGADO</w:t>
      </w:r>
      <w:r w:rsidR="00B7387B" w:rsidRPr="0036005D">
        <w:rPr>
          <w:rFonts w:ascii="Palatino Linotype" w:eastAsia="Calibri" w:hAnsi="Palatino Linotype" w:cs="Arial"/>
          <w:color w:val="000000" w:themeColor="text1"/>
        </w:rPr>
        <w:t xml:space="preserve"> entregó respuesta el </w:t>
      </w:r>
      <w:r w:rsidR="00603C58" w:rsidRPr="0036005D">
        <w:rPr>
          <w:rFonts w:ascii="Palatino Linotype" w:eastAsia="Calibri" w:hAnsi="Palatino Linotype" w:cs="Arial"/>
          <w:color w:val="000000" w:themeColor="text1"/>
        </w:rPr>
        <w:t>cuatro (04) de marzo</w:t>
      </w:r>
      <w:r w:rsidR="00B7387B" w:rsidRPr="0036005D">
        <w:rPr>
          <w:rFonts w:ascii="Palatino Linotype" w:eastAsia="Calibri" w:hAnsi="Palatino Linotype" w:cs="Arial"/>
          <w:color w:val="000000" w:themeColor="text1"/>
        </w:rPr>
        <w:t xml:space="preserve"> de dos mil veintidós, de tal manera que el plazo para interponer el recurso de revisión transcurrió del</w:t>
      </w:r>
      <w:r w:rsidR="00603C58" w:rsidRPr="0036005D">
        <w:rPr>
          <w:rFonts w:ascii="Palatino Linotype" w:eastAsia="Calibri" w:hAnsi="Palatino Linotype" w:cs="Arial"/>
          <w:color w:val="000000" w:themeColor="text1"/>
        </w:rPr>
        <w:t xml:space="preserve"> </w:t>
      </w:r>
      <w:r w:rsidR="00031A0B" w:rsidRPr="0036005D">
        <w:rPr>
          <w:rFonts w:ascii="Palatino Linotype" w:eastAsia="Calibri" w:hAnsi="Palatino Linotype" w:cs="Arial"/>
          <w:color w:val="000000" w:themeColor="text1"/>
        </w:rPr>
        <w:t>siete</w:t>
      </w:r>
      <w:r w:rsidR="00603C58" w:rsidRPr="0036005D">
        <w:rPr>
          <w:rFonts w:ascii="Palatino Linotype" w:eastAsia="Calibri" w:hAnsi="Palatino Linotype" w:cs="Arial"/>
          <w:color w:val="000000" w:themeColor="text1"/>
        </w:rPr>
        <w:t xml:space="preserve"> (0</w:t>
      </w:r>
      <w:r w:rsidR="00031A0B" w:rsidRPr="0036005D">
        <w:rPr>
          <w:rFonts w:ascii="Palatino Linotype" w:eastAsia="Calibri" w:hAnsi="Palatino Linotype" w:cs="Arial"/>
          <w:color w:val="000000" w:themeColor="text1"/>
        </w:rPr>
        <w:t>7</w:t>
      </w:r>
      <w:r w:rsidR="00603C58" w:rsidRPr="0036005D">
        <w:rPr>
          <w:rFonts w:ascii="Palatino Linotype" w:eastAsia="Calibri" w:hAnsi="Palatino Linotype" w:cs="Arial"/>
          <w:color w:val="000000" w:themeColor="text1"/>
        </w:rPr>
        <w:t xml:space="preserve">) al </w:t>
      </w:r>
      <w:r w:rsidR="00031A0B" w:rsidRPr="0036005D">
        <w:rPr>
          <w:rFonts w:ascii="Palatino Linotype" w:eastAsia="Calibri" w:hAnsi="Palatino Linotype" w:cs="Arial"/>
          <w:color w:val="000000" w:themeColor="text1"/>
        </w:rPr>
        <w:t>veintiocho (28)</w:t>
      </w:r>
      <w:r w:rsidR="00B7387B" w:rsidRPr="0036005D">
        <w:rPr>
          <w:rFonts w:ascii="Palatino Linotype" w:eastAsia="Calibri" w:hAnsi="Palatino Linotype" w:cs="Arial"/>
          <w:color w:val="000000" w:themeColor="text1"/>
        </w:rPr>
        <w:t xml:space="preserve"> de marzo de dos mil veintidós, sin contemplar en el cómputo los días </w:t>
      </w:r>
      <w:r w:rsidR="00FD782F" w:rsidRPr="0036005D">
        <w:rPr>
          <w:rFonts w:ascii="Palatino Linotype" w:eastAsia="Calibri" w:hAnsi="Palatino Linotype" w:cs="Arial"/>
          <w:color w:val="000000" w:themeColor="text1"/>
        </w:rPr>
        <w:t>cinco (05), seis (06), doce (12)</w:t>
      </w:r>
      <w:r w:rsidR="00031A0B" w:rsidRPr="0036005D">
        <w:rPr>
          <w:rFonts w:ascii="Palatino Linotype" w:eastAsia="Calibri" w:hAnsi="Palatino Linotype" w:cs="Arial"/>
          <w:color w:val="000000" w:themeColor="text1"/>
        </w:rPr>
        <w:t>,</w:t>
      </w:r>
      <w:r w:rsidR="00FD782F" w:rsidRPr="0036005D">
        <w:rPr>
          <w:rFonts w:ascii="Palatino Linotype" w:eastAsia="Calibri" w:hAnsi="Palatino Linotype" w:cs="Arial"/>
          <w:color w:val="000000" w:themeColor="text1"/>
        </w:rPr>
        <w:t xml:space="preserve"> trece (13)</w:t>
      </w:r>
      <w:r w:rsidR="00031A0B" w:rsidRPr="0036005D">
        <w:rPr>
          <w:rFonts w:ascii="Palatino Linotype" w:eastAsia="Calibri" w:hAnsi="Palatino Linotype" w:cs="Arial"/>
          <w:color w:val="000000" w:themeColor="text1"/>
        </w:rPr>
        <w:t>, diecinueve (19), veinte (20) y veintiuno (21)</w:t>
      </w:r>
      <w:r w:rsidR="00FD782F" w:rsidRPr="0036005D">
        <w:rPr>
          <w:rFonts w:ascii="Palatino Linotype" w:eastAsia="Calibri" w:hAnsi="Palatino Linotype" w:cs="Arial"/>
          <w:color w:val="000000" w:themeColor="text1"/>
        </w:rPr>
        <w:t xml:space="preserve"> de marzo</w:t>
      </w:r>
      <w:r w:rsidR="00B7387B" w:rsidRPr="0036005D">
        <w:rPr>
          <w:rFonts w:ascii="Palatino Linotype" w:eastAsia="Calibri" w:hAnsi="Palatino Linotype" w:cs="Arial"/>
          <w:color w:val="000000" w:themeColor="text1"/>
        </w:rPr>
        <w:t xml:space="preserve">, por corresponder a sábados, domingos e inhábiles, en términos del artículo 3, fracción X, de la Ley de </w:t>
      </w:r>
      <w:r w:rsidR="00B7387B" w:rsidRPr="0036005D">
        <w:rPr>
          <w:rFonts w:ascii="Palatino Linotype" w:eastAsia="Calibri" w:hAnsi="Palatino Linotype" w:cs="Arial"/>
          <w:color w:val="000000" w:themeColor="text1"/>
        </w:rPr>
        <w:lastRenderedPageBreak/>
        <w:t>Transparencia y Acceso a la Información Pública del Estado de México y Municipios.</w:t>
      </w:r>
    </w:p>
    <w:p w14:paraId="0DEACA77" w14:textId="77777777" w:rsidR="00031A0B" w:rsidRPr="0036005D" w:rsidRDefault="00031A0B" w:rsidP="00031A0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3A1EAF7" w14:textId="05B0CC47" w:rsidR="00031A0B" w:rsidRPr="0036005D" w:rsidRDefault="00031A0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eastAsia="Calibri" w:hAnsi="Palatino Linotype" w:cs="Arial"/>
          <w:color w:val="000000" w:themeColor="text1"/>
        </w:rPr>
        <w:t>Luego entonces, si el presente recurso de revisión fue interpuesto el ocho (08) de marzo de dos mil veintidós, éste se encuentra dentro de los márgenes temporales previstos en el artículo 178 de la Ley de Transparencia y Acceso a la Información Pública del Estado de México y Municipios vigente.</w:t>
      </w:r>
    </w:p>
    <w:p w14:paraId="5B5ABAE3" w14:textId="0FAE7A99" w:rsidR="00B7387B" w:rsidRPr="0036005D" w:rsidRDefault="00B7387B" w:rsidP="00031A0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2C08B47" w14:textId="70A7C315"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t xml:space="preserve">Por otro </w:t>
      </w:r>
      <w:r w:rsidRPr="0036005D">
        <w:rPr>
          <w:rFonts w:ascii="Palatino Linotype" w:hAnsi="Palatino Linotype" w:cs="Arial"/>
          <w:color w:val="000000" w:themeColor="text1"/>
          <w:lang w:val="es-ES"/>
        </w:rPr>
        <w:t>lado, de las constancias que obran en el expediente digital formado en el SAIMEX</w:t>
      </w:r>
      <w:r w:rsidRPr="0036005D">
        <w:rPr>
          <w:rFonts w:ascii="Palatino Linotype" w:hAnsi="Palatino Linotype" w:cs="Arial"/>
          <w:b/>
          <w:color w:val="000000" w:themeColor="text1"/>
          <w:lang w:val="es-ES"/>
        </w:rPr>
        <w:t>,</w:t>
      </w:r>
      <w:r w:rsidRPr="0036005D">
        <w:rPr>
          <w:rFonts w:ascii="Palatino Linotype" w:hAnsi="Palatino Linotype" w:cs="Arial"/>
          <w:color w:val="000000" w:themeColor="text1"/>
          <w:lang w:val="es-ES"/>
        </w:rPr>
        <w:t xml:space="preserve"> se desprende que la parte solicitante, tanto en la solicitud de información como en el posterior recurso de revisión, </w:t>
      </w:r>
      <w:r w:rsidRPr="0036005D">
        <w:rPr>
          <w:rFonts w:ascii="Palatino Linotype" w:hAnsi="Palatino Linotype" w:cs="Arial"/>
          <w:b/>
          <w:color w:val="000000" w:themeColor="text1"/>
          <w:lang w:val="es-ES"/>
        </w:rPr>
        <w:t>no señaló ningún nombre, seudónimo o carácter para identificarse, ni se tiene certeza sobre su identidad.</w:t>
      </w:r>
      <w:r w:rsidRPr="0036005D">
        <w:rPr>
          <w:rFonts w:ascii="Palatino Linotype" w:hAnsi="Palatino Linotype" w:cs="Arial"/>
          <w:color w:val="000000" w:themeColor="text1"/>
          <w:lang w:val="es-ES"/>
        </w:rPr>
        <w:t xml:space="preserve"> Sin embargo, es importante señalar que </w:t>
      </w:r>
      <w:r w:rsidRPr="0036005D">
        <w:rPr>
          <w:rFonts w:ascii="Palatino Linotype" w:hAnsi="Palatino Linotype" w:cs="Arial"/>
          <w:color w:val="000000" w:themeColor="text1"/>
        </w:rPr>
        <w:t>el nombre de los Solicitantes y Recurrentes no es un requisito indispensable para la tramitación del acto procesal específico en materia de acceso a la información, ello en estricto apego al numeral 155</w:t>
      </w:r>
      <w:r w:rsidR="00FD782F" w:rsidRPr="0036005D">
        <w:rPr>
          <w:rFonts w:ascii="Palatino Linotype" w:hAnsi="Palatino Linotype" w:cs="Arial"/>
          <w:color w:val="000000" w:themeColor="text1"/>
        </w:rPr>
        <w:t>,</w:t>
      </w:r>
      <w:r w:rsidRPr="0036005D">
        <w:rPr>
          <w:rFonts w:ascii="Palatino Linotype" w:hAnsi="Palatino Linotype" w:cs="Arial"/>
          <w:color w:val="000000" w:themeColor="text1"/>
        </w:rPr>
        <w:t xml:space="preserve"> párrafo tercero</w:t>
      </w:r>
      <w:r w:rsidR="00FD782F" w:rsidRPr="0036005D">
        <w:rPr>
          <w:rFonts w:ascii="Palatino Linotype" w:hAnsi="Palatino Linotype" w:cs="Arial"/>
          <w:color w:val="000000" w:themeColor="text1"/>
        </w:rPr>
        <w:t>,</w:t>
      </w:r>
      <w:r w:rsidRPr="0036005D">
        <w:rPr>
          <w:rFonts w:ascii="Palatino Linotype" w:hAnsi="Palatino Linotype" w:cs="Arial"/>
          <w:color w:val="000000" w:themeColor="text1"/>
        </w:rPr>
        <w:t xml:space="preserve"> de la Ley de la materia, en concatenación con el 180 del mismo ordenamiento.</w:t>
      </w:r>
    </w:p>
    <w:p w14:paraId="6FAC0373"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350D38C1" w14:textId="2FDDE398"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t xml:space="preserve">Esto </w:t>
      </w:r>
      <w:r w:rsidRPr="0036005D">
        <w:rPr>
          <w:rFonts w:ascii="Palatino Linotype" w:hAnsi="Palatino Linotype" w:cs="Arial"/>
          <w:color w:val="000000" w:themeColor="text1"/>
          <w:lang w:val="es-ES"/>
        </w:rPr>
        <w:t xml:space="preserve">es así, ya que de conformidad con los artículos 6, apartado A, fracciones III y IV de la </w:t>
      </w:r>
      <w:r w:rsidRPr="0036005D">
        <w:rPr>
          <w:rFonts w:ascii="Palatino Linotype" w:hAnsi="Palatino Linotype" w:cs="Arial"/>
          <w:b/>
          <w:color w:val="000000" w:themeColor="text1"/>
          <w:lang w:val="es-ES"/>
        </w:rPr>
        <w:t>Constitución Política de los Estados Unidos Mexicanos</w:t>
      </w:r>
      <w:r w:rsidRPr="0036005D">
        <w:rPr>
          <w:rFonts w:ascii="Palatino Linotype" w:hAnsi="Palatino Linotype" w:cs="Arial"/>
          <w:color w:val="000000" w:themeColor="text1"/>
          <w:lang w:val="es-ES"/>
        </w:rPr>
        <w:t xml:space="preserve">; 5, párrafos </w:t>
      </w:r>
      <w:r w:rsidR="00FD782F" w:rsidRPr="0036005D">
        <w:rPr>
          <w:rFonts w:ascii="Palatino Linotype" w:hAnsi="Palatino Linotype" w:cs="Arial"/>
          <w:color w:val="000000" w:themeColor="text1"/>
          <w:lang w:val="es-ES"/>
        </w:rPr>
        <w:t>trigésimo, trigésimo primero y trigésimo segundo</w:t>
      </w:r>
      <w:r w:rsidRPr="0036005D">
        <w:rPr>
          <w:rFonts w:ascii="Palatino Linotype" w:hAnsi="Palatino Linotype" w:cs="Arial"/>
          <w:color w:val="000000" w:themeColor="text1"/>
          <w:lang w:val="es-ES"/>
        </w:rPr>
        <w:t xml:space="preserve">, fracciones III, IV y V, de la </w:t>
      </w:r>
      <w:r w:rsidRPr="0036005D">
        <w:rPr>
          <w:rFonts w:ascii="Palatino Linotype" w:hAnsi="Palatino Linotype" w:cs="Arial"/>
          <w:b/>
          <w:color w:val="000000" w:themeColor="text1"/>
          <w:lang w:val="es-ES"/>
        </w:rPr>
        <w:t>Constitución Política del Estado Libre y Soberano de México</w:t>
      </w:r>
      <w:r w:rsidRPr="0036005D">
        <w:rPr>
          <w:rFonts w:ascii="Palatino Linotype" w:hAnsi="Palatino Linotype" w:cs="Arial"/>
          <w:color w:val="000000" w:themeColor="text1"/>
          <w:lang w:val="es-ES"/>
        </w:rPr>
        <w:t xml:space="preserve">, se establece que toda persona, sin necesidad de acreditar interés alguno o justificar su utilización, tendrá acceso gratuito a la información pública, a sus datos personales o a la rectificación </w:t>
      </w:r>
      <w:r w:rsidRPr="0036005D">
        <w:rPr>
          <w:rFonts w:ascii="Palatino Linotype" w:hAnsi="Palatino Linotype" w:cs="Arial"/>
          <w:color w:val="000000" w:themeColor="text1"/>
          <w:lang w:val="es-ES"/>
        </w:rPr>
        <w:lastRenderedPageBreak/>
        <w:t>de éstos, además de  que se establecerán mecanismos de acceso a la información y procedimientos de revisión expeditos que se sustanciarán ante los organismos autónomos especializados e imparciales que establece la Constitución Federal y Local.</w:t>
      </w:r>
    </w:p>
    <w:p w14:paraId="57472631"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F911D16" w14:textId="77777777"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t xml:space="preserve">Por </w:t>
      </w:r>
      <w:r w:rsidRPr="0036005D">
        <w:rPr>
          <w:rFonts w:ascii="Palatino Linotype" w:eastAsia="Times New Roman" w:hAnsi="Palatino Linotype" w:cs="Arial"/>
          <w:color w:val="000000" w:themeColor="text1"/>
          <w:lang w:val="es-ES" w:eastAsia="es-MX"/>
        </w:rPr>
        <w:t>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5D15B56C"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24DDE7AC" w14:textId="64832439"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t xml:space="preserve">Asimismo, </w:t>
      </w:r>
      <w:r w:rsidRPr="0036005D">
        <w:rPr>
          <w:rFonts w:ascii="Palatino Linotype" w:eastAsia="Calibri" w:hAnsi="Palatino Linotype" w:cs="Arial"/>
        </w:rPr>
        <w:t>como lo establece la Convención Americana</w:t>
      </w:r>
      <w:r w:rsidR="008211DC" w:rsidRPr="0036005D">
        <w:rPr>
          <w:rFonts w:ascii="Palatino Linotype" w:eastAsia="Calibri" w:hAnsi="Palatino Linotype" w:cs="Arial"/>
        </w:rPr>
        <w:t>,</w:t>
      </w:r>
      <w:r w:rsidRPr="0036005D">
        <w:rPr>
          <w:rFonts w:ascii="Palatino Linotype" w:eastAsia="Calibri" w:hAnsi="Palatino Linotype" w:cs="Arial"/>
        </w:rPr>
        <w:t xml:space="preserve"> en su artículo 13, el derecho de acceso a la información es un derecho humano universal y</w:t>
      </w:r>
      <w:r w:rsidR="008211DC" w:rsidRPr="0036005D">
        <w:rPr>
          <w:rFonts w:ascii="Palatino Linotype" w:eastAsia="Calibri" w:hAnsi="Palatino Linotype" w:cs="Arial"/>
        </w:rPr>
        <w:t>,</w:t>
      </w:r>
      <w:r w:rsidRPr="0036005D">
        <w:rPr>
          <w:rFonts w:ascii="Palatino Linotype" w:eastAsia="Calibri" w:hAnsi="Palatino Linotype" w:cs="Arial"/>
        </w:rPr>
        <w:t xml:space="preserve"> en consecuencia, toda persona tiene derecho a solicitar acceso a la información.</w:t>
      </w:r>
    </w:p>
    <w:p w14:paraId="700D797D"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FFA9F9A" w14:textId="77777777"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t xml:space="preserve">De </w:t>
      </w:r>
      <w:r w:rsidRPr="0036005D">
        <w:rPr>
          <w:rFonts w:ascii="Palatino Linotype" w:eastAsia="Calibri" w:hAnsi="Palatino Linotype" w:cs="Arial"/>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5CC9C610"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4C3E9825" w14:textId="3764435E" w:rsidR="00B7387B" w:rsidRPr="0036005D" w:rsidRDefault="00B7387B" w:rsidP="00B7387B">
      <w:pPr>
        <w:pStyle w:val="Prrafodelista"/>
        <w:numPr>
          <w:ilvl w:val="0"/>
          <w:numId w:val="1"/>
        </w:numPr>
        <w:tabs>
          <w:tab w:val="left" w:pos="426"/>
        </w:tabs>
        <w:spacing w:line="360" w:lineRule="auto"/>
        <w:ind w:right="49"/>
        <w:jc w:val="both"/>
        <w:rPr>
          <w:rFonts w:ascii="Palatino Linotype" w:eastAsia="Times New Roman" w:hAnsi="Palatino Linotype" w:cs="Arial"/>
          <w:bCs/>
          <w:color w:val="000000" w:themeColor="text1"/>
          <w:lang w:eastAsia="es-MX"/>
        </w:rPr>
      </w:pPr>
      <w:r w:rsidRPr="0036005D">
        <w:rPr>
          <w:rFonts w:ascii="Palatino Linotype" w:hAnsi="Palatino Linotype" w:cs="Arial"/>
          <w:color w:val="000000" w:themeColor="text1"/>
        </w:rPr>
        <w:lastRenderedPageBreak/>
        <w:t xml:space="preserve">Por </w:t>
      </w:r>
      <w:r w:rsidRPr="0036005D">
        <w:rPr>
          <w:rFonts w:ascii="Palatino Linotype" w:eastAsia="Calibri" w:hAnsi="Palatino Linotype" w:cs="Arial"/>
        </w:rPr>
        <w:t xml:space="preserve">lo tanto, </w:t>
      </w:r>
      <w:r w:rsidRPr="0036005D">
        <w:rPr>
          <w:rFonts w:ascii="Palatino Linotype" w:eastAsia="Times New Roman" w:hAnsi="Palatino Linotype" w:cs="Arial"/>
          <w:color w:val="000000" w:themeColor="text1"/>
          <w:lang w:val="es-ES" w:eastAsia="es-MX"/>
        </w:rPr>
        <w:t xml:space="preserve">el nombre del </w:t>
      </w:r>
      <w:r w:rsidRPr="0036005D">
        <w:rPr>
          <w:rFonts w:ascii="Palatino Linotype" w:eastAsia="Times New Roman" w:hAnsi="Palatino Linotype" w:cs="Arial"/>
          <w:b/>
          <w:color w:val="000000" w:themeColor="text1"/>
          <w:lang w:val="es-ES" w:eastAsia="es-MX"/>
        </w:rPr>
        <w:t>SOLICITANTE</w:t>
      </w:r>
      <w:r w:rsidRPr="0036005D">
        <w:rPr>
          <w:rFonts w:ascii="Palatino Linotype" w:eastAsia="Times New Roman" w:hAnsi="Palatino Linotype" w:cs="Arial"/>
          <w:color w:val="000000" w:themeColor="text1"/>
          <w:lang w:val="es-ES" w:eastAsia="es-MX"/>
        </w:rPr>
        <w:t xml:space="preserve"> y subsecuente </w:t>
      </w:r>
      <w:r w:rsidRPr="0036005D">
        <w:rPr>
          <w:rFonts w:ascii="Palatino Linotype" w:eastAsia="Times New Roman" w:hAnsi="Palatino Linotype" w:cs="Arial"/>
          <w:b/>
          <w:color w:val="000000" w:themeColor="text1"/>
          <w:lang w:val="es-ES" w:eastAsia="es-MX"/>
        </w:rPr>
        <w:t>RECURRENTE</w:t>
      </w:r>
      <w:r w:rsidRPr="0036005D">
        <w:rPr>
          <w:rFonts w:ascii="Palatino Linotype" w:eastAsia="Times New Roman" w:hAnsi="Palatino Linotype" w:cs="Arial"/>
          <w:color w:val="000000" w:themeColor="text1"/>
          <w:lang w:val="es-ES" w:eastAsia="es-MX"/>
        </w:rPr>
        <w:t xml:space="preserve"> no puede ser considerado como un requisito indispensable de procedencia del recurso de revisión que nos ocupa, ya que el acceso a la información no está condicionado a acreditar algún interés</w:t>
      </w:r>
      <w:r w:rsidR="008211DC" w:rsidRPr="0036005D">
        <w:rPr>
          <w:rFonts w:ascii="Palatino Linotype" w:eastAsia="Times New Roman" w:hAnsi="Palatino Linotype" w:cs="Arial"/>
          <w:color w:val="000000" w:themeColor="text1"/>
          <w:lang w:val="es-ES" w:eastAsia="es-MX"/>
        </w:rPr>
        <w:t>,</w:t>
      </w:r>
      <w:r w:rsidRPr="0036005D">
        <w:rPr>
          <w:rFonts w:ascii="Palatino Linotype" w:eastAsia="Times New Roman" w:hAnsi="Palatino Linotype" w:cs="Arial"/>
          <w:color w:val="000000" w:themeColor="text1"/>
          <w:lang w:val="es-ES" w:eastAsia="es-MX"/>
        </w:rPr>
        <w:t xml:space="preserve"> sea jurídico o legítimo, máxime que es un elemento subsanable por este Órgano Resolutor.</w:t>
      </w:r>
    </w:p>
    <w:p w14:paraId="3EC62926" w14:textId="77777777" w:rsidR="00B7387B" w:rsidRPr="0036005D" w:rsidRDefault="00B7387B" w:rsidP="00B7387B">
      <w:pPr>
        <w:pStyle w:val="Prrafodelista"/>
        <w:tabs>
          <w:tab w:val="left" w:pos="426"/>
        </w:tabs>
        <w:spacing w:line="360" w:lineRule="auto"/>
        <w:ind w:left="0" w:right="49"/>
        <w:jc w:val="both"/>
        <w:rPr>
          <w:rFonts w:ascii="Palatino Linotype" w:eastAsia="Times New Roman" w:hAnsi="Palatino Linotype" w:cs="Arial"/>
          <w:bCs/>
          <w:color w:val="000000" w:themeColor="text1"/>
          <w:lang w:eastAsia="es-MX"/>
        </w:rPr>
      </w:pPr>
    </w:p>
    <w:p w14:paraId="52DD5993" w14:textId="28C7FFB6" w:rsidR="005F1362" w:rsidRPr="0036005D" w:rsidRDefault="00C6440A" w:rsidP="00DA22D8">
      <w:pPr>
        <w:pStyle w:val="Prrafodelista"/>
        <w:numPr>
          <w:ilvl w:val="0"/>
          <w:numId w:val="1"/>
        </w:numPr>
        <w:tabs>
          <w:tab w:val="left" w:pos="426"/>
        </w:tabs>
        <w:spacing w:line="360" w:lineRule="auto"/>
        <w:jc w:val="both"/>
        <w:rPr>
          <w:rFonts w:ascii="Palatino Linotype" w:hAnsi="Palatino Linotype"/>
          <w:color w:val="000000" w:themeColor="text1"/>
        </w:rPr>
      </w:pPr>
      <w:r w:rsidRPr="0036005D">
        <w:rPr>
          <w:rFonts w:ascii="Palatino Linotype" w:eastAsia="Calibri" w:hAnsi="Palatino Linotype" w:cs="Arial"/>
          <w:color w:val="000000" w:themeColor="text1"/>
        </w:rPr>
        <w:t xml:space="preserve">Consecuencia de lo anterior, </w:t>
      </w:r>
      <w:r w:rsidR="008211DC" w:rsidRPr="0036005D">
        <w:rPr>
          <w:rFonts w:ascii="Palatino Linotype" w:eastAsia="Calibri" w:hAnsi="Palatino Linotype" w:cs="Arial"/>
          <w:color w:val="000000" w:themeColor="text1"/>
        </w:rPr>
        <w:t>se</w:t>
      </w:r>
      <w:r w:rsidRPr="0036005D">
        <w:rPr>
          <w:rFonts w:ascii="Palatino Linotype" w:eastAsia="Calibri" w:hAnsi="Palatino Linotype" w:cs="Arial"/>
          <w:color w:val="000000" w:themeColor="text1"/>
        </w:rPr>
        <w:t xml:space="preserve"> advierte que </w:t>
      </w:r>
      <w:r w:rsidR="00540208" w:rsidRPr="0036005D">
        <w:rPr>
          <w:rFonts w:ascii="Palatino Linotype" w:eastAsia="Calibri" w:hAnsi="Palatino Linotype" w:cs="Arial"/>
          <w:color w:val="000000" w:themeColor="text1"/>
        </w:rPr>
        <w:t>el escrito contiene las formalidades previstas por el artículo 180</w:t>
      </w:r>
      <w:r w:rsidR="008211DC" w:rsidRPr="0036005D">
        <w:rPr>
          <w:rFonts w:ascii="Palatino Linotype" w:eastAsia="Calibri" w:hAnsi="Palatino Linotype" w:cs="Arial"/>
          <w:color w:val="000000" w:themeColor="text1"/>
        </w:rPr>
        <w:t>,</w:t>
      </w:r>
      <w:r w:rsidR="00540208" w:rsidRPr="0036005D">
        <w:rPr>
          <w:rFonts w:ascii="Palatino Linotype" w:eastAsia="Calibri" w:hAnsi="Palatino Linotype" w:cs="Arial"/>
          <w:color w:val="000000" w:themeColor="text1"/>
        </w:rPr>
        <w:t xml:space="preserve"> último párrafo</w:t>
      </w:r>
      <w:r w:rsidR="008211DC" w:rsidRPr="0036005D">
        <w:rPr>
          <w:rFonts w:ascii="Palatino Linotype" w:eastAsia="Calibri" w:hAnsi="Palatino Linotype" w:cs="Arial"/>
          <w:color w:val="000000" w:themeColor="text1"/>
        </w:rPr>
        <w:t>,</w:t>
      </w:r>
      <w:r w:rsidR="00540208" w:rsidRPr="0036005D">
        <w:rPr>
          <w:rFonts w:ascii="Palatino Linotype" w:eastAsia="Calibri" w:hAnsi="Palatino Linotype" w:cs="Arial"/>
          <w:color w:val="000000" w:themeColor="text1"/>
        </w:rPr>
        <w:t xml:space="preserve"> de la Ley </w:t>
      </w:r>
      <w:r w:rsidR="004911B6" w:rsidRPr="0036005D">
        <w:rPr>
          <w:rFonts w:ascii="Palatino Linotype" w:eastAsia="Calibri" w:hAnsi="Palatino Linotype" w:cs="Arial"/>
          <w:color w:val="000000" w:themeColor="text1"/>
        </w:rPr>
        <w:t>de Transparencia y Acceso a la Información Pública del Estado de México y Municipios</w:t>
      </w:r>
      <w:r w:rsidR="00540208" w:rsidRPr="0036005D">
        <w:rPr>
          <w:rFonts w:ascii="Palatino Linotype" w:eastAsia="Calibri" w:hAnsi="Palatino Linotype" w:cs="Arial"/>
          <w:color w:val="000000" w:themeColor="text1"/>
        </w:rPr>
        <w:t xml:space="preserve">, por lo que es procedente que </w:t>
      </w:r>
      <w:r w:rsidR="004911B6" w:rsidRPr="0036005D">
        <w:rPr>
          <w:rFonts w:ascii="Palatino Linotype" w:eastAsia="Calibri" w:hAnsi="Palatino Linotype" w:cs="Arial"/>
          <w:color w:val="000000" w:themeColor="text1"/>
        </w:rPr>
        <w:t>e</w:t>
      </w:r>
      <w:r w:rsidR="00540208" w:rsidRPr="0036005D">
        <w:rPr>
          <w:rFonts w:ascii="Palatino Linotype" w:eastAsia="Calibri" w:hAnsi="Palatino Linotype" w:cs="Arial"/>
          <w:color w:val="000000" w:themeColor="text1"/>
        </w:rPr>
        <w:t>ste Instituto de Transparencia, Acceso a la Información Pública y Protección de Datos Personales del Estado de México y Municipios, conozca y resuelva el presente recurso.</w:t>
      </w:r>
    </w:p>
    <w:p w14:paraId="316CB621" w14:textId="77777777" w:rsidR="00710B50" w:rsidRPr="0036005D" w:rsidRDefault="00710B50" w:rsidP="00710B50">
      <w:pPr>
        <w:pStyle w:val="Prrafodelista"/>
        <w:tabs>
          <w:tab w:val="left" w:pos="426"/>
        </w:tabs>
        <w:spacing w:line="360" w:lineRule="auto"/>
        <w:ind w:left="0"/>
        <w:jc w:val="both"/>
        <w:rPr>
          <w:rFonts w:ascii="Palatino Linotype" w:hAnsi="Palatino Linotype"/>
          <w:color w:val="000000" w:themeColor="text1"/>
        </w:rPr>
      </w:pPr>
    </w:p>
    <w:p w14:paraId="5CEC2F48" w14:textId="05287599" w:rsidR="00EF014A" w:rsidRPr="0036005D" w:rsidRDefault="00710B50" w:rsidP="00614DC5">
      <w:pPr>
        <w:pStyle w:val="Prrafodelista"/>
        <w:tabs>
          <w:tab w:val="left" w:pos="426"/>
        </w:tabs>
        <w:spacing w:line="360" w:lineRule="auto"/>
        <w:ind w:left="0"/>
        <w:jc w:val="both"/>
        <w:outlineLvl w:val="1"/>
        <w:rPr>
          <w:rFonts w:ascii="Palatino Linotype" w:hAnsi="Palatino Linotype" w:cs="Arial"/>
          <w:b/>
          <w:color w:val="000000" w:themeColor="text1"/>
        </w:rPr>
      </w:pPr>
      <w:bookmarkStart w:id="12" w:name="_Toc86945042"/>
      <w:r w:rsidRPr="0036005D">
        <w:rPr>
          <w:rFonts w:ascii="Palatino Linotype" w:hAnsi="Palatino Linotype"/>
          <w:b/>
          <w:color w:val="000000" w:themeColor="text1"/>
        </w:rPr>
        <w:t>TERCERO.</w:t>
      </w:r>
      <w:bookmarkStart w:id="13" w:name="_Toc459174366"/>
      <w:bookmarkStart w:id="14" w:name="_Toc459659884"/>
      <w:bookmarkStart w:id="15" w:name="_Toc461687280"/>
      <w:bookmarkStart w:id="16" w:name="_Toc462771051"/>
      <w:bookmarkStart w:id="17" w:name="_Toc464139201"/>
      <w:r w:rsidR="00EF014A" w:rsidRPr="0036005D">
        <w:rPr>
          <w:rFonts w:ascii="Palatino Linotype" w:hAnsi="Palatino Linotype" w:cs="Arial"/>
          <w:b/>
          <w:color w:val="000000" w:themeColor="text1"/>
        </w:rPr>
        <w:t xml:space="preserve"> </w:t>
      </w:r>
      <w:r w:rsidR="00614DC5" w:rsidRPr="0036005D">
        <w:rPr>
          <w:rFonts w:ascii="Palatino Linotype" w:hAnsi="Palatino Linotype" w:cs="Arial"/>
          <w:b/>
          <w:color w:val="000000" w:themeColor="text1"/>
        </w:rPr>
        <w:t>De las causales de sobreseimiento</w:t>
      </w:r>
      <w:r w:rsidR="00EF014A" w:rsidRPr="0036005D">
        <w:rPr>
          <w:rFonts w:ascii="Palatino Linotype" w:hAnsi="Palatino Linotype" w:cs="Arial"/>
          <w:b/>
          <w:color w:val="000000" w:themeColor="text1"/>
        </w:rPr>
        <w:t>.</w:t>
      </w:r>
      <w:bookmarkEnd w:id="12"/>
    </w:p>
    <w:p w14:paraId="2E26ABFD" w14:textId="3654329A" w:rsidR="00FE0837" w:rsidRPr="0036005D" w:rsidRDefault="007810A0" w:rsidP="007810A0">
      <w:pPr>
        <w:pStyle w:val="Prrafodelista"/>
        <w:tabs>
          <w:tab w:val="left" w:pos="426"/>
        </w:tabs>
        <w:spacing w:line="360" w:lineRule="auto"/>
        <w:ind w:left="0" w:right="51"/>
        <w:jc w:val="both"/>
        <w:outlineLvl w:val="2"/>
        <w:rPr>
          <w:rFonts w:ascii="Palatino Linotype" w:hAnsi="Palatino Linotype"/>
          <w:b/>
          <w:bCs/>
          <w:color w:val="000000" w:themeColor="text1"/>
        </w:rPr>
      </w:pPr>
      <w:bookmarkStart w:id="18" w:name="_Toc466371865"/>
      <w:bookmarkStart w:id="19" w:name="_Toc466377653"/>
      <w:bookmarkEnd w:id="13"/>
      <w:bookmarkEnd w:id="14"/>
      <w:bookmarkEnd w:id="15"/>
      <w:bookmarkEnd w:id="16"/>
      <w:bookmarkEnd w:id="17"/>
      <w:r w:rsidRPr="0036005D">
        <w:rPr>
          <w:rFonts w:ascii="Palatino Linotype" w:hAnsi="Palatino Linotype"/>
          <w:b/>
          <w:bCs/>
          <w:color w:val="000000" w:themeColor="text1"/>
        </w:rPr>
        <w:t>I. Del derecho de acceso a la información.</w:t>
      </w:r>
    </w:p>
    <w:p w14:paraId="1159343E" w14:textId="7EBE2E0D"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19469832" w14:textId="72790F54"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Resulta elemental </w:t>
      </w:r>
      <w:r w:rsidR="00653E5C" w:rsidRPr="0036005D">
        <w:rPr>
          <w:rFonts w:ascii="Palatino Linotype" w:hAnsi="Palatino Linotype"/>
          <w:color w:val="000000" w:themeColor="text1"/>
        </w:rPr>
        <w:t>establecer</w:t>
      </w:r>
      <w:r w:rsidRPr="0036005D">
        <w:rPr>
          <w:rFonts w:ascii="Palatino Linotype" w:hAnsi="Palatino Linotype"/>
          <w:color w:val="000000" w:themeColor="text1"/>
        </w:rPr>
        <w:t xml:space="preserve"> que el derecho de acceso a la información </w:t>
      </w:r>
      <w:r w:rsidR="00653E5C" w:rsidRPr="0036005D">
        <w:rPr>
          <w:rFonts w:ascii="Palatino Linotype" w:hAnsi="Palatino Linotype"/>
          <w:color w:val="000000" w:themeColor="text1"/>
        </w:rPr>
        <w:t>se puede definir</w:t>
      </w:r>
      <w:r w:rsidRPr="0036005D">
        <w:rPr>
          <w:rFonts w:ascii="Palatino Linotype" w:hAnsi="Palatino Linotype"/>
          <w:color w:val="000000" w:themeColor="text1"/>
        </w:rPr>
        <w:t xml:space="preserve"> como la </w:t>
      </w:r>
      <w:r w:rsidRPr="0036005D">
        <w:rPr>
          <w:rFonts w:ascii="Palatino Linotype" w:hAnsi="Palatino Linotype"/>
          <w:i/>
          <w:color w:val="000000" w:themeColor="text1"/>
        </w:rPr>
        <w:t>igualdad de oportunidades para recibir, buscar e impartir información</w:t>
      </w:r>
      <w:r w:rsidRPr="0036005D">
        <w:rPr>
          <w:rFonts w:ascii="Palatino Linotype" w:hAnsi="Palatino Linotype"/>
          <w:i/>
          <w:color w:val="000000" w:themeColor="text1"/>
          <w:vertAlign w:val="superscript"/>
        </w:rPr>
        <w:footnoteReference w:id="1"/>
      </w:r>
      <w:r w:rsidRPr="0036005D">
        <w:rPr>
          <w:rFonts w:ascii="Palatino Linotype" w:hAnsi="Palatino Linotype"/>
          <w:i/>
          <w:color w:val="000000" w:themeColor="text1"/>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005D">
        <w:rPr>
          <w:rFonts w:ascii="Palatino Linotype" w:hAnsi="Palatino Linotype"/>
          <w:i/>
          <w:color w:val="000000" w:themeColor="text1"/>
          <w:vertAlign w:val="superscript"/>
        </w:rPr>
        <w:footnoteReference w:id="2"/>
      </w:r>
      <w:r w:rsidRPr="0036005D">
        <w:rPr>
          <w:rFonts w:ascii="Palatino Linotype" w:hAnsi="Palatino Linotype"/>
          <w:color w:val="000000" w:themeColor="text1"/>
        </w:rPr>
        <w:t xml:space="preserve">que se constituye </w:t>
      </w:r>
      <w:r w:rsidRPr="0036005D">
        <w:rPr>
          <w:rFonts w:ascii="Palatino Linotype" w:hAnsi="Palatino Linotype"/>
          <w:color w:val="000000" w:themeColor="text1"/>
        </w:rPr>
        <w:lastRenderedPageBreak/>
        <w:t>como una herramienta fundamental para ejercer</w:t>
      </w:r>
      <w:r w:rsidRPr="0036005D">
        <w:rPr>
          <w:rFonts w:ascii="Palatino Linotype" w:hAnsi="Palatino Linotype"/>
          <w:i/>
          <w:color w:val="000000" w:themeColor="text1"/>
        </w:rPr>
        <w:t xml:space="preserve"> el control democrático de las gestiones estatales, de forma tal que puedan cuestionar, indagar y considerar si se está dando un adecuado cumplimiento a las funciones públicas,</w:t>
      </w:r>
      <w:r w:rsidRPr="0036005D">
        <w:rPr>
          <w:rFonts w:ascii="Palatino Linotype" w:hAnsi="Palatino Linotype"/>
          <w:i/>
          <w:color w:val="000000" w:themeColor="text1"/>
          <w:vertAlign w:val="superscript"/>
        </w:rPr>
        <w:footnoteReference w:id="3"/>
      </w:r>
      <w:r w:rsidRPr="0036005D">
        <w:rPr>
          <w:rFonts w:ascii="Palatino Linotype" w:hAnsi="Palatino Linotype"/>
          <w:i/>
          <w:color w:val="000000" w:themeColor="text1"/>
        </w:rPr>
        <w:t xml:space="preserve"> </w:t>
      </w:r>
      <w:r w:rsidRPr="0036005D">
        <w:rPr>
          <w:rFonts w:ascii="Palatino Linotype" w:hAnsi="Palatino Linotype"/>
          <w:color w:val="000000" w:themeColor="text1"/>
        </w:rPr>
        <w:t>fomentando</w:t>
      </w:r>
      <w:r w:rsidRPr="0036005D">
        <w:rPr>
          <w:rFonts w:ascii="Palatino Linotype" w:hAnsi="Palatino Linotype"/>
          <w:i/>
          <w:color w:val="000000" w:themeColor="text1"/>
        </w:rPr>
        <w:t xml:space="preserve"> la transparencia de las actividades estatales y </w:t>
      </w:r>
      <w:r w:rsidRPr="0036005D">
        <w:rPr>
          <w:rFonts w:ascii="Palatino Linotype" w:hAnsi="Palatino Linotype"/>
          <w:color w:val="000000" w:themeColor="text1"/>
        </w:rPr>
        <w:t>promoviendo</w:t>
      </w:r>
      <w:r w:rsidRPr="0036005D">
        <w:rPr>
          <w:rFonts w:ascii="Palatino Linotype" w:hAnsi="Palatino Linotype"/>
          <w:i/>
          <w:color w:val="000000" w:themeColor="text1"/>
        </w:rPr>
        <w:t xml:space="preserve"> la responsabilidad de los funcionarios sobre su gestión pública,</w:t>
      </w:r>
      <w:r w:rsidRPr="0036005D">
        <w:rPr>
          <w:rFonts w:ascii="Palatino Linotype" w:hAnsi="Palatino Linotype"/>
          <w:i/>
          <w:color w:val="000000" w:themeColor="text1"/>
          <w:vertAlign w:val="superscript"/>
        </w:rPr>
        <w:footnoteReference w:id="4"/>
      </w:r>
      <w:r w:rsidRPr="0036005D">
        <w:rPr>
          <w:rFonts w:ascii="Palatino Linotype" w:hAnsi="Palatino Linotype"/>
          <w:color w:val="000000" w:themeColor="text1"/>
        </w:rPr>
        <w:t>que permite</w:t>
      </w:r>
      <w:r w:rsidRPr="0036005D">
        <w:rPr>
          <w:rFonts w:ascii="Palatino Linotype" w:hAnsi="Palatino Linotype"/>
          <w:i/>
          <w:color w:val="000000" w:themeColor="text1"/>
        </w:rPr>
        <w:t xml:space="preserve"> saber qué están haciendo los gobiernos por sus pueblos, sin lo cual la verdad languidecería y la participación en el gobierno permanecería fragmentada.</w:t>
      </w:r>
    </w:p>
    <w:p w14:paraId="44496D50"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4FF363EA" w14:textId="1BBCD715" w:rsidR="007810A0" w:rsidRPr="0036005D" w:rsidRDefault="00653E5C"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Lo anterior encuentra sustento a través del</w:t>
      </w:r>
      <w:r w:rsidR="007810A0" w:rsidRPr="0036005D">
        <w:rPr>
          <w:rFonts w:ascii="Palatino Linotype" w:hAnsi="Palatino Linotype"/>
          <w:color w:val="000000" w:themeColor="text1"/>
        </w:rPr>
        <w:t xml:space="preserve"> Criterio 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(19) de octubre de dos mil once, cuyo rubro y texto dispone:</w:t>
      </w:r>
    </w:p>
    <w:p w14:paraId="474CD748"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69EBC5BD"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b/>
          <w:i/>
          <w:sz w:val="22"/>
          <w:szCs w:val="22"/>
        </w:rPr>
        <w:t>INFORMACIÓN PÚBLICA, CONCEPTO DE, EN MATERIA DE TRANSPARENCIA. INTERPRETACIÓN TEMÁTICA DE LOS ARTÍCULOS 2, FRACCIÓN V, XV, Y XVI, 3, 4,11 Y 41.</w:t>
      </w:r>
      <w:r w:rsidRPr="0036005D">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50DC2AC"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BF2003F"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i/>
          <w:sz w:val="22"/>
          <w:szCs w:val="22"/>
        </w:rPr>
        <w:lastRenderedPageBreak/>
        <w:t>Que se trate de información registrada en cualquier soporte documental, que en ejercicio de las atribuciones conferidas, sea generada por los Sujetos Obligados;</w:t>
      </w:r>
    </w:p>
    <w:p w14:paraId="1E0060D5"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i/>
          <w:sz w:val="22"/>
          <w:szCs w:val="22"/>
        </w:rPr>
        <w:t>Que se trate de información registrada en cualquier soporte documental, que en ejercicio de las atribuciones conferidas, sea administrada por los Sujetos Obligados, y</w:t>
      </w:r>
    </w:p>
    <w:p w14:paraId="0F8F8D18" w14:textId="77777777" w:rsidR="007810A0" w:rsidRPr="0036005D" w:rsidRDefault="007810A0" w:rsidP="007810A0">
      <w:pPr>
        <w:spacing w:line="276" w:lineRule="auto"/>
        <w:ind w:left="567" w:right="567"/>
        <w:jc w:val="both"/>
        <w:rPr>
          <w:rFonts w:ascii="Palatino Linotype" w:eastAsia="Palatino Linotype" w:hAnsi="Palatino Linotype" w:cs="Palatino Linotype"/>
        </w:rPr>
      </w:pPr>
      <w:r w:rsidRPr="0036005D">
        <w:rPr>
          <w:rFonts w:ascii="Palatino Linotype" w:eastAsia="Palatino Linotype" w:hAnsi="Palatino Linotype" w:cs="Palatino Linotype"/>
          <w:i/>
          <w:sz w:val="22"/>
          <w:szCs w:val="22"/>
        </w:rPr>
        <w:t>Que se trate de información registrada en cualquier soporte documental, que en ejercicio de las atribuciones conferidas, se encuentre en posesión de los Sujetos Obligados.”</w:t>
      </w:r>
    </w:p>
    <w:p w14:paraId="112490A9"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42CE6D0D"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El </w:t>
      </w:r>
      <w:r w:rsidRPr="0036005D">
        <w:rPr>
          <w:rFonts w:ascii="Palatino Linotype" w:eastAsia="Palatino Linotype" w:hAnsi="Palatino Linotype" w:cs="Palatino Linotype"/>
          <w:color w:val="000000"/>
        </w:rPr>
        <w:t>derecho de acceso a la información encuentra su materia elemental en los documentos, y la Ley de Transparencia local nos brinda el siguiente concepto</w:t>
      </w:r>
      <w:r w:rsidRPr="0036005D">
        <w:rPr>
          <w:rFonts w:ascii="Palatino Linotype" w:eastAsia="Palatino Linotype" w:hAnsi="Palatino Linotype" w:cs="Palatino Linotype"/>
          <w:color w:val="000000"/>
          <w:vertAlign w:val="superscript"/>
        </w:rPr>
        <w:footnoteReference w:id="5"/>
      </w:r>
      <w:r w:rsidRPr="0036005D">
        <w:rPr>
          <w:rFonts w:ascii="Palatino Linotype" w:eastAsia="Palatino Linotype" w:hAnsi="Palatino Linotype" w:cs="Palatino Linotype"/>
          <w:color w:val="000000"/>
        </w:rPr>
        <w:t>, para darnos un mejor panorama:</w:t>
      </w:r>
    </w:p>
    <w:p w14:paraId="043A5468" w14:textId="77777777" w:rsidR="007810A0" w:rsidRPr="0036005D" w:rsidRDefault="007810A0" w:rsidP="007810A0">
      <w:pPr>
        <w:pStyle w:val="Prrafodelista"/>
        <w:tabs>
          <w:tab w:val="left" w:pos="426"/>
        </w:tabs>
        <w:spacing w:before="240" w:line="360" w:lineRule="auto"/>
        <w:ind w:left="0" w:right="51"/>
        <w:jc w:val="both"/>
        <w:rPr>
          <w:rFonts w:ascii="Palatino Linotype" w:hAnsi="Palatino Linotype"/>
          <w:color w:val="000000" w:themeColor="text1"/>
        </w:rPr>
      </w:pPr>
    </w:p>
    <w:p w14:paraId="4CC4D499" w14:textId="77777777" w:rsidR="007810A0" w:rsidRPr="0036005D" w:rsidRDefault="007810A0" w:rsidP="007810A0">
      <w:pPr>
        <w:spacing w:line="276" w:lineRule="auto"/>
        <w:ind w:left="567" w:right="567"/>
        <w:jc w:val="both"/>
        <w:rPr>
          <w:rFonts w:ascii="Palatino Linotype" w:eastAsia="Palatino Linotype" w:hAnsi="Palatino Linotype" w:cs="Palatino Linotype"/>
          <w:iCs/>
          <w:sz w:val="22"/>
          <w:szCs w:val="22"/>
        </w:rPr>
      </w:pPr>
      <w:r w:rsidRPr="0036005D">
        <w:rPr>
          <w:rFonts w:ascii="Palatino Linotype" w:eastAsia="Palatino Linotype" w:hAnsi="Palatino Linotype" w:cs="Palatino Linotype"/>
          <w:b/>
          <w:i/>
          <w:sz w:val="22"/>
          <w:szCs w:val="22"/>
        </w:rPr>
        <w:t xml:space="preserve">“XI. Documento: </w:t>
      </w:r>
      <w:r w:rsidRPr="0036005D">
        <w:rPr>
          <w:rFonts w:ascii="Palatino Linotype" w:eastAsia="Palatino Linotype" w:hAnsi="Palatino Linotype" w:cs="Palatino Linotype"/>
          <w:i/>
          <w:sz w:val="22"/>
          <w:szCs w:val="22"/>
        </w:rPr>
        <w:t xml:space="preserve">Los expedientes, reportes, estudios, actas, resoluciones, oficios, correspondencia, acuerdos, directivas, directrices, circulares, </w:t>
      </w:r>
      <w:r w:rsidRPr="0036005D">
        <w:rPr>
          <w:rFonts w:ascii="Palatino Linotype" w:eastAsia="Palatino Linotype" w:hAnsi="Palatino Linotype" w:cs="Palatino Linotype"/>
          <w:b/>
          <w:bCs/>
          <w:i/>
          <w:sz w:val="22"/>
          <w:szCs w:val="22"/>
        </w:rPr>
        <w:t>contratos</w:t>
      </w:r>
      <w:r w:rsidRPr="0036005D">
        <w:rPr>
          <w:rFonts w:ascii="Palatino Linotype" w:eastAsia="Palatino Linotype" w:hAnsi="Palatino Linotype" w:cs="Palatino Linotype"/>
          <w:i/>
          <w:sz w:val="22"/>
          <w:szCs w:val="22"/>
        </w:rPr>
        <w:t xml:space="preserve">, </w:t>
      </w:r>
      <w:r w:rsidRPr="0036005D">
        <w:rPr>
          <w:rFonts w:ascii="Palatino Linotype" w:eastAsia="Palatino Linotype" w:hAnsi="Palatino Linotype" w:cs="Palatino Linotype"/>
          <w:b/>
          <w:bCs/>
          <w:i/>
          <w:sz w:val="22"/>
          <w:szCs w:val="22"/>
        </w:rPr>
        <w:t>convenios</w:t>
      </w:r>
      <w:r w:rsidRPr="0036005D">
        <w:rPr>
          <w:rFonts w:ascii="Palatino Linotype" w:eastAsia="Palatino Linotype" w:hAnsi="Palatino Linotype" w:cs="Palatino Linotype"/>
          <w:i/>
          <w:sz w:val="22"/>
          <w:szCs w:val="22"/>
        </w:rPr>
        <w:t xml:space="preserve">, instructivos, </w:t>
      </w:r>
      <w:r w:rsidRPr="0036005D">
        <w:rPr>
          <w:rFonts w:ascii="Palatino Linotype" w:eastAsia="Palatino Linotype" w:hAnsi="Palatino Linotype" w:cs="Palatino Linotype"/>
          <w:b/>
          <w:bCs/>
          <w:i/>
          <w:sz w:val="22"/>
          <w:szCs w:val="22"/>
        </w:rPr>
        <w:t>notas</w:t>
      </w:r>
      <w:r w:rsidRPr="0036005D">
        <w:rPr>
          <w:rFonts w:ascii="Palatino Linotype" w:eastAsia="Palatino Linotype" w:hAnsi="Palatino Linotype" w:cs="Palatino Linotype"/>
          <w:i/>
          <w:sz w:val="22"/>
          <w:szCs w:val="22"/>
        </w:rPr>
        <w:t xml:space="preserve">, memorandos, estadísticas o bien, </w:t>
      </w:r>
      <w:r w:rsidRPr="0036005D">
        <w:rPr>
          <w:rFonts w:ascii="Palatino Linotype" w:eastAsia="Palatino Linotype" w:hAnsi="Palatino Linotype" w:cs="Palatino Linotype"/>
          <w:b/>
          <w:bCs/>
          <w:i/>
          <w:sz w:val="22"/>
          <w:szCs w:val="22"/>
        </w:rPr>
        <w:t>cualquier otro registro</w:t>
      </w:r>
      <w:r w:rsidRPr="0036005D">
        <w:rPr>
          <w:rFonts w:ascii="Palatino Linotype" w:eastAsia="Palatino Linotype" w:hAnsi="Palatino Linotype" w:cs="Palatino Linotype"/>
          <w:i/>
          <w:sz w:val="22"/>
          <w:szCs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61CE1FA" w14:textId="77777777" w:rsidR="007810A0" w:rsidRPr="0036005D" w:rsidRDefault="007810A0" w:rsidP="007810A0">
      <w:pPr>
        <w:spacing w:line="276" w:lineRule="auto"/>
        <w:ind w:left="567" w:right="567"/>
        <w:jc w:val="both"/>
        <w:rPr>
          <w:rFonts w:ascii="Palatino Linotype" w:eastAsia="Palatino Linotype" w:hAnsi="Palatino Linotype" w:cs="Palatino Linotype"/>
          <w:iCs/>
          <w:sz w:val="22"/>
          <w:szCs w:val="22"/>
        </w:rPr>
      </w:pPr>
      <w:r w:rsidRPr="0036005D">
        <w:rPr>
          <w:rFonts w:ascii="Palatino Linotype" w:eastAsia="Palatino Linotype" w:hAnsi="Palatino Linotype" w:cs="Palatino Linotype"/>
          <w:iCs/>
          <w:sz w:val="22"/>
          <w:szCs w:val="22"/>
        </w:rPr>
        <w:t>(Énfasis añadido)</w:t>
      </w:r>
    </w:p>
    <w:p w14:paraId="0D15F8FC"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1EFD81C3"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Correlativo </w:t>
      </w:r>
      <w:r w:rsidRPr="0036005D">
        <w:rPr>
          <w:rFonts w:ascii="Palatino Linotype" w:eastAsia="Palatino Linotype" w:hAnsi="Palatino Linotype" w:cs="Palatino Linotype"/>
          <w:color w:val="000000"/>
        </w:rPr>
        <w:t>a lo anterior, debemos tomar en cuenta los artículos 4 y 12, de la Ley de Transparencia y Acceso a la Información Pública del Estado de México y Municipios, los cuales establecen lo siguiente:</w:t>
      </w:r>
    </w:p>
    <w:p w14:paraId="7E67E1BD" w14:textId="77777777" w:rsidR="007810A0" w:rsidRPr="0036005D" w:rsidRDefault="007810A0" w:rsidP="007810A0">
      <w:pPr>
        <w:pStyle w:val="Prrafodelista"/>
        <w:tabs>
          <w:tab w:val="left" w:pos="426"/>
        </w:tabs>
        <w:spacing w:before="240" w:line="360" w:lineRule="auto"/>
        <w:ind w:left="0" w:right="51"/>
        <w:jc w:val="both"/>
        <w:rPr>
          <w:rFonts w:ascii="Palatino Linotype" w:hAnsi="Palatino Linotype"/>
          <w:color w:val="000000" w:themeColor="text1"/>
        </w:rPr>
      </w:pPr>
    </w:p>
    <w:p w14:paraId="724C0FEF"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b/>
          <w:i/>
          <w:sz w:val="22"/>
          <w:szCs w:val="22"/>
        </w:rPr>
        <w:lastRenderedPageBreak/>
        <w:t xml:space="preserve">“Artículo 4. </w:t>
      </w:r>
      <w:r w:rsidRPr="0036005D">
        <w:rPr>
          <w:rFonts w:ascii="Palatino Linotype" w:eastAsia="Palatino Linotype" w:hAnsi="Palatino Linotype" w:cs="Palatino Linotype"/>
          <w:i/>
          <w:sz w:val="22"/>
          <w:szCs w:val="22"/>
        </w:rPr>
        <w:t>El derecho humano de acceso a la información pública es la prerrogativa de las personas para buscar, difundir, investigar, recabar, recibir y solicitar información pública, sin necesidad de acreditar personalidad ni interés jurídico.</w:t>
      </w:r>
    </w:p>
    <w:p w14:paraId="6B0C42D3"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6005D">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06C945C" w14:textId="77777777" w:rsidR="007810A0" w:rsidRPr="0036005D" w:rsidRDefault="007810A0" w:rsidP="007810A0">
      <w:pPr>
        <w:spacing w:line="276" w:lineRule="auto"/>
        <w:ind w:left="567" w:right="567"/>
        <w:jc w:val="both"/>
        <w:rPr>
          <w:rFonts w:ascii="Palatino Linotype" w:eastAsia="Palatino Linotype" w:hAnsi="Palatino Linotype" w:cs="Palatino Linotype"/>
          <w:b/>
          <w:i/>
          <w:sz w:val="22"/>
          <w:szCs w:val="22"/>
        </w:rPr>
      </w:pPr>
      <w:r w:rsidRPr="0036005D">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
    <w:p w14:paraId="70846310" w14:textId="77777777" w:rsidR="007810A0" w:rsidRPr="0036005D" w:rsidRDefault="007810A0" w:rsidP="007810A0">
      <w:pPr>
        <w:spacing w:line="276" w:lineRule="auto"/>
        <w:ind w:right="567"/>
        <w:jc w:val="both"/>
        <w:rPr>
          <w:rFonts w:ascii="Palatino Linotype" w:eastAsia="Palatino Linotype" w:hAnsi="Palatino Linotype" w:cs="Palatino Linotype"/>
          <w:i/>
          <w:color w:val="000000"/>
          <w:sz w:val="28"/>
          <w:szCs w:val="28"/>
        </w:rPr>
      </w:pPr>
    </w:p>
    <w:p w14:paraId="21D94E42"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b/>
          <w:i/>
          <w:sz w:val="22"/>
          <w:szCs w:val="22"/>
        </w:rPr>
        <w:t>Artículo 12. Quienes generen, recopilen, administren, manejen, procesen, archiven o conserven información pública serán responsables de la misma en los términos de las disposiciones jurídicas aplicables</w:t>
      </w:r>
      <w:r w:rsidRPr="0036005D">
        <w:rPr>
          <w:rFonts w:ascii="Palatino Linotype" w:eastAsia="Palatino Linotype" w:hAnsi="Palatino Linotype" w:cs="Palatino Linotype"/>
          <w:i/>
          <w:sz w:val="22"/>
          <w:szCs w:val="22"/>
        </w:rPr>
        <w:t xml:space="preserve">. </w:t>
      </w:r>
    </w:p>
    <w:p w14:paraId="289BEDC1" w14:textId="77777777" w:rsidR="007810A0" w:rsidRPr="0036005D" w:rsidRDefault="007810A0" w:rsidP="007810A0">
      <w:pPr>
        <w:spacing w:line="276" w:lineRule="auto"/>
        <w:ind w:left="567" w:right="567"/>
        <w:jc w:val="both"/>
        <w:rPr>
          <w:rFonts w:ascii="Palatino Linotype" w:eastAsia="Palatino Linotype" w:hAnsi="Palatino Linotype" w:cs="Palatino Linotype"/>
          <w:i/>
          <w:sz w:val="22"/>
          <w:szCs w:val="22"/>
        </w:rPr>
      </w:pPr>
      <w:r w:rsidRPr="0036005D">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0FCCC4D" w14:textId="77777777" w:rsidR="007810A0" w:rsidRPr="0036005D" w:rsidRDefault="007810A0" w:rsidP="007810A0">
      <w:pPr>
        <w:spacing w:line="276" w:lineRule="auto"/>
        <w:ind w:left="567" w:right="567"/>
        <w:jc w:val="both"/>
        <w:rPr>
          <w:rFonts w:ascii="Palatino Linotype" w:eastAsia="Palatino Linotype" w:hAnsi="Palatino Linotype" w:cs="Palatino Linotype"/>
          <w:sz w:val="22"/>
          <w:szCs w:val="22"/>
        </w:rPr>
      </w:pPr>
      <w:r w:rsidRPr="0036005D">
        <w:rPr>
          <w:rFonts w:ascii="Palatino Linotype" w:eastAsia="Palatino Linotype" w:hAnsi="Palatino Linotype" w:cs="Palatino Linotype"/>
          <w:sz w:val="22"/>
          <w:szCs w:val="22"/>
        </w:rPr>
        <w:t>(Énfasis añadido)</w:t>
      </w:r>
    </w:p>
    <w:p w14:paraId="7D364883"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2688BFAE"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Es </w:t>
      </w:r>
      <w:r w:rsidRPr="0036005D">
        <w:rPr>
          <w:rFonts w:ascii="Palatino Linotype" w:eastAsia="Palatino Linotype" w:hAnsi="Palatino Linotype" w:cs="Palatino Linotype"/>
          <w:color w:val="000000"/>
        </w:rPr>
        <w:t>así como todos los actos de autoridad que realicen los Sujetos Obligados deben estar documentados y, bajo el más alto estándar de transparencia, deberán poner toda la información que se encuentre en su posesión, de manera permanente y actualizada, a disposición de los particulares que la soliciten.</w:t>
      </w:r>
    </w:p>
    <w:p w14:paraId="672E3F6A"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7443B11A"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lastRenderedPageBreak/>
        <w:t xml:space="preserve">Por </w:t>
      </w:r>
      <w:r w:rsidRPr="0036005D">
        <w:rPr>
          <w:rFonts w:ascii="Palatino Linotype" w:eastAsia="Palatino Linotype" w:hAnsi="Palatino Linotype" w:cs="Palatino Linotype"/>
          <w:color w:val="000000"/>
        </w:rPr>
        <w:t>otro lado, la Ley de Transparencia y Acceso a la Información Pública del Estado de México y Municipios, establece que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sidRPr="0036005D">
        <w:rPr>
          <w:rFonts w:ascii="Palatino Linotype" w:eastAsia="Palatino Linotype" w:hAnsi="Palatino Linotype" w:cs="Palatino Linotype"/>
          <w:color w:val="000000"/>
          <w:vertAlign w:val="superscript"/>
        </w:rPr>
        <w:footnoteReference w:id="6"/>
      </w:r>
      <w:r w:rsidRPr="0036005D">
        <w:rPr>
          <w:rFonts w:ascii="Palatino Linotype" w:eastAsia="Palatino Linotype" w:hAnsi="Palatino Linotype" w:cs="Palatino Linotype"/>
          <w:color w:val="000000"/>
        </w:rPr>
        <w:t>.</w:t>
      </w:r>
    </w:p>
    <w:p w14:paraId="63EE2C5A"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432866EA"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En </w:t>
      </w:r>
      <w:r w:rsidRPr="0036005D">
        <w:rPr>
          <w:rFonts w:ascii="Palatino Linotype" w:eastAsia="Palatino Linotype" w:hAnsi="Palatino Linotype" w:cs="Palatino Linotype"/>
          <w:color w:val="000000"/>
        </w:rPr>
        <w:t>ese sentido,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005D">
        <w:rPr>
          <w:rFonts w:ascii="Palatino Linotype" w:eastAsia="Palatino Linotype" w:hAnsi="Palatino Linotype" w:cs="Palatino Linotype"/>
          <w:color w:val="000000"/>
          <w:vertAlign w:val="superscript"/>
        </w:rPr>
        <w:footnoteReference w:id="7"/>
      </w:r>
      <w:r w:rsidRPr="0036005D">
        <w:rPr>
          <w:rFonts w:ascii="Palatino Linotype" w:eastAsia="Palatino Linotype" w:hAnsi="Palatino Linotype" w:cs="Palatino Linotype"/>
          <w:color w:val="000000"/>
        </w:rPr>
        <w:t xml:space="preserve"> y máxima publicidad; sobre éste último se debe poner mayor énfasis, puesto que establece que </w:t>
      </w:r>
      <w:r w:rsidRPr="0036005D">
        <w:rPr>
          <w:rFonts w:ascii="Palatino Linotype" w:eastAsia="Palatino Linotype" w:hAnsi="Palatino Linotype" w:cs="Palatino Linotype"/>
          <w:b/>
          <w:color w:val="000000"/>
          <w:u w:val="single"/>
        </w:rPr>
        <w:t>toda la información en posesión de los Sujetos Obligados será</w:t>
      </w:r>
      <w:r w:rsidRPr="0036005D">
        <w:rPr>
          <w:rFonts w:ascii="Palatino Linotype" w:eastAsia="Palatino Linotype" w:hAnsi="Palatino Linotype" w:cs="Palatino Linotype"/>
          <w:color w:val="000000"/>
        </w:rPr>
        <w:t xml:space="preserve"> pública, completa, </w:t>
      </w:r>
      <w:r w:rsidRPr="0036005D">
        <w:rPr>
          <w:rFonts w:ascii="Palatino Linotype" w:eastAsia="Palatino Linotype" w:hAnsi="Palatino Linotype" w:cs="Palatino Linotype"/>
          <w:b/>
          <w:color w:val="000000"/>
          <w:u w:val="single"/>
        </w:rPr>
        <w:t>oportuna</w:t>
      </w:r>
      <w:r w:rsidRPr="0036005D">
        <w:rPr>
          <w:rFonts w:ascii="Palatino Linotype" w:eastAsia="Palatino Linotype" w:hAnsi="Palatino Linotype" w:cs="Palatino Linotype"/>
          <w:color w:val="000000"/>
        </w:rPr>
        <w:t xml:space="preserve"> y </w:t>
      </w:r>
      <w:r w:rsidRPr="0036005D">
        <w:rPr>
          <w:rFonts w:ascii="Palatino Linotype" w:eastAsia="Palatino Linotype" w:hAnsi="Palatino Linotype" w:cs="Palatino Linotype"/>
          <w:b/>
          <w:color w:val="000000"/>
          <w:u w:val="single"/>
        </w:rPr>
        <w:t>accesible</w:t>
      </w:r>
      <w:r w:rsidRPr="0036005D">
        <w:rPr>
          <w:rFonts w:ascii="Palatino Linotype" w:eastAsia="Palatino Linotype" w:hAnsi="Palatino Linotype" w:cs="Palatino Linotype"/>
          <w:color w:val="000000"/>
        </w:rPr>
        <w:t xml:space="preserve">, </w:t>
      </w:r>
      <w:r w:rsidRPr="0036005D">
        <w:rPr>
          <w:rFonts w:ascii="Palatino Linotype" w:eastAsia="Palatino Linotype" w:hAnsi="Palatino Linotype" w:cs="Palatino Linotype"/>
          <w:b/>
          <w:color w:val="000000"/>
        </w:rPr>
        <w:t>lo que permite que la ciudadanía tenga un amplio acceso sobre lo que es el actuar de las autoridades</w:t>
      </w:r>
      <w:r w:rsidRPr="0036005D">
        <w:rPr>
          <w:rFonts w:ascii="Palatino Linotype" w:eastAsia="Palatino Linotype" w:hAnsi="Palatino Linotype" w:cs="Palatino Linotype"/>
          <w:color w:val="000000"/>
        </w:rPr>
        <w:t>.</w:t>
      </w:r>
    </w:p>
    <w:p w14:paraId="00010045"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417401B3" w14:textId="77777777"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Robustece lo </w:t>
      </w:r>
      <w:r w:rsidRPr="0036005D">
        <w:rPr>
          <w:rFonts w:ascii="Palatino Linotype" w:eastAsia="Palatino Linotype" w:hAnsi="Palatino Linotype" w:cs="Palatino Linotype"/>
          <w:color w:val="000000"/>
        </w:rPr>
        <w:t xml:space="preserve">anterior la Tesis aislada identificada con la clave I.4º.A.40 A del Cuarto Tribunal colegiado en Materia Administrativa del Primer Circuito, </w:t>
      </w:r>
      <w:r w:rsidRPr="0036005D">
        <w:rPr>
          <w:rFonts w:ascii="Palatino Linotype" w:eastAsia="Palatino Linotype" w:hAnsi="Palatino Linotype" w:cs="Palatino Linotype"/>
          <w:color w:val="000000"/>
        </w:rPr>
        <w:lastRenderedPageBreak/>
        <w:t>publicada en el Seminario Judicial de la Federación y su Gaceta en el libro XVIII, Marzo 2013, Página 1899:</w:t>
      </w:r>
    </w:p>
    <w:p w14:paraId="1A72176F"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25F9B1C7" w14:textId="77777777" w:rsidR="007810A0" w:rsidRPr="0036005D" w:rsidRDefault="007810A0" w:rsidP="007810A0">
      <w:pPr>
        <w:pBdr>
          <w:top w:val="nil"/>
          <w:left w:val="nil"/>
          <w:bottom w:val="nil"/>
          <w:right w:val="nil"/>
          <w:between w:val="nil"/>
        </w:pBdr>
        <w:tabs>
          <w:tab w:val="left" w:pos="142"/>
          <w:tab w:val="left" w:pos="284"/>
          <w:tab w:val="left" w:pos="426"/>
        </w:tabs>
        <w:spacing w:line="276" w:lineRule="auto"/>
        <w:ind w:left="567" w:right="567"/>
        <w:jc w:val="both"/>
        <w:rPr>
          <w:rFonts w:ascii="Palatino Linotype" w:eastAsia="Palatino Linotype" w:hAnsi="Palatino Linotype" w:cs="Palatino Linotype"/>
          <w:color w:val="000000"/>
        </w:rPr>
      </w:pPr>
      <w:r w:rsidRPr="0036005D">
        <w:rPr>
          <w:rFonts w:ascii="Palatino Linotype" w:eastAsia="Palatino Linotype" w:hAnsi="Palatino Linotype" w:cs="Palatino Linotype"/>
          <w:b/>
          <w:i/>
          <w:color w:val="000000"/>
          <w:sz w:val="22"/>
          <w:szCs w:val="22"/>
        </w:rPr>
        <w:t>ACCESO A LA INFORMACIÓN. IMPLICACIÓN DEL PRINCIPIO DE MÁXIMA PUBLICIDAD EN EL DERECHO FUNDAMENTAL RELATIVO.</w:t>
      </w:r>
      <w:r w:rsidRPr="0036005D">
        <w:rPr>
          <w:rFonts w:ascii="Palatino Linotype" w:eastAsia="Palatino Linotype" w:hAnsi="Palatino Linotype" w:cs="Palatino Linotype"/>
          <w:i/>
          <w:color w:val="000000"/>
          <w:sz w:val="22"/>
          <w:szCs w:val="22"/>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7725D876"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1F7588AB" w14:textId="4BC3084F" w:rsidR="007810A0" w:rsidRPr="0036005D" w:rsidRDefault="007810A0"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Tal </w:t>
      </w:r>
      <w:r w:rsidRPr="0036005D">
        <w:rPr>
          <w:rFonts w:ascii="Palatino Linotype" w:eastAsia="Palatino Linotype" w:hAnsi="Palatino Linotype" w:cs="Palatino Linotype"/>
          <w:color w:val="000000"/>
        </w:rPr>
        <w:t xml:space="preserve">y como se ha señalado, </w:t>
      </w:r>
      <w:r w:rsidRPr="0036005D">
        <w:rPr>
          <w:rFonts w:ascii="Palatino Linotype" w:eastAsia="Palatino Linotype" w:hAnsi="Palatino Linotype" w:cs="Palatino Linotype"/>
          <w:b/>
          <w:bCs/>
          <w:color w:val="000000"/>
        </w:rPr>
        <w:t>el derecho de acceso a la información se basa en permitir que la ciudadanía conozca de primera mano toda aquella información que se encuentra en posesión de los Sujetos Obligados</w:t>
      </w:r>
      <w:r w:rsidRPr="0036005D">
        <w:rPr>
          <w:rFonts w:ascii="Palatino Linotype" w:eastAsia="Palatino Linotype" w:hAnsi="Palatino Linotype" w:cs="Palatino Linotype"/>
          <w:color w:val="000000"/>
        </w:rPr>
        <w:t xml:space="preserve">, ya sea porque la genera, </w:t>
      </w:r>
      <w:r w:rsidRPr="0036005D">
        <w:rPr>
          <w:rFonts w:ascii="Palatino Linotype" w:eastAsia="Palatino Linotype" w:hAnsi="Palatino Linotype" w:cs="Palatino Linotype"/>
          <w:color w:val="000000"/>
        </w:rPr>
        <w:lastRenderedPageBreak/>
        <w:t xml:space="preserve">posee o administra; </w:t>
      </w:r>
      <w:r w:rsidRPr="0036005D">
        <w:rPr>
          <w:rFonts w:ascii="Palatino Linotype" w:eastAsia="Palatino Linotype" w:hAnsi="Palatino Linotype" w:cs="Palatino Linotype"/>
          <w:b/>
          <w:bCs/>
          <w:color w:val="000000"/>
        </w:rPr>
        <w:t>toda vez que</w:t>
      </w:r>
      <w:r w:rsidRPr="0036005D">
        <w:rPr>
          <w:rFonts w:ascii="Palatino Linotype" w:eastAsia="Palatino Linotype" w:hAnsi="Palatino Linotype" w:cs="Palatino Linotype"/>
          <w:color w:val="000000"/>
        </w:rPr>
        <w:t xml:space="preserve">, a través de dicha acción, </w:t>
      </w:r>
      <w:r w:rsidRPr="0036005D">
        <w:rPr>
          <w:rFonts w:ascii="Palatino Linotype" w:eastAsia="Palatino Linotype" w:hAnsi="Palatino Linotype" w:cs="Palatino Linotype"/>
          <w:b/>
          <w:color w:val="000000"/>
        </w:rPr>
        <w:t>permite que las personas ejerzan un medio de control sobre las acciones que se están ejerciendo y evaluar su desempeño</w:t>
      </w:r>
      <w:r w:rsidRPr="0036005D">
        <w:rPr>
          <w:rFonts w:ascii="Palatino Linotype" w:eastAsia="Palatino Linotype" w:hAnsi="Palatino Linotype" w:cs="Palatino Linotype"/>
          <w:color w:val="000000"/>
        </w:rPr>
        <w:t>.</w:t>
      </w:r>
    </w:p>
    <w:p w14:paraId="484BE1EA" w14:textId="2226A993"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lang w:val="es-ES"/>
        </w:rPr>
      </w:pPr>
    </w:p>
    <w:p w14:paraId="40441E88" w14:textId="6CBACE91" w:rsidR="007810A0" w:rsidRPr="0036005D" w:rsidRDefault="007810A0" w:rsidP="00653E5C">
      <w:pPr>
        <w:pStyle w:val="Prrafodelista"/>
        <w:tabs>
          <w:tab w:val="left" w:pos="426"/>
        </w:tabs>
        <w:spacing w:before="240" w:after="240" w:line="360" w:lineRule="auto"/>
        <w:ind w:left="0" w:right="51"/>
        <w:jc w:val="both"/>
        <w:outlineLvl w:val="2"/>
        <w:rPr>
          <w:rFonts w:ascii="Palatino Linotype" w:hAnsi="Palatino Linotype"/>
          <w:b/>
          <w:bCs/>
          <w:lang w:val="es-ES"/>
        </w:rPr>
      </w:pPr>
      <w:r w:rsidRPr="0036005D">
        <w:rPr>
          <w:rFonts w:ascii="Palatino Linotype" w:hAnsi="Palatino Linotype"/>
          <w:b/>
          <w:bCs/>
          <w:lang w:val="es-ES"/>
        </w:rPr>
        <w:t>II. De la atención a la solicitud de información.</w:t>
      </w:r>
    </w:p>
    <w:p w14:paraId="03C63F82" w14:textId="77777777" w:rsidR="007810A0" w:rsidRPr="0036005D" w:rsidRDefault="007810A0" w:rsidP="007810A0">
      <w:pPr>
        <w:pStyle w:val="Prrafodelista"/>
        <w:tabs>
          <w:tab w:val="left" w:pos="426"/>
        </w:tabs>
        <w:spacing w:before="240" w:after="240" w:line="360" w:lineRule="auto"/>
        <w:ind w:left="0" w:right="51"/>
        <w:jc w:val="both"/>
        <w:rPr>
          <w:rFonts w:ascii="Palatino Linotype" w:hAnsi="Palatino Linotype"/>
          <w:color w:val="000000" w:themeColor="text1"/>
        </w:rPr>
      </w:pPr>
    </w:p>
    <w:p w14:paraId="2B6B21B7" w14:textId="7B08C5EF" w:rsidR="004D7686" w:rsidRPr="0036005D" w:rsidRDefault="007810A0"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rPr>
        <w:t>L</w:t>
      </w:r>
      <w:r w:rsidR="004D7686" w:rsidRPr="0036005D">
        <w:rPr>
          <w:rFonts w:ascii="Palatino Linotype" w:hAnsi="Palatino Linotype"/>
          <w:lang w:val="es-ES"/>
        </w:rPr>
        <w:t xml:space="preserve">a </w:t>
      </w:r>
      <w:r w:rsidR="004D7686" w:rsidRPr="0036005D">
        <w:rPr>
          <w:rFonts w:ascii="Palatino Linotype" w:hAnsi="Palatino Linotype"/>
          <w:color w:val="000000" w:themeColor="text1"/>
        </w:rPr>
        <w:t>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1F929B04" w14:textId="77777777"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43B06E08" w14:textId="48F0708C" w:rsidR="004D7686" w:rsidRPr="0036005D"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Para </w:t>
      </w:r>
      <w:r w:rsidRPr="0036005D">
        <w:rPr>
          <w:rFonts w:ascii="Palatino Linotype" w:hAnsi="Palatino Linotype"/>
          <w:color w:val="000000" w:themeColor="text1"/>
        </w:rPr>
        <w:t xml:space="preserve">atender las solicitudes de información, los Sujetos Obligados contarán con un área denominada </w:t>
      </w:r>
      <w:r w:rsidRPr="0036005D">
        <w:rPr>
          <w:rFonts w:ascii="Palatino Linotype" w:hAnsi="Palatino Linotype"/>
          <w:b/>
          <w:bCs/>
          <w:color w:val="000000" w:themeColor="text1"/>
        </w:rPr>
        <w:t>Unidad de Transparencia</w:t>
      </w:r>
      <w:r w:rsidRPr="0036005D">
        <w:rPr>
          <w:rFonts w:ascii="Palatino Linotype" w:hAnsi="Palatino Linotype"/>
          <w:color w:val="000000" w:themeColor="text1"/>
          <w:vertAlign w:val="superscript"/>
        </w:rPr>
        <w:footnoteReference w:id="8"/>
      </w:r>
      <w:r w:rsidRPr="0036005D">
        <w:rPr>
          <w:rFonts w:ascii="Palatino Linotype" w:hAnsi="Palatino Linotype"/>
          <w:color w:val="000000" w:themeColor="text1"/>
        </w:rPr>
        <w:t xml:space="preserve">, la cual será presidida por un Titular, quien fungirá como enlace entre éstos y los solicitantes. Dicha Unidad </w:t>
      </w:r>
      <w:r w:rsidRPr="0036005D">
        <w:rPr>
          <w:rFonts w:ascii="Palatino Linotype" w:hAnsi="Palatino Linotype"/>
          <w:b/>
          <w:bCs/>
          <w:color w:val="000000" w:themeColor="text1"/>
        </w:rPr>
        <w:t>será la encargada de tramitar internamente la solicitud de información</w:t>
      </w:r>
      <w:r w:rsidRPr="0036005D">
        <w:rPr>
          <w:rFonts w:ascii="Palatino Linotype" w:hAnsi="Palatino Linotype"/>
          <w:color w:val="000000" w:themeColor="text1"/>
        </w:rPr>
        <w:t xml:space="preserve"> y tendrá la responsabilidad de verificar en cada caso que la misma no sea confidencial o reservada. Asimismo, contará con las facultades internas necesarias para </w:t>
      </w:r>
      <w:r w:rsidRPr="0036005D">
        <w:rPr>
          <w:rFonts w:ascii="Palatino Linotype" w:hAnsi="Palatino Linotype"/>
          <w:b/>
          <w:bCs/>
          <w:color w:val="000000" w:themeColor="text1"/>
        </w:rPr>
        <w:t xml:space="preserve">gestionar la atención a las solicitudes de información </w:t>
      </w:r>
      <w:r w:rsidRPr="0036005D">
        <w:rPr>
          <w:rFonts w:ascii="Palatino Linotype" w:hAnsi="Palatino Linotype"/>
          <w:color w:val="000000" w:themeColor="text1"/>
        </w:rPr>
        <w:t xml:space="preserve">en los términos de la Ley General y la </w:t>
      </w:r>
      <w:r w:rsidRPr="0036005D">
        <w:rPr>
          <w:rFonts w:ascii="Palatino Linotype" w:hAnsi="Palatino Linotype"/>
          <w:color w:val="000000" w:themeColor="text1"/>
        </w:rPr>
        <w:lastRenderedPageBreak/>
        <w:t>Ley de Transparencia y Acceso a la Información Pública del Estado de México y Municipios</w:t>
      </w:r>
      <w:r w:rsidRPr="0036005D">
        <w:rPr>
          <w:rFonts w:ascii="Palatino Linotype" w:hAnsi="Palatino Linotype"/>
          <w:color w:val="000000" w:themeColor="text1"/>
          <w:vertAlign w:val="superscript"/>
        </w:rPr>
        <w:footnoteReference w:id="9"/>
      </w:r>
      <w:r w:rsidRPr="0036005D">
        <w:rPr>
          <w:rFonts w:ascii="Palatino Linotype" w:hAnsi="Palatino Linotype"/>
          <w:color w:val="000000" w:themeColor="text1"/>
        </w:rPr>
        <w:t>.</w:t>
      </w:r>
    </w:p>
    <w:p w14:paraId="183E9871" w14:textId="77777777"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3EA5B7E5" w14:textId="52EA352F" w:rsidR="004D7686" w:rsidRPr="0036005D"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De </w:t>
      </w:r>
      <w:r w:rsidRPr="0036005D">
        <w:rPr>
          <w:rFonts w:ascii="Palatino Linotype" w:hAnsi="Palatino Linotype" w:cs="Arial"/>
          <w:color w:val="000000" w:themeColor="text1"/>
        </w:rPr>
        <w:t>conformidad con lo dispuesto por el artículo 53 de la Ley de Transparencia y Acceso a la Información Pública del Estado de México y Municipios, las Unidades de Transparencia tendrán, entre sus atribuciones, las siguientes:</w:t>
      </w:r>
    </w:p>
    <w:p w14:paraId="571AAF23" w14:textId="77777777" w:rsidR="004D7686" w:rsidRPr="0036005D"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Recibir, tramitar y dar respuesta a las solicitudes de acceso a la información;</w:t>
      </w:r>
    </w:p>
    <w:p w14:paraId="35BDB43F" w14:textId="77777777" w:rsidR="004D7686" w:rsidRPr="0036005D"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 xml:space="preserve">Realizar, con efectividad, los trámites internos necesarios para la atención de las solicitudes de acceso a la información; </w:t>
      </w:r>
    </w:p>
    <w:p w14:paraId="49B8A941" w14:textId="77777777" w:rsidR="004D7686" w:rsidRPr="0036005D"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 xml:space="preserve">Entregar, en su caso, a los particulares la información solicitada; y </w:t>
      </w:r>
    </w:p>
    <w:p w14:paraId="7E072FE0" w14:textId="4C4210AF" w:rsidR="004D7686" w:rsidRPr="0036005D" w:rsidRDefault="004D7686" w:rsidP="004D7686">
      <w:pPr>
        <w:pStyle w:val="Prrafodelista"/>
        <w:numPr>
          <w:ilvl w:val="1"/>
          <w:numId w:val="13"/>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Hacer del conocimiento de la instancia competente la probable responsabilidad por el incumplimiento de las obligaciones previstas en la Ley de la materia.</w:t>
      </w:r>
    </w:p>
    <w:p w14:paraId="019C06BD" w14:textId="77777777"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1073945D" w14:textId="583800F6" w:rsidR="004D7686" w:rsidRPr="0036005D"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Otros </w:t>
      </w:r>
      <w:r w:rsidRPr="0036005D">
        <w:rPr>
          <w:rFonts w:ascii="Palatino Linotype" w:hAnsi="Palatino Linotype" w:cs="Arial"/>
          <w:color w:val="000000" w:themeColor="text1"/>
        </w:rPr>
        <w:t>sujetos del proceso de atención a las solicitudes de información son los servidores públicos habilitados, quienes serán designados por el titular del Sujeto Obligado a propuesta del responsable de la Unidad de Transparencia</w:t>
      </w:r>
      <w:r w:rsidRPr="0036005D">
        <w:rPr>
          <w:rStyle w:val="Refdenotaalpie"/>
          <w:rFonts w:ascii="Palatino Linotype" w:hAnsi="Palatino Linotype" w:cs="Arial"/>
          <w:color w:val="000000" w:themeColor="text1"/>
        </w:rPr>
        <w:footnoteReference w:id="10"/>
      </w:r>
      <w:r w:rsidRPr="0036005D">
        <w:rPr>
          <w:rFonts w:ascii="Palatino Linotype" w:hAnsi="Palatino Linotype" w:cs="Arial"/>
          <w:color w:val="000000" w:themeColor="text1"/>
        </w:rPr>
        <w:t xml:space="preserve"> y tendrán, entre sus atribuciones, las siguientes</w:t>
      </w:r>
      <w:r w:rsidRPr="0036005D">
        <w:rPr>
          <w:rStyle w:val="Refdenotaalpie"/>
          <w:rFonts w:ascii="Palatino Linotype" w:hAnsi="Palatino Linotype" w:cs="Arial"/>
          <w:color w:val="000000" w:themeColor="text1"/>
        </w:rPr>
        <w:footnoteReference w:id="11"/>
      </w:r>
      <w:r w:rsidRPr="0036005D">
        <w:rPr>
          <w:rFonts w:ascii="Palatino Linotype" w:hAnsi="Palatino Linotype" w:cs="Arial"/>
          <w:color w:val="000000" w:themeColor="text1"/>
        </w:rPr>
        <w:t>:</w:t>
      </w:r>
    </w:p>
    <w:p w14:paraId="3E6B4A11" w14:textId="77777777" w:rsidR="004D7686" w:rsidRPr="0036005D" w:rsidRDefault="004D7686" w:rsidP="004D7686">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Localizar la información que le solicite la Unidad de Transparencia; y</w:t>
      </w:r>
    </w:p>
    <w:p w14:paraId="7789C836" w14:textId="350541CC" w:rsidR="004D7686" w:rsidRPr="0036005D" w:rsidRDefault="004D7686" w:rsidP="004D7686">
      <w:pPr>
        <w:pStyle w:val="Prrafodelista"/>
        <w:numPr>
          <w:ilvl w:val="1"/>
          <w:numId w:val="14"/>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lastRenderedPageBreak/>
        <w:t>Proporcionar la información que obre en sus archivos y que le sea solicitada por la Unidad de Transparencia.</w:t>
      </w:r>
    </w:p>
    <w:p w14:paraId="7BC68BAA" w14:textId="77777777"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4C3E713D" w14:textId="7020E8F3" w:rsidR="004D7686" w:rsidRPr="0036005D" w:rsidRDefault="004D768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De </w:t>
      </w:r>
      <w:r w:rsidRPr="0036005D">
        <w:rPr>
          <w:rFonts w:ascii="Palatino Linotype" w:hAnsi="Palatino Linotype" w:cs="Arial"/>
          <w:color w:val="000000" w:themeColor="text1"/>
        </w:rPr>
        <w:t xml:space="preserve">tal manera que cada una de las áreas administrativas del </w:t>
      </w:r>
      <w:r w:rsidRPr="0036005D">
        <w:rPr>
          <w:rFonts w:ascii="Palatino Linotype" w:hAnsi="Palatino Linotype" w:cs="Arial"/>
          <w:b/>
          <w:bCs/>
          <w:color w:val="000000" w:themeColor="text1"/>
        </w:rPr>
        <w:t>SUJETO OBLIGADO</w:t>
      </w:r>
      <w:r w:rsidRPr="0036005D">
        <w:rPr>
          <w:rFonts w:ascii="Palatino Linotype" w:hAnsi="Palatino Linotype" w:cs="Arial"/>
          <w:color w:val="000000" w:themeColor="text1"/>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4790027" w14:textId="77777777"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00F6F552" w14:textId="47459E99" w:rsidR="005866F8" w:rsidRPr="0036005D" w:rsidRDefault="004D7686" w:rsidP="007810A0">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Una </w:t>
      </w:r>
      <w:r w:rsidRPr="0036005D">
        <w:rPr>
          <w:rFonts w:ascii="Palatino Linotype" w:hAnsi="Palatino Linotype"/>
        </w:rPr>
        <w:t xml:space="preserve">vez expuesto lo anterior, de la lectura a la solicitud de información </w:t>
      </w:r>
      <w:r w:rsidR="00A36D6E" w:rsidRPr="0036005D">
        <w:rPr>
          <w:rFonts w:ascii="Palatino Linotype" w:hAnsi="Palatino Linotype"/>
          <w:b/>
          <w:bCs/>
        </w:rPr>
        <w:t>00271/INFOEM/IP/202</w:t>
      </w:r>
      <w:r w:rsidR="005866F8" w:rsidRPr="0036005D">
        <w:rPr>
          <w:rFonts w:ascii="Palatino Linotype" w:hAnsi="Palatino Linotype"/>
          <w:b/>
          <w:bCs/>
        </w:rPr>
        <w:t>2</w:t>
      </w:r>
      <w:r w:rsidRPr="0036005D">
        <w:rPr>
          <w:rFonts w:ascii="Palatino Linotype" w:hAnsi="Palatino Linotype"/>
        </w:rPr>
        <w:t xml:space="preserve">, se advierte que el particular requirió al </w:t>
      </w:r>
      <w:r w:rsidR="00A36D6E" w:rsidRPr="0036005D">
        <w:rPr>
          <w:rFonts w:ascii="Palatino Linotype" w:hAnsi="Palatino Linotype"/>
        </w:rPr>
        <w:t>Instituto de Transparencia, Acceso a la Información Pública y Protección de Datos Personales del Estado de México y Municipios</w:t>
      </w:r>
      <w:r w:rsidRPr="0036005D">
        <w:rPr>
          <w:rFonts w:ascii="Palatino Linotype" w:hAnsi="Palatino Linotype"/>
        </w:rPr>
        <w:t xml:space="preserve">, </w:t>
      </w:r>
      <w:r w:rsidR="007810A0" w:rsidRPr="0036005D">
        <w:rPr>
          <w:rFonts w:ascii="Palatino Linotype" w:hAnsi="Palatino Linotype"/>
          <w:color w:val="000000" w:themeColor="text1"/>
        </w:rPr>
        <w:t>acceder a un documento específico que fuera utilizado por la Comisionada Guadalupe Ramírez Peña durante una capacitación ofrecida por el Instituto de Transparencia, Acceso a la Información Pública y Protección de Datos Personales del Estado de México y Municipios, al Ayuntamiento de San Mateo Atenco.</w:t>
      </w:r>
    </w:p>
    <w:p w14:paraId="096BFDC6" w14:textId="77777777" w:rsidR="005866F8" w:rsidRPr="0036005D" w:rsidRDefault="005866F8"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3A805BE5" w14:textId="0F69B6CD" w:rsidR="004D7686" w:rsidRPr="0036005D" w:rsidRDefault="007F7963"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 xml:space="preserve">En respuesta a </w:t>
      </w:r>
      <w:r w:rsidRPr="0036005D">
        <w:rPr>
          <w:rFonts w:ascii="Palatino Linotype" w:hAnsi="Palatino Linotype"/>
          <w:color w:val="000000" w:themeColor="text1"/>
        </w:rPr>
        <w:t xml:space="preserve">la solicitud de información, y como fuera señalado en el apartado de </w:t>
      </w:r>
      <w:r w:rsidRPr="0036005D">
        <w:rPr>
          <w:rFonts w:ascii="Palatino Linotype" w:hAnsi="Palatino Linotype"/>
          <w:i/>
          <w:iCs/>
          <w:color w:val="000000" w:themeColor="text1"/>
        </w:rPr>
        <w:t>Antecedentes</w:t>
      </w:r>
      <w:r w:rsidRPr="0036005D">
        <w:rPr>
          <w:rFonts w:ascii="Palatino Linotype" w:hAnsi="Palatino Linotype"/>
          <w:color w:val="000000" w:themeColor="text1"/>
        </w:rPr>
        <w:t xml:space="preserve"> de esta resolución, el </w:t>
      </w:r>
      <w:r w:rsidRPr="0036005D">
        <w:rPr>
          <w:rFonts w:ascii="Palatino Linotype" w:hAnsi="Palatino Linotype"/>
          <w:b/>
          <w:color w:val="000000" w:themeColor="text1"/>
        </w:rPr>
        <w:t>SUJETO OBLIGADO</w:t>
      </w:r>
      <w:r w:rsidRPr="0036005D">
        <w:rPr>
          <w:rFonts w:ascii="Palatino Linotype" w:hAnsi="Palatino Linotype"/>
          <w:color w:val="000000" w:themeColor="text1"/>
        </w:rPr>
        <w:t xml:space="preserve"> entregó el oficio número </w:t>
      </w:r>
      <w:r w:rsidR="005866F8" w:rsidRPr="0036005D">
        <w:rPr>
          <w:rFonts w:ascii="Palatino Linotype" w:hAnsi="Palatino Linotype"/>
          <w:color w:val="000000" w:themeColor="text1"/>
        </w:rPr>
        <w:t>INFOEM/COM-GRP/087/2022</w:t>
      </w:r>
      <w:r w:rsidRPr="0036005D">
        <w:rPr>
          <w:rFonts w:ascii="Palatino Linotype" w:hAnsi="Palatino Linotype"/>
          <w:color w:val="000000" w:themeColor="text1"/>
        </w:rPr>
        <w:t xml:space="preserve">, de </w:t>
      </w:r>
      <w:r w:rsidR="005866F8" w:rsidRPr="0036005D">
        <w:rPr>
          <w:rFonts w:ascii="Palatino Linotype" w:hAnsi="Palatino Linotype"/>
          <w:color w:val="000000" w:themeColor="text1"/>
        </w:rPr>
        <w:t>cuatro (04) de marzo</w:t>
      </w:r>
      <w:r w:rsidRPr="0036005D">
        <w:rPr>
          <w:rFonts w:ascii="Palatino Linotype" w:hAnsi="Palatino Linotype"/>
          <w:color w:val="000000" w:themeColor="text1"/>
        </w:rPr>
        <w:t xml:space="preserve"> de dos mil veintidós, emitido por la </w:t>
      </w:r>
      <w:r w:rsidR="005866F8" w:rsidRPr="0036005D">
        <w:rPr>
          <w:rFonts w:ascii="Palatino Linotype" w:hAnsi="Palatino Linotype"/>
          <w:color w:val="000000" w:themeColor="text1"/>
        </w:rPr>
        <w:t>Servidora Pública Habilitada de la Ponencia de la Comisionada Guadalupe Ramírez Peña</w:t>
      </w:r>
      <w:r w:rsidRPr="0036005D">
        <w:rPr>
          <w:rFonts w:ascii="Palatino Linotype" w:hAnsi="Palatino Linotype"/>
          <w:color w:val="000000" w:themeColor="text1"/>
        </w:rPr>
        <w:t>, cuyo contenido elemental refiere lo siguiente:</w:t>
      </w:r>
    </w:p>
    <w:p w14:paraId="333C568B" w14:textId="51FB22C0" w:rsidR="004D7686" w:rsidRPr="0036005D" w:rsidRDefault="004D7686"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2A7106C7" w14:textId="617CE758" w:rsidR="007F7963" w:rsidRPr="0036005D" w:rsidRDefault="00695CAA" w:rsidP="00695CA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r w:rsidRPr="0036005D">
        <w:rPr>
          <w:rFonts w:ascii="Palatino Linotype" w:hAnsi="Palatino Linotype"/>
          <w:i/>
          <w:iCs/>
          <w:color w:val="000000" w:themeColor="text1"/>
          <w:sz w:val="22"/>
          <w:szCs w:val="22"/>
        </w:rPr>
        <w:t>“(…) se le hace de su conocimiento que la información solicitada consiste en las capturas de pantalla para ingresar al portal de Información Pública de Oficio Mexiquense (IPOMEX) de los Sujetos Obligados del Estado de México, plataforma mediante la cual se puede consultar la información relativa a las Obligaciones de Transparencia Comunes y Específicas, así como la tabla de aplicabilidad del Ayuntamiento de San Mateo Atenco, lo cual es público y se encuentra disponible para su consulta a través de los siguientes vínculos electrónicos:</w:t>
      </w:r>
    </w:p>
    <w:p w14:paraId="0FC40DE9" w14:textId="6F566F8B" w:rsidR="00B55303" w:rsidRPr="0036005D" w:rsidRDefault="00B55303" w:rsidP="00695CA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620227C6" w14:textId="1DED5839" w:rsidR="00B55303" w:rsidRPr="0036005D" w:rsidRDefault="00B55303" w:rsidP="00695CAA">
      <w:pPr>
        <w:pStyle w:val="Prrafodelista"/>
        <w:tabs>
          <w:tab w:val="left" w:pos="426"/>
        </w:tabs>
        <w:spacing w:before="240" w:after="240" w:line="276" w:lineRule="auto"/>
        <w:ind w:left="567" w:right="567"/>
        <w:jc w:val="both"/>
        <w:rPr>
          <w:rFonts w:ascii="Palatino Linotype" w:hAnsi="Palatino Linotype"/>
          <w:color w:val="000000" w:themeColor="text1"/>
          <w:sz w:val="22"/>
          <w:szCs w:val="22"/>
        </w:rPr>
      </w:pPr>
      <w:r w:rsidRPr="0036005D">
        <w:rPr>
          <w:rFonts w:ascii="Palatino Linotype" w:hAnsi="Palatino Linotype"/>
          <w:i/>
          <w:iCs/>
          <w:color w:val="000000" w:themeColor="text1"/>
          <w:sz w:val="22"/>
          <w:szCs w:val="22"/>
        </w:rPr>
        <w:t>(…)”</w:t>
      </w:r>
      <w:r w:rsidRPr="0036005D">
        <w:rPr>
          <w:rFonts w:ascii="Palatino Linotype" w:hAnsi="Palatino Linotype"/>
          <w:color w:val="000000" w:themeColor="text1"/>
          <w:sz w:val="22"/>
          <w:szCs w:val="22"/>
        </w:rPr>
        <w:t xml:space="preserve"> (Sic)</w:t>
      </w:r>
    </w:p>
    <w:p w14:paraId="10C6561E" w14:textId="23E26D3B" w:rsidR="00695CAA" w:rsidRPr="0036005D" w:rsidRDefault="00695CAA" w:rsidP="00695CAA">
      <w:pPr>
        <w:pStyle w:val="Prrafodelista"/>
        <w:tabs>
          <w:tab w:val="left" w:pos="426"/>
        </w:tabs>
        <w:spacing w:before="240" w:after="240" w:line="276" w:lineRule="auto"/>
        <w:ind w:left="567" w:right="567"/>
        <w:jc w:val="both"/>
        <w:rPr>
          <w:rFonts w:ascii="Palatino Linotype" w:hAnsi="Palatino Linotype"/>
          <w:i/>
          <w:iCs/>
          <w:color w:val="000000" w:themeColor="text1"/>
          <w:sz w:val="22"/>
          <w:szCs w:val="22"/>
        </w:rPr>
      </w:pPr>
    </w:p>
    <w:p w14:paraId="0BDECC31" w14:textId="77777777" w:rsidR="007F7963" w:rsidRPr="0036005D" w:rsidRDefault="007F7963" w:rsidP="004D7686">
      <w:pPr>
        <w:pStyle w:val="Prrafodelista"/>
        <w:tabs>
          <w:tab w:val="left" w:pos="426"/>
        </w:tabs>
        <w:spacing w:before="240" w:after="240" w:line="360" w:lineRule="auto"/>
        <w:ind w:left="0" w:right="51"/>
        <w:jc w:val="both"/>
        <w:rPr>
          <w:rFonts w:ascii="Palatino Linotype" w:hAnsi="Palatino Linotype"/>
          <w:color w:val="000000" w:themeColor="text1"/>
        </w:rPr>
      </w:pPr>
    </w:p>
    <w:p w14:paraId="6F38085F" w14:textId="7CA5553D" w:rsidR="004D7686" w:rsidRPr="0036005D" w:rsidRDefault="008477CE"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lang w:val="es-ES"/>
        </w:rPr>
        <w:t>De la lectura al contenido del oficio anterior, podemos rescatar los siguientes pronunciamientos:</w:t>
      </w:r>
    </w:p>
    <w:p w14:paraId="1E9993AF" w14:textId="3BF5F68D" w:rsidR="00B55303" w:rsidRPr="0036005D" w:rsidRDefault="00B55303" w:rsidP="00C4002A">
      <w:pPr>
        <w:pStyle w:val="Prrafodelista"/>
        <w:numPr>
          <w:ilvl w:val="1"/>
          <w:numId w:val="15"/>
        </w:numPr>
        <w:spacing w:before="240" w:after="240" w:line="360" w:lineRule="auto"/>
        <w:ind w:left="1134" w:right="51"/>
        <w:jc w:val="both"/>
        <w:rPr>
          <w:rFonts w:ascii="Palatino Linotype" w:hAnsi="Palatino Linotype"/>
          <w:color w:val="000000" w:themeColor="text1"/>
        </w:rPr>
      </w:pPr>
      <w:r w:rsidRPr="0036005D">
        <w:rPr>
          <w:rFonts w:ascii="Palatino Linotype" w:hAnsi="Palatino Linotype"/>
          <w:lang w:val="es-ES"/>
        </w:rPr>
        <w:t>La Ponencia de la Comisionada Guadalupe Ramírez Peña hizo del conocimiento del particular que el documento solicitado</w:t>
      </w:r>
      <w:r w:rsidR="007810A0" w:rsidRPr="0036005D">
        <w:rPr>
          <w:rFonts w:ascii="Palatino Linotype" w:hAnsi="Palatino Linotype"/>
          <w:lang w:val="es-ES"/>
        </w:rPr>
        <w:t>, consistía meramente en la impresión de pantalla del menú principal del portal IPOMEX del Ayuntamiento de San Mateo Atenco, a través del cual, se enlistan todos los enlaces para consultar, de manera desagregada, cada una de sus obligaciones de transparencia común, y específicas, reconocidas en la Ley de Transparencia y Acceso a la Información Pública del Estado de México y Municipios, en sus artículos 92 y 93</w:t>
      </w:r>
      <w:r w:rsidRPr="0036005D">
        <w:rPr>
          <w:rFonts w:ascii="Palatino Linotype" w:hAnsi="Palatino Linotype"/>
          <w:lang w:val="es-ES"/>
        </w:rPr>
        <w:t>; y</w:t>
      </w:r>
    </w:p>
    <w:p w14:paraId="306D4170" w14:textId="7D226B53" w:rsidR="00B55303" w:rsidRPr="0036005D" w:rsidRDefault="00B55303" w:rsidP="00B55303">
      <w:pPr>
        <w:pStyle w:val="Prrafodelista"/>
        <w:numPr>
          <w:ilvl w:val="1"/>
          <w:numId w:val="15"/>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rPr>
        <w:t>Se presentaron instrucciones precisas para consultar no solamente el portal IPOMEX del Ayuntamiento de San Mateo Atenco, sino también consultar la Tabla de Aplicabilidad de sus obligaciones de transparencia común y específicas.</w:t>
      </w:r>
      <w:r w:rsidR="0084587A" w:rsidRPr="0036005D">
        <w:rPr>
          <w:rFonts w:ascii="Palatino Linotype" w:hAnsi="Palatino Linotype"/>
          <w:lang w:val="es-ES"/>
        </w:rPr>
        <w:t xml:space="preserve"> </w:t>
      </w:r>
    </w:p>
    <w:p w14:paraId="40514BA5" w14:textId="77777777" w:rsidR="00B55303" w:rsidRPr="0036005D" w:rsidRDefault="00B55303" w:rsidP="00B55303">
      <w:pPr>
        <w:pStyle w:val="Prrafodelista"/>
        <w:tabs>
          <w:tab w:val="left" w:pos="426"/>
        </w:tabs>
        <w:spacing w:before="240" w:after="240" w:line="360" w:lineRule="auto"/>
        <w:ind w:left="1134" w:right="51"/>
        <w:jc w:val="both"/>
        <w:rPr>
          <w:rFonts w:ascii="Palatino Linotype" w:hAnsi="Palatino Linotype"/>
          <w:color w:val="000000" w:themeColor="text1"/>
        </w:rPr>
      </w:pPr>
    </w:p>
    <w:p w14:paraId="777E6432" w14:textId="68332685" w:rsidR="00DD3478" w:rsidRPr="0036005D" w:rsidRDefault="00DD3478"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lastRenderedPageBreak/>
        <w:t xml:space="preserve">Adjunto al oficio descrito en párrafos previos, el </w:t>
      </w:r>
      <w:r w:rsidRPr="0036005D">
        <w:rPr>
          <w:rFonts w:ascii="Palatino Linotype" w:hAnsi="Palatino Linotype"/>
          <w:b/>
          <w:bCs/>
          <w:color w:val="000000" w:themeColor="text1"/>
        </w:rPr>
        <w:t>SUJETO OBLIGADO</w:t>
      </w:r>
      <w:r w:rsidRPr="0036005D">
        <w:rPr>
          <w:rFonts w:ascii="Palatino Linotype" w:hAnsi="Palatino Linotype"/>
          <w:color w:val="000000" w:themeColor="text1"/>
        </w:rPr>
        <w:t xml:space="preserve"> </w:t>
      </w:r>
      <w:r w:rsidR="00B55303" w:rsidRPr="0036005D">
        <w:rPr>
          <w:rFonts w:ascii="Palatino Linotype" w:hAnsi="Palatino Linotype"/>
          <w:color w:val="000000" w:themeColor="text1"/>
        </w:rPr>
        <w:t xml:space="preserve">presentó al entonces </w:t>
      </w:r>
      <w:r w:rsidR="00B55303" w:rsidRPr="0036005D">
        <w:rPr>
          <w:rFonts w:ascii="Palatino Linotype" w:hAnsi="Palatino Linotype"/>
          <w:b/>
          <w:bCs/>
          <w:color w:val="000000" w:themeColor="text1"/>
        </w:rPr>
        <w:t>SOLICITANTE</w:t>
      </w:r>
      <w:r w:rsidR="00B55303" w:rsidRPr="0036005D">
        <w:rPr>
          <w:rFonts w:ascii="Palatino Linotype" w:hAnsi="Palatino Linotype"/>
          <w:color w:val="000000" w:themeColor="text1"/>
        </w:rPr>
        <w:t xml:space="preserve"> una archivo en formato </w:t>
      </w:r>
      <w:r w:rsidR="00B55303" w:rsidRPr="0036005D">
        <w:rPr>
          <w:rFonts w:ascii="Palatino Linotype" w:hAnsi="Palatino Linotype"/>
          <w:i/>
          <w:iCs/>
          <w:color w:val="000000" w:themeColor="text1"/>
        </w:rPr>
        <w:t>.xlsx</w:t>
      </w:r>
      <w:r w:rsidR="00B55303" w:rsidRPr="0036005D">
        <w:rPr>
          <w:rFonts w:ascii="Palatino Linotype" w:hAnsi="Palatino Linotype"/>
          <w:color w:val="000000" w:themeColor="text1"/>
        </w:rPr>
        <w:t>, consistente en la Tabla de Aplicabilidad de las obligaciones de transparencia común, y específicas, del Ayuntamiento de San Mateo Atenco. Se adjunta un fragmento del documento como mera referencia:</w:t>
      </w:r>
    </w:p>
    <w:p w14:paraId="6E309F82" w14:textId="0D599A34" w:rsidR="00DD3478" w:rsidRPr="0036005D"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417D8738" w14:textId="13E2FA73" w:rsidR="00B55303" w:rsidRPr="0036005D" w:rsidRDefault="007A4B46" w:rsidP="00B55303">
      <w:pPr>
        <w:pStyle w:val="Prrafodelista"/>
        <w:tabs>
          <w:tab w:val="left" w:pos="426"/>
        </w:tabs>
        <w:spacing w:before="240" w:after="240" w:line="360" w:lineRule="auto"/>
        <w:ind w:left="0" w:right="51"/>
        <w:jc w:val="center"/>
        <w:rPr>
          <w:rFonts w:ascii="Palatino Linotype" w:hAnsi="Palatino Linotype"/>
          <w:color w:val="000000" w:themeColor="text1"/>
        </w:rPr>
      </w:pPr>
      <w:r w:rsidRPr="0036005D">
        <w:object w:dxaOrig="9465" w:dyaOrig="4815" w14:anchorId="02882F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5pt;height:192.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3093963" r:id="rId9"/>
        </w:object>
      </w:r>
    </w:p>
    <w:p w14:paraId="6B4D5554" w14:textId="77777777" w:rsidR="00B55303" w:rsidRPr="0036005D" w:rsidRDefault="00B55303"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5B875F77" w14:textId="5D3AA0AC" w:rsidR="002A633F"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En consecuencia, toda vez que el </w:t>
      </w:r>
      <w:r w:rsidRPr="0036005D">
        <w:rPr>
          <w:rFonts w:ascii="Palatino Linotype" w:hAnsi="Palatino Linotype"/>
          <w:b/>
          <w:color w:val="000000" w:themeColor="text1"/>
        </w:rPr>
        <w:t>SUJETO OBLIGADO</w:t>
      </w:r>
      <w:r w:rsidRPr="0036005D">
        <w:rPr>
          <w:rFonts w:ascii="Palatino Linotype" w:hAnsi="Palatino Linotype"/>
          <w:color w:val="000000" w:themeColor="text1"/>
        </w:rPr>
        <w:t xml:space="preserve"> se pronunció respecto de la información solicitada, resultaría conveniente obviar el análisis de competencia de la </w:t>
      </w:r>
      <w:r w:rsidR="00A36D6E" w:rsidRPr="0036005D">
        <w:rPr>
          <w:rFonts w:ascii="Palatino Linotype" w:hAnsi="Palatino Linotype"/>
          <w:color w:val="000000" w:themeColor="text1"/>
        </w:rPr>
        <w:t>Instituto de Transparencia, Acceso a la Información Pública y Protección de Datos Personales del Estado de México y Municipios</w:t>
      </w:r>
      <w:r w:rsidRPr="0036005D">
        <w:rPr>
          <w:rFonts w:ascii="Palatino Linotype" w:hAnsi="Palatino Linotype"/>
          <w:color w:val="000000" w:themeColor="text1"/>
        </w:rPr>
        <w:t xml:space="preserve"> para generar, administrar o poseer la misma, dado que éste asumió la competencia mediante su respuesta a la solicitud de información.</w:t>
      </w:r>
    </w:p>
    <w:p w14:paraId="736636DD"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3353A5EF" w14:textId="77777777" w:rsidR="002A633F"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Lo anterior encuentra lógica toda vez que el estudio de la naturaleza jurídica de la información pública solicitada tiene por objeto determinar si ésta la genera, posee </w:t>
      </w:r>
      <w:r w:rsidRPr="0036005D">
        <w:rPr>
          <w:rFonts w:ascii="Palatino Linotype" w:hAnsi="Palatino Linotype"/>
          <w:color w:val="000000" w:themeColor="text1"/>
        </w:rPr>
        <w:lastRenderedPageBreak/>
        <w:t xml:space="preserve">o administra el </w:t>
      </w:r>
      <w:r w:rsidRPr="0036005D">
        <w:rPr>
          <w:rFonts w:ascii="Palatino Linotype" w:hAnsi="Palatino Linotype"/>
          <w:b/>
          <w:color w:val="000000" w:themeColor="text1"/>
        </w:rPr>
        <w:t>SUJETO OBLIGADO</w:t>
      </w:r>
      <w:r w:rsidRPr="0036005D">
        <w:rPr>
          <w:rFonts w:ascii="Palatino Linotype" w:hAnsi="Palatino Linotype"/>
          <w:color w:val="000000" w:themeColor="text1"/>
        </w:rPr>
        <w:t xml:space="preserve">; empero, en aquellos casos en que éste la asume, implica </w:t>
      </w:r>
      <w:r w:rsidRPr="0036005D">
        <w:rPr>
          <w:rFonts w:ascii="Palatino Linotype" w:hAnsi="Palatino Linotype"/>
          <w:i/>
          <w:color w:val="000000" w:themeColor="text1"/>
        </w:rPr>
        <w:t>de facto</w:t>
      </w:r>
      <w:r w:rsidRPr="0036005D">
        <w:rPr>
          <w:rFonts w:ascii="Palatino Linotype" w:hAnsi="Palatino Linotype"/>
          <w:color w:val="000000" w:themeColor="text1"/>
        </w:rPr>
        <w:t xml:space="preserve"> que la genera, posee o administra. Por consiguiente, a nada práctico nos conduciría su estudio, ya que, se insiste, la información pública solicitada, ha sido asumida por el </w:t>
      </w:r>
      <w:r w:rsidRPr="0036005D">
        <w:rPr>
          <w:rFonts w:ascii="Palatino Linotype" w:hAnsi="Palatino Linotype"/>
          <w:b/>
          <w:color w:val="000000" w:themeColor="text1"/>
        </w:rPr>
        <w:t>SUJETO OBLIGADO</w:t>
      </w:r>
      <w:r w:rsidRPr="0036005D">
        <w:rPr>
          <w:rFonts w:ascii="Palatino Linotype" w:hAnsi="Palatino Linotype"/>
          <w:color w:val="000000" w:themeColor="text1"/>
        </w:rPr>
        <w:t>.</w:t>
      </w:r>
    </w:p>
    <w:p w14:paraId="2B11A029"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E3A12AB" w14:textId="77777777" w:rsidR="002A633F"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En </w:t>
      </w:r>
      <w:r w:rsidRPr="0036005D">
        <w:rPr>
          <w:rFonts w:ascii="Palatino Linotype" w:eastAsia="Times New Roman" w:hAnsi="Palatino Linotype" w:cs="Arial"/>
        </w:rPr>
        <w:t xml:space="preserve">ese sentido, al existir un pronunciamiento directo por parte del </w:t>
      </w:r>
      <w:r w:rsidRPr="0036005D">
        <w:rPr>
          <w:rFonts w:ascii="Palatino Linotype" w:eastAsia="Times New Roman" w:hAnsi="Palatino Linotype" w:cs="Arial"/>
          <w:b/>
        </w:rPr>
        <w:t>SUJETO OBLIGADO</w:t>
      </w:r>
      <w:r w:rsidRPr="0036005D">
        <w:rPr>
          <w:rFonts w:ascii="Palatino Linotype" w:eastAsia="Times New Roman" w:hAnsi="Palatino Linotype" w:cs="Arial"/>
        </w:rPr>
        <w:t xml:space="preserve">, a fin de atender la vasta solicitud planteada por la hoy </w:t>
      </w:r>
      <w:r w:rsidRPr="0036005D">
        <w:rPr>
          <w:rFonts w:ascii="Palatino Linotype" w:eastAsia="Times New Roman" w:hAnsi="Palatino Linotype" w:cs="Arial"/>
          <w:b/>
        </w:rPr>
        <w:t>RECURRENTE</w:t>
      </w:r>
      <w:r w:rsidRPr="0036005D">
        <w:rPr>
          <w:rFonts w:ascii="Palatino Linotype" w:eastAsia="Times New Roman" w:hAnsi="Palatino Linotype" w:cs="Arial"/>
        </w:rPr>
        <w:t xml:space="preserve">, es necesario señalar que 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Pr="0036005D">
        <w:rPr>
          <w:rFonts w:ascii="Palatino Linotype" w:eastAsia="Times New Roman" w:hAnsi="Palatino Linotype" w:cs="Arial"/>
          <w:bCs/>
          <w:iCs/>
        </w:rPr>
        <w:t>SAIMEX</w:t>
      </w:r>
      <w:r w:rsidRPr="0036005D">
        <w:rPr>
          <w:rFonts w:ascii="Palatino Linotype" w:eastAsia="Times New Roman" w:hAnsi="Palatino Linotype" w:cs="Arial"/>
        </w:rPr>
        <w:t>.</w:t>
      </w:r>
    </w:p>
    <w:p w14:paraId="74EB18CA"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A57570A" w14:textId="7A22E215" w:rsidR="00DD3478"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Sirve </w:t>
      </w:r>
      <w:r w:rsidRPr="0036005D">
        <w:rPr>
          <w:rFonts w:ascii="Palatino Linotype" w:eastAsia="Times New Roman" w:hAnsi="Palatino Linotype" w:cs="Arial"/>
        </w:rPr>
        <w:t>de apoyo a lo anterior por analogía, el Criterio 31-10 emitido por el ahora Instituto Nacional de Transparencia, Acceso a la Información y Protección de Datos Personales, que a la letra dice:</w:t>
      </w:r>
    </w:p>
    <w:p w14:paraId="537F4AEA" w14:textId="274844A1" w:rsidR="00DD3478" w:rsidRPr="0036005D" w:rsidRDefault="00DD3478" w:rsidP="002A633F">
      <w:pPr>
        <w:pStyle w:val="Prrafodelista"/>
        <w:tabs>
          <w:tab w:val="left" w:pos="426"/>
        </w:tabs>
        <w:spacing w:before="240" w:line="360" w:lineRule="auto"/>
        <w:ind w:left="0" w:right="51"/>
        <w:jc w:val="both"/>
        <w:rPr>
          <w:rFonts w:ascii="Palatino Linotype" w:hAnsi="Palatino Linotype"/>
          <w:color w:val="000000" w:themeColor="text1"/>
        </w:rPr>
      </w:pPr>
    </w:p>
    <w:p w14:paraId="28FDA0D7" w14:textId="77777777" w:rsidR="002A633F" w:rsidRPr="0036005D" w:rsidRDefault="002A633F" w:rsidP="002A633F">
      <w:pPr>
        <w:pStyle w:val="Default"/>
        <w:spacing w:before="240" w:after="360" w:line="276" w:lineRule="auto"/>
        <w:ind w:left="567" w:right="567"/>
        <w:jc w:val="both"/>
        <w:rPr>
          <w:rFonts w:ascii="Palatino Linotype" w:hAnsi="Palatino Linotype"/>
          <w:sz w:val="22"/>
          <w:szCs w:val="20"/>
        </w:rPr>
      </w:pPr>
      <w:r w:rsidRPr="0036005D">
        <w:rPr>
          <w:rFonts w:ascii="Palatino Linotype" w:hAnsi="Palatino Linotype"/>
          <w:b/>
          <w:i/>
          <w:sz w:val="22"/>
          <w:szCs w:val="20"/>
        </w:rPr>
        <w:t>EL INSTITUTO FEDERAL DE ACCESO A LA INFORMACIÓN Y PROTECCIÓN DE DATOS</w:t>
      </w:r>
      <w:r w:rsidRPr="0036005D">
        <w:rPr>
          <w:rFonts w:ascii="Palatino Linotype" w:hAnsi="Palatino Linotype"/>
          <w:i/>
          <w:sz w:val="22"/>
          <w:szCs w:val="20"/>
        </w:rPr>
        <w:t xml:space="preserve"> </w:t>
      </w:r>
      <w:r w:rsidRPr="0036005D">
        <w:rPr>
          <w:rFonts w:ascii="Palatino Linotype" w:hAnsi="Palatino Linotype"/>
          <w:b/>
          <w:i/>
          <w:sz w:val="22"/>
          <w:szCs w:val="20"/>
        </w:rPr>
        <w:t>NO CUENTA CON FACULTADES PARA PRONUNCIARSE RESPECTO DE LA VERACIDAD DE LOS DOCUMENTOS PROPORCIONADOS POR LOS SUJETOS OBLIGADOS.</w:t>
      </w:r>
      <w:r w:rsidRPr="0036005D">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w:t>
      </w:r>
      <w:r w:rsidRPr="0036005D">
        <w:rPr>
          <w:rFonts w:ascii="Palatino Linotype" w:hAnsi="Palatino Linotype"/>
          <w:i/>
          <w:sz w:val="22"/>
          <w:szCs w:val="20"/>
        </w:rPr>
        <w:lastRenderedPageBreak/>
        <w:t xml:space="preserve">poder de las dependencias y entidades. Sin embargo, </w:t>
      </w:r>
      <w:r w:rsidRPr="0036005D">
        <w:rPr>
          <w:rFonts w:ascii="Palatino Linotype" w:hAnsi="Palatino Linotype"/>
          <w:b/>
          <w:i/>
          <w:sz w:val="22"/>
          <w:szCs w:val="20"/>
        </w:rPr>
        <w:t>no está facultado para pronunciarse sobre la veracidad de la información proporcionada por las autoridades en respuesta a las solicitudes de información que les presentan los particulares</w:t>
      </w:r>
      <w:r w:rsidRPr="0036005D">
        <w:rPr>
          <w:rFonts w:ascii="Palatino Linotype" w:hAnsi="Palatino Linotype"/>
          <w:i/>
          <w:sz w:val="22"/>
          <w:szCs w:val="20"/>
        </w:rPr>
        <w:t>,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6005D">
        <w:rPr>
          <w:rFonts w:ascii="Palatino Linotype" w:hAnsi="Palatino Linotype"/>
          <w:i/>
          <w:sz w:val="22"/>
          <w:szCs w:val="20"/>
        </w:rPr>
        <w:br/>
      </w:r>
      <w:r w:rsidRPr="0036005D">
        <w:rPr>
          <w:rFonts w:ascii="Palatino Linotype" w:hAnsi="Palatino Linotype"/>
          <w:sz w:val="22"/>
          <w:szCs w:val="20"/>
        </w:rPr>
        <w:t>(Énfasis añadido)</w:t>
      </w:r>
    </w:p>
    <w:p w14:paraId="665E59A0" w14:textId="77777777" w:rsidR="002A633F" w:rsidRPr="0036005D" w:rsidRDefault="002A633F"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740BAD9D" w14:textId="77777777" w:rsidR="002A633F"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En </w:t>
      </w:r>
      <w:r w:rsidRPr="0036005D">
        <w:rPr>
          <w:rFonts w:ascii="Palatino Linotype" w:eastAsia="Times New Roman" w:hAnsi="Palatino Linotype" w:cs="Arial"/>
        </w:rPr>
        <w:t>el mismo sentido, el artículo 3 de la Ley de Transparencia y Acceso a la Información Pública del Estado de México y Municipios, establece que la información pública generada, administrada o en posesión de los Sujetos Obligados en ejercicio de sus atribuciones, será accesible de manera permanente a cualquier persona, privilegiando el principio de máxima publicidad de la información, por lo que deberán apegarse en todo momento a los criterios de publicidad, veracidad, oportunidad entre otros, y que a la letra señalan:</w:t>
      </w:r>
    </w:p>
    <w:p w14:paraId="7F104CC1"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2F5D7788" w14:textId="77777777" w:rsidR="002A633F" w:rsidRPr="0036005D" w:rsidRDefault="002A633F" w:rsidP="002A633F">
      <w:pPr>
        <w:pStyle w:val="Prrafodelista"/>
        <w:spacing w:line="276" w:lineRule="auto"/>
        <w:ind w:left="567" w:right="567"/>
        <w:jc w:val="both"/>
        <w:rPr>
          <w:rFonts w:ascii="Palatino Linotype" w:hAnsi="Palatino Linotype" w:cs="Arial"/>
          <w:b/>
          <w:i/>
          <w:sz w:val="22"/>
          <w:szCs w:val="22"/>
        </w:rPr>
      </w:pPr>
      <w:r w:rsidRPr="0036005D">
        <w:rPr>
          <w:rFonts w:ascii="Palatino Linotype" w:hAnsi="Palatino Linotype" w:cs="Arial"/>
          <w:b/>
          <w:i/>
          <w:sz w:val="22"/>
          <w:szCs w:val="22"/>
        </w:rPr>
        <w:t>Artículo 3.-</w:t>
      </w:r>
      <w:r w:rsidRPr="0036005D">
        <w:rPr>
          <w:rFonts w:ascii="Palatino Linotype" w:hAnsi="Palatino Linotype" w:cs="Arial"/>
          <w:i/>
          <w:sz w:val="22"/>
          <w:szCs w:val="22"/>
        </w:rPr>
        <w:t xml:space="preserve"> La información pública generada, administrada o en posesión de los Sujetos Obligados en ejercicio de sus atribuciones, será accesible de manera permanente a cualquier persona, privilegiando el principio de máxima publicidad de la información. </w:t>
      </w:r>
      <w:r w:rsidRPr="0036005D">
        <w:rPr>
          <w:rFonts w:ascii="Palatino Linotype" w:hAnsi="Palatino Linotype" w:cs="Arial"/>
          <w:b/>
          <w:i/>
          <w:sz w:val="22"/>
          <w:szCs w:val="22"/>
        </w:rPr>
        <w:t>Los Sujetos Obligados deben poner en práctica, políticas y programas de acceso a la información que se apeguen a criterios de publicidad, veracidad, oportunidad, precisión y suficiencia en beneficio de los solicitantes.</w:t>
      </w:r>
    </w:p>
    <w:p w14:paraId="2FBF7A25" w14:textId="77777777" w:rsidR="002A633F" w:rsidRPr="0036005D" w:rsidRDefault="002A633F" w:rsidP="002A633F">
      <w:pPr>
        <w:pStyle w:val="Prrafodelista"/>
        <w:spacing w:line="276" w:lineRule="auto"/>
        <w:ind w:left="567" w:right="567"/>
        <w:jc w:val="both"/>
        <w:rPr>
          <w:rFonts w:ascii="Palatino Linotype" w:hAnsi="Palatino Linotype" w:cs="Arial"/>
          <w:iCs/>
          <w:sz w:val="22"/>
          <w:szCs w:val="22"/>
        </w:rPr>
      </w:pPr>
      <w:r w:rsidRPr="0036005D">
        <w:rPr>
          <w:rFonts w:ascii="Palatino Linotype" w:hAnsi="Palatino Linotype" w:cs="Arial"/>
          <w:iCs/>
          <w:sz w:val="22"/>
          <w:szCs w:val="22"/>
        </w:rPr>
        <w:t>(Énfasis añadido)</w:t>
      </w:r>
    </w:p>
    <w:p w14:paraId="5FBD99D5"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07C369A8" w14:textId="77777777" w:rsidR="002A633F" w:rsidRPr="0036005D" w:rsidRDefault="002A633F" w:rsidP="002A633F">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Disposiciones que compelen al </w:t>
      </w:r>
      <w:r w:rsidRPr="0036005D">
        <w:rPr>
          <w:rFonts w:ascii="Palatino Linotype" w:hAnsi="Palatino Linotype"/>
          <w:b/>
          <w:color w:val="000000" w:themeColor="text1"/>
        </w:rPr>
        <w:t>SUJETO OBLIGADO</w:t>
      </w:r>
      <w:r w:rsidRPr="0036005D">
        <w:rPr>
          <w:rFonts w:ascii="Palatino Linotype" w:hAnsi="Palatino Linotype"/>
          <w:color w:val="000000" w:themeColor="text1"/>
        </w:rPr>
        <w:t xml:space="preserve"> a apegarse en todo momento a los criterios ya expuestos, impidiendo a este Órgano Colegiado cuestionar la veracidad de la información.</w:t>
      </w:r>
    </w:p>
    <w:p w14:paraId="561E1B6D" w14:textId="77777777" w:rsidR="00DD3478" w:rsidRPr="0036005D" w:rsidRDefault="00DD3478"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4F663D43" w14:textId="41B231A0" w:rsidR="00DD3478" w:rsidRPr="0036005D" w:rsidRDefault="00763BB0"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Por su parte, el particular impugnó la respuesta del </w:t>
      </w:r>
      <w:r w:rsidRPr="0036005D">
        <w:rPr>
          <w:rFonts w:ascii="Palatino Linotype" w:hAnsi="Palatino Linotype"/>
          <w:b/>
          <w:bCs/>
          <w:color w:val="000000" w:themeColor="text1"/>
        </w:rPr>
        <w:t>SUJETO OBLIGADO</w:t>
      </w:r>
      <w:r w:rsidRPr="0036005D">
        <w:rPr>
          <w:rFonts w:ascii="Palatino Linotype" w:hAnsi="Palatino Linotype"/>
          <w:color w:val="000000" w:themeColor="text1"/>
        </w:rPr>
        <w:t xml:space="preserve"> mediante el recurso de revisión </w:t>
      </w:r>
      <w:r w:rsidR="00A36D6E" w:rsidRPr="0036005D">
        <w:rPr>
          <w:rFonts w:ascii="Palatino Linotype" w:hAnsi="Palatino Linotype"/>
          <w:b/>
          <w:bCs/>
          <w:color w:val="000000" w:themeColor="text1"/>
        </w:rPr>
        <w:t>03533/INFOEM/IP/RR/2022</w:t>
      </w:r>
      <w:r w:rsidRPr="0036005D">
        <w:rPr>
          <w:rFonts w:ascii="Palatino Linotype" w:hAnsi="Palatino Linotype"/>
          <w:color w:val="000000" w:themeColor="text1"/>
        </w:rPr>
        <w:t xml:space="preserve">, en el que señaló por </w:t>
      </w:r>
      <w:r w:rsidR="007A4B46" w:rsidRPr="0036005D">
        <w:rPr>
          <w:rFonts w:ascii="Palatino Linotype" w:hAnsi="Palatino Linotype"/>
          <w:color w:val="000000" w:themeColor="text1"/>
        </w:rPr>
        <w:t>agravios</w:t>
      </w:r>
      <w:r w:rsidRPr="0036005D">
        <w:rPr>
          <w:rFonts w:ascii="Palatino Linotype" w:hAnsi="Palatino Linotype"/>
          <w:color w:val="000000" w:themeColor="text1"/>
        </w:rPr>
        <w:t>, lo siguiente:</w:t>
      </w:r>
    </w:p>
    <w:p w14:paraId="6C268DC8" w14:textId="01BCEC2F" w:rsidR="007A4B46" w:rsidRPr="0036005D" w:rsidRDefault="007A4B46" w:rsidP="007A4B4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Que requirió el documento específico utilizado por la Comisionada Guadalupe Ramírez Peña, la cual contenía anotaciones sobre cómo ingresar la información; y</w:t>
      </w:r>
    </w:p>
    <w:p w14:paraId="47BD789A" w14:textId="1F44529B" w:rsidR="007A4B46" w:rsidRPr="0036005D" w:rsidRDefault="007A4B46" w:rsidP="007A4B46">
      <w:pPr>
        <w:pStyle w:val="Prrafodelista"/>
        <w:numPr>
          <w:ilvl w:val="1"/>
          <w:numId w:val="1"/>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 xml:space="preserve">Que el </w:t>
      </w:r>
      <w:r w:rsidRPr="0036005D">
        <w:rPr>
          <w:rFonts w:ascii="Palatino Linotype" w:hAnsi="Palatino Linotype"/>
          <w:b/>
          <w:bCs/>
          <w:color w:val="000000" w:themeColor="text1"/>
        </w:rPr>
        <w:t>SUJETO OBLIGADO</w:t>
      </w:r>
      <w:r w:rsidRPr="0036005D">
        <w:rPr>
          <w:rFonts w:ascii="Palatino Linotype" w:hAnsi="Palatino Linotype"/>
          <w:color w:val="000000" w:themeColor="text1"/>
        </w:rPr>
        <w:t xml:space="preserve"> le entregó un documento que no corresponde con lo solicitado.</w:t>
      </w:r>
    </w:p>
    <w:p w14:paraId="20189903" w14:textId="77777777" w:rsidR="00763BB0" w:rsidRPr="0036005D" w:rsidRDefault="00763BB0" w:rsidP="00DD3478">
      <w:pPr>
        <w:pStyle w:val="Prrafodelista"/>
        <w:tabs>
          <w:tab w:val="left" w:pos="426"/>
        </w:tabs>
        <w:spacing w:before="240" w:after="240" w:line="360" w:lineRule="auto"/>
        <w:ind w:left="0" w:right="51"/>
        <w:jc w:val="both"/>
        <w:rPr>
          <w:rFonts w:ascii="Palatino Linotype" w:hAnsi="Palatino Linotype"/>
          <w:color w:val="000000" w:themeColor="text1"/>
        </w:rPr>
      </w:pPr>
    </w:p>
    <w:p w14:paraId="79A27406" w14:textId="0A69C849" w:rsidR="007A4B46" w:rsidRPr="0036005D" w:rsidRDefault="007A4B4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Adjunto a su escrito impugnativo, el particular </w:t>
      </w:r>
      <w:r w:rsidR="00DB5946" w:rsidRPr="0036005D">
        <w:rPr>
          <w:rFonts w:ascii="Palatino Linotype" w:hAnsi="Palatino Linotype"/>
          <w:color w:val="000000" w:themeColor="text1"/>
        </w:rPr>
        <w:t>presentó una fotografía tomada a la Comisionada Guadalupe Ramírez Peña, donde se le muestra sosteniendo una impresión con diversos rubros que, a pesar de ser ilegibles, comparten la organización de los diversos rubros considerados en el portal IPOMEX para mostrar todas y cada una de las obligaciones de transparencia común, y específicas, de los Sujetos Obligados. Se adjunta a continuación un fragmento de la imagen presentada por el particular como referencia:</w:t>
      </w:r>
    </w:p>
    <w:p w14:paraId="3DF5674F" w14:textId="0DD68FA7" w:rsidR="007A4B46" w:rsidRPr="0036005D" w:rsidRDefault="007A4B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7B51BB27" w14:textId="348CF631" w:rsidR="00DB5946" w:rsidRPr="0036005D" w:rsidRDefault="00DB5946" w:rsidP="00DB5946">
      <w:pPr>
        <w:pStyle w:val="Prrafodelista"/>
        <w:tabs>
          <w:tab w:val="left" w:pos="426"/>
        </w:tabs>
        <w:spacing w:before="240" w:after="240" w:line="360" w:lineRule="auto"/>
        <w:ind w:left="0" w:right="51"/>
        <w:jc w:val="center"/>
        <w:rPr>
          <w:rFonts w:ascii="Palatino Linotype" w:hAnsi="Palatino Linotype"/>
          <w:color w:val="000000" w:themeColor="text1"/>
        </w:rPr>
      </w:pPr>
      <w:r w:rsidRPr="0036005D">
        <w:object w:dxaOrig="4080" w:dyaOrig="4050" w14:anchorId="1717DA27">
          <v:shape id="_x0000_i1026" type="#_x0000_t75" style="width:375pt;height:248.5pt" o:ole="" o:bordertopcolor="this" o:borderleftcolor="this" o:borderbottomcolor="this" o:borderrightcolor="this">
            <v:imagedata r:id="rId10" o:title="" cropbottom="21845f"/>
            <w10:bordertop type="single" width="8"/>
            <w10:borderleft type="single" width="8"/>
            <w10:borderbottom type="single" width="8"/>
            <w10:borderright type="single" width="8"/>
          </v:shape>
          <o:OLEObject Type="Embed" ProgID="Paint.Picture" ShapeID="_x0000_i1026" DrawAspect="Content" ObjectID="_1713093964" r:id="rId11"/>
        </w:object>
      </w:r>
    </w:p>
    <w:p w14:paraId="6AD4298D" w14:textId="3D63026B" w:rsidR="00DB5946" w:rsidRPr="0036005D" w:rsidRDefault="00DB59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3AE2F503" w14:textId="5243089B" w:rsidR="007A4B46" w:rsidRPr="0036005D" w:rsidRDefault="00653E5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Una vez establecido lo anterior, conviene referir que el artículo 161 de la Ley de Transparencia y Acceso a la Información Pública del Estado de México y Municipios establece que, cuando la </w:t>
      </w:r>
      <w:r w:rsidRPr="0036005D">
        <w:rPr>
          <w:rFonts w:ascii="Palatino Linotype" w:hAnsi="Palatino Linotype"/>
          <w:color w:val="000000" w:themeColor="text1"/>
          <w:lang w:val="es-ES_tradnl"/>
        </w:rPr>
        <w:t xml:space="preserve">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w:t>
      </w:r>
      <w:r w:rsidRPr="0036005D">
        <w:rPr>
          <w:rFonts w:ascii="Palatino Linotype" w:hAnsi="Palatino Linotype"/>
          <w:b/>
          <w:color w:val="000000" w:themeColor="text1"/>
          <w:lang w:val="es-ES_tradnl"/>
        </w:rPr>
        <w:t>en un plazo no mayor a cinco días hábiles</w:t>
      </w:r>
      <w:r w:rsidRPr="0036005D">
        <w:rPr>
          <w:rFonts w:ascii="Palatino Linotype" w:hAnsi="Palatino Linotype"/>
          <w:color w:val="000000" w:themeColor="text1"/>
          <w:lang w:val="es-ES_tradnl"/>
        </w:rPr>
        <w:t xml:space="preserve">. </w:t>
      </w:r>
      <w:r w:rsidRPr="0036005D">
        <w:rPr>
          <w:rFonts w:ascii="Palatino Linotype" w:hAnsi="Palatino Linotype"/>
          <w:b/>
          <w:color w:val="000000" w:themeColor="text1"/>
          <w:lang w:val="es-ES_tradnl"/>
        </w:rPr>
        <w:t>La fuente deberá ser precisa y concreta</w:t>
      </w:r>
      <w:r w:rsidRPr="0036005D">
        <w:rPr>
          <w:rFonts w:ascii="Palatino Linotype" w:hAnsi="Palatino Linotype"/>
          <w:color w:val="000000" w:themeColor="text1"/>
          <w:lang w:val="es-ES_tradnl"/>
        </w:rPr>
        <w:t xml:space="preserve"> y </w:t>
      </w:r>
      <w:r w:rsidRPr="0036005D">
        <w:rPr>
          <w:rFonts w:ascii="Palatino Linotype" w:hAnsi="Palatino Linotype"/>
          <w:b/>
          <w:color w:val="000000" w:themeColor="text1"/>
          <w:lang w:val="es-ES_tradnl"/>
        </w:rPr>
        <w:t>no debe implicar que el solicitante realice una búsqueda en toda la información que se encuentre disponible</w:t>
      </w:r>
      <w:r w:rsidRPr="0036005D">
        <w:rPr>
          <w:rFonts w:ascii="Palatino Linotype" w:hAnsi="Palatino Linotype"/>
          <w:color w:val="000000" w:themeColor="text1"/>
          <w:lang w:val="es-ES_tradnl"/>
        </w:rPr>
        <w:t>.</w:t>
      </w:r>
    </w:p>
    <w:p w14:paraId="0134739F" w14:textId="77777777" w:rsidR="007A4B46" w:rsidRPr="0036005D" w:rsidRDefault="007A4B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433EF457" w14:textId="673BFEF1" w:rsidR="007A4B46" w:rsidRPr="0036005D" w:rsidRDefault="00653E5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lastRenderedPageBreak/>
        <w:t xml:space="preserve">Así las </w:t>
      </w:r>
      <w:r w:rsidRPr="0036005D">
        <w:rPr>
          <w:rFonts w:ascii="Palatino Linotype" w:eastAsia="MS Mincho" w:hAnsi="Palatino Linotype" w:cs="Times New Roman"/>
        </w:rPr>
        <w:t xml:space="preserve">cosas, la Ley de la materia establece que, para el caso de que la información que requieran los particulares ya se encuentre disponible en medios electrónicos, el </w:t>
      </w:r>
      <w:r w:rsidRPr="0036005D">
        <w:rPr>
          <w:rFonts w:ascii="Palatino Linotype" w:eastAsia="MS Mincho" w:hAnsi="Palatino Linotype" w:cs="Times New Roman"/>
          <w:b/>
          <w:bCs/>
        </w:rPr>
        <w:t>SUJETO OBLIGADO</w:t>
      </w:r>
      <w:r w:rsidRPr="0036005D">
        <w:rPr>
          <w:rFonts w:ascii="Palatino Linotype" w:eastAsia="MS Mincho" w:hAnsi="Palatino Linotype" w:cs="Times New Roman"/>
        </w:rPr>
        <w:t xml:space="preserve"> podrá hacerle saber al particular la fuente de consulta atendiendo dos consideraciones: </w:t>
      </w:r>
      <w:r w:rsidRPr="0036005D">
        <w:rPr>
          <w:rFonts w:ascii="Palatino Linotype" w:eastAsia="MS Mincho" w:hAnsi="Palatino Linotype" w:cs="Times New Roman"/>
          <w:b/>
          <w:bCs/>
        </w:rPr>
        <w:t>a)</w:t>
      </w:r>
      <w:r w:rsidRPr="0036005D">
        <w:rPr>
          <w:rFonts w:ascii="Palatino Linotype" w:eastAsia="MS Mincho" w:hAnsi="Palatino Linotype" w:cs="Times New Roman"/>
        </w:rPr>
        <w:t xml:space="preserve"> la fuente se deberá hacer de su conocimiento dentro de los primeros cinco días hábiles posteriores a la recepción de la solicitud de información; y, </w:t>
      </w:r>
      <w:r w:rsidRPr="0036005D">
        <w:rPr>
          <w:rFonts w:ascii="Palatino Linotype" w:eastAsia="MS Mincho" w:hAnsi="Palatino Linotype" w:cs="Times New Roman"/>
          <w:b/>
          <w:bCs/>
        </w:rPr>
        <w:t>b)</w:t>
      </w:r>
      <w:r w:rsidRPr="0036005D">
        <w:rPr>
          <w:rFonts w:ascii="Palatino Linotype" w:eastAsia="MS Mincho" w:hAnsi="Palatino Linotype" w:cs="Times New Roman"/>
        </w:rPr>
        <w:t xml:space="preserve"> la fuente deberá ser precisa, esto es, que evite que el particular tenga que realizar una búsqueda en toda la información disponible en el portal que se señale.</w:t>
      </w:r>
    </w:p>
    <w:p w14:paraId="5D3D9787" w14:textId="77777777" w:rsidR="007A4B46" w:rsidRPr="0036005D" w:rsidRDefault="007A4B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41300213" w14:textId="09AD6024" w:rsidR="007A4B46" w:rsidRPr="0036005D" w:rsidRDefault="00653E5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En </w:t>
      </w:r>
      <w:r w:rsidRPr="0036005D">
        <w:rPr>
          <w:rFonts w:ascii="Palatino Linotype" w:eastAsia="MS Mincho" w:hAnsi="Palatino Linotype" w:cs="Times New Roman"/>
        </w:rPr>
        <w:t xml:space="preserve">el presente asunto, por cuanto hace al primer elemento para acreditar la entrega de información señalando una fuente de consulta, como fuera señalado en el apartado de </w:t>
      </w:r>
      <w:r w:rsidRPr="0036005D">
        <w:rPr>
          <w:rFonts w:ascii="Palatino Linotype" w:eastAsia="MS Mincho" w:hAnsi="Palatino Linotype" w:cs="Times New Roman"/>
          <w:i/>
        </w:rPr>
        <w:t>Antecedentes</w:t>
      </w:r>
      <w:r w:rsidRPr="0036005D">
        <w:rPr>
          <w:rFonts w:ascii="Palatino Linotype" w:eastAsia="MS Mincho" w:hAnsi="Palatino Linotype" w:cs="Times New Roman"/>
        </w:rPr>
        <w:t xml:space="preserve"> de la presente resolución, el </w:t>
      </w:r>
      <w:r w:rsidRPr="0036005D">
        <w:rPr>
          <w:rFonts w:ascii="Palatino Linotype" w:eastAsia="MS Mincho" w:hAnsi="Palatino Linotype" w:cs="Times New Roman"/>
          <w:b/>
          <w:bCs/>
        </w:rPr>
        <w:t>SUJETO OBLIGADO</w:t>
      </w:r>
      <w:r w:rsidRPr="0036005D">
        <w:rPr>
          <w:rFonts w:ascii="Palatino Linotype" w:eastAsia="MS Mincho" w:hAnsi="Palatino Linotype" w:cs="Times New Roman"/>
        </w:rPr>
        <w:t xml:space="preserve"> entregó respuesta a la solicitud de información el cuatro (04) de marzo de dos mil veintidós; esto es, al primer día hábil posterior a la presentación de la solicitud de información </w:t>
      </w:r>
      <w:r w:rsidRPr="0036005D">
        <w:rPr>
          <w:rFonts w:ascii="Palatino Linotype" w:eastAsia="MS Mincho" w:hAnsi="Palatino Linotype" w:cs="Times New Roman"/>
          <w:b/>
          <w:bCs/>
        </w:rPr>
        <w:t>00271/INFOEM/IP/2022</w:t>
      </w:r>
      <w:r w:rsidRPr="0036005D">
        <w:rPr>
          <w:rFonts w:ascii="Palatino Linotype" w:eastAsia="MS Mincho" w:hAnsi="Palatino Linotype" w:cs="Times New Roman"/>
        </w:rPr>
        <w:t>, encontrándose dentro de la temporalidad que determina la Ley de Transparencia Estatal.</w:t>
      </w:r>
    </w:p>
    <w:p w14:paraId="386E66D7" w14:textId="77777777" w:rsidR="007A4B46" w:rsidRPr="0036005D" w:rsidRDefault="007A4B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360C8A51" w14:textId="259CA98C" w:rsidR="00644E25" w:rsidRPr="0036005D" w:rsidRDefault="00653E5C" w:rsidP="00644E2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Por otro lado, por cuanto hace a la fuente precisa y concreta para consultar la información, a través del oficio número INFOEM/COM-GRP/087/2022, </w:t>
      </w:r>
      <w:r w:rsidR="00644E25" w:rsidRPr="0036005D">
        <w:rPr>
          <w:rFonts w:ascii="Palatino Linotype" w:hAnsi="Palatino Linotype"/>
          <w:color w:val="000000" w:themeColor="text1"/>
        </w:rPr>
        <w:t>la Ponencia de la Comisionada Guadalupe Ramírez Peña compartió al particular las siguientes instrucciones:</w:t>
      </w:r>
    </w:p>
    <w:p w14:paraId="062118CF" w14:textId="48477BD2" w:rsidR="00644E25" w:rsidRPr="0036005D" w:rsidRDefault="00644E25" w:rsidP="00644E2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Ingresar al portal oficial del Instituto de Transparencia, Acceso a la Información Pública del Estado de México y Municipios (</w:t>
      </w:r>
      <w:hyperlink r:id="rId12" w:history="1">
        <w:r w:rsidRPr="0036005D">
          <w:rPr>
            <w:rStyle w:val="Hipervnculo"/>
            <w:rFonts w:ascii="Palatino Linotype" w:hAnsi="Palatino Linotype"/>
          </w:rPr>
          <w:t>https://www.infoem.org.mx</w:t>
        </w:r>
      </w:hyperlink>
      <w:r w:rsidRPr="0036005D">
        <w:rPr>
          <w:rFonts w:ascii="Palatino Linotype" w:hAnsi="Palatino Linotype"/>
          <w:color w:val="000000" w:themeColor="text1"/>
        </w:rPr>
        <w:t>);</w:t>
      </w:r>
    </w:p>
    <w:p w14:paraId="238BAAE8" w14:textId="31121347" w:rsidR="00644E25" w:rsidRPr="0036005D" w:rsidRDefault="00644E25" w:rsidP="00644E2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lastRenderedPageBreak/>
        <w:t>Ingresar en el apartado de IPOMEX;</w:t>
      </w:r>
    </w:p>
    <w:p w14:paraId="1D7A5A4B" w14:textId="6E6ED077" w:rsidR="00644E25" w:rsidRPr="0036005D" w:rsidRDefault="00644E25" w:rsidP="00644E25">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Seleccionar la opción ‘Municipios’;</w:t>
      </w:r>
    </w:p>
    <w:p w14:paraId="0840F939" w14:textId="70A9F99F" w:rsidR="00644E25" w:rsidRPr="0036005D" w:rsidRDefault="00644E25" w:rsidP="007113A1">
      <w:pPr>
        <w:pStyle w:val="Prrafodelista"/>
        <w:numPr>
          <w:ilvl w:val="1"/>
          <w:numId w:val="19"/>
        </w:numPr>
        <w:tabs>
          <w:tab w:val="left" w:pos="426"/>
        </w:tabs>
        <w:spacing w:before="240" w:after="240" w:line="360" w:lineRule="auto"/>
        <w:ind w:left="1134" w:right="51"/>
        <w:jc w:val="both"/>
        <w:rPr>
          <w:rFonts w:ascii="Palatino Linotype" w:hAnsi="Palatino Linotype"/>
          <w:color w:val="000000" w:themeColor="text1"/>
        </w:rPr>
      </w:pPr>
      <w:r w:rsidRPr="0036005D">
        <w:rPr>
          <w:rFonts w:ascii="Palatino Linotype" w:hAnsi="Palatino Linotype"/>
          <w:color w:val="000000" w:themeColor="text1"/>
        </w:rPr>
        <w:t xml:space="preserve">Dentro del listado de Sujetos Obligados municipales, se deberá ubicar al </w:t>
      </w:r>
      <w:r w:rsidR="007113A1" w:rsidRPr="0036005D">
        <w:rPr>
          <w:rFonts w:ascii="Palatino Linotype" w:hAnsi="Palatino Linotype"/>
          <w:color w:val="000000" w:themeColor="text1"/>
        </w:rPr>
        <w:t>Ayuntamiento de San Mateo Atenco, el cual reflejará dos íconos, el primero lo direccionará al portal IPOMEX del ayuntamiento, en el que podrá consultar las obligaciones de transparencia común, y específicas; mientras que el segundo lo dirigirá a su Tabla de Aplicabilidad.</w:t>
      </w:r>
    </w:p>
    <w:p w14:paraId="51EEB44E" w14:textId="77777777" w:rsidR="00644E25" w:rsidRPr="0036005D" w:rsidRDefault="00644E25"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5AFB4972" w14:textId="345B5E98" w:rsidR="007A4B46" w:rsidRPr="0036005D" w:rsidRDefault="007113A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Así las cosas, al seguir las instrucciones referidas por la Ponencia de la Comisionada Guadalupe Ramírez Peña, logramos consultar el menú principal del portal IPOMEX del Ayuntamiento de San Mateo Atenco, el cual se muestra de la siguiente manera:</w:t>
      </w:r>
    </w:p>
    <w:p w14:paraId="7359D87F" w14:textId="172155E8" w:rsidR="007113A1" w:rsidRPr="0036005D" w:rsidRDefault="007113A1" w:rsidP="007113A1">
      <w:pPr>
        <w:pStyle w:val="Prrafodelista"/>
        <w:tabs>
          <w:tab w:val="left" w:pos="426"/>
        </w:tabs>
        <w:spacing w:before="240" w:after="240" w:line="360" w:lineRule="auto"/>
        <w:ind w:left="0" w:right="51"/>
        <w:jc w:val="center"/>
        <w:rPr>
          <w:rFonts w:ascii="Palatino Linotype" w:hAnsi="Palatino Linotype"/>
          <w:color w:val="000000" w:themeColor="text1"/>
        </w:rPr>
      </w:pPr>
      <w:r w:rsidRPr="0036005D">
        <w:object w:dxaOrig="4320" w:dyaOrig="3006" w14:anchorId="14EF41B4">
          <v:shape id="_x0000_i1027" type="#_x0000_t75" style="width:378pt;height:262.5pt" o:ole="" o:bordertopcolor="this" o:borderleftcolor="this" o:borderbottomcolor="this" o:borderrightcolor="this">
            <v:imagedata r:id="rId13" o:title=""/>
            <w10:bordertop type="single" width="8"/>
            <w10:borderleft type="single" width="8"/>
            <w10:borderbottom type="single" width="8"/>
            <w10:borderright type="single" width="8"/>
          </v:shape>
          <o:OLEObject Type="Embed" ProgID="Paint.Picture" ShapeID="_x0000_i1027" DrawAspect="Content" ObjectID="_1713093965" r:id="rId14"/>
        </w:object>
      </w:r>
    </w:p>
    <w:p w14:paraId="44D29CA5" w14:textId="77777777" w:rsidR="007113A1" w:rsidRPr="0036005D" w:rsidRDefault="007113A1"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283543BC" w14:textId="3FEDC949" w:rsidR="007A4B46" w:rsidRPr="0036005D" w:rsidRDefault="007113A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lastRenderedPageBreak/>
        <w:t xml:space="preserve">Así las cosas, y tomando en consideración las manifestaciones realizadas por la Ponencia de la Comisionada Guadalupe Ramírez Peña, </w:t>
      </w:r>
      <w:r w:rsidR="00E1311E" w:rsidRPr="0036005D">
        <w:rPr>
          <w:rFonts w:ascii="Palatino Linotype" w:hAnsi="Palatino Linotype"/>
          <w:color w:val="000000" w:themeColor="text1"/>
        </w:rPr>
        <w:t xml:space="preserve">al comparar la imagen proveída por el </w:t>
      </w:r>
      <w:r w:rsidR="00E1311E" w:rsidRPr="0036005D">
        <w:rPr>
          <w:rFonts w:ascii="Palatino Linotype" w:hAnsi="Palatino Linotype"/>
          <w:b/>
          <w:bCs/>
          <w:color w:val="000000" w:themeColor="text1"/>
        </w:rPr>
        <w:t>RECURRENTE</w:t>
      </w:r>
      <w:r w:rsidR="00E1311E" w:rsidRPr="0036005D">
        <w:rPr>
          <w:rFonts w:ascii="Palatino Linotype" w:hAnsi="Palatino Linotype"/>
          <w:color w:val="000000" w:themeColor="text1"/>
        </w:rPr>
        <w:t>, a través de su recurso de revisión, con la que arroja el portal IPOMEX del Ayuntamiento de San Mateo Atenco, podemos concluir que, efectivamente, el documento de apoyo utilizado por la Comisionada durante la capacitación al ayuntamiento era la impresión del menú principal del portal de mérito.</w:t>
      </w:r>
    </w:p>
    <w:p w14:paraId="28A7AF07" w14:textId="77777777" w:rsidR="007113A1" w:rsidRPr="0036005D" w:rsidRDefault="007113A1" w:rsidP="007113A1">
      <w:pPr>
        <w:pStyle w:val="Prrafodelista"/>
        <w:tabs>
          <w:tab w:val="left" w:pos="426"/>
        </w:tabs>
        <w:spacing w:before="240" w:after="240" w:line="360" w:lineRule="auto"/>
        <w:ind w:left="0" w:right="51"/>
        <w:jc w:val="both"/>
        <w:rPr>
          <w:rFonts w:ascii="Palatino Linotype" w:hAnsi="Palatino Linotype"/>
          <w:color w:val="000000" w:themeColor="text1"/>
        </w:rPr>
      </w:pPr>
    </w:p>
    <w:p w14:paraId="36FEDC26" w14:textId="531355CC" w:rsidR="007113A1" w:rsidRPr="0036005D" w:rsidRDefault="00E1311E"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Dicho lo anterior, este Organismo Garante observa que existen los elementos suficientes para </w:t>
      </w:r>
      <w:r w:rsidRPr="0036005D">
        <w:rPr>
          <w:rFonts w:ascii="Palatino Linotype" w:hAnsi="Palatino Linotype"/>
          <w:b/>
          <w:bCs/>
          <w:color w:val="000000" w:themeColor="text1"/>
        </w:rPr>
        <w:t>confirmar</w:t>
      </w:r>
      <w:r w:rsidRPr="0036005D">
        <w:rPr>
          <w:rFonts w:ascii="Palatino Linotype" w:hAnsi="Palatino Linotype"/>
          <w:color w:val="000000" w:themeColor="text1"/>
        </w:rPr>
        <w:t xml:space="preserve"> la respuesta otorgada a la solicitud de información </w:t>
      </w:r>
      <w:r w:rsidRPr="0036005D">
        <w:rPr>
          <w:rFonts w:ascii="Palatino Linotype" w:hAnsi="Palatino Linotype"/>
          <w:b/>
          <w:bCs/>
          <w:color w:val="000000" w:themeColor="text1"/>
        </w:rPr>
        <w:t>00271/INFOEM/IP/2022</w:t>
      </w:r>
      <w:r w:rsidRPr="0036005D">
        <w:rPr>
          <w:rFonts w:ascii="Palatino Linotype" w:hAnsi="Palatino Linotype"/>
          <w:color w:val="000000" w:themeColor="text1"/>
        </w:rPr>
        <w:t>, pues se hizo entrega, en tiempo, de una fuente precisa y concreta para consultar la información.</w:t>
      </w:r>
    </w:p>
    <w:p w14:paraId="5B768055" w14:textId="77777777" w:rsidR="007A4B46" w:rsidRPr="0036005D" w:rsidRDefault="007A4B46" w:rsidP="007A4B46">
      <w:pPr>
        <w:pStyle w:val="Prrafodelista"/>
        <w:tabs>
          <w:tab w:val="left" w:pos="426"/>
        </w:tabs>
        <w:spacing w:before="240" w:after="240" w:line="360" w:lineRule="auto"/>
        <w:ind w:left="0" w:right="51"/>
        <w:jc w:val="both"/>
        <w:rPr>
          <w:rFonts w:ascii="Palatino Linotype" w:hAnsi="Palatino Linotype"/>
          <w:color w:val="000000" w:themeColor="text1"/>
        </w:rPr>
      </w:pPr>
    </w:p>
    <w:p w14:paraId="465D5A99" w14:textId="4330DF81" w:rsidR="002A633F" w:rsidRPr="0036005D" w:rsidRDefault="00E1311E"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Empero</w:t>
      </w:r>
      <w:r w:rsidR="00AD5FE2" w:rsidRPr="0036005D">
        <w:rPr>
          <w:rFonts w:ascii="Palatino Linotype" w:hAnsi="Palatino Linotype"/>
          <w:color w:val="000000" w:themeColor="text1"/>
        </w:rPr>
        <w:t xml:space="preserve"> lo anterior, </w:t>
      </w:r>
      <w:r w:rsidRPr="0036005D">
        <w:rPr>
          <w:rFonts w:ascii="Palatino Linotype" w:hAnsi="Palatino Linotype"/>
          <w:color w:val="000000" w:themeColor="text1"/>
        </w:rPr>
        <w:t>no debe ignorarse que</w:t>
      </w:r>
      <w:r w:rsidR="00AD5FE2" w:rsidRPr="0036005D">
        <w:rPr>
          <w:rFonts w:ascii="Palatino Linotype" w:hAnsi="Palatino Linotype"/>
          <w:color w:val="000000" w:themeColor="text1"/>
        </w:rPr>
        <w:t xml:space="preserve"> en un ejercicio de </w:t>
      </w:r>
      <w:r w:rsidR="00AD5FE2" w:rsidRPr="0036005D">
        <w:rPr>
          <w:rFonts w:ascii="Palatino Linotype" w:hAnsi="Palatino Linotype"/>
          <w:b/>
          <w:bCs/>
          <w:color w:val="000000" w:themeColor="text1"/>
        </w:rPr>
        <w:t>máxima publicidad</w:t>
      </w:r>
      <w:r w:rsidR="00AD5FE2" w:rsidRPr="0036005D">
        <w:rPr>
          <w:rFonts w:ascii="Palatino Linotype" w:hAnsi="Palatino Linotype"/>
          <w:color w:val="000000" w:themeColor="text1"/>
        </w:rPr>
        <w:t xml:space="preserve"> llevado a cabo por el </w:t>
      </w:r>
      <w:r w:rsidR="00AD5FE2" w:rsidRPr="0036005D">
        <w:rPr>
          <w:rFonts w:ascii="Palatino Linotype" w:hAnsi="Palatino Linotype"/>
          <w:b/>
          <w:bCs/>
          <w:color w:val="000000" w:themeColor="text1"/>
        </w:rPr>
        <w:t>SUJETO OBLIGADO</w:t>
      </w:r>
      <w:r w:rsidR="00AD5FE2" w:rsidRPr="0036005D">
        <w:rPr>
          <w:rFonts w:ascii="Palatino Linotype" w:hAnsi="Palatino Linotype"/>
          <w:color w:val="000000" w:themeColor="text1"/>
        </w:rPr>
        <w:t xml:space="preserve">, en vía de informe justificado, modificó su respuesta inicial y presentó </w:t>
      </w:r>
      <w:r w:rsidR="00665B56" w:rsidRPr="0036005D">
        <w:rPr>
          <w:rFonts w:ascii="Palatino Linotype" w:hAnsi="Palatino Linotype"/>
          <w:color w:val="000000" w:themeColor="text1"/>
        </w:rPr>
        <w:t xml:space="preserve">un documento titulado </w:t>
      </w:r>
      <w:r w:rsidR="00665B56" w:rsidRPr="0036005D">
        <w:rPr>
          <w:rFonts w:ascii="Palatino Linotype" w:hAnsi="Palatino Linotype"/>
          <w:b/>
          <w:bCs/>
          <w:i/>
          <w:iCs/>
          <w:color w:val="000000" w:themeColor="text1"/>
        </w:rPr>
        <w:t>“IPOMEX-AYUNTAMIENTO DE SAN MATEO ATENCO (1).pdf..pdf”</w:t>
      </w:r>
      <w:r w:rsidR="00665B56" w:rsidRPr="0036005D">
        <w:rPr>
          <w:rFonts w:ascii="Palatino Linotype" w:hAnsi="Palatino Linotype"/>
          <w:color w:val="000000" w:themeColor="text1"/>
        </w:rPr>
        <w:t>, el cual contiene la impresión de imagen del menú principal del portal IPOMEX del Ayuntamiento de San Mateo Atenco, siendo éste el documento de apoyo específico utilizado por la Comisionada Guadalupe Ramírez Peña durante el evento referido por el particular. Se adjunta a continuación la primer foja del documento en cuestión:</w:t>
      </w:r>
    </w:p>
    <w:p w14:paraId="223B8D0C" w14:textId="44FB3F57" w:rsidR="00665B56" w:rsidRPr="0036005D" w:rsidRDefault="00665B56" w:rsidP="00665B56">
      <w:pPr>
        <w:pStyle w:val="Prrafodelista"/>
        <w:tabs>
          <w:tab w:val="left" w:pos="426"/>
        </w:tabs>
        <w:spacing w:before="240" w:after="240" w:line="360" w:lineRule="auto"/>
        <w:ind w:left="0" w:right="51"/>
        <w:jc w:val="both"/>
        <w:rPr>
          <w:rFonts w:ascii="Palatino Linotype" w:hAnsi="Palatino Linotype"/>
          <w:color w:val="000000" w:themeColor="text1"/>
        </w:rPr>
      </w:pPr>
    </w:p>
    <w:p w14:paraId="75B9C086" w14:textId="744640BA" w:rsidR="00665B56" w:rsidRPr="0036005D" w:rsidRDefault="00665B56" w:rsidP="00665B56">
      <w:pPr>
        <w:pStyle w:val="Prrafodelista"/>
        <w:tabs>
          <w:tab w:val="left" w:pos="426"/>
        </w:tabs>
        <w:spacing w:before="240" w:after="240" w:line="360" w:lineRule="auto"/>
        <w:ind w:left="0" w:right="51"/>
        <w:jc w:val="center"/>
        <w:rPr>
          <w:rFonts w:ascii="Palatino Linotype" w:hAnsi="Palatino Linotype"/>
          <w:color w:val="000000" w:themeColor="text1"/>
        </w:rPr>
      </w:pPr>
      <w:r w:rsidRPr="0036005D">
        <w:object w:dxaOrig="8400" w:dyaOrig="10845" w14:anchorId="591A5C5A">
          <v:shape id="_x0000_i1028" type="#_x0000_t75" style="width:372pt;height:480.5pt" o:ole="" o:bordertopcolor="this" o:borderleftcolor="this" o:borderbottomcolor="this" o:borderrightcolor="this">
            <v:imagedata r:id="rId15" o:title=""/>
            <w10:bordertop type="single" width="8"/>
            <w10:borderleft type="single" width="8"/>
            <w10:borderbottom type="single" width="8"/>
            <w10:borderright type="single" width="8"/>
          </v:shape>
          <o:OLEObject Type="Embed" ProgID="Paint.Picture" ShapeID="_x0000_i1028" DrawAspect="Content" ObjectID="_1713093966" r:id="rId16"/>
        </w:object>
      </w:r>
    </w:p>
    <w:p w14:paraId="21556634"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5D6D07D6" w14:textId="4BFBB97E" w:rsidR="002A633F" w:rsidRPr="0036005D" w:rsidRDefault="00665B56"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Así las cosas, este Organismo Garante advierte</w:t>
      </w:r>
      <w:r w:rsidR="00B07F23" w:rsidRPr="0036005D">
        <w:rPr>
          <w:rFonts w:ascii="Palatino Linotype" w:hAnsi="Palatino Linotype"/>
          <w:color w:val="000000" w:themeColor="text1"/>
        </w:rPr>
        <w:t xml:space="preserve"> que el </w:t>
      </w:r>
      <w:r w:rsidR="00B07F23" w:rsidRPr="0036005D">
        <w:rPr>
          <w:rFonts w:ascii="Palatino Linotype" w:hAnsi="Palatino Linotype"/>
          <w:b/>
          <w:bCs/>
          <w:color w:val="000000" w:themeColor="text1"/>
        </w:rPr>
        <w:t>SUJETO OBLIGADO</w:t>
      </w:r>
      <w:r w:rsidR="00B07F23" w:rsidRPr="0036005D">
        <w:rPr>
          <w:rFonts w:ascii="Palatino Linotype" w:hAnsi="Palatino Linotype"/>
          <w:color w:val="000000" w:themeColor="text1"/>
        </w:rPr>
        <w:t xml:space="preserve"> perfeccionó su respuesta original a través de su informe justificado, por medio del cual,</w:t>
      </w:r>
      <w:r w:rsidR="00F41E30" w:rsidRPr="0036005D">
        <w:rPr>
          <w:rFonts w:ascii="Palatino Linotype" w:hAnsi="Palatino Linotype"/>
          <w:color w:val="000000" w:themeColor="text1"/>
        </w:rPr>
        <w:t xml:space="preserve"> entregó el documento de apoyo utilizado por la Comisionada Guadalupe </w:t>
      </w:r>
      <w:r w:rsidR="00F41E30" w:rsidRPr="0036005D">
        <w:rPr>
          <w:rFonts w:ascii="Palatino Linotype" w:hAnsi="Palatino Linotype"/>
          <w:color w:val="000000" w:themeColor="text1"/>
        </w:rPr>
        <w:lastRenderedPageBreak/>
        <w:t>Ramírez Peña, y señalado</w:t>
      </w:r>
      <w:r w:rsidR="00B07F23" w:rsidRPr="0036005D">
        <w:rPr>
          <w:rFonts w:ascii="Palatino Linotype" w:hAnsi="Palatino Linotype"/>
          <w:color w:val="000000" w:themeColor="text1"/>
        </w:rPr>
        <w:t xml:space="preserve"> por el </w:t>
      </w:r>
      <w:r w:rsidR="00B07F23" w:rsidRPr="0036005D">
        <w:rPr>
          <w:rFonts w:ascii="Palatino Linotype" w:hAnsi="Palatino Linotype"/>
          <w:b/>
          <w:bCs/>
          <w:color w:val="000000" w:themeColor="text1"/>
        </w:rPr>
        <w:t>RECURRENTE</w:t>
      </w:r>
      <w:r w:rsidR="00B07F23" w:rsidRPr="0036005D">
        <w:rPr>
          <w:rFonts w:ascii="Palatino Linotype" w:hAnsi="Palatino Linotype"/>
          <w:color w:val="000000" w:themeColor="text1"/>
        </w:rPr>
        <w:t xml:space="preserve"> </w:t>
      </w:r>
      <w:r w:rsidR="00F41E30" w:rsidRPr="0036005D">
        <w:rPr>
          <w:rFonts w:ascii="Palatino Linotype" w:hAnsi="Palatino Linotype"/>
          <w:color w:val="000000" w:themeColor="text1"/>
        </w:rPr>
        <w:t>dentro de</w:t>
      </w:r>
      <w:r w:rsidR="00B07F23" w:rsidRPr="0036005D">
        <w:rPr>
          <w:rFonts w:ascii="Palatino Linotype" w:hAnsi="Palatino Linotype"/>
          <w:color w:val="000000" w:themeColor="text1"/>
        </w:rPr>
        <w:t xml:space="preserve"> su solicitud de información </w:t>
      </w:r>
      <w:r w:rsidR="00A36D6E" w:rsidRPr="0036005D">
        <w:rPr>
          <w:rFonts w:ascii="Palatino Linotype" w:hAnsi="Palatino Linotype"/>
          <w:b/>
          <w:bCs/>
          <w:color w:val="000000" w:themeColor="text1"/>
        </w:rPr>
        <w:t>00271/INFOEM/IP/2022</w:t>
      </w:r>
      <w:r w:rsidR="00B07F23" w:rsidRPr="0036005D">
        <w:rPr>
          <w:rFonts w:ascii="Palatino Linotype" w:hAnsi="Palatino Linotype"/>
          <w:color w:val="000000" w:themeColor="text1"/>
        </w:rPr>
        <w:t xml:space="preserve">, </w:t>
      </w:r>
      <w:r w:rsidR="00560018" w:rsidRPr="0036005D">
        <w:rPr>
          <w:rFonts w:ascii="Palatino Linotype" w:hAnsi="Palatino Linotype"/>
          <w:color w:val="000000" w:themeColor="text1"/>
        </w:rPr>
        <w:t>colmándose así su derecho de acceso a la información.</w:t>
      </w:r>
    </w:p>
    <w:p w14:paraId="5389AB0C" w14:textId="77777777" w:rsidR="002A633F" w:rsidRPr="0036005D" w:rsidRDefault="002A633F" w:rsidP="002A633F">
      <w:pPr>
        <w:pStyle w:val="Prrafodelista"/>
        <w:tabs>
          <w:tab w:val="left" w:pos="426"/>
        </w:tabs>
        <w:spacing w:before="240" w:after="240" w:line="360" w:lineRule="auto"/>
        <w:ind w:left="0" w:right="51"/>
        <w:jc w:val="both"/>
        <w:rPr>
          <w:rFonts w:ascii="Palatino Linotype" w:hAnsi="Palatino Linotype"/>
          <w:color w:val="000000" w:themeColor="text1"/>
        </w:rPr>
      </w:pPr>
    </w:p>
    <w:p w14:paraId="636376A7" w14:textId="0E1492D8" w:rsidR="00614DC5" w:rsidRPr="0036005D" w:rsidRDefault="00F41E30"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Derivado de lo anterior</w:t>
      </w:r>
      <w:r w:rsidR="00560018" w:rsidRPr="0036005D">
        <w:rPr>
          <w:rFonts w:ascii="Palatino Linotype" w:hAnsi="Palatino Linotype"/>
          <w:color w:val="000000" w:themeColor="text1"/>
        </w:rPr>
        <w:t>, conviene señalar que</w:t>
      </w:r>
      <w:r w:rsidR="00B741AA" w:rsidRPr="0036005D">
        <w:rPr>
          <w:rFonts w:ascii="Palatino Linotype" w:hAnsi="Palatino Linotype"/>
          <w:color w:val="000000" w:themeColor="text1"/>
        </w:rPr>
        <w:t xml:space="preserve"> </w:t>
      </w:r>
      <w:r w:rsidR="00B741AA" w:rsidRPr="0036005D">
        <w:rPr>
          <w:rFonts w:ascii="Palatino Linotype" w:eastAsia="MS Mincho" w:hAnsi="Palatino Linotype" w:cs="Times New Roman"/>
          <w:color w:val="000000"/>
        </w:rPr>
        <w:t xml:space="preserve">el </w:t>
      </w:r>
      <w:r w:rsidR="00560018" w:rsidRPr="0036005D">
        <w:rPr>
          <w:rFonts w:ascii="Palatino Linotype" w:eastAsia="MS Mincho" w:hAnsi="Palatino Linotype" w:cs="Times New Roman"/>
          <w:color w:val="000000"/>
        </w:rPr>
        <w:t>artículo</w:t>
      </w:r>
      <w:r w:rsidR="00B741AA" w:rsidRPr="0036005D">
        <w:rPr>
          <w:rFonts w:ascii="Palatino Linotype" w:eastAsia="MS Mincho" w:hAnsi="Palatino Linotype" w:cs="Times New Roman"/>
          <w:color w:val="000000"/>
        </w:rPr>
        <w:t xml:space="preserve"> 192</w:t>
      </w:r>
      <w:r w:rsidR="00B741AA" w:rsidRPr="0036005D">
        <w:rPr>
          <w:rFonts w:ascii="Palatino Linotype" w:hAnsi="Palatino Linotype"/>
        </w:rPr>
        <w:t xml:space="preserve"> </w:t>
      </w:r>
      <w:r w:rsidR="00560018" w:rsidRPr="0036005D">
        <w:rPr>
          <w:rFonts w:ascii="Palatino Linotype" w:hAnsi="Palatino Linotype"/>
        </w:rPr>
        <w:t xml:space="preserve">de la </w:t>
      </w:r>
      <w:r w:rsidR="00B741AA" w:rsidRPr="0036005D">
        <w:rPr>
          <w:rFonts w:ascii="Palatino Linotype" w:eastAsia="MS Mincho" w:hAnsi="Palatino Linotype" w:cs="Times New Roman"/>
          <w:color w:val="000000"/>
        </w:rPr>
        <w:t>Ley de Transparencia y Acceso a la Información Pública del Estado de México y Municipios, establece lo siguiente:</w:t>
      </w:r>
    </w:p>
    <w:p w14:paraId="53061086" w14:textId="77777777" w:rsidR="00B741AA" w:rsidRPr="0036005D" w:rsidRDefault="00B741AA" w:rsidP="00B741AA">
      <w:pPr>
        <w:pStyle w:val="Prrafodelista"/>
        <w:tabs>
          <w:tab w:val="left" w:pos="426"/>
        </w:tabs>
        <w:spacing w:before="240" w:after="240" w:line="360" w:lineRule="auto"/>
        <w:ind w:left="0" w:right="51"/>
        <w:jc w:val="both"/>
        <w:rPr>
          <w:rFonts w:ascii="Palatino Linotype" w:hAnsi="Palatino Linotype"/>
          <w:color w:val="000000" w:themeColor="text1"/>
        </w:rPr>
      </w:pPr>
    </w:p>
    <w:p w14:paraId="4AA2D707" w14:textId="5FF9E64C" w:rsidR="00B741AA" w:rsidRPr="0036005D"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36005D">
        <w:rPr>
          <w:rFonts w:ascii="Palatino Linotype" w:hAnsi="Palatino Linotype"/>
          <w:i/>
          <w:sz w:val="22"/>
        </w:rPr>
        <w:t>“</w:t>
      </w:r>
      <w:r w:rsidRPr="0036005D">
        <w:rPr>
          <w:rFonts w:ascii="Palatino Linotype" w:hAnsi="Palatino Linotype"/>
          <w:b/>
          <w:i/>
          <w:sz w:val="22"/>
        </w:rPr>
        <w:t>Artículo 192.</w:t>
      </w:r>
      <w:r w:rsidRPr="0036005D">
        <w:rPr>
          <w:rFonts w:ascii="Palatino Linotype" w:hAnsi="Palatino Linotype"/>
          <w:i/>
          <w:sz w:val="22"/>
        </w:rPr>
        <w:t xml:space="preserve"> El recurso será sobreseído, en todo o en parte, cuando una vez admitido, se actualicen alguno de los siguientes supuestos:</w:t>
      </w:r>
    </w:p>
    <w:p w14:paraId="7A1B363A" w14:textId="64A52893" w:rsidR="00B741AA" w:rsidRPr="0036005D"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36005D">
        <w:rPr>
          <w:rFonts w:ascii="Palatino Linotype" w:hAnsi="Palatino Linotype"/>
          <w:i/>
          <w:sz w:val="22"/>
        </w:rPr>
        <w:t>(…)</w:t>
      </w:r>
    </w:p>
    <w:p w14:paraId="2F128DF5" w14:textId="142F6043" w:rsidR="00B741AA" w:rsidRPr="0036005D" w:rsidRDefault="00B741AA" w:rsidP="00B741AA">
      <w:pPr>
        <w:pStyle w:val="Prrafodelista"/>
        <w:tabs>
          <w:tab w:val="left" w:pos="426"/>
        </w:tabs>
        <w:spacing w:before="240" w:after="240" w:line="276" w:lineRule="auto"/>
        <w:ind w:left="567" w:right="567"/>
        <w:jc w:val="both"/>
        <w:rPr>
          <w:rFonts w:ascii="Palatino Linotype" w:hAnsi="Palatino Linotype"/>
          <w:i/>
          <w:sz w:val="22"/>
        </w:rPr>
      </w:pPr>
      <w:r w:rsidRPr="0036005D">
        <w:rPr>
          <w:rFonts w:ascii="Palatino Linotype" w:hAnsi="Palatino Linotype"/>
          <w:b/>
          <w:i/>
          <w:sz w:val="22"/>
        </w:rPr>
        <w:t>III.</w:t>
      </w:r>
      <w:r w:rsidRPr="0036005D">
        <w:rPr>
          <w:rFonts w:ascii="Palatino Linotype" w:hAnsi="Palatino Linotype"/>
          <w:i/>
          <w:sz w:val="22"/>
        </w:rPr>
        <w:t xml:space="preserve"> </w:t>
      </w:r>
      <w:r w:rsidRPr="0036005D">
        <w:rPr>
          <w:rFonts w:ascii="Palatino Linotype" w:hAnsi="Palatino Linotype"/>
          <w:b/>
          <w:bCs/>
          <w:i/>
          <w:sz w:val="22"/>
        </w:rPr>
        <w:t>El sujeto obligado responsable del acto lo modifique o revoque de tal manera que el recurso de revisión quede sin materia</w:t>
      </w:r>
      <w:r w:rsidRPr="0036005D">
        <w:rPr>
          <w:rFonts w:ascii="Palatino Linotype" w:hAnsi="Palatino Linotype"/>
          <w:i/>
          <w:sz w:val="22"/>
        </w:rPr>
        <w:t>;</w:t>
      </w:r>
    </w:p>
    <w:p w14:paraId="788CA90D" w14:textId="56BCE269" w:rsidR="00B741AA" w:rsidRPr="0036005D" w:rsidRDefault="00B741AA" w:rsidP="00B741AA">
      <w:pPr>
        <w:pStyle w:val="Prrafodelista"/>
        <w:tabs>
          <w:tab w:val="left" w:pos="426"/>
        </w:tabs>
        <w:spacing w:before="240" w:after="240" w:line="276" w:lineRule="auto"/>
        <w:ind w:left="567" w:right="567"/>
        <w:jc w:val="both"/>
        <w:rPr>
          <w:rFonts w:ascii="Palatino Linotype" w:hAnsi="Palatino Linotype"/>
          <w:i/>
          <w:color w:val="000000" w:themeColor="text1"/>
          <w:sz w:val="22"/>
        </w:rPr>
      </w:pPr>
      <w:r w:rsidRPr="0036005D">
        <w:rPr>
          <w:rFonts w:ascii="Palatino Linotype" w:hAnsi="Palatino Linotype"/>
          <w:i/>
          <w:sz w:val="22"/>
        </w:rPr>
        <w:t>(…)”</w:t>
      </w:r>
    </w:p>
    <w:p w14:paraId="641FF5C4" w14:textId="77777777" w:rsidR="00B741AA" w:rsidRPr="0036005D" w:rsidRDefault="00B741AA" w:rsidP="00B741AA">
      <w:pPr>
        <w:pStyle w:val="Prrafodelista"/>
        <w:tabs>
          <w:tab w:val="left" w:pos="426"/>
        </w:tabs>
        <w:spacing w:before="240" w:after="240" w:line="360" w:lineRule="auto"/>
        <w:ind w:left="0" w:right="51"/>
        <w:jc w:val="both"/>
        <w:rPr>
          <w:rFonts w:ascii="Palatino Linotype" w:hAnsi="Palatino Linotype"/>
          <w:color w:val="000000" w:themeColor="text1"/>
        </w:rPr>
      </w:pPr>
    </w:p>
    <w:p w14:paraId="5D2E4099" w14:textId="6EFA3714" w:rsidR="00B741AA" w:rsidRPr="0036005D"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Precisado </w:t>
      </w:r>
      <w:r w:rsidRPr="0036005D">
        <w:rPr>
          <w:rFonts w:ascii="Palatino Linotype" w:hAnsi="Palatino Linotype"/>
          <w:lang w:eastAsia="en-US"/>
        </w:rPr>
        <w:t xml:space="preserve">lo anterior, </w:t>
      </w:r>
      <w:r w:rsidRPr="0036005D">
        <w:rPr>
          <w:rFonts w:ascii="Palatino Linotype" w:eastAsia="Batang" w:hAnsi="Palatino Linotype" w:cs="Arial"/>
        </w:rPr>
        <w:t xml:space="preserve">por lo que hace a las causas de sobreseimiento contenidas en </w:t>
      </w:r>
      <w:r w:rsidRPr="0036005D">
        <w:rPr>
          <w:rFonts w:ascii="Palatino Linotype" w:hAnsi="Palatino Linotype" w:cs="Arial"/>
        </w:rPr>
        <w:t xml:space="preserve">la fracción III del artículo 192 </w:t>
      </w:r>
      <w:r w:rsidRPr="0036005D">
        <w:rPr>
          <w:rFonts w:ascii="Palatino Linotype" w:eastAsia="Batang" w:hAnsi="Palatino Linotype" w:cs="Arial"/>
        </w:rPr>
        <w:t xml:space="preserve">de la </w:t>
      </w:r>
      <w:r w:rsidRPr="0036005D">
        <w:rPr>
          <w:rFonts w:ascii="Palatino Linotype" w:eastAsia="Batang" w:hAnsi="Palatino Linotype" w:cs="Arial"/>
          <w:b/>
        </w:rPr>
        <w:t>Ley de Transparencia y Acceso a la Información Pública del Estado de México y Municipios</w:t>
      </w:r>
      <w:r w:rsidRPr="0036005D">
        <w:rPr>
          <w:rFonts w:ascii="Palatino Linotype" w:eastAsia="Batang" w:hAnsi="Palatino Linotype" w:cs="Arial"/>
        </w:rPr>
        <w:t xml:space="preserve">, es oportuno señalar que estos requisitos privilegian la existencia de elementos de fondo, tales como el desistimiento o fallecimiento del </w:t>
      </w:r>
      <w:r w:rsidRPr="0036005D">
        <w:rPr>
          <w:rFonts w:ascii="Palatino Linotype" w:eastAsia="Batang" w:hAnsi="Palatino Linotype" w:cs="Arial"/>
          <w:b/>
        </w:rPr>
        <w:t>RECURRENTE</w:t>
      </w:r>
      <w:r w:rsidR="00560018" w:rsidRPr="0036005D">
        <w:rPr>
          <w:rFonts w:ascii="Palatino Linotype" w:eastAsia="Batang" w:hAnsi="Palatino Linotype" w:cs="Arial"/>
          <w:b/>
        </w:rPr>
        <w:t>,</w:t>
      </w:r>
      <w:r w:rsidRPr="0036005D">
        <w:rPr>
          <w:rFonts w:ascii="Palatino Linotype" w:eastAsia="Batang" w:hAnsi="Palatino Linotype" w:cs="Arial"/>
        </w:rPr>
        <w:t xml:space="preserve"> o que el </w:t>
      </w:r>
      <w:r w:rsidRPr="0036005D">
        <w:rPr>
          <w:rFonts w:ascii="Palatino Linotype" w:eastAsia="Batang" w:hAnsi="Palatino Linotype" w:cs="Arial"/>
          <w:b/>
        </w:rPr>
        <w:t>SUJETO OBLIGADO</w:t>
      </w:r>
      <w:r w:rsidRPr="0036005D">
        <w:rPr>
          <w:rFonts w:ascii="Palatino Linotype" w:eastAsia="Batang" w:hAnsi="Palatino Linotype" w:cs="Arial"/>
        </w:rPr>
        <w:t xml:space="preserve"> </w:t>
      </w:r>
      <w:r w:rsidRPr="0036005D">
        <w:rPr>
          <w:rFonts w:ascii="Palatino Linotype" w:eastAsia="Batang" w:hAnsi="Palatino Linotype" w:cs="Arial"/>
          <w:b/>
          <w:u w:val="single"/>
        </w:rPr>
        <w:t>modifique o revoque el acto</w:t>
      </w:r>
      <w:r w:rsidRPr="0036005D">
        <w:rPr>
          <w:rFonts w:ascii="Palatino Linotype" w:eastAsia="Batang" w:hAnsi="Palatino Linotype" w:cs="Arial"/>
        </w:rPr>
        <w:t>; de ahí que la actualización de alguno de éstos trae como consecuencia que el medio de impugnación se concluya sin que se analice el objeto de estudio planteado, es decir se sobresea.</w:t>
      </w:r>
    </w:p>
    <w:p w14:paraId="206DBB13" w14:textId="77777777" w:rsidR="00E15E31" w:rsidRPr="0036005D" w:rsidRDefault="00E15E31" w:rsidP="00E15E31">
      <w:pPr>
        <w:pStyle w:val="Prrafodelista"/>
        <w:tabs>
          <w:tab w:val="left" w:pos="426"/>
        </w:tabs>
        <w:spacing w:before="240" w:after="240" w:line="360" w:lineRule="auto"/>
        <w:ind w:left="0" w:right="51"/>
        <w:jc w:val="both"/>
        <w:rPr>
          <w:rFonts w:ascii="Palatino Linotype" w:hAnsi="Palatino Linotype"/>
          <w:color w:val="000000" w:themeColor="text1"/>
        </w:rPr>
      </w:pPr>
    </w:p>
    <w:p w14:paraId="5BC6F2FC" w14:textId="46828347" w:rsidR="00E15E31" w:rsidRPr="0036005D"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rPr>
        <w:t xml:space="preserve">Por </w:t>
      </w:r>
      <w:r w:rsidRPr="0036005D">
        <w:rPr>
          <w:rFonts w:ascii="Palatino Linotype" w:eastAsia="Batang" w:hAnsi="Palatino Linotype" w:cs="Arial"/>
          <w:lang w:val="es-ES"/>
        </w:rPr>
        <w:t xml:space="preserve">otra parte, la doctrina establece que el sobreseimiento provoca que un procedimiento se suspenda o se resuelva en definitiva sin que se entre al estudio de </w:t>
      </w:r>
      <w:r w:rsidRPr="0036005D">
        <w:rPr>
          <w:rFonts w:ascii="Palatino Linotype" w:eastAsia="Batang" w:hAnsi="Palatino Linotype" w:cs="Arial"/>
          <w:lang w:val="es-ES"/>
        </w:rPr>
        <w:lastRenderedPageBreak/>
        <w:t>los agravios o motivos de inconformidad. Este mismo criterio es compartido por el más alto tribunal del país en múltiples jurisprudencias, por lo que a continuación se agrega una de ellas que sirve como orientador en esta resolución:</w:t>
      </w:r>
    </w:p>
    <w:p w14:paraId="21864AAC" w14:textId="77777777" w:rsidR="00E15E31" w:rsidRPr="0036005D" w:rsidRDefault="00E15E31" w:rsidP="00E15E31">
      <w:pPr>
        <w:pStyle w:val="Prrafodelista"/>
        <w:tabs>
          <w:tab w:val="left" w:pos="426"/>
        </w:tabs>
        <w:spacing w:before="240" w:after="240" w:line="360" w:lineRule="auto"/>
        <w:ind w:left="0" w:right="51"/>
        <w:jc w:val="both"/>
        <w:rPr>
          <w:rFonts w:ascii="Palatino Linotype" w:eastAsia="Batang" w:hAnsi="Palatino Linotype" w:cs="Arial"/>
          <w:lang w:val="es-ES"/>
        </w:rPr>
      </w:pPr>
    </w:p>
    <w:p w14:paraId="31A5D752" w14:textId="101FE08C" w:rsidR="00E15E31" w:rsidRPr="0036005D" w:rsidRDefault="00E15E31" w:rsidP="00E15E31">
      <w:pPr>
        <w:pStyle w:val="Prrafodelista"/>
        <w:autoSpaceDE w:val="0"/>
        <w:autoSpaceDN w:val="0"/>
        <w:adjustRightInd w:val="0"/>
        <w:spacing w:before="240" w:after="240" w:line="276" w:lineRule="auto"/>
        <w:ind w:right="616"/>
        <w:jc w:val="both"/>
        <w:rPr>
          <w:rFonts w:ascii="Palatino Linotype" w:eastAsia="Batang" w:hAnsi="Palatino Linotype" w:cs="Arial"/>
          <w:iCs/>
          <w:sz w:val="22"/>
          <w:lang w:val="es-AR"/>
        </w:rPr>
      </w:pPr>
      <w:r w:rsidRPr="0036005D">
        <w:rPr>
          <w:rFonts w:ascii="Palatino Linotype" w:eastAsia="Batang" w:hAnsi="Palatino Linotype" w:cs="Arial"/>
          <w:b/>
          <w:i/>
          <w:sz w:val="22"/>
          <w:lang w:val="es-AR"/>
        </w:rPr>
        <w:t>SOBRESEIMIENTO EN EL JUICIO DE AMPARO DIRECTO. IMPIDE EL ESTUDIO DE LAS VIOLACIONES PROCESALES PLANTEADAS EN LOS CONCEPTOS DE VIOLACIÓN. “El sobreseimiento</w:t>
      </w:r>
      <w:r w:rsidRPr="0036005D">
        <w:rPr>
          <w:rFonts w:ascii="Palatino Linotype" w:eastAsia="Batang" w:hAnsi="Palatino Linotype" w:cs="Arial"/>
          <w:i/>
          <w:sz w:val="22"/>
          <w:lang w:val="es-AR"/>
        </w:rPr>
        <w:t xml:space="preserve"> en el juicio de amparo directo </w:t>
      </w:r>
      <w:r w:rsidRPr="0036005D">
        <w:rPr>
          <w:rFonts w:ascii="Palatino Linotype" w:eastAsia="Batang" w:hAnsi="Palatino Linotype" w:cs="Arial"/>
          <w:b/>
          <w:i/>
          <w:sz w:val="22"/>
          <w:lang w:val="es-AR"/>
        </w:rPr>
        <w:t>provoca la terminación de la controversia planteada</w:t>
      </w:r>
      <w:r w:rsidRPr="0036005D">
        <w:rPr>
          <w:rFonts w:ascii="Palatino Linotype" w:eastAsia="Batang" w:hAnsi="Palatino Linotype" w:cs="Arial"/>
          <w:i/>
          <w:sz w:val="22"/>
          <w:lang w:val="es-AR"/>
        </w:rPr>
        <w:t xml:space="preserve"> por el quejoso en la demanda de amparo</w:t>
      </w:r>
      <w:r w:rsidRPr="0036005D">
        <w:rPr>
          <w:rFonts w:ascii="Palatino Linotype" w:eastAsia="Batang" w:hAnsi="Palatino Linotype" w:cs="Arial"/>
          <w:b/>
          <w:i/>
          <w:sz w:val="22"/>
          <w:lang w:val="es-AR"/>
        </w:rPr>
        <w:t>, sin hacer un pronunciamiento de fondo sobre la legalidad o ilegalidad de la sentencia reclamada</w:t>
      </w:r>
      <w:r w:rsidRPr="0036005D">
        <w:rPr>
          <w:rFonts w:ascii="Palatino Linotype" w:eastAsia="Batang" w:hAnsi="Palatino Linotype" w:cs="Arial"/>
          <w:i/>
          <w:sz w:val="22"/>
          <w:lang w:val="es-AR"/>
        </w:rPr>
        <w:t xml:space="preserve">. </w:t>
      </w:r>
      <w:r w:rsidRPr="0036005D">
        <w:rPr>
          <w:rFonts w:ascii="Palatino Linotype" w:eastAsia="Batang" w:hAnsi="Palatino Linotype" w:cs="Arial"/>
          <w:b/>
          <w:i/>
          <w:sz w:val="22"/>
          <w:lang w:val="es-AR"/>
        </w:rPr>
        <w:t xml:space="preserve">Por consiguiente, si al sobreseerse en el juicio de amparo </w:t>
      </w:r>
      <w:r w:rsidRPr="0036005D">
        <w:rPr>
          <w:rFonts w:ascii="Palatino Linotype" w:eastAsia="Batang" w:hAnsi="Palatino Linotype" w:cs="Arial"/>
          <w:b/>
          <w:i/>
          <w:sz w:val="22"/>
          <w:u w:val="single"/>
          <w:lang w:val="es-AR"/>
        </w:rPr>
        <w:t>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r w:rsidRPr="0036005D">
        <w:rPr>
          <w:rFonts w:ascii="Palatino Linotype" w:eastAsia="Batang" w:hAnsi="Palatino Linotype" w:cs="Arial"/>
          <w:i/>
          <w:sz w:val="22"/>
          <w:lang w:val="es-AR"/>
        </w:rPr>
        <w:t>.”</w:t>
      </w:r>
    </w:p>
    <w:p w14:paraId="31F60C17" w14:textId="1E244D4E" w:rsidR="00560018" w:rsidRPr="0036005D" w:rsidRDefault="00560018" w:rsidP="00E15E31">
      <w:pPr>
        <w:pStyle w:val="Prrafodelista"/>
        <w:autoSpaceDE w:val="0"/>
        <w:autoSpaceDN w:val="0"/>
        <w:adjustRightInd w:val="0"/>
        <w:spacing w:before="240" w:after="240" w:line="276" w:lineRule="auto"/>
        <w:ind w:right="616"/>
        <w:jc w:val="both"/>
        <w:rPr>
          <w:rFonts w:ascii="Palatino Linotype" w:eastAsia="Batang" w:hAnsi="Palatino Linotype" w:cs="Arial"/>
          <w:iCs/>
          <w:sz w:val="22"/>
          <w:lang w:val="es-AR"/>
        </w:rPr>
      </w:pPr>
      <w:r w:rsidRPr="0036005D">
        <w:rPr>
          <w:rFonts w:ascii="Palatino Linotype" w:eastAsia="Batang" w:hAnsi="Palatino Linotype" w:cs="Arial"/>
          <w:iCs/>
          <w:sz w:val="22"/>
          <w:lang w:val="es-AR"/>
        </w:rPr>
        <w:t>(Énfasis añadido)</w:t>
      </w:r>
    </w:p>
    <w:p w14:paraId="5EFC7274" w14:textId="77777777" w:rsidR="00E15E31" w:rsidRPr="0036005D" w:rsidRDefault="00E15E31" w:rsidP="00E15E31">
      <w:pPr>
        <w:pStyle w:val="Prrafodelista"/>
        <w:tabs>
          <w:tab w:val="left" w:pos="426"/>
        </w:tabs>
        <w:spacing w:before="240" w:after="240" w:line="360" w:lineRule="auto"/>
        <w:ind w:left="0" w:right="51"/>
        <w:jc w:val="both"/>
        <w:rPr>
          <w:rFonts w:ascii="Palatino Linotype" w:hAnsi="Palatino Linotype"/>
          <w:color w:val="000000" w:themeColor="text1"/>
        </w:rPr>
      </w:pPr>
    </w:p>
    <w:p w14:paraId="17F321D2" w14:textId="2CF021E5" w:rsidR="00E15E31" w:rsidRPr="0036005D" w:rsidRDefault="00E15E31"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De este modo, se puede deducir que en las resoluciones dictadas por el Pleno de este Instituto, en las que se decreta el sobreseimiento de un recurso de revisión por la actualización de alguno de los supuestos jurídicos contemplados en el artículo </w:t>
      </w:r>
      <w:r w:rsidRPr="0036005D">
        <w:rPr>
          <w:rFonts w:ascii="Palatino Linotype" w:eastAsia="Batang" w:hAnsi="Palatino Linotype" w:cs="Arial"/>
          <w:b/>
          <w:lang w:val="es-ES"/>
        </w:rPr>
        <w:t xml:space="preserve">192 </w:t>
      </w:r>
      <w:r w:rsidRPr="0036005D">
        <w:rPr>
          <w:rFonts w:ascii="Palatino Linotype" w:eastAsia="Batang" w:hAnsi="Palatino Linotype" w:cs="Arial"/>
          <w:lang w:val="es-ES"/>
        </w:rPr>
        <w:t xml:space="preserve">de la </w:t>
      </w:r>
      <w:r w:rsidRPr="0036005D">
        <w:rPr>
          <w:rFonts w:ascii="Palatino Linotype" w:eastAsia="Batang" w:hAnsi="Palatino Linotype" w:cs="Arial"/>
          <w:b/>
          <w:lang w:val="es-ES"/>
        </w:rPr>
        <w:t>Ley de Transparencia y Acceso a la Información Pública del Estado de México y Municipios</w:t>
      </w:r>
      <w:r w:rsidRPr="0036005D">
        <w:rPr>
          <w:rFonts w:ascii="Palatino Linotype" w:eastAsia="Batang" w:hAnsi="Palatino Linotype" w:cs="Arial"/>
          <w:lang w:val="es-ES"/>
        </w:rPr>
        <w:t xml:space="preserve">, nos encontramos ante un sobreseimiento definitivo toda vez que pone fin al procedimiento sin entrar al estudio de fondo </w:t>
      </w:r>
      <w:r w:rsidR="00560018" w:rsidRPr="0036005D">
        <w:rPr>
          <w:rFonts w:ascii="Palatino Linotype" w:eastAsia="Batang" w:hAnsi="Palatino Linotype" w:cs="Arial"/>
          <w:lang w:val="es-ES"/>
        </w:rPr>
        <w:t>de éste</w:t>
      </w:r>
      <w:r w:rsidRPr="0036005D">
        <w:rPr>
          <w:rFonts w:ascii="Palatino Linotype" w:eastAsia="Batang" w:hAnsi="Palatino Linotype" w:cs="Arial"/>
          <w:lang w:val="es-ES"/>
        </w:rPr>
        <w:t>.</w:t>
      </w:r>
    </w:p>
    <w:p w14:paraId="7521AFC5"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605EE32D" w14:textId="112A4609"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lastRenderedPageBreak/>
        <w:t xml:space="preserve">Para </w:t>
      </w:r>
      <w:r w:rsidRPr="0036005D">
        <w:rPr>
          <w:rFonts w:ascii="Palatino Linotype" w:eastAsia="Calibri" w:hAnsi="Palatino Linotype" w:cs="Arial"/>
          <w:lang w:val="es-ES"/>
        </w:rPr>
        <w:t xml:space="preserve">los efectos de esta resolución, es oportuno precisar los alcances jurídicos de la </w:t>
      </w:r>
      <w:r w:rsidRPr="0036005D">
        <w:rPr>
          <w:rFonts w:ascii="Palatino Linotype" w:eastAsia="Calibri" w:hAnsi="Palatino Linotype" w:cs="Arial"/>
          <w:b/>
          <w:lang w:val="es-ES"/>
        </w:rPr>
        <w:t>fracción III</w:t>
      </w:r>
      <w:r w:rsidRPr="0036005D">
        <w:rPr>
          <w:rFonts w:ascii="Palatino Linotype" w:eastAsia="Calibri" w:hAnsi="Palatino Linotype" w:cs="Arial"/>
          <w:lang w:val="es-ES"/>
        </w:rPr>
        <w:t xml:space="preserve"> de la disposición legal transcrita. Así, procede el sobreseimiento del recurso de revisión cuando el </w:t>
      </w:r>
      <w:r w:rsidRPr="0036005D">
        <w:rPr>
          <w:rFonts w:ascii="Palatino Linotype" w:eastAsia="Calibri" w:hAnsi="Palatino Linotype" w:cs="Arial"/>
          <w:b/>
          <w:lang w:val="es-ES"/>
        </w:rPr>
        <w:t>SUJETO OBLIGADO</w:t>
      </w:r>
      <w:r w:rsidRPr="0036005D">
        <w:rPr>
          <w:rFonts w:ascii="Palatino Linotype" w:eastAsia="Calibri" w:hAnsi="Palatino Linotype" w:cs="Arial"/>
          <w:lang w:val="es-ES"/>
        </w:rPr>
        <w:t>:</w:t>
      </w:r>
    </w:p>
    <w:p w14:paraId="552C27BA" w14:textId="77777777" w:rsidR="00E65552" w:rsidRPr="0036005D" w:rsidRDefault="00E65552" w:rsidP="00E65552">
      <w:pPr>
        <w:pStyle w:val="Prrafodelista"/>
        <w:rPr>
          <w:rFonts w:ascii="Palatino Linotype" w:hAnsi="Palatino Linotype"/>
          <w:color w:val="000000" w:themeColor="text1"/>
        </w:rPr>
      </w:pPr>
    </w:p>
    <w:p w14:paraId="7F75618C" w14:textId="77777777" w:rsidR="00E65552" w:rsidRPr="0036005D" w:rsidRDefault="00E65552" w:rsidP="00E65552">
      <w:pPr>
        <w:pStyle w:val="Prrafodelista"/>
        <w:tabs>
          <w:tab w:val="left" w:pos="426"/>
        </w:tabs>
        <w:spacing w:before="240" w:after="240" w:line="360" w:lineRule="auto"/>
        <w:ind w:left="0" w:right="51"/>
        <w:jc w:val="both"/>
        <w:rPr>
          <w:rFonts w:ascii="Palatino Linotype" w:hAnsi="Palatino Linotype"/>
          <w:color w:val="000000" w:themeColor="text1"/>
        </w:rPr>
      </w:pPr>
    </w:p>
    <w:p w14:paraId="1DCD86D0" w14:textId="503C20AC" w:rsidR="005F130C" w:rsidRPr="0036005D" w:rsidRDefault="005F130C" w:rsidP="005F130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6005D">
        <w:rPr>
          <w:rFonts w:ascii="Palatino Linotype" w:hAnsi="Palatino Linotype"/>
          <w:b/>
          <w:color w:val="000000" w:themeColor="text1"/>
        </w:rPr>
        <w:t xml:space="preserve">Modifique </w:t>
      </w:r>
      <w:r w:rsidRPr="0036005D">
        <w:rPr>
          <w:rFonts w:ascii="Palatino Linotype" w:eastAsia="Calibri" w:hAnsi="Palatino Linotype" w:cs="Arial"/>
          <w:b/>
          <w:lang w:val="es-ES"/>
        </w:rPr>
        <w:t>el acto impugnado:</w:t>
      </w:r>
      <w:r w:rsidRPr="0036005D">
        <w:rPr>
          <w:rFonts w:ascii="Palatino Linotype" w:eastAsia="Calibri" w:hAnsi="Palatino Linotype" w:cs="Arial"/>
          <w:lang w:val="es-ES"/>
        </w:rPr>
        <w:t xml:space="preserve"> Se actualiza cuando el </w:t>
      </w:r>
      <w:r w:rsidRPr="0036005D">
        <w:rPr>
          <w:rFonts w:ascii="Palatino Linotype" w:eastAsia="Calibri" w:hAnsi="Palatino Linotype" w:cs="Arial"/>
          <w:b/>
          <w:lang w:val="es-ES"/>
        </w:rPr>
        <w:t>SUJETO OBLIGADO</w:t>
      </w:r>
      <w:r w:rsidRPr="0036005D">
        <w:rPr>
          <w:rFonts w:ascii="Palatino Linotype" w:eastAsia="Calibri" w:hAnsi="Palatino Linotype" w:cs="Arial"/>
          <w:lang w:val="es-ES"/>
        </w:rPr>
        <w:t xml:space="preserve"> después de haber otorgado una respuesta y hasta antes de dictada la resolución del recurso de revisión, emite una diversa en la que subsane las deficiencias que hubiera tenido.</w:t>
      </w:r>
    </w:p>
    <w:p w14:paraId="2DBE38E8" w14:textId="27A69438" w:rsidR="005F130C" w:rsidRPr="0036005D" w:rsidRDefault="005F130C" w:rsidP="005F130C">
      <w:pPr>
        <w:pStyle w:val="Prrafodelista"/>
        <w:numPr>
          <w:ilvl w:val="1"/>
          <w:numId w:val="1"/>
        </w:numPr>
        <w:tabs>
          <w:tab w:val="left" w:pos="426"/>
        </w:tabs>
        <w:spacing w:before="240" w:after="240" w:line="360" w:lineRule="auto"/>
        <w:ind w:left="993" w:right="51"/>
        <w:jc w:val="both"/>
        <w:rPr>
          <w:rFonts w:ascii="Palatino Linotype" w:hAnsi="Palatino Linotype"/>
          <w:color w:val="000000" w:themeColor="text1"/>
        </w:rPr>
      </w:pPr>
      <w:r w:rsidRPr="0036005D">
        <w:rPr>
          <w:rFonts w:ascii="Palatino Linotype" w:hAnsi="Palatino Linotype"/>
          <w:b/>
          <w:color w:val="000000" w:themeColor="text1"/>
        </w:rPr>
        <w:t xml:space="preserve">Revoque </w:t>
      </w:r>
      <w:r w:rsidRPr="0036005D">
        <w:rPr>
          <w:rFonts w:ascii="Palatino Linotype" w:eastAsia="Calibri" w:hAnsi="Palatino Linotype" w:cs="Arial"/>
          <w:b/>
          <w:lang w:val="es-ES"/>
        </w:rPr>
        <w:t xml:space="preserve">el acto impugnado: </w:t>
      </w:r>
      <w:r w:rsidRPr="0036005D">
        <w:rPr>
          <w:rFonts w:ascii="Palatino Linotype" w:eastAsia="Calibri" w:hAnsi="Palatino Linotype" w:cs="Arial"/>
          <w:lang w:val="es-ES"/>
        </w:rPr>
        <w:t xml:space="preserve">En este supuesto, el </w:t>
      </w:r>
      <w:r w:rsidRPr="0036005D">
        <w:rPr>
          <w:rFonts w:ascii="Palatino Linotype" w:eastAsia="Calibri" w:hAnsi="Palatino Linotype" w:cs="Arial"/>
          <w:b/>
          <w:lang w:val="es-ES"/>
        </w:rPr>
        <w:t>SUJETO OBLIGADO</w:t>
      </w:r>
      <w:r w:rsidRPr="0036005D">
        <w:rPr>
          <w:rFonts w:ascii="Palatino Linotype" w:eastAsia="Calibri" w:hAnsi="Palatino Linotype" w:cs="Arial"/>
          <w:lang w:val="es-ES"/>
        </w:rPr>
        <w:t xml:space="preserve"> deja sin efectos la primera respuesta y en su lugar emite otra que satisfaga lo solicitado por el particular.</w:t>
      </w:r>
    </w:p>
    <w:p w14:paraId="2860FD6C"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333E0E4A" w14:textId="2959A109"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Las </w:t>
      </w:r>
      <w:r w:rsidRPr="0036005D">
        <w:rPr>
          <w:rFonts w:ascii="Palatino Linotype" w:eastAsia="Calibri" w:hAnsi="Palatino Linotype" w:cs="Times New Roman"/>
          <w:lang w:val="es-ES"/>
        </w:rPr>
        <w:t xml:space="preserve">consecuencias jurídicas de esta modificación o revocación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sidRPr="0036005D">
        <w:rPr>
          <w:rFonts w:ascii="Palatino Linotype" w:eastAsia="Calibri" w:hAnsi="Palatino Linotype" w:cs="Times New Roman"/>
          <w:u w:val="single"/>
          <w:lang w:val="es-ES"/>
        </w:rPr>
        <w:t>cuando ha sido satisfecha la pretensión del particular</w:t>
      </w:r>
      <w:r w:rsidRPr="0036005D">
        <w:rPr>
          <w:rFonts w:ascii="Palatino Linotype" w:eastAsia="Calibri" w:hAnsi="Palatino Linotype" w:cs="Times New Roman"/>
          <w:lang w:val="es-ES"/>
        </w:rPr>
        <w:t>, ya sea porque se hizo la entrega de la información solicitada o porque se completó la misma.</w:t>
      </w:r>
    </w:p>
    <w:p w14:paraId="2BE6DE98"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1C93CC68" w14:textId="2AAD75C3"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En </w:t>
      </w:r>
      <w:r w:rsidRPr="0036005D">
        <w:rPr>
          <w:rFonts w:ascii="Palatino Linotype" w:eastAsia="Calibri" w:hAnsi="Palatino Linotype" w:cs="Arial"/>
          <w:lang w:val="es-ES"/>
        </w:rPr>
        <w:t xml:space="preserve">el presente asunto, este Pleno advierte que el </w:t>
      </w:r>
      <w:r w:rsidRPr="0036005D">
        <w:rPr>
          <w:rFonts w:ascii="Palatino Linotype" w:eastAsia="Times New Roman" w:hAnsi="Palatino Linotype" w:cs="Arial"/>
          <w:b/>
          <w:lang w:val="es-ES"/>
        </w:rPr>
        <w:t>SUJETO OBLIGADO</w:t>
      </w:r>
      <w:r w:rsidR="00560018" w:rsidRPr="0036005D">
        <w:rPr>
          <w:rFonts w:ascii="Palatino Linotype" w:eastAsia="Times New Roman" w:hAnsi="Palatino Linotype" w:cs="Arial"/>
          <w:bCs/>
          <w:lang w:val="es-ES"/>
        </w:rPr>
        <w:t>,</w:t>
      </w:r>
      <w:r w:rsidRPr="0036005D">
        <w:rPr>
          <w:rFonts w:ascii="Palatino Linotype" w:eastAsia="Calibri" w:hAnsi="Palatino Linotype" w:cs="Arial"/>
          <w:lang w:val="es-ES"/>
        </w:rPr>
        <w:t xml:space="preserve"> con la información enviada a este Órgano Garante en vía de Informe Justificado, </w:t>
      </w:r>
      <w:r w:rsidRPr="0036005D">
        <w:rPr>
          <w:rFonts w:ascii="Palatino Linotype" w:eastAsia="Calibri" w:hAnsi="Palatino Linotype" w:cs="Arial"/>
          <w:b/>
          <w:lang w:val="es-ES"/>
        </w:rPr>
        <w:t>modifica</w:t>
      </w:r>
      <w:r w:rsidRPr="0036005D">
        <w:rPr>
          <w:rFonts w:ascii="Palatino Linotype" w:eastAsia="Calibri" w:hAnsi="Palatino Linotype" w:cs="Arial"/>
          <w:lang w:val="es-ES"/>
        </w:rPr>
        <w:t xml:space="preserve"> </w:t>
      </w:r>
      <w:r w:rsidRPr="0036005D">
        <w:rPr>
          <w:rFonts w:ascii="Palatino Linotype" w:eastAsia="Calibri" w:hAnsi="Palatino Linotype" w:cs="Arial"/>
          <w:u w:val="single"/>
          <w:lang w:val="es-ES"/>
        </w:rPr>
        <w:t xml:space="preserve">el acto que le dio origen al recurso de revisión, por lo que trae como consecuencia </w:t>
      </w:r>
      <w:r w:rsidRPr="0036005D">
        <w:rPr>
          <w:rFonts w:ascii="Palatino Linotype" w:eastAsia="Calibri" w:hAnsi="Palatino Linotype" w:cs="Arial"/>
          <w:u w:val="single"/>
          <w:lang w:val="es-ES"/>
        </w:rPr>
        <w:lastRenderedPageBreak/>
        <w:t>que el mismo quede sin materia</w:t>
      </w:r>
      <w:r w:rsidRPr="0036005D">
        <w:rPr>
          <w:rFonts w:ascii="Palatino Linotype" w:eastAsia="Calibri" w:hAnsi="Palatino Linotype" w:cs="Arial"/>
          <w:lang w:val="es-ES"/>
        </w:rPr>
        <w:t xml:space="preserve">, actualizándose de este modo la hipótesis jurídica contenida en la </w:t>
      </w:r>
      <w:r w:rsidRPr="0036005D">
        <w:rPr>
          <w:rFonts w:ascii="Palatino Linotype" w:eastAsia="Calibri" w:hAnsi="Palatino Linotype" w:cs="Arial"/>
          <w:b/>
          <w:lang w:val="es-ES"/>
        </w:rPr>
        <w:t>fracción III</w:t>
      </w:r>
      <w:r w:rsidRPr="0036005D">
        <w:rPr>
          <w:rFonts w:ascii="Palatino Linotype" w:eastAsia="Calibri" w:hAnsi="Palatino Linotype" w:cs="Arial"/>
          <w:lang w:val="es-ES"/>
        </w:rPr>
        <w:t xml:space="preserve"> del citado artículo </w:t>
      </w:r>
      <w:r w:rsidRPr="0036005D">
        <w:rPr>
          <w:rFonts w:ascii="Palatino Linotype" w:eastAsia="Calibri" w:hAnsi="Palatino Linotype" w:cs="Arial"/>
          <w:b/>
          <w:lang w:val="es-ES"/>
        </w:rPr>
        <w:t>192</w:t>
      </w:r>
      <w:r w:rsidRPr="0036005D">
        <w:rPr>
          <w:rFonts w:ascii="Palatino Linotype" w:eastAsia="Calibri" w:hAnsi="Palatino Linotype" w:cs="Arial"/>
          <w:lang w:val="es-ES"/>
        </w:rPr>
        <w:t>.</w:t>
      </w:r>
    </w:p>
    <w:p w14:paraId="52F63633"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4A8B7684" w14:textId="6B4632E2"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De </w:t>
      </w:r>
      <w:r w:rsidRPr="0036005D">
        <w:rPr>
          <w:rFonts w:ascii="Palatino Linotype" w:eastAsia="Calibri" w:hAnsi="Palatino Linotype" w:cs="Arial"/>
          <w:lang w:val="es-ES"/>
        </w:rPr>
        <w:t xml:space="preserve">este modo, cuando el </w:t>
      </w:r>
      <w:r w:rsidRPr="0036005D">
        <w:rPr>
          <w:rFonts w:ascii="Palatino Linotype" w:eastAsia="Calibri" w:hAnsi="Palatino Linotype" w:cs="Arial"/>
          <w:b/>
          <w:lang w:val="es-ES"/>
        </w:rPr>
        <w:t xml:space="preserve">SUJETO OBLIGADO, </w:t>
      </w:r>
      <w:r w:rsidRPr="0036005D">
        <w:rPr>
          <w:rFonts w:ascii="Palatino Linotype" w:eastAsia="Calibri" w:hAnsi="Palatino Linotype" w:cs="Arial"/>
          <w:lang w:val="es-ES"/>
        </w:rPr>
        <w:t xml:space="preserve">antes de que se dicte resolución definitiva, entrega la información solicitada o completa la respuesta que en un primer momento fue incompleta o no correspondió con lo solicitado; </w:t>
      </w:r>
      <w:r w:rsidRPr="0036005D">
        <w:rPr>
          <w:rFonts w:ascii="Palatino Linotype" w:eastAsia="Calibri" w:hAnsi="Palatino Linotype" w:cs="Arial"/>
          <w:b/>
          <w:lang w:val="es-ES"/>
        </w:rPr>
        <w:t>el recurso de revisión que al efecto se haya interpuesto quedará sin materia</w:t>
      </w:r>
      <w:r w:rsidRPr="0036005D">
        <w:rPr>
          <w:rFonts w:ascii="Palatino Linotype" w:eastAsia="Calibri" w:hAnsi="Palatino Linotype" w:cs="Arial"/>
          <w:lang w:val="es-ES"/>
        </w:rPr>
        <w:t xml:space="preserve"> lo que imposibilita el estudio de fondo de la </w:t>
      </w:r>
      <w:r w:rsidRPr="0036005D">
        <w:rPr>
          <w:rFonts w:ascii="Palatino Linotype" w:eastAsia="Calibri" w:hAnsi="Palatino Linotype" w:cs="Arial"/>
          <w:i/>
          <w:lang w:val="es-ES"/>
        </w:rPr>
        <w:t>litis</w:t>
      </w:r>
      <w:r w:rsidRPr="0036005D">
        <w:rPr>
          <w:rFonts w:ascii="Palatino Linotype" w:eastAsia="Calibri" w:hAnsi="Palatino Linotype" w:cs="Arial"/>
          <w:lang w:val="es-ES"/>
        </w:rPr>
        <w:t xml:space="preserve"> planteada, debido a que la afectación en su esfera de derechos fue restituida por la propia autoridad que emitió el acto motivo de impugnación</w:t>
      </w:r>
      <w:r w:rsidRPr="0036005D">
        <w:rPr>
          <w:rFonts w:ascii="Palatino Linotype" w:hAnsi="Palatino Linotype"/>
        </w:rPr>
        <w:t>.</w:t>
      </w:r>
    </w:p>
    <w:p w14:paraId="4A8A1938"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2B8EDDEC" w14:textId="48ACDBE6"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Por </w:t>
      </w:r>
      <w:r w:rsidRPr="0036005D">
        <w:rPr>
          <w:rFonts w:ascii="Palatino Linotype" w:eastAsia="Calibri" w:hAnsi="Palatino Linotype" w:cs="Arial"/>
          <w:lang w:val="es-ES"/>
        </w:rPr>
        <w:t xml:space="preserve">lo tanto, para que se actualice el sobreseimiento de un recurso de revisión, el </w:t>
      </w:r>
      <w:r w:rsidRPr="0036005D">
        <w:rPr>
          <w:rFonts w:ascii="Palatino Linotype" w:eastAsia="Calibri" w:hAnsi="Palatino Linotype" w:cs="Arial"/>
          <w:b/>
          <w:lang w:val="es-ES"/>
        </w:rPr>
        <w:t>SUJETO OBLIGADO</w:t>
      </w:r>
      <w:r w:rsidRPr="0036005D">
        <w:rPr>
          <w:rFonts w:ascii="Palatino Linotype" w:eastAsia="Calibri" w:hAnsi="Palatino Linotype" w:cs="Arial"/>
          <w:lang w:val="es-ES"/>
        </w:rPr>
        <w:t xml:space="preserve"> puede entregar o completar la información al momento de rendir su informe de justificación </w:t>
      </w:r>
      <w:r w:rsidRPr="0036005D">
        <w:rPr>
          <w:rFonts w:ascii="Palatino Linotype" w:hAnsi="Palatino Linotype"/>
          <w:u w:val="single"/>
        </w:rPr>
        <w:t>dentro de los siete días previstos para manifestar lo que a su derecho convenga, lo anterior también puede ocurrir posteriormente, siempre y cuando el Pleno del Instituto no haya dictado resolución definitiva.</w:t>
      </w:r>
    </w:p>
    <w:p w14:paraId="3A33B22A" w14:textId="77777777" w:rsidR="005F130C" w:rsidRPr="0036005D" w:rsidRDefault="005F130C" w:rsidP="005F130C">
      <w:pPr>
        <w:pStyle w:val="Prrafodelista"/>
        <w:tabs>
          <w:tab w:val="left" w:pos="426"/>
        </w:tabs>
        <w:spacing w:before="240" w:after="240" w:line="360" w:lineRule="auto"/>
        <w:ind w:left="0" w:right="51"/>
        <w:jc w:val="both"/>
        <w:rPr>
          <w:rFonts w:ascii="Palatino Linotype" w:hAnsi="Palatino Linotype"/>
          <w:color w:val="000000" w:themeColor="text1"/>
        </w:rPr>
      </w:pPr>
    </w:p>
    <w:p w14:paraId="2A7CEAF6" w14:textId="1277055D" w:rsidR="005F130C" w:rsidRPr="0036005D" w:rsidRDefault="005F130C" w:rsidP="00614DC5">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eastAsia="Batang" w:hAnsi="Palatino Linotype" w:cs="Arial"/>
          <w:lang w:val="es-ES"/>
        </w:rPr>
        <w:t xml:space="preserve">Finalmente, </w:t>
      </w:r>
      <w:r w:rsidRPr="0036005D">
        <w:rPr>
          <w:rFonts w:ascii="Palatino Linotype" w:hAnsi="Palatino Linotype" w:cs="Arial"/>
          <w:lang w:val="es-CO"/>
        </w:rPr>
        <w:t xml:space="preserve">en términos del artículo 186, fracción I, de la Ley de Transparencia y Acceso a la Información Pública del Estado de México y Municipios, este Pleno determina el </w:t>
      </w:r>
      <w:r w:rsidRPr="0036005D">
        <w:rPr>
          <w:rFonts w:ascii="Palatino Linotype" w:hAnsi="Palatino Linotype" w:cs="Arial"/>
          <w:b/>
          <w:lang w:val="es-CO"/>
        </w:rPr>
        <w:t xml:space="preserve">SOBRESEIMIENTO </w:t>
      </w:r>
      <w:r w:rsidRPr="0036005D">
        <w:rPr>
          <w:rFonts w:ascii="Palatino Linotype" w:hAnsi="Palatino Linotype" w:cs="Arial"/>
          <w:lang w:val="es-CO"/>
        </w:rPr>
        <w:t>del presente recurso de revisión, toda vez que la afectación al derecho de acceso a la información pública establecido constitucionalmente a favor del particular ha sido resarcida al proporcionar la información que ha sido observada por este Órgano Garante.</w:t>
      </w:r>
    </w:p>
    <w:p w14:paraId="0F384FB3" w14:textId="46522C81" w:rsidR="00614DC5" w:rsidRPr="0036005D" w:rsidRDefault="00614DC5" w:rsidP="00614DC5">
      <w:pPr>
        <w:pStyle w:val="Prrafodelista"/>
        <w:tabs>
          <w:tab w:val="left" w:pos="426"/>
        </w:tabs>
        <w:spacing w:before="240" w:after="240" w:line="360" w:lineRule="auto"/>
        <w:ind w:left="0" w:right="51"/>
        <w:jc w:val="both"/>
        <w:rPr>
          <w:rFonts w:ascii="Palatino Linotype" w:hAnsi="Palatino Linotype"/>
          <w:color w:val="000000" w:themeColor="text1"/>
        </w:rPr>
      </w:pPr>
    </w:p>
    <w:p w14:paraId="35A443AA" w14:textId="77777777" w:rsidR="002834A6" w:rsidRPr="0036005D" w:rsidRDefault="002834A6" w:rsidP="00614DC5">
      <w:pPr>
        <w:pStyle w:val="Prrafodelista"/>
        <w:tabs>
          <w:tab w:val="left" w:pos="426"/>
        </w:tabs>
        <w:spacing w:before="240" w:after="240" w:line="360" w:lineRule="auto"/>
        <w:ind w:left="0" w:right="51"/>
        <w:jc w:val="both"/>
        <w:rPr>
          <w:rFonts w:ascii="Palatino Linotype" w:hAnsi="Palatino Linotype"/>
          <w:color w:val="000000" w:themeColor="text1"/>
        </w:rPr>
      </w:pPr>
    </w:p>
    <w:p w14:paraId="2F05640F" w14:textId="31EACA29" w:rsidR="00953B03" w:rsidRPr="0036005D" w:rsidRDefault="00614DC5" w:rsidP="00953B03">
      <w:pPr>
        <w:pStyle w:val="Prrafodelista"/>
        <w:tabs>
          <w:tab w:val="left" w:pos="426"/>
        </w:tabs>
        <w:spacing w:before="240" w:after="240" w:line="360" w:lineRule="auto"/>
        <w:ind w:left="0" w:right="51"/>
        <w:jc w:val="both"/>
        <w:outlineLvl w:val="1"/>
        <w:rPr>
          <w:rFonts w:ascii="Palatino Linotype" w:hAnsi="Palatino Linotype"/>
          <w:b/>
          <w:bCs/>
          <w:color w:val="000000" w:themeColor="text1"/>
        </w:rPr>
      </w:pPr>
      <w:bookmarkStart w:id="20" w:name="_Toc86945046"/>
      <w:r w:rsidRPr="0036005D">
        <w:rPr>
          <w:rFonts w:ascii="Palatino Linotype" w:hAnsi="Palatino Linotype"/>
          <w:b/>
          <w:bCs/>
          <w:color w:val="000000" w:themeColor="text1"/>
        </w:rPr>
        <w:t>CUARTO</w:t>
      </w:r>
      <w:r w:rsidR="00953B03" w:rsidRPr="0036005D">
        <w:rPr>
          <w:rFonts w:ascii="Palatino Linotype" w:hAnsi="Palatino Linotype"/>
          <w:b/>
          <w:bCs/>
          <w:color w:val="000000" w:themeColor="text1"/>
        </w:rPr>
        <w:t>. Decisión</w:t>
      </w:r>
      <w:bookmarkEnd w:id="20"/>
    </w:p>
    <w:p w14:paraId="2B8DED45" w14:textId="77777777" w:rsidR="00953B03" w:rsidRPr="0036005D" w:rsidRDefault="00953B0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26A0680E" w14:textId="64CD3CF7" w:rsidR="00953B03" w:rsidRPr="0036005D" w:rsidRDefault="006B2A9C"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Luego de analizar </w:t>
      </w:r>
      <w:r w:rsidR="00F41E30" w:rsidRPr="0036005D">
        <w:rPr>
          <w:rFonts w:ascii="Palatino Linotype" w:hAnsi="Palatino Linotype"/>
          <w:color w:val="000000" w:themeColor="text1"/>
        </w:rPr>
        <w:t xml:space="preserve">las constancias que obran en el expediente digital formado en el SAIMEX, se advirtió que, si bien el </w:t>
      </w:r>
      <w:r w:rsidR="00F41E30" w:rsidRPr="0036005D">
        <w:rPr>
          <w:rFonts w:ascii="Palatino Linotype" w:hAnsi="Palatino Linotype"/>
          <w:b/>
          <w:bCs/>
          <w:color w:val="000000" w:themeColor="text1"/>
        </w:rPr>
        <w:t>SUJETO OBLIGADO</w:t>
      </w:r>
      <w:r w:rsidR="00F41E30" w:rsidRPr="0036005D">
        <w:rPr>
          <w:rFonts w:ascii="Palatino Linotype" w:hAnsi="Palatino Linotype"/>
          <w:color w:val="000000" w:themeColor="text1"/>
        </w:rPr>
        <w:t xml:space="preserve"> había proporcionado una fuente precisa para que el particular pudiera </w:t>
      </w:r>
      <w:r w:rsidR="0073687C" w:rsidRPr="0036005D">
        <w:rPr>
          <w:rFonts w:ascii="Palatino Linotype" w:hAnsi="Palatino Linotype"/>
          <w:color w:val="000000" w:themeColor="text1"/>
        </w:rPr>
        <w:t>consultar</w:t>
      </w:r>
      <w:r w:rsidR="00F41E30" w:rsidRPr="0036005D">
        <w:rPr>
          <w:rFonts w:ascii="Palatino Linotype" w:hAnsi="Palatino Linotype"/>
          <w:color w:val="000000" w:themeColor="text1"/>
        </w:rPr>
        <w:t xml:space="preserve"> la información solicitada</w:t>
      </w:r>
      <w:r w:rsidR="0073687C" w:rsidRPr="0036005D">
        <w:rPr>
          <w:rFonts w:ascii="Palatino Linotype" w:hAnsi="Palatino Linotype"/>
          <w:color w:val="000000" w:themeColor="text1"/>
        </w:rPr>
        <w:t>;</w:t>
      </w:r>
      <w:r w:rsidR="00F41E30" w:rsidRPr="0036005D">
        <w:rPr>
          <w:rFonts w:ascii="Palatino Linotype" w:hAnsi="Palatino Linotype"/>
          <w:color w:val="000000" w:themeColor="text1"/>
        </w:rPr>
        <w:t xml:space="preserve"> a través del informe justificado, y en un ejercicio de máxima publicidad, entregó un documento en formato </w:t>
      </w:r>
      <w:r w:rsidR="00F41E30" w:rsidRPr="0036005D">
        <w:rPr>
          <w:rFonts w:ascii="Palatino Linotype" w:hAnsi="Palatino Linotype"/>
          <w:i/>
          <w:iCs/>
          <w:color w:val="000000" w:themeColor="text1"/>
        </w:rPr>
        <w:t>.pdf</w:t>
      </w:r>
      <w:r w:rsidR="00F41E30" w:rsidRPr="0036005D">
        <w:rPr>
          <w:rFonts w:ascii="Palatino Linotype" w:hAnsi="Palatino Linotype"/>
          <w:color w:val="000000" w:themeColor="text1"/>
        </w:rPr>
        <w:t xml:space="preserve"> consistente en la impresión de imagen del menú principal del portal IPOMEX </w:t>
      </w:r>
      <w:r w:rsidR="0073687C" w:rsidRPr="0036005D">
        <w:rPr>
          <w:rFonts w:ascii="Palatino Linotype" w:hAnsi="Palatino Linotype"/>
          <w:color w:val="000000" w:themeColor="text1"/>
        </w:rPr>
        <w:t>del Ayuntamiento de San Mateo Atenco, colmando de esta forma el derecho de acceso a la información del particular y dejando sin materia al recurso de revisión.</w:t>
      </w:r>
    </w:p>
    <w:p w14:paraId="07E67D9C" w14:textId="306D7B6D" w:rsidR="00F6300E" w:rsidRPr="0036005D" w:rsidRDefault="00F6300E" w:rsidP="00F6300E">
      <w:pPr>
        <w:pStyle w:val="Prrafodelista"/>
        <w:tabs>
          <w:tab w:val="left" w:pos="426"/>
        </w:tabs>
        <w:spacing w:before="240" w:after="240" w:line="360" w:lineRule="auto"/>
        <w:ind w:left="0" w:right="51"/>
        <w:jc w:val="both"/>
        <w:rPr>
          <w:rFonts w:ascii="Palatino Linotype" w:hAnsi="Palatino Linotype"/>
          <w:color w:val="000000" w:themeColor="text1"/>
        </w:rPr>
      </w:pPr>
    </w:p>
    <w:p w14:paraId="61B5E6A2" w14:textId="4E170483" w:rsidR="00F01443" w:rsidRPr="0036005D" w:rsidRDefault="003E6079"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rPr>
        <w:t xml:space="preserve">Por </w:t>
      </w:r>
      <w:r w:rsidRPr="0036005D">
        <w:rPr>
          <w:rFonts w:ascii="Palatino Linotype" w:eastAsia="MS Mincho" w:hAnsi="Palatino Linotype" w:cstheme="majorBidi"/>
        </w:rPr>
        <w:t>lo tanto,</w:t>
      </w:r>
      <w:r w:rsidRPr="0036005D">
        <w:rPr>
          <w:rFonts w:ascii="Palatino Linotype" w:eastAsia="MS Mincho" w:hAnsi="Palatino Linotype" w:cstheme="majorBidi"/>
          <w:lang w:val="es-ES"/>
        </w:rPr>
        <w:t xml:space="preserve"> en consecuencia y en mérito de lo expuesto en líneas anteriores, </w:t>
      </w:r>
      <w:r w:rsidR="00B741AA" w:rsidRPr="0036005D">
        <w:rPr>
          <w:rFonts w:ascii="Palatino Linotype" w:eastAsia="MS Mincho" w:hAnsi="Palatino Linotype" w:cstheme="majorBidi"/>
          <w:lang w:val="es-ES"/>
        </w:rPr>
        <w:t>con fundamento en la fracción III del artículo 192,</w:t>
      </w:r>
      <w:r w:rsidR="00B741AA" w:rsidRPr="0036005D">
        <w:rPr>
          <w:rFonts w:ascii="Palatino Linotype" w:eastAsia="MS Mincho" w:hAnsi="Palatino Linotype" w:cstheme="majorBidi"/>
          <w:b/>
          <w:lang w:val="es-ES"/>
        </w:rPr>
        <w:t xml:space="preserve"> </w:t>
      </w:r>
      <w:r w:rsidR="00B741AA" w:rsidRPr="0036005D">
        <w:rPr>
          <w:rFonts w:ascii="Palatino Linotype" w:eastAsia="MS Mincho" w:hAnsi="Palatino Linotype" w:cstheme="majorBidi"/>
          <w:lang w:val="es-ES"/>
        </w:rPr>
        <w:t xml:space="preserve">de la Ley de Transparencia y Acceso a la Información Pública del Estado de México y Municipios, se </w:t>
      </w:r>
      <w:r w:rsidR="00B741AA" w:rsidRPr="0036005D">
        <w:rPr>
          <w:rFonts w:ascii="Palatino Linotype" w:eastAsia="MS Mincho" w:hAnsi="Palatino Linotype" w:cstheme="majorBidi"/>
          <w:b/>
          <w:lang w:val="es-ES"/>
        </w:rPr>
        <w:t xml:space="preserve">SOBRESEE </w:t>
      </w:r>
      <w:r w:rsidR="00B741AA" w:rsidRPr="0036005D">
        <w:rPr>
          <w:rFonts w:ascii="Palatino Linotype" w:eastAsia="MS Mincho" w:hAnsi="Palatino Linotype" w:cstheme="majorBidi"/>
          <w:lang w:val="es-ES"/>
        </w:rPr>
        <w:t xml:space="preserve">el recurso de revisión </w:t>
      </w:r>
      <w:r w:rsidR="00A36D6E" w:rsidRPr="0036005D">
        <w:rPr>
          <w:rFonts w:ascii="Palatino Linotype" w:eastAsia="MS Mincho" w:hAnsi="Palatino Linotype" w:cstheme="majorBidi"/>
          <w:b/>
          <w:lang w:val="es-ES"/>
        </w:rPr>
        <w:t>03533/INFOEM/IP/RR/2022</w:t>
      </w:r>
      <w:r w:rsidR="00B741AA" w:rsidRPr="0036005D">
        <w:rPr>
          <w:rFonts w:ascii="Palatino Linotype" w:eastAsia="MS Mincho" w:hAnsi="Palatino Linotype" w:cstheme="majorBidi"/>
          <w:lang w:val="es-ES"/>
        </w:rPr>
        <w:t>, que ha sido materia del presente fallo.</w:t>
      </w:r>
    </w:p>
    <w:p w14:paraId="370E910A" w14:textId="77777777" w:rsidR="00F01443" w:rsidRPr="0036005D" w:rsidRDefault="00F01443" w:rsidP="00F01443">
      <w:pPr>
        <w:pStyle w:val="Prrafodelista"/>
        <w:tabs>
          <w:tab w:val="left" w:pos="426"/>
        </w:tabs>
        <w:spacing w:before="240" w:after="240" w:line="360" w:lineRule="auto"/>
        <w:ind w:left="0" w:right="51"/>
        <w:jc w:val="both"/>
        <w:rPr>
          <w:rFonts w:ascii="Palatino Linotype" w:hAnsi="Palatino Linotype"/>
          <w:color w:val="000000" w:themeColor="text1"/>
        </w:rPr>
      </w:pPr>
    </w:p>
    <w:p w14:paraId="7CFC3FBC" w14:textId="680CDA6A" w:rsidR="00266588" w:rsidRPr="0036005D" w:rsidRDefault="00F01801" w:rsidP="00DA22D8">
      <w:pPr>
        <w:pStyle w:val="Prrafodelista"/>
        <w:numPr>
          <w:ilvl w:val="0"/>
          <w:numId w:val="1"/>
        </w:numPr>
        <w:tabs>
          <w:tab w:val="left" w:pos="426"/>
        </w:tabs>
        <w:spacing w:before="240" w:after="240" w:line="360" w:lineRule="auto"/>
        <w:ind w:right="51"/>
        <w:jc w:val="both"/>
        <w:rPr>
          <w:rFonts w:ascii="Palatino Linotype" w:hAnsi="Palatino Linotype"/>
          <w:color w:val="000000" w:themeColor="text1"/>
        </w:rPr>
      </w:pPr>
      <w:r w:rsidRPr="0036005D">
        <w:rPr>
          <w:rFonts w:ascii="Palatino Linotype" w:hAnsi="Palatino Linotype"/>
          <w:color w:val="000000" w:themeColor="text1"/>
          <w:lang w:val="es-ES"/>
        </w:rPr>
        <w:t xml:space="preserve">Por </w:t>
      </w:r>
      <w:r w:rsidR="00B41516" w:rsidRPr="0036005D">
        <w:rPr>
          <w:rFonts w:ascii="Palatino Linotype" w:hAnsi="Palatino Linotype"/>
          <w:color w:val="000000" w:themeColor="text1"/>
        </w:rPr>
        <w:t xml:space="preserve">lo anteriormente expuesto y fundado, </w:t>
      </w:r>
      <w:r w:rsidR="003E6079" w:rsidRPr="0036005D">
        <w:rPr>
          <w:rFonts w:ascii="Palatino Linotype" w:hAnsi="Palatino Linotype"/>
          <w:color w:val="000000" w:themeColor="text1"/>
        </w:rPr>
        <w:t>e</w:t>
      </w:r>
      <w:r w:rsidR="00B41516" w:rsidRPr="0036005D">
        <w:rPr>
          <w:rFonts w:ascii="Palatino Linotype" w:hAnsi="Palatino Linotype"/>
          <w:color w:val="000000" w:themeColor="text1"/>
        </w:rPr>
        <w:t xml:space="preserve">ste </w:t>
      </w:r>
      <w:r w:rsidR="00B41516" w:rsidRPr="0036005D">
        <w:rPr>
          <w:rFonts w:ascii="Palatino Linotype" w:hAnsi="Palatino Linotype"/>
          <w:b/>
          <w:color w:val="000000" w:themeColor="text1"/>
        </w:rPr>
        <w:t>ÓRGANO GARANTE</w:t>
      </w:r>
      <w:r w:rsidR="00B41516" w:rsidRPr="0036005D">
        <w:rPr>
          <w:rFonts w:ascii="Palatino Linotype" w:hAnsi="Palatino Linotype"/>
          <w:color w:val="000000" w:themeColor="text1"/>
        </w:rPr>
        <w:t xml:space="preserve"> emite los siguientes:</w:t>
      </w:r>
      <w:r w:rsidR="003E6079" w:rsidRPr="0036005D">
        <w:rPr>
          <w:rFonts w:ascii="Palatino Linotype" w:hAnsi="Palatino Linotype"/>
          <w:color w:val="000000" w:themeColor="text1"/>
        </w:rPr>
        <w:t xml:space="preserve"> </w:t>
      </w:r>
      <w:r w:rsidR="00D71057" w:rsidRPr="0036005D">
        <w:rPr>
          <w:rFonts w:ascii="Palatino Linotype" w:hAnsi="Palatino Linotype"/>
          <w:color w:val="000000" w:themeColor="text1"/>
        </w:rPr>
        <w:t>--------------------------------------------------------------------------</w:t>
      </w:r>
      <w:r w:rsidR="00E10AC3" w:rsidRPr="0036005D">
        <w:rPr>
          <w:rFonts w:ascii="Palatino Linotype" w:hAnsi="Palatino Linotype"/>
          <w:color w:val="000000" w:themeColor="text1"/>
        </w:rPr>
        <w:t>-----------------</w:t>
      </w:r>
      <w:r w:rsidR="00895335" w:rsidRPr="0036005D">
        <w:rPr>
          <w:rFonts w:ascii="Palatino Linotype" w:hAnsi="Palatino Linotype"/>
          <w:color w:val="000000" w:themeColor="text1"/>
        </w:rPr>
        <w:t>--</w:t>
      </w:r>
      <w:r w:rsidR="003E6079" w:rsidRPr="0036005D">
        <w:rPr>
          <w:rFonts w:ascii="Palatino Linotype" w:hAnsi="Palatino Linotype"/>
          <w:color w:val="000000" w:themeColor="text1"/>
        </w:rPr>
        <w:t>-------------------------------------------------------------------------------------------------------------</w:t>
      </w:r>
      <w:r w:rsidR="00895335" w:rsidRPr="0036005D">
        <w:rPr>
          <w:rFonts w:ascii="Palatino Linotype" w:hAnsi="Palatino Linotype"/>
          <w:color w:val="000000" w:themeColor="text1"/>
        </w:rPr>
        <w:t>--</w:t>
      </w:r>
    </w:p>
    <w:p w14:paraId="19A111DC" w14:textId="77777777" w:rsidR="00266588" w:rsidRPr="0036005D" w:rsidRDefault="00266588">
      <w:pPr>
        <w:rPr>
          <w:rFonts w:ascii="Palatino Linotype" w:hAnsi="Palatino Linotype"/>
          <w:color w:val="000000" w:themeColor="text1"/>
        </w:rPr>
      </w:pPr>
      <w:r w:rsidRPr="0036005D">
        <w:rPr>
          <w:rFonts w:ascii="Palatino Linotype" w:hAnsi="Palatino Linotype"/>
          <w:color w:val="000000" w:themeColor="text1"/>
        </w:rPr>
        <w:br w:type="page"/>
      </w:r>
    </w:p>
    <w:p w14:paraId="18C7D92B" w14:textId="77777777" w:rsidR="009959DB" w:rsidRPr="0036005D" w:rsidRDefault="009959DB" w:rsidP="009959DB">
      <w:pPr>
        <w:pStyle w:val="Ttulo1"/>
        <w:spacing w:line="360" w:lineRule="auto"/>
        <w:jc w:val="center"/>
        <w:rPr>
          <w:b/>
          <w:color w:val="000000" w:themeColor="text1"/>
          <w:szCs w:val="24"/>
        </w:rPr>
      </w:pPr>
      <w:bookmarkStart w:id="21" w:name="_Toc495427547"/>
      <w:bookmarkStart w:id="22" w:name="_Toc497905366"/>
      <w:bookmarkStart w:id="23" w:name="_Toc86945047"/>
      <w:r w:rsidRPr="0036005D">
        <w:rPr>
          <w:b/>
          <w:color w:val="000000" w:themeColor="text1"/>
          <w:szCs w:val="24"/>
        </w:rPr>
        <w:lastRenderedPageBreak/>
        <w:t>R E S O L U T I V O S</w:t>
      </w:r>
      <w:bookmarkEnd w:id="18"/>
      <w:bookmarkEnd w:id="19"/>
      <w:bookmarkEnd w:id="21"/>
      <w:bookmarkEnd w:id="22"/>
      <w:bookmarkEnd w:id="23"/>
    </w:p>
    <w:p w14:paraId="73D50A6B" w14:textId="77777777" w:rsidR="005F130C" w:rsidRPr="0036005D" w:rsidRDefault="005F130C" w:rsidP="005F130C">
      <w:pPr>
        <w:pStyle w:val="Sinespaciado"/>
        <w:spacing w:line="360" w:lineRule="auto"/>
        <w:jc w:val="both"/>
        <w:rPr>
          <w:rFonts w:ascii="Palatino Linotype" w:hAnsi="Palatino Linotype"/>
          <w:b/>
          <w:szCs w:val="20"/>
        </w:rPr>
      </w:pPr>
    </w:p>
    <w:p w14:paraId="33754448" w14:textId="2186E0E7" w:rsidR="005F130C" w:rsidRPr="0036005D" w:rsidRDefault="005F130C" w:rsidP="005F130C">
      <w:pPr>
        <w:pStyle w:val="Sinespaciado"/>
        <w:spacing w:line="360" w:lineRule="auto"/>
        <w:jc w:val="both"/>
        <w:rPr>
          <w:rFonts w:ascii="Palatino Linotype" w:hAnsi="Palatino Linotype"/>
          <w:szCs w:val="20"/>
        </w:rPr>
      </w:pPr>
      <w:r w:rsidRPr="0036005D">
        <w:rPr>
          <w:rFonts w:ascii="Palatino Linotype" w:hAnsi="Palatino Linotype"/>
          <w:b/>
          <w:szCs w:val="20"/>
        </w:rPr>
        <w:t xml:space="preserve">PRIMERO. </w:t>
      </w:r>
      <w:r w:rsidRPr="0036005D">
        <w:rPr>
          <w:rFonts w:ascii="Palatino Linotype" w:hAnsi="Palatino Linotype"/>
          <w:szCs w:val="20"/>
        </w:rPr>
        <w:t xml:space="preserve">Se </w:t>
      </w:r>
      <w:r w:rsidRPr="0036005D">
        <w:rPr>
          <w:rFonts w:ascii="Palatino Linotype" w:hAnsi="Palatino Linotype"/>
          <w:b/>
          <w:szCs w:val="20"/>
        </w:rPr>
        <w:t>SOBRESEE</w:t>
      </w:r>
      <w:r w:rsidRPr="0036005D">
        <w:rPr>
          <w:rFonts w:ascii="Palatino Linotype" w:hAnsi="Palatino Linotype"/>
          <w:szCs w:val="20"/>
        </w:rPr>
        <w:t xml:space="preserve"> el recurso de revisión número </w:t>
      </w:r>
      <w:r w:rsidR="00A36D6E" w:rsidRPr="0036005D">
        <w:rPr>
          <w:rFonts w:ascii="Palatino Linotype" w:hAnsi="Palatino Linotype"/>
          <w:b/>
          <w:szCs w:val="20"/>
        </w:rPr>
        <w:t>03533/INFOEM/IP/RR/2022</w:t>
      </w:r>
      <w:r w:rsidRPr="0036005D">
        <w:rPr>
          <w:rFonts w:ascii="Palatino Linotype" w:hAnsi="Palatino Linotype"/>
          <w:szCs w:val="20"/>
        </w:rPr>
        <w:t xml:space="preserve"> porque</w:t>
      </w:r>
      <w:r w:rsidR="004939EA" w:rsidRPr="0036005D">
        <w:rPr>
          <w:rFonts w:ascii="Palatino Linotype" w:hAnsi="Palatino Linotype"/>
          <w:szCs w:val="20"/>
        </w:rPr>
        <w:t>,</w:t>
      </w:r>
      <w:r w:rsidRPr="0036005D">
        <w:rPr>
          <w:rFonts w:ascii="Palatino Linotype" w:hAnsi="Palatino Linotype"/>
          <w:szCs w:val="20"/>
        </w:rPr>
        <w:t xml:space="preserve"> al modificar la respuesta</w:t>
      </w:r>
      <w:r w:rsidR="004939EA" w:rsidRPr="0036005D">
        <w:rPr>
          <w:rFonts w:ascii="Palatino Linotype" w:hAnsi="Palatino Linotype"/>
          <w:szCs w:val="20"/>
        </w:rPr>
        <w:t>,</w:t>
      </w:r>
      <w:r w:rsidRPr="0036005D">
        <w:rPr>
          <w:rFonts w:ascii="Palatino Linotype" w:hAnsi="Palatino Linotype"/>
          <w:szCs w:val="20"/>
        </w:rPr>
        <w:t xml:space="preserve"> el recurso de revisión quedó sin materia en términos del </w:t>
      </w:r>
      <w:r w:rsidRPr="0036005D">
        <w:rPr>
          <w:rFonts w:ascii="Palatino Linotype" w:hAnsi="Palatino Linotype"/>
          <w:b/>
          <w:szCs w:val="20"/>
        </w:rPr>
        <w:t>Considerando</w:t>
      </w:r>
      <w:r w:rsidRPr="0036005D">
        <w:rPr>
          <w:rFonts w:ascii="Palatino Linotype" w:hAnsi="Palatino Linotype"/>
          <w:szCs w:val="20"/>
        </w:rPr>
        <w:t xml:space="preserve"> </w:t>
      </w:r>
      <w:r w:rsidRPr="0036005D">
        <w:rPr>
          <w:rFonts w:ascii="Palatino Linotype" w:hAnsi="Palatino Linotype"/>
          <w:b/>
          <w:szCs w:val="20"/>
        </w:rPr>
        <w:t>TERCERO</w:t>
      </w:r>
      <w:r w:rsidRPr="0036005D">
        <w:rPr>
          <w:rFonts w:ascii="Palatino Linotype" w:hAnsi="Palatino Linotype"/>
          <w:szCs w:val="20"/>
        </w:rPr>
        <w:t xml:space="preserve"> de la presente resolución.</w:t>
      </w:r>
    </w:p>
    <w:p w14:paraId="34C9500E" w14:textId="77777777" w:rsidR="005F130C" w:rsidRPr="0036005D" w:rsidRDefault="005F130C" w:rsidP="005F130C">
      <w:pPr>
        <w:pStyle w:val="Sinespaciado"/>
        <w:spacing w:line="360" w:lineRule="auto"/>
        <w:jc w:val="both"/>
        <w:rPr>
          <w:rFonts w:ascii="Palatino Linotype" w:hAnsi="Palatino Linotype"/>
          <w:szCs w:val="20"/>
        </w:rPr>
      </w:pPr>
    </w:p>
    <w:p w14:paraId="2A10F105" w14:textId="1F1AFA66" w:rsidR="005F130C" w:rsidRPr="0036005D" w:rsidRDefault="005F130C" w:rsidP="005F130C">
      <w:pPr>
        <w:pStyle w:val="Sinespaciado"/>
        <w:spacing w:line="360" w:lineRule="auto"/>
        <w:jc w:val="both"/>
        <w:rPr>
          <w:rFonts w:ascii="Palatino Linotype" w:eastAsia="Calibri" w:hAnsi="Palatino Linotype" w:cs="Arial"/>
          <w:b/>
          <w:bCs/>
          <w:lang w:val="es-ES"/>
        </w:rPr>
      </w:pPr>
      <w:r w:rsidRPr="0036005D">
        <w:rPr>
          <w:rFonts w:ascii="Palatino Linotype" w:eastAsia="Calibri" w:hAnsi="Palatino Linotype" w:cs="Arial"/>
          <w:b/>
          <w:bCs/>
          <w:lang w:val="es-ES"/>
        </w:rPr>
        <w:t xml:space="preserve">SEGUNDO. </w:t>
      </w:r>
      <w:r w:rsidR="00C84CB9" w:rsidRPr="0036005D">
        <w:rPr>
          <w:rFonts w:ascii="Palatino Linotype" w:eastAsia="Calibri" w:hAnsi="Palatino Linotype" w:cs="Arial"/>
          <w:b/>
          <w:bCs/>
          <w:lang w:val="es-ES"/>
        </w:rPr>
        <w:t>Notifíquese</w:t>
      </w:r>
      <w:r w:rsidRPr="0036005D">
        <w:rPr>
          <w:rFonts w:ascii="Palatino Linotype" w:eastAsia="Calibri" w:hAnsi="Palatino Linotype" w:cs="Arial"/>
          <w:b/>
          <w:bCs/>
          <w:lang w:val="es-ES"/>
        </w:rPr>
        <w:t xml:space="preserve"> </w:t>
      </w:r>
      <w:r w:rsidRPr="0036005D">
        <w:rPr>
          <w:rFonts w:ascii="Palatino Linotype" w:eastAsia="Calibri" w:hAnsi="Palatino Linotype" w:cs="Arial"/>
          <w:bCs/>
          <w:lang w:val="es-ES"/>
        </w:rPr>
        <w:t xml:space="preserve">a través del Sistema de Acceso a la Información Mexiquense </w:t>
      </w:r>
      <w:r w:rsidRPr="0036005D">
        <w:rPr>
          <w:rFonts w:ascii="Palatino Linotype" w:eastAsia="Calibri" w:hAnsi="Palatino Linotype" w:cs="Arial"/>
          <w:b/>
          <w:bCs/>
          <w:lang w:val="es-ES"/>
        </w:rPr>
        <w:t xml:space="preserve">(SAIMEX) </w:t>
      </w:r>
      <w:r w:rsidRPr="0036005D">
        <w:rPr>
          <w:rFonts w:ascii="Palatino Linotype" w:eastAsia="Calibri" w:hAnsi="Palatino Linotype" w:cs="Arial"/>
          <w:bCs/>
          <w:lang w:val="es-ES"/>
        </w:rPr>
        <w:t>la presente resolución al Titular de la Unidad de Transparencia del</w:t>
      </w:r>
      <w:r w:rsidRPr="0036005D">
        <w:rPr>
          <w:rFonts w:ascii="Palatino Linotype" w:eastAsia="Calibri" w:hAnsi="Palatino Linotype" w:cs="Arial"/>
          <w:b/>
          <w:bCs/>
          <w:lang w:val="es-ES"/>
        </w:rPr>
        <w:t xml:space="preserve"> SUJETO OBLIGADO. </w:t>
      </w:r>
    </w:p>
    <w:p w14:paraId="66FB0EAD" w14:textId="77777777" w:rsidR="005F130C" w:rsidRPr="0036005D" w:rsidRDefault="005F130C" w:rsidP="005F130C">
      <w:pPr>
        <w:pStyle w:val="Sinespaciado"/>
        <w:spacing w:line="360" w:lineRule="auto"/>
        <w:jc w:val="both"/>
        <w:rPr>
          <w:rFonts w:ascii="Palatino Linotype" w:eastAsia="Palatino Linotype" w:hAnsi="Palatino Linotype" w:cs="Palatino Linotype"/>
          <w:b/>
        </w:rPr>
      </w:pPr>
    </w:p>
    <w:p w14:paraId="486EF616" w14:textId="7CF4B537" w:rsidR="005F130C" w:rsidRPr="0036005D" w:rsidRDefault="005F130C" w:rsidP="005F130C">
      <w:pPr>
        <w:pStyle w:val="Sinespaciado"/>
        <w:spacing w:line="360" w:lineRule="auto"/>
        <w:jc w:val="both"/>
        <w:rPr>
          <w:rFonts w:ascii="Palatino Linotype" w:eastAsia="Times New Roman" w:hAnsi="Palatino Linotype" w:cs="Times New Roman"/>
          <w:color w:val="222222"/>
          <w:lang w:val="es-ES" w:eastAsia="es-MX"/>
        </w:rPr>
      </w:pPr>
      <w:r w:rsidRPr="0036005D">
        <w:rPr>
          <w:rFonts w:ascii="Palatino Linotype" w:eastAsia="Times New Roman" w:hAnsi="Palatino Linotype" w:cs="Arial"/>
          <w:b/>
        </w:rPr>
        <w:t xml:space="preserve">TERCERO. </w:t>
      </w:r>
      <w:r w:rsidRPr="0036005D">
        <w:rPr>
          <w:rFonts w:ascii="Palatino Linotype" w:eastAsia="Times New Roman" w:hAnsi="Palatino Linotype" w:cs="Times New Roman"/>
          <w:b/>
          <w:bCs/>
          <w:color w:val="222222"/>
          <w:lang w:val="es-ES"/>
        </w:rPr>
        <w:t xml:space="preserve">Notifíquese </w:t>
      </w:r>
      <w:r w:rsidRPr="0036005D">
        <w:rPr>
          <w:rFonts w:ascii="Palatino Linotype" w:eastAsia="Times New Roman" w:hAnsi="Palatino Linotype" w:cs="Times New Roman"/>
          <w:bCs/>
          <w:color w:val="222222"/>
          <w:lang w:val="es-ES"/>
        </w:rPr>
        <w:t xml:space="preserve">al </w:t>
      </w:r>
      <w:r w:rsidRPr="0036005D">
        <w:rPr>
          <w:rFonts w:ascii="Palatino Linotype" w:eastAsia="Times New Roman" w:hAnsi="Palatino Linotype" w:cs="Times New Roman"/>
          <w:b/>
          <w:bCs/>
          <w:color w:val="222222"/>
          <w:lang w:val="es-ES"/>
        </w:rPr>
        <w:t>RECURRENTE</w:t>
      </w:r>
      <w:r w:rsidRPr="0036005D">
        <w:rPr>
          <w:rFonts w:ascii="Palatino Linotype" w:hAnsi="Palatino Linotype"/>
          <w:b/>
        </w:rPr>
        <w:t xml:space="preserve"> </w:t>
      </w:r>
      <w:r w:rsidRPr="0036005D">
        <w:rPr>
          <w:rFonts w:ascii="Palatino Linotype" w:eastAsia="Times New Roman" w:hAnsi="Palatino Linotype" w:cs="Times New Roman"/>
          <w:color w:val="222222"/>
          <w:lang w:val="es-ES" w:eastAsia="es-MX"/>
        </w:rPr>
        <w:t>la presente resolución.</w:t>
      </w:r>
    </w:p>
    <w:p w14:paraId="63E391C4" w14:textId="77777777" w:rsidR="005F130C" w:rsidRPr="0036005D" w:rsidRDefault="005F130C" w:rsidP="005F130C">
      <w:pPr>
        <w:pStyle w:val="Sinespaciado"/>
        <w:spacing w:line="360" w:lineRule="auto"/>
        <w:jc w:val="both"/>
        <w:rPr>
          <w:rFonts w:ascii="Palatino Linotype" w:eastAsia="Times New Roman" w:hAnsi="Palatino Linotype" w:cs="Times New Roman"/>
          <w:color w:val="222222"/>
          <w:lang w:val="es-ES" w:eastAsia="es-MX"/>
        </w:rPr>
      </w:pPr>
    </w:p>
    <w:p w14:paraId="2C5BFBFF" w14:textId="1FE0BA78" w:rsidR="005F130C" w:rsidRPr="0036005D" w:rsidRDefault="005F130C" w:rsidP="005F130C">
      <w:pPr>
        <w:spacing w:before="240" w:after="360" w:line="360" w:lineRule="auto"/>
        <w:jc w:val="both"/>
        <w:rPr>
          <w:rFonts w:ascii="Palatino Linotype" w:eastAsia="MS Mincho" w:hAnsi="Palatino Linotype" w:cs="Times New Roman"/>
          <w:lang w:val="es-ES"/>
        </w:rPr>
      </w:pPr>
      <w:r w:rsidRPr="0036005D">
        <w:rPr>
          <w:rFonts w:ascii="Palatino Linotype" w:eastAsia="MS Mincho" w:hAnsi="Palatino Linotype" w:cs="Times New Roman"/>
          <w:b/>
        </w:rPr>
        <w:t>CUARTO.</w:t>
      </w:r>
      <w:r w:rsidRPr="0036005D">
        <w:rPr>
          <w:rFonts w:ascii="Palatino Linotype" w:eastAsia="MS Mincho" w:hAnsi="Palatino Linotype" w:cs="Times New Roman"/>
        </w:rPr>
        <w:t xml:space="preserve"> </w:t>
      </w:r>
      <w:r w:rsidRPr="0036005D">
        <w:rPr>
          <w:rFonts w:ascii="Palatino Linotype" w:eastAsia="MS Mincho" w:hAnsi="Palatino Linotype" w:cs="Times New Roman"/>
          <w:lang w:val="es-ES"/>
        </w:rPr>
        <w:t>Se hace del conocimiento de</w:t>
      </w:r>
      <w:r w:rsidRPr="0036005D">
        <w:rPr>
          <w:rFonts w:ascii="Palatino Linotype" w:hAnsi="Palatino Linotype"/>
        </w:rPr>
        <w:t>l</w:t>
      </w:r>
      <w:r w:rsidRPr="0036005D">
        <w:rPr>
          <w:rFonts w:ascii="Palatino Linotype" w:hAnsi="Palatino Linotype"/>
          <w:b/>
        </w:rPr>
        <w:t xml:space="preserve"> RECURRENTE </w:t>
      </w:r>
      <w:r w:rsidRPr="0036005D">
        <w:rPr>
          <w:rFonts w:ascii="Palatino Linotype" w:eastAsia="MS Mincho" w:hAnsi="Palatino Linotype" w:cs="Times New Roman"/>
          <w:lang w:val="es-ES"/>
        </w:rPr>
        <w:t xml:space="preserve">que, </w:t>
      </w:r>
      <w:r w:rsidR="00234796" w:rsidRPr="0036005D">
        <w:rPr>
          <w:rFonts w:ascii="Palatino Linotype" w:eastAsia="MS Mincho" w:hAnsi="Palatino Linotype" w:cs="Times New Roman"/>
          <w:color w:val="000000"/>
        </w:rPr>
        <w:t xml:space="preserve">de conformidad con lo establecido en el artículo 196 de la Ley de Transparencia y Acceso a la Información Pública del Estado de México y Municipios, en caso de que considere que la resolución le cause algún perjuicio podrá impugnarla vía </w:t>
      </w:r>
      <w:r w:rsidR="00234796" w:rsidRPr="0036005D">
        <w:rPr>
          <w:rFonts w:ascii="Palatino Linotype" w:eastAsia="MS Mincho" w:hAnsi="Palatino Linotype" w:cs="Times New Roman"/>
          <w:bCs/>
          <w:color w:val="000000"/>
          <w:lang w:val="es-ES"/>
        </w:rPr>
        <w:t xml:space="preserve">juicio de amparo </w:t>
      </w:r>
      <w:r w:rsidR="00234796" w:rsidRPr="0036005D">
        <w:rPr>
          <w:rFonts w:ascii="Palatino Linotype" w:eastAsia="MS Mincho" w:hAnsi="Palatino Linotype" w:cs="Times New Roman"/>
          <w:color w:val="000000"/>
          <w:lang w:val="es-ES"/>
        </w:rPr>
        <w:t>en los términos de las Leyes aplicables.</w:t>
      </w:r>
    </w:p>
    <w:p w14:paraId="58839BB8" w14:textId="77777777" w:rsidR="0036005D" w:rsidRDefault="0036005D" w:rsidP="0036005D">
      <w:pPr>
        <w:spacing w:before="240" w:after="240" w:line="360" w:lineRule="auto"/>
        <w:ind w:firstLine="1"/>
        <w:jc w:val="both"/>
        <w:rPr>
          <w:rFonts w:ascii="Palatino Linotype" w:hAnsi="Palatino Linotype"/>
        </w:rPr>
      </w:pPr>
      <w:r w:rsidRPr="0036005D">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w:t>
      </w:r>
      <w:r w:rsidRPr="0036005D">
        <w:rPr>
          <w:rFonts w:ascii="Palatino Linotype" w:hAnsi="Palatino Linotype"/>
        </w:rPr>
        <w:lastRenderedPageBreak/>
        <w:t>MORALES MARTÍNEZ; LUIS GUSTAVO PARRA NORIEGA Y GUADALUPE RAMÍREZ PEÑA EN LA DÉCIMA SEXTA SESIÓN ORDINARIA CELEBRADA EL CUATRO (04) DE MAYO DE DOS MIL VEINTIDÓS, ANTE EL SECRETARIO TÉCNICO DEL PLENO ALEXIS TAPIA RAMÍREZ.</w:t>
      </w:r>
      <w:bookmarkStart w:id="24" w:name="_GoBack"/>
      <w:bookmarkEnd w:id="24"/>
      <w:r w:rsidRPr="00624AAD">
        <w:rPr>
          <w:rFonts w:ascii="Palatino Linotype" w:hAnsi="Palatino Linotype"/>
        </w:rPr>
        <w:t xml:space="preserve"> </w:t>
      </w:r>
    </w:p>
    <w:p w14:paraId="7EFA4F21" w14:textId="77777777" w:rsidR="00895335" w:rsidRDefault="00895335">
      <w:pPr>
        <w:rPr>
          <w:rFonts w:ascii="Palatino Linotype" w:hAnsi="Palatino Linotype" w:cs="Arial"/>
          <w:color w:val="000000" w:themeColor="text1"/>
        </w:rPr>
      </w:pPr>
      <w:r>
        <w:rPr>
          <w:rFonts w:ascii="Palatino Linotype" w:hAnsi="Palatino Linotype" w:cs="Arial"/>
          <w:color w:val="000000" w:themeColor="text1"/>
        </w:rPr>
        <w:br w:type="page"/>
      </w:r>
    </w:p>
    <w:sectPr w:rsidR="00895335" w:rsidSect="00472C41">
      <w:headerReference w:type="default"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DED553" w14:textId="77777777" w:rsidR="00122C0D" w:rsidRDefault="00122C0D" w:rsidP="00587366">
      <w:r>
        <w:separator/>
      </w:r>
    </w:p>
  </w:endnote>
  <w:endnote w:type="continuationSeparator" w:id="0">
    <w:p w14:paraId="11A9A8F4" w14:textId="77777777" w:rsidR="00122C0D" w:rsidRDefault="00122C0D"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10661408" w:rsidR="00F176C0" w:rsidRPr="00883450" w:rsidRDefault="00F176C0">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36005D">
              <w:rPr>
                <w:rFonts w:ascii="Palatino Linotype" w:hAnsi="Palatino Linotype"/>
                <w:b/>
                <w:bCs/>
                <w:noProof/>
                <w:sz w:val="22"/>
                <w:szCs w:val="20"/>
              </w:rPr>
              <w:t>34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36005D">
              <w:rPr>
                <w:rFonts w:ascii="Palatino Linotype" w:hAnsi="Palatino Linotype"/>
                <w:b/>
                <w:bCs/>
                <w:noProof/>
                <w:sz w:val="22"/>
                <w:szCs w:val="20"/>
              </w:rPr>
              <w:t>36</w:t>
            </w:r>
            <w:r w:rsidRPr="00883450">
              <w:rPr>
                <w:rFonts w:ascii="Palatino Linotype" w:hAnsi="Palatino Linotype"/>
                <w:b/>
                <w:bCs/>
                <w:sz w:val="22"/>
                <w:szCs w:val="20"/>
              </w:rPr>
              <w:fldChar w:fldCharType="end"/>
            </w:r>
          </w:p>
        </w:sdtContent>
      </w:sdt>
    </w:sdtContent>
  </w:sdt>
  <w:p w14:paraId="6243EC1B" w14:textId="47B193F0" w:rsidR="00F176C0" w:rsidRDefault="00F176C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2A420DD" w:rsidR="00F176C0" w:rsidRPr="00883450" w:rsidRDefault="00F176C0"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36005D" w:rsidRPr="0036005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36005D" w:rsidRPr="0036005D">
      <w:rPr>
        <w:rFonts w:ascii="Palatino Linotype" w:hAnsi="Palatino Linotype"/>
        <w:noProof/>
        <w:sz w:val="22"/>
        <w:szCs w:val="22"/>
        <w:lang w:val="es-ES"/>
      </w:rPr>
      <w:t>36</w:t>
    </w:r>
    <w:r w:rsidRPr="00883450">
      <w:rPr>
        <w:rFonts w:ascii="Palatino Linotype" w:hAnsi="Palatino Linotype"/>
        <w:sz w:val="22"/>
        <w:szCs w:val="22"/>
      </w:rPr>
      <w:fldChar w:fldCharType="end"/>
    </w:r>
  </w:p>
  <w:p w14:paraId="5F5C4865" w14:textId="0A9A2B26" w:rsidR="00F176C0" w:rsidRPr="00883450" w:rsidRDefault="00F176C0">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CE881D" w14:textId="77777777" w:rsidR="00122C0D" w:rsidRDefault="00122C0D" w:rsidP="00587366">
      <w:r>
        <w:separator/>
      </w:r>
    </w:p>
  </w:footnote>
  <w:footnote w:type="continuationSeparator" w:id="0">
    <w:p w14:paraId="68E4573A" w14:textId="77777777" w:rsidR="00122C0D" w:rsidRDefault="00122C0D" w:rsidP="00587366">
      <w:r>
        <w:continuationSeparator/>
      </w:r>
    </w:p>
  </w:footnote>
  <w:footnote w:id="1">
    <w:p w14:paraId="2604EA64" w14:textId="77777777" w:rsidR="007810A0" w:rsidRPr="009C43C2" w:rsidRDefault="007810A0" w:rsidP="007810A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Convención Americana sobre Derechos Humanos. Artículo 13.</w:t>
      </w:r>
    </w:p>
  </w:footnote>
  <w:footnote w:id="2">
    <w:p w14:paraId="25A0D09B" w14:textId="77777777" w:rsidR="007810A0" w:rsidRPr="009C43C2" w:rsidRDefault="007810A0" w:rsidP="007810A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Constitución Política de los Estados Unidos Mexicanos. Artículo sexto, sección A, fracción I.</w:t>
      </w:r>
    </w:p>
  </w:footnote>
  <w:footnote w:id="3">
    <w:p w14:paraId="256F7F5C" w14:textId="77777777" w:rsidR="007810A0" w:rsidRPr="009C43C2" w:rsidRDefault="007810A0" w:rsidP="007810A0">
      <w:pPr>
        <w:pStyle w:val="Textonotapie"/>
        <w:rPr>
          <w:rFonts w:ascii="Palatino Linotype" w:hAnsi="Palatino Linotype"/>
          <w:sz w:val="18"/>
        </w:rPr>
      </w:pPr>
      <w:r w:rsidRPr="009C43C2">
        <w:rPr>
          <w:rStyle w:val="Refdenotaalpie"/>
          <w:rFonts w:ascii="Palatino Linotype" w:hAnsi="Palatino Linotype"/>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4">
    <w:p w14:paraId="4175B6FA" w14:textId="77777777" w:rsidR="007810A0" w:rsidRDefault="007810A0" w:rsidP="007810A0">
      <w:pPr>
        <w:pStyle w:val="Textonotapie"/>
      </w:pPr>
      <w:r w:rsidRPr="009C43C2">
        <w:rPr>
          <w:rStyle w:val="Refdenotaalpie"/>
          <w:rFonts w:ascii="Palatino Linotype" w:hAnsi="Palatino Linotype"/>
        </w:rPr>
        <w:footnoteRef/>
      </w:r>
      <w:r w:rsidRPr="009C43C2">
        <w:rPr>
          <w:rFonts w:ascii="Palatino Linotype" w:hAnsi="Palatino Linotype"/>
          <w:sz w:val="18"/>
        </w:rPr>
        <w:t xml:space="preserve"> Ibídem. Parr. 87.</w:t>
      </w:r>
    </w:p>
  </w:footnote>
  <w:footnote w:id="5">
    <w:p w14:paraId="5BF96465" w14:textId="77777777" w:rsidR="007810A0" w:rsidRDefault="007810A0" w:rsidP="00781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3, fracción XI, Ley de Transparencia y Acceso a la Información Pública del Estado de México y Municipios.</w:t>
      </w:r>
    </w:p>
  </w:footnote>
  <w:footnote w:id="6">
    <w:p w14:paraId="098D4CCA" w14:textId="77777777" w:rsidR="007810A0" w:rsidRDefault="007810A0" w:rsidP="007810A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Artículo 11, Ley de Transparencia y Acceso a la Información Pública del Estado de México y Municipios.</w:t>
      </w:r>
    </w:p>
  </w:footnote>
  <w:footnote w:id="7">
    <w:p w14:paraId="0CC7898C" w14:textId="77777777" w:rsidR="007810A0" w:rsidRDefault="007810A0" w:rsidP="007810A0">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8"/>
          <w:szCs w:val="18"/>
        </w:rPr>
        <w:t xml:space="preserve">Ley de Transparencia y Acceso a la Información Pública del Estado de México y Municipios. </w:t>
      </w:r>
    </w:p>
    <w:p w14:paraId="5DF4811F" w14:textId="77777777" w:rsidR="007810A0" w:rsidRDefault="007810A0" w:rsidP="007810A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“Artículo 9.(…)</w:t>
      </w:r>
    </w:p>
    <w:p w14:paraId="080A641F" w14:textId="77777777" w:rsidR="007810A0" w:rsidRDefault="007810A0" w:rsidP="007810A0">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 Eficacia: Obligación del Instituto para tutelar, de manera efectiva, el derecho de acceso a la información;</w:t>
      </w:r>
    </w:p>
    <w:p w14:paraId="11AFB548" w14:textId="77777777" w:rsidR="007810A0" w:rsidRDefault="007810A0" w:rsidP="007810A0">
      <w:pPr>
        <w:pBdr>
          <w:top w:val="nil"/>
          <w:left w:val="nil"/>
          <w:bottom w:val="nil"/>
          <w:right w:val="nil"/>
          <w:between w:val="nil"/>
        </w:pBdr>
        <w:rPr>
          <w:color w:val="000000"/>
          <w:sz w:val="20"/>
          <w:szCs w:val="20"/>
        </w:rPr>
      </w:pPr>
      <w:r>
        <w:rPr>
          <w:color w:val="000000"/>
          <w:sz w:val="20"/>
          <w:szCs w:val="20"/>
        </w:rPr>
        <w:t>(…)”</w:t>
      </w:r>
    </w:p>
  </w:footnote>
  <w:footnote w:id="8">
    <w:p w14:paraId="4B1A855F" w14:textId="77777777" w:rsidR="00F176C0" w:rsidRDefault="00F176C0" w:rsidP="004D7686">
      <w:pPr>
        <w:pStyle w:val="Textonotapie"/>
      </w:pPr>
      <w:r>
        <w:rPr>
          <w:rStyle w:val="Refdenotaalpie"/>
        </w:rPr>
        <w:footnoteRef/>
      </w:r>
      <w:r>
        <w:t xml:space="preserve"> Artículo 50, Ley de Transparencia y Acceso a la Información Pública del Estado de México y Municipios.</w:t>
      </w:r>
    </w:p>
  </w:footnote>
  <w:footnote w:id="9">
    <w:p w14:paraId="537B7789" w14:textId="77777777" w:rsidR="00F176C0" w:rsidRDefault="00F176C0" w:rsidP="004D7686">
      <w:pPr>
        <w:pStyle w:val="Textonotapie"/>
      </w:pPr>
      <w:r>
        <w:rPr>
          <w:rStyle w:val="Refdenotaalpie"/>
        </w:rPr>
        <w:footnoteRef/>
      </w:r>
      <w:r>
        <w:t xml:space="preserve"> Artículo 51, Ídem.</w:t>
      </w:r>
    </w:p>
  </w:footnote>
  <w:footnote w:id="10">
    <w:p w14:paraId="38A7DC46" w14:textId="77777777" w:rsidR="00F176C0" w:rsidRDefault="00F176C0" w:rsidP="004D7686">
      <w:pPr>
        <w:pStyle w:val="Textonotapie"/>
      </w:pPr>
      <w:r>
        <w:rPr>
          <w:rStyle w:val="Refdenotaalpie"/>
        </w:rPr>
        <w:footnoteRef/>
      </w:r>
      <w:r>
        <w:t xml:space="preserve"> Artículo 58, Ley de Transparencia y Acceso a la Información Pública del Estado de México y Municipios.</w:t>
      </w:r>
    </w:p>
  </w:footnote>
  <w:footnote w:id="11">
    <w:p w14:paraId="1ABA3C3A" w14:textId="77777777" w:rsidR="00F176C0" w:rsidRDefault="00F176C0" w:rsidP="004D7686">
      <w:pPr>
        <w:pStyle w:val="Textonotapie"/>
      </w:pPr>
      <w:r>
        <w:rPr>
          <w:rStyle w:val="Refdenotaalpie"/>
        </w:rPr>
        <w:footnoteRef/>
      </w:r>
      <w:r>
        <w:t xml:space="preserve"> Artículo 59, Ídem.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709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831"/>
    </w:tblGrid>
    <w:tr w:rsidR="00F176C0" w:rsidRPr="00A36D6E" w14:paraId="07F2896E" w14:textId="77777777" w:rsidTr="00A36D6E">
      <w:trPr>
        <w:trHeight w:val="138"/>
        <w:jc w:val="right"/>
      </w:trPr>
      <w:tc>
        <w:tcPr>
          <w:tcW w:w="3261" w:type="dxa"/>
          <w:vAlign w:val="center"/>
        </w:tcPr>
        <w:p w14:paraId="4A5B1974" w14:textId="73185C4A" w:rsidR="00F176C0" w:rsidRPr="00A36D6E" w:rsidRDefault="00F176C0" w:rsidP="005F1362">
          <w:pPr>
            <w:ind w:right="34"/>
            <w:jc w:val="right"/>
            <w:rPr>
              <w:rFonts w:ascii="Palatino Linotype" w:hAnsi="Palatino Linotype"/>
              <w:b/>
              <w:sz w:val="21"/>
              <w:szCs w:val="21"/>
            </w:rPr>
          </w:pPr>
          <w:r w:rsidRPr="00A36D6E">
            <w:rPr>
              <w:rFonts w:ascii="Palatino Linotype" w:hAnsi="Palatino Linotype"/>
              <w:b/>
              <w:sz w:val="21"/>
              <w:szCs w:val="21"/>
            </w:rPr>
            <w:t>RECURSO DE REVISIÓN:</w:t>
          </w:r>
        </w:p>
      </w:tc>
      <w:tc>
        <w:tcPr>
          <w:tcW w:w="3831" w:type="dxa"/>
          <w:vAlign w:val="center"/>
        </w:tcPr>
        <w:p w14:paraId="3A05B4B6" w14:textId="1F939928" w:rsidR="00F176C0" w:rsidRPr="00A36D6E" w:rsidRDefault="00F176C0" w:rsidP="005F1362">
          <w:pPr>
            <w:pStyle w:val="Encabezado"/>
            <w:jc w:val="both"/>
            <w:rPr>
              <w:rFonts w:ascii="Palatino Linotype" w:hAnsi="Palatino Linotype"/>
              <w:b/>
              <w:sz w:val="21"/>
              <w:szCs w:val="21"/>
            </w:rPr>
          </w:pPr>
          <w:r w:rsidRPr="00A36D6E">
            <w:rPr>
              <w:rFonts w:ascii="Palatino Linotype" w:hAnsi="Palatino Linotype"/>
              <w:b/>
              <w:sz w:val="21"/>
              <w:szCs w:val="21"/>
            </w:rPr>
            <w:t>03533/INFOEM/IP/RR/2022</w:t>
          </w:r>
        </w:p>
      </w:tc>
    </w:tr>
    <w:tr w:rsidR="00F176C0" w:rsidRPr="00A36D6E" w14:paraId="1B5D8690" w14:textId="77777777" w:rsidTr="00A36D6E">
      <w:trPr>
        <w:trHeight w:val="233"/>
        <w:jc w:val="right"/>
      </w:trPr>
      <w:tc>
        <w:tcPr>
          <w:tcW w:w="3261" w:type="dxa"/>
          <w:vAlign w:val="center"/>
        </w:tcPr>
        <w:p w14:paraId="3903F2C6" w14:textId="22D569F8" w:rsidR="00F176C0" w:rsidRPr="00A36D6E" w:rsidRDefault="00F176C0" w:rsidP="00A36D6E">
          <w:pPr>
            <w:ind w:right="34"/>
            <w:jc w:val="right"/>
            <w:rPr>
              <w:rFonts w:ascii="Palatino Linotype" w:hAnsi="Palatino Linotype"/>
              <w:b/>
              <w:sz w:val="21"/>
              <w:szCs w:val="21"/>
            </w:rPr>
          </w:pPr>
          <w:r w:rsidRPr="00A36D6E">
            <w:rPr>
              <w:rFonts w:ascii="Palatino Linotype" w:hAnsi="Palatino Linotype"/>
              <w:b/>
              <w:sz w:val="21"/>
              <w:szCs w:val="21"/>
            </w:rPr>
            <w:t>SUJETO OBLIGADO:</w:t>
          </w:r>
        </w:p>
      </w:tc>
      <w:tc>
        <w:tcPr>
          <w:tcW w:w="3831" w:type="dxa"/>
          <w:vAlign w:val="center"/>
        </w:tcPr>
        <w:p w14:paraId="03C799A2" w14:textId="0C18399D" w:rsidR="00F176C0" w:rsidRPr="00A36D6E" w:rsidRDefault="00F176C0" w:rsidP="00A36D6E">
          <w:pPr>
            <w:pStyle w:val="Encabezado"/>
            <w:rPr>
              <w:rFonts w:ascii="Palatino Linotype" w:hAnsi="Palatino Linotype"/>
              <w:b/>
              <w:sz w:val="21"/>
              <w:szCs w:val="21"/>
            </w:rPr>
          </w:pPr>
          <w:r w:rsidRPr="00A36D6E">
            <w:rPr>
              <w:rFonts w:ascii="Palatino Linotype" w:hAnsi="Palatino Linotype"/>
              <w:b/>
              <w:bCs/>
              <w:color w:val="000000"/>
              <w:sz w:val="21"/>
              <w:szCs w:val="21"/>
            </w:rPr>
            <w:t>Instituto de Transparencia, Acceso a la Información Pública y Protección de Datos Personales del Estado de México y Municipios</w:t>
          </w:r>
        </w:p>
      </w:tc>
    </w:tr>
    <w:tr w:rsidR="00F176C0" w:rsidRPr="00A36D6E" w14:paraId="095EB01B" w14:textId="77777777" w:rsidTr="00A36D6E">
      <w:trPr>
        <w:trHeight w:val="321"/>
        <w:jc w:val="right"/>
      </w:trPr>
      <w:tc>
        <w:tcPr>
          <w:tcW w:w="3261" w:type="dxa"/>
          <w:vAlign w:val="center"/>
        </w:tcPr>
        <w:p w14:paraId="6E000A51" w14:textId="05E1861A" w:rsidR="00F176C0" w:rsidRPr="00A36D6E" w:rsidRDefault="00F176C0" w:rsidP="006E6B65">
          <w:pPr>
            <w:ind w:right="34"/>
            <w:jc w:val="right"/>
            <w:rPr>
              <w:rFonts w:ascii="Palatino Linotype" w:hAnsi="Palatino Linotype"/>
              <w:b/>
              <w:sz w:val="21"/>
              <w:szCs w:val="21"/>
            </w:rPr>
          </w:pPr>
          <w:r w:rsidRPr="00A36D6E">
            <w:rPr>
              <w:rFonts w:ascii="Palatino Linotype" w:hAnsi="Palatino Linotype"/>
              <w:b/>
              <w:sz w:val="21"/>
              <w:szCs w:val="21"/>
            </w:rPr>
            <w:t>COMISIONADA PONENTE:</w:t>
          </w:r>
        </w:p>
      </w:tc>
      <w:tc>
        <w:tcPr>
          <w:tcW w:w="3831" w:type="dxa"/>
          <w:vAlign w:val="center"/>
        </w:tcPr>
        <w:p w14:paraId="07560085" w14:textId="64DC8836" w:rsidR="00F176C0" w:rsidRPr="00A36D6E" w:rsidRDefault="00F176C0" w:rsidP="00472C41">
          <w:pPr>
            <w:pStyle w:val="Encabezado"/>
            <w:rPr>
              <w:rFonts w:ascii="Palatino Linotype" w:hAnsi="Palatino Linotype"/>
              <w:b/>
              <w:sz w:val="21"/>
              <w:szCs w:val="21"/>
            </w:rPr>
          </w:pPr>
          <w:r w:rsidRPr="00A36D6E">
            <w:rPr>
              <w:rFonts w:ascii="Palatino Linotype" w:hAnsi="Palatino Linotype"/>
              <w:b/>
              <w:sz w:val="21"/>
              <w:szCs w:val="21"/>
            </w:rPr>
            <w:t>María del Rosario Mejía Ayala</w:t>
          </w:r>
        </w:p>
      </w:tc>
    </w:tr>
  </w:tbl>
  <w:p w14:paraId="1096C1B8" w14:textId="08997A06" w:rsidR="00F176C0" w:rsidRDefault="00F176C0" w:rsidP="00472C41">
    <w:pPr>
      <w:pStyle w:val="Encabezado"/>
    </w:pPr>
    <w:r>
      <w:rPr>
        <w:noProof/>
        <w:lang w:eastAsia="es-MX"/>
      </w:rPr>
      <w:drawing>
        <wp:anchor distT="0" distB="0" distL="114300" distR="114300" simplePos="0" relativeHeight="251657216" behindDoc="1" locked="0" layoutInCell="0" allowOverlap="1" wp14:anchorId="1A29E15A" wp14:editId="7171E0CE">
          <wp:simplePos x="0" y="0"/>
          <wp:positionH relativeFrom="page">
            <wp:posOffset>28575</wp:posOffset>
          </wp:positionH>
          <wp:positionV relativeFrom="page">
            <wp:posOffset>38100</wp:posOffset>
          </wp:positionV>
          <wp:extent cx="7695210" cy="10020839"/>
          <wp:effectExtent l="0" t="0" r="127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95210" cy="10020839"/>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951"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37"/>
    </w:tblGrid>
    <w:tr w:rsidR="00F176C0" w:rsidRPr="00A36D6E" w14:paraId="0A3256F2" w14:textId="77777777" w:rsidTr="00A36D6E">
      <w:trPr>
        <w:trHeight w:val="138"/>
        <w:jc w:val="right"/>
      </w:trPr>
      <w:tc>
        <w:tcPr>
          <w:tcW w:w="3114" w:type="dxa"/>
          <w:vAlign w:val="center"/>
        </w:tcPr>
        <w:p w14:paraId="3D80769D" w14:textId="2177C5BB" w:rsidR="00F176C0" w:rsidRPr="00A36D6E" w:rsidRDefault="00F176C0" w:rsidP="005F1362">
          <w:pPr>
            <w:jc w:val="right"/>
            <w:rPr>
              <w:rFonts w:ascii="Palatino Linotype" w:hAnsi="Palatino Linotype"/>
              <w:b/>
              <w:sz w:val="20"/>
              <w:szCs w:val="22"/>
            </w:rPr>
          </w:pPr>
          <w:r w:rsidRPr="00A36D6E">
            <w:rPr>
              <w:rFonts w:ascii="Palatino Linotype" w:hAnsi="Palatino Linotype"/>
              <w:b/>
              <w:sz w:val="20"/>
              <w:szCs w:val="22"/>
            </w:rPr>
            <w:t>RECURSO DE REVISIÓN:</w:t>
          </w:r>
        </w:p>
      </w:tc>
      <w:tc>
        <w:tcPr>
          <w:tcW w:w="3837" w:type="dxa"/>
          <w:vAlign w:val="center"/>
        </w:tcPr>
        <w:p w14:paraId="0453495E" w14:textId="4EB9319C" w:rsidR="00F176C0" w:rsidRPr="00A36D6E" w:rsidRDefault="00F176C0" w:rsidP="005F1362">
          <w:pPr>
            <w:pStyle w:val="Encabezado"/>
            <w:rPr>
              <w:rFonts w:ascii="Palatino Linotype" w:hAnsi="Palatino Linotype"/>
              <w:b/>
              <w:sz w:val="20"/>
              <w:szCs w:val="22"/>
            </w:rPr>
          </w:pPr>
          <w:r w:rsidRPr="00A36D6E">
            <w:rPr>
              <w:rFonts w:ascii="Palatino Linotype" w:hAnsi="Palatino Linotype"/>
              <w:b/>
              <w:sz w:val="20"/>
              <w:szCs w:val="22"/>
            </w:rPr>
            <w:t>03533/INFOEM/IP/RR/2022</w:t>
          </w:r>
        </w:p>
      </w:tc>
    </w:tr>
    <w:tr w:rsidR="00F176C0" w:rsidRPr="00A36D6E" w14:paraId="128C8B3C" w14:textId="77777777" w:rsidTr="00A36D6E">
      <w:trPr>
        <w:trHeight w:val="233"/>
        <w:jc w:val="right"/>
      </w:trPr>
      <w:tc>
        <w:tcPr>
          <w:tcW w:w="3114" w:type="dxa"/>
          <w:vAlign w:val="center"/>
        </w:tcPr>
        <w:p w14:paraId="483E3371" w14:textId="66B1BC74" w:rsidR="00F176C0" w:rsidRPr="00A36D6E" w:rsidRDefault="00F176C0" w:rsidP="00472C41">
          <w:pPr>
            <w:jc w:val="right"/>
            <w:rPr>
              <w:rFonts w:ascii="Palatino Linotype" w:hAnsi="Palatino Linotype"/>
              <w:b/>
              <w:sz w:val="20"/>
              <w:szCs w:val="22"/>
            </w:rPr>
          </w:pPr>
          <w:r w:rsidRPr="00A36D6E">
            <w:rPr>
              <w:rFonts w:ascii="Palatino Linotype" w:hAnsi="Palatino Linotype"/>
              <w:b/>
              <w:sz w:val="20"/>
              <w:szCs w:val="22"/>
            </w:rPr>
            <w:t>RECURRENTE:</w:t>
          </w:r>
        </w:p>
      </w:tc>
      <w:tc>
        <w:tcPr>
          <w:tcW w:w="3837" w:type="dxa"/>
        </w:tcPr>
        <w:p w14:paraId="1548525E" w14:textId="26B8D935" w:rsidR="00F176C0" w:rsidRPr="00A36D6E" w:rsidRDefault="00F176C0" w:rsidP="0058757A">
          <w:pPr>
            <w:pStyle w:val="Encabezado"/>
            <w:rPr>
              <w:rFonts w:ascii="Palatino Linotype" w:hAnsi="Palatino Linotype"/>
              <w:b/>
              <w:sz w:val="20"/>
              <w:szCs w:val="22"/>
            </w:rPr>
          </w:pPr>
          <w:r w:rsidRPr="00A36D6E">
            <w:rPr>
              <w:rFonts w:ascii="Palatino Linotype" w:hAnsi="Palatino Linotype"/>
              <w:b/>
              <w:sz w:val="20"/>
              <w:szCs w:val="22"/>
            </w:rPr>
            <w:t>RECURRENTE</w:t>
          </w:r>
        </w:p>
      </w:tc>
    </w:tr>
    <w:tr w:rsidR="00F176C0" w:rsidRPr="00A36D6E" w14:paraId="41BE0704" w14:textId="77777777" w:rsidTr="00A36D6E">
      <w:trPr>
        <w:trHeight w:val="321"/>
        <w:jc w:val="right"/>
      </w:trPr>
      <w:tc>
        <w:tcPr>
          <w:tcW w:w="3114" w:type="dxa"/>
          <w:vAlign w:val="center"/>
        </w:tcPr>
        <w:p w14:paraId="34C64148" w14:textId="10C6C8A9" w:rsidR="00F176C0" w:rsidRPr="00A36D6E" w:rsidRDefault="00F176C0" w:rsidP="005F1362">
          <w:pPr>
            <w:jc w:val="right"/>
            <w:rPr>
              <w:rFonts w:ascii="Palatino Linotype" w:hAnsi="Palatino Linotype"/>
              <w:b/>
              <w:sz w:val="20"/>
              <w:szCs w:val="22"/>
            </w:rPr>
          </w:pPr>
          <w:r w:rsidRPr="00A36D6E">
            <w:rPr>
              <w:rFonts w:ascii="Palatino Linotype" w:hAnsi="Palatino Linotype"/>
              <w:b/>
              <w:sz w:val="20"/>
              <w:szCs w:val="22"/>
            </w:rPr>
            <w:t>SUJETO OBLIGADO:</w:t>
          </w:r>
        </w:p>
      </w:tc>
      <w:tc>
        <w:tcPr>
          <w:tcW w:w="3837" w:type="dxa"/>
          <w:vAlign w:val="center"/>
        </w:tcPr>
        <w:p w14:paraId="34C341BF" w14:textId="2D4B77D7" w:rsidR="00F176C0" w:rsidRPr="00A36D6E" w:rsidRDefault="00F176C0" w:rsidP="009B0E35">
          <w:pPr>
            <w:pStyle w:val="Encabezado"/>
            <w:rPr>
              <w:rFonts w:ascii="Palatino Linotype" w:hAnsi="Palatino Linotype"/>
              <w:b/>
              <w:sz w:val="20"/>
              <w:szCs w:val="22"/>
            </w:rPr>
          </w:pPr>
          <w:r w:rsidRPr="00A36D6E">
            <w:rPr>
              <w:rFonts w:ascii="Palatino Linotype" w:hAnsi="Palatino Linotype"/>
              <w:b/>
              <w:bCs/>
              <w:color w:val="000000"/>
              <w:sz w:val="20"/>
              <w:szCs w:val="22"/>
            </w:rPr>
            <w:t>Instituto de Transparencia, Acceso a la Información Pública y Protección de Datos Personales del Estado de México y Municipios</w:t>
          </w:r>
        </w:p>
      </w:tc>
    </w:tr>
    <w:tr w:rsidR="00F176C0" w:rsidRPr="00A36D6E" w14:paraId="0C8B6193" w14:textId="77777777" w:rsidTr="00A36D6E">
      <w:trPr>
        <w:trHeight w:val="321"/>
        <w:jc w:val="right"/>
      </w:trPr>
      <w:tc>
        <w:tcPr>
          <w:tcW w:w="3114" w:type="dxa"/>
          <w:vAlign w:val="center"/>
        </w:tcPr>
        <w:p w14:paraId="321FFAFF" w14:textId="0E8C2CE7" w:rsidR="00F176C0" w:rsidRPr="00A36D6E" w:rsidRDefault="00F176C0" w:rsidP="00472C41">
          <w:pPr>
            <w:jc w:val="right"/>
            <w:rPr>
              <w:rFonts w:ascii="Palatino Linotype" w:hAnsi="Palatino Linotype"/>
              <w:b/>
              <w:sz w:val="20"/>
              <w:szCs w:val="22"/>
            </w:rPr>
          </w:pPr>
          <w:r w:rsidRPr="00A36D6E">
            <w:rPr>
              <w:rFonts w:ascii="Palatino Linotype" w:hAnsi="Palatino Linotype"/>
              <w:b/>
              <w:sz w:val="20"/>
              <w:szCs w:val="22"/>
            </w:rPr>
            <w:t>COMISIONADA PONENTE:</w:t>
          </w:r>
        </w:p>
      </w:tc>
      <w:tc>
        <w:tcPr>
          <w:tcW w:w="3837" w:type="dxa"/>
          <w:vAlign w:val="center"/>
        </w:tcPr>
        <w:p w14:paraId="0FECDA9D" w14:textId="6D336FD0" w:rsidR="00F176C0" w:rsidRPr="00A36D6E" w:rsidRDefault="00F176C0" w:rsidP="00B44F9F">
          <w:pPr>
            <w:pStyle w:val="Encabezado"/>
            <w:ind w:left="33"/>
            <w:rPr>
              <w:rFonts w:ascii="Palatino Linotype" w:hAnsi="Palatino Linotype"/>
              <w:b/>
              <w:sz w:val="20"/>
              <w:szCs w:val="22"/>
            </w:rPr>
          </w:pPr>
          <w:r w:rsidRPr="00A36D6E">
            <w:rPr>
              <w:rFonts w:ascii="Palatino Linotype" w:hAnsi="Palatino Linotype"/>
              <w:b/>
              <w:sz w:val="20"/>
              <w:szCs w:val="22"/>
            </w:rPr>
            <w:t>María del Rosario Mejía Ayala</w:t>
          </w:r>
        </w:p>
      </w:tc>
    </w:tr>
  </w:tbl>
  <w:p w14:paraId="156B5574" w14:textId="0AE94B16" w:rsidR="00F176C0" w:rsidRDefault="00122C0D" w:rsidP="00472C41">
    <w:pPr>
      <w:pStyle w:val="Encabezado"/>
      <w:tabs>
        <w:tab w:val="clear" w:pos="4252"/>
        <w:tab w:val="clear" w:pos="8504"/>
        <w:tab w:val="left" w:pos="3103"/>
      </w:tabs>
    </w:pPr>
    <w:r>
      <w:rPr>
        <w:noProof/>
      </w:rPr>
      <w:pict w14:anchorId="1A29E1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505343" o:spid="_x0000_s2049" type="#_x0000_t75" style="position:absolute;margin-left:-91.7pt;margin-top:-124.85pt;width:663.5pt;height:12in;z-index:-251658240;mso-position-horizontal-relative:margin;mso-position-vertical-relative:margin" o:allowincell="f">
          <v:imagedata r:id="rId1" o:title="PHOTO-2020-08-13-10-14-39"/>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C9C78A6"/>
    <w:multiLevelType w:val="hybridMultilevel"/>
    <w:tmpl w:val="3B6E6710"/>
    <w:lvl w:ilvl="0" w:tplc="7AF6A864">
      <w:start w:val="1"/>
      <w:numFmt w:val="upperRoman"/>
      <w:lvlText w:val="%1."/>
      <w:lvlJc w:val="right"/>
      <w:pPr>
        <w:ind w:left="720" w:hanging="360"/>
      </w:pPr>
      <w:rPr>
        <w:b/>
      </w:rPr>
    </w:lvl>
    <w:lvl w:ilvl="1" w:tplc="4A5638F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E2C5FC2"/>
    <w:multiLevelType w:val="hybridMultilevel"/>
    <w:tmpl w:val="0B367EEE"/>
    <w:lvl w:ilvl="0" w:tplc="FFFFFFFF">
      <w:start w:val="1"/>
      <w:numFmt w:val="decimal"/>
      <w:lvlText w:val="%1."/>
      <w:lvlJc w:val="left"/>
      <w:pPr>
        <w:ind w:left="0" w:firstLine="0"/>
      </w:pPr>
      <w:rPr>
        <w:rFonts w:ascii="Palatino Linotype" w:hAnsi="Palatino Linotype" w:hint="default"/>
        <w:b/>
        <w:i w:val="0"/>
        <w:sz w:val="24"/>
      </w:rPr>
    </w:lvl>
    <w:lvl w:ilvl="1" w:tplc="13BA27A6">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0DE5129"/>
    <w:multiLevelType w:val="hybridMultilevel"/>
    <w:tmpl w:val="53F8ACB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D908B796">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6085657"/>
    <w:multiLevelType w:val="hybridMultilevel"/>
    <w:tmpl w:val="CA44390C"/>
    <w:lvl w:ilvl="0" w:tplc="FFFFFFFF">
      <w:start w:val="1"/>
      <w:numFmt w:val="decimal"/>
      <w:lvlText w:val="%1."/>
      <w:lvlJc w:val="left"/>
      <w:pPr>
        <w:ind w:left="0" w:firstLine="0"/>
      </w:pPr>
      <w:rPr>
        <w:rFonts w:ascii="Palatino Linotype" w:hAnsi="Palatino Linotype" w:hint="default"/>
        <w:b/>
        <w:i w:val="0"/>
        <w:sz w:val="24"/>
      </w:rPr>
    </w:lvl>
    <w:lvl w:ilvl="1" w:tplc="E6CCE028">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D004453"/>
    <w:multiLevelType w:val="hybridMultilevel"/>
    <w:tmpl w:val="0CE27EF6"/>
    <w:lvl w:ilvl="0" w:tplc="FFFFFFFF">
      <w:start w:val="1"/>
      <w:numFmt w:val="upperRoman"/>
      <w:lvlText w:val="%1."/>
      <w:lvlJc w:val="right"/>
      <w:pPr>
        <w:ind w:left="720" w:hanging="360"/>
      </w:pPr>
      <w:rPr>
        <w:b/>
      </w:rPr>
    </w:lvl>
    <w:lvl w:ilvl="1" w:tplc="3E3E3206">
      <w:start w:val="1"/>
      <w:numFmt w:val="lowerLetter"/>
      <w:lvlText w:val="%2)"/>
      <w:lvlJc w:val="lef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DDC4946"/>
    <w:multiLevelType w:val="hybridMultilevel"/>
    <w:tmpl w:val="0D0CF696"/>
    <w:lvl w:ilvl="0" w:tplc="FFFFFFFF">
      <w:start w:val="1"/>
      <w:numFmt w:val="decimal"/>
      <w:lvlText w:val="%1."/>
      <w:lvlJc w:val="left"/>
      <w:pPr>
        <w:ind w:left="0" w:firstLine="0"/>
      </w:pPr>
      <w:rPr>
        <w:rFonts w:ascii="Palatino Linotype" w:hAnsi="Palatino Linotype" w:hint="default"/>
        <w:b/>
        <w:i w:val="0"/>
        <w:sz w:val="24"/>
      </w:rPr>
    </w:lvl>
    <w:lvl w:ilvl="1" w:tplc="FFFFFFFF">
      <w:start w:val="1"/>
      <w:numFmt w:val="upperRoman"/>
      <w:lvlText w:val="%2."/>
      <w:lvlJc w:val="right"/>
      <w:pPr>
        <w:ind w:left="1440" w:hanging="360"/>
      </w:pPr>
      <w:rPr>
        <w:rFonts w:hint="default"/>
        <w:b/>
        <w:bCs/>
        <w:i w:val="0"/>
        <w:iCs w:val="0"/>
      </w:rPr>
    </w:lvl>
    <w:lvl w:ilvl="2" w:tplc="78302830">
      <w:start w:val="1"/>
      <w:numFmt w:val="lowerLetter"/>
      <w:lvlText w:val="%3)"/>
      <w:lvlJc w:val="left"/>
      <w:pPr>
        <w:ind w:left="2340" w:hanging="360"/>
      </w:pPr>
      <w:rPr>
        <w:b/>
        <w:bCs/>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2CA5777C"/>
    <w:multiLevelType w:val="hybridMultilevel"/>
    <w:tmpl w:val="1F321E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CD94822"/>
    <w:multiLevelType w:val="hybridMultilevel"/>
    <w:tmpl w:val="1EEE0582"/>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3BE4E09"/>
    <w:multiLevelType w:val="hybridMultilevel"/>
    <w:tmpl w:val="074A1730"/>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4317490"/>
    <w:multiLevelType w:val="hybridMultilevel"/>
    <w:tmpl w:val="5ECC0B94"/>
    <w:lvl w:ilvl="0" w:tplc="7EE0C6EC">
      <w:start w:val="1"/>
      <w:numFmt w:val="decimal"/>
      <w:lvlText w:val="%1."/>
      <w:lvlJc w:val="left"/>
      <w:pPr>
        <w:ind w:left="0" w:firstLine="0"/>
      </w:pPr>
      <w:rPr>
        <w:rFonts w:ascii="Palatino Linotype" w:hAnsi="Palatino Linotype" w:hint="default"/>
        <w:b/>
        <w:i w:val="0"/>
        <w:sz w:val="24"/>
      </w:rPr>
    </w:lvl>
    <w:lvl w:ilvl="1" w:tplc="080A0017">
      <w:start w:val="1"/>
      <w:numFmt w:val="lowerLetter"/>
      <w:lvlText w:val="%2)"/>
      <w:lvlJc w:val="left"/>
      <w:pPr>
        <w:ind w:left="1440" w:hanging="360"/>
      </w:pPr>
      <w:rPr>
        <w:rFont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2">
    <w:nsid w:val="3C2F166D"/>
    <w:multiLevelType w:val="hybridMultilevel"/>
    <w:tmpl w:val="19F667A8"/>
    <w:lvl w:ilvl="0" w:tplc="7EE0C6EC">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hint="default"/>
        <w:b/>
        <w:bCs/>
        <w:i w:val="0"/>
        <w:iCs w:val="0"/>
      </w:rPr>
    </w:lvl>
    <w:lvl w:ilvl="2" w:tplc="080A000B">
      <w:start w:val="1"/>
      <w:numFmt w:val="bullet"/>
      <w:lvlText w:val=""/>
      <w:lvlJc w:val="left"/>
      <w:pPr>
        <w:ind w:left="2340" w:hanging="360"/>
      </w:pPr>
      <w:rPr>
        <w:rFonts w:ascii="Wingdings" w:hAnsi="Wingdings" w:cs="Wingdings" w:hint="default"/>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4">
    <w:nsid w:val="60695B09"/>
    <w:multiLevelType w:val="hybridMultilevel"/>
    <w:tmpl w:val="2CCCEA48"/>
    <w:lvl w:ilvl="0" w:tplc="7AF6A864">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64270889"/>
    <w:multiLevelType w:val="hybridMultilevel"/>
    <w:tmpl w:val="D376EE96"/>
    <w:lvl w:ilvl="0" w:tplc="FFFFFFFF">
      <w:start w:val="1"/>
      <w:numFmt w:val="decimal"/>
      <w:lvlText w:val="%1."/>
      <w:lvlJc w:val="left"/>
      <w:pPr>
        <w:ind w:left="0" w:firstLine="0"/>
      </w:pPr>
      <w:rPr>
        <w:rFonts w:ascii="Palatino Linotype" w:hAnsi="Palatino Linotype" w:hint="default"/>
        <w:b/>
        <w:i w:val="0"/>
        <w:sz w:val="24"/>
      </w:rPr>
    </w:lvl>
    <w:lvl w:ilvl="1" w:tplc="8F7E6244">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10B79A8"/>
    <w:multiLevelType w:val="hybridMultilevel"/>
    <w:tmpl w:val="317A5B90"/>
    <w:lvl w:ilvl="0" w:tplc="FFFFFFFF">
      <w:start w:val="1"/>
      <w:numFmt w:val="decimal"/>
      <w:lvlText w:val="%1."/>
      <w:lvlJc w:val="left"/>
      <w:pPr>
        <w:ind w:left="0" w:firstLine="0"/>
      </w:pPr>
      <w:rPr>
        <w:rFonts w:ascii="Palatino Linotype" w:hAnsi="Palatino Linotype" w:hint="default"/>
        <w:b/>
        <w:i w:val="0"/>
        <w:sz w:val="24"/>
      </w:rPr>
    </w:lvl>
    <w:lvl w:ilvl="1" w:tplc="080A000B">
      <w:start w:val="1"/>
      <w:numFmt w:val="bullet"/>
      <w:lvlText w:val=""/>
      <w:lvlJc w:val="left"/>
      <w:pPr>
        <w:ind w:left="1440" w:hanging="360"/>
      </w:pPr>
      <w:rPr>
        <w:rFonts w:ascii="Wingdings" w:hAnsi="Wingdings" w:cs="Wingdings" w:hint="default"/>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62E170A"/>
    <w:multiLevelType w:val="hybridMultilevel"/>
    <w:tmpl w:val="EEC4838C"/>
    <w:lvl w:ilvl="0" w:tplc="FFFFFFFF">
      <w:start w:val="1"/>
      <w:numFmt w:val="decimal"/>
      <w:lvlText w:val="%1."/>
      <w:lvlJc w:val="left"/>
      <w:pPr>
        <w:ind w:left="0" w:firstLine="0"/>
      </w:pPr>
      <w:rPr>
        <w:rFonts w:ascii="Palatino Linotype" w:hAnsi="Palatino Linotype" w:hint="default"/>
        <w:b/>
        <w:i w:val="0"/>
        <w:sz w:val="24"/>
      </w:rPr>
    </w:lvl>
    <w:lvl w:ilvl="1" w:tplc="262E14E2">
      <w:start w:val="1"/>
      <w:numFmt w:val="upperRoman"/>
      <w:lvlText w:val="%2."/>
      <w:lvlJc w:val="right"/>
      <w:pPr>
        <w:ind w:left="1440" w:hanging="360"/>
      </w:pPr>
      <w:rPr>
        <w:b/>
        <w:bCs/>
      </w:rPr>
    </w:lvl>
    <w:lvl w:ilvl="2" w:tplc="FFFFFFFF">
      <w:start w:val="1"/>
      <w:numFmt w:val="bullet"/>
      <w:lvlText w:val=""/>
      <w:lvlJc w:val="left"/>
      <w:pPr>
        <w:ind w:left="2340" w:hanging="360"/>
      </w:pPr>
      <w:rPr>
        <w:rFonts w:ascii="Wingdings" w:hAnsi="Wingdings" w:cs="Wingdings" w:hint="default"/>
        <w:strike w:val="0"/>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nsid w:val="7FD615DB"/>
    <w:multiLevelType w:val="hybridMultilevel"/>
    <w:tmpl w:val="2C5AE4E2"/>
    <w:lvl w:ilvl="0" w:tplc="7AF6A864">
      <w:start w:val="1"/>
      <w:numFmt w:val="upperRoman"/>
      <w:lvlText w:val="%1."/>
      <w:lvlJc w:val="right"/>
      <w:pPr>
        <w:ind w:left="720" w:hanging="360"/>
      </w:pPr>
      <w:rPr>
        <w:b/>
      </w:rPr>
    </w:lvl>
    <w:lvl w:ilvl="1" w:tplc="4190AD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13"/>
  </w:num>
  <w:num w:numId="3">
    <w:abstractNumId w:val="11"/>
  </w:num>
  <w:num w:numId="4">
    <w:abstractNumId w:val="0"/>
  </w:num>
  <w:num w:numId="5">
    <w:abstractNumId w:val="9"/>
  </w:num>
  <w:num w:numId="6">
    <w:abstractNumId w:val="14"/>
  </w:num>
  <w:num w:numId="7">
    <w:abstractNumId w:val="1"/>
  </w:num>
  <w:num w:numId="8">
    <w:abstractNumId w:val="18"/>
  </w:num>
  <w:num w:numId="9">
    <w:abstractNumId w:val="3"/>
  </w:num>
  <w:num w:numId="10">
    <w:abstractNumId w:val="8"/>
  </w:num>
  <w:num w:numId="11">
    <w:abstractNumId w:val="5"/>
  </w:num>
  <w:num w:numId="12">
    <w:abstractNumId w:val="6"/>
  </w:num>
  <w:num w:numId="13">
    <w:abstractNumId w:val="15"/>
  </w:num>
  <w:num w:numId="14">
    <w:abstractNumId w:val="2"/>
  </w:num>
  <w:num w:numId="15">
    <w:abstractNumId w:val="4"/>
  </w:num>
  <w:num w:numId="16">
    <w:abstractNumId w:val="7"/>
  </w:num>
  <w:num w:numId="17">
    <w:abstractNumId w:val="12"/>
  </w:num>
  <w:num w:numId="18">
    <w:abstractNumId w:val="16"/>
  </w:num>
  <w:num w:numId="19">
    <w:abstractNumId w:val="1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EC"/>
    <w:rsid w:val="0000310F"/>
    <w:rsid w:val="0000381E"/>
    <w:rsid w:val="00003A05"/>
    <w:rsid w:val="0000407F"/>
    <w:rsid w:val="000058E3"/>
    <w:rsid w:val="000067AC"/>
    <w:rsid w:val="0000797D"/>
    <w:rsid w:val="00007E8A"/>
    <w:rsid w:val="000100D7"/>
    <w:rsid w:val="0001106B"/>
    <w:rsid w:val="00012472"/>
    <w:rsid w:val="0001398B"/>
    <w:rsid w:val="000203D3"/>
    <w:rsid w:val="000204A6"/>
    <w:rsid w:val="000211F8"/>
    <w:rsid w:val="0002146F"/>
    <w:rsid w:val="00022D89"/>
    <w:rsid w:val="000236A3"/>
    <w:rsid w:val="00024F35"/>
    <w:rsid w:val="00025127"/>
    <w:rsid w:val="00025266"/>
    <w:rsid w:val="0003063D"/>
    <w:rsid w:val="00031A0B"/>
    <w:rsid w:val="00031D37"/>
    <w:rsid w:val="00031F10"/>
    <w:rsid w:val="00031F98"/>
    <w:rsid w:val="00032493"/>
    <w:rsid w:val="0004072A"/>
    <w:rsid w:val="000411E2"/>
    <w:rsid w:val="0004193F"/>
    <w:rsid w:val="00042380"/>
    <w:rsid w:val="00044DB9"/>
    <w:rsid w:val="0004686A"/>
    <w:rsid w:val="000468E2"/>
    <w:rsid w:val="00046CEE"/>
    <w:rsid w:val="000478BA"/>
    <w:rsid w:val="0005237C"/>
    <w:rsid w:val="00052A3C"/>
    <w:rsid w:val="00054A03"/>
    <w:rsid w:val="00056A79"/>
    <w:rsid w:val="0005777B"/>
    <w:rsid w:val="00061344"/>
    <w:rsid w:val="000622ED"/>
    <w:rsid w:val="0006247F"/>
    <w:rsid w:val="00062648"/>
    <w:rsid w:val="000631D9"/>
    <w:rsid w:val="0006381D"/>
    <w:rsid w:val="00063D06"/>
    <w:rsid w:val="0006407E"/>
    <w:rsid w:val="00064577"/>
    <w:rsid w:val="00064A37"/>
    <w:rsid w:val="00064B95"/>
    <w:rsid w:val="00070361"/>
    <w:rsid w:val="00071287"/>
    <w:rsid w:val="0007221E"/>
    <w:rsid w:val="00074573"/>
    <w:rsid w:val="000770CE"/>
    <w:rsid w:val="000800AC"/>
    <w:rsid w:val="0008230A"/>
    <w:rsid w:val="00082D11"/>
    <w:rsid w:val="00082E28"/>
    <w:rsid w:val="000834FE"/>
    <w:rsid w:val="0008465D"/>
    <w:rsid w:val="00084E31"/>
    <w:rsid w:val="0008542A"/>
    <w:rsid w:val="00090D6F"/>
    <w:rsid w:val="00091C2C"/>
    <w:rsid w:val="00093FB4"/>
    <w:rsid w:val="00093FC7"/>
    <w:rsid w:val="000953E2"/>
    <w:rsid w:val="00095BB9"/>
    <w:rsid w:val="000A26B8"/>
    <w:rsid w:val="000A3F90"/>
    <w:rsid w:val="000A4554"/>
    <w:rsid w:val="000A45FD"/>
    <w:rsid w:val="000A4E44"/>
    <w:rsid w:val="000A556A"/>
    <w:rsid w:val="000A77ED"/>
    <w:rsid w:val="000B0370"/>
    <w:rsid w:val="000B5AB1"/>
    <w:rsid w:val="000B5D79"/>
    <w:rsid w:val="000B6D31"/>
    <w:rsid w:val="000B750B"/>
    <w:rsid w:val="000B7C4F"/>
    <w:rsid w:val="000C0061"/>
    <w:rsid w:val="000C0663"/>
    <w:rsid w:val="000C0BBB"/>
    <w:rsid w:val="000C10B9"/>
    <w:rsid w:val="000C1D19"/>
    <w:rsid w:val="000C2E5F"/>
    <w:rsid w:val="000C3423"/>
    <w:rsid w:val="000C3861"/>
    <w:rsid w:val="000C48CA"/>
    <w:rsid w:val="000C4A8E"/>
    <w:rsid w:val="000C5A04"/>
    <w:rsid w:val="000C5AF7"/>
    <w:rsid w:val="000C7651"/>
    <w:rsid w:val="000D0855"/>
    <w:rsid w:val="000D11CC"/>
    <w:rsid w:val="000D1E0F"/>
    <w:rsid w:val="000D2DC2"/>
    <w:rsid w:val="000D3275"/>
    <w:rsid w:val="000D5A1D"/>
    <w:rsid w:val="000D62FF"/>
    <w:rsid w:val="000D69DF"/>
    <w:rsid w:val="000D7369"/>
    <w:rsid w:val="000D7394"/>
    <w:rsid w:val="000E07DC"/>
    <w:rsid w:val="000E1389"/>
    <w:rsid w:val="000E2665"/>
    <w:rsid w:val="000E2A46"/>
    <w:rsid w:val="000E5176"/>
    <w:rsid w:val="000E67FC"/>
    <w:rsid w:val="000E77B8"/>
    <w:rsid w:val="000F1731"/>
    <w:rsid w:val="000F1B9F"/>
    <w:rsid w:val="000F2739"/>
    <w:rsid w:val="000F2EDD"/>
    <w:rsid w:val="000F3457"/>
    <w:rsid w:val="000F37A8"/>
    <w:rsid w:val="000F6D7E"/>
    <w:rsid w:val="00100187"/>
    <w:rsid w:val="00100C6D"/>
    <w:rsid w:val="00100DDD"/>
    <w:rsid w:val="00102D65"/>
    <w:rsid w:val="00103662"/>
    <w:rsid w:val="00103888"/>
    <w:rsid w:val="00107499"/>
    <w:rsid w:val="00107557"/>
    <w:rsid w:val="0011167C"/>
    <w:rsid w:val="00111F02"/>
    <w:rsid w:val="0011279B"/>
    <w:rsid w:val="00112B02"/>
    <w:rsid w:val="00112F09"/>
    <w:rsid w:val="00114A21"/>
    <w:rsid w:val="00115F2B"/>
    <w:rsid w:val="00117441"/>
    <w:rsid w:val="0012006D"/>
    <w:rsid w:val="00121F4A"/>
    <w:rsid w:val="00122C0D"/>
    <w:rsid w:val="00122E4B"/>
    <w:rsid w:val="0012380D"/>
    <w:rsid w:val="00123F6A"/>
    <w:rsid w:val="00124015"/>
    <w:rsid w:val="00124CF1"/>
    <w:rsid w:val="001250B4"/>
    <w:rsid w:val="001253D1"/>
    <w:rsid w:val="00127E68"/>
    <w:rsid w:val="001318D2"/>
    <w:rsid w:val="001328AB"/>
    <w:rsid w:val="00132C06"/>
    <w:rsid w:val="00133B79"/>
    <w:rsid w:val="00133CE5"/>
    <w:rsid w:val="00134AEC"/>
    <w:rsid w:val="001352E5"/>
    <w:rsid w:val="00135DD5"/>
    <w:rsid w:val="0013673A"/>
    <w:rsid w:val="0013752C"/>
    <w:rsid w:val="00140206"/>
    <w:rsid w:val="00140D44"/>
    <w:rsid w:val="00142648"/>
    <w:rsid w:val="00143219"/>
    <w:rsid w:val="001436BB"/>
    <w:rsid w:val="001437CC"/>
    <w:rsid w:val="00143BD1"/>
    <w:rsid w:val="001459C8"/>
    <w:rsid w:val="001468E9"/>
    <w:rsid w:val="00147864"/>
    <w:rsid w:val="00151114"/>
    <w:rsid w:val="0015233C"/>
    <w:rsid w:val="00152F19"/>
    <w:rsid w:val="001534BC"/>
    <w:rsid w:val="0015371B"/>
    <w:rsid w:val="00153833"/>
    <w:rsid w:val="00153FA4"/>
    <w:rsid w:val="00154304"/>
    <w:rsid w:val="0015466E"/>
    <w:rsid w:val="00154765"/>
    <w:rsid w:val="001548CB"/>
    <w:rsid w:val="00154EF0"/>
    <w:rsid w:val="00156A23"/>
    <w:rsid w:val="001611E5"/>
    <w:rsid w:val="00161E95"/>
    <w:rsid w:val="00163780"/>
    <w:rsid w:val="00163B1F"/>
    <w:rsid w:val="001648EE"/>
    <w:rsid w:val="00164B65"/>
    <w:rsid w:val="001656F2"/>
    <w:rsid w:val="00165DC8"/>
    <w:rsid w:val="00166794"/>
    <w:rsid w:val="00167813"/>
    <w:rsid w:val="0017273C"/>
    <w:rsid w:val="001732E3"/>
    <w:rsid w:val="00174E02"/>
    <w:rsid w:val="0017653A"/>
    <w:rsid w:val="00176607"/>
    <w:rsid w:val="001775DF"/>
    <w:rsid w:val="001848C0"/>
    <w:rsid w:val="00185460"/>
    <w:rsid w:val="001862A3"/>
    <w:rsid w:val="00192E4B"/>
    <w:rsid w:val="00194D62"/>
    <w:rsid w:val="00196407"/>
    <w:rsid w:val="00197091"/>
    <w:rsid w:val="001972CC"/>
    <w:rsid w:val="001A032D"/>
    <w:rsid w:val="001A138D"/>
    <w:rsid w:val="001A2857"/>
    <w:rsid w:val="001A2A89"/>
    <w:rsid w:val="001A2C62"/>
    <w:rsid w:val="001A3634"/>
    <w:rsid w:val="001A4D5D"/>
    <w:rsid w:val="001A5150"/>
    <w:rsid w:val="001A58B9"/>
    <w:rsid w:val="001A61E1"/>
    <w:rsid w:val="001A6C1E"/>
    <w:rsid w:val="001B30F9"/>
    <w:rsid w:val="001B3659"/>
    <w:rsid w:val="001B40F3"/>
    <w:rsid w:val="001B53A0"/>
    <w:rsid w:val="001B5F70"/>
    <w:rsid w:val="001B6695"/>
    <w:rsid w:val="001B6845"/>
    <w:rsid w:val="001C0AED"/>
    <w:rsid w:val="001C13B1"/>
    <w:rsid w:val="001C1C2A"/>
    <w:rsid w:val="001C1CDE"/>
    <w:rsid w:val="001C20E8"/>
    <w:rsid w:val="001C263B"/>
    <w:rsid w:val="001C2713"/>
    <w:rsid w:val="001C2EF3"/>
    <w:rsid w:val="001C34D6"/>
    <w:rsid w:val="001C54A9"/>
    <w:rsid w:val="001C6012"/>
    <w:rsid w:val="001C67B0"/>
    <w:rsid w:val="001C79FA"/>
    <w:rsid w:val="001D07C9"/>
    <w:rsid w:val="001D3AB5"/>
    <w:rsid w:val="001D5464"/>
    <w:rsid w:val="001D7D8F"/>
    <w:rsid w:val="001D7DF0"/>
    <w:rsid w:val="001D7E82"/>
    <w:rsid w:val="001E018C"/>
    <w:rsid w:val="001E0AD2"/>
    <w:rsid w:val="001E3596"/>
    <w:rsid w:val="001E3F91"/>
    <w:rsid w:val="001E4152"/>
    <w:rsid w:val="001E489D"/>
    <w:rsid w:val="001E5C94"/>
    <w:rsid w:val="001E6822"/>
    <w:rsid w:val="001E74A5"/>
    <w:rsid w:val="001E7B9E"/>
    <w:rsid w:val="001F025B"/>
    <w:rsid w:val="001F2B8C"/>
    <w:rsid w:val="001F394F"/>
    <w:rsid w:val="001F783F"/>
    <w:rsid w:val="001F7AFD"/>
    <w:rsid w:val="001F7DE2"/>
    <w:rsid w:val="002001BE"/>
    <w:rsid w:val="002008EC"/>
    <w:rsid w:val="002031F3"/>
    <w:rsid w:val="002058A7"/>
    <w:rsid w:val="00205A1A"/>
    <w:rsid w:val="00207665"/>
    <w:rsid w:val="00211149"/>
    <w:rsid w:val="00211229"/>
    <w:rsid w:val="00211E8C"/>
    <w:rsid w:val="00212C9C"/>
    <w:rsid w:val="00212FCA"/>
    <w:rsid w:val="00213108"/>
    <w:rsid w:val="0021453E"/>
    <w:rsid w:val="0021475E"/>
    <w:rsid w:val="002179AC"/>
    <w:rsid w:val="00220ADB"/>
    <w:rsid w:val="002217BA"/>
    <w:rsid w:val="00221E74"/>
    <w:rsid w:val="00223507"/>
    <w:rsid w:val="00223ACC"/>
    <w:rsid w:val="0022448D"/>
    <w:rsid w:val="002275DE"/>
    <w:rsid w:val="00230170"/>
    <w:rsid w:val="002305CF"/>
    <w:rsid w:val="00233E08"/>
    <w:rsid w:val="00234397"/>
    <w:rsid w:val="002345FF"/>
    <w:rsid w:val="00234796"/>
    <w:rsid w:val="00235DF2"/>
    <w:rsid w:val="00237611"/>
    <w:rsid w:val="002408D7"/>
    <w:rsid w:val="00241008"/>
    <w:rsid w:val="002426EA"/>
    <w:rsid w:val="00244476"/>
    <w:rsid w:val="002457CF"/>
    <w:rsid w:val="002507D8"/>
    <w:rsid w:val="00252A20"/>
    <w:rsid w:val="00252B41"/>
    <w:rsid w:val="0025524F"/>
    <w:rsid w:val="002578EE"/>
    <w:rsid w:val="00257E5F"/>
    <w:rsid w:val="00260C1D"/>
    <w:rsid w:val="00261001"/>
    <w:rsid w:val="002617DC"/>
    <w:rsid w:val="00261A42"/>
    <w:rsid w:val="00261D84"/>
    <w:rsid w:val="002620B9"/>
    <w:rsid w:val="002629A6"/>
    <w:rsid w:val="002630E4"/>
    <w:rsid w:val="00263F23"/>
    <w:rsid w:val="00264D02"/>
    <w:rsid w:val="00264DA7"/>
    <w:rsid w:val="0026500D"/>
    <w:rsid w:val="00265CD7"/>
    <w:rsid w:val="00266588"/>
    <w:rsid w:val="002665BD"/>
    <w:rsid w:val="00271B06"/>
    <w:rsid w:val="00272FEC"/>
    <w:rsid w:val="00273013"/>
    <w:rsid w:val="0027319E"/>
    <w:rsid w:val="00273C37"/>
    <w:rsid w:val="0027430D"/>
    <w:rsid w:val="002746D9"/>
    <w:rsid w:val="00274ED2"/>
    <w:rsid w:val="002754FC"/>
    <w:rsid w:val="002765F2"/>
    <w:rsid w:val="00277A35"/>
    <w:rsid w:val="00280994"/>
    <w:rsid w:val="00280E3F"/>
    <w:rsid w:val="00280F05"/>
    <w:rsid w:val="0028248C"/>
    <w:rsid w:val="002834A6"/>
    <w:rsid w:val="00286DDB"/>
    <w:rsid w:val="002871EB"/>
    <w:rsid w:val="002948C4"/>
    <w:rsid w:val="00297E45"/>
    <w:rsid w:val="002A2099"/>
    <w:rsid w:val="002A229B"/>
    <w:rsid w:val="002A35B6"/>
    <w:rsid w:val="002A4172"/>
    <w:rsid w:val="002A4516"/>
    <w:rsid w:val="002A54DE"/>
    <w:rsid w:val="002A633F"/>
    <w:rsid w:val="002A7FAB"/>
    <w:rsid w:val="002B085C"/>
    <w:rsid w:val="002B1AE9"/>
    <w:rsid w:val="002B2278"/>
    <w:rsid w:val="002B284F"/>
    <w:rsid w:val="002B2A2E"/>
    <w:rsid w:val="002B2F59"/>
    <w:rsid w:val="002B309C"/>
    <w:rsid w:val="002B4D21"/>
    <w:rsid w:val="002B6AC2"/>
    <w:rsid w:val="002C0074"/>
    <w:rsid w:val="002C0159"/>
    <w:rsid w:val="002C0804"/>
    <w:rsid w:val="002C0DC5"/>
    <w:rsid w:val="002C1007"/>
    <w:rsid w:val="002C2D44"/>
    <w:rsid w:val="002C4715"/>
    <w:rsid w:val="002C4780"/>
    <w:rsid w:val="002C47ED"/>
    <w:rsid w:val="002C484A"/>
    <w:rsid w:val="002C5692"/>
    <w:rsid w:val="002C570D"/>
    <w:rsid w:val="002C6561"/>
    <w:rsid w:val="002C6DB3"/>
    <w:rsid w:val="002C76A0"/>
    <w:rsid w:val="002D0E3D"/>
    <w:rsid w:val="002D10C8"/>
    <w:rsid w:val="002D1A38"/>
    <w:rsid w:val="002D1AA7"/>
    <w:rsid w:val="002D1C2C"/>
    <w:rsid w:val="002D28CB"/>
    <w:rsid w:val="002D2E16"/>
    <w:rsid w:val="002D35AE"/>
    <w:rsid w:val="002D373C"/>
    <w:rsid w:val="002E126F"/>
    <w:rsid w:val="002E160F"/>
    <w:rsid w:val="002E191E"/>
    <w:rsid w:val="002E1C05"/>
    <w:rsid w:val="002E3FAE"/>
    <w:rsid w:val="002E482C"/>
    <w:rsid w:val="002E5399"/>
    <w:rsid w:val="002E5A0B"/>
    <w:rsid w:val="002E6295"/>
    <w:rsid w:val="002E6531"/>
    <w:rsid w:val="002E66CA"/>
    <w:rsid w:val="002E689B"/>
    <w:rsid w:val="002E6CFE"/>
    <w:rsid w:val="002E74CE"/>
    <w:rsid w:val="002E76FD"/>
    <w:rsid w:val="002E7AD0"/>
    <w:rsid w:val="002F1871"/>
    <w:rsid w:val="002F3672"/>
    <w:rsid w:val="002F37C1"/>
    <w:rsid w:val="002F72FA"/>
    <w:rsid w:val="002F7BEF"/>
    <w:rsid w:val="002F7D11"/>
    <w:rsid w:val="003007E0"/>
    <w:rsid w:val="0030150B"/>
    <w:rsid w:val="00301B41"/>
    <w:rsid w:val="00301D47"/>
    <w:rsid w:val="003030B1"/>
    <w:rsid w:val="00303717"/>
    <w:rsid w:val="00304013"/>
    <w:rsid w:val="00304137"/>
    <w:rsid w:val="003046AA"/>
    <w:rsid w:val="003049F3"/>
    <w:rsid w:val="00304CDF"/>
    <w:rsid w:val="00305BB3"/>
    <w:rsid w:val="00305F6D"/>
    <w:rsid w:val="003062D4"/>
    <w:rsid w:val="003064B8"/>
    <w:rsid w:val="00306E7D"/>
    <w:rsid w:val="00307227"/>
    <w:rsid w:val="003076B1"/>
    <w:rsid w:val="0030794F"/>
    <w:rsid w:val="003105D0"/>
    <w:rsid w:val="003105D6"/>
    <w:rsid w:val="00310B1D"/>
    <w:rsid w:val="00310D66"/>
    <w:rsid w:val="003111C5"/>
    <w:rsid w:val="00311481"/>
    <w:rsid w:val="003116A6"/>
    <w:rsid w:val="00311863"/>
    <w:rsid w:val="00312733"/>
    <w:rsid w:val="00316065"/>
    <w:rsid w:val="00317883"/>
    <w:rsid w:val="00317EFF"/>
    <w:rsid w:val="00321AA3"/>
    <w:rsid w:val="00321AE9"/>
    <w:rsid w:val="00321EEE"/>
    <w:rsid w:val="00323895"/>
    <w:rsid w:val="0032586C"/>
    <w:rsid w:val="00326579"/>
    <w:rsid w:val="00327D79"/>
    <w:rsid w:val="00330E47"/>
    <w:rsid w:val="00332E6B"/>
    <w:rsid w:val="003337F3"/>
    <w:rsid w:val="00333BE8"/>
    <w:rsid w:val="003344DB"/>
    <w:rsid w:val="00335898"/>
    <w:rsid w:val="00335BFE"/>
    <w:rsid w:val="00335E9C"/>
    <w:rsid w:val="0033608B"/>
    <w:rsid w:val="0033675D"/>
    <w:rsid w:val="00337941"/>
    <w:rsid w:val="003407D0"/>
    <w:rsid w:val="0034181B"/>
    <w:rsid w:val="00341B17"/>
    <w:rsid w:val="00342C51"/>
    <w:rsid w:val="00343280"/>
    <w:rsid w:val="00345856"/>
    <w:rsid w:val="0034595C"/>
    <w:rsid w:val="00345B79"/>
    <w:rsid w:val="00345D0F"/>
    <w:rsid w:val="0034614E"/>
    <w:rsid w:val="00346885"/>
    <w:rsid w:val="003472B3"/>
    <w:rsid w:val="0035104F"/>
    <w:rsid w:val="0035199B"/>
    <w:rsid w:val="003522BF"/>
    <w:rsid w:val="00352901"/>
    <w:rsid w:val="00355AEE"/>
    <w:rsid w:val="00355D3B"/>
    <w:rsid w:val="0035606B"/>
    <w:rsid w:val="0036005D"/>
    <w:rsid w:val="0036073F"/>
    <w:rsid w:val="003615A3"/>
    <w:rsid w:val="003629EE"/>
    <w:rsid w:val="003643B3"/>
    <w:rsid w:val="003708DD"/>
    <w:rsid w:val="00370B8E"/>
    <w:rsid w:val="00370BB1"/>
    <w:rsid w:val="003721B2"/>
    <w:rsid w:val="00372328"/>
    <w:rsid w:val="00374CE8"/>
    <w:rsid w:val="003762FD"/>
    <w:rsid w:val="00376FD2"/>
    <w:rsid w:val="00377278"/>
    <w:rsid w:val="00380D72"/>
    <w:rsid w:val="0038132B"/>
    <w:rsid w:val="00383E66"/>
    <w:rsid w:val="00384AE2"/>
    <w:rsid w:val="00385699"/>
    <w:rsid w:val="00387DC9"/>
    <w:rsid w:val="00390D23"/>
    <w:rsid w:val="0039142B"/>
    <w:rsid w:val="0039193E"/>
    <w:rsid w:val="00391ADA"/>
    <w:rsid w:val="00392CDB"/>
    <w:rsid w:val="0039380F"/>
    <w:rsid w:val="00393B71"/>
    <w:rsid w:val="00394095"/>
    <w:rsid w:val="003940F6"/>
    <w:rsid w:val="003955D3"/>
    <w:rsid w:val="00396545"/>
    <w:rsid w:val="0039671B"/>
    <w:rsid w:val="00396F71"/>
    <w:rsid w:val="003A03D0"/>
    <w:rsid w:val="003A04FF"/>
    <w:rsid w:val="003A1B01"/>
    <w:rsid w:val="003A2029"/>
    <w:rsid w:val="003A63D9"/>
    <w:rsid w:val="003A6417"/>
    <w:rsid w:val="003A65FE"/>
    <w:rsid w:val="003A6A5A"/>
    <w:rsid w:val="003A6F21"/>
    <w:rsid w:val="003A7221"/>
    <w:rsid w:val="003A730E"/>
    <w:rsid w:val="003B123F"/>
    <w:rsid w:val="003B1CEE"/>
    <w:rsid w:val="003B2199"/>
    <w:rsid w:val="003B2856"/>
    <w:rsid w:val="003B2A0D"/>
    <w:rsid w:val="003B31FA"/>
    <w:rsid w:val="003B55AD"/>
    <w:rsid w:val="003B6E2A"/>
    <w:rsid w:val="003B7EC4"/>
    <w:rsid w:val="003C183D"/>
    <w:rsid w:val="003C7282"/>
    <w:rsid w:val="003D00D5"/>
    <w:rsid w:val="003D0A29"/>
    <w:rsid w:val="003D0BC7"/>
    <w:rsid w:val="003D181D"/>
    <w:rsid w:val="003D20C4"/>
    <w:rsid w:val="003D4163"/>
    <w:rsid w:val="003D46D0"/>
    <w:rsid w:val="003D5661"/>
    <w:rsid w:val="003D792A"/>
    <w:rsid w:val="003E2E98"/>
    <w:rsid w:val="003E4701"/>
    <w:rsid w:val="003E6079"/>
    <w:rsid w:val="003E6128"/>
    <w:rsid w:val="003E6679"/>
    <w:rsid w:val="003E6D0F"/>
    <w:rsid w:val="003E712E"/>
    <w:rsid w:val="003F0769"/>
    <w:rsid w:val="003F0DDA"/>
    <w:rsid w:val="003F140F"/>
    <w:rsid w:val="003F15DB"/>
    <w:rsid w:val="003F2702"/>
    <w:rsid w:val="003F2778"/>
    <w:rsid w:val="003F36A4"/>
    <w:rsid w:val="003F4900"/>
    <w:rsid w:val="003F70CA"/>
    <w:rsid w:val="003F7823"/>
    <w:rsid w:val="003F7F50"/>
    <w:rsid w:val="00400E76"/>
    <w:rsid w:val="0040137F"/>
    <w:rsid w:val="00402179"/>
    <w:rsid w:val="0040278D"/>
    <w:rsid w:val="00403249"/>
    <w:rsid w:val="00405372"/>
    <w:rsid w:val="004078C8"/>
    <w:rsid w:val="004102DE"/>
    <w:rsid w:val="00412696"/>
    <w:rsid w:val="00412E24"/>
    <w:rsid w:val="004147B1"/>
    <w:rsid w:val="00414B5B"/>
    <w:rsid w:val="00416727"/>
    <w:rsid w:val="0042068A"/>
    <w:rsid w:val="0042267F"/>
    <w:rsid w:val="0042437A"/>
    <w:rsid w:val="00424992"/>
    <w:rsid w:val="00424E72"/>
    <w:rsid w:val="00425F0D"/>
    <w:rsid w:val="00426D7C"/>
    <w:rsid w:val="00427621"/>
    <w:rsid w:val="004300ED"/>
    <w:rsid w:val="00431687"/>
    <w:rsid w:val="00432B72"/>
    <w:rsid w:val="00433016"/>
    <w:rsid w:val="004342F1"/>
    <w:rsid w:val="004349C0"/>
    <w:rsid w:val="00434ECD"/>
    <w:rsid w:val="00437702"/>
    <w:rsid w:val="00437909"/>
    <w:rsid w:val="004401B5"/>
    <w:rsid w:val="00440800"/>
    <w:rsid w:val="004413DD"/>
    <w:rsid w:val="00442393"/>
    <w:rsid w:val="004436D7"/>
    <w:rsid w:val="00443DCB"/>
    <w:rsid w:val="00443DEB"/>
    <w:rsid w:val="0044535B"/>
    <w:rsid w:val="00445FDA"/>
    <w:rsid w:val="004466B2"/>
    <w:rsid w:val="004473B2"/>
    <w:rsid w:val="00447F0D"/>
    <w:rsid w:val="00450A5F"/>
    <w:rsid w:val="00451514"/>
    <w:rsid w:val="00453BB4"/>
    <w:rsid w:val="00454B9D"/>
    <w:rsid w:val="00456317"/>
    <w:rsid w:val="00456348"/>
    <w:rsid w:val="004572A1"/>
    <w:rsid w:val="00457F74"/>
    <w:rsid w:val="004613B1"/>
    <w:rsid w:val="00461F2A"/>
    <w:rsid w:val="0046231E"/>
    <w:rsid w:val="0046340E"/>
    <w:rsid w:val="004635E2"/>
    <w:rsid w:val="00464CB6"/>
    <w:rsid w:val="0046532D"/>
    <w:rsid w:val="0046566E"/>
    <w:rsid w:val="00466049"/>
    <w:rsid w:val="00470027"/>
    <w:rsid w:val="0047025A"/>
    <w:rsid w:val="004724EC"/>
    <w:rsid w:val="00472C41"/>
    <w:rsid w:val="00473115"/>
    <w:rsid w:val="004738D8"/>
    <w:rsid w:val="00473BD2"/>
    <w:rsid w:val="00474477"/>
    <w:rsid w:val="004764CB"/>
    <w:rsid w:val="00476730"/>
    <w:rsid w:val="004769A5"/>
    <w:rsid w:val="004773A3"/>
    <w:rsid w:val="004773E6"/>
    <w:rsid w:val="00477710"/>
    <w:rsid w:val="00481A7B"/>
    <w:rsid w:val="0048386B"/>
    <w:rsid w:val="00483C14"/>
    <w:rsid w:val="004858CD"/>
    <w:rsid w:val="00485DB6"/>
    <w:rsid w:val="0048628A"/>
    <w:rsid w:val="0048658E"/>
    <w:rsid w:val="00487D6A"/>
    <w:rsid w:val="004911B6"/>
    <w:rsid w:val="00491C96"/>
    <w:rsid w:val="004923B6"/>
    <w:rsid w:val="004939EA"/>
    <w:rsid w:val="00494294"/>
    <w:rsid w:val="00495611"/>
    <w:rsid w:val="004961DA"/>
    <w:rsid w:val="00496359"/>
    <w:rsid w:val="00497926"/>
    <w:rsid w:val="004A115C"/>
    <w:rsid w:val="004A14BE"/>
    <w:rsid w:val="004A2BF5"/>
    <w:rsid w:val="004A2EA2"/>
    <w:rsid w:val="004A3085"/>
    <w:rsid w:val="004A3C58"/>
    <w:rsid w:val="004A4178"/>
    <w:rsid w:val="004A4BD5"/>
    <w:rsid w:val="004A4CFD"/>
    <w:rsid w:val="004A677C"/>
    <w:rsid w:val="004A6C04"/>
    <w:rsid w:val="004A7D4A"/>
    <w:rsid w:val="004B05A5"/>
    <w:rsid w:val="004B0EB6"/>
    <w:rsid w:val="004B176B"/>
    <w:rsid w:val="004B2713"/>
    <w:rsid w:val="004B293C"/>
    <w:rsid w:val="004B3A2A"/>
    <w:rsid w:val="004B3D59"/>
    <w:rsid w:val="004B4713"/>
    <w:rsid w:val="004B4BE7"/>
    <w:rsid w:val="004B50F8"/>
    <w:rsid w:val="004B58EA"/>
    <w:rsid w:val="004B73EF"/>
    <w:rsid w:val="004C09B4"/>
    <w:rsid w:val="004C20F2"/>
    <w:rsid w:val="004C251E"/>
    <w:rsid w:val="004C3F25"/>
    <w:rsid w:val="004C4E77"/>
    <w:rsid w:val="004C525E"/>
    <w:rsid w:val="004C6796"/>
    <w:rsid w:val="004C67E2"/>
    <w:rsid w:val="004C7263"/>
    <w:rsid w:val="004C7A27"/>
    <w:rsid w:val="004D0490"/>
    <w:rsid w:val="004D12F1"/>
    <w:rsid w:val="004D1805"/>
    <w:rsid w:val="004D1CB6"/>
    <w:rsid w:val="004D2229"/>
    <w:rsid w:val="004D257A"/>
    <w:rsid w:val="004D2676"/>
    <w:rsid w:val="004D26F1"/>
    <w:rsid w:val="004D3142"/>
    <w:rsid w:val="004D36A1"/>
    <w:rsid w:val="004D37D7"/>
    <w:rsid w:val="004D4509"/>
    <w:rsid w:val="004D52DD"/>
    <w:rsid w:val="004D5A36"/>
    <w:rsid w:val="004D68F8"/>
    <w:rsid w:val="004D6D19"/>
    <w:rsid w:val="004D7686"/>
    <w:rsid w:val="004E11D8"/>
    <w:rsid w:val="004E6E3A"/>
    <w:rsid w:val="004F0C96"/>
    <w:rsid w:val="004F0F98"/>
    <w:rsid w:val="004F28A0"/>
    <w:rsid w:val="004F39A4"/>
    <w:rsid w:val="004F44C7"/>
    <w:rsid w:val="004F489F"/>
    <w:rsid w:val="004F4958"/>
    <w:rsid w:val="004F766F"/>
    <w:rsid w:val="004F785F"/>
    <w:rsid w:val="004F78B7"/>
    <w:rsid w:val="004F7944"/>
    <w:rsid w:val="00500224"/>
    <w:rsid w:val="005002D1"/>
    <w:rsid w:val="00501B93"/>
    <w:rsid w:val="005041C2"/>
    <w:rsid w:val="00505CA0"/>
    <w:rsid w:val="00507043"/>
    <w:rsid w:val="00507C08"/>
    <w:rsid w:val="00507D18"/>
    <w:rsid w:val="0051016E"/>
    <w:rsid w:val="00511A30"/>
    <w:rsid w:val="00512F22"/>
    <w:rsid w:val="005140E4"/>
    <w:rsid w:val="00514343"/>
    <w:rsid w:val="00514426"/>
    <w:rsid w:val="00515C2C"/>
    <w:rsid w:val="00515DEC"/>
    <w:rsid w:val="00516603"/>
    <w:rsid w:val="005166F9"/>
    <w:rsid w:val="005167B1"/>
    <w:rsid w:val="00516D19"/>
    <w:rsid w:val="00517A46"/>
    <w:rsid w:val="00517D20"/>
    <w:rsid w:val="00520763"/>
    <w:rsid w:val="005215EE"/>
    <w:rsid w:val="00521F15"/>
    <w:rsid w:val="00522599"/>
    <w:rsid w:val="00522F5F"/>
    <w:rsid w:val="00523640"/>
    <w:rsid w:val="005248B9"/>
    <w:rsid w:val="005255D3"/>
    <w:rsid w:val="00525C4F"/>
    <w:rsid w:val="00526446"/>
    <w:rsid w:val="00527495"/>
    <w:rsid w:val="00527E7A"/>
    <w:rsid w:val="00531594"/>
    <w:rsid w:val="00537E2C"/>
    <w:rsid w:val="00540208"/>
    <w:rsid w:val="00542797"/>
    <w:rsid w:val="00542B3A"/>
    <w:rsid w:val="00544ADC"/>
    <w:rsid w:val="00544B9C"/>
    <w:rsid w:val="00544E13"/>
    <w:rsid w:val="00544EC9"/>
    <w:rsid w:val="00546CE8"/>
    <w:rsid w:val="00546FBD"/>
    <w:rsid w:val="00550671"/>
    <w:rsid w:val="0055159A"/>
    <w:rsid w:val="005516E0"/>
    <w:rsid w:val="00551A9B"/>
    <w:rsid w:val="005520BF"/>
    <w:rsid w:val="00552213"/>
    <w:rsid w:val="005526F4"/>
    <w:rsid w:val="0055544F"/>
    <w:rsid w:val="00556B04"/>
    <w:rsid w:val="00556F72"/>
    <w:rsid w:val="00556F82"/>
    <w:rsid w:val="00560018"/>
    <w:rsid w:val="00560C00"/>
    <w:rsid w:val="00561ED1"/>
    <w:rsid w:val="00562B0A"/>
    <w:rsid w:val="00562CCE"/>
    <w:rsid w:val="00563FC3"/>
    <w:rsid w:val="00564457"/>
    <w:rsid w:val="0056555A"/>
    <w:rsid w:val="005669D6"/>
    <w:rsid w:val="0056788F"/>
    <w:rsid w:val="00567998"/>
    <w:rsid w:val="00570911"/>
    <w:rsid w:val="00573BC6"/>
    <w:rsid w:val="005759CD"/>
    <w:rsid w:val="00575D39"/>
    <w:rsid w:val="00575F2C"/>
    <w:rsid w:val="00577884"/>
    <w:rsid w:val="00581C0F"/>
    <w:rsid w:val="00582919"/>
    <w:rsid w:val="00583749"/>
    <w:rsid w:val="005849B2"/>
    <w:rsid w:val="00585172"/>
    <w:rsid w:val="005866F8"/>
    <w:rsid w:val="00587366"/>
    <w:rsid w:val="0058757A"/>
    <w:rsid w:val="00590037"/>
    <w:rsid w:val="00590892"/>
    <w:rsid w:val="00593476"/>
    <w:rsid w:val="005937BC"/>
    <w:rsid w:val="00594C52"/>
    <w:rsid w:val="00595511"/>
    <w:rsid w:val="00596514"/>
    <w:rsid w:val="0059679B"/>
    <w:rsid w:val="00597B44"/>
    <w:rsid w:val="00597D18"/>
    <w:rsid w:val="005A1FAB"/>
    <w:rsid w:val="005A228F"/>
    <w:rsid w:val="005A2A65"/>
    <w:rsid w:val="005A2F65"/>
    <w:rsid w:val="005A339D"/>
    <w:rsid w:val="005A3513"/>
    <w:rsid w:val="005A3581"/>
    <w:rsid w:val="005A3BD7"/>
    <w:rsid w:val="005A5F8D"/>
    <w:rsid w:val="005A60E1"/>
    <w:rsid w:val="005A6788"/>
    <w:rsid w:val="005A786F"/>
    <w:rsid w:val="005B13E4"/>
    <w:rsid w:val="005B169C"/>
    <w:rsid w:val="005B2DD1"/>
    <w:rsid w:val="005B3A49"/>
    <w:rsid w:val="005B6ADF"/>
    <w:rsid w:val="005B6AE7"/>
    <w:rsid w:val="005B773D"/>
    <w:rsid w:val="005B7C5D"/>
    <w:rsid w:val="005C02B5"/>
    <w:rsid w:val="005C0821"/>
    <w:rsid w:val="005C1A74"/>
    <w:rsid w:val="005C3294"/>
    <w:rsid w:val="005C347F"/>
    <w:rsid w:val="005C3B63"/>
    <w:rsid w:val="005C450C"/>
    <w:rsid w:val="005C5652"/>
    <w:rsid w:val="005C6961"/>
    <w:rsid w:val="005C6F55"/>
    <w:rsid w:val="005D0EB4"/>
    <w:rsid w:val="005D18A6"/>
    <w:rsid w:val="005D27DD"/>
    <w:rsid w:val="005D3493"/>
    <w:rsid w:val="005D622E"/>
    <w:rsid w:val="005D6617"/>
    <w:rsid w:val="005D6FF0"/>
    <w:rsid w:val="005E0EF0"/>
    <w:rsid w:val="005E11D5"/>
    <w:rsid w:val="005E34D4"/>
    <w:rsid w:val="005E3716"/>
    <w:rsid w:val="005E3AE2"/>
    <w:rsid w:val="005E3FDE"/>
    <w:rsid w:val="005E55F2"/>
    <w:rsid w:val="005E68FC"/>
    <w:rsid w:val="005E7271"/>
    <w:rsid w:val="005E76A0"/>
    <w:rsid w:val="005E7CC9"/>
    <w:rsid w:val="005E7DC2"/>
    <w:rsid w:val="005F0007"/>
    <w:rsid w:val="005F0E6C"/>
    <w:rsid w:val="005F130C"/>
    <w:rsid w:val="005F1362"/>
    <w:rsid w:val="005F1BAD"/>
    <w:rsid w:val="005F3685"/>
    <w:rsid w:val="005F487C"/>
    <w:rsid w:val="005F53A4"/>
    <w:rsid w:val="005F5FE1"/>
    <w:rsid w:val="005F62B2"/>
    <w:rsid w:val="005F715E"/>
    <w:rsid w:val="006010DA"/>
    <w:rsid w:val="006017AB"/>
    <w:rsid w:val="00603C58"/>
    <w:rsid w:val="00604AC3"/>
    <w:rsid w:val="00605865"/>
    <w:rsid w:val="00611DC1"/>
    <w:rsid w:val="00613655"/>
    <w:rsid w:val="006144EE"/>
    <w:rsid w:val="00614DC5"/>
    <w:rsid w:val="00617125"/>
    <w:rsid w:val="00617813"/>
    <w:rsid w:val="006206CC"/>
    <w:rsid w:val="00622B06"/>
    <w:rsid w:val="00624425"/>
    <w:rsid w:val="006257C2"/>
    <w:rsid w:val="00627163"/>
    <w:rsid w:val="0063034E"/>
    <w:rsid w:val="00632E24"/>
    <w:rsid w:val="00634476"/>
    <w:rsid w:val="00637475"/>
    <w:rsid w:val="0064393B"/>
    <w:rsid w:val="006439A1"/>
    <w:rsid w:val="00644375"/>
    <w:rsid w:val="00644A5C"/>
    <w:rsid w:val="00644E25"/>
    <w:rsid w:val="00646A08"/>
    <w:rsid w:val="00650392"/>
    <w:rsid w:val="0065061D"/>
    <w:rsid w:val="00651701"/>
    <w:rsid w:val="00652854"/>
    <w:rsid w:val="00653E5C"/>
    <w:rsid w:val="00655146"/>
    <w:rsid w:val="0065715E"/>
    <w:rsid w:val="00657670"/>
    <w:rsid w:val="00657DBF"/>
    <w:rsid w:val="00657DE0"/>
    <w:rsid w:val="00662C69"/>
    <w:rsid w:val="006633C0"/>
    <w:rsid w:val="00663470"/>
    <w:rsid w:val="00663CC7"/>
    <w:rsid w:val="0066458B"/>
    <w:rsid w:val="00664805"/>
    <w:rsid w:val="00664FB5"/>
    <w:rsid w:val="00665B56"/>
    <w:rsid w:val="006674A0"/>
    <w:rsid w:val="006718FB"/>
    <w:rsid w:val="006720F3"/>
    <w:rsid w:val="00672744"/>
    <w:rsid w:val="00673695"/>
    <w:rsid w:val="00673DB5"/>
    <w:rsid w:val="00674701"/>
    <w:rsid w:val="00674A46"/>
    <w:rsid w:val="006752B0"/>
    <w:rsid w:val="00675F80"/>
    <w:rsid w:val="00676959"/>
    <w:rsid w:val="00676C6B"/>
    <w:rsid w:val="00677358"/>
    <w:rsid w:val="00680F25"/>
    <w:rsid w:val="00682297"/>
    <w:rsid w:val="006842C0"/>
    <w:rsid w:val="00685689"/>
    <w:rsid w:val="0068594B"/>
    <w:rsid w:val="00686B04"/>
    <w:rsid w:val="00687CAD"/>
    <w:rsid w:val="006901FA"/>
    <w:rsid w:val="006904D3"/>
    <w:rsid w:val="00690ED0"/>
    <w:rsid w:val="00692D5E"/>
    <w:rsid w:val="00693427"/>
    <w:rsid w:val="00693FA4"/>
    <w:rsid w:val="00694C00"/>
    <w:rsid w:val="0069579C"/>
    <w:rsid w:val="006958A7"/>
    <w:rsid w:val="00695CAA"/>
    <w:rsid w:val="00695F94"/>
    <w:rsid w:val="006964F5"/>
    <w:rsid w:val="00696EF8"/>
    <w:rsid w:val="00697159"/>
    <w:rsid w:val="00697365"/>
    <w:rsid w:val="00697C1C"/>
    <w:rsid w:val="006A0339"/>
    <w:rsid w:val="006A1047"/>
    <w:rsid w:val="006A11C8"/>
    <w:rsid w:val="006A2CF3"/>
    <w:rsid w:val="006A2D34"/>
    <w:rsid w:val="006A2EDE"/>
    <w:rsid w:val="006A2EFB"/>
    <w:rsid w:val="006A32B6"/>
    <w:rsid w:val="006A3D7A"/>
    <w:rsid w:val="006A4030"/>
    <w:rsid w:val="006A79C3"/>
    <w:rsid w:val="006B004E"/>
    <w:rsid w:val="006B0198"/>
    <w:rsid w:val="006B12E8"/>
    <w:rsid w:val="006B1C19"/>
    <w:rsid w:val="006B2A9C"/>
    <w:rsid w:val="006B31E7"/>
    <w:rsid w:val="006B4FF5"/>
    <w:rsid w:val="006B65D4"/>
    <w:rsid w:val="006B7A58"/>
    <w:rsid w:val="006C26B3"/>
    <w:rsid w:val="006C2FEE"/>
    <w:rsid w:val="006C50B1"/>
    <w:rsid w:val="006C50C2"/>
    <w:rsid w:val="006C563A"/>
    <w:rsid w:val="006C6C8C"/>
    <w:rsid w:val="006C6E1A"/>
    <w:rsid w:val="006D24C4"/>
    <w:rsid w:val="006D27EF"/>
    <w:rsid w:val="006D2ED6"/>
    <w:rsid w:val="006D425C"/>
    <w:rsid w:val="006D52D1"/>
    <w:rsid w:val="006D77A2"/>
    <w:rsid w:val="006E013D"/>
    <w:rsid w:val="006E1056"/>
    <w:rsid w:val="006E3A2A"/>
    <w:rsid w:val="006E3C4C"/>
    <w:rsid w:val="006E4BD4"/>
    <w:rsid w:val="006E4E2A"/>
    <w:rsid w:val="006E5950"/>
    <w:rsid w:val="006E6B65"/>
    <w:rsid w:val="006E6C14"/>
    <w:rsid w:val="006E73D4"/>
    <w:rsid w:val="006E7CC5"/>
    <w:rsid w:val="006F07E9"/>
    <w:rsid w:val="006F1E31"/>
    <w:rsid w:val="006F2C12"/>
    <w:rsid w:val="006F2F92"/>
    <w:rsid w:val="006F3266"/>
    <w:rsid w:val="006F51AA"/>
    <w:rsid w:val="006F69E5"/>
    <w:rsid w:val="00701218"/>
    <w:rsid w:val="007050B1"/>
    <w:rsid w:val="00705527"/>
    <w:rsid w:val="00707096"/>
    <w:rsid w:val="00710B50"/>
    <w:rsid w:val="007113A1"/>
    <w:rsid w:val="007127BB"/>
    <w:rsid w:val="007136BC"/>
    <w:rsid w:val="00714576"/>
    <w:rsid w:val="00714FEC"/>
    <w:rsid w:val="00715A04"/>
    <w:rsid w:val="00715B7D"/>
    <w:rsid w:val="0072017B"/>
    <w:rsid w:val="00721335"/>
    <w:rsid w:val="00721924"/>
    <w:rsid w:val="00721F66"/>
    <w:rsid w:val="00722B93"/>
    <w:rsid w:val="0072445A"/>
    <w:rsid w:val="00731F1F"/>
    <w:rsid w:val="0073324B"/>
    <w:rsid w:val="007337E6"/>
    <w:rsid w:val="00735A75"/>
    <w:rsid w:val="007365AD"/>
    <w:rsid w:val="0073687C"/>
    <w:rsid w:val="00736E6E"/>
    <w:rsid w:val="00740BA4"/>
    <w:rsid w:val="00742486"/>
    <w:rsid w:val="0074433B"/>
    <w:rsid w:val="007446C2"/>
    <w:rsid w:val="0074573F"/>
    <w:rsid w:val="0074628D"/>
    <w:rsid w:val="007473D2"/>
    <w:rsid w:val="007479C2"/>
    <w:rsid w:val="00750A80"/>
    <w:rsid w:val="00751061"/>
    <w:rsid w:val="0075151E"/>
    <w:rsid w:val="0075265E"/>
    <w:rsid w:val="0075440D"/>
    <w:rsid w:val="00754EF8"/>
    <w:rsid w:val="00755369"/>
    <w:rsid w:val="0075604A"/>
    <w:rsid w:val="0075650E"/>
    <w:rsid w:val="00757995"/>
    <w:rsid w:val="00760BAE"/>
    <w:rsid w:val="00762511"/>
    <w:rsid w:val="00762697"/>
    <w:rsid w:val="00763BB0"/>
    <w:rsid w:val="007644E6"/>
    <w:rsid w:val="007652EA"/>
    <w:rsid w:val="00766CDD"/>
    <w:rsid w:val="007674F3"/>
    <w:rsid w:val="00767CD2"/>
    <w:rsid w:val="00770859"/>
    <w:rsid w:val="0077277D"/>
    <w:rsid w:val="00774A5F"/>
    <w:rsid w:val="00774AB3"/>
    <w:rsid w:val="00774DFD"/>
    <w:rsid w:val="007753FA"/>
    <w:rsid w:val="0077544D"/>
    <w:rsid w:val="007758D3"/>
    <w:rsid w:val="00775D67"/>
    <w:rsid w:val="00776C78"/>
    <w:rsid w:val="0078079A"/>
    <w:rsid w:val="007810A0"/>
    <w:rsid w:val="0078249C"/>
    <w:rsid w:val="00784AA0"/>
    <w:rsid w:val="00784F3D"/>
    <w:rsid w:val="00785321"/>
    <w:rsid w:val="00785E63"/>
    <w:rsid w:val="007860B9"/>
    <w:rsid w:val="00786DD5"/>
    <w:rsid w:val="00787184"/>
    <w:rsid w:val="007914E4"/>
    <w:rsid w:val="00791E58"/>
    <w:rsid w:val="00794C2B"/>
    <w:rsid w:val="00797D59"/>
    <w:rsid w:val="007A0692"/>
    <w:rsid w:val="007A082B"/>
    <w:rsid w:val="007A0A0E"/>
    <w:rsid w:val="007A1303"/>
    <w:rsid w:val="007A2C90"/>
    <w:rsid w:val="007A4419"/>
    <w:rsid w:val="007A4B46"/>
    <w:rsid w:val="007A65E0"/>
    <w:rsid w:val="007A70B9"/>
    <w:rsid w:val="007A729D"/>
    <w:rsid w:val="007A7602"/>
    <w:rsid w:val="007A7A58"/>
    <w:rsid w:val="007A7E06"/>
    <w:rsid w:val="007B02B9"/>
    <w:rsid w:val="007B08F5"/>
    <w:rsid w:val="007B1AED"/>
    <w:rsid w:val="007B233D"/>
    <w:rsid w:val="007B2587"/>
    <w:rsid w:val="007B26B2"/>
    <w:rsid w:val="007B30F3"/>
    <w:rsid w:val="007B5AF0"/>
    <w:rsid w:val="007B6317"/>
    <w:rsid w:val="007B694D"/>
    <w:rsid w:val="007B79A9"/>
    <w:rsid w:val="007C0013"/>
    <w:rsid w:val="007C0CBC"/>
    <w:rsid w:val="007C22EB"/>
    <w:rsid w:val="007C255D"/>
    <w:rsid w:val="007C37D2"/>
    <w:rsid w:val="007C3985"/>
    <w:rsid w:val="007C6110"/>
    <w:rsid w:val="007C6AE2"/>
    <w:rsid w:val="007C7154"/>
    <w:rsid w:val="007D0C01"/>
    <w:rsid w:val="007D26D2"/>
    <w:rsid w:val="007D3FBD"/>
    <w:rsid w:val="007D49A0"/>
    <w:rsid w:val="007D7EF3"/>
    <w:rsid w:val="007E0553"/>
    <w:rsid w:val="007E5125"/>
    <w:rsid w:val="007E5DB4"/>
    <w:rsid w:val="007E6334"/>
    <w:rsid w:val="007E64B6"/>
    <w:rsid w:val="007E72DF"/>
    <w:rsid w:val="007F0617"/>
    <w:rsid w:val="007F313E"/>
    <w:rsid w:val="007F372C"/>
    <w:rsid w:val="007F3993"/>
    <w:rsid w:val="007F3A5A"/>
    <w:rsid w:val="007F5AD6"/>
    <w:rsid w:val="007F6F57"/>
    <w:rsid w:val="007F729E"/>
    <w:rsid w:val="007F7963"/>
    <w:rsid w:val="00800E69"/>
    <w:rsid w:val="00800EFF"/>
    <w:rsid w:val="00802BFE"/>
    <w:rsid w:val="00803827"/>
    <w:rsid w:val="0080391F"/>
    <w:rsid w:val="008039C2"/>
    <w:rsid w:val="008046E4"/>
    <w:rsid w:val="00804992"/>
    <w:rsid w:val="008055FF"/>
    <w:rsid w:val="00806782"/>
    <w:rsid w:val="00810302"/>
    <w:rsid w:val="00810F94"/>
    <w:rsid w:val="008118AF"/>
    <w:rsid w:val="00814A17"/>
    <w:rsid w:val="008167F5"/>
    <w:rsid w:val="0081794B"/>
    <w:rsid w:val="00817D8E"/>
    <w:rsid w:val="008200A3"/>
    <w:rsid w:val="00820BF2"/>
    <w:rsid w:val="008211DC"/>
    <w:rsid w:val="00824C4E"/>
    <w:rsid w:val="00826125"/>
    <w:rsid w:val="00826F38"/>
    <w:rsid w:val="00830D70"/>
    <w:rsid w:val="00831969"/>
    <w:rsid w:val="00833E4C"/>
    <w:rsid w:val="00834316"/>
    <w:rsid w:val="00836224"/>
    <w:rsid w:val="008374E9"/>
    <w:rsid w:val="008376CD"/>
    <w:rsid w:val="00837BE4"/>
    <w:rsid w:val="00840559"/>
    <w:rsid w:val="00842534"/>
    <w:rsid w:val="00843153"/>
    <w:rsid w:val="008433C1"/>
    <w:rsid w:val="00843908"/>
    <w:rsid w:val="008443E1"/>
    <w:rsid w:val="00845127"/>
    <w:rsid w:val="0084587A"/>
    <w:rsid w:val="00845D12"/>
    <w:rsid w:val="00846713"/>
    <w:rsid w:val="00846D48"/>
    <w:rsid w:val="008473FA"/>
    <w:rsid w:val="008477CE"/>
    <w:rsid w:val="00847830"/>
    <w:rsid w:val="0085147F"/>
    <w:rsid w:val="00851A81"/>
    <w:rsid w:val="00851F4C"/>
    <w:rsid w:val="0085224B"/>
    <w:rsid w:val="008523BA"/>
    <w:rsid w:val="00852B26"/>
    <w:rsid w:val="0085480B"/>
    <w:rsid w:val="00855021"/>
    <w:rsid w:val="00855985"/>
    <w:rsid w:val="008560F4"/>
    <w:rsid w:val="008568B1"/>
    <w:rsid w:val="008570EB"/>
    <w:rsid w:val="00860A1E"/>
    <w:rsid w:val="00861622"/>
    <w:rsid w:val="00863125"/>
    <w:rsid w:val="008662C0"/>
    <w:rsid w:val="0087030B"/>
    <w:rsid w:val="008705E1"/>
    <w:rsid w:val="0087153F"/>
    <w:rsid w:val="00872938"/>
    <w:rsid w:val="00873ABF"/>
    <w:rsid w:val="0087459A"/>
    <w:rsid w:val="00875167"/>
    <w:rsid w:val="00875A88"/>
    <w:rsid w:val="00875DF8"/>
    <w:rsid w:val="008765E3"/>
    <w:rsid w:val="00876DCE"/>
    <w:rsid w:val="00876FBF"/>
    <w:rsid w:val="00881572"/>
    <w:rsid w:val="00882FEA"/>
    <w:rsid w:val="0088320F"/>
    <w:rsid w:val="00883450"/>
    <w:rsid w:val="0088398C"/>
    <w:rsid w:val="00885A71"/>
    <w:rsid w:val="00885C6E"/>
    <w:rsid w:val="00886AF2"/>
    <w:rsid w:val="0088743F"/>
    <w:rsid w:val="0089067B"/>
    <w:rsid w:val="00890700"/>
    <w:rsid w:val="00892AB9"/>
    <w:rsid w:val="00893857"/>
    <w:rsid w:val="0089412A"/>
    <w:rsid w:val="00894767"/>
    <w:rsid w:val="00895335"/>
    <w:rsid w:val="00895536"/>
    <w:rsid w:val="008965EF"/>
    <w:rsid w:val="00896AD4"/>
    <w:rsid w:val="00897752"/>
    <w:rsid w:val="008A2811"/>
    <w:rsid w:val="008A307C"/>
    <w:rsid w:val="008A3FC8"/>
    <w:rsid w:val="008A52F3"/>
    <w:rsid w:val="008A5456"/>
    <w:rsid w:val="008A7536"/>
    <w:rsid w:val="008A7F7D"/>
    <w:rsid w:val="008B1A5A"/>
    <w:rsid w:val="008B382F"/>
    <w:rsid w:val="008B38BC"/>
    <w:rsid w:val="008B4590"/>
    <w:rsid w:val="008B5AB4"/>
    <w:rsid w:val="008B66A6"/>
    <w:rsid w:val="008B6849"/>
    <w:rsid w:val="008B7FFE"/>
    <w:rsid w:val="008C0446"/>
    <w:rsid w:val="008C2B3C"/>
    <w:rsid w:val="008C33F9"/>
    <w:rsid w:val="008C41A7"/>
    <w:rsid w:val="008C6F34"/>
    <w:rsid w:val="008C7108"/>
    <w:rsid w:val="008C75C8"/>
    <w:rsid w:val="008D02A3"/>
    <w:rsid w:val="008D22D8"/>
    <w:rsid w:val="008D259C"/>
    <w:rsid w:val="008D2BCD"/>
    <w:rsid w:val="008D3E2D"/>
    <w:rsid w:val="008D406E"/>
    <w:rsid w:val="008D4E99"/>
    <w:rsid w:val="008D5066"/>
    <w:rsid w:val="008D5A97"/>
    <w:rsid w:val="008D6697"/>
    <w:rsid w:val="008D728C"/>
    <w:rsid w:val="008E0674"/>
    <w:rsid w:val="008E11CC"/>
    <w:rsid w:val="008E1B8F"/>
    <w:rsid w:val="008E2B17"/>
    <w:rsid w:val="008E3E12"/>
    <w:rsid w:val="008E4DCD"/>
    <w:rsid w:val="008E5767"/>
    <w:rsid w:val="008E580D"/>
    <w:rsid w:val="008F12E6"/>
    <w:rsid w:val="008F1558"/>
    <w:rsid w:val="008F2B44"/>
    <w:rsid w:val="008F5927"/>
    <w:rsid w:val="008F5F96"/>
    <w:rsid w:val="008F7752"/>
    <w:rsid w:val="0090174A"/>
    <w:rsid w:val="00902E52"/>
    <w:rsid w:val="009036B3"/>
    <w:rsid w:val="0090620F"/>
    <w:rsid w:val="009071FE"/>
    <w:rsid w:val="00907761"/>
    <w:rsid w:val="00907A46"/>
    <w:rsid w:val="00910076"/>
    <w:rsid w:val="0091242A"/>
    <w:rsid w:val="00912E53"/>
    <w:rsid w:val="0091395C"/>
    <w:rsid w:val="00913AA4"/>
    <w:rsid w:val="00915778"/>
    <w:rsid w:val="009164DD"/>
    <w:rsid w:val="00916DF1"/>
    <w:rsid w:val="009210C9"/>
    <w:rsid w:val="00925C68"/>
    <w:rsid w:val="009315B0"/>
    <w:rsid w:val="009316E9"/>
    <w:rsid w:val="00931C93"/>
    <w:rsid w:val="00931EE2"/>
    <w:rsid w:val="00931FD8"/>
    <w:rsid w:val="0093282F"/>
    <w:rsid w:val="0093416D"/>
    <w:rsid w:val="009362A8"/>
    <w:rsid w:val="0093652D"/>
    <w:rsid w:val="00937309"/>
    <w:rsid w:val="00937D66"/>
    <w:rsid w:val="0094065A"/>
    <w:rsid w:val="00940FE2"/>
    <w:rsid w:val="00943E62"/>
    <w:rsid w:val="00945A61"/>
    <w:rsid w:val="00950154"/>
    <w:rsid w:val="00950C6E"/>
    <w:rsid w:val="00951ECA"/>
    <w:rsid w:val="00953054"/>
    <w:rsid w:val="009531D6"/>
    <w:rsid w:val="00953610"/>
    <w:rsid w:val="0095382C"/>
    <w:rsid w:val="00953B03"/>
    <w:rsid w:val="009548C1"/>
    <w:rsid w:val="00956219"/>
    <w:rsid w:val="009563A5"/>
    <w:rsid w:val="00956868"/>
    <w:rsid w:val="00956C90"/>
    <w:rsid w:val="0095723E"/>
    <w:rsid w:val="009572EE"/>
    <w:rsid w:val="0095765F"/>
    <w:rsid w:val="009606E6"/>
    <w:rsid w:val="009609D2"/>
    <w:rsid w:val="00960CFA"/>
    <w:rsid w:val="0096234B"/>
    <w:rsid w:val="00962F40"/>
    <w:rsid w:val="00963968"/>
    <w:rsid w:val="009670E9"/>
    <w:rsid w:val="00970F70"/>
    <w:rsid w:val="00971056"/>
    <w:rsid w:val="0097210F"/>
    <w:rsid w:val="0097252B"/>
    <w:rsid w:val="00972668"/>
    <w:rsid w:val="009727B4"/>
    <w:rsid w:val="00972C36"/>
    <w:rsid w:val="00972DF8"/>
    <w:rsid w:val="009750AA"/>
    <w:rsid w:val="00977D37"/>
    <w:rsid w:val="009813EA"/>
    <w:rsid w:val="009830D3"/>
    <w:rsid w:val="00983B8F"/>
    <w:rsid w:val="0098595E"/>
    <w:rsid w:val="00986073"/>
    <w:rsid w:val="0099062A"/>
    <w:rsid w:val="00990EE2"/>
    <w:rsid w:val="009916D2"/>
    <w:rsid w:val="009917E9"/>
    <w:rsid w:val="009918B7"/>
    <w:rsid w:val="009918C6"/>
    <w:rsid w:val="0099229C"/>
    <w:rsid w:val="00992D4F"/>
    <w:rsid w:val="00994E5F"/>
    <w:rsid w:val="009959DB"/>
    <w:rsid w:val="00995C9F"/>
    <w:rsid w:val="0099752D"/>
    <w:rsid w:val="00997C2A"/>
    <w:rsid w:val="009A0358"/>
    <w:rsid w:val="009A0461"/>
    <w:rsid w:val="009A0E2A"/>
    <w:rsid w:val="009A1E9E"/>
    <w:rsid w:val="009A28A2"/>
    <w:rsid w:val="009A2D33"/>
    <w:rsid w:val="009A5191"/>
    <w:rsid w:val="009A593A"/>
    <w:rsid w:val="009A5FBB"/>
    <w:rsid w:val="009B0E35"/>
    <w:rsid w:val="009B0F5C"/>
    <w:rsid w:val="009B11D6"/>
    <w:rsid w:val="009B2EE9"/>
    <w:rsid w:val="009B3771"/>
    <w:rsid w:val="009B4864"/>
    <w:rsid w:val="009B5504"/>
    <w:rsid w:val="009B5D1A"/>
    <w:rsid w:val="009B649B"/>
    <w:rsid w:val="009B6F16"/>
    <w:rsid w:val="009C0940"/>
    <w:rsid w:val="009C0950"/>
    <w:rsid w:val="009C1D99"/>
    <w:rsid w:val="009C1F8B"/>
    <w:rsid w:val="009C20A8"/>
    <w:rsid w:val="009C5057"/>
    <w:rsid w:val="009C57AC"/>
    <w:rsid w:val="009D1378"/>
    <w:rsid w:val="009D1780"/>
    <w:rsid w:val="009D2384"/>
    <w:rsid w:val="009D3240"/>
    <w:rsid w:val="009D3A6E"/>
    <w:rsid w:val="009D61D9"/>
    <w:rsid w:val="009D624D"/>
    <w:rsid w:val="009D6AD5"/>
    <w:rsid w:val="009E0AB4"/>
    <w:rsid w:val="009E10C7"/>
    <w:rsid w:val="009E260E"/>
    <w:rsid w:val="009E360A"/>
    <w:rsid w:val="009E38A4"/>
    <w:rsid w:val="009E3D82"/>
    <w:rsid w:val="009E4942"/>
    <w:rsid w:val="009E6E48"/>
    <w:rsid w:val="009F0B67"/>
    <w:rsid w:val="009F1566"/>
    <w:rsid w:val="009F1E4B"/>
    <w:rsid w:val="009F307E"/>
    <w:rsid w:val="009F37D5"/>
    <w:rsid w:val="009F50DE"/>
    <w:rsid w:val="009F5F3E"/>
    <w:rsid w:val="009F6D34"/>
    <w:rsid w:val="009F74A2"/>
    <w:rsid w:val="009F7BB0"/>
    <w:rsid w:val="00A0179F"/>
    <w:rsid w:val="00A01B7D"/>
    <w:rsid w:val="00A036C5"/>
    <w:rsid w:val="00A03AD2"/>
    <w:rsid w:val="00A050D8"/>
    <w:rsid w:val="00A05DA0"/>
    <w:rsid w:val="00A073A0"/>
    <w:rsid w:val="00A07D84"/>
    <w:rsid w:val="00A10336"/>
    <w:rsid w:val="00A10CE2"/>
    <w:rsid w:val="00A13703"/>
    <w:rsid w:val="00A13811"/>
    <w:rsid w:val="00A15C42"/>
    <w:rsid w:val="00A16DF1"/>
    <w:rsid w:val="00A17302"/>
    <w:rsid w:val="00A17A17"/>
    <w:rsid w:val="00A20B1F"/>
    <w:rsid w:val="00A21050"/>
    <w:rsid w:val="00A235D0"/>
    <w:rsid w:val="00A24131"/>
    <w:rsid w:val="00A27A7F"/>
    <w:rsid w:val="00A3276A"/>
    <w:rsid w:val="00A33B22"/>
    <w:rsid w:val="00A349D2"/>
    <w:rsid w:val="00A34C05"/>
    <w:rsid w:val="00A35492"/>
    <w:rsid w:val="00A36D6E"/>
    <w:rsid w:val="00A4044E"/>
    <w:rsid w:val="00A415FA"/>
    <w:rsid w:val="00A42475"/>
    <w:rsid w:val="00A42869"/>
    <w:rsid w:val="00A4379F"/>
    <w:rsid w:val="00A4434D"/>
    <w:rsid w:val="00A45039"/>
    <w:rsid w:val="00A454E0"/>
    <w:rsid w:val="00A45546"/>
    <w:rsid w:val="00A4585A"/>
    <w:rsid w:val="00A459B3"/>
    <w:rsid w:val="00A459D6"/>
    <w:rsid w:val="00A45B12"/>
    <w:rsid w:val="00A45EB8"/>
    <w:rsid w:val="00A462D5"/>
    <w:rsid w:val="00A4650A"/>
    <w:rsid w:val="00A46F7C"/>
    <w:rsid w:val="00A471A7"/>
    <w:rsid w:val="00A47279"/>
    <w:rsid w:val="00A50720"/>
    <w:rsid w:val="00A50922"/>
    <w:rsid w:val="00A50B8A"/>
    <w:rsid w:val="00A51F40"/>
    <w:rsid w:val="00A52C7A"/>
    <w:rsid w:val="00A55D2B"/>
    <w:rsid w:val="00A572BC"/>
    <w:rsid w:val="00A57A82"/>
    <w:rsid w:val="00A62B7B"/>
    <w:rsid w:val="00A66AE9"/>
    <w:rsid w:val="00A67428"/>
    <w:rsid w:val="00A70CF3"/>
    <w:rsid w:val="00A7155E"/>
    <w:rsid w:val="00A74EDE"/>
    <w:rsid w:val="00A763AE"/>
    <w:rsid w:val="00A76619"/>
    <w:rsid w:val="00A766D5"/>
    <w:rsid w:val="00A76B0D"/>
    <w:rsid w:val="00A80223"/>
    <w:rsid w:val="00A816EE"/>
    <w:rsid w:val="00A81AB5"/>
    <w:rsid w:val="00A82724"/>
    <w:rsid w:val="00A82C5A"/>
    <w:rsid w:val="00A83FF6"/>
    <w:rsid w:val="00A85CB7"/>
    <w:rsid w:val="00A8620F"/>
    <w:rsid w:val="00A8652F"/>
    <w:rsid w:val="00A86AAB"/>
    <w:rsid w:val="00A86D49"/>
    <w:rsid w:val="00A8769A"/>
    <w:rsid w:val="00A87B22"/>
    <w:rsid w:val="00A90FF4"/>
    <w:rsid w:val="00A92E9F"/>
    <w:rsid w:val="00A92EC0"/>
    <w:rsid w:val="00A92EED"/>
    <w:rsid w:val="00A93838"/>
    <w:rsid w:val="00A975D5"/>
    <w:rsid w:val="00A9772B"/>
    <w:rsid w:val="00AA0660"/>
    <w:rsid w:val="00AA1409"/>
    <w:rsid w:val="00AA3875"/>
    <w:rsid w:val="00AA404A"/>
    <w:rsid w:val="00AA40DC"/>
    <w:rsid w:val="00AA6228"/>
    <w:rsid w:val="00AA69A4"/>
    <w:rsid w:val="00AB1131"/>
    <w:rsid w:val="00AB1B91"/>
    <w:rsid w:val="00AB2744"/>
    <w:rsid w:val="00AB274F"/>
    <w:rsid w:val="00AB5F30"/>
    <w:rsid w:val="00AB61E4"/>
    <w:rsid w:val="00AB6BE3"/>
    <w:rsid w:val="00AB7AAA"/>
    <w:rsid w:val="00AC2197"/>
    <w:rsid w:val="00AC37C3"/>
    <w:rsid w:val="00AC3E65"/>
    <w:rsid w:val="00AC535B"/>
    <w:rsid w:val="00AC5F6A"/>
    <w:rsid w:val="00AD0B3C"/>
    <w:rsid w:val="00AD0FC3"/>
    <w:rsid w:val="00AD1CC0"/>
    <w:rsid w:val="00AD22B5"/>
    <w:rsid w:val="00AD2718"/>
    <w:rsid w:val="00AD33D3"/>
    <w:rsid w:val="00AD3DB4"/>
    <w:rsid w:val="00AD5133"/>
    <w:rsid w:val="00AD5712"/>
    <w:rsid w:val="00AD5FE2"/>
    <w:rsid w:val="00AD6AC5"/>
    <w:rsid w:val="00AD76A1"/>
    <w:rsid w:val="00AE48E8"/>
    <w:rsid w:val="00AE7F20"/>
    <w:rsid w:val="00AF02E2"/>
    <w:rsid w:val="00AF0E7C"/>
    <w:rsid w:val="00AF1F04"/>
    <w:rsid w:val="00AF3B55"/>
    <w:rsid w:val="00AF3D59"/>
    <w:rsid w:val="00AF6794"/>
    <w:rsid w:val="00AF6F48"/>
    <w:rsid w:val="00AF717E"/>
    <w:rsid w:val="00B016F7"/>
    <w:rsid w:val="00B02BDD"/>
    <w:rsid w:val="00B04E10"/>
    <w:rsid w:val="00B055B9"/>
    <w:rsid w:val="00B056F3"/>
    <w:rsid w:val="00B07F23"/>
    <w:rsid w:val="00B13243"/>
    <w:rsid w:val="00B13511"/>
    <w:rsid w:val="00B13D85"/>
    <w:rsid w:val="00B16296"/>
    <w:rsid w:val="00B16576"/>
    <w:rsid w:val="00B16CC7"/>
    <w:rsid w:val="00B1786A"/>
    <w:rsid w:val="00B206D8"/>
    <w:rsid w:val="00B20C75"/>
    <w:rsid w:val="00B230E5"/>
    <w:rsid w:val="00B23E88"/>
    <w:rsid w:val="00B267A4"/>
    <w:rsid w:val="00B26A5F"/>
    <w:rsid w:val="00B312C7"/>
    <w:rsid w:val="00B316B9"/>
    <w:rsid w:val="00B31E90"/>
    <w:rsid w:val="00B32E58"/>
    <w:rsid w:val="00B335A2"/>
    <w:rsid w:val="00B342D1"/>
    <w:rsid w:val="00B34371"/>
    <w:rsid w:val="00B357DD"/>
    <w:rsid w:val="00B36BEC"/>
    <w:rsid w:val="00B37104"/>
    <w:rsid w:val="00B37930"/>
    <w:rsid w:val="00B406E3"/>
    <w:rsid w:val="00B41516"/>
    <w:rsid w:val="00B433EB"/>
    <w:rsid w:val="00B447D7"/>
    <w:rsid w:val="00B44F9F"/>
    <w:rsid w:val="00B451F7"/>
    <w:rsid w:val="00B452A3"/>
    <w:rsid w:val="00B4545E"/>
    <w:rsid w:val="00B47889"/>
    <w:rsid w:val="00B47D0D"/>
    <w:rsid w:val="00B52B7D"/>
    <w:rsid w:val="00B531D2"/>
    <w:rsid w:val="00B537D8"/>
    <w:rsid w:val="00B53CCA"/>
    <w:rsid w:val="00B54441"/>
    <w:rsid w:val="00B54A5F"/>
    <w:rsid w:val="00B55303"/>
    <w:rsid w:val="00B560C2"/>
    <w:rsid w:val="00B56409"/>
    <w:rsid w:val="00B56B8A"/>
    <w:rsid w:val="00B56F9B"/>
    <w:rsid w:val="00B64099"/>
    <w:rsid w:val="00B643D6"/>
    <w:rsid w:val="00B64919"/>
    <w:rsid w:val="00B667C6"/>
    <w:rsid w:val="00B66BC8"/>
    <w:rsid w:val="00B71F08"/>
    <w:rsid w:val="00B73838"/>
    <w:rsid w:val="00B7387B"/>
    <w:rsid w:val="00B741AA"/>
    <w:rsid w:val="00B7421A"/>
    <w:rsid w:val="00B74366"/>
    <w:rsid w:val="00B75F20"/>
    <w:rsid w:val="00B762FD"/>
    <w:rsid w:val="00B76C73"/>
    <w:rsid w:val="00B808A4"/>
    <w:rsid w:val="00B81371"/>
    <w:rsid w:val="00B818B8"/>
    <w:rsid w:val="00B8225B"/>
    <w:rsid w:val="00B83E2E"/>
    <w:rsid w:val="00B855AA"/>
    <w:rsid w:val="00B8780A"/>
    <w:rsid w:val="00B902E7"/>
    <w:rsid w:val="00B922D9"/>
    <w:rsid w:val="00B926D6"/>
    <w:rsid w:val="00B93351"/>
    <w:rsid w:val="00B945F2"/>
    <w:rsid w:val="00B95670"/>
    <w:rsid w:val="00B959FD"/>
    <w:rsid w:val="00B966BF"/>
    <w:rsid w:val="00B970A2"/>
    <w:rsid w:val="00B974B4"/>
    <w:rsid w:val="00BA0012"/>
    <w:rsid w:val="00BA0458"/>
    <w:rsid w:val="00BA4F66"/>
    <w:rsid w:val="00BA54A2"/>
    <w:rsid w:val="00BA6D15"/>
    <w:rsid w:val="00BA7987"/>
    <w:rsid w:val="00BA7CFA"/>
    <w:rsid w:val="00BB1309"/>
    <w:rsid w:val="00BB2592"/>
    <w:rsid w:val="00BB3156"/>
    <w:rsid w:val="00BB5CA9"/>
    <w:rsid w:val="00BB6662"/>
    <w:rsid w:val="00BB7E0C"/>
    <w:rsid w:val="00BC0CE4"/>
    <w:rsid w:val="00BC22CD"/>
    <w:rsid w:val="00BC260A"/>
    <w:rsid w:val="00BC30BF"/>
    <w:rsid w:val="00BC3150"/>
    <w:rsid w:val="00BC4307"/>
    <w:rsid w:val="00BC4C44"/>
    <w:rsid w:val="00BC61B2"/>
    <w:rsid w:val="00BC7E69"/>
    <w:rsid w:val="00BD025A"/>
    <w:rsid w:val="00BD02D5"/>
    <w:rsid w:val="00BD0A1C"/>
    <w:rsid w:val="00BD0DA4"/>
    <w:rsid w:val="00BD1B67"/>
    <w:rsid w:val="00BD2E8E"/>
    <w:rsid w:val="00BD335B"/>
    <w:rsid w:val="00BD33B6"/>
    <w:rsid w:val="00BD3D7F"/>
    <w:rsid w:val="00BD4097"/>
    <w:rsid w:val="00BD4163"/>
    <w:rsid w:val="00BD4E41"/>
    <w:rsid w:val="00BD4F95"/>
    <w:rsid w:val="00BD517B"/>
    <w:rsid w:val="00BD650E"/>
    <w:rsid w:val="00BD6560"/>
    <w:rsid w:val="00BD687D"/>
    <w:rsid w:val="00BE00FA"/>
    <w:rsid w:val="00BE0C95"/>
    <w:rsid w:val="00BE31BD"/>
    <w:rsid w:val="00BE462E"/>
    <w:rsid w:val="00BE545A"/>
    <w:rsid w:val="00BE57A2"/>
    <w:rsid w:val="00BE5E11"/>
    <w:rsid w:val="00BE6C95"/>
    <w:rsid w:val="00BE74FA"/>
    <w:rsid w:val="00BF0A54"/>
    <w:rsid w:val="00BF0F1C"/>
    <w:rsid w:val="00BF1278"/>
    <w:rsid w:val="00BF1B7F"/>
    <w:rsid w:val="00BF2346"/>
    <w:rsid w:val="00BF29F7"/>
    <w:rsid w:val="00BF3B85"/>
    <w:rsid w:val="00BF485E"/>
    <w:rsid w:val="00BF6B5B"/>
    <w:rsid w:val="00BF6D83"/>
    <w:rsid w:val="00BF704D"/>
    <w:rsid w:val="00BF7365"/>
    <w:rsid w:val="00BF7824"/>
    <w:rsid w:val="00C020F8"/>
    <w:rsid w:val="00C02535"/>
    <w:rsid w:val="00C04666"/>
    <w:rsid w:val="00C04D22"/>
    <w:rsid w:val="00C06C02"/>
    <w:rsid w:val="00C11482"/>
    <w:rsid w:val="00C1254E"/>
    <w:rsid w:val="00C12E38"/>
    <w:rsid w:val="00C14CDF"/>
    <w:rsid w:val="00C150E0"/>
    <w:rsid w:val="00C150F6"/>
    <w:rsid w:val="00C15F97"/>
    <w:rsid w:val="00C16762"/>
    <w:rsid w:val="00C17637"/>
    <w:rsid w:val="00C179FC"/>
    <w:rsid w:val="00C203F6"/>
    <w:rsid w:val="00C20EB1"/>
    <w:rsid w:val="00C2139F"/>
    <w:rsid w:val="00C24101"/>
    <w:rsid w:val="00C24B25"/>
    <w:rsid w:val="00C24FF3"/>
    <w:rsid w:val="00C2575E"/>
    <w:rsid w:val="00C26121"/>
    <w:rsid w:val="00C27ABF"/>
    <w:rsid w:val="00C3086E"/>
    <w:rsid w:val="00C315FB"/>
    <w:rsid w:val="00C31713"/>
    <w:rsid w:val="00C317BD"/>
    <w:rsid w:val="00C33279"/>
    <w:rsid w:val="00C34B8F"/>
    <w:rsid w:val="00C35332"/>
    <w:rsid w:val="00C37421"/>
    <w:rsid w:val="00C41015"/>
    <w:rsid w:val="00C41131"/>
    <w:rsid w:val="00C411C1"/>
    <w:rsid w:val="00C422BD"/>
    <w:rsid w:val="00C42ED3"/>
    <w:rsid w:val="00C43A3B"/>
    <w:rsid w:val="00C45581"/>
    <w:rsid w:val="00C45BF0"/>
    <w:rsid w:val="00C46213"/>
    <w:rsid w:val="00C4712A"/>
    <w:rsid w:val="00C47468"/>
    <w:rsid w:val="00C47CDC"/>
    <w:rsid w:val="00C50A2B"/>
    <w:rsid w:val="00C51671"/>
    <w:rsid w:val="00C5280A"/>
    <w:rsid w:val="00C52FCF"/>
    <w:rsid w:val="00C5401F"/>
    <w:rsid w:val="00C54922"/>
    <w:rsid w:val="00C55FE8"/>
    <w:rsid w:val="00C601EF"/>
    <w:rsid w:val="00C6220B"/>
    <w:rsid w:val="00C62658"/>
    <w:rsid w:val="00C634D6"/>
    <w:rsid w:val="00C63CF2"/>
    <w:rsid w:val="00C6440A"/>
    <w:rsid w:val="00C648FC"/>
    <w:rsid w:val="00C65726"/>
    <w:rsid w:val="00C65EDE"/>
    <w:rsid w:val="00C663BE"/>
    <w:rsid w:val="00C70AB7"/>
    <w:rsid w:val="00C71858"/>
    <w:rsid w:val="00C722C5"/>
    <w:rsid w:val="00C74346"/>
    <w:rsid w:val="00C744AE"/>
    <w:rsid w:val="00C74781"/>
    <w:rsid w:val="00C76B87"/>
    <w:rsid w:val="00C80034"/>
    <w:rsid w:val="00C80729"/>
    <w:rsid w:val="00C828E8"/>
    <w:rsid w:val="00C83579"/>
    <w:rsid w:val="00C83EA7"/>
    <w:rsid w:val="00C843EC"/>
    <w:rsid w:val="00C84559"/>
    <w:rsid w:val="00C84CB9"/>
    <w:rsid w:val="00C84E31"/>
    <w:rsid w:val="00C862C4"/>
    <w:rsid w:val="00C86977"/>
    <w:rsid w:val="00C86B34"/>
    <w:rsid w:val="00C86FFF"/>
    <w:rsid w:val="00C871C7"/>
    <w:rsid w:val="00C91060"/>
    <w:rsid w:val="00C928FD"/>
    <w:rsid w:val="00C95593"/>
    <w:rsid w:val="00CA0640"/>
    <w:rsid w:val="00CA2022"/>
    <w:rsid w:val="00CA4741"/>
    <w:rsid w:val="00CA5465"/>
    <w:rsid w:val="00CA62D4"/>
    <w:rsid w:val="00CA7A78"/>
    <w:rsid w:val="00CA7F49"/>
    <w:rsid w:val="00CB2FC0"/>
    <w:rsid w:val="00CB3C69"/>
    <w:rsid w:val="00CB57BF"/>
    <w:rsid w:val="00CB58C6"/>
    <w:rsid w:val="00CB5AEC"/>
    <w:rsid w:val="00CB7F82"/>
    <w:rsid w:val="00CC0B3A"/>
    <w:rsid w:val="00CC10A6"/>
    <w:rsid w:val="00CC10B3"/>
    <w:rsid w:val="00CC27BA"/>
    <w:rsid w:val="00CC2DE4"/>
    <w:rsid w:val="00CC360E"/>
    <w:rsid w:val="00CC3B04"/>
    <w:rsid w:val="00CC3D18"/>
    <w:rsid w:val="00CC3FC7"/>
    <w:rsid w:val="00CC48D6"/>
    <w:rsid w:val="00CD32FE"/>
    <w:rsid w:val="00CD3E7D"/>
    <w:rsid w:val="00CD5036"/>
    <w:rsid w:val="00CD6866"/>
    <w:rsid w:val="00CD76D4"/>
    <w:rsid w:val="00CD7893"/>
    <w:rsid w:val="00CD7911"/>
    <w:rsid w:val="00CE03CC"/>
    <w:rsid w:val="00CE7E6A"/>
    <w:rsid w:val="00CF030B"/>
    <w:rsid w:val="00CF23A2"/>
    <w:rsid w:val="00CF5D77"/>
    <w:rsid w:val="00CF6EB2"/>
    <w:rsid w:val="00D00269"/>
    <w:rsid w:val="00D02D25"/>
    <w:rsid w:val="00D02F72"/>
    <w:rsid w:val="00D07CFB"/>
    <w:rsid w:val="00D10AB0"/>
    <w:rsid w:val="00D12402"/>
    <w:rsid w:val="00D12EE7"/>
    <w:rsid w:val="00D1373C"/>
    <w:rsid w:val="00D16B19"/>
    <w:rsid w:val="00D16BAD"/>
    <w:rsid w:val="00D172B8"/>
    <w:rsid w:val="00D1735B"/>
    <w:rsid w:val="00D17702"/>
    <w:rsid w:val="00D17C3D"/>
    <w:rsid w:val="00D20E91"/>
    <w:rsid w:val="00D225CB"/>
    <w:rsid w:val="00D23CD2"/>
    <w:rsid w:val="00D25A9F"/>
    <w:rsid w:val="00D266ED"/>
    <w:rsid w:val="00D2734A"/>
    <w:rsid w:val="00D276CF"/>
    <w:rsid w:val="00D27F25"/>
    <w:rsid w:val="00D30003"/>
    <w:rsid w:val="00D306AB"/>
    <w:rsid w:val="00D31B93"/>
    <w:rsid w:val="00D31D5F"/>
    <w:rsid w:val="00D32293"/>
    <w:rsid w:val="00D33323"/>
    <w:rsid w:val="00D33F79"/>
    <w:rsid w:val="00D34574"/>
    <w:rsid w:val="00D3469A"/>
    <w:rsid w:val="00D3478C"/>
    <w:rsid w:val="00D34A5C"/>
    <w:rsid w:val="00D35986"/>
    <w:rsid w:val="00D36CE3"/>
    <w:rsid w:val="00D37494"/>
    <w:rsid w:val="00D3789A"/>
    <w:rsid w:val="00D407B7"/>
    <w:rsid w:val="00D409B3"/>
    <w:rsid w:val="00D40B61"/>
    <w:rsid w:val="00D41B84"/>
    <w:rsid w:val="00D41E2D"/>
    <w:rsid w:val="00D42588"/>
    <w:rsid w:val="00D4287D"/>
    <w:rsid w:val="00D42957"/>
    <w:rsid w:val="00D446E7"/>
    <w:rsid w:val="00D47265"/>
    <w:rsid w:val="00D47500"/>
    <w:rsid w:val="00D4793C"/>
    <w:rsid w:val="00D525E2"/>
    <w:rsid w:val="00D60582"/>
    <w:rsid w:val="00D61222"/>
    <w:rsid w:val="00D63800"/>
    <w:rsid w:val="00D63990"/>
    <w:rsid w:val="00D65068"/>
    <w:rsid w:val="00D65243"/>
    <w:rsid w:val="00D658A1"/>
    <w:rsid w:val="00D65BBD"/>
    <w:rsid w:val="00D67E99"/>
    <w:rsid w:val="00D71057"/>
    <w:rsid w:val="00D730F6"/>
    <w:rsid w:val="00D738F0"/>
    <w:rsid w:val="00D75E6C"/>
    <w:rsid w:val="00D764F5"/>
    <w:rsid w:val="00D82CB3"/>
    <w:rsid w:val="00D82FC0"/>
    <w:rsid w:val="00D8322A"/>
    <w:rsid w:val="00D83C17"/>
    <w:rsid w:val="00D8541E"/>
    <w:rsid w:val="00D85885"/>
    <w:rsid w:val="00D8720F"/>
    <w:rsid w:val="00D87527"/>
    <w:rsid w:val="00D87652"/>
    <w:rsid w:val="00D87A89"/>
    <w:rsid w:val="00D905C2"/>
    <w:rsid w:val="00D92D08"/>
    <w:rsid w:val="00D9372E"/>
    <w:rsid w:val="00D938BE"/>
    <w:rsid w:val="00D9392E"/>
    <w:rsid w:val="00D947F0"/>
    <w:rsid w:val="00D9630B"/>
    <w:rsid w:val="00D963CC"/>
    <w:rsid w:val="00DA22D8"/>
    <w:rsid w:val="00DA2D95"/>
    <w:rsid w:val="00DA3A4F"/>
    <w:rsid w:val="00DA42C0"/>
    <w:rsid w:val="00DA52A2"/>
    <w:rsid w:val="00DA57B0"/>
    <w:rsid w:val="00DA7E2F"/>
    <w:rsid w:val="00DB0C0B"/>
    <w:rsid w:val="00DB2446"/>
    <w:rsid w:val="00DB31E7"/>
    <w:rsid w:val="00DB3A66"/>
    <w:rsid w:val="00DB4BEF"/>
    <w:rsid w:val="00DB546B"/>
    <w:rsid w:val="00DB5946"/>
    <w:rsid w:val="00DB74A4"/>
    <w:rsid w:val="00DB78B2"/>
    <w:rsid w:val="00DC073A"/>
    <w:rsid w:val="00DC0A7B"/>
    <w:rsid w:val="00DC1539"/>
    <w:rsid w:val="00DC2022"/>
    <w:rsid w:val="00DC230C"/>
    <w:rsid w:val="00DC27E7"/>
    <w:rsid w:val="00DC2CE7"/>
    <w:rsid w:val="00DC301A"/>
    <w:rsid w:val="00DC5188"/>
    <w:rsid w:val="00DC6294"/>
    <w:rsid w:val="00DC6AEA"/>
    <w:rsid w:val="00DC7377"/>
    <w:rsid w:val="00DD2912"/>
    <w:rsid w:val="00DD3478"/>
    <w:rsid w:val="00DD353B"/>
    <w:rsid w:val="00DD3902"/>
    <w:rsid w:val="00DD417A"/>
    <w:rsid w:val="00DD45C1"/>
    <w:rsid w:val="00DD4849"/>
    <w:rsid w:val="00DD54CB"/>
    <w:rsid w:val="00DE0FC0"/>
    <w:rsid w:val="00DE190A"/>
    <w:rsid w:val="00DE1A76"/>
    <w:rsid w:val="00DE31D8"/>
    <w:rsid w:val="00DE3A31"/>
    <w:rsid w:val="00DE47D5"/>
    <w:rsid w:val="00DE4F75"/>
    <w:rsid w:val="00DE5F76"/>
    <w:rsid w:val="00DF09A4"/>
    <w:rsid w:val="00DF0DF7"/>
    <w:rsid w:val="00DF13A5"/>
    <w:rsid w:val="00DF1C93"/>
    <w:rsid w:val="00DF1E5D"/>
    <w:rsid w:val="00DF2ABA"/>
    <w:rsid w:val="00DF391A"/>
    <w:rsid w:val="00DF419C"/>
    <w:rsid w:val="00DF51C5"/>
    <w:rsid w:val="00DF72C7"/>
    <w:rsid w:val="00E00D6F"/>
    <w:rsid w:val="00E03246"/>
    <w:rsid w:val="00E03508"/>
    <w:rsid w:val="00E03C0E"/>
    <w:rsid w:val="00E066DF"/>
    <w:rsid w:val="00E07128"/>
    <w:rsid w:val="00E073C2"/>
    <w:rsid w:val="00E10AC3"/>
    <w:rsid w:val="00E10C25"/>
    <w:rsid w:val="00E1123F"/>
    <w:rsid w:val="00E12D1C"/>
    <w:rsid w:val="00E1311E"/>
    <w:rsid w:val="00E14266"/>
    <w:rsid w:val="00E14307"/>
    <w:rsid w:val="00E15911"/>
    <w:rsid w:val="00E15E31"/>
    <w:rsid w:val="00E16412"/>
    <w:rsid w:val="00E165DD"/>
    <w:rsid w:val="00E16A98"/>
    <w:rsid w:val="00E227C3"/>
    <w:rsid w:val="00E22843"/>
    <w:rsid w:val="00E23111"/>
    <w:rsid w:val="00E2429E"/>
    <w:rsid w:val="00E24C79"/>
    <w:rsid w:val="00E26881"/>
    <w:rsid w:val="00E26DFE"/>
    <w:rsid w:val="00E2713B"/>
    <w:rsid w:val="00E274D7"/>
    <w:rsid w:val="00E3177E"/>
    <w:rsid w:val="00E32652"/>
    <w:rsid w:val="00E32DDF"/>
    <w:rsid w:val="00E33108"/>
    <w:rsid w:val="00E34622"/>
    <w:rsid w:val="00E34657"/>
    <w:rsid w:val="00E34706"/>
    <w:rsid w:val="00E35537"/>
    <w:rsid w:val="00E36F7D"/>
    <w:rsid w:val="00E43ABE"/>
    <w:rsid w:val="00E44057"/>
    <w:rsid w:val="00E445BD"/>
    <w:rsid w:val="00E46673"/>
    <w:rsid w:val="00E47A5F"/>
    <w:rsid w:val="00E50385"/>
    <w:rsid w:val="00E506E7"/>
    <w:rsid w:val="00E507A5"/>
    <w:rsid w:val="00E51A57"/>
    <w:rsid w:val="00E528D2"/>
    <w:rsid w:val="00E54E89"/>
    <w:rsid w:val="00E56DBA"/>
    <w:rsid w:val="00E57E0F"/>
    <w:rsid w:val="00E601CE"/>
    <w:rsid w:val="00E602CF"/>
    <w:rsid w:val="00E60B1D"/>
    <w:rsid w:val="00E61EE8"/>
    <w:rsid w:val="00E62061"/>
    <w:rsid w:val="00E62441"/>
    <w:rsid w:val="00E63879"/>
    <w:rsid w:val="00E63964"/>
    <w:rsid w:val="00E647FF"/>
    <w:rsid w:val="00E650C6"/>
    <w:rsid w:val="00E65552"/>
    <w:rsid w:val="00E666E7"/>
    <w:rsid w:val="00E66A80"/>
    <w:rsid w:val="00E66EE6"/>
    <w:rsid w:val="00E7063D"/>
    <w:rsid w:val="00E71329"/>
    <w:rsid w:val="00E71633"/>
    <w:rsid w:val="00E7218C"/>
    <w:rsid w:val="00E72689"/>
    <w:rsid w:val="00E730AA"/>
    <w:rsid w:val="00E74C7A"/>
    <w:rsid w:val="00E76F52"/>
    <w:rsid w:val="00E82B54"/>
    <w:rsid w:val="00E8380C"/>
    <w:rsid w:val="00E838B2"/>
    <w:rsid w:val="00E84521"/>
    <w:rsid w:val="00E84D6B"/>
    <w:rsid w:val="00E856B0"/>
    <w:rsid w:val="00E85D85"/>
    <w:rsid w:val="00E86868"/>
    <w:rsid w:val="00E86C2A"/>
    <w:rsid w:val="00E86CA1"/>
    <w:rsid w:val="00E87F07"/>
    <w:rsid w:val="00E91E35"/>
    <w:rsid w:val="00E92215"/>
    <w:rsid w:val="00E937B5"/>
    <w:rsid w:val="00E9442F"/>
    <w:rsid w:val="00E94495"/>
    <w:rsid w:val="00E9486B"/>
    <w:rsid w:val="00E95534"/>
    <w:rsid w:val="00E96326"/>
    <w:rsid w:val="00E969D2"/>
    <w:rsid w:val="00E97D83"/>
    <w:rsid w:val="00EA0CA1"/>
    <w:rsid w:val="00EA1D8B"/>
    <w:rsid w:val="00EA3249"/>
    <w:rsid w:val="00EA3C59"/>
    <w:rsid w:val="00EA4CEB"/>
    <w:rsid w:val="00EA5118"/>
    <w:rsid w:val="00EA6C56"/>
    <w:rsid w:val="00EB02F9"/>
    <w:rsid w:val="00EB0C63"/>
    <w:rsid w:val="00EB0DF0"/>
    <w:rsid w:val="00EB1A2C"/>
    <w:rsid w:val="00EB2513"/>
    <w:rsid w:val="00EB3DF7"/>
    <w:rsid w:val="00EB3F5C"/>
    <w:rsid w:val="00EB40DC"/>
    <w:rsid w:val="00EB4A53"/>
    <w:rsid w:val="00EB5616"/>
    <w:rsid w:val="00EB743F"/>
    <w:rsid w:val="00EC064C"/>
    <w:rsid w:val="00EC0BFA"/>
    <w:rsid w:val="00EC0D38"/>
    <w:rsid w:val="00EC115D"/>
    <w:rsid w:val="00EC152A"/>
    <w:rsid w:val="00EC3328"/>
    <w:rsid w:val="00EC34A9"/>
    <w:rsid w:val="00EC3934"/>
    <w:rsid w:val="00EC6F0E"/>
    <w:rsid w:val="00EC7352"/>
    <w:rsid w:val="00ED2270"/>
    <w:rsid w:val="00ED3818"/>
    <w:rsid w:val="00ED3B1D"/>
    <w:rsid w:val="00ED512E"/>
    <w:rsid w:val="00EE0293"/>
    <w:rsid w:val="00EE03EC"/>
    <w:rsid w:val="00EE048D"/>
    <w:rsid w:val="00EE0ACB"/>
    <w:rsid w:val="00EE107C"/>
    <w:rsid w:val="00EE280E"/>
    <w:rsid w:val="00EE3E9C"/>
    <w:rsid w:val="00EE4D4C"/>
    <w:rsid w:val="00EE4FBE"/>
    <w:rsid w:val="00EF014A"/>
    <w:rsid w:val="00EF01CE"/>
    <w:rsid w:val="00EF0558"/>
    <w:rsid w:val="00EF1D84"/>
    <w:rsid w:val="00EF1DC8"/>
    <w:rsid w:val="00EF1F30"/>
    <w:rsid w:val="00EF26CB"/>
    <w:rsid w:val="00EF2E2B"/>
    <w:rsid w:val="00EF34D2"/>
    <w:rsid w:val="00EF4C26"/>
    <w:rsid w:val="00EF5CC0"/>
    <w:rsid w:val="00EF7540"/>
    <w:rsid w:val="00EF75DE"/>
    <w:rsid w:val="00F00649"/>
    <w:rsid w:val="00F01443"/>
    <w:rsid w:val="00F01801"/>
    <w:rsid w:val="00F02412"/>
    <w:rsid w:val="00F026B4"/>
    <w:rsid w:val="00F0292D"/>
    <w:rsid w:val="00F02E9D"/>
    <w:rsid w:val="00F04044"/>
    <w:rsid w:val="00F046C8"/>
    <w:rsid w:val="00F047AB"/>
    <w:rsid w:val="00F05DE1"/>
    <w:rsid w:val="00F05EBB"/>
    <w:rsid w:val="00F06D58"/>
    <w:rsid w:val="00F07353"/>
    <w:rsid w:val="00F104AB"/>
    <w:rsid w:val="00F10D6B"/>
    <w:rsid w:val="00F12C08"/>
    <w:rsid w:val="00F12CDC"/>
    <w:rsid w:val="00F13E45"/>
    <w:rsid w:val="00F147C6"/>
    <w:rsid w:val="00F1697F"/>
    <w:rsid w:val="00F176C0"/>
    <w:rsid w:val="00F17EFA"/>
    <w:rsid w:val="00F20933"/>
    <w:rsid w:val="00F21705"/>
    <w:rsid w:val="00F231FC"/>
    <w:rsid w:val="00F24AB7"/>
    <w:rsid w:val="00F2567E"/>
    <w:rsid w:val="00F25E84"/>
    <w:rsid w:val="00F26068"/>
    <w:rsid w:val="00F2706D"/>
    <w:rsid w:val="00F2723F"/>
    <w:rsid w:val="00F27ADB"/>
    <w:rsid w:val="00F31178"/>
    <w:rsid w:val="00F3117D"/>
    <w:rsid w:val="00F325F9"/>
    <w:rsid w:val="00F32971"/>
    <w:rsid w:val="00F3400B"/>
    <w:rsid w:val="00F35C44"/>
    <w:rsid w:val="00F37B6F"/>
    <w:rsid w:val="00F40C05"/>
    <w:rsid w:val="00F40E86"/>
    <w:rsid w:val="00F41E30"/>
    <w:rsid w:val="00F42168"/>
    <w:rsid w:val="00F425B3"/>
    <w:rsid w:val="00F44C78"/>
    <w:rsid w:val="00F44F38"/>
    <w:rsid w:val="00F452C0"/>
    <w:rsid w:val="00F459E6"/>
    <w:rsid w:val="00F53104"/>
    <w:rsid w:val="00F53C70"/>
    <w:rsid w:val="00F54A7B"/>
    <w:rsid w:val="00F55309"/>
    <w:rsid w:val="00F562A9"/>
    <w:rsid w:val="00F56E0D"/>
    <w:rsid w:val="00F60C62"/>
    <w:rsid w:val="00F6300E"/>
    <w:rsid w:val="00F6301A"/>
    <w:rsid w:val="00F645AF"/>
    <w:rsid w:val="00F66BC9"/>
    <w:rsid w:val="00F67946"/>
    <w:rsid w:val="00F72B99"/>
    <w:rsid w:val="00F72CCD"/>
    <w:rsid w:val="00F72E9F"/>
    <w:rsid w:val="00F73166"/>
    <w:rsid w:val="00F736F9"/>
    <w:rsid w:val="00F739E9"/>
    <w:rsid w:val="00F81620"/>
    <w:rsid w:val="00F84240"/>
    <w:rsid w:val="00F85237"/>
    <w:rsid w:val="00F8564F"/>
    <w:rsid w:val="00F85E14"/>
    <w:rsid w:val="00F87DAE"/>
    <w:rsid w:val="00F9000A"/>
    <w:rsid w:val="00F9002A"/>
    <w:rsid w:val="00F906D0"/>
    <w:rsid w:val="00F90CC8"/>
    <w:rsid w:val="00F93FEB"/>
    <w:rsid w:val="00F94E43"/>
    <w:rsid w:val="00F96156"/>
    <w:rsid w:val="00F96460"/>
    <w:rsid w:val="00F97AFE"/>
    <w:rsid w:val="00F97E65"/>
    <w:rsid w:val="00FA0128"/>
    <w:rsid w:val="00FA0F09"/>
    <w:rsid w:val="00FA1786"/>
    <w:rsid w:val="00FA17C2"/>
    <w:rsid w:val="00FA215F"/>
    <w:rsid w:val="00FA2406"/>
    <w:rsid w:val="00FA3191"/>
    <w:rsid w:val="00FA3201"/>
    <w:rsid w:val="00FA5AE3"/>
    <w:rsid w:val="00FA73DD"/>
    <w:rsid w:val="00FB13C2"/>
    <w:rsid w:val="00FB201B"/>
    <w:rsid w:val="00FB27FA"/>
    <w:rsid w:val="00FB35D3"/>
    <w:rsid w:val="00FB380D"/>
    <w:rsid w:val="00FB3FB7"/>
    <w:rsid w:val="00FB68A4"/>
    <w:rsid w:val="00FB76C5"/>
    <w:rsid w:val="00FB7FBE"/>
    <w:rsid w:val="00FC0824"/>
    <w:rsid w:val="00FC0C57"/>
    <w:rsid w:val="00FC1329"/>
    <w:rsid w:val="00FC16B9"/>
    <w:rsid w:val="00FC1DA7"/>
    <w:rsid w:val="00FC2414"/>
    <w:rsid w:val="00FC2C4D"/>
    <w:rsid w:val="00FC2E20"/>
    <w:rsid w:val="00FC44A1"/>
    <w:rsid w:val="00FC4DEB"/>
    <w:rsid w:val="00FC50CE"/>
    <w:rsid w:val="00FC62AC"/>
    <w:rsid w:val="00FC6AC7"/>
    <w:rsid w:val="00FC77FF"/>
    <w:rsid w:val="00FC7E40"/>
    <w:rsid w:val="00FD0B5A"/>
    <w:rsid w:val="00FD1351"/>
    <w:rsid w:val="00FD4B65"/>
    <w:rsid w:val="00FD6729"/>
    <w:rsid w:val="00FD782F"/>
    <w:rsid w:val="00FD7996"/>
    <w:rsid w:val="00FD7B5E"/>
    <w:rsid w:val="00FD7EFE"/>
    <w:rsid w:val="00FE0837"/>
    <w:rsid w:val="00FE2025"/>
    <w:rsid w:val="00FE2D9D"/>
    <w:rsid w:val="00FE3280"/>
    <w:rsid w:val="00FE3629"/>
    <w:rsid w:val="00FE38A6"/>
    <w:rsid w:val="00FE45B9"/>
    <w:rsid w:val="00FE4790"/>
    <w:rsid w:val="00FE49E3"/>
    <w:rsid w:val="00FE4E1B"/>
    <w:rsid w:val="00FE562B"/>
    <w:rsid w:val="00FE6229"/>
    <w:rsid w:val="00FE635B"/>
    <w:rsid w:val="00FE7171"/>
    <w:rsid w:val="00FE7904"/>
    <w:rsid w:val="00FE79C6"/>
    <w:rsid w:val="00FF0AD1"/>
    <w:rsid w:val="00FF1502"/>
    <w:rsid w:val="00FF2F56"/>
    <w:rsid w:val="00FF3373"/>
    <w:rsid w:val="00FF3B7B"/>
    <w:rsid w:val="00FF3FF6"/>
    <w:rsid w:val="00FF7333"/>
    <w:rsid w:val="00FF7602"/>
    <w:rsid w:val="00FF7A5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A4418CD"/>
  <w14:defaultImageDpi w14:val="300"/>
  <w15:docId w15:val="{CB887431-E0A3-4D96-A126-060828FD7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4765"/>
    <w:rPr>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INAI"/>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E34622"/>
    <w:pPr>
      <w:tabs>
        <w:tab w:val="left" w:pos="440"/>
        <w:tab w:val="right" w:leader="dot" w:pos="8828"/>
      </w:tabs>
      <w:spacing w:after="100" w:line="480" w:lineRule="auto"/>
      <w:ind w:left="440"/>
      <w:jc w:val="both"/>
    </w:pPr>
  </w:style>
  <w:style w:type="paragraph" w:styleId="TDC2">
    <w:name w:val="toc 2"/>
    <w:basedOn w:val="Normal"/>
    <w:next w:val="Normal"/>
    <w:autoRedefine/>
    <w:uiPriority w:val="39"/>
    <w:unhideWhenUsed/>
    <w:rsid w:val="004413DD"/>
    <w:pPr>
      <w:tabs>
        <w:tab w:val="right" w:leader="dot" w:pos="9676"/>
      </w:tabs>
      <w:spacing w:after="100" w:line="480" w:lineRule="auto"/>
      <w:ind w:left="720"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INAI Car"/>
    <w:link w:val="Sinespaciado"/>
    <w:uiPriority w:val="1"/>
    <w:locked/>
    <w:rsid w:val="009C0940"/>
  </w:style>
  <w:style w:type="table" w:customStyle="1" w:styleId="Tablanormal11">
    <w:name w:val="Tabla normal 1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customStyle="1" w:styleId="Texto">
    <w:name w:val="Texto"/>
    <w:basedOn w:val="Normal"/>
    <w:link w:val="TextoCar"/>
    <w:rsid w:val="009959DB"/>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9959DB"/>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9959DB"/>
    <w:rPr>
      <w:rFonts w:ascii="Courier New" w:eastAsia="Times New Roman" w:hAnsi="Courier New" w:cs="Courier New"/>
      <w:sz w:val="20"/>
      <w:szCs w:val="20"/>
      <w:lang w:val="es-ES"/>
    </w:rPr>
  </w:style>
  <w:style w:type="character" w:customStyle="1" w:styleId="TextoCar">
    <w:name w:val="Texto Car"/>
    <w:link w:val="Texto"/>
    <w:locked/>
    <w:rsid w:val="009959DB"/>
    <w:rPr>
      <w:rFonts w:ascii="Arial" w:eastAsia="Times New Roman" w:hAnsi="Arial" w:cs="Arial"/>
      <w:sz w:val="18"/>
      <w:szCs w:val="20"/>
      <w:lang w:val="es-ES"/>
    </w:rPr>
  </w:style>
  <w:style w:type="paragraph" w:styleId="TDC3">
    <w:name w:val="toc 3"/>
    <w:basedOn w:val="Normal"/>
    <w:next w:val="Normal"/>
    <w:autoRedefine/>
    <w:uiPriority w:val="39"/>
    <w:unhideWhenUsed/>
    <w:rsid w:val="00F01801"/>
    <w:pPr>
      <w:spacing w:after="100"/>
      <w:ind w:left="480"/>
    </w:pPr>
  </w:style>
  <w:style w:type="table" w:styleId="Tabladecuadrcula6concolores">
    <w:name w:val="Grid Table 6 Colorful"/>
    <w:basedOn w:val="Tablanormal"/>
    <w:uiPriority w:val="51"/>
    <w:rsid w:val="005C02B5"/>
    <w:rPr>
      <w:rFonts w:eastAsiaTheme="minorHAnsi"/>
      <w:color w:val="000000" w:themeColor="text1"/>
      <w:sz w:val="22"/>
      <w:szCs w:val="22"/>
      <w:lang w:val="es-MX" w:eastAsia="en-U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7A729D"/>
    <w:rPr>
      <w:color w:val="605E5C"/>
      <w:shd w:val="clear" w:color="auto" w:fill="E1DFDD"/>
    </w:rPr>
  </w:style>
  <w:style w:type="character" w:styleId="Hipervnculovisitado">
    <w:name w:val="FollowedHyperlink"/>
    <w:basedOn w:val="Fuentedeprrafopredeter"/>
    <w:uiPriority w:val="99"/>
    <w:semiHidden/>
    <w:unhideWhenUsed/>
    <w:rsid w:val="007A729D"/>
    <w:rPr>
      <w:color w:val="800080" w:themeColor="followedHyperlink"/>
      <w:u w:val="single"/>
    </w:rPr>
  </w:style>
  <w:style w:type="character" w:customStyle="1" w:styleId="Mencinsinresolver2">
    <w:name w:val="Mención sin resolver2"/>
    <w:basedOn w:val="Fuentedeprrafopredeter"/>
    <w:uiPriority w:val="99"/>
    <w:semiHidden/>
    <w:unhideWhenUsed/>
    <w:rsid w:val="006C6C8C"/>
    <w:rPr>
      <w:color w:val="605E5C"/>
      <w:shd w:val="clear" w:color="auto" w:fill="E1DFDD"/>
    </w:rPr>
  </w:style>
  <w:style w:type="character" w:customStyle="1" w:styleId="Mencinsinresolver3">
    <w:name w:val="Mención sin resolver3"/>
    <w:basedOn w:val="Fuentedeprrafopredeter"/>
    <w:uiPriority w:val="99"/>
    <w:semiHidden/>
    <w:unhideWhenUsed/>
    <w:rsid w:val="006439A1"/>
    <w:rPr>
      <w:color w:val="605E5C"/>
      <w:shd w:val="clear" w:color="auto" w:fill="E1DFDD"/>
    </w:rPr>
  </w:style>
  <w:style w:type="paragraph" w:styleId="Listaconvietas2">
    <w:name w:val="List Bullet 2"/>
    <w:basedOn w:val="Normal"/>
    <w:uiPriority w:val="99"/>
    <w:unhideWhenUsed/>
    <w:rsid w:val="00D00269"/>
    <w:pPr>
      <w:numPr>
        <w:numId w:val="4"/>
      </w:numPr>
      <w:contextualSpacing/>
    </w:pPr>
    <w:rPr>
      <w:rFonts w:ascii="Times New Roman" w:eastAsia="Times New Roman" w:hAnsi="Times New Roman" w:cs="Times New Roman"/>
      <w:sz w:val="20"/>
      <w:szCs w:val="20"/>
    </w:rPr>
  </w:style>
  <w:style w:type="character" w:customStyle="1" w:styleId="UnresolvedMention">
    <w:name w:val="Unresolved Mention"/>
    <w:basedOn w:val="Fuentedeprrafopredeter"/>
    <w:uiPriority w:val="99"/>
    <w:semiHidden/>
    <w:unhideWhenUsed/>
    <w:rsid w:val="00695C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37401">
      <w:bodyDiv w:val="1"/>
      <w:marLeft w:val="0"/>
      <w:marRight w:val="0"/>
      <w:marTop w:val="0"/>
      <w:marBottom w:val="0"/>
      <w:divBdr>
        <w:top w:val="none" w:sz="0" w:space="0" w:color="auto"/>
        <w:left w:val="none" w:sz="0" w:space="0" w:color="auto"/>
        <w:bottom w:val="none" w:sz="0" w:space="0" w:color="auto"/>
        <w:right w:val="none" w:sz="0" w:space="0" w:color="auto"/>
      </w:divBdr>
    </w:div>
    <w:div w:id="89545121">
      <w:bodyDiv w:val="1"/>
      <w:marLeft w:val="0"/>
      <w:marRight w:val="0"/>
      <w:marTop w:val="0"/>
      <w:marBottom w:val="0"/>
      <w:divBdr>
        <w:top w:val="none" w:sz="0" w:space="0" w:color="auto"/>
        <w:left w:val="none" w:sz="0" w:space="0" w:color="auto"/>
        <w:bottom w:val="none" w:sz="0" w:space="0" w:color="auto"/>
        <w:right w:val="none" w:sz="0" w:space="0" w:color="auto"/>
      </w:divBdr>
    </w:div>
    <w:div w:id="128480642">
      <w:bodyDiv w:val="1"/>
      <w:marLeft w:val="0"/>
      <w:marRight w:val="0"/>
      <w:marTop w:val="0"/>
      <w:marBottom w:val="0"/>
      <w:divBdr>
        <w:top w:val="none" w:sz="0" w:space="0" w:color="auto"/>
        <w:left w:val="none" w:sz="0" w:space="0" w:color="auto"/>
        <w:bottom w:val="none" w:sz="0" w:space="0" w:color="auto"/>
        <w:right w:val="none" w:sz="0" w:space="0" w:color="auto"/>
      </w:divBdr>
    </w:div>
    <w:div w:id="154761445">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78928491">
      <w:bodyDiv w:val="1"/>
      <w:marLeft w:val="0"/>
      <w:marRight w:val="0"/>
      <w:marTop w:val="0"/>
      <w:marBottom w:val="0"/>
      <w:divBdr>
        <w:top w:val="none" w:sz="0" w:space="0" w:color="auto"/>
        <w:left w:val="none" w:sz="0" w:space="0" w:color="auto"/>
        <w:bottom w:val="none" w:sz="0" w:space="0" w:color="auto"/>
        <w:right w:val="none" w:sz="0" w:space="0" w:color="auto"/>
      </w:divBdr>
    </w:div>
    <w:div w:id="227964412">
      <w:bodyDiv w:val="1"/>
      <w:marLeft w:val="0"/>
      <w:marRight w:val="0"/>
      <w:marTop w:val="0"/>
      <w:marBottom w:val="0"/>
      <w:divBdr>
        <w:top w:val="none" w:sz="0" w:space="0" w:color="auto"/>
        <w:left w:val="none" w:sz="0" w:space="0" w:color="auto"/>
        <w:bottom w:val="none" w:sz="0" w:space="0" w:color="auto"/>
        <w:right w:val="none" w:sz="0" w:space="0" w:color="auto"/>
      </w:divBdr>
    </w:div>
    <w:div w:id="229468170">
      <w:bodyDiv w:val="1"/>
      <w:marLeft w:val="0"/>
      <w:marRight w:val="0"/>
      <w:marTop w:val="0"/>
      <w:marBottom w:val="0"/>
      <w:divBdr>
        <w:top w:val="none" w:sz="0" w:space="0" w:color="auto"/>
        <w:left w:val="none" w:sz="0" w:space="0" w:color="auto"/>
        <w:bottom w:val="none" w:sz="0" w:space="0" w:color="auto"/>
        <w:right w:val="none" w:sz="0" w:space="0" w:color="auto"/>
      </w:divBdr>
    </w:div>
    <w:div w:id="233662111">
      <w:bodyDiv w:val="1"/>
      <w:marLeft w:val="0"/>
      <w:marRight w:val="0"/>
      <w:marTop w:val="0"/>
      <w:marBottom w:val="0"/>
      <w:divBdr>
        <w:top w:val="none" w:sz="0" w:space="0" w:color="auto"/>
        <w:left w:val="none" w:sz="0" w:space="0" w:color="auto"/>
        <w:bottom w:val="none" w:sz="0" w:space="0" w:color="auto"/>
        <w:right w:val="none" w:sz="0" w:space="0" w:color="auto"/>
      </w:divBdr>
    </w:div>
    <w:div w:id="299307674">
      <w:bodyDiv w:val="1"/>
      <w:marLeft w:val="0"/>
      <w:marRight w:val="0"/>
      <w:marTop w:val="0"/>
      <w:marBottom w:val="0"/>
      <w:divBdr>
        <w:top w:val="none" w:sz="0" w:space="0" w:color="auto"/>
        <w:left w:val="none" w:sz="0" w:space="0" w:color="auto"/>
        <w:bottom w:val="none" w:sz="0" w:space="0" w:color="auto"/>
        <w:right w:val="none" w:sz="0" w:space="0" w:color="auto"/>
      </w:divBdr>
    </w:div>
    <w:div w:id="359934883">
      <w:bodyDiv w:val="1"/>
      <w:marLeft w:val="0"/>
      <w:marRight w:val="0"/>
      <w:marTop w:val="0"/>
      <w:marBottom w:val="0"/>
      <w:divBdr>
        <w:top w:val="none" w:sz="0" w:space="0" w:color="auto"/>
        <w:left w:val="none" w:sz="0" w:space="0" w:color="auto"/>
        <w:bottom w:val="none" w:sz="0" w:space="0" w:color="auto"/>
        <w:right w:val="none" w:sz="0" w:space="0" w:color="auto"/>
      </w:divBdr>
    </w:div>
    <w:div w:id="455678494">
      <w:bodyDiv w:val="1"/>
      <w:marLeft w:val="0"/>
      <w:marRight w:val="0"/>
      <w:marTop w:val="0"/>
      <w:marBottom w:val="0"/>
      <w:divBdr>
        <w:top w:val="none" w:sz="0" w:space="0" w:color="auto"/>
        <w:left w:val="none" w:sz="0" w:space="0" w:color="auto"/>
        <w:bottom w:val="none" w:sz="0" w:space="0" w:color="auto"/>
        <w:right w:val="none" w:sz="0" w:space="0" w:color="auto"/>
      </w:divBdr>
    </w:div>
    <w:div w:id="515507803">
      <w:bodyDiv w:val="1"/>
      <w:marLeft w:val="0"/>
      <w:marRight w:val="0"/>
      <w:marTop w:val="0"/>
      <w:marBottom w:val="0"/>
      <w:divBdr>
        <w:top w:val="none" w:sz="0" w:space="0" w:color="auto"/>
        <w:left w:val="none" w:sz="0" w:space="0" w:color="auto"/>
        <w:bottom w:val="none" w:sz="0" w:space="0" w:color="auto"/>
        <w:right w:val="none" w:sz="0" w:space="0" w:color="auto"/>
      </w:divBdr>
      <w:divsChild>
        <w:div w:id="96409479">
          <w:marLeft w:val="0"/>
          <w:marRight w:val="0"/>
          <w:marTop w:val="0"/>
          <w:marBottom w:val="0"/>
          <w:divBdr>
            <w:top w:val="none" w:sz="0" w:space="0" w:color="auto"/>
            <w:left w:val="none" w:sz="0" w:space="0" w:color="auto"/>
            <w:bottom w:val="none" w:sz="0" w:space="0" w:color="auto"/>
            <w:right w:val="none" w:sz="0" w:space="0" w:color="auto"/>
          </w:divBdr>
          <w:divsChild>
            <w:div w:id="1325667516">
              <w:marLeft w:val="0"/>
              <w:marRight w:val="0"/>
              <w:marTop w:val="0"/>
              <w:marBottom w:val="0"/>
              <w:divBdr>
                <w:top w:val="none" w:sz="0" w:space="0" w:color="auto"/>
                <w:left w:val="none" w:sz="0" w:space="0" w:color="auto"/>
                <w:bottom w:val="none" w:sz="0" w:space="0" w:color="auto"/>
                <w:right w:val="none" w:sz="0" w:space="0" w:color="auto"/>
              </w:divBdr>
              <w:divsChild>
                <w:div w:id="103608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87153094">
      <w:bodyDiv w:val="1"/>
      <w:marLeft w:val="0"/>
      <w:marRight w:val="0"/>
      <w:marTop w:val="0"/>
      <w:marBottom w:val="0"/>
      <w:divBdr>
        <w:top w:val="none" w:sz="0" w:space="0" w:color="auto"/>
        <w:left w:val="none" w:sz="0" w:space="0" w:color="auto"/>
        <w:bottom w:val="none" w:sz="0" w:space="0" w:color="auto"/>
        <w:right w:val="none" w:sz="0" w:space="0" w:color="auto"/>
      </w:divBdr>
    </w:div>
    <w:div w:id="592124856">
      <w:bodyDiv w:val="1"/>
      <w:marLeft w:val="0"/>
      <w:marRight w:val="0"/>
      <w:marTop w:val="0"/>
      <w:marBottom w:val="0"/>
      <w:divBdr>
        <w:top w:val="none" w:sz="0" w:space="0" w:color="auto"/>
        <w:left w:val="none" w:sz="0" w:space="0" w:color="auto"/>
        <w:bottom w:val="none" w:sz="0" w:space="0" w:color="auto"/>
        <w:right w:val="none" w:sz="0" w:space="0" w:color="auto"/>
      </w:divBdr>
    </w:div>
    <w:div w:id="600725024">
      <w:bodyDiv w:val="1"/>
      <w:marLeft w:val="0"/>
      <w:marRight w:val="0"/>
      <w:marTop w:val="0"/>
      <w:marBottom w:val="0"/>
      <w:divBdr>
        <w:top w:val="none" w:sz="0" w:space="0" w:color="auto"/>
        <w:left w:val="none" w:sz="0" w:space="0" w:color="auto"/>
        <w:bottom w:val="none" w:sz="0" w:space="0" w:color="auto"/>
        <w:right w:val="none" w:sz="0" w:space="0" w:color="auto"/>
      </w:divBdr>
    </w:div>
    <w:div w:id="608317878">
      <w:bodyDiv w:val="1"/>
      <w:marLeft w:val="0"/>
      <w:marRight w:val="0"/>
      <w:marTop w:val="0"/>
      <w:marBottom w:val="0"/>
      <w:divBdr>
        <w:top w:val="none" w:sz="0" w:space="0" w:color="auto"/>
        <w:left w:val="none" w:sz="0" w:space="0" w:color="auto"/>
        <w:bottom w:val="none" w:sz="0" w:space="0" w:color="auto"/>
        <w:right w:val="none" w:sz="0" w:space="0" w:color="auto"/>
      </w:divBdr>
    </w:div>
    <w:div w:id="615066028">
      <w:bodyDiv w:val="1"/>
      <w:marLeft w:val="0"/>
      <w:marRight w:val="0"/>
      <w:marTop w:val="0"/>
      <w:marBottom w:val="0"/>
      <w:divBdr>
        <w:top w:val="none" w:sz="0" w:space="0" w:color="auto"/>
        <w:left w:val="none" w:sz="0" w:space="0" w:color="auto"/>
        <w:bottom w:val="none" w:sz="0" w:space="0" w:color="auto"/>
        <w:right w:val="none" w:sz="0" w:space="0" w:color="auto"/>
      </w:divBdr>
    </w:div>
    <w:div w:id="632255553">
      <w:bodyDiv w:val="1"/>
      <w:marLeft w:val="0"/>
      <w:marRight w:val="0"/>
      <w:marTop w:val="0"/>
      <w:marBottom w:val="0"/>
      <w:divBdr>
        <w:top w:val="none" w:sz="0" w:space="0" w:color="auto"/>
        <w:left w:val="none" w:sz="0" w:space="0" w:color="auto"/>
        <w:bottom w:val="none" w:sz="0" w:space="0" w:color="auto"/>
        <w:right w:val="none" w:sz="0" w:space="0" w:color="auto"/>
      </w:divBdr>
    </w:div>
    <w:div w:id="709308793">
      <w:bodyDiv w:val="1"/>
      <w:marLeft w:val="0"/>
      <w:marRight w:val="0"/>
      <w:marTop w:val="0"/>
      <w:marBottom w:val="0"/>
      <w:divBdr>
        <w:top w:val="none" w:sz="0" w:space="0" w:color="auto"/>
        <w:left w:val="none" w:sz="0" w:space="0" w:color="auto"/>
        <w:bottom w:val="none" w:sz="0" w:space="0" w:color="auto"/>
        <w:right w:val="none" w:sz="0" w:space="0" w:color="auto"/>
      </w:divBdr>
    </w:div>
    <w:div w:id="742147525">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9271280">
      <w:bodyDiv w:val="1"/>
      <w:marLeft w:val="0"/>
      <w:marRight w:val="0"/>
      <w:marTop w:val="0"/>
      <w:marBottom w:val="0"/>
      <w:divBdr>
        <w:top w:val="none" w:sz="0" w:space="0" w:color="auto"/>
        <w:left w:val="none" w:sz="0" w:space="0" w:color="auto"/>
        <w:bottom w:val="none" w:sz="0" w:space="0" w:color="auto"/>
        <w:right w:val="none" w:sz="0" w:space="0" w:color="auto"/>
      </w:divBdr>
    </w:div>
    <w:div w:id="90711389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60647787">
      <w:bodyDiv w:val="1"/>
      <w:marLeft w:val="0"/>
      <w:marRight w:val="0"/>
      <w:marTop w:val="0"/>
      <w:marBottom w:val="0"/>
      <w:divBdr>
        <w:top w:val="none" w:sz="0" w:space="0" w:color="auto"/>
        <w:left w:val="none" w:sz="0" w:space="0" w:color="auto"/>
        <w:bottom w:val="none" w:sz="0" w:space="0" w:color="auto"/>
        <w:right w:val="none" w:sz="0" w:space="0" w:color="auto"/>
      </w:divBdr>
    </w:div>
    <w:div w:id="977565215">
      <w:bodyDiv w:val="1"/>
      <w:marLeft w:val="0"/>
      <w:marRight w:val="0"/>
      <w:marTop w:val="0"/>
      <w:marBottom w:val="0"/>
      <w:divBdr>
        <w:top w:val="none" w:sz="0" w:space="0" w:color="auto"/>
        <w:left w:val="none" w:sz="0" w:space="0" w:color="auto"/>
        <w:bottom w:val="none" w:sz="0" w:space="0" w:color="auto"/>
        <w:right w:val="none" w:sz="0" w:space="0" w:color="auto"/>
      </w:divBdr>
    </w:div>
    <w:div w:id="988553983">
      <w:bodyDiv w:val="1"/>
      <w:marLeft w:val="0"/>
      <w:marRight w:val="0"/>
      <w:marTop w:val="0"/>
      <w:marBottom w:val="0"/>
      <w:divBdr>
        <w:top w:val="none" w:sz="0" w:space="0" w:color="auto"/>
        <w:left w:val="none" w:sz="0" w:space="0" w:color="auto"/>
        <w:bottom w:val="none" w:sz="0" w:space="0" w:color="auto"/>
        <w:right w:val="none" w:sz="0" w:space="0" w:color="auto"/>
      </w:divBdr>
    </w:div>
    <w:div w:id="1084187191">
      <w:bodyDiv w:val="1"/>
      <w:marLeft w:val="0"/>
      <w:marRight w:val="0"/>
      <w:marTop w:val="0"/>
      <w:marBottom w:val="0"/>
      <w:divBdr>
        <w:top w:val="none" w:sz="0" w:space="0" w:color="auto"/>
        <w:left w:val="none" w:sz="0" w:space="0" w:color="auto"/>
        <w:bottom w:val="none" w:sz="0" w:space="0" w:color="auto"/>
        <w:right w:val="none" w:sz="0" w:space="0" w:color="auto"/>
      </w:divBdr>
    </w:div>
    <w:div w:id="1100950171">
      <w:bodyDiv w:val="1"/>
      <w:marLeft w:val="0"/>
      <w:marRight w:val="0"/>
      <w:marTop w:val="0"/>
      <w:marBottom w:val="0"/>
      <w:divBdr>
        <w:top w:val="none" w:sz="0" w:space="0" w:color="auto"/>
        <w:left w:val="none" w:sz="0" w:space="0" w:color="auto"/>
        <w:bottom w:val="none" w:sz="0" w:space="0" w:color="auto"/>
        <w:right w:val="none" w:sz="0" w:space="0" w:color="auto"/>
      </w:divBdr>
    </w:div>
    <w:div w:id="1151411824">
      <w:bodyDiv w:val="1"/>
      <w:marLeft w:val="0"/>
      <w:marRight w:val="0"/>
      <w:marTop w:val="0"/>
      <w:marBottom w:val="0"/>
      <w:divBdr>
        <w:top w:val="none" w:sz="0" w:space="0" w:color="auto"/>
        <w:left w:val="none" w:sz="0" w:space="0" w:color="auto"/>
        <w:bottom w:val="none" w:sz="0" w:space="0" w:color="auto"/>
        <w:right w:val="none" w:sz="0" w:space="0" w:color="auto"/>
      </w:divBdr>
    </w:div>
    <w:div w:id="1205866358">
      <w:bodyDiv w:val="1"/>
      <w:marLeft w:val="0"/>
      <w:marRight w:val="0"/>
      <w:marTop w:val="0"/>
      <w:marBottom w:val="0"/>
      <w:divBdr>
        <w:top w:val="none" w:sz="0" w:space="0" w:color="auto"/>
        <w:left w:val="none" w:sz="0" w:space="0" w:color="auto"/>
        <w:bottom w:val="none" w:sz="0" w:space="0" w:color="auto"/>
        <w:right w:val="none" w:sz="0" w:space="0" w:color="auto"/>
      </w:divBdr>
    </w:div>
    <w:div w:id="1232420507">
      <w:bodyDiv w:val="1"/>
      <w:marLeft w:val="0"/>
      <w:marRight w:val="0"/>
      <w:marTop w:val="0"/>
      <w:marBottom w:val="0"/>
      <w:divBdr>
        <w:top w:val="none" w:sz="0" w:space="0" w:color="auto"/>
        <w:left w:val="none" w:sz="0" w:space="0" w:color="auto"/>
        <w:bottom w:val="none" w:sz="0" w:space="0" w:color="auto"/>
        <w:right w:val="none" w:sz="0" w:space="0" w:color="auto"/>
      </w:divBdr>
    </w:div>
    <w:div w:id="1244220483">
      <w:bodyDiv w:val="1"/>
      <w:marLeft w:val="0"/>
      <w:marRight w:val="0"/>
      <w:marTop w:val="0"/>
      <w:marBottom w:val="0"/>
      <w:divBdr>
        <w:top w:val="none" w:sz="0" w:space="0" w:color="auto"/>
        <w:left w:val="none" w:sz="0" w:space="0" w:color="auto"/>
        <w:bottom w:val="none" w:sz="0" w:space="0" w:color="auto"/>
        <w:right w:val="none" w:sz="0" w:space="0" w:color="auto"/>
      </w:divBdr>
    </w:div>
    <w:div w:id="1251309565">
      <w:bodyDiv w:val="1"/>
      <w:marLeft w:val="0"/>
      <w:marRight w:val="0"/>
      <w:marTop w:val="0"/>
      <w:marBottom w:val="0"/>
      <w:divBdr>
        <w:top w:val="none" w:sz="0" w:space="0" w:color="auto"/>
        <w:left w:val="none" w:sz="0" w:space="0" w:color="auto"/>
        <w:bottom w:val="none" w:sz="0" w:space="0" w:color="auto"/>
        <w:right w:val="none" w:sz="0" w:space="0" w:color="auto"/>
      </w:divBdr>
    </w:div>
    <w:div w:id="1261260128">
      <w:bodyDiv w:val="1"/>
      <w:marLeft w:val="0"/>
      <w:marRight w:val="0"/>
      <w:marTop w:val="0"/>
      <w:marBottom w:val="0"/>
      <w:divBdr>
        <w:top w:val="none" w:sz="0" w:space="0" w:color="auto"/>
        <w:left w:val="none" w:sz="0" w:space="0" w:color="auto"/>
        <w:bottom w:val="none" w:sz="0" w:space="0" w:color="auto"/>
        <w:right w:val="none" w:sz="0" w:space="0" w:color="auto"/>
      </w:divBdr>
      <w:divsChild>
        <w:div w:id="2075926427">
          <w:marLeft w:val="0"/>
          <w:marRight w:val="0"/>
          <w:marTop w:val="0"/>
          <w:marBottom w:val="101"/>
          <w:divBdr>
            <w:top w:val="none" w:sz="0" w:space="0" w:color="auto"/>
            <w:left w:val="none" w:sz="0" w:space="0" w:color="auto"/>
            <w:bottom w:val="none" w:sz="0" w:space="0" w:color="auto"/>
            <w:right w:val="none" w:sz="0" w:space="0" w:color="auto"/>
          </w:divBdr>
        </w:div>
        <w:div w:id="486820255">
          <w:marLeft w:val="864"/>
          <w:marRight w:val="0"/>
          <w:marTop w:val="0"/>
          <w:marBottom w:val="101"/>
          <w:divBdr>
            <w:top w:val="none" w:sz="0" w:space="0" w:color="auto"/>
            <w:left w:val="none" w:sz="0" w:space="0" w:color="auto"/>
            <w:bottom w:val="none" w:sz="0" w:space="0" w:color="auto"/>
            <w:right w:val="none" w:sz="0" w:space="0" w:color="auto"/>
          </w:divBdr>
        </w:div>
        <w:div w:id="1737825621">
          <w:marLeft w:val="864"/>
          <w:marRight w:val="0"/>
          <w:marTop w:val="0"/>
          <w:marBottom w:val="101"/>
          <w:divBdr>
            <w:top w:val="none" w:sz="0" w:space="0" w:color="auto"/>
            <w:left w:val="none" w:sz="0" w:space="0" w:color="auto"/>
            <w:bottom w:val="none" w:sz="0" w:space="0" w:color="auto"/>
            <w:right w:val="none" w:sz="0" w:space="0" w:color="auto"/>
          </w:divBdr>
        </w:div>
      </w:divsChild>
    </w:div>
    <w:div w:id="1262496299">
      <w:bodyDiv w:val="1"/>
      <w:marLeft w:val="0"/>
      <w:marRight w:val="0"/>
      <w:marTop w:val="0"/>
      <w:marBottom w:val="0"/>
      <w:divBdr>
        <w:top w:val="none" w:sz="0" w:space="0" w:color="auto"/>
        <w:left w:val="none" w:sz="0" w:space="0" w:color="auto"/>
        <w:bottom w:val="none" w:sz="0" w:space="0" w:color="auto"/>
        <w:right w:val="none" w:sz="0" w:space="0" w:color="auto"/>
      </w:divBdr>
    </w:div>
    <w:div w:id="1279557300">
      <w:bodyDiv w:val="1"/>
      <w:marLeft w:val="0"/>
      <w:marRight w:val="0"/>
      <w:marTop w:val="0"/>
      <w:marBottom w:val="0"/>
      <w:divBdr>
        <w:top w:val="none" w:sz="0" w:space="0" w:color="auto"/>
        <w:left w:val="none" w:sz="0" w:space="0" w:color="auto"/>
        <w:bottom w:val="none" w:sz="0" w:space="0" w:color="auto"/>
        <w:right w:val="none" w:sz="0" w:space="0" w:color="auto"/>
      </w:divBdr>
    </w:div>
    <w:div w:id="1310359080">
      <w:bodyDiv w:val="1"/>
      <w:marLeft w:val="0"/>
      <w:marRight w:val="0"/>
      <w:marTop w:val="0"/>
      <w:marBottom w:val="0"/>
      <w:divBdr>
        <w:top w:val="none" w:sz="0" w:space="0" w:color="auto"/>
        <w:left w:val="none" w:sz="0" w:space="0" w:color="auto"/>
        <w:bottom w:val="none" w:sz="0" w:space="0" w:color="auto"/>
        <w:right w:val="none" w:sz="0" w:space="0" w:color="auto"/>
      </w:divBdr>
    </w:div>
    <w:div w:id="1353796273">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16970715">
      <w:bodyDiv w:val="1"/>
      <w:marLeft w:val="0"/>
      <w:marRight w:val="0"/>
      <w:marTop w:val="0"/>
      <w:marBottom w:val="0"/>
      <w:divBdr>
        <w:top w:val="none" w:sz="0" w:space="0" w:color="auto"/>
        <w:left w:val="none" w:sz="0" w:space="0" w:color="auto"/>
        <w:bottom w:val="none" w:sz="0" w:space="0" w:color="auto"/>
        <w:right w:val="none" w:sz="0" w:space="0" w:color="auto"/>
      </w:divBdr>
    </w:div>
    <w:div w:id="1437098458">
      <w:bodyDiv w:val="1"/>
      <w:marLeft w:val="0"/>
      <w:marRight w:val="0"/>
      <w:marTop w:val="0"/>
      <w:marBottom w:val="0"/>
      <w:divBdr>
        <w:top w:val="none" w:sz="0" w:space="0" w:color="auto"/>
        <w:left w:val="none" w:sz="0" w:space="0" w:color="auto"/>
        <w:bottom w:val="none" w:sz="0" w:space="0" w:color="auto"/>
        <w:right w:val="none" w:sz="0" w:space="0" w:color="auto"/>
      </w:divBdr>
    </w:div>
    <w:div w:id="1455446053">
      <w:bodyDiv w:val="1"/>
      <w:marLeft w:val="0"/>
      <w:marRight w:val="0"/>
      <w:marTop w:val="0"/>
      <w:marBottom w:val="0"/>
      <w:divBdr>
        <w:top w:val="none" w:sz="0" w:space="0" w:color="auto"/>
        <w:left w:val="none" w:sz="0" w:space="0" w:color="auto"/>
        <w:bottom w:val="none" w:sz="0" w:space="0" w:color="auto"/>
        <w:right w:val="none" w:sz="0" w:space="0" w:color="auto"/>
      </w:divBdr>
    </w:div>
    <w:div w:id="1492330971">
      <w:bodyDiv w:val="1"/>
      <w:marLeft w:val="0"/>
      <w:marRight w:val="0"/>
      <w:marTop w:val="0"/>
      <w:marBottom w:val="0"/>
      <w:divBdr>
        <w:top w:val="none" w:sz="0" w:space="0" w:color="auto"/>
        <w:left w:val="none" w:sz="0" w:space="0" w:color="auto"/>
        <w:bottom w:val="none" w:sz="0" w:space="0" w:color="auto"/>
        <w:right w:val="none" w:sz="0" w:space="0" w:color="auto"/>
      </w:divBdr>
    </w:div>
    <w:div w:id="1521361269">
      <w:bodyDiv w:val="1"/>
      <w:marLeft w:val="0"/>
      <w:marRight w:val="0"/>
      <w:marTop w:val="0"/>
      <w:marBottom w:val="0"/>
      <w:divBdr>
        <w:top w:val="none" w:sz="0" w:space="0" w:color="auto"/>
        <w:left w:val="none" w:sz="0" w:space="0" w:color="auto"/>
        <w:bottom w:val="none" w:sz="0" w:space="0" w:color="auto"/>
        <w:right w:val="none" w:sz="0" w:space="0" w:color="auto"/>
      </w:divBdr>
    </w:div>
    <w:div w:id="1598056375">
      <w:bodyDiv w:val="1"/>
      <w:marLeft w:val="0"/>
      <w:marRight w:val="0"/>
      <w:marTop w:val="0"/>
      <w:marBottom w:val="0"/>
      <w:divBdr>
        <w:top w:val="none" w:sz="0" w:space="0" w:color="auto"/>
        <w:left w:val="none" w:sz="0" w:space="0" w:color="auto"/>
        <w:bottom w:val="none" w:sz="0" w:space="0" w:color="auto"/>
        <w:right w:val="none" w:sz="0" w:space="0" w:color="auto"/>
      </w:divBdr>
    </w:div>
    <w:div w:id="1613047254">
      <w:bodyDiv w:val="1"/>
      <w:marLeft w:val="0"/>
      <w:marRight w:val="0"/>
      <w:marTop w:val="0"/>
      <w:marBottom w:val="0"/>
      <w:divBdr>
        <w:top w:val="none" w:sz="0" w:space="0" w:color="auto"/>
        <w:left w:val="none" w:sz="0" w:space="0" w:color="auto"/>
        <w:bottom w:val="none" w:sz="0" w:space="0" w:color="auto"/>
        <w:right w:val="none" w:sz="0" w:space="0" w:color="auto"/>
      </w:divBdr>
    </w:div>
    <w:div w:id="161771438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16805315">
      <w:bodyDiv w:val="1"/>
      <w:marLeft w:val="0"/>
      <w:marRight w:val="0"/>
      <w:marTop w:val="0"/>
      <w:marBottom w:val="0"/>
      <w:divBdr>
        <w:top w:val="none" w:sz="0" w:space="0" w:color="auto"/>
        <w:left w:val="none" w:sz="0" w:space="0" w:color="auto"/>
        <w:bottom w:val="none" w:sz="0" w:space="0" w:color="auto"/>
        <w:right w:val="none" w:sz="0" w:space="0" w:color="auto"/>
      </w:divBdr>
    </w:div>
    <w:div w:id="1717925839">
      <w:bodyDiv w:val="1"/>
      <w:marLeft w:val="0"/>
      <w:marRight w:val="0"/>
      <w:marTop w:val="0"/>
      <w:marBottom w:val="0"/>
      <w:divBdr>
        <w:top w:val="none" w:sz="0" w:space="0" w:color="auto"/>
        <w:left w:val="none" w:sz="0" w:space="0" w:color="auto"/>
        <w:bottom w:val="none" w:sz="0" w:space="0" w:color="auto"/>
        <w:right w:val="none" w:sz="0" w:space="0" w:color="auto"/>
      </w:divBdr>
    </w:div>
    <w:div w:id="1737318851">
      <w:bodyDiv w:val="1"/>
      <w:marLeft w:val="0"/>
      <w:marRight w:val="0"/>
      <w:marTop w:val="0"/>
      <w:marBottom w:val="0"/>
      <w:divBdr>
        <w:top w:val="none" w:sz="0" w:space="0" w:color="auto"/>
        <w:left w:val="none" w:sz="0" w:space="0" w:color="auto"/>
        <w:bottom w:val="none" w:sz="0" w:space="0" w:color="auto"/>
        <w:right w:val="none" w:sz="0" w:space="0" w:color="auto"/>
      </w:divBdr>
    </w:div>
    <w:div w:id="1777630800">
      <w:bodyDiv w:val="1"/>
      <w:marLeft w:val="0"/>
      <w:marRight w:val="0"/>
      <w:marTop w:val="0"/>
      <w:marBottom w:val="0"/>
      <w:divBdr>
        <w:top w:val="none" w:sz="0" w:space="0" w:color="auto"/>
        <w:left w:val="none" w:sz="0" w:space="0" w:color="auto"/>
        <w:bottom w:val="none" w:sz="0" w:space="0" w:color="auto"/>
        <w:right w:val="none" w:sz="0" w:space="0" w:color="auto"/>
      </w:divBdr>
    </w:div>
    <w:div w:id="1861504442">
      <w:bodyDiv w:val="1"/>
      <w:marLeft w:val="0"/>
      <w:marRight w:val="0"/>
      <w:marTop w:val="0"/>
      <w:marBottom w:val="0"/>
      <w:divBdr>
        <w:top w:val="none" w:sz="0" w:space="0" w:color="auto"/>
        <w:left w:val="none" w:sz="0" w:space="0" w:color="auto"/>
        <w:bottom w:val="none" w:sz="0" w:space="0" w:color="auto"/>
        <w:right w:val="none" w:sz="0" w:space="0" w:color="auto"/>
      </w:divBdr>
    </w:div>
    <w:div w:id="1862434349">
      <w:bodyDiv w:val="1"/>
      <w:marLeft w:val="0"/>
      <w:marRight w:val="0"/>
      <w:marTop w:val="0"/>
      <w:marBottom w:val="0"/>
      <w:divBdr>
        <w:top w:val="none" w:sz="0" w:space="0" w:color="auto"/>
        <w:left w:val="none" w:sz="0" w:space="0" w:color="auto"/>
        <w:bottom w:val="none" w:sz="0" w:space="0" w:color="auto"/>
        <w:right w:val="none" w:sz="0" w:space="0" w:color="auto"/>
      </w:divBdr>
    </w:div>
    <w:div w:id="1874418103">
      <w:bodyDiv w:val="1"/>
      <w:marLeft w:val="0"/>
      <w:marRight w:val="0"/>
      <w:marTop w:val="0"/>
      <w:marBottom w:val="0"/>
      <w:divBdr>
        <w:top w:val="none" w:sz="0" w:space="0" w:color="auto"/>
        <w:left w:val="none" w:sz="0" w:space="0" w:color="auto"/>
        <w:bottom w:val="none" w:sz="0" w:space="0" w:color="auto"/>
        <w:right w:val="none" w:sz="0" w:space="0" w:color="auto"/>
      </w:divBdr>
    </w:div>
    <w:div w:id="1889409637">
      <w:bodyDiv w:val="1"/>
      <w:marLeft w:val="0"/>
      <w:marRight w:val="0"/>
      <w:marTop w:val="0"/>
      <w:marBottom w:val="0"/>
      <w:divBdr>
        <w:top w:val="none" w:sz="0" w:space="0" w:color="auto"/>
        <w:left w:val="none" w:sz="0" w:space="0" w:color="auto"/>
        <w:bottom w:val="none" w:sz="0" w:space="0" w:color="auto"/>
        <w:right w:val="none" w:sz="0" w:space="0" w:color="auto"/>
      </w:divBdr>
    </w:div>
    <w:div w:id="1927811481">
      <w:bodyDiv w:val="1"/>
      <w:marLeft w:val="0"/>
      <w:marRight w:val="0"/>
      <w:marTop w:val="0"/>
      <w:marBottom w:val="0"/>
      <w:divBdr>
        <w:top w:val="none" w:sz="0" w:space="0" w:color="auto"/>
        <w:left w:val="none" w:sz="0" w:space="0" w:color="auto"/>
        <w:bottom w:val="none" w:sz="0" w:space="0" w:color="auto"/>
        <w:right w:val="none" w:sz="0" w:space="0" w:color="auto"/>
      </w:divBdr>
      <w:divsChild>
        <w:div w:id="462310498">
          <w:marLeft w:val="60"/>
          <w:marRight w:val="0"/>
          <w:marTop w:val="0"/>
          <w:marBottom w:val="0"/>
          <w:divBdr>
            <w:top w:val="none" w:sz="0" w:space="0" w:color="auto"/>
            <w:left w:val="none" w:sz="0" w:space="0" w:color="auto"/>
            <w:bottom w:val="none" w:sz="0" w:space="0" w:color="auto"/>
            <w:right w:val="none" w:sz="0" w:space="0" w:color="auto"/>
          </w:divBdr>
          <w:divsChild>
            <w:div w:id="367880437">
              <w:marLeft w:val="0"/>
              <w:marRight w:val="0"/>
              <w:marTop w:val="0"/>
              <w:marBottom w:val="0"/>
              <w:divBdr>
                <w:top w:val="none" w:sz="0" w:space="0" w:color="auto"/>
                <w:left w:val="none" w:sz="0" w:space="0" w:color="auto"/>
                <w:bottom w:val="none" w:sz="0" w:space="0" w:color="auto"/>
                <w:right w:val="none" w:sz="0" w:space="0" w:color="auto"/>
              </w:divBdr>
              <w:divsChild>
                <w:div w:id="157111172">
                  <w:marLeft w:val="135"/>
                  <w:marRight w:val="135"/>
                  <w:marTop w:val="0"/>
                  <w:marBottom w:val="90"/>
                  <w:divBdr>
                    <w:top w:val="none" w:sz="0" w:space="0" w:color="auto"/>
                    <w:left w:val="none" w:sz="0" w:space="0" w:color="auto"/>
                    <w:bottom w:val="none" w:sz="0" w:space="0" w:color="auto"/>
                    <w:right w:val="none" w:sz="0" w:space="0" w:color="auto"/>
                  </w:divBdr>
                </w:div>
              </w:divsChild>
            </w:div>
          </w:divsChild>
        </w:div>
      </w:divsChild>
    </w:div>
    <w:div w:id="1932935705">
      <w:bodyDiv w:val="1"/>
      <w:marLeft w:val="0"/>
      <w:marRight w:val="0"/>
      <w:marTop w:val="0"/>
      <w:marBottom w:val="0"/>
      <w:divBdr>
        <w:top w:val="none" w:sz="0" w:space="0" w:color="auto"/>
        <w:left w:val="none" w:sz="0" w:space="0" w:color="auto"/>
        <w:bottom w:val="none" w:sz="0" w:space="0" w:color="auto"/>
        <w:right w:val="none" w:sz="0" w:space="0" w:color="auto"/>
      </w:divBdr>
    </w:div>
    <w:div w:id="1978026850">
      <w:bodyDiv w:val="1"/>
      <w:marLeft w:val="0"/>
      <w:marRight w:val="0"/>
      <w:marTop w:val="0"/>
      <w:marBottom w:val="0"/>
      <w:divBdr>
        <w:top w:val="none" w:sz="0" w:space="0" w:color="auto"/>
        <w:left w:val="none" w:sz="0" w:space="0" w:color="auto"/>
        <w:bottom w:val="none" w:sz="0" w:space="0" w:color="auto"/>
        <w:right w:val="none" w:sz="0" w:space="0" w:color="auto"/>
      </w:divBdr>
    </w:div>
    <w:div w:id="21175523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infoem.org.m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54E87-C3A0-4F45-ABCA-299AB8139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36</Pages>
  <Words>7107</Words>
  <Characters>39093</Characters>
  <Application>Microsoft Office Word</Application>
  <DocSecurity>0</DocSecurity>
  <Lines>325</Lines>
  <Paragraphs>92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2021-11-04T19:26:00Z</cp:lastPrinted>
  <dcterms:created xsi:type="dcterms:W3CDTF">2022-04-29T01:07:00Z</dcterms:created>
  <dcterms:modified xsi:type="dcterms:W3CDTF">2022-05-03T19:39:00Z</dcterms:modified>
</cp:coreProperties>
</file>