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6ECEC" w14:textId="77777777" w:rsidR="00833CC6" w:rsidRDefault="00833CC6" w:rsidP="00833CC6">
      <w:pPr>
        <w:spacing w:before="240" w:after="24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Pr="0030160A">
        <w:rPr>
          <w:rFonts w:ascii="Palatino Linotype" w:eastAsia="Palatino Linotype" w:hAnsi="Palatino Linotype" w:cs="Palatino Linotype"/>
          <w:sz w:val="24"/>
          <w:szCs w:val="24"/>
        </w:rPr>
        <w:t>nueve de marzo</w:t>
      </w:r>
      <w:r>
        <w:rPr>
          <w:rFonts w:ascii="Palatino Linotype" w:eastAsia="Palatino Linotype" w:hAnsi="Palatino Linotype" w:cs="Palatino Linotype"/>
          <w:sz w:val="24"/>
          <w:szCs w:val="24"/>
        </w:rPr>
        <w:t xml:space="preserve"> de dos mil veintidós.</w:t>
      </w:r>
    </w:p>
    <w:p w14:paraId="31FC0EB3" w14:textId="77777777" w:rsidR="00833CC6" w:rsidRDefault="00833CC6" w:rsidP="00833CC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00019/INFOEM/IP/RR/2022</w:t>
      </w:r>
      <w:r>
        <w:rPr>
          <w:rFonts w:ascii="Palatino Linotype" w:eastAsia="Palatino Linotype" w:hAnsi="Palatino Linotype" w:cs="Palatino Linotype"/>
          <w:sz w:val="24"/>
          <w:szCs w:val="24"/>
        </w:rPr>
        <w:t xml:space="preserve">, interpuesto por un particular que, al momento de ingresar la solicitud de información e interponer el recurso de revisión, no señaló nombre o seudónimo con el cual desee ser identificado,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00414/CODHEM/IP/2021</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 la </w:t>
      </w:r>
      <w:r>
        <w:rPr>
          <w:rFonts w:ascii="Palatino Linotype" w:eastAsia="Palatino Linotype" w:hAnsi="Palatino Linotype" w:cs="Palatino Linotype"/>
          <w:b/>
          <w:sz w:val="24"/>
          <w:szCs w:val="24"/>
        </w:rPr>
        <w:t>Comisión de Derechos Humanos del Estado de México</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3FC1889F" w14:textId="77777777" w:rsidR="00833CC6" w:rsidRDefault="00833CC6" w:rsidP="00833CC6">
      <w:pPr>
        <w:spacing w:before="240" w:after="240" w:line="360" w:lineRule="auto"/>
        <w:ind w:right="-234"/>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 N T E C E D E N T E S   </w:t>
      </w:r>
    </w:p>
    <w:p w14:paraId="7EA2FF58" w14:textId="77777777" w:rsidR="00833CC6" w:rsidRDefault="00833CC6" w:rsidP="00833CC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SOLICITUD DE INFORMACIÓN.</w:t>
      </w:r>
    </w:p>
    <w:p w14:paraId="4E2ACD07" w14:textId="77777777" w:rsidR="00833CC6" w:rsidRDefault="00833CC6" w:rsidP="00833CC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fecha trece de diciembre de dos mil veintiuno,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solicitud de acceso a la información pública, registrada bajo el número de expediente </w:t>
      </w:r>
      <w:r>
        <w:rPr>
          <w:rFonts w:ascii="Palatino Linotype" w:eastAsia="Palatino Linotype" w:hAnsi="Palatino Linotype" w:cs="Palatino Linotype"/>
          <w:b/>
          <w:color w:val="000000"/>
          <w:sz w:val="24"/>
          <w:szCs w:val="24"/>
        </w:rPr>
        <w:t>00414/CODHEM/IP/2021</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14:paraId="5B085B56" w14:textId="77777777" w:rsidR="00833CC6" w:rsidRDefault="00833CC6" w:rsidP="00833CC6">
      <w:pPr>
        <w:spacing w:before="240" w:after="24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w:t>
      </w:r>
      <w:r w:rsidRPr="00F35841">
        <w:rPr>
          <w:rFonts w:ascii="Palatino Linotype" w:eastAsia="Palatino Linotype" w:hAnsi="Palatino Linotype" w:cs="Palatino Linotype"/>
          <w:b/>
          <w:i/>
          <w:color w:val="000000"/>
        </w:rPr>
        <w:t>Denunciar al Jefe de la Unidad de Apoyo Administrativo de la Comisión de Conciliación y Arbitraje Médico del Estado de México</w:t>
      </w:r>
      <w:r>
        <w:rPr>
          <w:rFonts w:ascii="Palatino Linotype" w:eastAsia="Palatino Linotype" w:hAnsi="Palatino Linotype" w:cs="Palatino Linotype"/>
          <w:i/>
          <w:color w:val="000000"/>
        </w:rPr>
        <w:t xml:space="preserve">, quien me ha pedido favores sexuales para poder recibir mis pagos, poder salir a la calle y ahora para </w:t>
      </w:r>
      <w:r>
        <w:rPr>
          <w:rFonts w:ascii="Palatino Linotype" w:eastAsia="Palatino Linotype" w:hAnsi="Palatino Linotype" w:cs="Palatino Linotype"/>
          <w:i/>
          <w:color w:val="000000"/>
        </w:rPr>
        <w:lastRenderedPageBreak/>
        <w:t>otorgarme los bonos de fin de año. Ya realicé la denuncia correspondiente a través del SAM pero el Titular del Órgano Interno de Control lo solapa y no he recibido respuesta alguna por esta situación. En la propia Comisión de Derechos Humanos alguien le avisa de estas situaciones y me acosa de peor manera. Ya están al tanto en la Secretaría de Salud de estas conductas, por que ellos pusieron a esta indecente persona pero igual me ignoran. ¿</w:t>
      </w:r>
      <w:r w:rsidRPr="00F35841">
        <w:rPr>
          <w:rFonts w:ascii="Palatino Linotype" w:eastAsia="Palatino Linotype" w:hAnsi="Palatino Linotype" w:cs="Palatino Linotype"/>
          <w:b/>
          <w:i/>
          <w:color w:val="000000"/>
        </w:rPr>
        <w:t>Podrían hacer una investigación profunda y confidencial?</w:t>
      </w:r>
      <w:r>
        <w:rPr>
          <w:rFonts w:ascii="Palatino Linotype" w:eastAsia="Palatino Linotype" w:hAnsi="Palatino Linotype" w:cs="Palatino Linotype"/>
          <w:i/>
          <w:color w:val="000000"/>
        </w:rPr>
        <w:t xml:space="preserve"> Acudir a la Comisión de Conciliación y Arbitraje Médico del Estado de México, porque lamentablemente no soy la única que pasa por esta situación. A pesar que a este sujeto le he dicho que lo denunciaré, me ha dicho que no le importa y que tiene de su lado al Comisionado y al Secretario de Salud y en un dos por tres me puede correr sin pago alguno.</w:t>
      </w:r>
      <w:r>
        <w:rPr>
          <w:rFonts w:ascii="Palatino Linotype" w:eastAsia="Palatino Linotype" w:hAnsi="Palatino Linotype" w:cs="Palatino Linotype"/>
          <w:i/>
        </w:rPr>
        <w:t xml:space="preserve">” (Sic). </w:t>
      </w:r>
    </w:p>
    <w:p w14:paraId="6AA4CB41" w14:textId="77777777" w:rsidR="00833CC6" w:rsidRPr="00F35841" w:rsidRDefault="00833CC6" w:rsidP="00833CC6">
      <w:pPr>
        <w:spacing w:before="240" w:after="240" w:line="360" w:lineRule="auto"/>
        <w:jc w:val="both"/>
        <w:rPr>
          <w:rFonts w:ascii="Palatino Linotype" w:eastAsia="Palatino Linotype" w:hAnsi="Palatino Linotype" w:cs="Palatino Linotype"/>
          <w:b/>
          <w:sz w:val="28"/>
          <w:szCs w:val="28"/>
        </w:rPr>
      </w:pPr>
      <w:bookmarkStart w:id="1" w:name="_heading=h.1fob9te" w:colFirst="0" w:colLast="0"/>
      <w:bookmarkEnd w:id="1"/>
      <w:r>
        <w:rPr>
          <w:rFonts w:ascii="Palatino Linotype" w:eastAsia="Palatino Linotype" w:hAnsi="Palatino Linotype" w:cs="Palatino Linotype"/>
          <w:b/>
          <w:sz w:val="28"/>
          <w:szCs w:val="28"/>
        </w:rPr>
        <w:t>2. De la respuesta del Sujeto Obligado.</w:t>
      </w:r>
      <w:bookmarkStart w:id="2" w:name="_heading=h.3znysh7" w:colFirst="0" w:colLast="0"/>
      <w:bookmarkEnd w:id="2"/>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 xml:space="preserve">Con fecha catorce de diciembre del dos mil veintiuno,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4F1674B9" w14:textId="77777777" w:rsidR="00833CC6" w:rsidRDefault="00833CC6" w:rsidP="00833CC6">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Toluca, México a catorce de diciembre de 2021. Nombre del solicitante: Sin Nombre Folio de la solicitud: 00414/CODHEM/IP/2021 Con fundamento en los artículos 167 y 53 fracciones II, V y VI de la Ley de Transparencia y Acceso a la información Pública del Estado de México y Municipios, me permito notificar la respuesta a su solicitud, misma que encontrará en archivo anexo. Atte. Lcda. Claudia Pineda Guzmán Encargada de la Unidad de Transparencia</w:t>
      </w:r>
    </w:p>
    <w:p w14:paraId="2B88BD91" w14:textId="77777777" w:rsidR="00833CC6" w:rsidRDefault="00833CC6" w:rsidP="00833CC6">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37DD2DC8" w14:textId="77777777" w:rsidR="00833CC6" w:rsidRDefault="00833CC6" w:rsidP="00833CC6">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 A. SHEILA VELÁZQUEZ LONDAIZ</w:t>
      </w:r>
    </w:p>
    <w:p w14:paraId="3B321DC9" w14:textId="0DC53EF2" w:rsidR="00833CC6" w:rsidRDefault="00FF6AB3" w:rsidP="00833CC6">
      <w:pPr>
        <w:spacing w:before="240" w:after="240" w:line="360" w:lineRule="auto"/>
        <w:jc w:val="both"/>
        <w:rPr>
          <w:rFonts w:ascii="Palatino Linotype" w:eastAsia="Palatino Linotype" w:hAnsi="Palatino Linotype" w:cs="Palatino Linotype"/>
          <w:color w:val="000000"/>
          <w:sz w:val="24"/>
          <w:szCs w:val="24"/>
        </w:rPr>
      </w:pPr>
      <w:bookmarkStart w:id="3" w:name="_heading=h.2et92p0" w:colFirst="0" w:colLast="0"/>
      <w:bookmarkEnd w:id="3"/>
      <w:r>
        <w:rPr>
          <w:rFonts w:ascii="Palatino Linotype" w:eastAsia="Palatino Linotype" w:hAnsi="Palatino Linotype" w:cs="Palatino Linotype"/>
          <w:color w:val="000000"/>
          <w:sz w:val="24"/>
          <w:szCs w:val="24"/>
        </w:rPr>
        <w:t>Adjuntó</w:t>
      </w:r>
      <w:r w:rsidR="00833CC6">
        <w:rPr>
          <w:rFonts w:ascii="Palatino Linotype" w:eastAsia="Palatino Linotype" w:hAnsi="Palatino Linotype" w:cs="Palatino Linotype"/>
          <w:color w:val="000000"/>
          <w:sz w:val="24"/>
          <w:szCs w:val="24"/>
        </w:rPr>
        <w:t xml:space="preserve"> para tal efecto el archivo electrónico “</w:t>
      </w:r>
      <w:hyperlink r:id="rId7">
        <w:r w:rsidR="00833CC6">
          <w:rPr>
            <w:rFonts w:ascii="Palatino Linotype" w:eastAsia="Palatino Linotype" w:hAnsi="Palatino Linotype" w:cs="Palatino Linotype"/>
            <w:b/>
            <w:color w:val="000000"/>
            <w:sz w:val="24"/>
            <w:szCs w:val="24"/>
            <w:u w:val="single"/>
          </w:rPr>
          <w:t>20211214171147507.pdf</w:t>
        </w:r>
      </w:hyperlink>
      <w:r w:rsidR="00833CC6">
        <w:rPr>
          <w:rFonts w:ascii="Palatino Linotype" w:eastAsia="Palatino Linotype" w:hAnsi="Palatino Linotype" w:cs="Palatino Linotype"/>
          <w:color w:val="000000"/>
          <w:sz w:val="24"/>
          <w:szCs w:val="24"/>
        </w:rPr>
        <w:t xml:space="preserve">” que contiene la respuesta de la Encargada de la Unidad de Transparencia a través de la cual medularmente le orienta a presentar su denuncia ante la Fiscalía de Justicia del Estado de México por el delito de acoso, o bien, acudir a presentar su queja de </w:t>
      </w:r>
      <w:r w:rsidR="00833CC6">
        <w:rPr>
          <w:rFonts w:ascii="Palatino Linotype" w:eastAsia="Palatino Linotype" w:hAnsi="Palatino Linotype" w:cs="Palatino Linotype"/>
          <w:color w:val="000000"/>
          <w:sz w:val="24"/>
          <w:szCs w:val="24"/>
        </w:rPr>
        <w:lastRenderedPageBreak/>
        <w:t xml:space="preserve">manera personal y anónima ante dicho Sujeto Obligado en la Visitaduría Adjunta de Igualdad de Género con la finalidad de poder hacer las investigaciones necesarias, y darle seguimiento al asunto y brindarle acompañamiento ante la Fiscalía de Justicia, para lo cual le proporciona la dirección y horarios de atención, tal como se advierte a continuación: </w:t>
      </w:r>
    </w:p>
    <w:p w14:paraId="0CAD707B" w14:textId="77777777" w:rsidR="00833CC6" w:rsidRDefault="00833CC6" w:rsidP="00833CC6">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14:anchorId="6A8BFE2D" wp14:editId="17A2F292">
            <wp:extent cx="5553075" cy="4533900"/>
            <wp:effectExtent l="0" t="0" r="9525"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10;&#10;Descripción generada automáticamente"/>
                    <pic:cNvPicPr/>
                  </pic:nvPicPr>
                  <pic:blipFill>
                    <a:blip r:embed="rId8"/>
                    <a:stretch>
                      <a:fillRect/>
                    </a:stretch>
                  </pic:blipFill>
                  <pic:spPr>
                    <a:xfrm>
                      <a:off x="0" y="0"/>
                      <a:ext cx="5553075" cy="4533900"/>
                    </a:xfrm>
                    <a:prstGeom prst="rect">
                      <a:avLst/>
                    </a:prstGeom>
                  </pic:spPr>
                </pic:pic>
              </a:graphicData>
            </a:graphic>
          </wp:inline>
        </w:drawing>
      </w:r>
    </w:p>
    <w:p w14:paraId="74C0C498" w14:textId="77777777" w:rsidR="00833CC6" w:rsidRDefault="00833CC6" w:rsidP="00833CC6">
      <w:pPr>
        <w:spacing w:before="240" w:after="240" w:line="360" w:lineRule="auto"/>
        <w:jc w:val="both"/>
        <w:rPr>
          <w:rFonts w:ascii="Palatino Linotype" w:eastAsia="Palatino Linotype" w:hAnsi="Palatino Linotype" w:cs="Palatino Linotype"/>
          <w:color w:val="000000"/>
          <w:sz w:val="24"/>
          <w:szCs w:val="24"/>
        </w:rPr>
      </w:pPr>
    </w:p>
    <w:p w14:paraId="2242F7FA" w14:textId="77777777" w:rsidR="00833CC6" w:rsidRPr="00B13C0F" w:rsidRDefault="00833CC6" w:rsidP="00833CC6">
      <w:pPr>
        <w:spacing w:before="240" w:after="240" w:line="360" w:lineRule="auto"/>
        <w:ind w:right="-234"/>
        <w:jc w:val="both"/>
        <w:rPr>
          <w:rFonts w:ascii="Palatino Linotype" w:eastAsia="Palatino Linotype" w:hAnsi="Palatino Linotype" w:cs="Palatino Linotype"/>
          <w:b/>
          <w:sz w:val="24"/>
          <w:szCs w:val="24"/>
        </w:rPr>
      </w:pPr>
      <w:bookmarkStart w:id="4" w:name="_heading=h.tyjcwt" w:colFirst="0" w:colLast="0"/>
      <w:bookmarkEnd w:id="4"/>
      <w:r>
        <w:rPr>
          <w:rFonts w:ascii="Palatino Linotype" w:eastAsia="Palatino Linotype" w:hAnsi="Palatino Linotype" w:cs="Palatino Linotype"/>
          <w:b/>
          <w:sz w:val="24"/>
          <w:szCs w:val="24"/>
        </w:rPr>
        <w:lastRenderedPageBreak/>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EL RECURRENTE </w:t>
      </w:r>
      <w:r>
        <w:rPr>
          <w:rFonts w:ascii="Palatino Linotype" w:eastAsia="Palatino Linotype" w:hAnsi="Palatino Linotype" w:cs="Palatino Linotype"/>
          <w:sz w:val="24"/>
          <w:szCs w:val="24"/>
        </w:rPr>
        <w:t>interpuso el recurso de revisión, en fecha diez de enero de dos mil veintidós,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00019/INFOEM/IP/RR/2022</w:t>
      </w:r>
      <w:r>
        <w:rPr>
          <w:rFonts w:ascii="Palatino Linotype" w:eastAsia="Palatino Linotype" w:hAnsi="Palatino Linotype" w:cs="Palatino Linotype"/>
          <w:sz w:val="24"/>
          <w:szCs w:val="24"/>
        </w:rPr>
        <w:t>, en el cual manifiesta, lo siguiente:</w:t>
      </w:r>
    </w:p>
    <w:p w14:paraId="7E2FF5ED" w14:textId="77777777" w:rsidR="00833CC6" w:rsidRDefault="00833CC6" w:rsidP="00833CC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10FA8993" w14:textId="77777777" w:rsidR="00833CC6" w:rsidRDefault="00833CC6" w:rsidP="00833CC6">
      <w:pPr>
        <w:spacing w:before="240" w:after="240" w:line="360" w:lineRule="auto"/>
        <w:ind w:left="851"/>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i/>
          <w:color w:val="000000"/>
          <w:sz w:val="24"/>
          <w:szCs w:val="24"/>
        </w:rPr>
        <w:t>Dice que es incompetente para responder.</w:t>
      </w:r>
      <w:r>
        <w:rPr>
          <w:rFonts w:ascii="Palatino Linotype" w:eastAsia="Palatino Linotype" w:hAnsi="Palatino Linotype" w:cs="Palatino Linotype"/>
          <w:i/>
          <w:sz w:val="24"/>
          <w:szCs w:val="24"/>
        </w:rPr>
        <w:t>” [sic]</w:t>
      </w:r>
    </w:p>
    <w:p w14:paraId="767C8545" w14:textId="77777777" w:rsidR="00833CC6" w:rsidRDefault="00833CC6" w:rsidP="00833CC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2211A31A" w14:textId="77777777" w:rsidR="00833CC6" w:rsidRDefault="00833CC6" w:rsidP="00833CC6">
      <w:pPr>
        <w:spacing w:before="240" w:after="240" w:line="360" w:lineRule="auto"/>
        <w:ind w:left="851"/>
        <w:jc w:val="both"/>
        <w:rPr>
          <w:rFonts w:ascii="Palatino Linotype" w:eastAsia="Palatino Linotype" w:hAnsi="Palatino Linotype" w:cs="Palatino Linotype"/>
          <w:i/>
          <w:sz w:val="24"/>
          <w:szCs w:val="24"/>
        </w:rPr>
      </w:pPr>
      <w:r>
        <w:rPr>
          <w:rFonts w:ascii="Palatino Linotype" w:eastAsia="Palatino Linotype" w:hAnsi="Palatino Linotype" w:cs="Palatino Linotype"/>
          <w:i/>
          <w:color w:val="000000"/>
          <w:sz w:val="24"/>
          <w:szCs w:val="24"/>
        </w:rPr>
        <w:t xml:space="preserve">“No entrega la información."” </w:t>
      </w:r>
      <w:r>
        <w:rPr>
          <w:rFonts w:ascii="Palatino Linotype" w:eastAsia="Palatino Linotype" w:hAnsi="Palatino Linotype" w:cs="Palatino Linotype"/>
          <w:i/>
          <w:sz w:val="24"/>
          <w:szCs w:val="24"/>
        </w:rPr>
        <w:t>[sic]</w:t>
      </w:r>
    </w:p>
    <w:p w14:paraId="19AAD9D0" w14:textId="77777777" w:rsidR="00833CC6" w:rsidRPr="00B13C0F" w:rsidRDefault="00833CC6" w:rsidP="00833CC6">
      <w:pPr>
        <w:spacing w:before="240" w:after="240" w:line="360" w:lineRule="auto"/>
        <w:jc w:val="both"/>
        <w:rPr>
          <w:rFonts w:ascii="Palatino Linotype" w:eastAsia="Palatino Linotype" w:hAnsi="Palatino Linotype" w:cs="Palatino Linotype"/>
          <w:b/>
          <w:sz w:val="24"/>
          <w:szCs w:val="24"/>
        </w:rPr>
      </w:pPr>
      <w:bookmarkStart w:id="5" w:name="_heading=h.3dy6vkm" w:colFirst="0" w:colLast="0"/>
      <w:bookmarkEnd w:id="5"/>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00019/INFOEM/IP/RR/2022 </w:t>
      </w:r>
      <w:r>
        <w:rPr>
          <w:rFonts w:ascii="Palatino Linotype" w:eastAsia="Palatino Linotype" w:hAnsi="Palatino Linotype" w:cs="Palatino Linotype"/>
          <w:sz w:val="24"/>
          <w:szCs w:val="24"/>
        </w:rPr>
        <w:t xml:space="preserve">fue turnado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14:paraId="4A72D156" w14:textId="77777777" w:rsidR="00833CC6" w:rsidRPr="00B13C0F" w:rsidRDefault="00833CC6" w:rsidP="00833CC6">
      <w:pPr>
        <w:spacing w:before="240" w:after="240" w:line="360" w:lineRule="auto"/>
        <w:jc w:val="both"/>
        <w:rPr>
          <w:rFonts w:ascii="Palatino Linotype" w:eastAsia="Palatino Linotype" w:hAnsi="Palatino Linotype" w:cs="Palatino Linotype"/>
          <w:b/>
          <w:sz w:val="24"/>
          <w:szCs w:val="24"/>
        </w:rPr>
      </w:pPr>
      <w:bookmarkStart w:id="6" w:name="_heading=h.1t3h5sf" w:colFirst="0" w:colLast="0"/>
      <w:bookmarkEnd w:id="6"/>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En fecha trece de enero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31D5A2BD" w14:textId="77777777" w:rsidR="00833CC6" w:rsidRDefault="00833CC6" w:rsidP="00833CC6">
      <w:pPr>
        <w:spacing w:before="240" w:after="240" w:line="360" w:lineRule="auto"/>
        <w:ind w:right="-234"/>
        <w:jc w:val="both"/>
        <w:rPr>
          <w:rFonts w:ascii="Palatino Linotype" w:eastAsia="Palatino Linotype" w:hAnsi="Palatino Linotype" w:cs="Palatino Linotype"/>
          <w:sz w:val="24"/>
          <w:szCs w:val="24"/>
        </w:rPr>
      </w:pPr>
      <w:bookmarkStart w:id="7" w:name="_heading=h.4d34og8" w:colFirst="0" w:colLast="0"/>
      <w:bookmarkEnd w:id="7"/>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veintiuno de enero de dos mil veintidós, se recibió, a través del Sistema de Acceso a la Información Mexiquense (SAIMEX), el Informe Justificado del </w:t>
      </w:r>
      <w:r w:rsidRPr="00B13C0F">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mediante oficio </w:t>
      </w:r>
      <w:r>
        <w:rPr>
          <w:rFonts w:ascii="Palatino Linotype" w:eastAsia="Palatino Linotype" w:hAnsi="Palatino Linotype" w:cs="Palatino Linotype"/>
          <w:sz w:val="24"/>
          <w:szCs w:val="24"/>
        </w:rPr>
        <w:lastRenderedPageBreak/>
        <w:t xml:space="preserve">UT/018/2022, de fecha diecinueve de enero, suscrito por la  M. en A. P. Sheila Velázquez Londaiz, Titular de la Unidad de Transparencia, a través del cual en términos generales ratifica su respuesta y señala que se le orientó a dirigir su solicitud al sujeto obligado competente, asimismo se le refirió que la defensoría cuenta con una visitaduría adjunta de género, a la cual podía acudir de manera personal a presentar su queja, la cual podía ser de manera anónima, esto con la finalidad de realizar las investigaciones necesarias y así poder darle seguimiento a su asunto, o bien brindarle acompañamiento y asesoría ante la Fiscalía General de Justicia del Estado de México: </w:t>
      </w:r>
    </w:p>
    <w:p w14:paraId="6BD105F9" w14:textId="7CCE805C" w:rsidR="00833CC6" w:rsidRDefault="00FF6AB3" w:rsidP="00833CC6">
      <w:pPr>
        <w:spacing w:before="240" w:after="240" w:line="360" w:lineRule="auto"/>
        <w:ind w:right="-234"/>
        <w:jc w:val="both"/>
        <w:rPr>
          <w:rFonts w:ascii="Palatino Linotype" w:eastAsia="Palatino Linotype" w:hAnsi="Palatino Linotype" w:cs="Palatino Linotype"/>
          <w:sz w:val="24"/>
          <w:szCs w:val="24"/>
        </w:rPr>
      </w:pPr>
      <w:r>
        <w:rPr>
          <w:noProof/>
        </w:rPr>
        <w:drawing>
          <wp:inline distT="0" distB="0" distL="0" distR="0" wp14:anchorId="191F3C24" wp14:editId="69CD6806">
            <wp:extent cx="5612130" cy="43713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371340"/>
                    </a:xfrm>
                    <a:prstGeom prst="rect">
                      <a:avLst/>
                    </a:prstGeom>
                  </pic:spPr>
                </pic:pic>
              </a:graphicData>
            </a:graphic>
          </wp:inline>
        </w:drawing>
      </w:r>
    </w:p>
    <w:p w14:paraId="4CDF0F14" w14:textId="09A25FFA" w:rsidR="00833CC6" w:rsidRDefault="00FF6AB3" w:rsidP="00833CC6">
      <w:pPr>
        <w:spacing w:before="240" w:after="240" w:line="360" w:lineRule="auto"/>
        <w:ind w:right="-234"/>
        <w:jc w:val="both"/>
        <w:rPr>
          <w:rFonts w:ascii="Palatino Linotype" w:eastAsia="Palatino Linotype" w:hAnsi="Palatino Linotype" w:cs="Palatino Linotype"/>
          <w:sz w:val="24"/>
          <w:szCs w:val="24"/>
        </w:rPr>
      </w:pPr>
      <w:r>
        <w:rPr>
          <w:noProof/>
        </w:rPr>
        <w:lastRenderedPageBreak/>
        <mc:AlternateContent>
          <mc:Choice Requires="wps">
            <w:drawing>
              <wp:anchor distT="0" distB="0" distL="114300" distR="114300" simplePos="0" relativeHeight="251659264" behindDoc="0" locked="0" layoutInCell="1" allowOverlap="1" wp14:anchorId="3548C187" wp14:editId="5119ED1B">
                <wp:simplePos x="0" y="0"/>
                <wp:positionH relativeFrom="margin">
                  <wp:align>center</wp:align>
                </wp:positionH>
                <wp:positionV relativeFrom="paragraph">
                  <wp:posOffset>625447</wp:posOffset>
                </wp:positionV>
                <wp:extent cx="4953662" cy="397565"/>
                <wp:effectExtent l="0" t="0" r="18415" b="21590"/>
                <wp:wrapNone/>
                <wp:docPr id="9" name="Rectángulo 9"/>
                <wp:cNvGraphicFramePr/>
                <a:graphic xmlns:a="http://schemas.openxmlformats.org/drawingml/2006/main">
                  <a:graphicData uri="http://schemas.microsoft.com/office/word/2010/wordprocessingShape">
                    <wps:wsp>
                      <wps:cNvSpPr/>
                      <wps:spPr>
                        <a:xfrm>
                          <a:off x="0" y="0"/>
                          <a:ext cx="4953662" cy="397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C63C3" id="Rectángulo 9" o:spid="_x0000_s1026" style="position:absolute;margin-left:0;margin-top:49.25pt;width:390.05pt;height:31.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" filled="f" strokecolor="red" strokeweight="1pt">
                <w10:wrap anchorx="margin"/>
              </v:rect>
            </w:pict>
          </mc:Fallback>
        </mc:AlternateContent>
      </w:r>
      <w:r w:rsidR="00833CC6">
        <w:rPr>
          <w:noProof/>
        </w:rPr>
        <w:drawing>
          <wp:inline distT="0" distB="0" distL="0" distR="0" wp14:anchorId="6C9649B0" wp14:editId="7150FADF">
            <wp:extent cx="5429250" cy="5605669"/>
            <wp:effectExtent l="0" t="0" r="0" b="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rotWithShape="1">
                    <a:blip r:embed="rId10"/>
                    <a:srcRect b="5534"/>
                    <a:stretch/>
                  </pic:blipFill>
                  <pic:spPr bwMode="auto">
                    <a:xfrm>
                      <a:off x="0" y="0"/>
                      <a:ext cx="5429250" cy="5605669"/>
                    </a:xfrm>
                    <a:prstGeom prst="rect">
                      <a:avLst/>
                    </a:prstGeom>
                    <a:ln>
                      <a:noFill/>
                    </a:ln>
                    <a:extLst>
                      <a:ext uri="{53640926-AAD7-44D8-BBD7-CCE9431645EC}">
                        <a14:shadowObscured xmlns:a14="http://schemas.microsoft.com/office/drawing/2010/main"/>
                      </a:ext>
                    </a:extLst>
                  </pic:spPr>
                </pic:pic>
              </a:graphicData>
            </a:graphic>
          </wp:inline>
        </w:drawing>
      </w:r>
    </w:p>
    <w:p w14:paraId="24524237" w14:textId="77777777" w:rsidR="00833CC6" w:rsidRDefault="00833CC6" w:rsidP="00833CC6">
      <w:pPr>
        <w:spacing w:before="240" w:after="240" w:line="360" w:lineRule="auto"/>
        <w:ind w:right="-234"/>
        <w:jc w:val="both"/>
        <w:rPr>
          <w:rFonts w:ascii="Palatino Linotype" w:eastAsia="Palatino Linotype" w:hAnsi="Palatino Linotype" w:cs="Palatino Linotype"/>
          <w:sz w:val="24"/>
          <w:szCs w:val="24"/>
        </w:rPr>
      </w:pPr>
    </w:p>
    <w:p w14:paraId="02C30A8E" w14:textId="77777777" w:rsidR="00833CC6" w:rsidRPr="00B13C0F" w:rsidRDefault="00833CC6" w:rsidP="00833CC6">
      <w:pPr>
        <w:spacing w:before="240" w:after="240" w:line="360" w:lineRule="auto"/>
        <w:ind w:right="-234"/>
        <w:jc w:val="both"/>
        <w:rPr>
          <w:rFonts w:ascii="Palatino Linotype" w:eastAsia="Palatino Linotype" w:hAnsi="Palatino Linotype" w:cs="Palatino Linotype"/>
          <w:b/>
          <w:sz w:val="24"/>
          <w:szCs w:val="24"/>
        </w:rPr>
      </w:pPr>
    </w:p>
    <w:p w14:paraId="0F78A382" w14:textId="232E7902" w:rsidR="00833CC6" w:rsidRPr="00785EFB" w:rsidRDefault="00FF6AB3"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Asi</w:t>
      </w:r>
      <w:r w:rsidR="00833CC6">
        <w:rPr>
          <w:rFonts w:ascii="Palatino Linotype" w:eastAsia="Palatino Linotype" w:hAnsi="Palatino Linotype" w:cs="Palatino Linotype"/>
          <w:sz w:val="24"/>
          <w:szCs w:val="24"/>
        </w:rPr>
        <w:t>mismo</w:t>
      </w:r>
      <w:r w:rsidR="00833CC6">
        <w:rPr>
          <w:rFonts w:ascii="Palatino Linotype" w:eastAsia="Palatino Linotype" w:hAnsi="Palatino Linotype" w:cs="Palatino Linotype"/>
          <w:b/>
          <w:sz w:val="24"/>
          <w:szCs w:val="24"/>
        </w:rPr>
        <w:t xml:space="preserve">, </w:t>
      </w:r>
      <w:r w:rsidR="00833CC6">
        <w:rPr>
          <w:rFonts w:ascii="Palatino Linotype" w:eastAsia="Palatino Linotype" w:hAnsi="Palatino Linotype" w:cs="Palatino Linotype"/>
          <w:sz w:val="24"/>
          <w:szCs w:val="24"/>
        </w:rPr>
        <w:t xml:space="preserve">adjuntó el archivo denominado </w:t>
      </w:r>
      <w:r w:rsidR="00833CC6">
        <w:rPr>
          <w:rFonts w:ascii="Palatino Linotype" w:eastAsia="Palatino Linotype" w:hAnsi="Palatino Linotype" w:cs="Palatino Linotype"/>
          <w:color w:val="000000"/>
          <w:sz w:val="24"/>
          <w:szCs w:val="24"/>
        </w:rPr>
        <w:t>“</w:t>
      </w:r>
      <w:hyperlink r:id="rId11">
        <w:r w:rsidR="00833CC6">
          <w:rPr>
            <w:rFonts w:ascii="Palatino Linotype" w:eastAsia="Palatino Linotype" w:hAnsi="Palatino Linotype" w:cs="Palatino Linotype"/>
            <w:b/>
            <w:color w:val="000000"/>
            <w:sz w:val="24"/>
            <w:szCs w:val="24"/>
            <w:u w:val="single"/>
          </w:rPr>
          <w:t>Expediente Cer. Sol 00414-2021.pdf</w:t>
        </w:r>
      </w:hyperlink>
      <w:r w:rsidR="00833CC6">
        <w:rPr>
          <w:rFonts w:ascii="Palatino Linotype" w:eastAsia="Palatino Linotype" w:hAnsi="Palatino Linotype" w:cs="Palatino Linotype"/>
          <w:color w:val="000000"/>
          <w:sz w:val="24"/>
          <w:szCs w:val="24"/>
        </w:rPr>
        <w:t xml:space="preserve">” mismo que contiene las constancias que integran el expediente del presente recurso de revisión. </w:t>
      </w:r>
    </w:p>
    <w:p w14:paraId="2225755E" w14:textId="77777777" w:rsidR="00833CC6" w:rsidRDefault="00833CC6" w:rsidP="00833CC6">
      <w:pPr>
        <w:spacing w:before="240" w:after="240" w:line="360" w:lineRule="auto"/>
        <w:ind w:right="-234"/>
        <w:jc w:val="both"/>
        <w:rPr>
          <w:rFonts w:ascii="Palatino Linotype" w:eastAsia="Palatino Linotype" w:hAnsi="Palatino Linotype" w:cs="Palatino Linotype"/>
          <w:color w:val="000000"/>
          <w:sz w:val="24"/>
          <w:szCs w:val="24"/>
        </w:rPr>
      </w:pPr>
      <w:bookmarkStart w:id="8" w:name="_heading=h.2s8eyo1" w:colFirst="0" w:colLast="0"/>
      <w:bookmarkEnd w:id="8"/>
      <w:r>
        <w:rPr>
          <w:rFonts w:ascii="Palatino Linotype" w:eastAsia="Palatino Linotype" w:hAnsi="Palatino Linotype" w:cs="Palatino Linotype"/>
          <w:b/>
          <w:sz w:val="24"/>
          <w:szCs w:val="24"/>
        </w:rPr>
        <w:t>7. DEL CIERRE DE INSTRUCCIÓN.</w:t>
      </w:r>
      <w:r>
        <w:rPr>
          <w:rFonts w:ascii="Palatino Linotype" w:eastAsia="Palatino Linotype" w:hAnsi="Palatino Linotype" w:cs="Palatino Linotype"/>
          <w:b/>
          <w:sz w:val="24"/>
          <w:szCs w:val="24"/>
        </w:rPr>
        <w:tab/>
      </w:r>
      <w:r>
        <w:rPr>
          <w:rFonts w:ascii="Palatino Linotype" w:eastAsia="Palatino Linotype" w:hAnsi="Palatino Linotype" w:cs="Palatino Linotype"/>
          <w:color w:val="000000"/>
          <w:sz w:val="24"/>
          <w:szCs w:val="24"/>
        </w:rPr>
        <w:t>El once de febrero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214580A" w14:textId="77777777" w:rsidR="00833CC6" w:rsidRDefault="00833CC6" w:rsidP="00833CC6">
      <w:pPr>
        <w:spacing w:before="240" w:after="240" w:line="360" w:lineRule="auto"/>
        <w:jc w:val="center"/>
        <w:rPr>
          <w:rFonts w:ascii="Palatino Linotype" w:eastAsia="Palatino Linotype" w:hAnsi="Palatino Linotype" w:cs="Palatino Linotype"/>
          <w:b/>
          <w:sz w:val="24"/>
          <w:szCs w:val="24"/>
        </w:rPr>
      </w:pPr>
      <w:bookmarkStart w:id="9" w:name="_heading=h.17dp8vu" w:colFirst="0" w:colLast="0"/>
      <w:bookmarkEnd w:id="9"/>
      <w:r>
        <w:rPr>
          <w:rFonts w:ascii="Palatino Linotype" w:eastAsia="Palatino Linotype" w:hAnsi="Palatino Linotype" w:cs="Palatino Linotype"/>
          <w:b/>
          <w:sz w:val="24"/>
          <w:szCs w:val="24"/>
        </w:rPr>
        <w:t>CONSIDERANDOS:</w:t>
      </w:r>
    </w:p>
    <w:p w14:paraId="318236A6"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B774EED"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lastRenderedPageBreak/>
        <w:t xml:space="preserve">SEGUNDO. Oportunidad y Procedibilidad. </w:t>
      </w:r>
      <w:r>
        <w:rPr>
          <w:rFonts w:ascii="Palatino Linotype" w:eastAsia="Palatino Linotype" w:hAnsi="Palatino Linotype" w:cs="Palatino Linotype"/>
          <w:sz w:val="24"/>
          <w:szCs w:val="24"/>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emitió su respuesta a la solicitud planteada por el solicitante en fecha catorce de diciembre del año dos mil veintiuno y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su recurso de revisión el diez de enero del dos mil veintidós, esto es al séptimo día hábil siguiente de aquel en que tuvo conocimiento de la respuesta</w:t>
      </w:r>
      <w:r>
        <w:rPr>
          <w:rFonts w:ascii="Palatino Linotype" w:eastAsia="Palatino Linotype" w:hAnsi="Palatino Linotype" w:cs="Palatino Linotype"/>
          <w:sz w:val="24"/>
          <w:szCs w:val="24"/>
          <w:highlight w:val="white"/>
        </w:rPr>
        <w:t>;</w:t>
      </w:r>
      <w:r>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14:paraId="5B1BC505"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por cuanto hace a la procedibilidad del recurso de revisión, es de suma importancia señalar que la parte recurrente no se identifica,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623272"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"Las </w:t>
      </w:r>
      <w:r>
        <w:rPr>
          <w:rFonts w:ascii="Palatino Linotype" w:eastAsia="Palatino Linotype" w:hAnsi="Palatino Linotype" w:cs="Palatino Linotype"/>
          <w:b/>
          <w:i/>
        </w:rPr>
        <w:t>solicitudes anónimas</w:t>
      </w:r>
      <w:r>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solicitante."(Sic)</w:t>
      </w:r>
    </w:p>
    <w:p w14:paraId="79363340"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Robusteciendo lo anterior se encuentra lo dispuesto en el artículo 6, Apartado A, fracciones III de la Constitución Política de los Estados Unidos Mexicanos que establece:</w:t>
      </w:r>
    </w:p>
    <w:p w14:paraId="2F591769"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7E3E60C"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4CFD181A"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24926AB3"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14:paraId="3D269C8F" w14:textId="48E4F906" w:rsidR="00833CC6" w:rsidRPr="00FF6AB3" w:rsidRDefault="00833CC6" w:rsidP="00FF6AB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como el artículo 5 fracción III, párrafos vigésimo noveno, trigésimo y trigésimo primero, de la Constitución Política del Estado Libre y Soberano de México, que determina lo siguiente:</w:t>
      </w:r>
    </w:p>
    <w:p w14:paraId="0D50F5F7"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5F8BA4D"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210174E"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Toda persona en el Estado de México, tiene derecho al libre acceso a la información plural y oportuna, así como a buscar recibir y difundir información e ideas de toda índole por cualquier medio de expresión.</w:t>
      </w:r>
    </w:p>
    <w:p w14:paraId="1E5AE494"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FFFC20E"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31C46715"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6B35BDB"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39D7C87C"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633146A"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0A2F868"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572075B6"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Pr>
          <w:rFonts w:ascii="Palatino Linotype" w:eastAsia="Palatino Linotype" w:hAnsi="Palatino Linotype" w:cs="Palatino Linotype"/>
          <w:i/>
        </w:rPr>
        <w:lastRenderedPageBreak/>
        <w:t>ejercicio no podrá restringirse ni suspenderse, salvo en los casos y bajo las condiciones que esta Constitución establece.</w:t>
      </w:r>
    </w:p>
    <w:p w14:paraId="1350AF58"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19638FD9" w14:textId="77777777" w:rsidR="00833CC6" w:rsidRDefault="00833CC6" w:rsidP="00833CC6">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B92393F"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sz w:val="24"/>
          <w:szCs w:val="24"/>
        </w:rPr>
        <w:t>derecho fundamental exime a quien lo ejerce</w:t>
      </w:r>
      <w:r>
        <w:rPr>
          <w:rFonts w:ascii="Palatino Linotype" w:eastAsia="Palatino Linotype" w:hAnsi="Palatino Linotype" w:cs="Palatino Linotype"/>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3AAEF51"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5FABD090" w14:textId="77777777" w:rsidR="00833CC6" w:rsidRDefault="00833CC6" w:rsidP="00833CC6">
      <w:pPr>
        <w:spacing w:before="240" w:after="240" w:line="276"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w:t>
      </w:r>
      <w:r>
        <w:rPr>
          <w:rFonts w:ascii="Palatino Linotype" w:eastAsia="Palatino Linotype" w:hAnsi="Palatino Linotype" w:cs="Palatino Linotype"/>
          <w:i/>
        </w:rPr>
        <w:lastRenderedPageBreak/>
        <w:t>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5D6D11DB" w14:textId="77777777" w:rsidR="00833CC6" w:rsidRDefault="00833CC6" w:rsidP="00833CC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C52EDD4" w14:textId="77777777" w:rsidR="00833CC6" w:rsidRDefault="00833CC6" w:rsidP="00833CC6">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47AADBD" w14:textId="77777777" w:rsidR="00833CC6" w:rsidRDefault="00833CC6" w:rsidP="00833CC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Ahora bien, resulta procedente la interposición del recurso revisión, según lo aducido por el recurrente en su acto impugnado como en sus motivos de inconformidad, de acuerdo al artículo 179 fracción V de la Ley de Transparencia y Acceso a la Información Pública del Estado de México y Municipios; que a la letra dice:</w:t>
      </w:r>
    </w:p>
    <w:p w14:paraId="01680FB2" w14:textId="77777777" w:rsidR="00833CC6" w:rsidRDefault="00833CC6" w:rsidP="00833CC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14:paraId="102EBF96" w14:textId="77777777" w:rsidR="00833CC6" w:rsidRDefault="00833CC6" w:rsidP="00833CC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4"/>
          <w:szCs w:val="24"/>
        </w:rPr>
        <w:t>…</w:t>
      </w:r>
    </w:p>
    <w:p w14:paraId="6C789F81" w14:textId="77777777" w:rsidR="00833CC6" w:rsidRDefault="00833CC6" w:rsidP="00833CC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rPr>
        <w:t>IV. La declaración de incompetencia por el sujeto obligado;</w:t>
      </w:r>
      <w:r>
        <w:rPr>
          <w:rFonts w:ascii="Palatino Linotype" w:eastAsia="Palatino Linotype" w:hAnsi="Palatino Linotype" w:cs="Palatino Linotype"/>
          <w:i/>
          <w:color w:val="000000"/>
        </w:rPr>
        <w:t>” (Sic)</w:t>
      </w:r>
    </w:p>
    <w:p w14:paraId="12846269" w14:textId="77777777" w:rsidR="00BB24B1" w:rsidRDefault="00117686" w:rsidP="00BB24B1">
      <w:pPr>
        <w:pStyle w:val="NormalWeb"/>
        <w:spacing w:before="240" w:beforeAutospacing="0" w:after="240" w:afterAutospacing="0" w:line="360" w:lineRule="auto"/>
        <w:ind w:right="51"/>
        <w:jc w:val="both"/>
      </w:pPr>
      <w:r w:rsidRPr="00E32E9A">
        <w:rPr>
          <w:rFonts w:ascii="Palatino Linotype" w:hAnsi="Palatino Linotype"/>
          <w:b/>
        </w:rPr>
        <w:t xml:space="preserve">TERCERO. </w:t>
      </w:r>
      <w:r w:rsidRPr="00E32E9A">
        <w:rPr>
          <w:rFonts w:ascii="Palatino Linotype" w:hAnsi="Palatino Linotype" w:cs="Arial"/>
          <w:b/>
        </w:rPr>
        <w:t>ANÁLISIS DE LAS CAUSALES DE SOBRESEIMIENTO.</w:t>
      </w:r>
      <w:r>
        <w:rPr>
          <w:rFonts w:ascii="Palatino Linotype" w:hAnsi="Palatino Linotype" w:cs="Arial"/>
          <w:b/>
        </w:rPr>
        <w:t xml:space="preserve"> </w:t>
      </w:r>
      <w:r w:rsidR="00BB24B1">
        <w:rPr>
          <w:rFonts w:ascii="Palatino Linotype" w:hAnsi="Palatino Linotype"/>
          <w:color w:val="000000"/>
        </w:rPr>
        <w:t xml:space="preserve">De manera preliminar en el caso concreto conviene analizar si se actualiza alguna de las causales de sobreseimiento del recurso de revisión, derivado del contenido de lo entregado por el </w:t>
      </w:r>
      <w:r w:rsidR="00BB24B1">
        <w:rPr>
          <w:rFonts w:ascii="Palatino Linotype" w:hAnsi="Palatino Linotype"/>
          <w:b/>
          <w:bCs/>
          <w:color w:val="000000"/>
        </w:rPr>
        <w:t>Sujeto Obligado</w:t>
      </w:r>
      <w:r w:rsidR="00BB24B1">
        <w:rPr>
          <w:rFonts w:ascii="Palatino Linotype" w:hAnsi="Palatino Linotype"/>
          <w:color w:val="000000"/>
        </w:rPr>
        <w:t xml:space="preserve"> como parte de sus manifestaciones.</w:t>
      </w:r>
    </w:p>
    <w:p w14:paraId="11060586" w14:textId="77777777" w:rsidR="00117686" w:rsidRPr="00DE5F2F" w:rsidRDefault="00117686" w:rsidP="00117686">
      <w:pPr>
        <w:spacing w:before="240" w:after="240" w:line="360" w:lineRule="auto"/>
        <w:jc w:val="both"/>
        <w:rPr>
          <w:rFonts w:ascii="Palatino Linotype" w:hAnsi="Palatino Linotype"/>
          <w:sz w:val="28"/>
          <w:shd w:val="clear" w:color="auto" w:fill="FFFFFF"/>
        </w:rPr>
      </w:pPr>
      <w:r>
        <w:rPr>
          <w:rFonts w:ascii="Palatino Linotype" w:hAnsi="Palatino Linotype" w:cs="Arial"/>
        </w:rPr>
        <w:t>Del análisis de la solicitud de información motivo del Recurso de Revisión que ahora se resuelve, se advierte que la parte solicitante requirió lo siguiente:</w:t>
      </w:r>
    </w:p>
    <w:p w14:paraId="76DF5FBB" w14:textId="77777777" w:rsidR="00117686" w:rsidRDefault="00117686" w:rsidP="00117686">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Denunciar al Jefe de la Unidad de Apoyo Administrativo de la Comisión de Conciliación y Arbitraje Médico del Estado de México. </w:t>
      </w:r>
    </w:p>
    <w:p w14:paraId="0DE574E7" w14:textId="463F5DFC" w:rsidR="00833CC6" w:rsidRPr="00512EB1" w:rsidRDefault="00117686" w:rsidP="00512EB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BB4D75">
        <w:rPr>
          <w:rFonts w:ascii="Palatino Linotype" w:eastAsia="Palatino Linotype" w:hAnsi="Palatino Linotype" w:cs="Palatino Linotype"/>
          <w:color w:val="000000"/>
          <w:sz w:val="24"/>
          <w:szCs w:val="24"/>
        </w:rPr>
        <w:t>¿Podrían hacer una investigación profunda y confidencial?</w:t>
      </w:r>
    </w:p>
    <w:p w14:paraId="120E711E" w14:textId="5DB0E916" w:rsidR="00117686" w:rsidRDefault="00117686" w:rsidP="00FF6AB3">
      <w:pPr>
        <w:pStyle w:val="Prrafodelista"/>
        <w:autoSpaceDE w:val="0"/>
        <w:autoSpaceDN w:val="0"/>
        <w:adjustRightInd w:val="0"/>
        <w:spacing w:before="240" w:after="160" w:line="360" w:lineRule="auto"/>
        <w:ind w:left="0"/>
        <w:jc w:val="both"/>
        <w:rPr>
          <w:rFonts w:ascii="Palatino Linotype" w:hAnsi="Palatino Linotype"/>
          <w:color w:val="000000" w:themeColor="text1"/>
        </w:rPr>
      </w:pPr>
      <w:r w:rsidRPr="00A22485">
        <w:rPr>
          <w:rFonts w:ascii="Palatino Linotype" w:hAnsi="Palatino Linotype"/>
          <w:color w:val="000000"/>
          <w:lang w:val="es-ES_tradnl"/>
        </w:rPr>
        <w:t xml:space="preserve">Ahora bien, en respuesta al requerimiento formulado por el particular, EL </w:t>
      </w:r>
      <w:r w:rsidRPr="00A22485">
        <w:rPr>
          <w:rFonts w:ascii="Palatino Linotype" w:hAnsi="Palatino Linotype"/>
          <w:b/>
          <w:color w:val="000000"/>
          <w:lang w:val="es-ES_tradnl"/>
        </w:rPr>
        <w:t xml:space="preserve">SUJETO </w:t>
      </w:r>
      <w:r w:rsidRPr="007E151B">
        <w:rPr>
          <w:rFonts w:ascii="Palatino Linotype" w:hAnsi="Palatino Linotype"/>
          <w:b/>
          <w:color w:val="000000"/>
          <w:lang w:val="es-ES_tradnl"/>
        </w:rPr>
        <w:t xml:space="preserve">OBLIGADO </w:t>
      </w:r>
      <w:r w:rsidRPr="007E151B">
        <w:rPr>
          <w:rStyle w:val="Hipervnculo"/>
          <w:rFonts w:ascii="Palatino Linotype" w:hAnsi="Palatino Linotype" w:cs="Arial"/>
          <w:bCs/>
          <w:color w:val="000000" w:themeColor="text1"/>
        </w:rPr>
        <w:t>dio respuesta a</w:t>
      </w:r>
      <w:r w:rsidR="00FF6AB3">
        <w:rPr>
          <w:rStyle w:val="Hipervnculo"/>
          <w:rFonts w:ascii="Palatino Linotype" w:hAnsi="Palatino Linotype" w:cs="Arial"/>
          <w:bCs/>
          <w:color w:val="000000" w:themeColor="text1"/>
        </w:rPr>
        <w:t xml:space="preserve"> la solicitud de información, mediante o</w:t>
      </w:r>
      <w:r w:rsidR="0043129D" w:rsidRPr="00873F24">
        <w:rPr>
          <w:rFonts w:ascii="Palatino Linotype" w:hAnsi="Palatino Linotype"/>
          <w:color w:val="000000" w:themeColor="text1"/>
        </w:rPr>
        <w:t xml:space="preserve">ficio de fecha </w:t>
      </w:r>
      <w:r w:rsidR="0043129D" w:rsidRPr="00873F24">
        <w:rPr>
          <w:rFonts w:ascii="Palatino Linotype" w:hAnsi="Palatino Linotype"/>
          <w:color w:val="000000" w:themeColor="text1"/>
        </w:rPr>
        <w:lastRenderedPageBreak/>
        <w:t xml:space="preserve">catorce de diciembre de dos mil veintiuno, signado por la Lcda. Claudia Pineda </w:t>
      </w:r>
      <w:r w:rsidR="00873F24" w:rsidRPr="00873F24">
        <w:rPr>
          <w:rFonts w:ascii="Palatino Linotype" w:hAnsi="Palatino Linotype"/>
          <w:color w:val="000000" w:themeColor="text1"/>
        </w:rPr>
        <w:t>Guzmán</w:t>
      </w:r>
      <w:r w:rsidR="0043129D" w:rsidRPr="00873F24">
        <w:rPr>
          <w:rFonts w:ascii="Palatino Linotype" w:hAnsi="Palatino Linotype"/>
          <w:color w:val="000000" w:themeColor="text1"/>
        </w:rPr>
        <w:t>, Titular de la Unidad de Trans</w:t>
      </w:r>
      <w:r w:rsidR="00FF6AB3">
        <w:rPr>
          <w:rFonts w:ascii="Palatino Linotype" w:hAnsi="Palatino Linotype"/>
          <w:color w:val="000000" w:themeColor="text1"/>
        </w:rPr>
        <w:t xml:space="preserve">parencia en el que menciona: </w:t>
      </w:r>
    </w:p>
    <w:p w14:paraId="66EACE33" w14:textId="68BBC812" w:rsidR="00FF6AB3" w:rsidRDefault="00FF6AB3" w:rsidP="00FF6AB3">
      <w:pPr>
        <w:pStyle w:val="Prrafodelista"/>
        <w:autoSpaceDE w:val="0"/>
        <w:autoSpaceDN w:val="0"/>
        <w:adjustRightInd w:val="0"/>
        <w:spacing w:before="240" w:after="160" w:line="360" w:lineRule="auto"/>
        <w:ind w:left="0"/>
        <w:jc w:val="both"/>
        <w:rPr>
          <w:rFonts w:ascii="Palatino Linotype" w:hAnsi="Palatino Linotype"/>
          <w:color w:val="000000" w:themeColor="text1"/>
        </w:rPr>
      </w:pPr>
      <w:r>
        <w:rPr>
          <w:noProof/>
          <w:lang w:val="es-MX" w:eastAsia="es-MX"/>
        </w:rPr>
        <w:drawing>
          <wp:inline distT="0" distB="0" distL="0" distR="0" wp14:anchorId="06F7507B" wp14:editId="553B5621">
            <wp:extent cx="5612082" cy="5764696"/>
            <wp:effectExtent l="0" t="0" r="825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4556" cy="5777510"/>
                    </a:xfrm>
                    <a:prstGeom prst="rect">
                      <a:avLst/>
                    </a:prstGeom>
                  </pic:spPr>
                </pic:pic>
              </a:graphicData>
            </a:graphic>
          </wp:inline>
        </w:drawing>
      </w:r>
    </w:p>
    <w:p w14:paraId="2368B0B9" w14:textId="2ED84608" w:rsidR="00FF6AB3" w:rsidRDefault="00FF6AB3" w:rsidP="00FF6AB3">
      <w:pPr>
        <w:pStyle w:val="Prrafodelista"/>
        <w:autoSpaceDE w:val="0"/>
        <w:autoSpaceDN w:val="0"/>
        <w:adjustRightInd w:val="0"/>
        <w:spacing w:before="240" w:after="160" w:line="360" w:lineRule="auto"/>
        <w:ind w:left="0"/>
        <w:jc w:val="both"/>
        <w:rPr>
          <w:rFonts w:ascii="Palatino Linotype" w:hAnsi="Palatino Linotype"/>
          <w:color w:val="000000" w:themeColor="text1"/>
        </w:rPr>
      </w:pPr>
      <w:r>
        <w:rPr>
          <w:noProof/>
          <w:lang w:val="es-MX" w:eastAsia="es-MX"/>
        </w:rPr>
        <w:lastRenderedPageBreak/>
        <mc:AlternateContent>
          <mc:Choice Requires="wps">
            <w:drawing>
              <wp:anchor distT="0" distB="0" distL="114300" distR="114300" simplePos="0" relativeHeight="251660288" behindDoc="0" locked="0" layoutInCell="1" allowOverlap="1" wp14:anchorId="3A036252" wp14:editId="66B3828B">
                <wp:simplePos x="0" y="0"/>
                <wp:positionH relativeFrom="column">
                  <wp:posOffset>422662</wp:posOffset>
                </wp:positionH>
                <wp:positionV relativeFrom="paragraph">
                  <wp:posOffset>2335364</wp:posOffset>
                </wp:positionV>
                <wp:extent cx="5224006" cy="2671639"/>
                <wp:effectExtent l="0" t="0" r="15240" b="14605"/>
                <wp:wrapNone/>
                <wp:docPr id="13" name="Rectángulo 13"/>
                <wp:cNvGraphicFramePr/>
                <a:graphic xmlns:a="http://schemas.openxmlformats.org/drawingml/2006/main">
                  <a:graphicData uri="http://schemas.microsoft.com/office/word/2010/wordprocessingShape">
                    <wps:wsp>
                      <wps:cNvSpPr/>
                      <wps:spPr>
                        <a:xfrm>
                          <a:off x="0" y="0"/>
                          <a:ext cx="5224006" cy="26716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780D3" id="Rectángulo 13" o:spid="_x0000_s1026" style="position:absolute;margin-left:33.3pt;margin-top:183.9pt;width:411.35pt;height:2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" filled="f" strokecolor="red" strokeweight="1pt"/>
            </w:pict>
          </mc:Fallback>
        </mc:AlternateContent>
      </w:r>
      <w:r>
        <w:rPr>
          <w:noProof/>
          <w:lang w:val="es-MX" w:eastAsia="es-MX"/>
        </w:rPr>
        <w:drawing>
          <wp:inline distT="0" distB="0" distL="0" distR="0" wp14:anchorId="5C613A11" wp14:editId="1D03E5EE">
            <wp:extent cx="5612130" cy="7112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112000"/>
                    </a:xfrm>
                    <a:prstGeom prst="rect">
                      <a:avLst/>
                    </a:prstGeom>
                  </pic:spPr>
                </pic:pic>
              </a:graphicData>
            </a:graphic>
          </wp:inline>
        </w:drawing>
      </w:r>
    </w:p>
    <w:p w14:paraId="52F9E099" w14:textId="20E67C75" w:rsidR="00873F24" w:rsidRDefault="00873F24" w:rsidP="00873F24">
      <w:pPr>
        <w:spacing w:before="240" w:after="240" w:line="360" w:lineRule="auto"/>
        <w:jc w:val="both"/>
        <w:rPr>
          <w:rFonts w:ascii="Palatino Linotype" w:eastAsia="Palatino Linotype" w:hAnsi="Palatino Linotype" w:cs="Palatino Linotype"/>
          <w:i/>
          <w:color w:val="000000"/>
          <w:sz w:val="24"/>
          <w:szCs w:val="24"/>
        </w:rPr>
      </w:pPr>
      <w:r w:rsidRPr="007E151B">
        <w:rPr>
          <w:rFonts w:ascii="Palatino Linotype" w:eastAsia="Palatino Linotype" w:hAnsi="Palatino Linotype" w:cs="Palatino Linotype"/>
          <w:sz w:val="24"/>
          <w:szCs w:val="24"/>
        </w:rPr>
        <w:lastRenderedPageBreak/>
        <w:t>D</w:t>
      </w:r>
      <w:r w:rsidR="00FF6AB3">
        <w:rPr>
          <w:rFonts w:ascii="Palatino Linotype" w:eastAsia="Palatino Linotype" w:hAnsi="Palatino Linotype" w:cs="Palatino Linotype"/>
          <w:sz w:val="24"/>
          <w:szCs w:val="24"/>
        </w:rPr>
        <w:t>erivado de dicha respuesta el</w:t>
      </w:r>
      <w:r w:rsidRPr="007E151B">
        <w:rPr>
          <w:rFonts w:ascii="Palatino Linotype" w:eastAsia="Palatino Linotype" w:hAnsi="Palatino Linotype" w:cs="Palatino Linotype"/>
          <w:sz w:val="24"/>
          <w:szCs w:val="24"/>
        </w:rPr>
        <w:t xml:space="preserve"> solicitante se inconformó, en lo medular </w:t>
      </w:r>
      <w:r>
        <w:rPr>
          <w:rFonts w:ascii="Palatino Linotype" w:eastAsia="Palatino Linotype" w:hAnsi="Palatino Linotype" w:cs="Palatino Linotype"/>
          <w:sz w:val="24"/>
          <w:szCs w:val="24"/>
        </w:rPr>
        <w:t xml:space="preserve">por la declaración de incompetencia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p>
    <w:p w14:paraId="392CA63C" w14:textId="79F9FE3B" w:rsidR="0026300D" w:rsidRDefault="00873F24" w:rsidP="00BC2DAF">
      <w:pPr>
        <w:spacing w:line="360" w:lineRule="auto"/>
        <w:jc w:val="both"/>
        <w:rPr>
          <w:rFonts w:ascii="Palatino Linotype" w:hAnsi="Palatino Linotype" w:cs="Arial"/>
          <w:color w:val="000000" w:themeColor="text1"/>
          <w:sz w:val="24"/>
          <w:szCs w:val="24"/>
        </w:rPr>
      </w:pPr>
      <w:r w:rsidRPr="00FE4EFD">
        <w:rPr>
          <w:rFonts w:ascii="Palatino Linotype" w:eastAsia="Palatino Linotype" w:hAnsi="Palatino Linotype" w:cs="Palatino Linotype"/>
          <w:sz w:val="24"/>
          <w:szCs w:val="24"/>
        </w:rPr>
        <w:t xml:space="preserve">Ante la interposición del Recurso de Revisión el </w:t>
      </w:r>
      <w:r w:rsidRPr="00FE4EFD">
        <w:rPr>
          <w:rFonts w:ascii="Palatino Linotype" w:eastAsia="Palatino Linotype" w:hAnsi="Palatino Linotype" w:cs="Palatino Linotype"/>
          <w:b/>
          <w:sz w:val="24"/>
          <w:szCs w:val="24"/>
        </w:rPr>
        <w:t>SUJETO OBLIGADO</w:t>
      </w:r>
      <w:r w:rsidRPr="00FE4EFD">
        <w:rPr>
          <w:rFonts w:ascii="Palatino Linotype" w:eastAsia="Palatino Linotype" w:hAnsi="Palatino Linotype" w:cs="Palatino Linotype"/>
          <w:sz w:val="24"/>
          <w:szCs w:val="24"/>
        </w:rPr>
        <w:t xml:space="preserve"> r</w:t>
      </w:r>
      <w:r>
        <w:rPr>
          <w:rFonts w:ascii="Palatino Linotype" w:eastAsia="Palatino Linotype" w:hAnsi="Palatino Linotype" w:cs="Palatino Linotype"/>
          <w:sz w:val="24"/>
          <w:szCs w:val="24"/>
        </w:rPr>
        <w:t>i</w:t>
      </w:r>
      <w:r w:rsidRPr="00FE4EFD">
        <w:rPr>
          <w:rFonts w:ascii="Palatino Linotype" w:eastAsia="Palatino Linotype" w:hAnsi="Palatino Linotype" w:cs="Palatino Linotype"/>
          <w:sz w:val="24"/>
          <w:szCs w:val="24"/>
        </w:rPr>
        <w:t>ndi</w:t>
      </w:r>
      <w:r>
        <w:rPr>
          <w:rFonts w:ascii="Palatino Linotype" w:eastAsia="Palatino Linotype" w:hAnsi="Palatino Linotype" w:cs="Palatino Linotype"/>
          <w:sz w:val="24"/>
          <w:szCs w:val="24"/>
        </w:rPr>
        <w:t>ó</w:t>
      </w:r>
      <w:r w:rsidRPr="00FE4EFD">
        <w:rPr>
          <w:rFonts w:ascii="Palatino Linotype" w:eastAsia="Palatino Linotype" w:hAnsi="Palatino Linotype" w:cs="Palatino Linotype"/>
          <w:sz w:val="24"/>
          <w:szCs w:val="24"/>
        </w:rPr>
        <w:t xml:space="preserve"> su informe justificado</w:t>
      </w:r>
      <w:r w:rsidR="00FF6AB3">
        <w:rPr>
          <w:rFonts w:ascii="Palatino Linotype" w:eastAsia="Palatino Linotype" w:hAnsi="Palatino Linotype" w:cs="Palatino Linotype"/>
          <w:sz w:val="24"/>
          <w:szCs w:val="24"/>
        </w:rPr>
        <w:t xml:space="preserve"> en el cual se señala que en términos generales </w:t>
      </w:r>
      <w:r w:rsidR="00BC2DAF">
        <w:rPr>
          <w:rFonts w:ascii="Palatino Linotype" w:hAnsi="Palatino Linotype" w:cs="Arial"/>
          <w:color w:val="000000" w:themeColor="text1"/>
          <w:sz w:val="24"/>
          <w:szCs w:val="24"/>
        </w:rPr>
        <w:t xml:space="preserve">que no fue vulnerado su derecho de acceso a la </w:t>
      </w:r>
      <w:r w:rsidR="00BB24B1">
        <w:rPr>
          <w:rFonts w:ascii="Palatino Linotype" w:hAnsi="Palatino Linotype" w:cs="Arial"/>
          <w:color w:val="000000" w:themeColor="text1"/>
          <w:sz w:val="24"/>
          <w:szCs w:val="24"/>
        </w:rPr>
        <w:t>información, ya que en respuesta a la solicitud en todo momento se privilegió el principio de máxima publicidad, atendiendo al requerimiento hecho</w:t>
      </w:r>
      <w:r w:rsidR="004D7373">
        <w:rPr>
          <w:rFonts w:ascii="Palatino Linotype" w:hAnsi="Palatino Linotype" w:cs="Arial"/>
          <w:color w:val="000000" w:themeColor="text1"/>
          <w:sz w:val="24"/>
          <w:szCs w:val="24"/>
        </w:rPr>
        <w:t xml:space="preserve"> </w:t>
      </w:r>
      <w:r w:rsidR="00BB24B1">
        <w:rPr>
          <w:rFonts w:ascii="Palatino Linotype" w:hAnsi="Palatino Linotype" w:cs="Arial"/>
          <w:color w:val="000000" w:themeColor="text1"/>
          <w:sz w:val="24"/>
          <w:szCs w:val="24"/>
        </w:rPr>
        <w:t xml:space="preserve">a ese Organismo, sin negar en ningún momento la información solicitada por el particular, ya que se le informó de la incompetencia de ese Defensoría, toda vez que la naturaleza jurídica de ese organismo es conocer de quejas en contra de actos u omisiones de naturaleza administrativa, provenientes de cualquier autoridad o servidor público estatal o municipal, en este sentido se le orientó para que dirigiera su solicitud al sujeto obligado competente, sin embargo, también se le refirió que esa defensoría cuenta con una visitaduría adjunta de género, a la cual podía acudir de manera personal a presentar su queja, la cual podía ser de manera </w:t>
      </w:r>
      <w:r w:rsidR="004675DC">
        <w:rPr>
          <w:rFonts w:ascii="Palatino Linotype" w:hAnsi="Palatino Linotype" w:cs="Arial"/>
          <w:color w:val="000000" w:themeColor="text1"/>
          <w:sz w:val="24"/>
          <w:szCs w:val="24"/>
        </w:rPr>
        <w:t xml:space="preserve">anónima, esto con la finalidad de poder realizar las investigaciones necesarias y así poder darle seguimiento a su asunto, o bien brindarle acompañamiento y asesoría ante la Fiscalía General de Justicia del Estado de México. </w:t>
      </w:r>
    </w:p>
    <w:p w14:paraId="3B884DAE" w14:textId="77777777" w:rsidR="004675DC" w:rsidRDefault="004675DC" w:rsidP="00BC2DAF">
      <w:pPr>
        <w:spacing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Asimismo, agrega y le hace del conocimiento al recurrente el contenido del Capítulo II de la Ley de la Comisión de Derechos Humanos del Estado de México, en el cual se establecen las disposiciones que regulan la presentación de una queja ante la Comisión de Derechos Humanos, tal como se advierte a continuación: </w:t>
      </w:r>
    </w:p>
    <w:p w14:paraId="4BBB8180" w14:textId="77777777" w:rsidR="004675DC" w:rsidRDefault="004675DC" w:rsidP="00BC2DAF">
      <w:pPr>
        <w:spacing w:line="360" w:lineRule="auto"/>
        <w:jc w:val="both"/>
        <w:rPr>
          <w:rFonts w:ascii="Palatino Linotype" w:hAnsi="Palatino Linotype" w:cs="Arial"/>
          <w:color w:val="000000" w:themeColor="text1"/>
          <w:sz w:val="24"/>
          <w:szCs w:val="24"/>
        </w:rPr>
      </w:pPr>
      <w:r>
        <w:rPr>
          <w:noProof/>
        </w:rPr>
        <w:lastRenderedPageBreak/>
        <w:drawing>
          <wp:inline distT="0" distB="0" distL="0" distR="0" wp14:anchorId="4608A2A6" wp14:editId="545493EB">
            <wp:extent cx="5343525" cy="4962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3525" cy="4962525"/>
                    </a:xfrm>
                    <a:prstGeom prst="rect">
                      <a:avLst/>
                    </a:prstGeom>
                  </pic:spPr>
                </pic:pic>
              </a:graphicData>
            </a:graphic>
          </wp:inline>
        </w:drawing>
      </w:r>
      <w:r>
        <w:rPr>
          <w:rFonts w:ascii="Palatino Linotype" w:hAnsi="Palatino Linotype" w:cs="Arial"/>
          <w:color w:val="000000" w:themeColor="text1"/>
          <w:sz w:val="24"/>
          <w:szCs w:val="24"/>
        </w:rPr>
        <w:t>}</w:t>
      </w:r>
    </w:p>
    <w:p w14:paraId="264987B2" w14:textId="427F360C" w:rsidR="00BE6174" w:rsidRPr="004675DC" w:rsidRDefault="004675DC" w:rsidP="004675DC">
      <w:pPr>
        <w:spacing w:line="360" w:lineRule="auto"/>
        <w:jc w:val="both"/>
        <w:rPr>
          <w:rFonts w:ascii="Palatino Linotype" w:eastAsia="Times New Roman" w:hAnsi="Palatino Linotype" w:cs="Arial"/>
          <w:color w:val="000000" w:themeColor="text1"/>
          <w:sz w:val="24"/>
          <w:szCs w:val="24"/>
        </w:rPr>
      </w:pPr>
      <w:r>
        <w:rPr>
          <w:noProof/>
        </w:rPr>
        <w:lastRenderedPageBreak/>
        <w:drawing>
          <wp:inline distT="0" distB="0" distL="0" distR="0" wp14:anchorId="23C8D3E4" wp14:editId="6A75A6CB">
            <wp:extent cx="5086350" cy="5915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6350" cy="5915025"/>
                    </a:xfrm>
                    <a:prstGeom prst="rect">
                      <a:avLst/>
                    </a:prstGeom>
                  </pic:spPr>
                </pic:pic>
              </a:graphicData>
            </a:graphic>
          </wp:inline>
        </w:drawing>
      </w:r>
      <w:r>
        <w:rPr>
          <w:rFonts w:ascii="Palatino Linotype" w:hAnsi="Palatino Linotype" w:cs="Arial"/>
          <w:color w:val="000000" w:themeColor="text1"/>
          <w:sz w:val="24"/>
          <w:szCs w:val="24"/>
        </w:rPr>
        <w:t xml:space="preserve">  </w:t>
      </w:r>
    </w:p>
    <w:p w14:paraId="069B16BF" w14:textId="54ACEA1C" w:rsidR="0030160A" w:rsidRDefault="00494D35" w:rsidP="00494D35">
      <w:pPr>
        <w:pStyle w:val="NormalWeb"/>
        <w:tabs>
          <w:tab w:val="left" w:pos="3261"/>
        </w:tabs>
        <w:spacing w:before="240" w:beforeAutospacing="0" w:after="240" w:afterAutospacing="0" w:line="360" w:lineRule="auto"/>
        <w:ind w:right="51"/>
        <w:jc w:val="both"/>
        <w:rPr>
          <w:rFonts w:ascii="Palatino Linotype" w:hAnsi="Palatino Linotype"/>
          <w:color w:val="FF0000"/>
        </w:rPr>
      </w:pPr>
      <w:r>
        <w:rPr>
          <w:rFonts w:ascii="Palatino Linotype" w:hAnsi="Palatino Linotype"/>
          <w:color w:val="000000"/>
        </w:rPr>
        <w:t>Por lo que con dicha información se estima que se colmó el derecho de acceso a la información ejercido por el particular toda vez que, si bien en efecto es incompetente para la investigación del delito de acoso sexual,</w:t>
      </w:r>
      <w:r w:rsidR="00DA6ECD">
        <w:rPr>
          <w:rFonts w:ascii="Palatino Linotype" w:hAnsi="Palatino Linotype"/>
          <w:color w:val="000000"/>
        </w:rPr>
        <w:t xml:space="preserve"> toda vez que en efecto la </w:t>
      </w:r>
      <w:r w:rsidR="000754FC">
        <w:rPr>
          <w:rFonts w:ascii="Palatino Linotype" w:hAnsi="Palatino Linotype"/>
          <w:color w:val="000000"/>
        </w:rPr>
        <w:t>F</w:t>
      </w:r>
      <w:r w:rsidR="00DA6ECD">
        <w:rPr>
          <w:rFonts w:ascii="Palatino Linotype" w:hAnsi="Palatino Linotype"/>
          <w:color w:val="000000"/>
        </w:rPr>
        <w:t xml:space="preserve">iscalía </w:t>
      </w:r>
      <w:r w:rsidR="000754FC">
        <w:rPr>
          <w:rFonts w:ascii="Palatino Linotype" w:hAnsi="Palatino Linotype"/>
          <w:color w:val="000000"/>
        </w:rPr>
        <w:lastRenderedPageBreak/>
        <w:t xml:space="preserve">General de Justicia del Estado de México </w:t>
      </w:r>
      <w:r w:rsidR="00DA6ECD" w:rsidRPr="00357DF2">
        <w:rPr>
          <w:rFonts w:ascii="Palatino Linotype" w:hAnsi="Palatino Linotype"/>
          <w:color w:val="000000" w:themeColor="text1"/>
        </w:rPr>
        <w:t xml:space="preserve">tiene entre sus </w:t>
      </w:r>
      <w:r w:rsidR="000754FC" w:rsidRPr="00357DF2">
        <w:rPr>
          <w:rFonts w:ascii="Palatino Linotype" w:hAnsi="Palatino Linotype"/>
          <w:color w:val="000000" w:themeColor="text1"/>
        </w:rPr>
        <w:t>atribuciones</w:t>
      </w:r>
      <w:r w:rsidR="00357DF2">
        <w:rPr>
          <w:rFonts w:ascii="Palatino Linotype" w:hAnsi="Palatino Linotype"/>
          <w:color w:val="000000" w:themeColor="text1"/>
        </w:rPr>
        <w:t xml:space="preserve">, </w:t>
      </w:r>
      <w:r w:rsidR="00C82A12" w:rsidRPr="00357DF2">
        <w:rPr>
          <w:rFonts w:ascii="Palatino Linotype" w:hAnsi="Palatino Linotype"/>
          <w:color w:val="000000" w:themeColor="text1"/>
        </w:rPr>
        <w:t xml:space="preserve">atender de las denuncias de hechos que se puedan </w:t>
      </w:r>
      <w:r w:rsidR="00357DF2" w:rsidRPr="00357DF2">
        <w:rPr>
          <w:rFonts w:ascii="Palatino Linotype" w:hAnsi="Palatino Linotype"/>
          <w:color w:val="000000" w:themeColor="text1"/>
        </w:rPr>
        <w:t>constituir</w:t>
      </w:r>
      <w:r w:rsidR="00C82A12" w:rsidRPr="00357DF2">
        <w:rPr>
          <w:rFonts w:ascii="Palatino Linotype" w:hAnsi="Palatino Linotype"/>
          <w:color w:val="000000" w:themeColor="text1"/>
        </w:rPr>
        <w:t xml:space="preserve"> como una conducta delictuosa relacionada a la violencia de género</w:t>
      </w:r>
      <w:r w:rsidR="00357DF2" w:rsidRPr="00357DF2">
        <w:rPr>
          <w:rFonts w:ascii="Palatino Linotype" w:hAnsi="Palatino Linotype"/>
          <w:color w:val="000000" w:themeColor="text1"/>
        </w:rPr>
        <w:t xml:space="preserve">, de acuerdo a la </w:t>
      </w:r>
      <w:r w:rsidR="00357DF2" w:rsidRPr="00357DF2">
        <w:rPr>
          <w:rFonts w:ascii="Palatino Linotype" w:hAnsi="Palatino Linotype"/>
          <w:b/>
          <w:color w:val="000000" w:themeColor="text1"/>
          <w:u w:val="single"/>
        </w:rPr>
        <w:t xml:space="preserve">Ley </w:t>
      </w:r>
      <w:r w:rsidR="000754FC">
        <w:rPr>
          <w:rFonts w:ascii="Palatino Linotype" w:hAnsi="Palatino Linotype"/>
          <w:b/>
          <w:color w:val="000000" w:themeColor="text1"/>
          <w:u w:val="single"/>
        </w:rPr>
        <w:t>d</w:t>
      </w:r>
      <w:r w:rsidR="00357DF2" w:rsidRPr="00357DF2">
        <w:rPr>
          <w:rFonts w:ascii="Palatino Linotype" w:hAnsi="Palatino Linotype"/>
          <w:b/>
          <w:color w:val="000000" w:themeColor="text1"/>
          <w:u w:val="single"/>
        </w:rPr>
        <w:t xml:space="preserve">e </w:t>
      </w:r>
      <w:r w:rsidR="000754FC">
        <w:rPr>
          <w:rFonts w:ascii="Palatino Linotype" w:hAnsi="Palatino Linotype"/>
          <w:b/>
          <w:color w:val="000000" w:themeColor="text1"/>
          <w:u w:val="single"/>
        </w:rPr>
        <w:t>l</w:t>
      </w:r>
      <w:r w:rsidR="00357DF2" w:rsidRPr="00357DF2">
        <w:rPr>
          <w:rFonts w:ascii="Palatino Linotype" w:hAnsi="Palatino Linotype"/>
          <w:b/>
          <w:color w:val="000000" w:themeColor="text1"/>
          <w:u w:val="single"/>
        </w:rPr>
        <w:t xml:space="preserve">a Fiscalía General </w:t>
      </w:r>
      <w:r w:rsidR="000754FC">
        <w:rPr>
          <w:rFonts w:ascii="Palatino Linotype" w:hAnsi="Palatino Linotype"/>
          <w:b/>
          <w:color w:val="000000" w:themeColor="text1"/>
          <w:u w:val="single"/>
        </w:rPr>
        <w:t>d</w:t>
      </w:r>
      <w:r w:rsidR="00357DF2" w:rsidRPr="00357DF2">
        <w:rPr>
          <w:rFonts w:ascii="Palatino Linotype" w:hAnsi="Palatino Linotype"/>
          <w:b/>
          <w:color w:val="000000" w:themeColor="text1"/>
          <w:u w:val="single"/>
        </w:rPr>
        <w:t>e Justicia Del Estado De México</w:t>
      </w:r>
      <w:r w:rsidR="00357DF2" w:rsidRPr="00357DF2">
        <w:rPr>
          <w:rFonts w:ascii="Palatino Linotype" w:hAnsi="Palatino Linotype"/>
          <w:color w:val="000000" w:themeColor="text1"/>
        </w:rPr>
        <w:t>, tal como se aprecia a continuación:</w:t>
      </w:r>
    </w:p>
    <w:p w14:paraId="34D1FAC9" w14:textId="012C9C03" w:rsidR="0030160A" w:rsidRPr="00C82A12" w:rsidRDefault="0030160A" w:rsidP="00C82A12">
      <w:pPr>
        <w:pStyle w:val="NormalWeb"/>
        <w:tabs>
          <w:tab w:val="left" w:pos="3261"/>
        </w:tabs>
        <w:spacing w:before="240" w:beforeAutospacing="0" w:after="240" w:afterAutospacing="0" w:line="360" w:lineRule="auto"/>
        <w:ind w:left="851" w:right="900"/>
        <w:jc w:val="both"/>
        <w:rPr>
          <w:rFonts w:ascii="Palatino Linotype" w:hAnsi="Palatino Linotype" w:cs="Calibri"/>
          <w:i/>
          <w:sz w:val="22"/>
        </w:rPr>
      </w:pPr>
      <w:r w:rsidRPr="00C82A12">
        <w:rPr>
          <w:rFonts w:ascii="Palatino Linotype" w:hAnsi="Palatino Linotype" w:cs="Calibri"/>
          <w:i/>
          <w:sz w:val="22"/>
        </w:rPr>
        <w:t>Artículo 10. La Fiscalía contará con las atribuciones siguientes:</w:t>
      </w:r>
    </w:p>
    <w:p w14:paraId="3B75B44A" w14:textId="2EAE158C" w:rsidR="0030160A" w:rsidRPr="00C82A12" w:rsidRDefault="00C82A12" w:rsidP="00C82A12">
      <w:pPr>
        <w:pStyle w:val="NormalWeb"/>
        <w:tabs>
          <w:tab w:val="left" w:pos="3261"/>
        </w:tabs>
        <w:spacing w:before="240" w:beforeAutospacing="0" w:after="240" w:afterAutospacing="0" w:line="360" w:lineRule="auto"/>
        <w:ind w:left="851" w:right="900"/>
        <w:jc w:val="both"/>
        <w:rPr>
          <w:rFonts w:ascii="Palatino Linotype" w:hAnsi="Palatino Linotype" w:cs="Calibri"/>
          <w:i/>
          <w:sz w:val="22"/>
        </w:rPr>
      </w:pPr>
      <w:r w:rsidRPr="00C82A12">
        <w:rPr>
          <w:rFonts w:ascii="Palatino Linotype" w:hAnsi="Palatino Linotype" w:cs="Calibri"/>
          <w:i/>
          <w:sz w:val="22"/>
        </w:rPr>
        <w:t xml:space="preserve"> </w:t>
      </w:r>
      <w:r w:rsidR="0030160A" w:rsidRPr="00C82A12">
        <w:rPr>
          <w:rFonts w:ascii="Palatino Linotype" w:hAnsi="Palatino Linotype" w:cs="Calibri"/>
          <w:i/>
          <w:sz w:val="22"/>
        </w:rPr>
        <w:t>(…)</w:t>
      </w:r>
    </w:p>
    <w:p w14:paraId="6A4CCBE3" w14:textId="1E44533C" w:rsidR="00C82A12" w:rsidRPr="000754FC" w:rsidRDefault="0030160A" w:rsidP="000754FC">
      <w:pPr>
        <w:pStyle w:val="NormalWeb"/>
        <w:tabs>
          <w:tab w:val="left" w:pos="3261"/>
        </w:tabs>
        <w:spacing w:before="240" w:beforeAutospacing="0" w:after="240" w:afterAutospacing="0" w:line="360" w:lineRule="auto"/>
        <w:ind w:left="851" w:right="900"/>
        <w:jc w:val="both"/>
        <w:rPr>
          <w:rFonts w:ascii="Palatino Linotype" w:hAnsi="Palatino Linotype" w:cs="Calibri"/>
          <w:i/>
          <w:sz w:val="22"/>
        </w:rPr>
      </w:pPr>
      <w:r w:rsidRPr="00C82A12">
        <w:rPr>
          <w:rFonts w:ascii="Palatino Linotype" w:hAnsi="Palatino Linotype" w:cs="Calibri"/>
          <w:i/>
          <w:sz w:val="22"/>
        </w:rPr>
        <w:t>XIX. Atender de manera oficiosa las denuncias que se presenten por hechos que puedan ser constitutivos de delitos relacionados con la violencia de género.</w:t>
      </w:r>
    </w:p>
    <w:p w14:paraId="76ED3379" w14:textId="089E17DE" w:rsidR="000754FC" w:rsidRDefault="000754FC" w:rsidP="00494D35">
      <w:pPr>
        <w:pStyle w:val="NormalWeb"/>
        <w:tabs>
          <w:tab w:val="left" w:pos="3261"/>
        </w:tabs>
        <w:spacing w:before="240" w:beforeAutospacing="0" w:after="240" w:afterAutospacing="0" w:line="360" w:lineRule="auto"/>
        <w:ind w:right="51"/>
        <w:jc w:val="both"/>
        <w:rPr>
          <w:rFonts w:ascii="Palatino Linotype" w:hAnsi="Palatino Linotype"/>
          <w:color w:val="000000" w:themeColor="text1"/>
        </w:rPr>
      </w:pPr>
      <w:r w:rsidRPr="000754FC">
        <w:rPr>
          <w:rFonts w:ascii="Palatino Linotype" w:hAnsi="Palatino Linotype"/>
          <w:color w:val="000000" w:themeColor="text1"/>
        </w:rPr>
        <w:t>E</w:t>
      </w:r>
      <w:r w:rsidR="00DA6ECD" w:rsidRPr="000754FC">
        <w:rPr>
          <w:rFonts w:ascii="Palatino Linotype" w:hAnsi="Palatino Linotype"/>
          <w:color w:val="000000" w:themeColor="text1"/>
        </w:rPr>
        <w:t>n ese sentido el acoso s</w:t>
      </w:r>
      <w:r w:rsidR="00357DF2" w:rsidRPr="000754FC">
        <w:rPr>
          <w:rFonts w:ascii="Palatino Linotype" w:hAnsi="Palatino Linotype"/>
          <w:color w:val="000000" w:themeColor="text1"/>
        </w:rPr>
        <w:t>exual es considera</w:t>
      </w:r>
      <w:r w:rsidR="00DA6ECD" w:rsidRPr="000754FC">
        <w:rPr>
          <w:rFonts w:ascii="Palatino Linotype" w:hAnsi="Palatino Linotype"/>
          <w:color w:val="000000" w:themeColor="text1"/>
        </w:rPr>
        <w:t xml:space="preserve">do </w:t>
      </w:r>
      <w:r>
        <w:rPr>
          <w:rFonts w:ascii="Palatino Linotype" w:hAnsi="Palatino Linotype"/>
          <w:color w:val="000000" w:themeColor="text1"/>
        </w:rPr>
        <w:t xml:space="preserve">un delito </w:t>
      </w:r>
      <w:r w:rsidR="00DA6ECD" w:rsidRPr="000754FC">
        <w:rPr>
          <w:rFonts w:ascii="Palatino Linotype" w:hAnsi="Palatino Linotype"/>
          <w:color w:val="000000" w:themeColor="text1"/>
        </w:rPr>
        <w:t xml:space="preserve">en términos del </w:t>
      </w:r>
      <w:r>
        <w:rPr>
          <w:rFonts w:ascii="Palatino Linotype" w:hAnsi="Palatino Linotype"/>
          <w:color w:val="000000" w:themeColor="text1"/>
        </w:rPr>
        <w:t>C</w:t>
      </w:r>
      <w:r w:rsidR="00DA6ECD" w:rsidRPr="000754FC">
        <w:rPr>
          <w:rFonts w:ascii="Palatino Linotype" w:hAnsi="Palatino Linotype"/>
          <w:color w:val="000000" w:themeColor="text1"/>
        </w:rPr>
        <w:t xml:space="preserve">ódigo </w:t>
      </w:r>
      <w:r>
        <w:rPr>
          <w:rFonts w:ascii="Palatino Linotype" w:hAnsi="Palatino Linotype"/>
          <w:color w:val="000000" w:themeColor="text1"/>
        </w:rPr>
        <w:t>P</w:t>
      </w:r>
      <w:r w:rsidR="00DA6ECD" w:rsidRPr="000754FC">
        <w:rPr>
          <w:rFonts w:ascii="Palatino Linotype" w:hAnsi="Palatino Linotype"/>
          <w:color w:val="000000" w:themeColor="text1"/>
        </w:rPr>
        <w:t xml:space="preserve">enal </w:t>
      </w:r>
      <w:r w:rsidR="00357DF2" w:rsidRPr="000754FC">
        <w:rPr>
          <w:rFonts w:ascii="Palatino Linotype" w:hAnsi="Palatino Linotype"/>
          <w:color w:val="000000" w:themeColor="text1"/>
        </w:rPr>
        <w:t>del Estado de Méxic</w:t>
      </w:r>
      <w:r>
        <w:rPr>
          <w:rFonts w:ascii="Palatino Linotype" w:hAnsi="Palatino Linotype"/>
          <w:color w:val="000000" w:themeColor="text1"/>
        </w:rPr>
        <w:t>o, como se observa a continuación:</w:t>
      </w:r>
    </w:p>
    <w:p w14:paraId="70A59315" w14:textId="4255BD46" w:rsidR="000754FC" w:rsidRPr="000754FC" w:rsidRDefault="000754FC" w:rsidP="000754FC">
      <w:pPr>
        <w:pStyle w:val="NormalWeb"/>
        <w:tabs>
          <w:tab w:val="left" w:pos="3261"/>
        </w:tabs>
        <w:spacing w:before="240" w:beforeAutospacing="0" w:after="240" w:afterAutospacing="0" w:line="360" w:lineRule="auto"/>
        <w:ind w:left="851" w:right="900"/>
        <w:jc w:val="both"/>
        <w:rPr>
          <w:rFonts w:ascii="Palatino Linotype" w:hAnsi="Palatino Linotype"/>
          <w:i/>
          <w:color w:val="000000" w:themeColor="text1"/>
          <w:sz w:val="22"/>
        </w:rPr>
      </w:pPr>
      <w:r w:rsidRPr="000754FC">
        <w:rPr>
          <w:rFonts w:ascii="Palatino Linotype" w:hAnsi="Palatino Linotype"/>
          <w:i/>
          <w:sz w:val="22"/>
        </w:rPr>
        <w:t>Artículo 269 Bis.- Comete el delito de acoso sexual, quien con fines de lujuria asedie reiteradamente a persona de cualquier sexo, aprovechándose de cualquier circunstancia que produzca desventaja, indefensión o riesgo inminente, para la víctima.</w:t>
      </w:r>
    </w:p>
    <w:p w14:paraId="2D4DB92F" w14:textId="406A1FE0" w:rsidR="00BE6174" w:rsidRDefault="000754FC" w:rsidP="00494D35">
      <w:pPr>
        <w:pStyle w:val="NormalWeb"/>
        <w:tabs>
          <w:tab w:val="left" w:pos="3261"/>
        </w:tabs>
        <w:spacing w:before="240" w:beforeAutospacing="0" w:after="240" w:afterAutospacing="0" w:line="360" w:lineRule="auto"/>
        <w:ind w:right="51"/>
        <w:jc w:val="both"/>
        <w:rPr>
          <w:rFonts w:ascii="Palatino Linotype" w:eastAsia="Palatino Linotype" w:hAnsi="Palatino Linotype" w:cs="Palatino Linotype"/>
        </w:rPr>
      </w:pPr>
      <w:r w:rsidRPr="000754FC">
        <w:rPr>
          <w:rFonts w:ascii="Palatino Linotype" w:hAnsi="Palatino Linotype"/>
          <w:color w:val="000000" w:themeColor="text1"/>
        </w:rPr>
        <w:t>Por lo anterior,</w:t>
      </w:r>
      <w:r>
        <w:rPr>
          <w:rFonts w:ascii="Palatino Linotype" w:hAnsi="Palatino Linotype"/>
          <w:color w:val="FF0000"/>
        </w:rPr>
        <w:t xml:space="preserve"> </w:t>
      </w:r>
      <w:r w:rsidR="00494D35">
        <w:rPr>
          <w:rFonts w:ascii="Palatino Linotype" w:hAnsi="Palatino Linotype"/>
          <w:color w:val="000000"/>
        </w:rPr>
        <w:t xml:space="preserve">también lo es que </w:t>
      </w:r>
      <w:r w:rsidR="00DA6ECD">
        <w:rPr>
          <w:rFonts w:ascii="Palatino Linotype" w:hAnsi="Palatino Linotype"/>
          <w:color w:val="000000"/>
        </w:rPr>
        <w:t xml:space="preserve">el </w:t>
      </w:r>
      <w:r w:rsidRPr="000754FC">
        <w:rPr>
          <w:rFonts w:ascii="Palatino Linotype" w:hAnsi="Palatino Linotype"/>
          <w:b/>
          <w:color w:val="000000"/>
        </w:rPr>
        <w:t>SUJETO OBLIGADO</w:t>
      </w:r>
      <w:r w:rsidR="00DA6ECD">
        <w:rPr>
          <w:rFonts w:ascii="Palatino Linotype" w:hAnsi="Palatino Linotype"/>
          <w:color w:val="000000"/>
        </w:rPr>
        <w:t xml:space="preserve"> </w:t>
      </w:r>
      <w:r w:rsidR="00494D35">
        <w:rPr>
          <w:rFonts w:ascii="Palatino Linotype" w:hAnsi="Palatino Linotype"/>
          <w:color w:val="000000"/>
        </w:rPr>
        <w:t xml:space="preserve">si es competente </w:t>
      </w:r>
      <w:r w:rsidR="00494D35" w:rsidRPr="00494D35">
        <w:rPr>
          <w:rFonts w:ascii="Palatino Linotype" w:hAnsi="Palatino Linotype"/>
          <w:color w:val="000000"/>
        </w:rPr>
        <w:t xml:space="preserve">para conocer </w:t>
      </w:r>
      <w:r w:rsidR="00494D35" w:rsidRPr="00494D35">
        <w:rPr>
          <w:rFonts w:ascii="Palatino Linotype" w:eastAsia="Palatino Linotype" w:hAnsi="Palatino Linotype" w:cs="Palatino Linotype"/>
        </w:rPr>
        <w:t xml:space="preserve">de quejas o iniciar de oficio investigaciones, sobre presuntas violaciones a derechos humanos, </w:t>
      </w:r>
      <w:r w:rsidR="00494D35" w:rsidRPr="00DA6ECD">
        <w:rPr>
          <w:rFonts w:ascii="Palatino Linotype" w:eastAsia="Palatino Linotype" w:hAnsi="Palatino Linotype" w:cs="Palatino Linotype"/>
          <w:b/>
        </w:rPr>
        <w:t>por actos u omisiones de naturaleza administrativa de cualquier autoridad o servidor público estatal o municipal</w:t>
      </w:r>
      <w:r w:rsidR="00494D35" w:rsidRPr="00494D35">
        <w:rPr>
          <w:rFonts w:ascii="Palatino Linotype" w:eastAsia="Palatino Linotype" w:hAnsi="Palatino Linotype" w:cs="Palatino Linotype"/>
        </w:rPr>
        <w:t xml:space="preserve">,  en términos de lo dispuesto por el artículo 13 de la </w:t>
      </w:r>
      <w:r w:rsidR="00BE6174" w:rsidRPr="00494D35">
        <w:rPr>
          <w:rFonts w:ascii="Palatino Linotype" w:eastAsia="Palatino Linotype" w:hAnsi="Palatino Linotype" w:cs="Palatino Linotype"/>
        </w:rPr>
        <w:t>Ley de la Comisión de Derecho</w:t>
      </w:r>
      <w:r w:rsidR="001E63B0">
        <w:rPr>
          <w:rFonts w:ascii="Palatino Linotype" w:eastAsia="Palatino Linotype" w:hAnsi="Palatino Linotype" w:cs="Palatino Linotype"/>
        </w:rPr>
        <w:t xml:space="preserve">s Humanos del Estado de México. </w:t>
      </w:r>
    </w:p>
    <w:p w14:paraId="689104F8" w14:textId="72AF98C9" w:rsidR="00FD5478" w:rsidRPr="00360EB4" w:rsidRDefault="000754FC" w:rsidP="00360EB4">
      <w:pPr>
        <w:pStyle w:val="NormalWeb"/>
        <w:tabs>
          <w:tab w:val="left" w:pos="3261"/>
        </w:tabs>
        <w:spacing w:before="240" w:beforeAutospacing="0" w:after="240" w:afterAutospacing="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61312" behindDoc="0" locked="0" layoutInCell="1" allowOverlap="1" wp14:anchorId="54349394" wp14:editId="22CAF2D7">
                <wp:simplePos x="0" y="0"/>
                <wp:positionH relativeFrom="column">
                  <wp:posOffset>-99060</wp:posOffset>
                </wp:positionH>
                <wp:positionV relativeFrom="paragraph">
                  <wp:posOffset>3308985</wp:posOffset>
                </wp:positionV>
                <wp:extent cx="5657850" cy="37147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57850" cy="3714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9B878"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8pt,260.55pt" to="437.7pt,5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" strokecolor="#4472c4 [3204]" strokeweight=".5pt">
                <v:stroke joinstyle="miter"/>
              </v:line>
            </w:pict>
          </mc:Fallback>
        </mc:AlternateContent>
      </w:r>
      <w:r w:rsidR="00360EB4">
        <w:rPr>
          <w:rFonts w:ascii="Palatino Linotype" w:eastAsia="Palatino Linotype" w:hAnsi="Palatino Linotype" w:cs="Palatino Linotype"/>
        </w:rPr>
        <w:t xml:space="preserve">Como se advierte del análisis a las disposiciones legales antes mencionadas se advierte que las quejas que la Comisión de Derechos Humanos conoce pueden ser presentadas de manera física verbal o escrita, para lo cual no pasa inadvertido que el </w:t>
      </w:r>
      <w:r w:rsidRPr="000754FC">
        <w:rPr>
          <w:rFonts w:ascii="Palatino Linotype" w:eastAsia="Palatino Linotype" w:hAnsi="Palatino Linotype" w:cs="Palatino Linotype"/>
          <w:b/>
        </w:rPr>
        <w:t>SUJETO OBLIGADO</w:t>
      </w:r>
      <w:r w:rsidR="00360EB4">
        <w:rPr>
          <w:rFonts w:ascii="Palatino Linotype" w:eastAsia="Palatino Linotype" w:hAnsi="Palatino Linotype" w:cs="Palatino Linotype"/>
        </w:rPr>
        <w:t xml:space="preserve"> en la respuesta a la solicitud de información le indicó al particular el</w:t>
      </w:r>
      <w:r w:rsidR="00360EB4" w:rsidRPr="00F1148B">
        <w:rPr>
          <w:rFonts w:ascii="Palatino Linotype" w:eastAsia="Palatino Linotype" w:hAnsi="Palatino Linotype" w:cs="Palatino Linotype"/>
        </w:rPr>
        <w:t xml:space="preserve"> domicilio, teléfono</w:t>
      </w:r>
      <w:r w:rsidR="00360EB4">
        <w:rPr>
          <w:rFonts w:ascii="Palatino Linotype" w:eastAsia="Palatino Linotype" w:hAnsi="Palatino Linotype" w:cs="Palatino Linotype"/>
        </w:rPr>
        <w:t xml:space="preserve"> para tales efectos, sin embargo también se advierte </w:t>
      </w:r>
      <w:r w:rsidR="001E63B0">
        <w:rPr>
          <w:rFonts w:ascii="Palatino Linotype" w:eastAsia="Palatino Linotype" w:hAnsi="Palatino Linotype" w:cs="Palatino Linotype"/>
        </w:rPr>
        <w:t xml:space="preserve">de lo dispuesto en el artículo 63 de la citada Ley, </w:t>
      </w:r>
      <w:r w:rsidR="00360EB4">
        <w:rPr>
          <w:rFonts w:ascii="Palatino Linotype" w:eastAsia="Palatino Linotype" w:hAnsi="Palatino Linotype" w:cs="Palatino Linotype"/>
        </w:rPr>
        <w:t>que dichas quejas pueden ser presentadas de manera electrónica, por lo que este Instituto localizó</w:t>
      </w:r>
      <w:r w:rsidR="006040F1">
        <w:rPr>
          <w:rFonts w:ascii="Palatino Linotype" w:eastAsia="Palatino Linotype" w:hAnsi="Palatino Linotype" w:cs="Palatino Linotype"/>
        </w:rPr>
        <w:t xml:space="preserve"> la siguiente liga electrónica </w:t>
      </w:r>
      <w:hyperlink r:id="rId16" w:history="1">
        <w:r w:rsidR="006040F1" w:rsidRPr="00E06777">
          <w:rPr>
            <w:rStyle w:val="Hipervnculo"/>
            <w:rFonts w:ascii="Palatino Linotype" w:eastAsia="Palatino Linotype" w:hAnsi="Palatino Linotype" w:cs="Palatino Linotype"/>
          </w:rPr>
          <w:t>http://anterior.codhem.org.mx/LocalUser/codhem.org/quejas/quejas2.asp</w:t>
        </w:r>
      </w:hyperlink>
      <w:r w:rsidR="006040F1">
        <w:rPr>
          <w:rFonts w:ascii="Palatino Linotype" w:eastAsia="Palatino Linotype" w:hAnsi="Palatino Linotype" w:cs="Palatino Linotype"/>
        </w:rPr>
        <w:t xml:space="preserve">, </w:t>
      </w:r>
      <w:r w:rsidR="0086229C">
        <w:rPr>
          <w:rFonts w:ascii="Palatino Linotype" w:hAnsi="Palatino Linotype"/>
          <w:color w:val="212529"/>
          <w:shd w:val="clear" w:color="auto" w:fill="FFFFFF"/>
        </w:rPr>
        <w:t>en la que se advierte:</w:t>
      </w:r>
    </w:p>
    <w:p w14:paraId="07B87768" w14:textId="439D0207" w:rsidR="006040F1" w:rsidRDefault="000754FC" w:rsidP="00F1148B">
      <w:pPr>
        <w:spacing w:before="240" w:after="240" w:line="360" w:lineRule="auto"/>
        <w:jc w:val="both"/>
        <w:rPr>
          <w:rFonts w:ascii="Palatino Linotype" w:hAnsi="Palatino Linotype"/>
          <w:color w:val="000000" w:themeColor="text1"/>
          <w:sz w:val="24"/>
          <w:szCs w:val="24"/>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63360" behindDoc="0" locked="0" layoutInCell="1" allowOverlap="1" wp14:anchorId="7963A912" wp14:editId="767AC57F">
                <wp:simplePos x="0" y="0"/>
                <wp:positionH relativeFrom="column">
                  <wp:posOffset>205740</wp:posOffset>
                </wp:positionH>
                <wp:positionV relativeFrom="paragraph">
                  <wp:posOffset>4185285</wp:posOffset>
                </wp:positionV>
                <wp:extent cx="5305425" cy="30480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305425" cy="304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741D8"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329.55pt" to="433.95pt,5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" strokecolor="#4472c4 [3204]" strokeweight=".5pt">
                <v:stroke joinstyle="miter"/>
              </v:line>
            </w:pict>
          </mc:Fallback>
        </mc:AlternateContent>
      </w:r>
      <w:r w:rsidR="006040F1">
        <w:rPr>
          <w:noProof/>
        </w:rPr>
        <w:drawing>
          <wp:inline distT="0" distB="0" distL="0" distR="0" wp14:anchorId="012B72C6" wp14:editId="7189CFC6">
            <wp:extent cx="5645785" cy="4294597"/>
            <wp:effectExtent l="0" t="0" r="0" b="0"/>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439" cy="4304222"/>
                    </a:xfrm>
                    <a:prstGeom prst="rect">
                      <a:avLst/>
                    </a:prstGeom>
                    <a:noFill/>
                    <a:ln>
                      <a:noFill/>
                    </a:ln>
                  </pic:spPr>
                </pic:pic>
              </a:graphicData>
            </a:graphic>
          </wp:inline>
        </w:drawing>
      </w:r>
    </w:p>
    <w:p w14:paraId="4DA155D5" w14:textId="422C7741" w:rsidR="00360EB4" w:rsidRDefault="00360EB4" w:rsidP="00F1148B">
      <w:pPr>
        <w:spacing w:before="240" w:after="24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3EE7CD0F" wp14:editId="4C8738D5">
            <wp:extent cx="5612130" cy="28124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812415"/>
                    </a:xfrm>
                    <a:prstGeom prst="rect">
                      <a:avLst/>
                    </a:prstGeom>
                  </pic:spPr>
                </pic:pic>
              </a:graphicData>
            </a:graphic>
          </wp:inline>
        </w:drawing>
      </w:r>
    </w:p>
    <w:p w14:paraId="7F444661" w14:textId="0E4BBC7E" w:rsidR="001E63B0" w:rsidRDefault="001E63B0" w:rsidP="001E63B0">
      <w:pPr>
        <w:pStyle w:val="NormalWeb"/>
        <w:spacing w:before="240" w:beforeAutospacing="0" w:after="240" w:afterAutospacing="0" w:line="360" w:lineRule="auto"/>
        <w:jc w:val="both"/>
      </w:pPr>
      <w:r>
        <w:rPr>
          <w:rFonts w:ascii="Palatino Linotype" w:hAnsi="Palatino Linotype"/>
          <w:color w:val="000000"/>
        </w:rPr>
        <w:t>En este sentido, y ante la información adicional remitida vía informe justificado, conviene hacer alusión a lo que señala el artículo 192, fracción III de la Ley de Transparencia y Acceso a la Información Pública del Estado de México y Municipios vigente, a saber:</w:t>
      </w:r>
    </w:p>
    <w:p w14:paraId="794CF5DD" w14:textId="77777777" w:rsidR="001E63B0" w:rsidRDefault="001E63B0" w:rsidP="001E63B0">
      <w:pPr>
        <w:pStyle w:val="NormalWeb"/>
        <w:spacing w:before="240" w:beforeAutospacing="0" w:after="240" w:afterAutospacing="0"/>
        <w:ind w:left="851" w:right="900"/>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192</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El recurso será sobreseído</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en todo o en parte,</w:t>
      </w:r>
      <w:r>
        <w:rPr>
          <w:rFonts w:ascii="Palatino Linotype" w:hAnsi="Palatino Linotype"/>
          <w:i/>
          <w:iCs/>
          <w:color w:val="000000"/>
          <w:sz w:val="22"/>
          <w:szCs w:val="22"/>
        </w:rPr>
        <w:t xml:space="preserve"> </w:t>
      </w:r>
      <w:r>
        <w:rPr>
          <w:rFonts w:ascii="Palatino Linotype" w:hAnsi="Palatino Linotype"/>
          <w:b/>
          <w:bCs/>
          <w:i/>
          <w:iCs/>
          <w:color w:val="000000"/>
          <w:sz w:val="22"/>
          <w:szCs w:val="22"/>
        </w:rPr>
        <w:t>cuando una vez admitido, se actualicen alguno de los siguientes supuestos</w:t>
      </w:r>
      <w:r>
        <w:rPr>
          <w:rFonts w:ascii="Palatino Linotype" w:hAnsi="Palatino Linotype"/>
          <w:i/>
          <w:iCs/>
          <w:color w:val="000000"/>
          <w:sz w:val="22"/>
          <w:szCs w:val="22"/>
        </w:rPr>
        <w:t>: </w:t>
      </w:r>
    </w:p>
    <w:p w14:paraId="18811E97" w14:textId="77777777" w:rsidR="001E63B0" w:rsidRDefault="001E63B0" w:rsidP="001E63B0">
      <w:pPr>
        <w:pStyle w:val="NormalWeb"/>
        <w:spacing w:before="240" w:beforeAutospacing="0" w:after="240" w:afterAutospacing="0"/>
        <w:ind w:left="1134" w:right="900"/>
        <w:jc w:val="both"/>
      </w:pPr>
      <w:r>
        <w:rPr>
          <w:rFonts w:ascii="Palatino Linotype" w:hAnsi="Palatino Linotype"/>
          <w:i/>
          <w:iCs/>
          <w:color w:val="000000"/>
          <w:sz w:val="22"/>
          <w:szCs w:val="22"/>
        </w:rPr>
        <w:t>(…)</w:t>
      </w:r>
    </w:p>
    <w:p w14:paraId="2C7F51B6" w14:textId="77777777" w:rsidR="001E63B0" w:rsidRDefault="001E63B0" w:rsidP="001E63B0">
      <w:pPr>
        <w:pStyle w:val="NormalWeb"/>
        <w:spacing w:before="240" w:beforeAutospacing="0" w:after="240" w:afterAutospacing="0"/>
        <w:ind w:left="1134" w:right="900"/>
        <w:jc w:val="both"/>
      </w:pPr>
      <w:r>
        <w:rPr>
          <w:rFonts w:ascii="Palatino Linotype" w:hAnsi="Palatino Linotype"/>
          <w:b/>
          <w:bCs/>
          <w:i/>
          <w:iCs/>
          <w:color w:val="000000"/>
          <w:sz w:val="22"/>
          <w:szCs w:val="22"/>
        </w:rPr>
        <w:t>III. El sujeto obligado responsable del acto, lo modifique o revoque de tal manera que el recurso de revisión quede sin materia...</w:t>
      </w:r>
      <w:r>
        <w:rPr>
          <w:rFonts w:ascii="Palatino Linotype" w:hAnsi="Palatino Linotype"/>
          <w:i/>
          <w:iCs/>
          <w:color w:val="000000"/>
          <w:sz w:val="22"/>
          <w:szCs w:val="22"/>
        </w:rPr>
        <w:t>”</w:t>
      </w:r>
    </w:p>
    <w:p w14:paraId="2B6E7834"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De lo establecido en el precepto legal citado se advierte que el sobreseimiento del recurso de revisión procede en los siguientes casos:</w:t>
      </w:r>
    </w:p>
    <w:p w14:paraId="48062880" w14:textId="77777777" w:rsidR="001E63B0" w:rsidRDefault="001E63B0" w:rsidP="001E63B0">
      <w:pPr>
        <w:pStyle w:val="NormalWeb"/>
        <w:spacing w:before="240" w:beforeAutospacing="0" w:after="240" w:afterAutospacing="0"/>
        <w:ind w:left="284"/>
        <w:jc w:val="both"/>
      </w:pPr>
      <w:r>
        <w:rPr>
          <w:rFonts w:ascii="Palatino Linotype" w:hAnsi="Palatino Linotype"/>
          <w:color w:val="000000"/>
        </w:rPr>
        <w:t>a) Cuando el Sujeto Obligado modifique el acto impugnado. </w:t>
      </w:r>
    </w:p>
    <w:p w14:paraId="2F4C8686" w14:textId="77777777" w:rsidR="001E63B0" w:rsidRDefault="001E63B0" w:rsidP="001E63B0">
      <w:pPr>
        <w:pStyle w:val="NormalWeb"/>
        <w:spacing w:before="240" w:beforeAutospacing="0" w:after="240" w:afterAutospacing="0"/>
        <w:ind w:left="284"/>
        <w:jc w:val="both"/>
      </w:pPr>
      <w:r>
        <w:rPr>
          <w:rFonts w:ascii="Palatino Linotype" w:hAnsi="Palatino Linotype"/>
          <w:color w:val="000000"/>
        </w:rPr>
        <w:t>b) Cuando el Sujeto Obligado revoque el acto impugnado; </w:t>
      </w:r>
    </w:p>
    <w:p w14:paraId="25D19C39"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lastRenderedPageBreak/>
        <w:t>Quedando en ambos casos el acto combatido sin materia o sin efectos.</w:t>
      </w:r>
    </w:p>
    <w:p w14:paraId="7562EC81"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6F17FABC"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05FAF177"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En este orden de ideas, un acto impugnado queda sin efectos, cuando aún existiendo jurídicamente (esto es, que no se ha modificado, ni revocado) ya no genera ninguna consecuencia legal.</w:t>
      </w:r>
    </w:p>
    <w:p w14:paraId="070E1CC1"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4371C645"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 xml:space="preserve">Ahora bien, en el caso concreto, es evidente que el </w:t>
      </w:r>
      <w:r>
        <w:rPr>
          <w:rFonts w:ascii="Palatino Linotype" w:hAnsi="Palatino Linotype"/>
          <w:b/>
          <w:bCs/>
          <w:color w:val="000000"/>
        </w:rPr>
        <w:t>Sujeto Obligado</w:t>
      </w:r>
      <w:r>
        <w:rPr>
          <w:rFonts w:ascii="Palatino Linotype" w:hAnsi="Palatino Linotype"/>
          <w:color w:val="000000"/>
        </w:rPr>
        <w:t xml:space="preserve"> modificó su respuesta, ya que, a través de su pronunciamiento emitido en la etapa de manifestaciones, proporcionó la información requerida.</w:t>
      </w:r>
    </w:p>
    <w:p w14:paraId="7ED01AB5"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lastRenderedPageBreak/>
        <w:t>En tal sentido, se destaca que, al haber existido un pronunciamiento debidamente fundado, respecto de la materia de la solicitud, este Órgano Garante no está facultado para manifestarse sobre la veracidad de lo manifestado, pues no existe precepto legal alguno en la Ley de la materia que lo faculte para ello. </w:t>
      </w:r>
    </w:p>
    <w:p w14:paraId="109D8333"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05BEEF4F" w14:textId="77777777" w:rsidR="001E63B0" w:rsidRDefault="001E63B0" w:rsidP="001E63B0">
      <w:pPr>
        <w:pStyle w:val="NormalWeb"/>
        <w:spacing w:before="240" w:beforeAutospacing="0" w:after="240" w:afterAutospacing="0"/>
        <w:ind w:left="993" w:right="1041"/>
        <w:jc w:val="both"/>
      </w:pPr>
      <w:r>
        <w:rPr>
          <w:rFonts w:ascii="Palatino Linotype" w:hAnsi="Palatino Linotype"/>
          <w:i/>
          <w:iCs/>
          <w:color w:val="000000"/>
          <w:sz w:val="22"/>
          <w:szCs w:val="22"/>
        </w:rPr>
        <w:t>“</w:t>
      </w:r>
      <w:r>
        <w:rPr>
          <w:rFonts w:ascii="Palatino Linotype" w:hAnsi="Palatino Linotype"/>
          <w:b/>
          <w:bCs/>
          <w:i/>
          <w:iCs/>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8EF4A86" w14:textId="541C803C" w:rsidR="001E63B0" w:rsidRDefault="001E63B0" w:rsidP="001E63B0">
      <w:pPr>
        <w:pStyle w:val="NormalWeb"/>
        <w:spacing w:before="240" w:beforeAutospacing="0" w:after="240" w:afterAutospacing="0" w:line="360" w:lineRule="auto"/>
        <w:jc w:val="both"/>
      </w:pPr>
      <w:r>
        <w:rPr>
          <w:rFonts w:ascii="Palatino Linotype" w:hAnsi="Palatino Linotype"/>
          <w:color w:val="000000"/>
        </w:rPr>
        <w:t xml:space="preserve">Tomando en consideración dicha circunstancia, así como el hecho de que la información proporcionada por el </w:t>
      </w:r>
      <w:r w:rsidR="000754FC">
        <w:rPr>
          <w:rFonts w:ascii="Palatino Linotype" w:hAnsi="Palatino Linotype"/>
          <w:b/>
          <w:bCs/>
          <w:color w:val="000000"/>
        </w:rPr>
        <w:t>SUJETO OBLIGADO</w:t>
      </w:r>
      <w:r>
        <w:rPr>
          <w:rFonts w:ascii="Palatino Linotype" w:hAnsi="Palatino Linotype"/>
          <w:color w:val="000000"/>
        </w:rPr>
        <w:t xml:space="preserve"> fue puesta a la vista de la parte </w:t>
      </w:r>
      <w:r w:rsidR="000754FC" w:rsidRPr="000754FC">
        <w:rPr>
          <w:rFonts w:ascii="Palatino Linotype" w:hAnsi="Palatino Linotype"/>
          <w:b/>
          <w:bCs/>
          <w:color w:val="000000"/>
        </w:rPr>
        <w:t>RECURRENTE</w:t>
      </w:r>
      <w:r>
        <w:rPr>
          <w:rFonts w:ascii="Palatino Linotype" w:hAnsi="Palatino Linotype"/>
          <w:b/>
          <w:bCs/>
          <w:color w:val="000000"/>
        </w:rPr>
        <w:t xml:space="preserve"> </w:t>
      </w:r>
      <w:r>
        <w:rPr>
          <w:rFonts w:ascii="Palatino Linotype" w:hAnsi="Palatino Linotype"/>
          <w:color w:val="000000"/>
        </w:rPr>
        <w:t xml:space="preserve">con la finalidad de que manifestara lo que a su derecho conviniera, sin que obre constancia en el expediente electrónico de que dicho derecho se hiciera valer, debe entenderse que ha quedado satisfecha la solicitud </w:t>
      </w:r>
      <w:r>
        <w:rPr>
          <w:rFonts w:ascii="Palatino Linotype" w:hAnsi="Palatino Linotype"/>
          <w:color w:val="000000"/>
        </w:rPr>
        <w:lastRenderedPageBreak/>
        <w:t>planteada, quedando sin materia el presente recurso de revisión, consecuentemente se actualiza la causal prevista en la fracción III del artículo 192 de la Ley de la Materia vigente en la Entidad, antes transcrita.</w:t>
      </w:r>
    </w:p>
    <w:p w14:paraId="5F0A9938" w14:textId="77777777" w:rsidR="001E63B0" w:rsidRDefault="001E63B0" w:rsidP="001E63B0">
      <w:pPr>
        <w:pStyle w:val="NormalWeb"/>
        <w:spacing w:before="240" w:beforeAutospacing="0" w:after="240" w:afterAutospacing="0" w:line="360" w:lineRule="auto"/>
        <w:jc w:val="both"/>
      </w:pPr>
      <w:r>
        <w:rPr>
          <w:rFonts w:ascii="Palatino Linotype" w:hAnsi="Palatino Linotype"/>
          <w:color w:val="000000"/>
        </w:rPr>
        <w:t xml:space="preserve">Así, siendo el </w:t>
      </w:r>
      <w:r>
        <w:rPr>
          <w:rFonts w:ascii="Palatino Linotype" w:hAnsi="Palatino Linotype"/>
          <w:i/>
          <w:iCs/>
          <w:color w:val="000000"/>
        </w:rPr>
        <w:t>sobreseimiento</w:t>
      </w:r>
      <w:r>
        <w:rPr>
          <w:rFonts w:ascii="Palatino Linotype" w:hAnsi="Palatino Linotype"/>
          <w:color w:val="00000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hAnsi="Palatino Linotype"/>
          <w:b/>
          <w:bCs/>
          <w:color w:val="000000"/>
        </w:rPr>
        <w:t>SOBRESEIMIENTO, NO PERMITE ENTRAR AL ESTUDIO DE LAS CUESTIONES DE FONDO.</w:t>
      </w:r>
    </w:p>
    <w:p w14:paraId="11C8C467" w14:textId="41812FF6" w:rsidR="001F2BCF" w:rsidRPr="001E63B0" w:rsidRDefault="001E63B0" w:rsidP="001E63B0">
      <w:pPr>
        <w:pStyle w:val="NormalWeb"/>
        <w:spacing w:before="240" w:beforeAutospacing="0" w:after="240" w:afterAutospacing="0" w:line="360" w:lineRule="auto"/>
        <w:jc w:val="both"/>
      </w:pPr>
      <w:r>
        <w:rPr>
          <w:rFonts w:ascii="Palatino Linotype" w:hAnsi="Palatino Linotype"/>
          <w:color w:val="000000"/>
        </w:rPr>
        <w:t>Así, con fundamento en lo prescrito en los artículos 5 párrafos trigésimo, trigésimo primero y trigésimo segundo</w:t>
      </w:r>
      <w:r>
        <w:rPr>
          <w:rFonts w:ascii="Palatino Linotype" w:hAnsi="Palatino Linotype"/>
          <w:color w:val="000000"/>
          <w:shd w:val="clear" w:color="auto" w:fill="FFFFFF"/>
        </w:rPr>
        <w:t xml:space="preserve"> fracciones IV y V de la </w:t>
      </w:r>
      <w:r>
        <w:rPr>
          <w:rFonts w:ascii="Palatino Linotype" w:hAnsi="Palatino Linotype"/>
          <w:color w:val="000000"/>
        </w:rPr>
        <w:t>Constitución Política del Estado Libre y Soberano de México; 2, fracción II; 29, 36 fracciones I y II; 176, 178, 181, 185, fracción I, 186 y 188 de la Ley de Transparencia y Acceso a la Información Pública del Estado de México y Municipios, este Pleno:</w:t>
      </w:r>
    </w:p>
    <w:p w14:paraId="21F127D3" w14:textId="77777777" w:rsidR="001F2BCF" w:rsidRPr="00CF4880" w:rsidRDefault="001F2BCF" w:rsidP="001F2BCF">
      <w:pPr>
        <w:autoSpaceDE w:val="0"/>
        <w:autoSpaceDN w:val="0"/>
        <w:adjustRightInd w:val="0"/>
        <w:spacing w:line="360" w:lineRule="auto"/>
        <w:jc w:val="center"/>
        <w:rPr>
          <w:rFonts w:ascii="Palatino Linotype" w:hAnsi="Palatino Linotype" w:cs="Arial"/>
          <w:b/>
          <w:sz w:val="24"/>
          <w:szCs w:val="24"/>
        </w:rPr>
      </w:pPr>
      <w:r w:rsidRPr="00CF4880">
        <w:rPr>
          <w:rFonts w:ascii="Palatino Linotype" w:hAnsi="Palatino Linotype" w:cs="Arial"/>
          <w:b/>
          <w:sz w:val="24"/>
          <w:szCs w:val="24"/>
        </w:rPr>
        <w:t>RESUELVE</w:t>
      </w:r>
    </w:p>
    <w:p w14:paraId="3B918C90" w14:textId="3963DD3E" w:rsidR="001F2BCF" w:rsidRPr="000754FC" w:rsidRDefault="001F2BCF" w:rsidP="001F2BCF">
      <w:pPr>
        <w:spacing w:before="240" w:after="240" w:line="360" w:lineRule="auto"/>
        <w:contextualSpacing/>
        <w:jc w:val="both"/>
        <w:rPr>
          <w:rFonts w:ascii="Palatino Linotype" w:hAnsi="Palatino Linotype"/>
          <w:sz w:val="24"/>
          <w:szCs w:val="24"/>
        </w:rPr>
      </w:pPr>
      <w:r w:rsidRPr="000754FC">
        <w:rPr>
          <w:rFonts w:ascii="Palatino Linotype" w:hAnsi="Palatino Linotype" w:cs="Arial"/>
          <w:b/>
          <w:bCs/>
          <w:sz w:val="24"/>
          <w:szCs w:val="24"/>
          <w:shd w:val="clear" w:color="auto" w:fill="FFFFFF"/>
        </w:rPr>
        <w:t>PRIMERO</w:t>
      </w:r>
      <w:r w:rsidRPr="000754FC">
        <w:rPr>
          <w:rFonts w:ascii="Palatino Linotype" w:hAnsi="Palatino Linotype" w:cs="Arial"/>
          <w:bCs/>
          <w:sz w:val="24"/>
          <w:szCs w:val="24"/>
          <w:shd w:val="clear" w:color="auto" w:fill="FFFFFF"/>
        </w:rPr>
        <w:t xml:space="preserve">. Se </w:t>
      </w:r>
      <w:r w:rsidRPr="000754FC">
        <w:rPr>
          <w:rFonts w:ascii="Palatino Linotype" w:hAnsi="Palatino Linotype" w:cs="Arial"/>
          <w:b/>
          <w:bCs/>
          <w:sz w:val="24"/>
          <w:szCs w:val="24"/>
          <w:shd w:val="clear" w:color="auto" w:fill="FFFFFF"/>
        </w:rPr>
        <w:t>SOBRESEE</w:t>
      </w:r>
      <w:r w:rsidRPr="000754FC">
        <w:rPr>
          <w:rFonts w:ascii="Palatino Linotype" w:hAnsi="Palatino Linotype" w:cs="Arial"/>
          <w:bCs/>
          <w:sz w:val="24"/>
          <w:szCs w:val="24"/>
          <w:shd w:val="clear" w:color="auto" w:fill="FFFFFF"/>
        </w:rPr>
        <w:t xml:space="preserve"> el recurso de revisión número </w:t>
      </w:r>
      <w:r w:rsidRPr="000754FC">
        <w:rPr>
          <w:rFonts w:ascii="Palatino Linotype" w:hAnsi="Palatino Linotype" w:cs="Arial"/>
          <w:b/>
          <w:bCs/>
          <w:sz w:val="24"/>
          <w:szCs w:val="24"/>
          <w:shd w:val="clear" w:color="auto" w:fill="FFFFFF"/>
        </w:rPr>
        <w:t>00</w:t>
      </w:r>
      <w:r w:rsidR="00AA6213" w:rsidRPr="000754FC">
        <w:rPr>
          <w:rFonts w:ascii="Palatino Linotype" w:hAnsi="Palatino Linotype" w:cs="Arial"/>
          <w:b/>
          <w:bCs/>
          <w:sz w:val="24"/>
          <w:szCs w:val="24"/>
          <w:shd w:val="clear" w:color="auto" w:fill="FFFFFF"/>
        </w:rPr>
        <w:t>01</w:t>
      </w:r>
      <w:r w:rsidRPr="000754FC">
        <w:rPr>
          <w:rFonts w:ascii="Palatino Linotype" w:hAnsi="Palatino Linotype" w:cs="Arial"/>
          <w:b/>
          <w:bCs/>
          <w:sz w:val="24"/>
          <w:szCs w:val="24"/>
          <w:shd w:val="clear" w:color="auto" w:fill="FFFFFF"/>
        </w:rPr>
        <w:t>9/INFOEM/IP/RR/2022</w:t>
      </w:r>
      <w:r w:rsidRPr="000754FC">
        <w:rPr>
          <w:rFonts w:ascii="Palatino Linotype" w:hAnsi="Palatino Linotype" w:cs="Arial"/>
          <w:b/>
          <w:sz w:val="24"/>
          <w:szCs w:val="24"/>
        </w:rPr>
        <w:t>,</w:t>
      </w:r>
      <w:r w:rsidRPr="000754FC">
        <w:rPr>
          <w:rFonts w:ascii="Palatino Linotype" w:hAnsi="Palatino Linotype"/>
          <w:sz w:val="24"/>
          <w:szCs w:val="24"/>
        </w:rPr>
        <w:t xml:space="preserve"> porque al modificar la respuesta el recurso de revisión quedó sin materia en términos del Considerando Tercero de la presente resolución.</w:t>
      </w:r>
    </w:p>
    <w:p w14:paraId="59CA5205" w14:textId="77777777" w:rsidR="001F2BCF" w:rsidRPr="000754FC" w:rsidRDefault="001F2BCF" w:rsidP="001F2BCF">
      <w:pPr>
        <w:spacing w:before="240" w:after="240" w:line="360" w:lineRule="auto"/>
        <w:contextualSpacing/>
        <w:jc w:val="both"/>
        <w:rPr>
          <w:rFonts w:ascii="Palatino Linotype" w:hAnsi="Palatino Linotype" w:cs="Arial"/>
          <w:b/>
          <w:bCs/>
          <w:sz w:val="24"/>
          <w:szCs w:val="24"/>
          <w:shd w:val="clear" w:color="auto" w:fill="FFFFFF"/>
        </w:rPr>
      </w:pPr>
    </w:p>
    <w:p w14:paraId="7F61FF03" w14:textId="5BC530A8" w:rsidR="001F2BCF" w:rsidRPr="000754FC" w:rsidRDefault="001F2BCF" w:rsidP="001F2BCF">
      <w:pPr>
        <w:spacing w:before="240" w:after="240" w:line="360" w:lineRule="auto"/>
        <w:contextualSpacing/>
        <w:jc w:val="both"/>
        <w:rPr>
          <w:rFonts w:ascii="Palatino Linotype" w:hAnsi="Palatino Linotype" w:cs="Arial"/>
          <w:sz w:val="24"/>
          <w:szCs w:val="24"/>
        </w:rPr>
      </w:pPr>
      <w:r w:rsidRPr="000754FC">
        <w:rPr>
          <w:rFonts w:ascii="Palatino Linotype" w:hAnsi="Palatino Linotype" w:cs="Arial"/>
          <w:b/>
          <w:bCs/>
          <w:sz w:val="24"/>
          <w:szCs w:val="24"/>
          <w:shd w:val="clear" w:color="auto" w:fill="FFFFFF"/>
        </w:rPr>
        <w:lastRenderedPageBreak/>
        <w:t xml:space="preserve">SEGUNDO. </w:t>
      </w:r>
      <w:r w:rsidR="001E63B0" w:rsidRPr="000754FC">
        <w:rPr>
          <w:rFonts w:ascii="Palatino Linotype" w:hAnsi="Palatino Linotype"/>
          <w:b/>
          <w:bCs/>
          <w:color w:val="000000"/>
          <w:sz w:val="24"/>
          <w:szCs w:val="24"/>
        </w:rPr>
        <w:t xml:space="preserve">Notifíquese, </w:t>
      </w:r>
      <w:r w:rsidR="001E63B0" w:rsidRPr="000754FC">
        <w:rPr>
          <w:rFonts w:ascii="Palatino Linotype" w:hAnsi="Palatino Linotype"/>
          <w:color w:val="000000"/>
          <w:sz w:val="24"/>
          <w:szCs w:val="24"/>
        </w:rPr>
        <w:t xml:space="preserve">vía </w:t>
      </w:r>
      <w:r w:rsidR="001E63B0" w:rsidRPr="000754FC">
        <w:rPr>
          <w:rFonts w:ascii="Palatino Linotype" w:hAnsi="Palatino Linotype"/>
          <w:b/>
          <w:bCs/>
          <w:color w:val="000000"/>
          <w:sz w:val="24"/>
          <w:szCs w:val="24"/>
        </w:rPr>
        <w:t xml:space="preserve">SAIMEX, </w:t>
      </w:r>
      <w:r w:rsidR="001E63B0" w:rsidRPr="000754FC">
        <w:rPr>
          <w:rFonts w:ascii="Palatino Linotype" w:hAnsi="Palatino Linotype"/>
          <w:color w:val="000000"/>
          <w:sz w:val="24"/>
          <w:szCs w:val="24"/>
        </w:rPr>
        <w:t xml:space="preserve">al Responsable de la Unidad de Transparencia del </w:t>
      </w:r>
      <w:r w:rsidR="000754FC" w:rsidRPr="000754FC">
        <w:rPr>
          <w:rFonts w:ascii="Palatino Linotype" w:hAnsi="Palatino Linotype"/>
          <w:b/>
          <w:color w:val="000000"/>
          <w:sz w:val="24"/>
          <w:szCs w:val="24"/>
        </w:rPr>
        <w:t>SUJETO OBLIGADO</w:t>
      </w:r>
      <w:r w:rsidR="001E63B0" w:rsidRPr="000754FC">
        <w:rPr>
          <w:rFonts w:ascii="Palatino Linotype" w:hAnsi="Palatino Linotype"/>
          <w:color w:val="000000"/>
          <w:sz w:val="24"/>
          <w:szCs w:val="24"/>
        </w:rPr>
        <w:t xml:space="preserve"> la presente resolución, para su conocimiento.</w:t>
      </w:r>
    </w:p>
    <w:p w14:paraId="3C94833F" w14:textId="77777777" w:rsidR="001E63B0" w:rsidRPr="000754FC" w:rsidRDefault="001E63B0" w:rsidP="001F2BCF">
      <w:pPr>
        <w:spacing w:before="240" w:after="240" w:line="360" w:lineRule="auto"/>
        <w:contextualSpacing/>
        <w:jc w:val="both"/>
        <w:rPr>
          <w:rFonts w:ascii="Palatino Linotype" w:hAnsi="Palatino Linotype" w:cs="Arial"/>
          <w:sz w:val="24"/>
          <w:szCs w:val="24"/>
        </w:rPr>
      </w:pPr>
    </w:p>
    <w:p w14:paraId="6D810BA6" w14:textId="77777777" w:rsidR="001F2BCF" w:rsidRPr="000754FC" w:rsidRDefault="001F2BCF" w:rsidP="001F2BCF">
      <w:pPr>
        <w:spacing w:before="240" w:after="240" w:line="360" w:lineRule="auto"/>
        <w:jc w:val="both"/>
        <w:rPr>
          <w:rFonts w:ascii="Palatino Linotype" w:eastAsia="Palatino Linotype" w:hAnsi="Palatino Linotype" w:cs="Palatino Linotype"/>
          <w:sz w:val="24"/>
          <w:szCs w:val="24"/>
        </w:rPr>
      </w:pPr>
      <w:r w:rsidRPr="000754FC">
        <w:rPr>
          <w:rFonts w:ascii="Palatino Linotype" w:hAnsi="Palatino Linotype" w:cs="Arial"/>
          <w:b/>
          <w:sz w:val="24"/>
          <w:szCs w:val="24"/>
        </w:rPr>
        <w:t xml:space="preserve">TERCERO. Notifíquese </w:t>
      </w:r>
      <w:r w:rsidRPr="000754FC">
        <w:rPr>
          <w:rStyle w:val="apple-converted-space"/>
          <w:rFonts w:ascii="Palatino Linotype" w:hAnsi="Palatino Linotype" w:cs="Arial"/>
          <w:b/>
          <w:bCs/>
          <w:iCs/>
          <w:sz w:val="24"/>
          <w:szCs w:val="24"/>
          <w:shd w:val="clear" w:color="auto" w:fill="FFFFFF"/>
        </w:rPr>
        <w:t>vía SAIMEX</w:t>
      </w:r>
      <w:r w:rsidRPr="000754FC">
        <w:rPr>
          <w:rFonts w:ascii="Palatino Linotype" w:hAnsi="Palatino Linotype" w:cs="Arial"/>
          <w:sz w:val="24"/>
          <w:szCs w:val="24"/>
        </w:rPr>
        <w:t>, al</w:t>
      </w:r>
      <w:r w:rsidRPr="000754FC">
        <w:rPr>
          <w:rFonts w:ascii="Palatino Linotype" w:eastAsia="Palatino Linotype" w:hAnsi="Palatino Linotype" w:cs="Palatino Linotype"/>
          <w:b/>
          <w:sz w:val="24"/>
          <w:szCs w:val="24"/>
        </w:rPr>
        <w:t xml:space="preserve"> RECURRENTE</w:t>
      </w:r>
      <w:r w:rsidRPr="000754FC">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podrá impugnarla en la vía</w:t>
      </w:r>
      <w:r w:rsidRPr="000754FC">
        <w:rPr>
          <w:rFonts w:ascii="Palatino Linotype" w:eastAsia="Palatino Linotype" w:hAnsi="Palatino Linotype" w:cs="Palatino Linotype"/>
          <w:sz w:val="24"/>
          <w:szCs w:val="24"/>
        </w:rPr>
        <w:t xml:space="preserve"> Juicio de Amparo en los términos de las leyes aplicables.</w:t>
      </w:r>
    </w:p>
    <w:p w14:paraId="0AA8DF5C" w14:textId="29E7F5E8" w:rsidR="001F2BCF" w:rsidRPr="003A667B" w:rsidRDefault="001F2BCF" w:rsidP="001F2BCF">
      <w:pPr>
        <w:spacing w:line="360" w:lineRule="auto"/>
        <w:ind w:right="49"/>
        <w:jc w:val="both"/>
        <w:rPr>
          <w:rFonts w:ascii="Palatino Linotype" w:hAnsi="Palatino Linotype"/>
          <w:sz w:val="24"/>
          <w:szCs w:val="24"/>
        </w:rPr>
      </w:pPr>
      <w:r w:rsidRPr="00CF488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1E63B0">
        <w:rPr>
          <w:rFonts w:ascii="Palatino Linotype" w:hAnsi="Palatino Linotype"/>
          <w:sz w:val="24"/>
          <w:szCs w:val="24"/>
        </w:rPr>
        <w:t xml:space="preserve">ARON CRISTINA MORALES MARTÍNEZ, </w:t>
      </w:r>
      <w:r w:rsidRPr="00CF4880">
        <w:rPr>
          <w:rFonts w:ascii="Palatino Linotype" w:hAnsi="Palatino Linotype"/>
          <w:sz w:val="24"/>
          <w:szCs w:val="24"/>
        </w:rPr>
        <w:t xml:space="preserve">LUIS GUSTAVO PARRA NORIEGA Y GUADALUPE RAMÍREZ PEÑA; EN LA </w:t>
      </w:r>
      <w:r>
        <w:rPr>
          <w:rFonts w:ascii="Palatino Linotype" w:hAnsi="Palatino Linotype"/>
          <w:sz w:val="24"/>
          <w:szCs w:val="24"/>
        </w:rPr>
        <w:t>NOVENA</w:t>
      </w:r>
      <w:r w:rsidRPr="00CF4880">
        <w:rPr>
          <w:rFonts w:ascii="Palatino Linotype" w:hAnsi="Palatino Linotype"/>
          <w:sz w:val="24"/>
          <w:szCs w:val="24"/>
        </w:rPr>
        <w:t xml:space="preserve"> SESIÓN ORDINARIA CELEBRADA EL </w:t>
      </w:r>
      <w:r>
        <w:rPr>
          <w:rFonts w:ascii="Palatino Linotype" w:hAnsi="Palatino Linotype"/>
          <w:sz w:val="24"/>
          <w:szCs w:val="24"/>
        </w:rPr>
        <w:t>NUEVE</w:t>
      </w:r>
      <w:r w:rsidRPr="00CF4880">
        <w:rPr>
          <w:rFonts w:ascii="Palatino Linotype" w:hAnsi="Palatino Linotype"/>
          <w:sz w:val="24"/>
          <w:szCs w:val="24"/>
        </w:rPr>
        <w:t xml:space="preserve"> DE </w:t>
      </w:r>
      <w:r>
        <w:rPr>
          <w:rFonts w:ascii="Palatino Linotype" w:hAnsi="Palatino Linotype"/>
          <w:sz w:val="24"/>
          <w:szCs w:val="24"/>
        </w:rPr>
        <w:t>MARZO</w:t>
      </w:r>
      <w:r w:rsidRPr="00CF4880">
        <w:rPr>
          <w:rFonts w:ascii="Palatino Linotype" w:hAnsi="Palatino Linotype"/>
          <w:sz w:val="24"/>
          <w:szCs w:val="24"/>
        </w:rPr>
        <w:t xml:space="preserve"> DEL DOS MIL VEINTIDÓS, ANTE EL SECRETARIO TÉCNICO DEL PLENO ALEXIS TAPIA RAMÍREZ.</w:t>
      </w:r>
    </w:p>
    <w:p w14:paraId="1752D01E" w14:textId="77777777" w:rsidR="001F2BCF" w:rsidRPr="00B6079C" w:rsidRDefault="001F2BCF" w:rsidP="001F2BCF">
      <w:pPr>
        <w:spacing w:after="240" w:line="360" w:lineRule="auto"/>
        <w:jc w:val="both"/>
        <w:rPr>
          <w:rFonts w:ascii="Palatino Linotype" w:eastAsia="Palatino Linotype" w:hAnsi="Palatino Linotype" w:cs="Palatino Linotype"/>
          <w:sz w:val="24"/>
        </w:rPr>
      </w:pPr>
    </w:p>
    <w:p w14:paraId="2162876A" w14:textId="712E8256" w:rsidR="001F2BCF" w:rsidRPr="00C352F1" w:rsidRDefault="001F2BCF" w:rsidP="001F2BCF">
      <w:pPr>
        <w:spacing w:before="240" w:line="360" w:lineRule="auto"/>
        <w:jc w:val="both"/>
        <w:rPr>
          <w:rFonts w:ascii="Palatino Linotype" w:eastAsia="Palatino Linotype" w:hAnsi="Palatino Linotype" w:cs="Palatino Linotype"/>
          <w:sz w:val="24"/>
        </w:rPr>
      </w:pPr>
    </w:p>
    <w:p w14:paraId="3C8433F0" w14:textId="77777777" w:rsidR="006040F1" w:rsidRPr="00873F24" w:rsidRDefault="006040F1" w:rsidP="00F1148B">
      <w:pPr>
        <w:spacing w:before="240" w:after="240" w:line="360" w:lineRule="auto"/>
        <w:jc w:val="both"/>
        <w:rPr>
          <w:rFonts w:ascii="Palatino Linotype" w:hAnsi="Palatino Linotype"/>
          <w:color w:val="000000" w:themeColor="text1"/>
          <w:sz w:val="24"/>
          <w:szCs w:val="24"/>
        </w:rPr>
      </w:pPr>
      <w:bookmarkStart w:id="10" w:name="_GoBack"/>
      <w:bookmarkEnd w:id="10"/>
    </w:p>
    <w:sectPr w:rsidR="006040F1" w:rsidRPr="00873F24">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CB93A" w14:textId="77777777" w:rsidR="00D55664" w:rsidRDefault="00D55664" w:rsidP="00833CC6">
      <w:pPr>
        <w:spacing w:after="0" w:line="240" w:lineRule="auto"/>
      </w:pPr>
      <w:r>
        <w:separator/>
      </w:r>
    </w:p>
  </w:endnote>
  <w:endnote w:type="continuationSeparator" w:id="0">
    <w:p w14:paraId="1A5D61A6" w14:textId="77777777" w:rsidR="00D55664" w:rsidRDefault="00D55664" w:rsidP="00833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1BE4" w14:textId="77777777" w:rsidR="004846B1" w:rsidRDefault="004846B1" w:rsidP="004846B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754FC">
      <w:rPr>
        <w:rFonts w:ascii="Arial" w:hAnsi="Arial" w:cs="Arial"/>
        <w:b/>
        <w:bCs/>
        <w:noProof/>
        <w:sz w:val="20"/>
        <w:szCs w:val="20"/>
      </w:rPr>
      <w:t>26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754FC">
      <w:rPr>
        <w:rFonts w:ascii="Arial" w:hAnsi="Arial" w:cs="Arial"/>
        <w:b/>
        <w:bCs/>
        <w:noProof/>
        <w:sz w:val="20"/>
        <w:szCs w:val="20"/>
      </w:rPr>
      <w:t>26</w:t>
    </w:r>
    <w:r>
      <w:rPr>
        <w:rFonts w:ascii="Arial" w:hAnsi="Arial" w:cs="Arial"/>
        <w:b/>
        <w:bCs/>
        <w:sz w:val="20"/>
        <w:szCs w:val="20"/>
      </w:rPr>
      <w:fldChar w:fldCharType="end"/>
    </w:r>
  </w:p>
  <w:p w14:paraId="0695EAA8" w14:textId="77777777" w:rsidR="004846B1" w:rsidRDefault="004846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3407D" w14:textId="77777777" w:rsidR="00D55664" w:rsidRDefault="00D55664" w:rsidP="00833CC6">
      <w:pPr>
        <w:spacing w:after="0" w:line="240" w:lineRule="auto"/>
      </w:pPr>
      <w:r>
        <w:separator/>
      </w:r>
    </w:p>
  </w:footnote>
  <w:footnote w:type="continuationSeparator" w:id="0">
    <w:p w14:paraId="5A5AA2D0" w14:textId="77777777" w:rsidR="00D55664" w:rsidRDefault="00D55664" w:rsidP="00833C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833CC6" w14:paraId="7131E528" w14:textId="77777777" w:rsidTr="00833C04">
      <w:trPr>
        <w:trHeight w:val="260"/>
      </w:trPr>
      <w:tc>
        <w:tcPr>
          <w:tcW w:w="5660" w:type="dxa"/>
        </w:tcPr>
        <w:p w14:paraId="21412088" w14:textId="1A0715EB" w:rsidR="00833CC6" w:rsidRDefault="00833CC6" w:rsidP="00833CC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5A89BD59" w14:textId="77777777" w:rsidR="00833CC6" w:rsidRDefault="00833CC6" w:rsidP="00833CC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00019/INFOEM/IP/RR/2022</w:t>
          </w:r>
        </w:p>
      </w:tc>
    </w:tr>
    <w:tr w:rsidR="00833CC6" w14:paraId="1CCCB9A5" w14:textId="77777777" w:rsidTr="00833C04">
      <w:trPr>
        <w:trHeight w:val="224"/>
      </w:trPr>
      <w:tc>
        <w:tcPr>
          <w:tcW w:w="5660" w:type="dxa"/>
        </w:tcPr>
        <w:p w14:paraId="223129F7" w14:textId="77777777" w:rsidR="00833CC6" w:rsidRDefault="00833CC6" w:rsidP="00833CC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5323BB13" w14:textId="77777777" w:rsidR="00833CC6" w:rsidRDefault="00833CC6" w:rsidP="00833CC6">
          <w:pPr>
            <w:spacing w:after="120"/>
            <w:ind w:left="-486" w:right="214" w:firstLine="567"/>
            <w:jc w:val="right"/>
            <w:rPr>
              <w:rFonts w:ascii="Palatino Linotype" w:eastAsia="Palatino Linotype" w:hAnsi="Palatino Linotype" w:cs="Palatino Linotype"/>
              <w:sz w:val="24"/>
              <w:szCs w:val="24"/>
            </w:rPr>
          </w:pPr>
        </w:p>
      </w:tc>
    </w:tr>
    <w:tr w:rsidR="00833CC6" w14:paraId="21A42B87" w14:textId="77777777" w:rsidTr="00833C04">
      <w:trPr>
        <w:trHeight w:val="278"/>
      </w:trPr>
      <w:tc>
        <w:tcPr>
          <w:tcW w:w="5660" w:type="dxa"/>
        </w:tcPr>
        <w:p w14:paraId="74FABE70" w14:textId="77777777" w:rsidR="00833CC6" w:rsidRDefault="00833CC6" w:rsidP="00833CC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5268C42D" w14:textId="77777777" w:rsidR="00833CC6" w:rsidRDefault="00833CC6" w:rsidP="00833CC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Comisión de Derechos Humanos </w:t>
          </w:r>
        </w:p>
        <w:p w14:paraId="183AC4FF" w14:textId="77777777" w:rsidR="00833CC6" w:rsidRDefault="00833CC6" w:rsidP="00833CC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Estado de México</w:t>
          </w:r>
        </w:p>
      </w:tc>
    </w:tr>
    <w:tr w:rsidR="00833CC6" w14:paraId="322B8E77" w14:textId="77777777" w:rsidTr="00833C04">
      <w:trPr>
        <w:trHeight w:val="393"/>
      </w:trPr>
      <w:tc>
        <w:tcPr>
          <w:tcW w:w="5660" w:type="dxa"/>
        </w:tcPr>
        <w:p w14:paraId="3226990F" w14:textId="77777777" w:rsidR="00833CC6" w:rsidRDefault="00833CC6" w:rsidP="00833CC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DCAA513" w14:textId="77777777" w:rsidR="00833CC6" w:rsidRDefault="00833CC6" w:rsidP="00833CC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042F543" w14:textId="1CE09C55" w:rsidR="00833CC6" w:rsidRDefault="004846B1">
    <w:pPr>
      <w:pStyle w:val="Encabezado"/>
    </w:pPr>
    <w:r>
      <w:rPr>
        <w:noProof/>
      </w:rPr>
      <w:drawing>
        <wp:anchor distT="0" distB="0" distL="0" distR="0" simplePos="0" relativeHeight="251659264" behindDoc="1" locked="0" layoutInCell="1" hidden="0" allowOverlap="1" wp14:anchorId="40D4B8E6" wp14:editId="6FDA390D">
          <wp:simplePos x="0" y="0"/>
          <wp:positionH relativeFrom="page">
            <wp:align>left</wp:align>
          </wp:positionH>
          <wp:positionV relativeFrom="paragraph">
            <wp:posOffset>-1780368</wp:posOffset>
          </wp:positionV>
          <wp:extent cx="7867650" cy="10133330"/>
          <wp:effectExtent l="0" t="0" r="0" b="127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36CB3"/>
    <w:multiLevelType w:val="multilevel"/>
    <w:tmpl w:val="C3147D5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A30FF1"/>
    <w:multiLevelType w:val="multilevel"/>
    <w:tmpl w:val="9FCAB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6650D8"/>
    <w:multiLevelType w:val="multilevel"/>
    <w:tmpl w:val="45AAE1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FB3D9F"/>
    <w:multiLevelType w:val="multilevel"/>
    <w:tmpl w:val="79E25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C6"/>
    <w:rsid w:val="000754FC"/>
    <w:rsid w:val="000D191E"/>
    <w:rsid w:val="00117686"/>
    <w:rsid w:val="001B27C5"/>
    <w:rsid w:val="001E63B0"/>
    <w:rsid w:val="001F2BCF"/>
    <w:rsid w:val="0026300D"/>
    <w:rsid w:val="002770AA"/>
    <w:rsid w:val="0030160A"/>
    <w:rsid w:val="00357DF2"/>
    <w:rsid w:val="00360EB4"/>
    <w:rsid w:val="0043129D"/>
    <w:rsid w:val="004675DC"/>
    <w:rsid w:val="004846B1"/>
    <w:rsid w:val="00494D35"/>
    <w:rsid w:val="004D7373"/>
    <w:rsid w:val="00512EB1"/>
    <w:rsid w:val="005C75BE"/>
    <w:rsid w:val="006040F1"/>
    <w:rsid w:val="00660AED"/>
    <w:rsid w:val="007C2513"/>
    <w:rsid w:val="00832CAD"/>
    <w:rsid w:val="00833CC6"/>
    <w:rsid w:val="0086229C"/>
    <w:rsid w:val="00873F24"/>
    <w:rsid w:val="00923928"/>
    <w:rsid w:val="00A80DFB"/>
    <w:rsid w:val="00A97BAA"/>
    <w:rsid w:val="00AA6213"/>
    <w:rsid w:val="00BB24B1"/>
    <w:rsid w:val="00BC2DAF"/>
    <w:rsid w:val="00BE6174"/>
    <w:rsid w:val="00C82A12"/>
    <w:rsid w:val="00CF301B"/>
    <w:rsid w:val="00D55664"/>
    <w:rsid w:val="00DA6ECD"/>
    <w:rsid w:val="00F1148B"/>
    <w:rsid w:val="00F41B4C"/>
    <w:rsid w:val="00FD5478"/>
    <w:rsid w:val="00FF6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B957E"/>
  <w15:chartTrackingRefBased/>
  <w15:docId w15:val="{F2007F53-61B3-41EF-8B99-8372B414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CC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C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3CC6"/>
  </w:style>
  <w:style w:type="paragraph" w:styleId="Piedepgina">
    <w:name w:val="footer"/>
    <w:basedOn w:val="Normal"/>
    <w:link w:val="PiedepginaCar"/>
    <w:uiPriority w:val="99"/>
    <w:unhideWhenUsed/>
    <w:rsid w:val="00833C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3CC6"/>
  </w:style>
  <w:style w:type="character" w:styleId="Hipervnculo">
    <w:name w:val="Hyperlink"/>
    <w:basedOn w:val="Fuentedeprrafopredeter"/>
    <w:uiPriority w:val="99"/>
    <w:unhideWhenUsed/>
    <w:rsid w:val="0011768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1768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7686"/>
    <w:rPr>
      <w:rFonts w:ascii="Times New Roman" w:eastAsia="Times New Roman" w:hAnsi="Times New Roman" w:cs="Times New Roman"/>
      <w:sz w:val="24"/>
      <w:szCs w:val="24"/>
      <w:lang w:val="es-ES" w:eastAsia="es-ES"/>
    </w:rPr>
  </w:style>
  <w:style w:type="character" w:customStyle="1" w:styleId="UnresolvedMention">
    <w:name w:val="Unresolved Mention"/>
    <w:basedOn w:val="Fuentedeprrafopredeter"/>
    <w:uiPriority w:val="99"/>
    <w:semiHidden/>
    <w:unhideWhenUsed/>
    <w:rsid w:val="006040F1"/>
    <w:rPr>
      <w:color w:val="605E5C"/>
      <w:shd w:val="clear" w:color="auto" w:fill="E1DFDD"/>
    </w:rPr>
  </w:style>
  <w:style w:type="paragraph" w:styleId="Sinespaciado">
    <w:name w:val="No Spacing"/>
    <w:aliases w:val="Francesa,INAI"/>
    <w:link w:val="SinespaciadoCar"/>
    <w:uiPriority w:val="1"/>
    <w:qFormat/>
    <w:rsid w:val="001F2BC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F2BC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F2BCF"/>
  </w:style>
  <w:style w:type="paragraph" w:styleId="NormalWeb">
    <w:name w:val="Normal (Web)"/>
    <w:basedOn w:val="Normal"/>
    <w:uiPriority w:val="99"/>
    <w:unhideWhenUsed/>
    <w:rsid w:val="00BB24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684447">
      <w:bodyDiv w:val="1"/>
      <w:marLeft w:val="0"/>
      <w:marRight w:val="0"/>
      <w:marTop w:val="0"/>
      <w:marBottom w:val="0"/>
      <w:divBdr>
        <w:top w:val="none" w:sz="0" w:space="0" w:color="auto"/>
        <w:left w:val="none" w:sz="0" w:space="0" w:color="auto"/>
        <w:bottom w:val="none" w:sz="0" w:space="0" w:color="auto"/>
        <w:right w:val="none" w:sz="0" w:space="0" w:color="auto"/>
      </w:divBdr>
    </w:div>
    <w:div w:id="604114862">
      <w:bodyDiv w:val="1"/>
      <w:marLeft w:val="0"/>
      <w:marRight w:val="0"/>
      <w:marTop w:val="0"/>
      <w:marBottom w:val="0"/>
      <w:divBdr>
        <w:top w:val="none" w:sz="0" w:space="0" w:color="auto"/>
        <w:left w:val="none" w:sz="0" w:space="0" w:color="auto"/>
        <w:bottom w:val="none" w:sz="0" w:space="0" w:color="auto"/>
        <w:right w:val="none" w:sz="0" w:space="0" w:color="auto"/>
      </w:divBdr>
    </w:div>
    <w:div w:id="913899794">
      <w:bodyDiv w:val="1"/>
      <w:marLeft w:val="0"/>
      <w:marRight w:val="0"/>
      <w:marTop w:val="0"/>
      <w:marBottom w:val="0"/>
      <w:divBdr>
        <w:top w:val="none" w:sz="0" w:space="0" w:color="auto"/>
        <w:left w:val="none" w:sz="0" w:space="0" w:color="auto"/>
        <w:bottom w:val="none" w:sz="0" w:space="0" w:color="auto"/>
        <w:right w:val="none" w:sz="0" w:space="0" w:color="auto"/>
      </w:divBdr>
    </w:div>
    <w:div w:id="1677880136">
      <w:bodyDiv w:val="1"/>
      <w:marLeft w:val="0"/>
      <w:marRight w:val="0"/>
      <w:marTop w:val="0"/>
      <w:marBottom w:val="0"/>
      <w:divBdr>
        <w:top w:val="none" w:sz="0" w:space="0" w:color="auto"/>
        <w:left w:val="none" w:sz="0" w:space="0" w:color="auto"/>
        <w:bottom w:val="none" w:sz="0" w:space="0" w:color="auto"/>
        <w:right w:val="none" w:sz="0" w:space="0" w:color="auto"/>
      </w:divBdr>
    </w:div>
    <w:div w:id="1725910131">
      <w:bodyDiv w:val="1"/>
      <w:marLeft w:val="0"/>
      <w:marRight w:val="0"/>
      <w:marTop w:val="0"/>
      <w:marBottom w:val="0"/>
      <w:divBdr>
        <w:top w:val="none" w:sz="0" w:space="0" w:color="auto"/>
        <w:left w:val="none" w:sz="0" w:space="0" w:color="auto"/>
        <w:bottom w:val="none" w:sz="0" w:space="0" w:color="auto"/>
        <w:right w:val="none" w:sz="0" w:space="0" w:color="auto"/>
      </w:divBdr>
    </w:div>
    <w:div w:id="178048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292637.page"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anterior.codhem.org.mx/LocalUser/codhem.org/quejas/quejas2.as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oem.org.mx:8080/saimex/solicitud/downloadAttach/1308746.page"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4419</Words>
  <Characters>24305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RENDON GARCIA</dc:creator>
  <cp:keywords/>
  <dc:description/>
  <cp:lastModifiedBy>USUARIO</cp:lastModifiedBy>
  <cp:revision>2</cp:revision>
  <dcterms:created xsi:type="dcterms:W3CDTF">2022-03-03T17:13:00Z</dcterms:created>
  <dcterms:modified xsi:type="dcterms:W3CDTF">2022-03-03T17:13:00Z</dcterms:modified>
</cp:coreProperties>
</file>