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29B38" w14:textId="56949A04" w:rsidR="005146E9" w:rsidRPr="00830724" w:rsidRDefault="00C529CD" w:rsidP="005146E9">
      <w:pPr>
        <w:spacing w:line="360" w:lineRule="auto"/>
        <w:jc w:val="both"/>
        <w:rPr>
          <w:rFonts w:ascii="Palatino Linotype" w:hAnsi="Palatino Linotype"/>
        </w:rPr>
      </w:pPr>
      <w:r w:rsidRPr="00830724">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5146E9" w:rsidRPr="00830724">
        <w:rPr>
          <w:rFonts w:ascii="Palatino Linotype" w:hAnsi="Palatino Linotype"/>
        </w:rPr>
        <w:t xml:space="preserve">dieciséis </w:t>
      </w:r>
      <w:r w:rsidR="00B5371D" w:rsidRPr="00830724">
        <w:rPr>
          <w:rFonts w:ascii="Palatino Linotype" w:hAnsi="Palatino Linotype"/>
        </w:rPr>
        <w:t xml:space="preserve">(16) </w:t>
      </w:r>
      <w:r w:rsidR="005146E9" w:rsidRPr="00830724">
        <w:rPr>
          <w:rFonts w:ascii="Palatino Linotype" w:hAnsi="Palatino Linotype"/>
        </w:rPr>
        <w:t>de noviembre de dos mil veintidós.</w:t>
      </w:r>
    </w:p>
    <w:p w14:paraId="26536963" w14:textId="77777777" w:rsidR="00C529CD" w:rsidRPr="00830724" w:rsidRDefault="00C529CD" w:rsidP="00C529CD">
      <w:pPr>
        <w:spacing w:line="360" w:lineRule="auto"/>
        <w:jc w:val="both"/>
        <w:rPr>
          <w:rFonts w:ascii="Palatino Linotype" w:eastAsiaTheme="minorEastAsia" w:hAnsi="Palatino Linotype"/>
          <w:lang w:val="es-ES_tradnl" w:eastAsia="es-ES"/>
        </w:rPr>
      </w:pPr>
    </w:p>
    <w:p w14:paraId="26536964" w14:textId="6F93508D" w:rsidR="00C529CD" w:rsidRPr="00830724" w:rsidRDefault="00C529CD" w:rsidP="00C529CD">
      <w:pPr>
        <w:spacing w:line="360" w:lineRule="auto"/>
        <w:jc w:val="both"/>
        <w:rPr>
          <w:rFonts w:ascii="Palatino Linotype" w:hAnsi="Palatino Linotype"/>
        </w:rPr>
      </w:pPr>
      <w:r w:rsidRPr="00830724">
        <w:rPr>
          <w:rFonts w:ascii="Palatino Linotype" w:hAnsi="Palatino Linotype"/>
          <w:b/>
        </w:rPr>
        <w:t>VISTO</w:t>
      </w:r>
      <w:r w:rsidRPr="00830724">
        <w:rPr>
          <w:rFonts w:ascii="Palatino Linotype" w:hAnsi="Palatino Linotype"/>
        </w:rPr>
        <w:t xml:space="preserve"> el expediente electrónico formado con motivo del recurso de revisión </w:t>
      </w:r>
      <w:r w:rsidRPr="00830724">
        <w:rPr>
          <w:rFonts w:ascii="Palatino Linotype" w:hAnsi="Palatino Linotype"/>
          <w:b/>
        </w:rPr>
        <w:t>12103/INFOEM/IP/RR/2022,</w:t>
      </w:r>
      <w:r w:rsidRPr="00830724">
        <w:rPr>
          <w:rFonts w:ascii="Palatino Linotype" w:hAnsi="Palatino Linotype" w:cs="Arial"/>
          <w:b/>
          <w:bCs/>
        </w:rPr>
        <w:t xml:space="preserve"> </w:t>
      </w:r>
      <w:r w:rsidRPr="00830724">
        <w:rPr>
          <w:rFonts w:ascii="Palatino Linotype" w:eastAsiaTheme="minorEastAsia" w:hAnsi="Palatino Linotype"/>
          <w:lang w:val="es-ES_tradnl" w:eastAsia="es-ES"/>
        </w:rPr>
        <w:t xml:space="preserve">promovido </w:t>
      </w:r>
      <w:r w:rsidR="00830724" w:rsidRPr="00830724">
        <w:rPr>
          <w:rFonts w:ascii="Palatino Linotype" w:eastAsiaTheme="minorEastAsia" w:hAnsi="Palatino Linotype"/>
          <w:b/>
          <w:lang w:val="es-ES_tradnl" w:eastAsia="es-ES"/>
        </w:rPr>
        <w:t xml:space="preserve">XXXX </w:t>
      </w:r>
      <w:proofErr w:type="spellStart"/>
      <w:r w:rsidR="00830724" w:rsidRPr="00830724">
        <w:rPr>
          <w:rFonts w:ascii="Palatino Linotype" w:eastAsiaTheme="minorEastAsia" w:hAnsi="Palatino Linotype"/>
          <w:b/>
          <w:lang w:val="es-ES_tradnl" w:eastAsia="es-ES"/>
        </w:rPr>
        <w:t>XXXX</w:t>
      </w:r>
      <w:proofErr w:type="spellEnd"/>
      <w:r w:rsidR="00830724" w:rsidRPr="00830724">
        <w:rPr>
          <w:rFonts w:ascii="Palatino Linotype" w:eastAsiaTheme="minorEastAsia" w:hAnsi="Palatino Linotype"/>
          <w:b/>
          <w:lang w:val="es-ES_tradnl" w:eastAsia="es-ES"/>
        </w:rPr>
        <w:t xml:space="preserve"> XXXXX</w:t>
      </w:r>
      <w:r w:rsidRPr="00830724">
        <w:rPr>
          <w:rFonts w:ascii="Palatino Linotype" w:hAnsi="Palatino Linotype"/>
        </w:rPr>
        <w:t xml:space="preserve">,  quien en lo sucesivo se identificará como </w:t>
      </w:r>
      <w:r w:rsidRPr="00830724">
        <w:rPr>
          <w:rFonts w:ascii="Palatino Linotype" w:hAnsi="Palatino Linotype"/>
          <w:b/>
        </w:rPr>
        <w:t xml:space="preserve">EL </w:t>
      </w:r>
      <w:r w:rsidRPr="00830724">
        <w:rPr>
          <w:rFonts w:ascii="Palatino Linotype" w:hAnsi="Palatino Linotype" w:cs="Arial"/>
          <w:b/>
        </w:rPr>
        <w:t>RECURRENTE</w:t>
      </w:r>
      <w:r w:rsidRPr="00830724">
        <w:rPr>
          <w:rFonts w:ascii="Palatino Linotype" w:hAnsi="Palatino Linotype" w:cs="Arial"/>
        </w:rPr>
        <w:t xml:space="preserve">, en contra de la respuesta del </w:t>
      </w:r>
      <w:r w:rsidRPr="00830724">
        <w:rPr>
          <w:rFonts w:ascii="Palatino Linotype" w:hAnsi="Palatino Linotype" w:cs="Arial"/>
          <w:b/>
        </w:rPr>
        <w:t>Ayuntamiento de Ixtlahuaca,</w:t>
      </w:r>
      <w:r w:rsidRPr="00830724">
        <w:rPr>
          <w:rFonts w:ascii="Palatino Linotype" w:hAnsi="Palatino Linotype"/>
          <w:b/>
        </w:rPr>
        <w:t xml:space="preserve"> </w:t>
      </w:r>
      <w:r w:rsidRPr="00830724">
        <w:rPr>
          <w:rFonts w:ascii="Palatino Linotype" w:hAnsi="Palatino Linotype"/>
        </w:rPr>
        <w:t>en lo sucesivo el</w:t>
      </w:r>
      <w:r w:rsidRPr="00830724">
        <w:rPr>
          <w:rFonts w:ascii="Palatino Linotype" w:hAnsi="Palatino Linotype"/>
          <w:b/>
        </w:rPr>
        <w:t xml:space="preserve"> SUJETO OBLIGADO</w:t>
      </w:r>
      <w:r w:rsidRPr="00830724">
        <w:rPr>
          <w:rFonts w:ascii="Palatino Linotype" w:hAnsi="Palatino Linotype"/>
        </w:rPr>
        <w:t>, por lo que se procede a dictar la presente resolución, con base en los siguientes:</w:t>
      </w:r>
    </w:p>
    <w:p w14:paraId="26536965" w14:textId="77777777" w:rsidR="00C529CD" w:rsidRPr="00830724" w:rsidRDefault="00C529CD" w:rsidP="00C529CD">
      <w:pPr>
        <w:spacing w:line="360" w:lineRule="auto"/>
        <w:jc w:val="both"/>
        <w:rPr>
          <w:rFonts w:ascii="Palatino Linotype" w:hAnsi="Palatino Linotype"/>
          <w:b/>
        </w:rPr>
      </w:pPr>
    </w:p>
    <w:p w14:paraId="26536966" w14:textId="77777777" w:rsidR="00C529CD" w:rsidRPr="00830724" w:rsidRDefault="00C529CD" w:rsidP="00C529CD">
      <w:pPr>
        <w:keepNext/>
        <w:keepLines/>
        <w:spacing w:line="360" w:lineRule="auto"/>
        <w:jc w:val="center"/>
        <w:outlineLvl w:val="0"/>
        <w:rPr>
          <w:rFonts w:ascii="Palatino Linotype" w:eastAsiaTheme="majorEastAsia" w:hAnsi="Palatino Linotype" w:cstheme="majorBidi"/>
          <w:b/>
        </w:rPr>
      </w:pPr>
      <w:bookmarkStart w:id="0" w:name="_Toc66992241"/>
      <w:r w:rsidRPr="00830724">
        <w:rPr>
          <w:rFonts w:ascii="Palatino Linotype" w:eastAsiaTheme="majorEastAsia" w:hAnsi="Palatino Linotype" w:cstheme="majorBidi"/>
          <w:b/>
        </w:rPr>
        <w:t>ANTECEDENTES</w:t>
      </w:r>
      <w:bookmarkEnd w:id="0"/>
    </w:p>
    <w:p w14:paraId="26536967" w14:textId="77777777" w:rsidR="00C529CD" w:rsidRPr="00830724" w:rsidRDefault="00C529CD" w:rsidP="00C529CD">
      <w:pPr>
        <w:spacing w:line="360" w:lineRule="auto"/>
        <w:rPr>
          <w:rFonts w:ascii="Palatino Linotype" w:eastAsiaTheme="minorEastAsia" w:hAnsi="Palatino Linotype"/>
        </w:rPr>
      </w:pPr>
    </w:p>
    <w:p w14:paraId="26536968"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lang w:val="es-ES" w:eastAsia="es-ES"/>
        </w:rPr>
      </w:pPr>
      <w:r w:rsidRPr="00830724">
        <w:rPr>
          <w:rFonts w:ascii="Palatino Linotype" w:eastAsia="Calibri" w:hAnsi="Palatino Linotype" w:cs="Arial"/>
          <w:sz w:val="24"/>
          <w:lang w:val="es-ES" w:eastAsia="es-ES"/>
        </w:rPr>
        <w:t>El veinte (20) de mayo de dos mil veintidós,</w:t>
      </w:r>
      <w:r w:rsidRPr="00830724">
        <w:rPr>
          <w:rFonts w:ascii="Palatino Linotype" w:eastAsia="Calibri" w:hAnsi="Palatino Linotype"/>
          <w:sz w:val="24"/>
          <w:lang w:val="es-ES" w:eastAsia="es-ES"/>
        </w:rPr>
        <w:t xml:space="preserve"> </w:t>
      </w:r>
      <w:r w:rsidRPr="00830724">
        <w:rPr>
          <w:rFonts w:ascii="Palatino Linotype" w:eastAsia="Calibri" w:hAnsi="Palatino Linotype"/>
          <w:b/>
          <w:sz w:val="24"/>
          <w:lang w:val="es-ES" w:eastAsia="es-ES"/>
        </w:rPr>
        <w:t>EL RECURRENTE</w:t>
      </w:r>
      <w:r w:rsidRPr="00830724">
        <w:rPr>
          <w:rFonts w:ascii="Palatino Linotype" w:eastAsiaTheme="minorEastAsia" w:hAnsi="Palatino Linotype"/>
          <w:b/>
          <w:sz w:val="24"/>
          <w:lang w:val="es-ES_tradnl" w:eastAsia="es-ES"/>
        </w:rPr>
        <w:t>,</w:t>
      </w:r>
      <w:r w:rsidRPr="00830724">
        <w:rPr>
          <w:rFonts w:ascii="Palatino Linotype" w:eastAsia="Calibri" w:hAnsi="Palatino Linotype" w:cs="Arial"/>
          <w:sz w:val="24"/>
          <w:lang w:val="es-ES" w:eastAsia="es-ES"/>
        </w:rPr>
        <w:t xml:space="preserve"> ante el </w:t>
      </w:r>
      <w:r w:rsidRPr="00830724">
        <w:rPr>
          <w:rFonts w:ascii="Palatino Linotype" w:eastAsia="Calibri" w:hAnsi="Palatino Linotype" w:cs="Arial"/>
          <w:b/>
          <w:sz w:val="24"/>
          <w:lang w:val="es-ES" w:eastAsia="es-ES"/>
        </w:rPr>
        <w:t>SUJETO OBLIGADO</w:t>
      </w:r>
      <w:r w:rsidRPr="00830724">
        <w:rPr>
          <w:rFonts w:ascii="Palatino Linotype" w:eastAsia="Calibri" w:hAnsi="Palatino Linotype" w:cs="Arial"/>
          <w:sz w:val="24"/>
          <w:lang w:val="es-ES_tradnl" w:eastAsia="es-ES"/>
        </w:rPr>
        <w:t xml:space="preserve"> vía </w:t>
      </w:r>
      <w:r w:rsidRPr="00830724">
        <w:rPr>
          <w:rFonts w:ascii="Palatino Linotype" w:eastAsia="Calibri" w:hAnsi="Palatino Linotype" w:cs="Arial"/>
          <w:sz w:val="24"/>
          <w:lang w:val="es-ES" w:eastAsia="es-ES"/>
        </w:rPr>
        <w:t>Sistema de Acceso a la Información Mexiquense (</w:t>
      </w:r>
      <w:r w:rsidRPr="00830724">
        <w:rPr>
          <w:rFonts w:ascii="Palatino Linotype" w:eastAsia="Calibri" w:hAnsi="Palatino Linotype" w:cs="Arial"/>
          <w:b/>
          <w:sz w:val="24"/>
          <w:lang w:val="es-ES" w:eastAsia="es-ES"/>
        </w:rPr>
        <w:t>SAIMEX)</w:t>
      </w:r>
      <w:r w:rsidRPr="00830724">
        <w:rPr>
          <w:rFonts w:ascii="Palatino Linotype" w:eastAsia="Calibri" w:hAnsi="Palatino Linotype" w:cs="Arial"/>
          <w:sz w:val="24"/>
          <w:lang w:val="es-ES" w:eastAsia="es-ES"/>
        </w:rPr>
        <w:t xml:space="preserve">, presentó una solicitud de información registrada con el número </w:t>
      </w:r>
      <w:r w:rsidRPr="00830724">
        <w:rPr>
          <w:rFonts w:ascii="Palatino Linotype" w:hAnsi="Palatino Linotype"/>
          <w:b/>
          <w:bCs/>
          <w:sz w:val="24"/>
        </w:rPr>
        <w:t>00159/IXTLAHUA/IP/2022</w:t>
      </w:r>
      <w:r w:rsidRPr="00830724">
        <w:rPr>
          <w:rFonts w:ascii="Palatino Linotype" w:eastAsiaTheme="minorEastAsia" w:hAnsi="Palatino Linotype"/>
          <w:b/>
          <w:sz w:val="24"/>
          <w:lang w:val="es-ES_tradnl" w:eastAsia="es-ES"/>
        </w:rPr>
        <w:t xml:space="preserve">, </w:t>
      </w:r>
      <w:r w:rsidRPr="00830724">
        <w:rPr>
          <w:rFonts w:ascii="Palatino Linotype" w:eastAsia="Calibri" w:hAnsi="Palatino Linotype" w:cs="Arial"/>
          <w:sz w:val="24"/>
          <w:lang w:val="es-ES" w:eastAsia="es-ES"/>
        </w:rPr>
        <w:t>mediante la cual solicitó lo siguiente:</w:t>
      </w:r>
    </w:p>
    <w:p w14:paraId="26536969" w14:textId="77777777" w:rsidR="00C529CD" w:rsidRPr="00830724" w:rsidRDefault="00C529CD" w:rsidP="00C529CD">
      <w:pPr>
        <w:pStyle w:val="Prrafodelista"/>
        <w:spacing w:line="360" w:lineRule="auto"/>
        <w:ind w:left="0"/>
        <w:jc w:val="both"/>
        <w:rPr>
          <w:rFonts w:ascii="Palatino Linotype" w:hAnsi="Palatino Linotype" w:cs="Arial"/>
          <w:szCs w:val="22"/>
          <w:lang w:val="es-ES" w:eastAsia="es-ES"/>
        </w:rPr>
      </w:pPr>
    </w:p>
    <w:p w14:paraId="2653696A" w14:textId="77777777" w:rsidR="00C529CD" w:rsidRPr="00830724" w:rsidRDefault="00C529CD" w:rsidP="00C529CD">
      <w:pPr>
        <w:pStyle w:val="Prrafodelista"/>
        <w:spacing w:line="360" w:lineRule="auto"/>
        <w:ind w:right="567"/>
        <w:jc w:val="both"/>
        <w:rPr>
          <w:rFonts w:ascii="Palatino Linotype" w:hAnsi="Palatino Linotype"/>
          <w:i/>
          <w:color w:val="000000"/>
          <w:szCs w:val="22"/>
        </w:rPr>
      </w:pPr>
      <w:r w:rsidRPr="00830724">
        <w:rPr>
          <w:rFonts w:ascii="Palatino Linotype" w:hAnsi="Palatino Linotype"/>
          <w:i/>
          <w:color w:val="000000"/>
          <w:szCs w:val="22"/>
        </w:rPr>
        <w:t xml:space="preserve">“Solicito la certificación del director de obras públicas y homólogos de esa dirección, la certificación del secretario del ayuntamiento, del contralor, del tesorero (a), del director de ecología, de la directora de transparencia, y de todos los que por ley deban contar con ella, así como saber cuánto están ganando” (Sic) </w:t>
      </w:r>
    </w:p>
    <w:p w14:paraId="2653696B" w14:textId="77777777" w:rsidR="00C529CD" w:rsidRPr="00830724" w:rsidRDefault="00C529CD" w:rsidP="00C529CD">
      <w:pPr>
        <w:pStyle w:val="Prrafodelista"/>
        <w:spacing w:line="360" w:lineRule="auto"/>
        <w:ind w:right="567"/>
        <w:jc w:val="both"/>
        <w:rPr>
          <w:rFonts w:ascii="Palatino Linotype" w:hAnsi="Palatino Linotype"/>
          <w:i/>
          <w:color w:val="000000"/>
          <w:szCs w:val="22"/>
        </w:rPr>
      </w:pPr>
    </w:p>
    <w:p w14:paraId="2653696C"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830724">
        <w:rPr>
          <w:rFonts w:ascii="Palatino Linotype" w:eastAsiaTheme="minorEastAsia" w:hAnsi="Palatino Linotype"/>
          <w:sz w:val="24"/>
          <w:szCs w:val="22"/>
          <w:lang w:val="es-ES_tradnl" w:eastAsia="es-ES"/>
        </w:rPr>
        <w:t xml:space="preserve">El diez (10) de junio de dos mil veintidós, </w:t>
      </w:r>
      <w:r w:rsidRPr="00830724">
        <w:rPr>
          <w:rFonts w:ascii="Palatino Linotype" w:eastAsia="Calibri" w:hAnsi="Palatino Linotype"/>
          <w:sz w:val="24"/>
          <w:szCs w:val="22"/>
          <w:lang w:val="es-ES" w:eastAsia="es-ES"/>
        </w:rPr>
        <w:t xml:space="preserve">el </w:t>
      </w:r>
      <w:r w:rsidRPr="00830724">
        <w:rPr>
          <w:rFonts w:ascii="Palatino Linotype" w:eastAsia="Calibri" w:hAnsi="Palatino Linotype" w:cs="Arial"/>
          <w:b/>
          <w:sz w:val="24"/>
          <w:szCs w:val="22"/>
          <w:lang w:val="es-AR" w:eastAsia="es-ES"/>
        </w:rPr>
        <w:t>SUJETO OBLIGADO</w:t>
      </w:r>
      <w:r w:rsidRPr="00830724">
        <w:rPr>
          <w:rFonts w:ascii="Palatino Linotype" w:eastAsia="Calibri" w:hAnsi="Palatino Linotype" w:cs="Arial"/>
          <w:b/>
          <w:i/>
          <w:sz w:val="24"/>
          <w:szCs w:val="22"/>
          <w:lang w:val="es-AR" w:eastAsia="es-ES"/>
        </w:rPr>
        <w:t xml:space="preserve"> </w:t>
      </w:r>
      <w:r w:rsidRPr="00830724">
        <w:rPr>
          <w:rFonts w:ascii="Palatino Linotype" w:hAnsi="Palatino Linotype" w:cs="Arial"/>
          <w:sz w:val="24"/>
          <w:szCs w:val="22"/>
          <w:lang w:val="es-ES" w:eastAsia="es-ES"/>
        </w:rPr>
        <w:t>dio respuesta a la solicitud de información en los siguientes términos:</w:t>
      </w:r>
    </w:p>
    <w:p w14:paraId="2653696D" w14:textId="77777777" w:rsidR="00C529CD" w:rsidRPr="00830724" w:rsidRDefault="00C529CD" w:rsidP="00C529CD">
      <w:pPr>
        <w:pStyle w:val="Prrafodelista"/>
        <w:spacing w:line="360" w:lineRule="auto"/>
        <w:jc w:val="both"/>
        <w:rPr>
          <w:rFonts w:ascii="Palatino Linotype" w:hAnsi="Palatino Linotype" w:cs="Arial"/>
          <w:szCs w:val="22"/>
          <w:lang w:val="es-ES" w:eastAsia="es-ES"/>
        </w:rPr>
      </w:pPr>
    </w:p>
    <w:tbl>
      <w:tblPr>
        <w:tblW w:w="7060" w:type="dxa"/>
        <w:jc w:val="center"/>
        <w:tblCellSpacing w:w="0" w:type="dxa"/>
        <w:tblCellMar>
          <w:left w:w="0" w:type="dxa"/>
          <w:right w:w="0" w:type="dxa"/>
        </w:tblCellMar>
        <w:tblLook w:val="04A0" w:firstRow="1" w:lastRow="0" w:firstColumn="1" w:lastColumn="0" w:noHBand="0" w:noVBand="1"/>
      </w:tblPr>
      <w:tblGrid>
        <w:gridCol w:w="7060"/>
      </w:tblGrid>
      <w:tr w:rsidR="00C529CD" w:rsidRPr="00830724" w14:paraId="2653696F" w14:textId="77777777" w:rsidTr="00C529CD">
        <w:trPr>
          <w:trHeight w:val="288"/>
          <w:tblCellSpacing w:w="0" w:type="dxa"/>
          <w:jc w:val="center"/>
        </w:trPr>
        <w:tc>
          <w:tcPr>
            <w:tcW w:w="0" w:type="auto"/>
            <w:vAlign w:val="center"/>
            <w:hideMark/>
          </w:tcPr>
          <w:p w14:paraId="2653696E" w14:textId="77777777" w:rsidR="00C529CD" w:rsidRPr="00830724" w:rsidRDefault="00C529CD" w:rsidP="00C529CD">
            <w:pPr>
              <w:jc w:val="right"/>
              <w:rPr>
                <w:rFonts w:ascii="Palatino Linotype" w:hAnsi="Palatino Linotype"/>
                <w:i/>
                <w:sz w:val="22"/>
              </w:rPr>
            </w:pPr>
            <w:r w:rsidRPr="00830724">
              <w:rPr>
                <w:rFonts w:ascii="Palatino Linotype" w:hAnsi="Palatino Linotype"/>
                <w:i/>
                <w:sz w:val="22"/>
                <w:szCs w:val="18"/>
              </w:rPr>
              <w:t>Ixtlahuaca, México a 10 de Junio de 2022</w:t>
            </w:r>
          </w:p>
        </w:tc>
      </w:tr>
      <w:tr w:rsidR="00C529CD" w:rsidRPr="00830724" w14:paraId="26536971" w14:textId="77777777" w:rsidTr="00C529CD">
        <w:trPr>
          <w:trHeight w:val="288"/>
          <w:tblCellSpacing w:w="0" w:type="dxa"/>
          <w:jc w:val="center"/>
        </w:trPr>
        <w:tc>
          <w:tcPr>
            <w:tcW w:w="0" w:type="auto"/>
            <w:vAlign w:val="center"/>
            <w:hideMark/>
          </w:tcPr>
          <w:p w14:paraId="26536970" w14:textId="77777777" w:rsidR="00C529CD" w:rsidRPr="00830724" w:rsidRDefault="00C529CD" w:rsidP="00C529CD">
            <w:pPr>
              <w:jc w:val="right"/>
              <w:rPr>
                <w:rFonts w:ascii="Palatino Linotype" w:hAnsi="Palatino Linotype"/>
                <w:i/>
                <w:sz w:val="22"/>
              </w:rPr>
            </w:pPr>
            <w:r w:rsidRPr="00830724">
              <w:rPr>
                <w:rFonts w:ascii="Palatino Linotype" w:hAnsi="Palatino Linotype"/>
                <w:i/>
                <w:sz w:val="22"/>
                <w:szCs w:val="18"/>
              </w:rPr>
              <w:t>Nombre del solicitante: C. Solicitante</w:t>
            </w:r>
          </w:p>
        </w:tc>
      </w:tr>
      <w:tr w:rsidR="00C529CD" w:rsidRPr="00830724" w14:paraId="26536973" w14:textId="77777777" w:rsidTr="00C529CD">
        <w:trPr>
          <w:trHeight w:val="288"/>
          <w:tblCellSpacing w:w="0" w:type="dxa"/>
          <w:jc w:val="center"/>
        </w:trPr>
        <w:tc>
          <w:tcPr>
            <w:tcW w:w="0" w:type="auto"/>
            <w:vAlign w:val="center"/>
            <w:hideMark/>
          </w:tcPr>
          <w:p w14:paraId="26536972" w14:textId="77777777" w:rsidR="00C529CD" w:rsidRPr="00830724" w:rsidRDefault="00C529CD" w:rsidP="00C529CD">
            <w:pPr>
              <w:jc w:val="right"/>
              <w:rPr>
                <w:rFonts w:ascii="Palatino Linotype" w:hAnsi="Palatino Linotype"/>
                <w:i/>
                <w:sz w:val="22"/>
              </w:rPr>
            </w:pPr>
            <w:r w:rsidRPr="00830724">
              <w:rPr>
                <w:rFonts w:ascii="Palatino Linotype" w:hAnsi="Palatino Linotype"/>
                <w:i/>
                <w:sz w:val="22"/>
                <w:szCs w:val="18"/>
              </w:rPr>
              <w:t>Folio de la solicitud: 00159/IXTLAHUA/IP/2022</w:t>
            </w:r>
          </w:p>
        </w:tc>
      </w:tr>
      <w:tr w:rsidR="00C529CD" w:rsidRPr="00830724" w14:paraId="26536975" w14:textId="77777777" w:rsidTr="00C529CD">
        <w:trPr>
          <w:trHeight w:val="432"/>
          <w:tblCellSpacing w:w="0" w:type="dxa"/>
          <w:jc w:val="center"/>
        </w:trPr>
        <w:tc>
          <w:tcPr>
            <w:tcW w:w="0" w:type="auto"/>
            <w:vAlign w:val="center"/>
            <w:hideMark/>
          </w:tcPr>
          <w:p w14:paraId="26536974" w14:textId="77777777" w:rsidR="00C529CD" w:rsidRPr="00830724" w:rsidRDefault="00C529CD" w:rsidP="00C529CD">
            <w:pPr>
              <w:jc w:val="right"/>
              <w:rPr>
                <w:rFonts w:ascii="Palatino Linotype" w:hAnsi="Palatino Linotype"/>
                <w:i/>
                <w:sz w:val="22"/>
              </w:rPr>
            </w:pPr>
          </w:p>
        </w:tc>
      </w:tr>
      <w:tr w:rsidR="00C529CD" w:rsidRPr="00830724" w14:paraId="26536977" w14:textId="77777777" w:rsidTr="00C529CD">
        <w:trPr>
          <w:trHeight w:val="360"/>
          <w:tblCellSpacing w:w="0" w:type="dxa"/>
          <w:jc w:val="center"/>
        </w:trPr>
        <w:tc>
          <w:tcPr>
            <w:tcW w:w="0" w:type="auto"/>
            <w:vAlign w:val="center"/>
            <w:hideMark/>
          </w:tcPr>
          <w:p w14:paraId="26536976" w14:textId="77777777" w:rsidR="00C529CD" w:rsidRPr="00830724" w:rsidRDefault="00C529CD" w:rsidP="00C529CD">
            <w:pPr>
              <w:rPr>
                <w:rFonts w:ascii="Palatino Linotype" w:hAnsi="Palatino Linotype"/>
                <w:i/>
                <w:sz w:val="22"/>
                <w:szCs w:val="20"/>
              </w:rPr>
            </w:pPr>
          </w:p>
        </w:tc>
      </w:tr>
      <w:tr w:rsidR="00C529CD" w:rsidRPr="00830724" w14:paraId="26536979" w14:textId="77777777" w:rsidTr="00C529CD">
        <w:trPr>
          <w:trHeight w:val="144"/>
          <w:tblCellSpacing w:w="0" w:type="dxa"/>
          <w:jc w:val="center"/>
        </w:trPr>
        <w:tc>
          <w:tcPr>
            <w:tcW w:w="0" w:type="auto"/>
            <w:vAlign w:val="center"/>
            <w:hideMark/>
          </w:tcPr>
          <w:p w14:paraId="26536978" w14:textId="77777777" w:rsidR="00C529CD" w:rsidRPr="00830724" w:rsidRDefault="00C529CD" w:rsidP="00C529CD">
            <w:pPr>
              <w:jc w:val="both"/>
              <w:rPr>
                <w:rFonts w:ascii="Palatino Linotype" w:hAnsi="Palatino Linotype"/>
                <w:i/>
                <w:sz w:val="22"/>
              </w:rPr>
            </w:pPr>
            <w:r w:rsidRPr="00830724">
              <w:rPr>
                <w:rFonts w:ascii="Palatino Linotype" w:hAnsi="Palatino Linotype"/>
                <w:i/>
                <w:sz w:val="22"/>
                <w:szCs w:val="18"/>
              </w:rPr>
              <w:t>Ixtlahuaca de Rayón; México, a 10 de junio de 2022 CIUDADANO P R E S E N T E Por medio del presente me permito enviarle un cordial y afectuoso saludo, al mismo tiempo y en atención a su solicitud 00159/IXTLAHUA/IP/2022 de fecha veinte de mayo de dos mil veintidós; donde solicita lo siguiente: “Solicito la certificación del director de obras públicas y homólogos de esa dirección, la certificación del secretario del ayuntamiento, del contralor, del tesorero (a), del director de ecología, de la directora de transparencia, y de todos los que por ley deban contar con ella, así como saber cuánto están ganando...”;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(RESP.SOL.159) Sin otro particular por el momento quedo de Usted; para cualquier duda y/o aclaración al respecto. A T E N T A M E N T E P. EN CRIM. ANA KAREN MARTÍNEZ MATEOS TITULAR DE LA UNIDAD DE TRANSPARENCIA Y ACCESO A LA INFORMACIÓN MUNICIPAL</w:t>
            </w:r>
          </w:p>
        </w:tc>
      </w:tr>
    </w:tbl>
    <w:p w14:paraId="2653697A" w14:textId="77777777" w:rsidR="00C529CD" w:rsidRPr="00830724" w:rsidRDefault="00C529CD" w:rsidP="00C529CD">
      <w:pPr>
        <w:spacing w:line="360" w:lineRule="auto"/>
        <w:jc w:val="both"/>
        <w:rPr>
          <w:rFonts w:ascii="Palatino Linotype" w:hAnsi="Palatino Linotype" w:cs="Arial"/>
          <w:szCs w:val="22"/>
          <w:lang w:val="es-ES" w:eastAsia="es-ES"/>
        </w:rPr>
      </w:pPr>
    </w:p>
    <w:p w14:paraId="2653697B"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830724">
        <w:rPr>
          <w:rFonts w:ascii="Palatino Linotype" w:eastAsia="Calibri" w:hAnsi="Palatino Linotype" w:cs="Arial"/>
          <w:sz w:val="24"/>
          <w:szCs w:val="22"/>
          <w:lang w:val="es-AR" w:eastAsia="es-ES"/>
        </w:rPr>
        <w:t xml:space="preserve">El </w:t>
      </w:r>
      <w:r w:rsidR="00B07952" w:rsidRPr="00830724">
        <w:rPr>
          <w:rFonts w:ascii="Palatino Linotype" w:eastAsia="Calibri" w:hAnsi="Palatino Linotype" w:cs="Arial"/>
          <w:sz w:val="24"/>
          <w:szCs w:val="22"/>
          <w:lang w:val="es-AR" w:eastAsia="es-ES"/>
        </w:rPr>
        <w:t>veintisiete (27</w:t>
      </w:r>
      <w:r w:rsidRPr="00830724">
        <w:rPr>
          <w:rFonts w:ascii="Palatino Linotype" w:eastAsia="Calibri" w:hAnsi="Palatino Linotype" w:cs="Arial"/>
          <w:sz w:val="24"/>
          <w:szCs w:val="22"/>
          <w:lang w:val="es-AR" w:eastAsia="es-ES"/>
        </w:rPr>
        <w:t>) de junio de dos mil veintidós</w:t>
      </w:r>
      <w:r w:rsidRPr="00830724">
        <w:rPr>
          <w:rFonts w:ascii="Palatino Linotype" w:hAnsi="Palatino Linotype" w:cs="Arial"/>
          <w:sz w:val="24"/>
          <w:szCs w:val="22"/>
          <w:lang w:val="es-ES" w:eastAsia="es-ES"/>
        </w:rPr>
        <w:t xml:space="preserve">, </w:t>
      </w:r>
      <w:r w:rsidRPr="00830724">
        <w:rPr>
          <w:rFonts w:ascii="Palatino Linotype" w:eastAsiaTheme="minorEastAsia" w:hAnsi="Palatino Linotype"/>
          <w:b/>
          <w:sz w:val="24"/>
          <w:szCs w:val="22"/>
          <w:lang w:val="es-ES_tradnl" w:eastAsia="es-ES"/>
        </w:rPr>
        <w:t>EL RECURRENTE</w:t>
      </w:r>
      <w:r w:rsidRPr="00830724">
        <w:rPr>
          <w:rFonts w:ascii="Palatino Linotype" w:hAnsi="Palatino Linotype" w:cs="Arial"/>
          <w:sz w:val="24"/>
          <w:szCs w:val="22"/>
          <w:lang w:val="es-ES" w:eastAsia="es-ES"/>
        </w:rPr>
        <w:t xml:space="preserve"> interpuso el recurso de revisión, en contra de la respuesta, señalando como:</w:t>
      </w:r>
    </w:p>
    <w:p w14:paraId="2653697C" w14:textId="77777777" w:rsidR="00C529CD" w:rsidRPr="00830724" w:rsidRDefault="00C529CD" w:rsidP="00C529CD">
      <w:pPr>
        <w:pStyle w:val="Prrafodelista"/>
        <w:spacing w:line="360" w:lineRule="auto"/>
        <w:ind w:left="0"/>
        <w:jc w:val="both"/>
        <w:rPr>
          <w:rFonts w:ascii="Palatino Linotype" w:hAnsi="Palatino Linotype" w:cs="Arial"/>
          <w:szCs w:val="22"/>
          <w:lang w:val="es-ES" w:eastAsia="es-ES"/>
        </w:rPr>
      </w:pPr>
    </w:p>
    <w:p w14:paraId="2653697D" w14:textId="77777777" w:rsidR="00C529CD" w:rsidRPr="00830724" w:rsidRDefault="00C529CD" w:rsidP="00C529CD">
      <w:pPr>
        <w:spacing w:line="360" w:lineRule="auto"/>
        <w:ind w:left="567" w:right="567"/>
        <w:contextualSpacing/>
        <w:jc w:val="both"/>
        <w:rPr>
          <w:rFonts w:ascii="Palatino Linotype" w:eastAsia="Calibri" w:hAnsi="Palatino Linotype" w:cs="Arial"/>
          <w:i/>
          <w:sz w:val="22"/>
          <w:szCs w:val="22"/>
          <w:lang w:val="es-ES" w:eastAsia="es-ES"/>
        </w:rPr>
      </w:pPr>
      <w:r w:rsidRPr="00830724">
        <w:rPr>
          <w:rFonts w:ascii="Palatino Linotype" w:eastAsiaTheme="minorEastAsia" w:hAnsi="Palatino Linotype"/>
          <w:b/>
          <w:sz w:val="22"/>
          <w:szCs w:val="22"/>
          <w:lang w:val="es-ES_tradnl" w:eastAsia="es-ES"/>
        </w:rPr>
        <w:t>Acto impugnado</w:t>
      </w:r>
      <w:r w:rsidRPr="00830724">
        <w:rPr>
          <w:rFonts w:ascii="Palatino Linotype" w:eastAsiaTheme="minorEastAsia" w:hAnsi="Palatino Linotype"/>
          <w:b/>
          <w:i/>
          <w:sz w:val="22"/>
          <w:szCs w:val="22"/>
          <w:lang w:val="es-ES_tradnl" w:eastAsia="es-ES"/>
        </w:rPr>
        <w:t>:</w:t>
      </w:r>
      <w:r w:rsidRPr="00830724">
        <w:rPr>
          <w:rFonts w:ascii="Palatino Linotype" w:hAnsi="Palatino Linotype"/>
          <w:i/>
          <w:color w:val="000000"/>
          <w:sz w:val="22"/>
          <w:szCs w:val="22"/>
        </w:rPr>
        <w:t xml:space="preserve"> “</w:t>
      </w:r>
      <w:r w:rsidR="00B07952" w:rsidRPr="00830724">
        <w:rPr>
          <w:rFonts w:ascii="Palatino Linotype" w:hAnsi="Palatino Linotype"/>
          <w:i/>
          <w:color w:val="000000"/>
          <w:sz w:val="22"/>
          <w:szCs w:val="22"/>
        </w:rPr>
        <w:t>La información está incompleta</w:t>
      </w:r>
      <w:r w:rsidRPr="00830724">
        <w:rPr>
          <w:rFonts w:ascii="Palatino Linotype" w:hAnsi="Palatino Linotype"/>
          <w:i/>
          <w:color w:val="000000"/>
          <w:sz w:val="22"/>
          <w:szCs w:val="22"/>
        </w:rPr>
        <w:t>" (Sic)</w:t>
      </w:r>
    </w:p>
    <w:p w14:paraId="2653697E" w14:textId="77777777" w:rsidR="00C529CD" w:rsidRPr="00830724" w:rsidRDefault="00C529CD" w:rsidP="00C529CD">
      <w:pPr>
        <w:spacing w:line="360" w:lineRule="auto"/>
        <w:ind w:left="567" w:right="567"/>
        <w:contextualSpacing/>
        <w:jc w:val="both"/>
        <w:rPr>
          <w:rFonts w:ascii="Palatino Linotype" w:eastAsia="Calibri" w:hAnsi="Palatino Linotype" w:cs="Arial"/>
          <w:sz w:val="22"/>
          <w:szCs w:val="22"/>
          <w:lang w:val="es-ES" w:eastAsia="es-ES"/>
        </w:rPr>
      </w:pPr>
    </w:p>
    <w:p w14:paraId="2653697F" w14:textId="77777777" w:rsidR="00C529CD" w:rsidRPr="00830724" w:rsidRDefault="00C529CD" w:rsidP="00B07952">
      <w:pPr>
        <w:spacing w:line="360" w:lineRule="auto"/>
        <w:ind w:left="567" w:right="567"/>
        <w:contextualSpacing/>
        <w:jc w:val="both"/>
        <w:rPr>
          <w:rFonts w:ascii="Palatino Linotype" w:hAnsi="Palatino Linotype"/>
          <w:i/>
          <w:color w:val="000000"/>
          <w:sz w:val="22"/>
          <w:szCs w:val="22"/>
        </w:rPr>
      </w:pPr>
      <w:r w:rsidRPr="00830724">
        <w:rPr>
          <w:rFonts w:ascii="Palatino Linotype" w:eastAsiaTheme="minorEastAsia" w:hAnsi="Palatino Linotype"/>
          <w:b/>
          <w:sz w:val="22"/>
          <w:szCs w:val="22"/>
          <w:lang w:val="es-ES_tradnl" w:eastAsia="es-ES"/>
        </w:rPr>
        <w:lastRenderedPageBreak/>
        <w:t>Razones o Motivos de inconformidad:</w:t>
      </w:r>
      <w:r w:rsidRPr="00830724">
        <w:rPr>
          <w:rFonts w:ascii="Palatino Linotype" w:eastAsiaTheme="majorEastAsia" w:hAnsi="Palatino Linotype" w:cstheme="majorBidi"/>
          <w:b/>
          <w:color w:val="2E74B5" w:themeColor="accent1" w:themeShade="BF"/>
          <w:sz w:val="22"/>
          <w:szCs w:val="22"/>
          <w:lang w:val="es-ES" w:eastAsia="es-ES"/>
        </w:rPr>
        <w:t xml:space="preserve"> </w:t>
      </w:r>
      <w:r w:rsidRPr="00830724">
        <w:rPr>
          <w:rFonts w:ascii="Palatino Linotype" w:eastAsiaTheme="majorEastAsia" w:hAnsi="Palatino Linotype" w:cstheme="majorBidi"/>
          <w:i/>
          <w:sz w:val="22"/>
          <w:szCs w:val="22"/>
          <w:lang w:val="es-ES" w:eastAsia="es-ES"/>
        </w:rPr>
        <w:t>“</w:t>
      </w:r>
      <w:r w:rsidR="00B07952" w:rsidRPr="00830724">
        <w:rPr>
          <w:rFonts w:ascii="Palatino Linotype" w:hAnsi="Palatino Linotype"/>
          <w:i/>
          <w:color w:val="000000"/>
          <w:sz w:val="22"/>
          <w:szCs w:val="22"/>
        </w:rPr>
        <w:t xml:space="preserve">De los que no cuentan con certificación no especifica. El área </w:t>
      </w:r>
      <w:proofErr w:type="spellStart"/>
      <w:r w:rsidR="00B07952" w:rsidRPr="00830724">
        <w:rPr>
          <w:rFonts w:ascii="Palatino Linotype" w:hAnsi="Palatino Linotype"/>
          <w:i/>
          <w:color w:val="000000"/>
          <w:sz w:val="22"/>
          <w:szCs w:val="22"/>
        </w:rPr>
        <w:t>ala</w:t>
      </w:r>
      <w:proofErr w:type="spellEnd"/>
      <w:r w:rsidR="00B07952" w:rsidRPr="00830724">
        <w:rPr>
          <w:rFonts w:ascii="Palatino Linotype" w:hAnsi="Palatino Linotype"/>
          <w:i/>
          <w:color w:val="000000"/>
          <w:sz w:val="22"/>
          <w:szCs w:val="22"/>
        </w:rPr>
        <w:t xml:space="preserve"> cual están adscrito ni tampoco justifican la permanencia para el caso de que sea obligatorio contar con la misma</w:t>
      </w:r>
      <w:r w:rsidRPr="00830724">
        <w:rPr>
          <w:rFonts w:ascii="Palatino Linotype" w:hAnsi="Palatino Linotype"/>
          <w:i/>
          <w:color w:val="000000"/>
          <w:sz w:val="22"/>
          <w:szCs w:val="22"/>
        </w:rPr>
        <w:t>” (Sic).</w:t>
      </w:r>
    </w:p>
    <w:p w14:paraId="26536980"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830724">
        <w:rPr>
          <w:rFonts w:ascii="Palatino Linotype" w:hAnsi="Palatino Linotype" w:cs="Arial"/>
          <w:sz w:val="24"/>
          <w:lang w:val="es-ES" w:eastAsia="es-ES"/>
        </w:rPr>
        <w:t xml:space="preserve">Se registró el recurso de revisión bajo el número de expediente </w:t>
      </w:r>
      <w:r w:rsidRPr="00830724">
        <w:rPr>
          <w:rFonts w:ascii="Palatino Linotype" w:eastAsiaTheme="minorEastAsia" w:hAnsi="Palatino Linotype" w:cs="Arial"/>
          <w:bCs/>
          <w:sz w:val="24"/>
          <w:lang w:val="es-ES_tradnl" w:eastAsia="es-ES"/>
        </w:rPr>
        <w:t xml:space="preserve">al rubro indicado, asimismo con fundamento en lo dispuesto por el </w:t>
      </w:r>
      <w:r w:rsidRPr="00830724">
        <w:rPr>
          <w:rFonts w:ascii="Palatino Linotype" w:eastAsia="Calibri" w:hAnsi="Palatino Linotype" w:cs="Arial"/>
          <w:sz w:val="24"/>
          <w:lang w:val="es-ES" w:eastAsia="es-ES"/>
        </w:rPr>
        <w:t xml:space="preserve">artículo 185 fracción I de la </w:t>
      </w:r>
      <w:r w:rsidRPr="00830724">
        <w:rPr>
          <w:rFonts w:ascii="Palatino Linotype" w:eastAsia="Calibri" w:hAnsi="Palatino Linotype" w:cs="Arial"/>
          <w:b/>
          <w:sz w:val="24"/>
          <w:lang w:val="es-ES" w:eastAsia="es-ES"/>
        </w:rPr>
        <w:t xml:space="preserve">Ley de Transparencia y Acceso a la Información Pública del Estado de México y Municipios </w:t>
      </w:r>
      <w:r w:rsidRPr="00830724">
        <w:rPr>
          <w:rFonts w:ascii="Palatino Linotype" w:hAnsi="Palatino Linotype" w:cs="Arial"/>
          <w:sz w:val="24"/>
          <w:lang w:val="es-ES" w:eastAsia="es-ES"/>
        </w:rPr>
        <w:t xml:space="preserve">se turnó a la </w:t>
      </w:r>
      <w:r w:rsidRPr="00830724">
        <w:rPr>
          <w:rFonts w:ascii="Palatino Linotype" w:hAnsi="Palatino Linotype" w:cs="Arial"/>
          <w:b/>
          <w:sz w:val="24"/>
          <w:lang w:val="es-ES" w:eastAsia="es-ES"/>
        </w:rPr>
        <w:t xml:space="preserve">Comisionada María del Rosario Mejía Ayala, </w:t>
      </w:r>
      <w:r w:rsidRPr="00830724">
        <w:rPr>
          <w:rFonts w:ascii="Palatino Linotype" w:hAnsi="Palatino Linotype" w:cs="Arial"/>
          <w:sz w:val="24"/>
          <w:lang w:val="es-ES" w:eastAsia="es-ES"/>
        </w:rPr>
        <w:t xml:space="preserve">con el objeto de </w:t>
      </w:r>
      <w:r w:rsidRPr="00830724">
        <w:rPr>
          <w:rFonts w:ascii="Palatino Linotype" w:hAnsi="Palatino Linotype" w:cs="Arial"/>
          <w:sz w:val="24"/>
          <w:lang w:eastAsia="es-ES"/>
        </w:rPr>
        <w:t xml:space="preserve">su análisis. </w:t>
      </w:r>
    </w:p>
    <w:p w14:paraId="26536981" w14:textId="77777777" w:rsidR="00C529CD" w:rsidRPr="00830724" w:rsidRDefault="00C529CD" w:rsidP="00C529CD">
      <w:pPr>
        <w:pStyle w:val="Prrafodelista"/>
        <w:spacing w:line="360" w:lineRule="auto"/>
        <w:ind w:left="0"/>
        <w:jc w:val="both"/>
        <w:rPr>
          <w:rFonts w:ascii="Palatino Linotype" w:hAnsi="Palatino Linotype" w:cs="Arial"/>
          <w:sz w:val="24"/>
          <w:szCs w:val="22"/>
          <w:lang w:val="es-ES" w:eastAsia="es-ES"/>
        </w:rPr>
      </w:pPr>
    </w:p>
    <w:p w14:paraId="26536982"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830724">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w:t>
      </w:r>
      <w:r w:rsidR="00B07952" w:rsidRPr="00830724">
        <w:rPr>
          <w:rFonts w:ascii="Palatino Linotype" w:eastAsia="Calibri" w:hAnsi="Palatino Linotype" w:cs="Arial"/>
          <w:sz w:val="24"/>
          <w:lang w:val="es-ES" w:eastAsia="es-ES"/>
        </w:rPr>
        <w:t>fecha treinta (30) de junio</w:t>
      </w:r>
      <w:r w:rsidRPr="00830724">
        <w:rPr>
          <w:rFonts w:ascii="Palatino Linotype" w:eastAsia="Calibri" w:hAnsi="Palatino Linotype" w:cs="Arial"/>
          <w:sz w:val="24"/>
          <w:lang w:val="es-ES" w:eastAsia="es-ES"/>
        </w:rPr>
        <w:t xml:space="preserve"> de dos mil veintidós, puso a disposición de las partes el expediente electrónico </w:t>
      </w:r>
      <w:r w:rsidRPr="00830724">
        <w:rPr>
          <w:rFonts w:ascii="Palatino Linotype" w:eastAsia="Calibri" w:hAnsi="Palatino Linotype" w:cs="Arial"/>
          <w:sz w:val="24"/>
          <w:lang w:val="es-ES_tradnl" w:eastAsia="es-ES"/>
        </w:rPr>
        <w:t xml:space="preserve">vía </w:t>
      </w:r>
      <w:r w:rsidRPr="00830724">
        <w:rPr>
          <w:rFonts w:ascii="Palatino Linotype" w:eastAsia="Calibri" w:hAnsi="Palatino Linotype" w:cs="Arial"/>
          <w:b/>
          <w:sz w:val="24"/>
          <w:lang w:val="es-ES" w:eastAsia="es-ES"/>
        </w:rPr>
        <w:t xml:space="preserve">SAIMEX </w:t>
      </w:r>
      <w:r w:rsidRPr="00830724">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830724">
        <w:rPr>
          <w:rFonts w:ascii="Palatino Linotype" w:eastAsia="Calibri" w:hAnsi="Palatino Linotype" w:cs="Arial"/>
          <w:b/>
          <w:sz w:val="24"/>
          <w:lang w:val="es-ES" w:eastAsia="es-ES"/>
        </w:rPr>
        <w:t>SUJETO OBLIGADO</w:t>
      </w:r>
      <w:r w:rsidRPr="00830724">
        <w:rPr>
          <w:rFonts w:ascii="Palatino Linotype" w:eastAsia="Calibri" w:hAnsi="Palatino Linotype" w:cs="Arial"/>
          <w:sz w:val="24"/>
          <w:lang w:val="es-ES" w:eastAsia="es-ES"/>
        </w:rPr>
        <w:t xml:space="preserve"> presentara el informe justificado procedente. De las constancias que obran en el expediente electrónico SAIMEX el particular no realizó manifestaciones.</w:t>
      </w:r>
    </w:p>
    <w:p w14:paraId="26536983" w14:textId="77777777" w:rsidR="00C529CD" w:rsidRPr="00830724" w:rsidRDefault="00C529CD" w:rsidP="00C529CD">
      <w:pPr>
        <w:pStyle w:val="Prrafodelista"/>
        <w:spacing w:line="360" w:lineRule="auto"/>
        <w:ind w:left="0"/>
        <w:jc w:val="both"/>
        <w:rPr>
          <w:rFonts w:ascii="Palatino Linotype" w:hAnsi="Palatino Linotype" w:cs="Arial"/>
          <w:szCs w:val="22"/>
          <w:lang w:val="es-ES" w:eastAsia="es-ES"/>
        </w:rPr>
      </w:pPr>
    </w:p>
    <w:p w14:paraId="26536984"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830724">
        <w:rPr>
          <w:rFonts w:ascii="Palatino Linotype" w:eastAsia="Calibri" w:hAnsi="Palatino Linotype" w:cs="Arial"/>
          <w:sz w:val="24"/>
          <w:lang w:val="es-ES" w:eastAsia="es-ES"/>
        </w:rPr>
        <w:t xml:space="preserve">El día </w:t>
      </w:r>
      <w:r w:rsidR="00B07952" w:rsidRPr="00830724">
        <w:rPr>
          <w:rFonts w:ascii="Palatino Linotype" w:eastAsia="Calibri" w:hAnsi="Palatino Linotype" w:cs="Arial"/>
          <w:sz w:val="24"/>
          <w:lang w:val="es-ES" w:eastAsia="es-ES"/>
        </w:rPr>
        <w:t>siete (07</w:t>
      </w:r>
      <w:r w:rsidRPr="00830724">
        <w:rPr>
          <w:rFonts w:ascii="Palatino Linotype" w:eastAsia="Calibri" w:hAnsi="Palatino Linotype" w:cs="Arial"/>
          <w:sz w:val="24"/>
          <w:lang w:val="es-ES" w:eastAsia="es-ES"/>
        </w:rPr>
        <w:t xml:space="preserve">) de julio de dos mil veintidós, el </w:t>
      </w:r>
      <w:r w:rsidRPr="00830724">
        <w:rPr>
          <w:rFonts w:ascii="Palatino Linotype" w:eastAsia="Calibri" w:hAnsi="Palatino Linotype" w:cs="Arial"/>
          <w:b/>
          <w:sz w:val="24"/>
          <w:lang w:val="es-ES" w:eastAsia="es-ES"/>
        </w:rPr>
        <w:t>SUJETO OBLIGADO</w:t>
      </w:r>
      <w:r w:rsidRPr="00830724">
        <w:rPr>
          <w:rFonts w:ascii="Palatino Linotype" w:eastAsia="Calibri" w:hAnsi="Palatino Linotype" w:cs="Arial"/>
          <w:sz w:val="24"/>
          <w:lang w:val="es-ES" w:eastAsia="es-ES"/>
        </w:rPr>
        <w:t xml:space="preserve"> rindió informe justificado, mismo que fue puesto a la vista del particular </w:t>
      </w:r>
      <w:r w:rsidR="00B07952" w:rsidRPr="00830724">
        <w:rPr>
          <w:rFonts w:ascii="Palatino Linotype" w:eastAsia="Calibri" w:hAnsi="Palatino Linotype" w:cs="Arial"/>
          <w:sz w:val="24"/>
          <w:lang w:val="es-ES" w:eastAsia="es-ES"/>
        </w:rPr>
        <w:t>el uno (01) de noviembre</w:t>
      </w:r>
      <w:r w:rsidRPr="00830724">
        <w:rPr>
          <w:rFonts w:ascii="Palatino Linotype" w:eastAsia="Calibri" w:hAnsi="Palatino Linotype" w:cs="Arial"/>
          <w:sz w:val="24"/>
          <w:lang w:val="es-ES" w:eastAsia="es-ES"/>
        </w:rPr>
        <w:t xml:space="preserve"> del año en curso y que consta del documento que se describe a continuación:</w:t>
      </w:r>
    </w:p>
    <w:p w14:paraId="26536985" w14:textId="77777777" w:rsidR="00C529CD" w:rsidRPr="00830724" w:rsidRDefault="00C529CD" w:rsidP="00C529CD">
      <w:pPr>
        <w:pStyle w:val="Prrafodelista"/>
        <w:spacing w:line="360" w:lineRule="auto"/>
        <w:ind w:left="0"/>
        <w:jc w:val="both"/>
        <w:rPr>
          <w:rFonts w:ascii="Palatino Linotype" w:eastAsia="Calibri" w:hAnsi="Palatino Linotype" w:cs="Arial"/>
          <w:lang w:val="es-ES" w:eastAsia="es-ES"/>
        </w:rPr>
      </w:pPr>
    </w:p>
    <w:p w14:paraId="26536986" w14:textId="77777777" w:rsidR="00C529CD" w:rsidRPr="00830724" w:rsidRDefault="006B3E36" w:rsidP="00207AAC">
      <w:pPr>
        <w:pStyle w:val="Prrafodelista"/>
        <w:numPr>
          <w:ilvl w:val="0"/>
          <w:numId w:val="1"/>
        </w:numPr>
        <w:spacing w:line="360" w:lineRule="auto"/>
        <w:ind w:left="851" w:firstLine="0"/>
        <w:jc w:val="both"/>
        <w:rPr>
          <w:rFonts w:ascii="Palatino Linotype" w:hAnsi="Palatino Linotype" w:cs="Arial"/>
          <w:sz w:val="24"/>
          <w:szCs w:val="22"/>
          <w:lang w:val="es-ES" w:eastAsia="es-ES"/>
        </w:rPr>
      </w:pPr>
      <w:hyperlink r:id="rId7" w:history="1">
        <w:r w:rsidR="00B07952" w:rsidRPr="00830724">
          <w:rPr>
            <w:rStyle w:val="Hipervnculo"/>
            <w:rFonts w:ascii="Palatino Linotype" w:hAnsi="Palatino Linotype" w:cs="Arial"/>
            <w:b/>
            <w:bCs/>
          </w:rPr>
          <w:t>INFORME JUSTIFICADO sol 159.pdf</w:t>
        </w:r>
      </w:hyperlink>
      <w:hyperlink r:id="rId8" w:history="1"/>
      <w:r w:rsidR="00C529CD" w:rsidRPr="00830724">
        <w:rPr>
          <w:rFonts w:ascii="Palatino Linotype" w:hAnsi="Palatino Linotype"/>
        </w:rPr>
        <w:t xml:space="preserve">: </w:t>
      </w:r>
      <w:r w:rsidR="00B07952" w:rsidRPr="00830724">
        <w:rPr>
          <w:rFonts w:ascii="Palatino Linotype" w:hAnsi="Palatino Linotype"/>
        </w:rPr>
        <w:t xml:space="preserve">informe justificado de fecha siete de julio de dos mil veintidós, suscrito por el Titular de la Unidad de Transparencia y </w:t>
      </w:r>
      <w:r w:rsidR="00B07952" w:rsidRPr="00830724">
        <w:rPr>
          <w:rFonts w:ascii="Palatino Linotype" w:hAnsi="Palatino Linotype"/>
        </w:rPr>
        <w:lastRenderedPageBreak/>
        <w:t xml:space="preserve">Acceso a la Información Pública Municipal mediante el cual señaló de forma medular </w:t>
      </w:r>
      <w:r w:rsidR="00207AAC" w:rsidRPr="00830724">
        <w:rPr>
          <w:rFonts w:ascii="Palatino Linotype" w:hAnsi="Palatino Linotype"/>
        </w:rPr>
        <w:t xml:space="preserve">que se envía información para complementar la anteriormente proporcionada. </w:t>
      </w:r>
    </w:p>
    <w:p w14:paraId="26536987" w14:textId="77777777" w:rsidR="00207AAC" w:rsidRPr="00830724" w:rsidRDefault="00C529CD" w:rsidP="00207AAC">
      <w:pPr>
        <w:pStyle w:val="Prrafodelista"/>
        <w:numPr>
          <w:ilvl w:val="0"/>
          <w:numId w:val="2"/>
        </w:numPr>
        <w:spacing w:line="360" w:lineRule="auto"/>
        <w:ind w:left="0" w:firstLine="0"/>
        <w:jc w:val="both"/>
        <w:rPr>
          <w:rFonts w:ascii="Palatino Linotype" w:hAnsi="Palatino Linotype" w:cs="Arial"/>
          <w:sz w:val="24"/>
          <w:szCs w:val="22"/>
          <w:lang w:val="es-ES" w:eastAsia="es-ES"/>
        </w:rPr>
      </w:pPr>
      <w:r w:rsidRPr="00830724">
        <w:rPr>
          <w:rFonts w:ascii="Palatino Linotype" w:eastAsia="Calibri" w:hAnsi="Palatino Linotype" w:cs="Arial"/>
          <w:sz w:val="24"/>
          <w:lang w:val="es-ES"/>
        </w:rPr>
        <w:t xml:space="preserve">El </w:t>
      </w:r>
      <w:r w:rsidR="00207AAC" w:rsidRPr="00830724">
        <w:rPr>
          <w:rFonts w:ascii="Palatino Linotype" w:eastAsia="Calibri" w:hAnsi="Palatino Linotype" w:cs="Arial"/>
          <w:sz w:val="24"/>
          <w:lang w:val="es-ES"/>
        </w:rPr>
        <w:t xml:space="preserve">uno (01) de noviembre </w:t>
      </w:r>
      <w:r w:rsidRPr="00830724">
        <w:rPr>
          <w:rFonts w:ascii="Palatino Linotype" w:eastAsia="Calibri" w:hAnsi="Palatino Linotype" w:cs="Arial"/>
          <w:sz w:val="24"/>
          <w:lang w:val="es-ES"/>
        </w:rPr>
        <w:t xml:space="preserve">  de dos mil veintidós, se notificó mediante acuerdo que el plazo para resolver el recurso de revisión, se ampliaría por un</w:t>
      </w:r>
      <w:r w:rsidR="00207AAC" w:rsidRPr="00830724">
        <w:rPr>
          <w:rFonts w:ascii="Palatino Linotype" w:eastAsia="Calibri" w:hAnsi="Palatino Linotype" w:cs="Arial"/>
          <w:sz w:val="24"/>
          <w:lang w:val="es-ES"/>
        </w:rPr>
        <w:t xml:space="preserve"> periodo de quince días hábiles.</w:t>
      </w:r>
    </w:p>
    <w:p w14:paraId="26536988" w14:textId="77777777" w:rsidR="00207AAC" w:rsidRPr="00830724" w:rsidRDefault="00207AAC" w:rsidP="00207AAC">
      <w:pPr>
        <w:pStyle w:val="Prrafodelista"/>
        <w:spacing w:line="360" w:lineRule="auto"/>
        <w:ind w:left="0"/>
        <w:jc w:val="both"/>
        <w:rPr>
          <w:rFonts w:ascii="Palatino Linotype" w:hAnsi="Palatino Linotype" w:cs="Arial"/>
          <w:sz w:val="24"/>
          <w:szCs w:val="22"/>
          <w:lang w:val="es-ES" w:eastAsia="es-ES"/>
        </w:rPr>
      </w:pPr>
    </w:p>
    <w:p w14:paraId="26536989" w14:textId="77777777" w:rsidR="00207AAC" w:rsidRPr="00830724" w:rsidRDefault="00207AAC" w:rsidP="00207AAC">
      <w:pPr>
        <w:pStyle w:val="Prrafodelista"/>
        <w:numPr>
          <w:ilvl w:val="0"/>
          <w:numId w:val="2"/>
        </w:numPr>
        <w:spacing w:line="360" w:lineRule="auto"/>
        <w:ind w:left="0" w:firstLine="0"/>
        <w:jc w:val="both"/>
        <w:rPr>
          <w:rFonts w:ascii="Palatino Linotype" w:hAnsi="Palatino Linotype" w:cs="Arial"/>
          <w:sz w:val="28"/>
          <w:szCs w:val="22"/>
          <w:lang w:val="es-ES" w:eastAsia="es-ES"/>
        </w:rPr>
      </w:pPr>
      <w:r w:rsidRPr="00830724">
        <w:rPr>
          <w:rFonts w:ascii="Palatino Linotype" w:hAnsi="Palatino Linotype"/>
          <w:sz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653698A" w14:textId="77777777" w:rsidR="00207AAC" w:rsidRPr="00830724" w:rsidRDefault="00207AAC" w:rsidP="00207AAC">
      <w:pPr>
        <w:spacing w:line="360" w:lineRule="auto"/>
        <w:rPr>
          <w:rFonts w:ascii="Palatino Linotype" w:hAnsi="Palatino Linotype"/>
        </w:rPr>
      </w:pPr>
    </w:p>
    <w:p w14:paraId="2653698B"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653698C" w14:textId="77777777" w:rsidR="00207AAC" w:rsidRPr="00830724" w:rsidRDefault="00207AAC" w:rsidP="00207AAC">
      <w:pPr>
        <w:spacing w:line="360" w:lineRule="auto"/>
        <w:rPr>
          <w:rFonts w:ascii="Palatino Linotype" w:hAnsi="Palatino Linotype"/>
        </w:rPr>
      </w:pPr>
    </w:p>
    <w:p w14:paraId="2653698D"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 xml:space="preserve">Así, en términos de lo que establecen los artículos 8.1 y 25 de la Convención Americana sobre Derechos Humanos, los recursos deben ser sencillos y resolverse en </w:t>
      </w:r>
      <w:r w:rsidRPr="00830724">
        <w:rPr>
          <w:rFonts w:ascii="Palatino Linotype" w:hAnsi="Palatino Linotype"/>
        </w:rPr>
        <w:lastRenderedPageBreak/>
        <w:t>el menor tiempo posible, tomando en consideración la dilación total del procedimiento; esto es, en un plazo razonable.</w:t>
      </w:r>
    </w:p>
    <w:p w14:paraId="2653698E" w14:textId="77777777" w:rsidR="00207AAC" w:rsidRPr="00830724" w:rsidRDefault="00207AAC" w:rsidP="00207AAC">
      <w:pPr>
        <w:spacing w:line="360" w:lineRule="auto"/>
        <w:rPr>
          <w:rFonts w:ascii="Palatino Linotype" w:hAnsi="Palatino Linotype"/>
        </w:rPr>
      </w:pPr>
    </w:p>
    <w:p w14:paraId="2653698F"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536990" w14:textId="77777777" w:rsidR="00207AAC" w:rsidRPr="00830724" w:rsidRDefault="00207AAC" w:rsidP="00207AAC">
      <w:pPr>
        <w:spacing w:line="360" w:lineRule="auto"/>
        <w:rPr>
          <w:rFonts w:ascii="Palatino Linotype" w:hAnsi="Palatino Linotype"/>
        </w:rPr>
      </w:pPr>
    </w:p>
    <w:p w14:paraId="26536991"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6536992" w14:textId="77777777" w:rsidR="00207AAC" w:rsidRPr="00830724" w:rsidRDefault="00207AAC" w:rsidP="00207AAC">
      <w:pPr>
        <w:spacing w:line="360" w:lineRule="auto"/>
        <w:rPr>
          <w:rFonts w:ascii="Palatino Linotype" w:hAnsi="Palatino Linotype"/>
        </w:rPr>
      </w:pPr>
    </w:p>
    <w:p w14:paraId="26536993" w14:textId="77777777" w:rsidR="00207AAC" w:rsidRPr="00830724" w:rsidRDefault="00207AAC" w:rsidP="00207AAC">
      <w:pPr>
        <w:pStyle w:val="Prrafodelista"/>
        <w:numPr>
          <w:ilvl w:val="0"/>
          <w:numId w:val="6"/>
        </w:numPr>
        <w:spacing w:line="360" w:lineRule="auto"/>
        <w:jc w:val="both"/>
        <w:rPr>
          <w:rFonts w:ascii="Palatino Linotype" w:hAnsi="Palatino Linotype"/>
          <w:sz w:val="24"/>
        </w:rPr>
      </w:pPr>
      <w:r w:rsidRPr="00830724">
        <w:rPr>
          <w:rFonts w:ascii="Palatino Linotype" w:hAnsi="Palatino Linotype"/>
          <w:sz w:val="24"/>
        </w:rPr>
        <w:t xml:space="preserve">Complejidad del Asunto: La complejidad de la prueba, la pluralidad de sujetos procesales, el tiempo transcurrido, las características y contexto del recurso. </w:t>
      </w:r>
    </w:p>
    <w:p w14:paraId="26536994" w14:textId="77777777" w:rsidR="00207AAC" w:rsidRPr="00830724" w:rsidRDefault="00207AAC" w:rsidP="00207AAC">
      <w:pPr>
        <w:pStyle w:val="Prrafodelista"/>
        <w:spacing w:line="360" w:lineRule="auto"/>
        <w:ind w:left="927"/>
        <w:jc w:val="both"/>
        <w:rPr>
          <w:rFonts w:ascii="Palatino Linotype" w:hAnsi="Palatino Linotype"/>
          <w:sz w:val="24"/>
        </w:rPr>
      </w:pPr>
    </w:p>
    <w:p w14:paraId="26536995" w14:textId="77777777" w:rsidR="00207AAC" w:rsidRPr="00830724" w:rsidRDefault="00207AAC" w:rsidP="00207AAC">
      <w:pPr>
        <w:pStyle w:val="Prrafodelista"/>
        <w:numPr>
          <w:ilvl w:val="0"/>
          <w:numId w:val="6"/>
        </w:numPr>
        <w:spacing w:line="360" w:lineRule="auto"/>
        <w:jc w:val="both"/>
        <w:rPr>
          <w:rFonts w:ascii="Palatino Linotype" w:hAnsi="Palatino Linotype"/>
          <w:sz w:val="24"/>
        </w:rPr>
      </w:pPr>
      <w:r w:rsidRPr="00830724">
        <w:rPr>
          <w:rFonts w:ascii="Palatino Linotype" w:hAnsi="Palatino Linotype"/>
          <w:sz w:val="24"/>
        </w:rPr>
        <w:t>Actividad Procesal del interesado. Acciones u omisiones del interesado.</w:t>
      </w:r>
    </w:p>
    <w:p w14:paraId="26536996" w14:textId="77777777" w:rsidR="00207AAC" w:rsidRPr="00830724" w:rsidRDefault="00207AAC" w:rsidP="00207AAC">
      <w:pPr>
        <w:spacing w:line="360" w:lineRule="auto"/>
        <w:jc w:val="both"/>
        <w:rPr>
          <w:rFonts w:ascii="Palatino Linotype" w:hAnsi="Palatino Linotype"/>
        </w:rPr>
      </w:pPr>
    </w:p>
    <w:p w14:paraId="26536997" w14:textId="77777777" w:rsidR="00207AAC" w:rsidRPr="00830724" w:rsidRDefault="00207AAC" w:rsidP="00207AAC">
      <w:pPr>
        <w:pStyle w:val="Prrafodelista"/>
        <w:numPr>
          <w:ilvl w:val="0"/>
          <w:numId w:val="6"/>
        </w:numPr>
        <w:spacing w:line="360" w:lineRule="auto"/>
        <w:jc w:val="both"/>
        <w:rPr>
          <w:rFonts w:ascii="Palatino Linotype" w:hAnsi="Palatino Linotype"/>
          <w:sz w:val="24"/>
        </w:rPr>
      </w:pPr>
      <w:r w:rsidRPr="00830724">
        <w:rPr>
          <w:rFonts w:ascii="Palatino Linotype" w:hAnsi="Palatino Linotype"/>
          <w:sz w:val="24"/>
        </w:rPr>
        <w:t>Conducta de la Autoridad: Las Acciones u omisiones realizadas en el procedimiento. Así como si la autoridad actuó con la debida diligencia.</w:t>
      </w:r>
    </w:p>
    <w:p w14:paraId="26536998" w14:textId="77777777" w:rsidR="00207AAC" w:rsidRPr="00830724" w:rsidRDefault="00207AAC" w:rsidP="00207AAC">
      <w:pPr>
        <w:pStyle w:val="Prrafodelista"/>
        <w:spacing w:line="360" w:lineRule="auto"/>
        <w:rPr>
          <w:rFonts w:ascii="Palatino Linotype" w:hAnsi="Palatino Linotype"/>
          <w:sz w:val="24"/>
        </w:rPr>
      </w:pPr>
    </w:p>
    <w:p w14:paraId="26536999" w14:textId="77777777" w:rsidR="00207AAC" w:rsidRPr="00830724" w:rsidRDefault="00207AAC" w:rsidP="00207AAC">
      <w:pPr>
        <w:spacing w:line="360" w:lineRule="auto"/>
        <w:ind w:left="567"/>
        <w:jc w:val="both"/>
        <w:rPr>
          <w:rFonts w:ascii="Palatino Linotype" w:hAnsi="Palatino Linotype"/>
        </w:rPr>
      </w:pPr>
      <w:r w:rsidRPr="00830724">
        <w:rPr>
          <w:rFonts w:ascii="Palatino Linotype" w:hAnsi="Palatino Linotype"/>
        </w:rPr>
        <w:t>d) La afectación generada en la situación jurídica de la persona involucrada en el proceso: Violación a sus derechos humanos.</w:t>
      </w:r>
    </w:p>
    <w:p w14:paraId="2653699A" w14:textId="77777777" w:rsidR="00207AAC" w:rsidRPr="00830724" w:rsidRDefault="00207AAC" w:rsidP="00207AAC">
      <w:pPr>
        <w:spacing w:line="360" w:lineRule="auto"/>
        <w:rPr>
          <w:rFonts w:ascii="Palatino Linotype" w:hAnsi="Palatino Linotype"/>
        </w:rPr>
      </w:pPr>
    </w:p>
    <w:p w14:paraId="2653699B"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53699C" w14:textId="77777777" w:rsidR="00207AAC" w:rsidRPr="00830724" w:rsidRDefault="00207AAC" w:rsidP="00207AAC">
      <w:pPr>
        <w:spacing w:line="360" w:lineRule="auto"/>
        <w:jc w:val="both"/>
        <w:rPr>
          <w:rFonts w:ascii="Palatino Linotype" w:eastAsia="MS Mincho" w:hAnsi="Palatino Linotype"/>
          <w:b/>
        </w:rPr>
      </w:pPr>
    </w:p>
    <w:p w14:paraId="2653699D"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Argumento que encuentra sustento en la jurisprudencia P</w:t>
      </w:r>
      <w:proofErr w:type="gramStart"/>
      <w:r w:rsidRPr="00830724">
        <w:rPr>
          <w:rFonts w:ascii="Palatino Linotype" w:hAnsi="Palatino Linotype"/>
        </w:rPr>
        <w:t>./</w:t>
      </w:r>
      <w:proofErr w:type="gramEnd"/>
      <w:r w:rsidRPr="00830724">
        <w:rPr>
          <w:rFonts w:ascii="Palatino Linotype" w:hAnsi="Palatino Linotype"/>
        </w:rPr>
        <w:t xml:space="preserve">J. 32/92 emitida por el Pleno de la Suprema Corte de Justicia de la Nación de rubro </w:t>
      </w:r>
      <w:r w:rsidRPr="0083072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30724">
        <w:rPr>
          <w:rFonts w:ascii="Palatino Linotype" w:hAnsi="Palatino Linotype"/>
        </w:rPr>
        <w:t>, visible en la Gaceta del Seminario Judicial de la Federación con el registro digital 205635.</w:t>
      </w:r>
    </w:p>
    <w:p w14:paraId="2653699E" w14:textId="77777777" w:rsidR="00207AAC" w:rsidRPr="00830724" w:rsidRDefault="00207AAC" w:rsidP="00207AAC">
      <w:pPr>
        <w:spacing w:line="360" w:lineRule="auto"/>
        <w:rPr>
          <w:rFonts w:ascii="Palatino Linotype" w:hAnsi="Palatino Linotype"/>
        </w:rPr>
      </w:pPr>
    </w:p>
    <w:p w14:paraId="2653699F"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5369A0" w14:textId="77777777" w:rsidR="00207AAC" w:rsidRPr="00830724" w:rsidRDefault="00207AAC" w:rsidP="00207AAC">
      <w:pPr>
        <w:spacing w:line="360" w:lineRule="auto"/>
        <w:rPr>
          <w:rFonts w:ascii="Palatino Linotype" w:hAnsi="Palatino Linotype"/>
        </w:rPr>
      </w:pPr>
    </w:p>
    <w:p w14:paraId="265369A1"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65369A2" w14:textId="77777777" w:rsidR="00207AAC" w:rsidRPr="00830724" w:rsidRDefault="00207AAC" w:rsidP="00207AAC">
      <w:pPr>
        <w:numPr>
          <w:ilvl w:val="0"/>
          <w:numId w:val="2"/>
        </w:numPr>
        <w:spacing w:line="360" w:lineRule="auto"/>
        <w:ind w:left="0" w:firstLine="0"/>
        <w:contextualSpacing/>
        <w:jc w:val="both"/>
        <w:rPr>
          <w:rFonts w:ascii="Palatino Linotype" w:eastAsia="MS Mincho" w:hAnsi="Palatino Linotype"/>
          <w:b/>
        </w:rPr>
      </w:pPr>
      <w:r w:rsidRPr="0083072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65369A3" w14:textId="77777777" w:rsidR="00207AAC" w:rsidRPr="00830724" w:rsidRDefault="00207AAC" w:rsidP="00207AAC">
      <w:pPr>
        <w:spacing w:line="360" w:lineRule="auto"/>
        <w:jc w:val="both"/>
        <w:rPr>
          <w:rFonts w:ascii="Palatino Linotype" w:hAnsi="Palatino Linotype"/>
        </w:rPr>
      </w:pPr>
    </w:p>
    <w:p w14:paraId="265369A4" w14:textId="77777777" w:rsidR="00207AAC" w:rsidRPr="00830724" w:rsidRDefault="00207AAC" w:rsidP="00207AAC">
      <w:pPr>
        <w:spacing w:line="360" w:lineRule="auto"/>
        <w:ind w:left="851" w:right="822"/>
        <w:jc w:val="both"/>
        <w:rPr>
          <w:rFonts w:ascii="Palatino Linotype" w:hAnsi="Palatino Linotype"/>
        </w:rPr>
      </w:pPr>
      <w:r w:rsidRPr="00830724">
        <w:rPr>
          <w:rFonts w:ascii="Palatino Linotype" w:hAnsi="Palatino Linotype"/>
        </w:rPr>
        <w:t xml:space="preserve"> </w:t>
      </w:r>
      <w:r w:rsidRPr="00830724">
        <w:rPr>
          <w:rFonts w:ascii="Palatino Linotype" w:hAnsi="Palatino Linotype"/>
          <w:i/>
        </w:rPr>
        <w:t>“PLAZO RAZONABLE PARA RESOLVER. DIMENSIÓN Y EFECTOS DE ESTE CONCEPTO CUANDO SE ADUCE EXCESIVA CARGA DE TRABAJO.”</w:t>
      </w:r>
      <w:r w:rsidRPr="00830724">
        <w:rPr>
          <w:rFonts w:ascii="Palatino Linotype" w:hAnsi="Palatino Linotype"/>
        </w:rPr>
        <w:t xml:space="preserve"> consultable en el Seminario Judicial de la Federación y su gaceta, con el registro digital 2002351.</w:t>
      </w:r>
    </w:p>
    <w:p w14:paraId="265369A5" w14:textId="77777777" w:rsidR="00207AAC" w:rsidRPr="00830724" w:rsidRDefault="00207AAC" w:rsidP="00207AAC">
      <w:pPr>
        <w:spacing w:line="360" w:lineRule="auto"/>
        <w:ind w:left="851" w:right="822"/>
        <w:jc w:val="both"/>
        <w:rPr>
          <w:rFonts w:ascii="Palatino Linotype" w:hAnsi="Palatino Linotype"/>
          <w:b/>
        </w:rPr>
      </w:pPr>
    </w:p>
    <w:p w14:paraId="265369A6" w14:textId="77777777" w:rsidR="00207AAC" w:rsidRPr="00830724" w:rsidRDefault="00207AAC" w:rsidP="00207AAC">
      <w:pPr>
        <w:spacing w:line="360" w:lineRule="auto"/>
        <w:ind w:left="851" w:right="822"/>
        <w:jc w:val="both"/>
        <w:rPr>
          <w:rFonts w:ascii="Palatino Linotype" w:hAnsi="Palatino Linotype"/>
        </w:rPr>
      </w:pPr>
      <w:r w:rsidRPr="00830724">
        <w:rPr>
          <w:rFonts w:ascii="Palatino Linotype" w:hAnsi="Palatino Linotype"/>
          <w:i/>
        </w:rPr>
        <w:t>“PLAZO RAZONABLE PARA RESOLVER. CONCEPTO Y ELEMENTOS QUE LO INTEGRAN A LA LUZ DEL DERECHO INTERNACIONAL DE LOS DERECHOS HUMANOS.”</w:t>
      </w:r>
      <w:r w:rsidRPr="00830724">
        <w:rPr>
          <w:rFonts w:ascii="Palatino Linotype" w:hAnsi="Palatino Linotype"/>
        </w:rPr>
        <w:t>, visible en el Seminario Judicial de la Federación y su gaceta, con el registro digital 2002350.</w:t>
      </w:r>
    </w:p>
    <w:p w14:paraId="265369A7" w14:textId="77777777" w:rsidR="00207AAC" w:rsidRPr="00830724" w:rsidRDefault="00207AAC" w:rsidP="00207AAC">
      <w:pPr>
        <w:spacing w:line="360" w:lineRule="auto"/>
        <w:ind w:right="822"/>
        <w:jc w:val="both"/>
        <w:rPr>
          <w:rFonts w:ascii="Palatino Linotype" w:hAnsi="Palatino Linotype"/>
          <w:i/>
        </w:rPr>
      </w:pPr>
    </w:p>
    <w:p w14:paraId="265369A8" w14:textId="77777777" w:rsidR="00207AAC" w:rsidRPr="00830724" w:rsidRDefault="00207AAC" w:rsidP="00207AAC">
      <w:pPr>
        <w:pStyle w:val="Prrafodelista"/>
        <w:numPr>
          <w:ilvl w:val="0"/>
          <w:numId w:val="2"/>
        </w:numPr>
        <w:spacing w:line="360" w:lineRule="auto"/>
        <w:ind w:left="0" w:right="113" w:firstLine="0"/>
        <w:jc w:val="both"/>
        <w:rPr>
          <w:rFonts w:ascii="Palatino Linotype" w:hAnsi="Palatino Linotype"/>
          <w:sz w:val="24"/>
        </w:rPr>
      </w:pPr>
      <w:r w:rsidRPr="00830724">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14:paraId="265369A9" w14:textId="77777777" w:rsidR="00207AAC" w:rsidRPr="00830724" w:rsidRDefault="00207AAC" w:rsidP="00207AAC">
      <w:pPr>
        <w:pStyle w:val="Prrafodelista"/>
        <w:spacing w:line="360" w:lineRule="auto"/>
        <w:ind w:left="0" w:right="113"/>
        <w:jc w:val="both"/>
        <w:rPr>
          <w:rFonts w:ascii="Palatino Linotype" w:hAnsi="Palatino Linotype"/>
          <w:sz w:val="24"/>
        </w:rPr>
      </w:pPr>
    </w:p>
    <w:p w14:paraId="265369AA" w14:textId="77777777" w:rsidR="00207AAC" w:rsidRPr="00830724" w:rsidRDefault="00207AAC" w:rsidP="00207AAC">
      <w:pPr>
        <w:pStyle w:val="Prrafodelista"/>
        <w:numPr>
          <w:ilvl w:val="0"/>
          <w:numId w:val="2"/>
        </w:numPr>
        <w:spacing w:line="360" w:lineRule="auto"/>
        <w:ind w:left="0" w:right="113" w:firstLine="0"/>
        <w:jc w:val="both"/>
        <w:rPr>
          <w:rFonts w:ascii="Palatino Linotype" w:hAnsi="Palatino Linotype"/>
          <w:sz w:val="24"/>
        </w:rPr>
      </w:pPr>
      <w:r w:rsidRPr="00830724">
        <w:rPr>
          <w:rFonts w:ascii="Palatino Linotype" w:eastAsiaTheme="minorEastAsia" w:hAnsi="Palatino Linotype"/>
          <w:sz w:val="24"/>
          <w:lang w:val="es-ES_tradnl" w:eastAsia="es-ES"/>
        </w:rPr>
        <w:t>El Comisionado Ponente decretó el cierre de instrucción</w:t>
      </w:r>
      <w:r w:rsidRPr="00830724">
        <w:rPr>
          <w:rFonts w:ascii="Palatino Linotype" w:eastAsiaTheme="minorEastAsia" w:hAnsi="Palatino Linotype" w:cs="Arial"/>
          <w:sz w:val="24"/>
          <w:lang w:val="es-ES_tradnl" w:eastAsia="es-ES"/>
        </w:rPr>
        <w:t xml:space="preserve"> </w:t>
      </w:r>
      <w:r w:rsidRPr="00830724">
        <w:rPr>
          <w:rFonts w:ascii="Palatino Linotype" w:eastAsiaTheme="minorEastAsia" w:hAnsi="Palatino Linotype"/>
          <w:sz w:val="24"/>
          <w:lang w:val="es-ES_tradnl" w:eastAsia="es-ES"/>
        </w:rPr>
        <w:t xml:space="preserve">mediante el acuerdo de fecha ocho (08) de noviembre  de dos mil veintidós. </w:t>
      </w:r>
    </w:p>
    <w:p w14:paraId="265369AB" w14:textId="77777777" w:rsidR="00C529CD" w:rsidRPr="00830724" w:rsidRDefault="00C529CD" w:rsidP="00C529CD">
      <w:pPr>
        <w:spacing w:line="360" w:lineRule="auto"/>
        <w:jc w:val="center"/>
        <w:rPr>
          <w:rFonts w:ascii="Palatino Linotype" w:hAnsi="Palatino Linotype" w:cs="Arial"/>
          <w:szCs w:val="22"/>
          <w:lang w:val="es-ES" w:eastAsia="es-ES"/>
        </w:rPr>
      </w:pPr>
    </w:p>
    <w:p w14:paraId="265369AC" w14:textId="77777777" w:rsidR="00C529CD" w:rsidRPr="00830724" w:rsidRDefault="00C529CD" w:rsidP="00C529CD">
      <w:pPr>
        <w:spacing w:line="360" w:lineRule="auto"/>
        <w:jc w:val="center"/>
        <w:rPr>
          <w:rFonts w:ascii="Palatino Linotype" w:hAnsi="Palatino Linotype" w:cs="Arial"/>
          <w:szCs w:val="22"/>
          <w:lang w:val="es-ES" w:eastAsia="es-ES"/>
        </w:rPr>
      </w:pPr>
    </w:p>
    <w:p w14:paraId="265369AD" w14:textId="77777777" w:rsidR="00207AAC" w:rsidRPr="00830724" w:rsidRDefault="00207AAC" w:rsidP="00C529CD">
      <w:pPr>
        <w:spacing w:line="360" w:lineRule="auto"/>
        <w:jc w:val="center"/>
        <w:rPr>
          <w:rFonts w:ascii="Palatino Linotype" w:hAnsi="Palatino Linotype" w:cs="Arial"/>
          <w:szCs w:val="22"/>
          <w:lang w:val="es-ES" w:eastAsia="es-ES"/>
        </w:rPr>
      </w:pPr>
    </w:p>
    <w:p w14:paraId="265369AE" w14:textId="77777777" w:rsidR="00207AAC" w:rsidRPr="00830724" w:rsidRDefault="00207AAC" w:rsidP="00C529CD">
      <w:pPr>
        <w:spacing w:line="360" w:lineRule="auto"/>
        <w:jc w:val="center"/>
        <w:rPr>
          <w:rFonts w:ascii="Palatino Linotype" w:hAnsi="Palatino Linotype" w:cs="Arial"/>
          <w:szCs w:val="22"/>
          <w:lang w:val="es-ES" w:eastAsia="es-ES"/>
        </w:rPr>
      </w:pPr>
    </w:p>
    <w:p w14:paraId="265369AF" w14:textId="77777777" w:rsidR="00C529CD" w:rsidRPr="00830724" w:rsidRDefault="00C529CD" w:rsidP="00207AAC">
      <w:pPr>
        <w:spacing w:line="360" w:lineRule="auto"/>
        <w:jc w:val="center"/>
        <w:rPr>
          <w:rFonts w:ascii="Palatino Linotype" w:hAnsi="Palatino Linotype" w:cs="Arial"/>
          <w:lang w:eastAsia="es-ES"/>
        </w:rPr>
      </w:pPr>
      <w:bookmarkStart w:id="1" w:name="_Toc66992242"/>
      <w:r w:rsidRPr="00830724">
        <w:rPr>
          <w:rFonts w:ascii="Palatino Linotype" w:hAnsi="Palatino Linotype" w:cs="Arial"/>
          <w:b/>
          <w:lang w:eastAsia="es-ES"/>
        </w:rPr>
        <w:t>CONSIDERANDO</w:t>
      </w:r>
      <w:bookmarkEnd w:id="1"/>
    </w:p>
    <w:p w14:paraId="265369B0" w14:textId="77777777" w:rsidR="00207AAC" w:rsidRPr="00830724" w:rsidRDefault="00207AAC" w:rsidP="00207AAC">
      <w:pPr>
        <w:spacing w:line="360" w:lineRule="auto"/>
        <w:jc w:val="center"/>
        <w:rPr>
          <w:rFonts w:ascii="Palatino Linotype" w:hAnsi="Palatino Linotype" w:cs="Arial"/>
          <w:lang w:eastAsia="es-ES"/>
        </w:rPr>
      </w:pPr>
    </w:p>
    <w:p w14:paraId="265369B1" w14:textId="77777777" w:rsidR="00C529CD" w:rsidRPr="00830724" w:rsidRDefault="00C529CD" w:rsidP="00C529CD">
      <w:pPr>
        <w:spacing w:line="360" w:lineRule="auto"/>
        <w:jc w:val="both"/>
        <w:rPr>
          <w:rFonts w:ascii="Palatino Linotype" w:hAnsi="Palatino Linotype" w:cs="Arial"/>
          <w:b/>
          <w:lang w:eastAsia="es-ES"/>
        </w:rPr>
      </w:pPr>
      <w:bookmarkStart w:id="2" w:name="_Toc66992243"/>
      <w:r w:rsidRPr="00830724">
        <w:rPr>
          <w:rFonts w:ascii="Palatino Linotype" w:hAnsi="Palatino Linotype" w:cs="Arial"/>
          <w:b/>
          <w:lang w:eastAsia="es-ES"/>
        </w:rPr>
        <w:t>PRIMERO. De la competencia</w:t>
      </w:r>
      <w:bookmarkEnd w:id="2"/>
    </w:p>
    <w:p w14:paraId="265369B2" w14:textId="77777777" w:rsidR="00C529CD" w:rsidRPr="00830724" w:rsidRDefault="00C529CD" w:rsidP="00C529CD">
      <w:pPr>
        <w:spacing w:line="360" w:lineRule="auto"/>
        <w:jc w:val="both"/>
        <w:rPr>
          <w:rFonts w:ascii="Palatino Linotype" w:hAnsi="Palatino Linotype" w:cs="Arial"/>
          <w:lang w:val="es-ES" w:eastAsia="es-ES"/>
        </w:rPr>
      </w:pPr>
    </w:p>
    <w:p w14:paraId="265369B3"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lang w:val="es-ES" w:eastAsia="es-ES"/>
        </w:rPr>
      </w:pPr>
      <w:r w:rsidRPr="00830724">
        <w:rPr>
          <w:rFonts w:ascii="Palatino Linotype" w:eastAsia="Calibri" w:hAnsi="Palatino Linotype"/>
          <w:sz w:val="24"/>
          <w:lang w:val="es-ES" w:eastAsia="es-ES"/>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65369B4" w14:textId="77777777" w:rsidR="00C529CD" w:rsidRPr="00830724" w:rsidRDefault="00C529CD" w:rsidP="00C529CD">
      <w:pPr>
        <w:pStyle w:val="Prrafodelista"/>
        <w:spacing w:line="360" w:lineRule="auto"/>
        <w:ind w:left="0"/>
        <w:jc w:val="both"/>
        <w:rPr>
          <w:rFonts w:ascii="Palatino Linotype" w:hAnsi="Palatino Linotype" w:cs="Arial"/>
          <w:sz w:val="24"/>
          <w:lang w:val="es-ES" w:eastAsia="es-ES"/>
        </w:rPr>
      </w:pPr>
    </w:p>
    <w:p w14:paraId="265369B5" w14:textId="77777777" w:rsidR="00C529CD" w:rsidRPr="00830724" w:rsidRDefault="00C529CD" w:rsidP="00C529CD">
      <w:pPr>
        <w:keepNext/>
        <w:keepLines/>
        <w:spacing w:line="360" w:lineRule="auto"/>
        <w:outlineLvl w:val="1"/>
        <w:rPr>
          <w:rFonts w:ascii="Palatino Linotype" w:eastAsiaTheme="majorEastAsia" w:hAnsi="Palatino Linotype" w:cstheme="majorBidi"/>
          <w:b/>
        </w:rPr>
      </w:pPr>
      <w:bookmarkStart w:id="3" w:name="_Toc66992244"/>
      <w:r w:rsidRPr="00830724">
        <w:rPr>
          <w:rFonts w:ascii="Palatino Linotype" w:eastAsiaTheme="majorEastAsia" w:hAnsi="Palatino Linotype" w:cstheme="majorBidi"/>
          <w:b/>
        </w:rPr>
        <w:t>SEGUNDO. De la oportunidad y procedencia.</w:t>
      </w:r>
      <w:bookmarkEnd w:id="3"/>
    </w:p>
    <w:p w14:paraId="265369B6" w14:textId="77777777" w:rsidR="00C529CD" w:rsidRPr="00830724" w:rsidRDefault="00C529CD" w:rsidP="00C529CD">
      <w:pPr>
        <w:pStyle w:val="Prrafodelista"/>
        <w:spacing w:line="360" w:lineRule="auto"/>
        <w:ind w:left="0"/>
        <w:jc w:val="both"/>
        <w:rPr>
          <w:rFonts w:ascii="Palatino Linotype" w:hAnsi="Palatino Linotype" w:cs="Arial"/>
          <w:sz w:val="24"/>
          <w:lang w:val="es-ES" w:eastAsia="es-ES"/>
        </w:rPr>
      </w:pPr>
    </w:p>
    <w:p w14:paraId="265369B7" w14:textId="77777777" w:rsidR="00C529CD" w:rsidRPr="00830724" w:rsidRDefault="00C529CD" w:rsidP="00AA2F4E">
      <w:pPr>
        <w:pStyle w:val="Prrafodelista"/>
        <w:numPr>
          <w:ilvl w:val="0"/>
          <w:numId w:val="2"/>
        </w:numPr>
        <w:spacing w:line="360" w:lineRule="auto"/>
        <w:ind w:left="0" w:firstLine="0"/>
        <w:jc w:val="both"/>
        <w:rPr>
          <w:rFonts w:ascii="Palatino Linotype" w:hAnsi="Palatino Linotype" w:cs="Arial"/>
          <w:sz w:val="24"/>
          <w:lang w:val="es-ES" w:eastAsia="es-ES"/>
        </w:rPr>
      </w:pPr>
      <w:r w:rsidRPr="00830724">
        <w:rPr>
          <w:rFonts w:ascii="Palatino Linotype" w:eastAsia="Calibri" w:hAnsi="Palatino Linotype" w:cs="Arial"/>
          <w:sz w:val="24"/>
          <w:lang w:val="es-ES_tradnl" w:eastAsia="es-ES"/>
        </w:rPr>
        <w:t xml:space="preserve">El medio de impugnación fue presentado a través del </w:t>
      </w:r>
      <w:r w:rsidRPr="00830724">
        <w:rPr>
          <w:rFonts w:ascii="Palatino Linotype" w:eastAsia="Calibri" w:hAnsi="Palatino Linotype" w:cs="Arial"/>
          <w:b/>
          <w:sz w:val="24"/>
          <w:lang w:val="es-ES_tradnl" w:eastAsia="es-ES"/>
        </w:rPr>
        <w:t>SAIMEX,</w:t>
      </w:r>
      <w:r w:rsidRPr="00830724">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830724">
        <w:rPr>
          <w:rFonts w:ascii="Palatino Linotype" w:eastAsia="Calibri" w:hAnsi="Palatino Linotype" w:cs="Arial"/>
          <w:b/>
          <w:sz w:val="24"/>
          <w:lang w:val="es-ES_tradnl" w:eastAsia="es-ES"/>
        </w:rPr>
        <w:t>SUJETO OBLIGADO</w:t>
      </w:r>
      <w:r w:rsidRPr="00830724">
        <w:rPr>
          <w:rFonts w:ascii="Palatino Linotype" w:eastAsia="Calibri" w:hAnsi="Palatino Linotype" w:cs="Arial"/>
          <w:sz w:val="24"/>
          <w:lang w:val="es-ES_tradnl" w:eastAsia="es-ES"/>
        </w:rPr>
        <w:t xml:space="preserve"> entregó respuesta a la solicitud el día </w:t>
      </w:r>
      <w:r w:rsidR="00AA2F4E" w:rsidRPr="00830724">
        <w:rPr>
          <w:rFonts w:ascii="Palatino Linotype" w:eastAsia="Calibri" w:hAnsi="Palatino Linotype" w:cs="Arial"/>
          <w:sz w:val="24"/>
          <w:lang w:val="es-ES_tradnl" w:eastAsia="es-ES"/>
        </w:rPr>
        <w:t xml:space="preserve"> diez (10</w:t>
      </w:r>
      <w:r w:rsidRPr="00830724">
        <w:rPr>
          <w:rFonts w:ascii="Palatino Linotype" w:eastAsia="Calibri" w:hAnsi="Palatino Linotype" w:cs="Arial"/>
          <w:sz w:val="24"/>
          <w:lang w:val="es-ES_tradnl" w:eastAsia="es-ES"/>
        </w:rPr>
        <w:t xml:space="preserve">) de junio de dos mil veintidós, </w:t>
      </w:r>
      <w:r w:rsidRPr="00830724">
        <w:rPr>
          <w:rFonts w:ascii="Palatino Linotype" w:eastAsiaTheme="minorEastAsia" w:hAnsi="Palatino Linotype" w:cs="Arial"/>
          <w:sz w:val="24"/>
          <w:lang w:val="es-ES_tradnl" w:eastAsia="es-ES"/>
        </w:rPr>
        <w:t xml:space="preserve">de tal forma que el plazo para interponer </w:t>
      </w:r>
      <w:r w:rsidRPr="00830724">
        <w:rPr>
          <w:rFonts w:ascii="Palatino Linotype" w:eastAsiaTheme="minorEastAsia" w:hAnsi="Palatino Linotype" w:cs="Arial"/>
          <w:sz w:val="24"/>
          <w:lang w:val="es-ES_tradnl" w:eastAsia="es-ES"/>
        </w:rPr>
        <w:lastRenderedPageBreak/>
        <w:t xml:space="preserve">el recurso de revisión transcurrió del </w:t>
      </w:r>
      <w:r w:rsidR="00AA2F4E" w:rsidRPr="00830724">
        <w:rPr>
          <w:rFonts w:ascii="Palatino Linotype" w:eastAsiaTheme="minorEastAsia" w:hAnsi="Palatino Linotype" w:cs="Arial"/>
          <w:sz w:val="24"/>
          <w:lang w:val="es-ES_tradnl" w:eastAsia="es-ES"/>
        </w:rPr>
        <w:t>trece (1</w:t>
      </w:r>
      <w:r w:rsidR="00AA2F4E" w:rsidRPr="00830724">
        <w:rPr>
          <w:rFonts w:ascii="Palatino Linotype" w:hAnsi="Palatino Linotype" w:cs="Arial"/>
          <w:sz w:val="24"/>
          <w:lang w:val="es-ES" w:eastAsia="es-ES"/>
        </w:rPr>
        <w:t>3) de junio uno (01) de julio</w:t>
      </w:r>
      <w:r w:rsidRPr="00830724">
        <w:rPr>
          <w:rFonts w:ascii="Palatino Linotype" w:eastAsiaTheme="minorEastAsia" w:hAnsi="Palatino Linotype" w:cs="Arial"/>
          <w:sz w:val="24"/>
          <w:lang w:val="es-ES_tradnl" w:eastAsia="es-ES"/>
        </w:rPr>
        <w:t xml:space="preserve"> de dos mil veintidós; en consecuencia, presentó su inco</w:t>
      </w:r>
      <w:r w:rsidR="00AA2F4E" w:rsidRPr="00830724">
        <w:rPr>
          <w:rFonts w:ascii="Palatino Linotype" w:eastAsiaTheme="minorEastAsia" w:hAnsi="Palatino Linotype" w:cs="Arial"/>
          <w:sz w:val="24"/>
          <w:lang w:val="es-ES_tradnl" w:eastAsia="es-ES"/>
        </w:rPr>
        <w:t>nformidad el día veintisiete (27</w:t>
      </w:r>
      <w:r w:rsidRPr="00830724">
        <w:rPr>
          <w:rFonts w:ascii="Palatino Linotype" w:eastAsiaTheme="minorEastAsia" w:hAnsi="Palatino Linotype" w:cs="Arial"/>
          <w:sz w:val="24"/>
          <w:lang w:val="es-ES_tradnl" w:eastAsia="es-ES"/>
        </w:rPr>
        <w:t xml:space="preserve">) de junio de dos mil veintidós, por lo que se encuentra dentro de los márgenes temporales previstos en el artículo 178 de la </w:t>
      </w:r>
      <w:r w:rsidRPr="00830724">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830724">
        <w:rPr>
          <w:rFonts w:ascii="Palatino Linotype" w:eastAsiaTheme="minorEastAsia" w:hAnsi="Palatino Linotype" w:cs="Arial"/>
          <w:sz w:val="24"/>
          <w:lang w:val="es-ES_tradnl" w:eastAsia="es-ES"/>
        </w:rPr>
        <w:t>vigente.</w:t>
      </w:r>
    </w:p>
    <w:p w14:paraId="265369B8" w14:textId="77777777" w:rsidR="00C529CD" w:rsidRPr="00830724" w:rsidRDefault="00C529CD" w:rsidP="00AA2F4E">
      <w:pPr>
        <w:spacing w:line="360" w:lineRule="auto"/>
        <w:rPr>
          <w:rFonts w:ascii="Palatino Linotype" w:eastAsia="Calibri" w:hAnsi="Palatino Linotype" w:cs="Arial"/>
          <w:lang w:val="es-ES_tradnl" w:eastAsia="es-ES"/>
        </w:rPr>
      </w:pPr>
    </w:p>
    <w:p w14:paraId="265369B9" w14:textId="77777777" w:rsidR="00C529CD" w:rsidRPr="00830724" w:rsidRDefault="00C529CD" w:rsidP="00C529CD">
      <w:pPr>
        <w:pStyle w:val="Prrafodelista"/>
        <w:numPr>
          <w:ilvl w:val="0"/>
          <w:numId w:val="2"/>
        </w:numPr>
        <w:spacing w:line="360" w:lineRule="auto"/>
        <w:ind w:left="0" w:firstLine="0"/>
        <w:jc w:val="both"/>
        <w:rPr>
          <w:rFonts w:ascii="Palatino Linotype" w:hAnsi="Palatino Linotype" w:cs="Arial"/>
          <w:sz w:val="24"/>
          <w:lang w:val="es-ES" w:eastAsia="es-ES"/>
        </w:rPr>
      </w:pPr>
      <w:r w:rsidRPr="00830724">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65369BA" w14:textId="77777777" w:rsidR="00AA2F4E" w:rsidRPr="00830724" w:rsidRDefault="00AA2F4E" w:rsidP="00AA2F4E">
      <w:pPr>
        <w:pStyle w:val="Prrafodelista"/>
        <w:spacing w:line="360" w:lineRule="auto"/>
        <w:ind w:left="0"/>
        <w:jc w:val="both"/>
        <w:rPr>
          <w:rFonts w:ascii="Palatino Linotype" w:hAnsi="Palatino Linotype" w:cs="Arial"/>
          <w:sz w:val="24"/>
          <w:lang w:val="es-ES" w:eastAsia="es-ES"/>
        </w:rPr>
      </w:pPr>
    </w:p>
    <w:p w14:paraId="265369BB" w14:textId="77777777" w:rsidR="00C529CD" w:rsidRPr="00830724" w:rsidRDefault="00C529CD" w:rsidP="00C529CD">
      <w:pPr>
        <w:keepNext/>
        <w:keepLines/>
        <w:spacing w:line="360" w:lineRule="auto"/>
        <w:outlineLvl w:val="0"/>
        <w:rPr>
          <w:rFonts w:ascii="Palatino Linotype" w:hAnsi="Palatino Linotype"/>
          <w:b/>
          <w:lang w:eastAsia="en-US"/>
        </w:rPr>
      </w:pPr>
      <w:bookmarkStart w:id="4" w:name="_Toc499727169"/>
      <w:bookmarkStart w:id="5" w:name="_Toc71158405"/>
      <w:bookmarkStart w:id="6" w:name="_Toc486525253"/>
      <w:bookmarkStart w:id="7" w:name="_Toc66992246"/>
      <w:r w:rsidRPr="00830724">
        <w:rPr>
          <w:rFonts w:ascii="Palatino Linotype" w:hAnsi="Palatino Linotype"/>
          <w:b/>
          <w:lang w:eastAsia="en-US"/>
        </w:rPr>
        <w:t xml:space="preserve">TERCERO. </w:t>
      </w:r>
      <w:bookmarkEnd w:id="4"/>
      <w:r w:rsidRPr="00830724">
        <w:rPr>
          <w:rFonts w:ascii="Palatino Linotype" w:hAnsi="Palatino Linotype"/>
          <w:b/>
          <w:lang w:eastAsia="en-US"/>
        </w:rPr>
        <w:t>De las causales de sobreseimiento.</w:t>
      </w:r>
      <w:bookmarkEnd w:id="5"/>
      <w:r w:rsidRPr="00830724">
        <w:rPr>
          <w:rFonts w:ascii="Palatino Linotype" w:hAnsi="Palatino Linotype"/>
          <w:b/>
          <w:lang w:eastAsia="en-US"/>
        </w:rPr>
        <w:t xml:space="preserve"> </w:t>
      </w:r>
    </w:p>
    <w:p w14:paraId="265369BC" w14:textId="77777777" w:rsidR="00C529CD" w:rsidRPr="00830724" w:rsidRDefault="00C529CD" w:rsidP="00C529CD">
      <w:pPr>
        <w:spacing w:line="360" w:lineRule="auto"/>
        <w:rPr>
          <w:rFonts w:ascii="Palatino Linotype" w:hAnsi="Palatino Linotype"/>
          <w:lang w:eastAsia="en-US"/>
        </w:rPr>
      </w:pPr>
    </w:p>
    <w:p w14:paraId="265369BD" w14:textId="77777777" w:rsidR="00C529CD" w:rsidRPr="00830724" w:rsidRDefault="00C529CD" w:rsidP="00C529CD">
      <w:pPr>
        <w:pStyle w:val="Prrafodelista"/>
        <w:numPr>
          <w:ilvl w:val="0"/>
          <w:numId w:val="2"/>
        </w:numPr>
        <w:spacing w:line="360" w:lineRule="auto"/>
        <w:ind w:left="0" w:right="49" w:firstLine="0"/>
        <w:jc w:val="both"/>
        <w:rPr>
          <w:rFonts w:ascii="Palatino Linotype" w:hAnsi="Palatino Linotype" w:cs="Arial"/>
          <w:sz w:val="24"/>
        </w:rPr>
      </w:pPr>
      <w:r w:rsidRPr="00830724">
        <w:rPr>
          <w:rFonts w:ascii="Palatino Linotype" w:hAnsi="Palatino Linotype" w:cs="Arial"/>
          <w:sz w:val="24"/>
        </w:rPr>
        <w:t xml:space="preserve">El recurso revisión tiene como finalidad reparar cualquier posible afectación al derecho de acceso a la información pública en términos del Título Octavo de la Ley de </w:t>
      </w:r>
      <w:r w:rsidRPr="00830724">
        <w:rPr>
          <w:rFonts w:ascii="Palatino Linotype" w:eastAsia="Calibri" w:hAnsi="Palatino Linotype" w:cs="Arial"/>
          <w:sz w:val="24"/>
        </w:rPr>
        <w:t>Transparencia, Acceso a la Información Pública del Estado de México y Municipios</w:t>
      </w:r>
      <w:r w:rsidRPr="00830724">
        <w:rPr>
          <w:rFonts w:ascii="Palatino Linotype" w:hAnsi="Palatino Linotype" w:cs="Arial"/>
          <w:sz w:val="24"/>
        </w:rPr>
        <w:t xml:space="preserve">, y determinar la confirmación; revocación o modificación; </w:t>
      </w:r>
      <w:proofErr w:type="spellStart"/>
      <w:r w:rsidRPr="00830724">
        <w:rPr>
          <w:rFonts w:ascii="Palatino Linotype" w:hAnsi="Palatino Linotype" w:cs="Arial"/>
          <w:sz w:val="24"/>
        </w:rPr>
        <w:t>desechamiento</w:t>
      </w:r>
      <w:proofErr w:type="spellEnd"/>
      <w:r w:rsidRPr="00830724">
        <w:rPr>
          <w:rFonts w:ascii="Palatino Linotype" w:hAnsi="Palatino Linotype" w:cs="Arial"/>
          <w:sz w:val="24"/>
        </w:rPr>
        <w:t xml:space="preserve"> o </w:t>
      </w:r>
      <w:r w:rsidRPr="00830724">
        <w:rPr>
          <w:rFonts w:ascii="Palatino Linotype" w:hAnsi="Palatino Linotype" w:cs="Arial"/>
          <w:b/>
          <w:sz w:val="24"/>
          <w:u w:val="single"/>
        </w:rPr>
        <w:t>sobreseimiento</w:t>
      </w:r>
      <w:r w:rsidRPr="00830724">
        <w:rPr>
          <w:rFonts w:ascii="Palatino Linotype" w:hAnsi="Palatino Linotype" w:cs="Arial"/>
          <w:sz w:val="24"/>
        </w:rPr>
        <w:t xml:space="preserve">; y en su caso ordenar la entrega de la información con respecto a la respuesta emitida por el </w:t>
      </w:r>
      <w:r w:rsidRPr="00830724">
        <w:rPr>
          <w:rFonts w:ascii="Palatino Linotype" w:hAnsi="Palatino Linotype" w:cs="Arial"/>
          <w:b/>
          <w:sz w:val="24"/>
        </w:rPr>
        <w:t>SUJETO</w:t>
      </w:r>
      <w:r w:rsidRPr="00830724">
        <w:rPr>
          <w:rFonts w:ascii="Palatino Linotype" w:hAnsi="Palatino Linotype" w:cs="Arial"/>
          <w:sz w:val="24"/>
        </w:rPr>
        <w:t xml:space="preserve"> </w:t>
      </w:r>
      <w:r w:rsidRPr="00830724">
        <w:rPr>
          <w:rFonts w:ascii="Palatino Linotype" w:hAnsi="Palatino Linotype" w:cs="Arial"/>
          <w:b/>
          <w:sz w:val="24"/>
        </w:rPr>
        <w:t>OBLIGADO</w:t>
      </w:r>
      <w:r w:rsidRPr="00830724">
        <w:rPr>
          <w:rFonts w:ascii="Palatino Linotype" w:hAnsi="Palatino Linotype" w:cs="Arial"/>
          <w:sz w:val="24"/>
        </w:rPr>
        <w:t>.</w:t>
      </w:r>
    </w:p>
    <w:p w14:paraId="265369BE" w14:textId="77777777" w:rsidR="00C529CD" w:rsidRPr="00830724" w:rsidRDefault="00C529CD" w:rsidP="00C529CD">
      <w:pPr>
        <w:pStyle w:val="Prrafodelista"/>
        <w:spacing w:line="360" w:lineRule="auto"/>
        <w:ind w:left="0" w:right="49"/>
        <w:jc w:val="both"/>
        <w:rPr>
          <w:rFonts w:ascii="Palatino Linotype" w:hAnsi="Palatino Linotype" w:cs="Arial"/>
          <w:sz w:val="24"/>
        </w:rPr>
      </w:pPr>
    </w:p>
    <w:p w14:paraId="265369BF" w14:textId="77777777" w:rsidR="00C529CD" w:rsidRPr="00830724" w:rsidRDefault="00C529CD" w:rsidP="00C529CD">
      <w:pPr>
        <w:pStyle w:val="Prrafodelista"/>
        <w:numPr>
          <w:ilvl w:val="0"/>
          <w:numId w:val="2"/>
        </w:numPr>
        <w:spacing w:line="360" w:lineRule="auto"/>
        <w:ind w:left="0" w:right="49" w:firstLine="0"/>
        <w:jc w:val="both"/>
        <w:rPr>
          <w:rFonts w:ascii="Palatino Linotype" w:hAnsi="Palatino Linotype" w:cs="Arial"/>
          <w:sz w:val="24"/>
        </w:rPr>
      </w:pPr>
      <w:r w:rsidRPr="00830724">
        <w:rPr>
          <w:rFonts w:ascii="Palatino Linotype" w:eastAsia="Calibri" w:hAnsi="Palatino Linotype"/>
          <w:sz w:val="24"/>
        </w:rPr>
        <w:t xml:space="preserve">De acuerdo al precepto legal contenido en la fracción III del artículo 192 de la </w:t>
      </w:r>
      <w:r w:rsidRPr="00830724">
        <w:rPr>
          <w:rFonts w:ascii="Palatino Linotype" w:eastAsia="Calibri" w:hAnsi="Palatino Linotype"/>
          <w:b/>
          <w:sz w:val="24"/>
        </w:rPr>
        <w:t>Ley de Transparencia y Acceso a la Información Pública del Estado de México y Municipios</w:t>
      </w:r>
      <w:r w:rsidRPr="00830724">
        <w:rPr>
          <w:rFonts w:ascii="Palatino Linotype" w:eastAsia="Calibri" w:hAnsi="Palatino Linotype"/>
          <w:sz w:val="24"/>
        </w:rPr>
        <w:t xml:space="preserve">, el recurso será sobreseído, en todo o en parte, cuando una vez admitido, el sujeto obligado responsable del acto lo modifique o revoque de tal manera que el recurso de revisión quede sin materia; de ahí que la actualización de alguno de éste </w:t>
      </w:r>
      <w:r w:rsidRPr="00830724">
        <w:rPr>
          <w:rFonts w:ascii="Palatino Linotype" w:eastAsia="Calibri" w:hAnsi="Palatino Linotype"/>
          <w:sz w:val="24"/>
        </w:rPr>
        <w:lastRenderedPageBreak/>
        <w:t>trae como consecuencia que el medio de impugnación se concluya sin que se analice el objeto de estudio planteado, es decir se sobresea.</w:t>
      </w:r>
    </w:p>
    <w:p w14:paraId="265369C0" w14:textId="77777777" w:rsidR="00C529CD" w:rsidRPr="00830724" w:rsidRDefault="00C529CD" w:rsidP="00C529CD">
      <w:pPr>
        <w:pStyle w:val="Prrafodelista"/>
        <w:rPr>
          <w:rFonts w:ascii="Palatino Linotype" w:eastAsia="Calibri" w:hAnsi="Palatino Linotype"/>
        </w:rPr>
      </w:pPr>
    </w:p>
    <w:p w14:paraId="265369C1" w14:textId="77777777" w:rsidR="00C529CD" w:rsidRPr="00830724" w:rsidRDefault="00C529CD" w:rsidP="00C529CD">
      <w:pPr>
        <w:pStyle w:val="Prrafodelista"/>
        <w:numPr>
          <w:ilvl w:val="0"/>
          <w:numId w:val="2"/>
        </w:numPr>
        <w:spacing w:line="360" w:lineRule="auto"/>
        <w:ind w:left="0" w:right="49" w:firstLine="0"/>
        <w:jc w:val="both"/>
        <w:rPr>
          <w:rFonts w:ascii="Palatino Linotype" w:hAnsi="Palatino Linotype" w:cs="Arial"/>
          <w:sz w:val="28"/>
        </w:rPr>
      </w:pPr>
      <w:r w:rsidRPr="00830724">
        <w:rPr>
          <w:rFonts w:ascii="Palatino Linotype" w:eastAsia="Calibri" w:hAnsi="Palatino Linotype"/>
          <w:sz w:val="24"/>
        </w:rPr>
        <w:t xml:space="preserve">Para los efectos de esta resolución, es oportuno precisar los alcances jurídicos de la fracción III de la disposición legal transcrita. Así, procede el sobreseimiento del recurso de revisión cuando el </w:t>
      </w:r>
      <w:r w:rsidRPr="00830724">
        <w:rPr>
          <w:rFonts w:ascii="Palatino Linotype" w:eastAsia="Calibri" w:hAnsi="Palatino Linotype"/>
          <w:b/>
          <w:sz w:val="24"/>
        </w:rPr>
        <w:t>SUJETO OBLIGADO</w:t>
      </w:r>
      <w:r w:rsidRPr="00830724">
        <w:rPr>
          <w:rFonts w:ascii="Palatino Linotype" w:eastAsia="Calibri" w:hAnsi="Palatino Linotype"/>
          <w:sz w:val="24"/>
        </w:rPr>
        <w:t>:</w:t>
      </w:r>
    </w:p>
    <w:p w14:paraId="265369C2" w14:textId="77777777" w:rsidR="00C529CD" w:rsidRPr="00830724" w:rsidRDefault="00C529CD" w:rsidP="00C529CD">
      <w:pPr>
        <w:spacing w:line="360" w:lineRule="auto"/>
        <w:contextualSpacing/>
        <w:jc w:val="both"/>
        <w:rPr>
          <w:rFonts w:ascii="Palatino Linotype" w:eastAsia="Calibri" w:hAnsi="Palatino Linotype"/>
          <w:lang w:val="es-ES"/>
        </w:rPr>
      </w:pPr>
    </w:p>
    <w:p w14:paraId="265369C3" w14:textId="77777777" w:rsidR="00C529CD" w:rsidRPr="00830724" w:rsidRDefault="00C529CD" w:rsidP="00C529CD">
      <w:pPr>
        <w:numPr>
          <w:ilvl w:val="0"/>
          <w:numId w:val="3"/>
        </w:numPr>
        <w:spacing w:line="360" w:lineRule="auto"/>
        <w:ind w:left="567" w:right="616" w:firstLine="0"/>
        <w:contextualSpacing/>
        <w:jc w:val="both"/>
        <w:rPr>
          <w:rFonts w:ascii="Palatino Linotype" w:hAnsi="Palatino Linotype" w:cs="Arial"/>
        </w:rPr>
      </w:pPr>
      <w:r w:rsidRPr="00830724">
        <w:rPr>
          <w:rFonts w:ascii="Palatino Linotype" w:hAnsi="Palatino Linotype" w:cs="Arial"/>
          <w:b/>
        </w:rPr>
        <w:t>Modifique el acto impugnado:</w:t>
      </w:r>
      <w:r w:rsidRPr="00830724">
        <w:rPr>
          <w:rFonts w:ascii="Palatino Linotype" w:hAnsi="Palatino Linotype" w:cs="Arial"/>
        </w:rPr>
        <w:t xml:space="preserve"> Se actualiza cuando el </w:t>
      </w:r>
      <w:r w:rsidRPr="00830724">
        <w:rPr>
          <w:rFonts w:ascii="Palatino Linotype" w:hAnsi="Palatino Linotype" w:cs="Arial"/>
          <w:b/>
        </w:rPr>
        <w:t>SUJETO OBLIGADO</w:t>
      </w:r>
      <w:r w:rsidRPr="00830724">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265369C4" w14:textId="77777777" w:rsidR="00C529CD" w:rsidRPr="00830724" w:rsidRDefault="00C529CD" w:rsidP="00C529CD">
      <w:pPr>
        <w:spacing w:line="360" w:lineRule="auto"/>
        <w:ind w:left="1068" w:right="567"/>
        <w:contextualSpacing/>
        <w:jc w:val="both"/>
        <w:rPr>
          <w:rFonts w:ascii="Palatino Linotype" w:hAnsi="Palatino Linotype" w:cs="Arial"/>
        </w:rPr>
      </w:pPr>
    </w:p>
    <w:p w14:paraId="265369C5" w14:textId="77777777" w:rsidR="00C529CD" w:rsidRPr="00830724" w:rsidRDefault="00C529CD" w:rsidP="00C529CD">
      <w:pPr>
        <w:numPr>
          <w:ilvl w:val="0"/>
          <w:numId w:val="3"/>
        </w:numPr>
        <w:spacing w:line="360" w:lineRule="auto"/>
        <w:ind w:left="567" w:right="616" w:firstLine="0"/>
        <w:contextualSpacing/>
        <w:jc w:val="both"/>
        <w:rPr>
          <w:rFonts w:ascii="Palatino Linotype" w:hAnsi="Palatino Linotype" w:cs="Arial"/>
        </w:rPr>
      </w:pPr>
      <w:r w:rsidRPr="00830724">
        <w:rPr>
          <w:rFonts w:ascii="Palatino Linotype" w:hAnsi="Palatino Linotype" w:cs="Arial"/>
          <w:b/>
        </w:rPr>
        <w:t>Revoque el acto impugnado:</w:t>
      </w:r>
      <w:r w:rsidRPr="00830724">
        <w:rPr>
          <w:rFonts w:ascii="Palatino Linotype" w:hAnsi="Palatino Linotype" w:cs="Arial"/>
        </w:rPr>
        <w:t xml:space="preserve"> En este supuesto, el </w:t>
      </w:r>
      <w:r w:rsidRPr="00830724">
        <w:rPr>
          <w:rFonts w:ascii="Palatino Linotype" w:hAnsi="Palatino Linotype" w:cs="Arial"/>
          <w:b/>
        </w:rPr>
        <w:t>SUJETO OBLIGADO</w:t>
      </w:r>
      <w:r w:rsidRPr="00830724">
        <w:rPr>
          <w:rFonts w:ascii="Palatino Linotype" w:hAnsi="Palatino Linotype" w:cs="Arial"/>
        </w:rPr>
        <w:t xml:space="preserve"> deja sin efectos la primera respuesta y en su lugar emite otra que satisfaga lo solicitado por el particular en un primer momento.</w:t>
      </w:r>
    </w:p>
    <w:p w14:paraId="265369C6" w14:textId="77777777" w:rsidR="00C529CD" w:rsidRPr="00830724" w:rsidRDefault="00C529CD" w:rsidP="00C529CD">
      <w:pPr>
        <w:spacing w:line="360" w:lineRule="auto"/>
        <w:ind w:right="616"/>
        <w:contextualSpacing/>
        <w:jc w:val="both"/>
        <w:rPr>
          <w:rFonts w:ascii="Palatino Linotype" w:hAnsi="Palatino Linotype" w:cs="Arial"/>
        </w:rPr>
      </w:pPr>
    </w:p>
    <w:p w14:paraId="265369C7"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265369C8" w14:textId="77777777" w:rsidR="00C529CD" w:rsidRPr="00830724" w:rsidRDefault="00C529CD" w:rsidP="00C529CD">
      <w:pPr>
        <w:pStyle w:val="Prrafodelista"/>
        <w:rPr>
          <w:rFonts w:ascii="Palatino Linotype" w:hAnsi="Palatino Linotype" w:cs="Arial"/>
          <w:i/>
          <w:sz w:val="24"/>
        </w:rPr>
      </w:pPr>
    </w:p>
    <w:p w14:paraId="265369C9" w14:textId="77777777" w:rsidR="00C529CD" w:rsidRPr="00830724" w:rsidRDefault="00C529CD" w:rsidP="00C529CD">
      <w:pPr>
        <w:pStyle w:val="Prrafodelista"/>
        <w:numPr>
          <w:ilvl w:val="0"/>
          <w:numId w:val="2"/>
        </w:numPr>
        <w:spacing w:before="240" w:after="240" w:line="360" w:lineRule="auto"/>
        <w:ind w:left="0" w:firstLine="0"/>
        <w:jc w:val="both"/>
        <w:rPr>
          <w:rFonts w:ascii="Palatino Linotype" w:hAnsi="Palatino Linotype" w:cs="Arial"/>
          <w:color w:val="000000"/>
          <w:sz w:val="24"/>
          <w:lang w:val="es-ES"/>
        </w:rPr>
      </w:pPr>
      <w:r w:rsidRPr="00830724">
        <w:rPr>
          <w:rFonts w:ascii="Palatino Linotype" w:hAnsi="Palatino Linotype" w:cs="Arial"/>
          <w:color w:val="000000"/>
          <w:sz w:val="24"/>
          <w:lang w:val="es-ES"/>
        </w:rPr>
        <w:t xml:space="preserve">En el presente caso, el particular solicitó </w:t>
      </w:r>
      <w:r w:rsidR="00AA2F4E" w:rsidRPr="00830724">
        <w:rPr>
          <w:rFonts w:ascii="Palatino Linotype" w:hAnsi="Palatino Linotype" w:cs="Arial"/>
          <w:color w:val="000000"/>
          <w:sz w:val="24"/>
        </w:rPr>
        <w:t xml:space="preserve">la certificación del director de obras públicas y </w:t>
      </w:r>
      <w:proofErr w:type="gramStart"/>
      <w:r w:rsidR="00AA2F4E" w:rsidRPr="00830724">
        <w:rPr>
          <w:rFonts w:ascii="Palatino Linotype" w:hAnsi="Palatino Linotype" w:cs="Arial"/>
          <w:color w:val="000000"/>
          <w:sz w:val="24"/>
        </w:rPr>
        <w:t>homologados</w:t>
      </w:r>
      <w:proofErr w:type="gramEnd"/>
      <w:r w:rsidR="00AA2F4E" w:rsidRPr="00830724">
        <w:rPr>
          <w:rFonts w:ascii="Palatino Linotype" w:hAnsi="Palatino Linotype" w:cs="Arial"/>
          <w:color w:val="000000"/>
          <w:sz w:val="24"/>
        </w:rPr>
        <w:t xml:space="preserve"> de esa dirección, del secretario del ayuntamiento, del </w:t>
      </w:r>
      <w:r w:rsidR="00AA2F4E" w:rsidRPr="00830724">
        <w:rPr>
          <w:rFonts w:ascii="Palatino Linotype" w:hAnsi="Palatino Linotype" w:cs="Arial"/>
          <w:color w:val="000000"/>
          <w:sz w:val="24"/>
        </w:rPr>
        <w:lastRenderedPageBreak/>
        <w:t xml:space="preserve">contralor, del tesorero, del director de ecología, de la directora de transparencia y de todos los que deban contar con ella, así como su salario. </w:t>
      </w:r>
    </w:p>
    <w:p w14:paraId="265369CA" w14:textId="77777777" w:rsidR="00AA2F4E" w:rsidRPr="00830724" w:rsidRDefault="00AA2F4E" w:rsidP="00AA2F4E">
      <w:pPr>
        <w:pStyle w:val="Prrafodelista"/>
        <w:rPr>
          <w:rFonts w:ascii="Palatino Linotype" w:hAnsi="Palatino Linotype" w:cs="Arial"/>
          <w:color w:val="000000"/>
          <w:sz w:val="24"/>
          <w:lang w:val="es-ES"/>
        </w:rPr>
      </w:pPr>
    </w:p>
    <w:p w14:paraId="265369CB" w14:textId="77777777" w:rsidR="00AA2F4E" w:rsidRPr="00830724" w:rsidRDefault="00AA2F4E" w:rsidP="00C529CD">
      <w:pPr>
        <w:pStyle w:val="Prrafodelista"/>
        <w:numPr>
          <w:ilvl w:val="0"/>
          <w:numId w:val="2"/>
        </w:numPr>
        <w:spacing w:before="240" w:after="240" w:line="360" w:lineRule="auto"/>
        <w:ind w:left="0" w:firstLine="0"/>
        <w:jc w:val="both"/>
        <w:rPr>
          <w:rFonts w:ascii="Palatino Linotype" w:hAnsi="Palatino Linotype" w:cs="Arial"/>
          <w:color w:val="000000"/>
          <w:sz w:val="24"/>
          <w:lang w:val="es-ES"/>
        </w:rPr>
      </w:pPr>
      <w:r w:rsidRPr="00830724">
        <w:rPr>
          <w:rFonts w:ascii="Palatino Linotype" w:hAnsi="Palatino Linotype" w:cs="Arial"/>
          <w:color w:val="000000"/>
          <w:sz w:val="24"/>
          <w:lang w:val="es-ES"/>
        </w:rPr>
        <w:t>En respuesta, el Sujeto Obligado remitió el siguiente documento ad hoc que se inserta:</w:t>
      </w:r>
    </w:p>
    <w:p w14:paraId="265369CC" w14:textId="77777777" w:rsidR="00AA2F4E" w:rsidRPr="00830724" w:rsidRDefault="00AA2F4E" w:rsidP="00AA2F4E">
      <w:pPr>
        <w:pStyle w:val="Prrafodelista"/>
        <w:rPr>
          <w:rFonts w:ascii="Palatino Linotype" w:hAnsi="Palatino Linotype" w:cs="Arial"/>
          <w:color w:val="000000"/>
          <w:sz w:val="24"/>
          <w:lang w:val="es-ES"/>
        </w:rPr>
      </w:pPr>
    </w:p>
    <w:p w14:paraId="265369CD" w14:textId="77777777" w:rsidR="00AA2F4E" w:rsidRPr="00830724" w:rsidRDefault="00AA2F4E" w:rsidP="00AA2F4E">
      <w:pPr>
        <w:pStyle w:val="Prrafodelista"/>
        <w:spacing w:before="240" w:after="240" w:line="360" w:lineRule="auto"/>
        <w:ind w:left="0"/>
        <w:jc w:val="center"/>
        <w:rPr>
          <w:rFonts w:ascii="Palatino Linotype" w:hAnsi="Palatino Linotype" w:cs="Arial"/>
          <w:color w:val="000000"/>
          <w:sz w:val="24"/>
          <w:lang w:val="es-ES"/>
        </w:rPr>
      </w:pPr>
      <w:r w:rsidRPr="00830724">
        <w:rPr>
          <w:noProof/>
        </w:rPr>
        <w:lastRenderedPageBreak/>
        <w:drawing>
          <wp:inline distT="0" distB="0" distL="0" distR="0" wp14:anchorId="26536A58" wp14:editId="26536A59">
            <wp:extent cx="5527629" cy="6114362"/>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44" t="18083" r="33814" b="14354"/>
                    <a:stretch/>
                  </pic:blipFill>
                  <pic:spPr bwMode="auto">
                    <a:xfrm>
                      <a:off x="0" y="0"/>
                      <a:ext cx="5555641" cy="6145347"/>
                    </a:xfrm>
                    <a:prstGeom prst="rect">
                      <a:avLst/>
                    </a:prstGeom>
                    <a:ln>
                      <a:noFill/>
                    </a:ln>
                    <a:extLst>
                      <a:ext uri="{53640926-AAD7-44D8-BBD7-CCE9431645EC}">
                        <a14:shadowObscured xmlns:a14="http://schemas.microsoft.com/office/drawing/2010/main"/>
                      </a:ext>
                    </a:extLst>
                  </pic:spPr>
                </pic:pic>
              </a:graphicData>
            </a:graphic>
          </wp:inline>
        </w:drawing>
      </w:r>
    </w:p>
    <w:p w14:paraId="265369CE" w14:textId="77777777" w:rsidR="00AA2F4E" w:rsidRPr="00830724" w:rsidRDefault="00AA2F4E" w:rsidP="00AA2F4E">
      <w:pPr>
        <w:pStyle w:val="Prrafodelista"/>
        <w:spacing w:before="240" w:after="240" w:line="360" w:lineRule="auto"/>
        <w:ind w:left="0"/>
        <w:jc w:val="center"/>
        <w:rPr>
          <w:rFonts w:ascii="Palatino Linotype" w:hAnsi="Palatino Linotype" w:cs="Arial"/>
          <w:color w:val="000000"/>
          <w:sz w:val="24"/>
          <w:lang w:val="es-ES"/>
        </w:rPr>
      </w:pPr>
    </w:p>
    <w:p w14:paraId="265369CF" w14:textId="77777777" w:rsidR="00AA2F4E" w:rsidRPr="00830724" w:rsidRDefault="00AA2F4E" w:rsidP="00AA2F4E">
      <w:pPr>
        <w:pStyle w:val="Prrafodelista"/>
        <w:spacing w:before="240" w:after="240" w:line="360" w:lineRule="auto"/>
        <w:ind w:left="0"/>
        <w:jc w:val="center"/>
        <w:rPr>
          <w:rFonts w:ascii="Palatino Linotype" w:hAnsi="Palatino Linotype" w:cs="Arial"/>
          <w:color w:val="000000"/>
          <w:sz w:val="24"/>
          <w:lang w:val="es-ES"/>
        </w:rPr>
      </w:pPr>
      <w:r w:rsidRPr="00830724">
        <w:rPr>
          <w:noProof/>
        </w:rPr>
        <w:lastRenderedPageBreak/>
        <w:drawing>
          <wp:inline distT="0" distB="0" distL="0" distR="0" wp14:anchorId="26536A5A" wp14:editId="26536A5B">
            <wp:extent cx="5303700" cy="3745735"/>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63" t="36848" r="35541" b="24594"/>
                    <a:stretch/>
                  </pic:blipFill>
                  <pic:spPr bwMode="auto">
                    <a:xfrm>
                      <a:off x="0" y="0"/>
                      <a:ext cx="5339692" cy="3771154"/>
                    </a:xfrm>
                    <a:prstGeom prst="rect">
                      <a:avLst/>
                    </a:prstGeom>
                    <a:ln>
                      <a:noFill/>
                    </a:ln>
                    <a:extLst>
                      <a:ext uri="{53640926-AAD7-44D8-BBD7-CCE9431645EC}">
                        <a14:shadowObscured xmlns:a14="http://schemas.microsoft.com/office/drawing/2010/main"/>
                      </a:ext>
                    </a:extLst>
                  </pic:spPr>
                </pic:pic>
              </a:graphicData>
            </a:graphic>
          </wp:inline>
        </w:drawing>
      </w:r>
    </w:p>
    <w:p w14:paraId="265369D0" w14:textId="77777777" w:rsidR="00C529CD" w:rsidRPr="00830724" w:rsidRDefault="00C529CD" w:rsidP="00C529CD">
      <w:pPr>
        <w:pStyle w:val="Prrafodelista"/>
        <w:spacing w:before="240" w:after="240" w:line="360" w:lineRule="auto"/>
        <w:ind w:left="0"/>
        <w:jc w:val="both"/>
        <w:rPr>
          <w:rFonts w:ascii="Palatino Linotype" w:hAnsi="Palatino Linotype" w:cs="Arial"/>
          <w:color w:val="000000"/>
          <w:sz w:val="24"/>
          <w:lang w:val="es-ES"/>
        </w:rPr>
      </w:pPr>
    </w:p>
    <w:p w14:paraId="265369D1" w14:textId="77777777" w:rsidR="00503B10" w:rsidRPr="00830724" w:rsidRDefault="00AA2F4E" w:rsidP="00503B10">
      <w:pPr>
        <w:pStyle w:val="Prrafodelista"/>
        <w:numPr>
          <w:ilvl w:val="0"/>
          <w:numId w:val="2"/>
        </w:numPr>
        <w:spacing w:before="240" w:after="240" w:line="360" w:lineRule="auto"/>
        <w:ind w:left="0" w:firstLine="0"/>
        <w:jc w:val="both"/>
        <w:rPr>
          <w:rFonts w:ascii="Palatino Linotype" w:hAnsi="Palatino Linotype" w:cs="Arial"/>
          <w:color w:val="000000"/>
          <w:sz w:val="24"/>
          <w:lang w:val="es-ES"/>
        </w:rPr>
      </w:pPr>
      <w:r w:rsidRPr="00830724">
        <w:rPr>
          <w:rFonts w:ascii="Palatino Linotype" w:hAnsi="Palatino Linotype" w:cs="Arial"/>
          <w:color w:val="000000"/>
          <w:sz w:val="24"/>
          <w:lang w:val="es-ES"/>
        </w:rPr>
        <w:t>Inconforme con la respuesta, el partic</w:t>
      </w:r>
      <w:r w:rsidR="00503B10" w:rsidRPr="00830724">
        <w:rPr>
          <w:rFonts w:ascii="Palatino Linotype" w:hAnsi="Palatino Linotype" w:cs="Arial"/>
          <w:color w:val="000000"/>
          <w:sz w:val="24"/>
          <w:lang w:val="es-ES"/>
        </w:rPr>
        <w:t xml:space="preserve">ular a través del recurso de revisión manifestó como motivos de inconformidad </w:t>
      </w:r>
      <w:r w:rsidR="00503B10" w:rsidRPr="00830724">
        <w:rPr>
          <w:rFonts w:ascii="Palatino Linotype" w:eastAsiaTheme="majorEastAsia" w:hAnsi="Palatino Linotype" w:cstheme="majorBidi"/>
          <w:i/>
          <w:sz w:val="24"/>
          <w:szCs w:val="22"/>
          <w:lang w:val="es-ES" w:eastAsia="es-ES"/>
        </w:rPr>
        <w:t>“</w:t>
      </w:r>
      <w:r w:rsidR="00503B10" w:rsidRPr="00830724">
        <w:rPr>
          <w:rFonts w:ascii="Palatino Linotype" w:hAnsi="Palatino Linotype"/>
          <w:i/>
          <w:color w:val="000000"/>
          <w:sz w:val="24"/>
          <w:szCs w:val="22"/>
        </w:rPr>
        <w:t xml:space="preserve">De los que no cuentan con certificación no </w:t>
      </w:r>
      <w:proofErr w:type="gramStart"/>
      <w:r w:rsidR="00503B10" w:rsidRPr="00830724">
        <w:rPr>
          <w:rFonts w:ascii="Palatino Linotype" w:hAnsi="Palatino Linotype"/>
          <w:i/>
          <w:color w:val="000000"/>
          <w:sz w:val="24"/>
          <w:szCs w:val="22"/>
        </w:rPr>
        <w:t>especifica</w:t>
      </w:r>
      <w:proofErr w:type="gramEnd"/>
      <w:r w:rsidR="00503B10" w:rsidRPr="00830724">
        <w:rPr>
          <w:rFonts w:ascii="Palatino Linotype" w:hAnsi="Palatino Linotype"/>
          <w:i/>
          <w:color w:val="000000"/>
          <w:sz w:val="24"/>
          <w:szCs w:val="22"/>
        </w:rPr>
        <w:t xml:space="preserve">. El área </w:t>
      </w:r>
      <w:proofErr w:type="spellStart"/>
      <w:r w:rsidR="00503B10" w:rsidRPr="00830724">
        <w:rPr>
          <w:rFonts w:ascii="Palatino Linotype" w:hAnsi="Palatino Linotype"/>
          <w:i/>
          <w:color w:val="000000"/>
          <w:sz w:val="24"/>
          <w:szCs w:val="22"/>
        </w:rPr>
        <w:t>ala</w:t>
      </w:r>
      <w:proofErr w:type="spellEnd"/>
      <w:r w:rsidR="00503B10" w:rsidRPr="00830724">
        <w:rPr>
          <w:rFonts w:ascii="Palatino Linotype" w:hAnsi="Palatino Linotype"/>
          <w:i/>
          <w:color w:val="000000"/>
          <w:sz w:val="24"/>
          <w:szCs w:val="22"/>
        </w:rPr>
        <w:t xml:space="preserve"> cual están adscrito ni tampoco justifican la permanencia para el caso de que sea obligatorio contar con la misma”.</w:t>
      </w:r>
    </w:p>
    <w:p w14:paraId="265369D2" w14:textId="77777777" w:rsidR="00503B10" w:rsidRPr="00830724" w:rsidRDefault="00503B10" w:rsidP="00503B10">
      <w:pPr>
        <w:pStyle w:val="Prrafodelista"/>
        <w:spacing w:before="240" w:after="240" w:line="360" w:lineRule="auto"/>
        <w:ind w:left="0"/>
        <w:jc w:val="both"/>
        <w:rPr>
          <w:rFonts w:ascii="Palatino Linotype" w:hAnsi="Palatino Linotype" w:cs="Arial"/>
          <w:color w:val="000000"/>
          <w:sz w:val="24"/>
          <w:lang w:val="es-ES"/>
        </w:rPr>
      </w:pPr>
    </w:p>
    <w:p w14:paraId="265369D3" w14:textId="77777777" w:rsidR="00503B10" w:rsidRPr="00830724" w:rsidRDefault="00503B10" w:rsidP="00503B10">
      <w:pPr>
        <w:pStyle w:val="Prrafodelista"/>
        <w:numPr>
          <w:ilvl w:val="0"/>
          <w:numId w:val="2"/>
        </w:numPr>
        <w:spacing w:before="240" w:after="240" w:line="360" w:lineRule="auto"/>
        <w:ind w:left="0" w:firstLine="0"/>
        <w:jc w:val="both"/>
        <w:rPr>
          <w:rFonts w:ascii="Palatino Linotype" w:hAnsi="Palatino Linotype" w:cs="Arial"/>
          <w:color w:val="000000"/>
          <w:sz w:val="28"/>
          <w:lang w:val="es-ES"/>
        </w:rPr>
      </w:pPr>
      <w:r w:rsidRPr="00830724">
        <w:rPr>
          <w:rFonts w:ascii="Palatino Linotype" w:hAnsi="Palatino Linotype" w:cs="Arial"/>
          <w:color w:val="000000"/>
          <w:sz w:val="24"/>
          <w:lang w:val="es-ES"/>
        </w:rPr>
        <w:t xml:space="preserve">Puntualizado lo anterior, primeramente es necesario referir que </w:t>
      </w:r>
      <w:r w:rsidRPr="00830724">
        <w:rPr>
          <w:rFonts w:ascii="Palatino Linotype" w:eastAsia="MS Gothic" w:hAnsi="Palatino Linotype" w:cstheme="majorBidi"/>
          <w:sz w:val="24"/>
          <w:lang w:val="es-ES_tradnl" w:eastAsia="es-ES"/>
        </w:rPr>
        <w:t xml:space="preserve">se advierte que el </w:t>
      </w:r>
      <w:r w:rsidRPr="00830724">
        <w:rPr>
          <w:rFonts w:ascii="Palatino Linotype" w:eastAsia="MS Gothic" w:hAnsi="Palatino Linotype" w:cstheme="majorBidi"/>
          <w:b/>
          <w:sz w:val="24"/>
          <w:lang w:val="es-ES_tradnl" w:eastAsia="es-ES"/>
        </w:rPr>
        <w:t>Recurrente</w:t>
      </w:r>
      <w:r w:rsidRPr="00830724">
        <w:rPr>
          <w:rFonts w:ascii="Palatino Linotype" w:eastAsia="MS Gothic" w:hAnsi="Palatino Linotype" w:cstheme="majorBidi"/>
          <w:sz w:val="24"/>
          <w:lang w:val="es-ES_tradnl" w:eastAsia="es-ES"/>
        </w:rPr>
        <w:t xml:space="preserve"> no se inconforma por la totalidad de la respuesta, únicamente,</w:t>
      </w:r>
      <w:r w:rsidR="00AE523C" w:rsidRPr="00830724">
        <w:rPr>
          <w:rFonts w:ascii="Palatino Linotype" w:eastAsia="MS Gothic" w:hAnsi="Palatino Linotype" w:cstheme="majorBidi"/>
          <w:sz w:val="24"/>
          <w:lang w:val="es-ES_tradnl" w:eastAsia="es-ES"/>
        </w:rPr>
        <w:t xml:space="preserve"> se informó por </w:t>
      </w:r>
      <w:proofErr w:type="spellStart"/>
      <w:r w:rsidR="00AE523C" w:rsidRPr="00830724">
        <w:rPr>
          <w:rFonts w:ascii="Palatino Linotype" w:eastAsia="MS Gothic" w:hAnsi="Palatino Linotype" w:cstheme="majorBidi"/>
          <w:sz w:val="24"/>
          <w:lang w:val="es-ES_tradnl" w:eastAsia="es-ES"/>
        </w:rPr>
        <w:t>porque</w:t>
      </w:r>
      <w:proofErr w:type="spellEnd"/>
      <w:r w:rsidR="00AE523C" w:rsidRPr="00830724">
        <w:rPr>
          <w:rFonts w:ascii="Palatino Linotype" w:eastAsia="MS Gothic" w:hAnsi="Palatino Linotype" w:cstheme="majorBidi"/>
          <w:sz w:val="24"/>
          <w:lang w:val="es-ES_tradnl" w:eastAsia="es-ES"/>
        </w:rPr>
        <w:t xml:space="preserve"> de los servidores públicos que no cuentan con certificación no se especifica el área a la cual pertenecen, así como la falta de justificación de la permanencia por no contar con certificación</w:t>
      </w:r>
      <w:r w:rsidRPr="00830724">
        <w:rPr>
          <w:rFonts w:ascii="Palatino Linotype" w:eastAsia="MS Gothic" w:hAnsi="Palatino Linotype" w:cstheme="majorBidi"/>
          <w:sz w:val="24"/>
          <w:lang w:val="es-ES_tradnl" w:eastAsia="es-ES"/>
        </w:rPr>
        <w:t xml:space="preserve">. Bajo ese tenor, se tiene que la parte de la respuesta que no fue impugnada, debe declararse como consentida, toda vez que, </w:t>
      </w:r>
      <w:r w:rsidRPr="00830724">
        <w:rPr>
          <w:rFonts w:ascii="Palatino Linotype" w:eastAsia="Palatino Linotype" w:hAnsi="Palatino Linotype" w:cs="Palatino Linotype"/>
          <w:color w:val="000000"/>
          <w:sz w:val="24"/>
        </w:rPr>
        <w:t xml:space="preserve">al </w:t>
      </w:r>
      <w:r w:rsidRPr="00830724">
        <w:rPr>
          <w:rFonts w:ascii="Palatino Linotype" w:eastAsia="Palatino Linotype" w:hAnsi="Palatino Linotype" w:cs="Palatino Linotype"/>
          <w:color w:val="000000"/>
          <w:sz w:val="24"/>
        </w:rPr>
        <w:lastRenderedPageBreak/>
        <w:t>no haber realizado manifestaciones de inconformidad al respecto, se infiere que la información proporcionada por el Sujeto Obligado, satisface este punto de la solicitud presentada.</w:t>
      </w:r>
    </w:p>
    <w:p w14:paraId="265369D4" w14:textId="77777777" w:rsidR="00503B10" w:rsidRPr="00830724" w:rsidRDefault="00503B10" w:rsidP="00503B10">
      <w:pPr>
        <w:pStyle w:val="Prrafodelista"/>
        <w:rPr>
          <w:rFonts w:ascii="Palatino Linotype" w:eastAsia="Palatino Linotype" w:hAnsi="Palatino Linotype" w:cs="Palatino Linotype"/>
          <w:color w:val="000000"/>
        </w:rPr>
      </w:pPr>
    </w:p>
    <w:p w14:paraId="265369D5" w14:textId="77777777" w:rsidR="00503B10" w:rsidRPr="00830724" w:rsidRDefault="00503B10" w:rsidP="00503B10">
      <w:pPr>
        <w:numPr>
          <w:ilvl w:val="0"/>
          <w:numId w:val="2"/>
        </w:numPr>
        <w:spacing w:line="360" w:lineRule="auto"/>
        <w:ind w:left="0" w:right="49" w:firstLine="0"/>
        <w:contextualSpacing/>
        <w:jc w:val="both"/>
        <w:rPr>
          <w:rFonts w:ascii="Palatino Linotype" w:eastAsia="MS Gothic" w:hAnsi="Palatino Linotype" w:cstheme="majorBidi"/>
          <w:lang w:val="es-ES_tradnl" w:eastAsia="es-ES"/>
        </w:rPr>
      </w:pPr>
      <w:r w:rsidRPr="00830724">
        <w:rPr>
          <w:rFonts w:ascii="Palatino Linotype" w:eastAsia="Palatino Linotype" w:hAnsi="Palatino Linotype" w:cs="Palatino Linotype"/>
          <w:color w:val="000000"/>
        </w:rPr>
        <w:t xml:space="preserve">Lo anterior es así, debido a que cuando un Recurrente impugna la respuesta del Sujeto Obligado, y éste no expresa Razón o Motivo de Inconformidad en contra de todos los rubros solicitados, dichos rubros deben declararse atendidos, pues se entiende que el </w:t>
      </w:r>
      <w:r w:rsidRPr="00830724">
        <w:rPr>
          <w:rFonts w:ascii="Palatino Linotype" w:eastAsia="Palatino Linotype" w:hAnsi="Palatino Linotype" w:cs="Palatino Linotype"/>
          <w:b/>
          <w:color w:val="000000"/>
        </w:rPr>
        <w:t xml:space="preserve">Recurrente </w:t>
      </w:r>
      <w:r w:rsidRPr="00830724">
        <w:rPr>
          <w:rFonts w:ascii="Palatino Linotype" w:eastAsia="Palatino Linotype" w:hAnsi="Palatino Linotype" w:cs="Palatino Linotype"/>
          <w:color w:val="000000"/>
        </w:rPr>
        <w:t>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65369D6" w14:textId="77777777" w:rsidR="00503B10" w:rsidRPr="00830724" w:rsidRDefault="00503B10" w:rsidP="00503B10">
      <w:pPr>
        <w:pStyle w:val="Prrafodelista"/>
        <w:spacing w:before="240" w:after="240" w:line="276" w:lineRule="auto"/>
        <w:ind w:left="851" w:right="822"/>
        <w:jc w:val="both"/>
        <w:rPr>
          <w:rFonts w:ascii="Palatino Linotype" w:eastAsia="Palatino Linotype" w:hAnsi="Palatino Linotype" w:cs="Palatino Linotype"/>
          <w:b/>
          <w:i/>
          <w:color w:val="000000"/>
          <w:szCs w:val="22"/>
        </w:rPr>
      </w:pPr>
    </w:p>
    <w:p w14:paraId="265369D7" w14:textId="77777777" w:rsidR="00503B10" w:rsidRPr="00830724" w:rsidRDefault="00503B10" w:rsidP="00503B10">
      <w:pPr>
        <w:pStyle w:val="Prrafodelista"/>
        <w:spacing w:before="240" w:after="240" w:line="360" w:lineRule="auto"/>
        <w:ind w:left="851" w:right="822"/>
        <w:jc w:val="both"/>
        <w:rPr>
          <w:rFonts w:ascii="Palatino Linotype" w:eastAsia="Palatino Linotype" w:hAnsi="Palatino Linotype" w:cs="Palatino Linotype"/>
          <w:i/>
          <w:color w:val="000000"/>
          <w:szCs w:val="22"/>
        </w:rPr>
      </w:pPr>
      <w:r w:rsidRPr="00830724">
        <w:rPr>
          <w:rFonts w:ascii="Palatino Linotype" w:eastAsia="Palatino Linotype" w:hAnsi="Palatino Linotype" w:cs="Palatino Linotype"/>
          <w:b/>
          <w:i/>
          <w:color w:val="000000"/>
          <w:szCs w:val="22"/>
        </w:rPr>
        <w:t xml:space="preserve">“REVISIÓN EN AMPARO. LOS RESOLUTIVOS NO COMBATIDOS DEBEN DECLARARSE FIRMES. </w:t>
      </w:r>
      <w:r w:rsidRPr="00830724">
        <w:rPr>
          <w:rFonts w:ascii="Palatino Linotype" w:eastAsia="Palatino Linotype" w:hAnsi="Palatino Linotype" w:cs="Palatino Linotype"/>
          <w:i/>
          <w:color w:val="000000"/>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65369D8" w14:textId="77777777" w:rsidR="00503B10" w:rsidRPr="00830724" w:rsidRDefault="00503B10" w:rsidP="00503B10">
      <w:pPr>
        <w:pStyle w:val="Prrafodelista"/>
        <w:spacing w:before="240" w:after="240" w:line="276" w:lineRule="auto"/>
        <w:ind w:left="851" w:right="822"/>
        <w:jc w:val="both"/>
        <w:rPr>
          <w:rFonts w:ascii="Palatino Linotype" w:eastAsia="Palatino Linotype" w:hAnsi="Palatino Linotype" w:cs="Palatino Linotype"/>
          <w:i/>
          <w:color w:val="000000"/>
          <w:szCs w:val="22"/>
        </w:rPr>
      </w:pPr>
    </w:p>
    <w:p w14:paraId="265369D9" w14:textId="77777777" w:rsidR="00503B10" w:rsidRPr="00830724" w:rsidRDefault="00503B10" w:rsidP="00503B10">
      <w:pPr>
        <w:pStyle w:val="Prrafodelista"/>
        <w:numPr>
          <w:ilvl w:val="0"/>
          <w:numId w:val="2"/>
        </w:numPr>
        <w:spacing w:before="240" w:after="240" w:line="360" w:lineRule="auto"/>
        <w:ind w:left="0" w:firstLine="0"/>
        <w:jc w:val="both"/>
        <w:rPr>
          <w:rFonts w:ascii="Palatino Linotype" w:eastAsia="Palatino Linotype" w:hAnsi="Palatino Linotype" w:cs="Palatino Linotype"/>
          <w:color w:val="000000"/>
          <w:sz w:val="24"/>
        </w:rPr>
      </w:pPr>
      <w:r w:rsidRPr="00830724">
        <w:rPr>
          <w:rFonts w:ascii="Palatino Linotype" w:eastAsia="Palatino Linotype" w:hAnsi="Palatino Linotype" w:cs="Palatino Linotype"/>
          <w:color w:val="000000"/>
          <w:sz w:val="24"/>
        </w:rPr>
        <w:t xml:space="preserve">Consecuentemente, se reitera que la parte de la solicitud que no fue impugnada debe declararse consentida por </w:t>
      </w:r>
      <w:r w:rsidRPr="00830724">
        <w:rPr>
          <w:rFonts w:ascii="Palatino Linotype" w:eastAsia="Palatino Linotype" w:hAnsi="Palatino Linotype" w:cs="Palatino Linotype"/>
          <w:b/>
          <w:color w:val="000000"/>
          <w:sz w:val="24"/>
        </w:rPr>
        <w:t>el Recurrente</w:t>
      </w:r>
      <w:r w:rsidRPr="00830724">
        <w:rPr>
          <w:rFonts w:ascii="Palatino Linotype" w:eastAsia="Palatino Linotype" w:hAnsi="Palatino Linotype" w:cs="Palatino Linotype"/>
          <w:color w:val="000000"/>
          <w:sz w:val="24"/>
        </w:rPr>
        <w:t xml:space="preserve">, en razón de que no se realizaron manifestaciones de inconformidad, por lo que no pueden producirse efectos jurídicos </w:t>
      </w:r>
      <w:r w:rsidRPr="00830724">
        <w:rPr>
          <w:rFonts w:ascii="Palatino Linotype" w:eastAsia="Palatino Linotype" w:hAnsi="Palatino Linotype" w:cs="Palatino Linotype"/>
          <w:color w:val="000000"/>
          <w:sz w:val="24"/>
        </w:rPr>
        <w:lastRenderedPageBreak/>
        <w:t xml:space="preserve">tendentes a revocar, confirmar o modificar el acto reclamado ya que se infiere un consentimiento del </w:t>
      </w:r>
      <w:r w:rsidRPr="00830724">
        <w:rPr>
          <w:rFonts w:ascii="Palatino Linotype" w:eastAsia="Palatino Linotype" w:hAnsi="Palatino Linotype" w:cs="Palatino Linotype"/>
          <w:b/>
          <w:color w:val="000000"/>
          <w:sz w:val="24"/>
        </w:rPr>
        <w:t xml:space="preserve">Recurrente </w:t>
      </w:r>
      <w:r w:rsidRPr="00830724">
        <w:rPr>
          <w:rFonts w:ascii="Palatino Linotype" w:eastAsia="Palatino Linotype" w:hAnsi="Palatino Linotype" w:cs="Palatino Linotype"/>
          <w:color w:val="000000"/>
          <w:sz w:val="24"/>
        </w:rPr>
        <w:t xml:space="preserve">ante la falta de impugnación eficaz. </w:t>
      </w:r>
    </w:p>
    <w:p w14:paraId="265369DA" w14:textId="77777777" w:rsidR="00503B10" w:rsidRPr="00830724" w:rsidRDefault="00503B10" w:rsidP="00503B10">
      <w:pPr>
        <w:pStyle w:val="Prrafodelista"/>
        <w:spacing w:before="240" w:after="240" w:line="360" w:lineRule="auto"/>
        <w:ind w:left="0"/>
        <w:jc w:val="both"/>
        <w:rPr>
          <w:rFonts w:ascii="Palatino Linotype" w:eastAsia="Palatino Linotype" w:hAnsi="Palatino Linotype" w:cs="Palatino Linotype"/>
          <w:color w:val="000000"/>
          <w:sz w:val="24"/>
        </w:rPr>
      </w:pPr>
    </w:p>
    <w:p w14:paraId="265369DB" w14:textId="77777777" w:rsidR="00503B10" w:rsidRPr="00830724" w:rsidRDefault="00503B10" w:rsidP="00503B10">
      <w:pPr>
        <w:pStyle w:val="Prrafodelista"/>
        <w:numPr>
          <w:ilvl w:val="0"/>
          <w:numId w:val="2"/>
        </w:numPr>
        <w:spacing w:before="240" w:after="240" w:line="360" w:lineRule="auto"/>
        <w:ind w:left="0" w:firstLine="0"/>
        <w:jc w:val="both"/>
        <w:rPr>
          <w:rFonts w:ascii="Palatino Linotype" w:eastAsia="Palatino Linotype" w:hAnsi="Palatino Linotype" w:cs="Palatino Linotype"/>
          <w:color w:val="000000"/>
          <w:sz w:val="24"/>
        </w:rPr>
      </w:pPr>
      <w:r w:rsidRPr="00830724">
        <w:rPr>
          <w:rFonts w:ascii="Palatino Linotype" w:eastAsia="Palatino Linotype" w:hAnsi="Palatino Linotype" w:cs="Palatino Linotype"/>
          <w:color w:val="000000"/>
          <w:sz w:val="24"/>
        </w:rPr>
        <w:t>Sirve de sustento a lo anterior por analogía la tesis jurisprudencial número VI.3o.C. J/60, publicada en el Semanario Judicial de la Federación y su Gaceta bajo el número de registro 176,608 que a la letra dice:</w:t>
      </w:r>
    </w:p>
    <w:p w14:paraId="265369DC" w14:textId="77777777" w:rsidR="00503B10" w:rsidRPr="00830724" w:rsidRDefault="00503B10" w:rsidP="00503B10">
      <w:pPr>
        <w:pStyle w:val="Prrafodelista"/>
        <w:spacing w:before="240" w:after="240" w:line="360" w:lineRule="auto"/>
        <w:ind w:left="0"/>
        <w:jc w:val="both"/>
        <w:rPr>
          <w:rFonts w:ascii="Palatino Linotype" w:eastAsia="Palatino Linotype" w:hAnsi="Palatino Linotype" w:cs="Palatino Linotype"/>
          <w:color w:val="000000"/>
          <w:sz w:val="24"/>
        </w:rPr>
      </w:pPr>
    </w:p>
    <w:p w14:paraId="265369DD" w14:textId="77777777" w:rsidR="00503B10" w:rsidRPr="00830724" w:rsidRDefault="00503B10" w:rsidP="00503B10">
      <w:pPr>
        <w:pStyle w:val="Prrafodelista"/>
        <w:spacing w:before="240" w:after="240" w:line="360" w:lineRule="auto"/>
        <w:ind w:left="851" w:right="822"/>
        <w:jc w:val="both"/>
        <w:rPr>
          <w:rFonts w:ascii="Palatino Linotype" w:eastAsia="Palatino Linotype" w:hAnsi="Palatino Linotype" w:cs="Palatino Linotype"/>
          <w:i/>
          <w:color w:val="000000"/>
          <w:szCs w:val="22"/>
        </w:rPr>
      </w:pPr>
      <w:r w:rsidRPr="00830724">
        <w:rPr>
          <w:rFonts w:ascii="Palatino Linotype" w:eastAsia="Palatino Linotype" w:hAnsi="Palatino Linotype" w:cs="Palatino Linotype"/>
          <w:b/>
          <w:i/>
          <w:smallCaps/>
          <w:color w:val="000000"/>
          <w:szCs w:val="22"/>
        </w:rPr>
        <w:t xml:space="preserve">“ACTOS CONSENTIDOS. SON LOS QUE NO SE IMPUGNAN MEDIANTE EL RECURSO IDÓNEO. </w:t>
      </w:r>
      <w:r w:rsidRPr="00830724">
        <w:rPr>
          <w:rFonts w:ascii="Palatino Linotype" w:eastAsia="Palatino Linotype" w:hAnsi="Palatino Linotype" w:cs="Palatino Linotype"/>
          <w:i/>
          <w:color w:val="000000"/>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65369DE" w14:textId="77777777" w:rsidR="00503B10" w:rsidRPr="00830724" w:rsidRDefault="00503B10" w:rsidP="00503B10">
      <w:pPr>
        <w:pStyle w:val="Prrafodelista"/>
        <w:spacing w:before="240" w:after="240" w:line="276" w:lineRule="auto"/>
        <w:ind w:left="644" w:right="900"/>
        <w:jc w:val="both"/>
        <w:rPr>
          <w:rFonts w:ascii="Palatino Linotype" w:eastAsia="Palatino Linotype" w:hAnsi="Palatino Linotype" w:cs="Palatino Linotype"/>
        </w:rPr>
      </w:pPr>
    </w:p>
    <w:p w14:paraId="265369DF" w14:textId="77777777" w:rsidR="00503B10" w:rsidRPr="00830724" w:rsidRDefault="00503B10" w:rsidP="00503B10">
      <w:pPr>
        <w:pStyle w:val="Prrafodelista"/>
        <w:numPr>
          <w:ilvl w:val="0"/>
          <w:numId w:val="2"/>
        </w:numPr>
        <w:spacing w:before="240" w:after="240" w:line="360" w:lineRule="auto"/>
        <w:ind w:left="0" w:firstLine="0"/>
        <w:jc w:val="both"/>
        <w:rPr>
          <w:rFonts w:ascii="Palatino Linotype" w:eastAsia="Palatino Linotype" w:hAnsi="Palatino Linotype" w:cs="Palatino Linotype"/>
          <w:sz w:val="24"/>
        </w:rPr>
      </w:pPr>
      <w:r w:rsidRPr="00830724">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265369E0" w14:textId="77777777" w:rsidR="00503B10" w:rsidRPr="00830724" w:rsidRDefault="00503B10" w:rsidP="00503B10">
      <w:pPr>
        <w:pStyle w:val="Prrafodelista"/>
        <w:spacing w:before="240" w:after="240" w:line="360" w:lineRule="auto"/>
        <w:ind w:left="0"/>
        <w:jc w:val="both"/>
        <w:rPr>
          <w:rFonts w:ascii="Palatino Linotype" w:eastAsia="Palatino Linotype" w:hAnsi="Palatino Linotype" w:cs="Palatino Linotype"/>
          <w:sz w:val="24"/>
        </w:rPr>
      </w:pPr>
    </w:p>
    <w:p w14:paraId="265369E1" w14:textId="77777777" w:rsidR="00503B10" w:rsidRPr="00830724" w:rsidRDefault="00503B10" w:rsidP="00503B10">
      <w:pPr>
        <w:pStyle w:val="Prrafodelista"/>
        <w:spacing w:before="240" w:after="240" w:line="360" w:lineRule="auto"/>
        <w:ind w:left="851" w:right="822"/>
        <w:jc w:val="both"/>
        <w:rPr>
          <w:rFonts w:ascii="Palatino Linotype" w:eastAsia="Palatino Linotype" w:hAnsi="Palatino Linotype" w:cs="Palatino Linotype"/>
          <w:i/>
        </w:rPr>
      </w:pPr>
      <w:r w:rsidRPr="00830724">
        <w:rPr>
          <w:rFonts w:ascii="Palatino Linotype" w:eastAsia="Palatino Linotype" w:hAnsi="Palatino Linotype" w:cs="Palatino Linotype"/>
          <w:b/>
          <w:i/>
        </w:rPr>
        <w:t>Actos consentidos tácitamente. Improcedencia de su análisis.</w:t>
      </w:r>
      <w:r w:rsidRPr="00830724">
        <w:rPr>
          <w:rFonts w:ascii="Palatino Linotype" w:eastAsia="Palatino Linotype" w:hAnsi="Palatino Linotype" w:cs="Palatino Linotype"/>
          <w:i/>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65369E2" w14:textId="77777777" w:rsidR="00503B10" w:rsidRPr="00830724" w:rsidRDefault="00503B10" w:rsidP="00503B10">
      <w:pPr>
        <w:pStyle w:val="Prrafodelista"/>
        <w:spacing w:before="240" w:after="240" w:line="360" w:lineRule="auto"/>
        <w:ind w:left="851" w:right="822"/>
        <w:jc w:val="both"/>
        <w:rPr>
          <w:rFonts w:ascii="Palatino Linotype" w:eastAsia="Palatino Linotype" w:hAnsi="Palatino Linotype" w:cs="Palatino Linotype"/>
          <w:i/>
        </w:rPr>
      </w:pPr>
    </w:p>
    <w:p w14:paraId="265369E3" w14:textId="77777777" w:rsidR="000910C5" w:rsidRPr="00830724" w:rsidRDefault="00503B10" w:rsidP="000910C5">
      <w:pPr>
        <w:pStyle w:val="Prrafodelista"/>
        <w:numPr>
          <w:ilvl w:val="0"/>
          <w:numId w:val="2"/>
        </w:numPr>
        <w:spacing w:before="240" w:after="240" w:line="360" w:lineRule="auto"/>
        <w:ind w:left="0" w:firstLine="0"/>
        <w:jc w:val="both"/>
        <w:rPr>
          <w:rFonts w:ascii="Palatino Linotype" w:eastAsia="Palatino Linotype" w:hAnsi="Palatino Linotype" w:cs="Palatino Linotype"/>
          <w:b/>
          <w:sz w:val="24"/>
        </w:rPr>
      </w:pPr>
      <w:r w:rsidRPr="00830724">
        <w:rPr>
          <w:rFonts w:ascii="Palatino Linotype" w:eastAsia="Palatino Linotype" w:hAnsi="Palatino Linotype" w:cs="Palatino Linotype"/>
          <w:sz w:val="24"/>
        </w:rPr>
        <w:t xml:space="preserve">Derivado de lo anteriormente referido, y a efecto de garantizar el efectivo ejercicio del derecho de acceso a la información pública que asiste al particular, resulta </w:t>
      </w:r>
      <w:r w:rsidRPr="00830724">
        <w:rPr>
          <w:rFonts w:ascii="Palatino Linotype" w:eastAsia="Palatino Linotype" w:hAnsi="Palatino Linotype" w:cs="Palatino Linotype"/>
          <w:sz w:val="24"/>
        </w:rPr>
        <w:lastRenderedPageBreak/>
        <w:t xml:space="preserve">conveniente precisar que el presente análisis versará únicamente sobre </w:t>
      </w:r>
      <w:r w:rsidR="00AE523C" w:rsidRPr="00830724">
        <w:rPr>
          <w:rFonts w:ascii="Palatino Linotype" w:eastAsia="Palatino Linotype" w:hAnsi="Palatino Linotype" w:cs="Palatino Linotype"/>
          <w:sz w:val="24"/>
        </w:rPr>
        <w:t xml:space="preserve">el área a la que pertenecen los servidores públicos que no cuentan con certificación y la justificación de permanencia por no contar con certificación. </w:t>
      </w:r>
    </w:p>
    <w:p w14:paraId="265369E4" w14:textId="77777777" w:rsidR="000910C5" w:rsidRPr="00830724" w:rsidRDefault="000910C5" w:rsidP="000910C5">
      <w:pPr>
        <w:pStyle w:val="Prrafodelista"/>
        <w:spacing w:before="240" w:after="240" w:line="360" w:lineRule="auto"/>
        <w:ind w:left="0"/>
        <w:jc w:val="both"/>
        <w:rPr>
          <w:rFonts w:ascii="Palatino Linotype" w:eastAsia="Palatino Linotype" w:hAnsi="Palatino Linotype" w:cs="Palatino Linotype"/>
          <w:b/>
          <w:sz w:val="24"/>
        </w:rPr>
      </w:pPr>
    </w:p>
    <w:p w14:paraId="265369E5" w14:textId="77777777" w:rsidR="000910C5" w:rsidRPr="00830724" w:rsidRDefault="00EE678D" w:rsidP="000910C5">
      <w:pPr>
        <w:pStyle w:val="Prrafodelista"/>
        <w:numPr>
          <w:ilvl w:val="0"/>
          <w:numId w:val="2"/>
        </w:numPr>
        <w:spacing w:before="240" w:after="240" w:line="360" w:lineRule="auto"/>
        <w:ind w:left="0" w:firstLine="0"/>
        <w:jc w:val="both"/>
        <w:rPr>
          <w:rFonts w:ascii="Palatino Linotype" w:eastAsia="Palatino Linotype" w:hAnsi="Palatino Linotype" w:cs="Palatino Linotype"/>
          <w:b/>
          <w:sz w:val="24"/>
        </w:rPr>
      </w:pPr>
      <w:r w:rsidRPr="00830724">
        <w:rPr>
          <w:rFonts w:ascii="Palatino Linotype" w:hAnsi="Palatino Linotype" w:cs="Arial"/>
          <w:color w:val="000000"/>
          <w:sz w:val="24"/>
          <w:lang w:val="es-ES"/>
        </w:rPr>
        <w:t xml:space="preserve">Ahora bien, por lo que se refiere a la justificación de permanencia por no contar con certificación, este Órgano Garante advierte </w:t>
      </w:r>
      <w:r w:rsidR="000910C5" w:rsidRPr="00830724">
        <w:rPr>
          <w:rFonts w:ascii="Palatino Linotype" w:hAnsi="Palatino Linotype" w:cs="Arial"/>
          <w:color w:val="000000"/>
          <w:sz w:val="24"/>
          <w:lang w:val="es-ES"/>
        </w:rPr>
        <w:t xml:space="preserve">que </w:t>
      </w:r>
      <w:r w:rsidR="000910C5" w:rsidRPr="00830724">
        <w:rPr>
          <w:rFonts w:ascii="Palatino Linotype" w:eastAsia="MS Mincho" w:hAnsi="Palatino Linotype" w:cstheme="majorBidi"/>
          <w:b/>
          <w:sz w:val="24"/>
          <w:lang w:val="es-ES_tradnl" w:eastAsia="es-ES"/>
        </w:rPr>
        <w:t xml:space="preserve">se desprenden nuevos requerimientos, mismos que no pueden ser atendidos dado que no fueron solicitados inicialmente, a lo que se le conoce también como plus </w:t>
      </w:r>
      <w:proofErr w:type="spellStart"/>
      <w:r w:rsidR="000910C5" w:rsidRPr="00830724">
        <w:rPr>
          <w:rFonts w:ascii="Palatino Linotype" w:eastAsia="MS Mincho" w:hAnsi="Palatino Linotype" w:cstheme="majorBidi"/>
          <w:b/>
          <w:sz w:val="24"/>
          <w:lang w:val="es-ES_tradnl" w:eastAsia="es-ES"/>
        </w:rPr>
        <w:t>petitio</w:t>
      </w:r>
      <w:proofErr w:type="spellEnd"/>
      <w:r w:rsidR="000910C5" w:rsidRPr="00830724">
        <w:rPr>
          <w:rFonts w:ascii="Palatino Linotype" w:eastAsia="MS Mincho" w:hAnsi="Palatino Linotype" w:cstheme="majorBidi"/>
          <w:b/>
          <w:sz w:val="24"/>
          <w:lang w:val="es-ES_tradnl" w:eastAsia="es-ES"/>
        </w:rPr>
        <w:t xml:space="preserve">. </w:t>
      </w:r>
      <w:r w:rsidR="000910C5" w:rsidRPr="00830724">
        <w:rPr>
          <w:rFonts w:ascii="Palatino Linotype" w:hAnsi="Palatino Linotype" w:cs="Arial"/>
          <w:color w:val="000000"/>
          <w:sz w:val="24"/>
          <w:lang w:val="es-ES" w:eastAsia="es-ES"/>
        </w:rPr>
        <w:t>Sirve de apoyo a lo anterior por analogía, la Jurisprudencia No. 29 visible a foja 19 del Apéndice al Semanario Judicial de la Federación 1917-1995, Torno VI, Materia Común, Primera Parte, Tesis de la Suprema Corte de Justicia, que enseña:</w:t>
      </w:r>
    </w:p>
    <w:p w14:paraId="265369E6" w14:textId="77777777" w:rsidR="000910C5" w:rsidRPr="00830724" w:rsidRDefault="000910C5" w:rsidP="000910C5">
      <w:pPr>
        <w:spacing w:before="240" w:after="240"/>
        <w:ind w:left="851" w:right="901"/>
        <w:jc w:val="both"/>
        <w:rPr>
          <w:rFonts w:ascii="Palatino Linotype" w:hAnsi="Palatino Linotype" w:cs="Arial"/>
          <w:b/>
          <w:color w:val="000000"/>
          <w:lang w:val="es-ES" w:eastAsia="es-ES"/>
        </w:rPr>
      </w:pPr>
      <w:r w:rsidRPr="00830724">
        <w:rPr>
          <w:rFonts w:ascii="Palatino Linotype" w:hAnsi="Palatino Linotype" w:cs="Arial"/>
          <w:b/>
          <w:color w:val="000000"/>
          <w:lang w:val="es-ES" w:eastAsia="es-ES"/>
        </w:rPr>
        <w:t>"</w:t>
      </w:r>
      <w:r w:rsidRPr="00830724">
        <w:rPr>
          <w:rFonts w:ascii="Palatino Linotype" w:hAnsi="Palatino Linotype" w:cs="Arial"/>
          <w:i/>
          <w:color w:val="000000"/>
          <w:lang w:val="es-ES" w:eastAsia="es-ES"/>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830724">
        <w:rPr>
          <w:rFonts w:ascii="Palatino Linotype" w:hAnsi="Palatino Linotype" w:cs="Arial"/>
          <w:b/>
          <w:color w:val="000000"/>
          <w:lang w:val="es-ES" w:eastAsia="es-ES"/>
        </w:rPr>
        <w:t>"</w:t>
      </w:r>
    </w:p>
    <w:p w14:paraId="265369E7" w14:textId="77777777" w:rsidR="000910C5" w:rsidRPr="00830724" w:rsidRDefault="000910C5" w:rsidP="000910C5">
      <w:pPr>
        <w:spacing w:before="240" w:after="240"/>
        <w:ind w:left="851" w:right="901"/>
        <w:jc w:val="both"/>
        <w:rPr>
          <w:rFonts w:ascii="Palatino Linotype" w:hAnsi="Palatino Linotype" w:cs="Arial"/>
          <w:b/>
          <w:color w:val="000000"/>
          <w:lang w:val="es-ES" w:eastAsia="es-ES"/>
        </w:rPr>
      </w:pPr>
    </w:p>
    <w:p w14:paraId="265369E8" w14:textId="77777777" w:rsidR="000910C5" w:rsidRPr="00830724" w:rsidRDefault="000910C5" w:rsidP="000910C5">
      <w:pPr>
        <w:pStyle w:val="Prrafodelista"/>
        <w:numPr>
          <w:ilvl w:val="0"/>
          <w:numId w:val="2"/>
        </w:numPr>
        <w:spacing w:before="240" w:after="240" w:line="360" w:lineRule="auto"/>
        <w:ind w:left="0" w:firstLine="0"/>
        <w:jc w:val="both"/>
        <w:rPr>
          <w:rFonts w:ascii="Palatino Linotype" w:hAnsi="Palatino Linotype" w:cs="Arial"/>
          <w:color w:val="000000"/>
          <w:sz w:val="24"/>
          <w:lang w:val="es-ES" w:eastAsia="es-ES"/>
        </w:rPr>
      </w:pPr>
      <w:r w:rsidRPr="00830724">
        <w:rPr>
          <w:rFonts w:ascii="Palatino Linotype" w:hAnsi="Palatino Linotype" w:cs="Arial"/>
          <w:color w:val="000000"/>
          <w:sz w:val="24"/>
          <w:lang w:val="es-ES" w:eastAsia="es-ES"/>
        </w:rPr>
        <w:t>Asimismo, cabe por analogía en el presente asunto el fallo emitido por el Segundo Tribunal Colegiado del Cuarto Circuito, recaído en el amparo directo 277/88, que establece:</w:t>
      </w:r>
    </w:p>
    <w:p w14:paraId="265369E9" w14:textId="77777777" w:rsidR="000910C5" w:rsidRPr="00830724" w:rsidRDefault="000910C5" w:rsidP="000910C5">
      <w:pPr>
        <w:spacing w:before="240" w:after="240"/>
        <w:ind w:left="851" w:right="901"/>
        <w:jc w:val="both"/>
        <w:rPr>
          <w:rFonts w:ascii="Palatino Linotype" w:hAnsi="Palatino Linotype" w:cs="Arial"/>
          <w:b/>
          <w:color w:val="000000"/>
          <w:lang w:val="es-ES" w:eastAsia="es-ES"/>
        </w:rPr>
      </w:pPr>
      <w:r w:rsidRPr="00830724">
        <w:rPr>
          <w:rFonts w:ascii="Palatino Linotype" w:hAnsi="Palatino Linotype" w:cs="Arial"/>
          <w:b/>
          <w:color w:val="000000"/>
          <w:lang w:val="es-ES" w:eastAsia="es-ES"/>
        </w:rPr>
        <w:lastRenderedPageBreak/>
        <w:t>“</w:t>
      </w:r>
      <w:r w:rsidRPr="00830724">
        <w:rPr>
          <w:rFonts w:ascii="Palatino Linotype" w:hAnsi="Palatino Linotype" w:cs="Arial"/>
          <w:i/>
          <w:color w:val="000000"/>
          <w:lang w:val="es-ES" w:eastAsia="es-ES"/>
        </w:rPr>
        <w:t>JUICIO DE NULIDAD LITIS EN EL. Interpretación de los artículos 215 y 237 DEL CÓDIGO FISCAL DE LA FEDERACIÓN.- El actual Código Fiscal de la Federación no contempla literalmente la hipótesis legal regulada en el artículo 219 del Código Fiscal de 1967, en el que se estima que la resolución impugnada deberá ser apreciada en los términos en que lo fue ante la autoridad administrativa; sin embargo el artículo 237 de dicho ordenamiento en vigor establece que las sentencias del Tribunal Fiscal de la Federación se fundarán en derecho y examinarán todos y cada uno de los puntos controvertidos, del acto impugnado de donde se sigue que, interpretando conjuntamente los artículos 215 y 237, del Código Fiscal vigente, la autoridad en su contestación a la demanda no podrá cambiar los fundamentos de derecho dados en la resolución y, por su parte, la actora no podrá introducir en su demanda cuestiones diversas a las planteadas originalmente ante la autoridad administrativa, pues de seguirse un criterio contrario, el juzgador tendría que analizar el acto combatido a la luz de argumentos que no fueron del conocimiento de la autoridad o, en su caso, de aquéllos que no fueron expuestos en la propia resolución, con lo cual no se examinarían todos y cada uno de los hechos y puntos controvertidos del acto impugnado, tal como establece el artículo 237 mencionado. Por último cabe señalar que dicha regla admite la excepción relativa a cuestiones y pruebas supervenientes- Visible en el S.J.F., Octava Época, Tomo VII, enero de 1991, pág. 294.</w:t>
      </w:r>
      <w:r w:rsidRPr="00830724">
        <w:rPr>
          <w:rFonts w:ascii="Palatino Linotype" w:hAnsi="Palatino Linotype" w:cs="Arial"/>
          <w:b/>
          <w:color w:val="000000"/>
          <w:lang w:val="es-ES" w:eastAsia="es-ES"/>
        </w:rPr>
        <w:t>”</w:t>
      </w:r>
    </w:p>
    <w:p w14:paraId="265369EA" w14:textId="77777777" w:rsidR="000910C5" w:rsidRPr="00830724" w:rsidRDefault="000910C5" w:rsidP="000910C5">
      <w:pPr>
        <w:spacing w:before="240" w:after="240"/>
        <w:ind w:left="851" w:right="901"/>
        <w:jc w:val="both"/>
        <w:rPr>
          <w:rFonts w:ascii="Palatino Linotype" w:hAnsi="Palatino Linotype" w:cs="Arial"/>
          <w:b/>
          <w:color w:val="000000"/>
          <w:lang w:val="es-ES" w:eastAsia="es-ES"/>
        </w:rPr>
      </w:pPr>
    </w:p>
    <w:p w14:paraId="265369EB" w14:textId="77777777" w:rsidR="000910C5" w:rsidRPr="00830724" w:rsidRDefault="000910C5" w:rsidP="000910C5">
      <w:pPr>
        <w:pStyle w:val="Prrafodelista"/>
        <w:numPr>
          <w:ilvl w:val="0"/>
          <w:numId w:val="2"/>
        </w:numPr>
        <w:spacing w:before="240" w:after="240" w:line="360" w:lineRule="auto"/>
        <w:ind w:left="0" w:firstLine="0"/>
        <w:jc w:val="both"/>
        <w:rPr>
          <w:rFonts w:ascii="Palatino Linotype" w:hAnsi="Palatino Linotype" w:cs="Arial"/>
          <w:color w:val="000000"/>
          <w:sz w:val="24"/>
          <w:lang w:val="es-ES" w:eastAsia="es-ES"/>
        </w:rPr>
      </w:pPr>
      <w:r w:rsidRPr="00830724">
        <w:rPr>
          <w:rFonts w:ascii="Palatino Linotype" w:hAnsi="Palatino Linotype" w:cs="Arial"/>
          <w:color w:val="000000"/>
          <w:sz w:val="24"/>
          <w:lang w:val="es-ES" w:eastAsia="es-ES"/>
        </w:rPr>
        <w:t xml:space="preserve">Por lo anterior, se establece que, el recurso de revisión presentado por </w:t>
      </w:r>
      <w:r w:rsidRPr="00830724">
        <w:rPr>
          <w:rFonts w:ascii="Palatino Linotype" w:hAnsi="Palatino Linotype" w:cs="Arial"/>
          <w:b/>
          <w:color w:val="000000"/>
          <w:sz w:val="24"/>
          <w:lang w:val="es-ES" w:eastAsia="es-ES"/>
        </w:rPr>
        <w:t>EL RECURRENTE</w:t>
      </w:r>
      <w:r w:rsidRPr="00830724">
        <w:rPr>
          <w:rFonts w:ascii="Palatino Linotype" w:hAnsi="Palatino Linotype" w:cs="Arial"/>
          <w:color w:val="000000"/>
          <w:sz w:val="24"/>
          <w:lang w:val="es-ES" w:eastAsia="es-ES"/>
        </w:rPr>
        <w:t xml:space="preserve"> no debe variar el fondo de la </w:t>
      </w:r>
      <w:proofErr w:type="spellStart"/>
      <w:r w:rsidRPr="00830724">
        <w:rPr>
          <w:rFonts w:ascii="Palatino Linotype" w:hAnsi="Palatino Linotype" w:cs="Arial"/>
          <w:color w:val="000000"/>
          <w:sz w:val="24"/>
          <w:lang w:val="es-ES" w:eastAsia="es-ES"/>
        </w:rPr>
        <w:t>litis</w:t>
      </w:r>
      <w:proofErr w:type="spellEnd"/>
      <w:r w:rsidRPr="00830724">
        <w:rPr>
          <w:rFonts w:ascii="Palatino Linotype" w:hAnsi="Palatino Linotype" w:cs="Arial"/>
          <w:color w:val="000000"/>
          <w:sz w:val="24"/>
          <w:lang w:val="es-ES" w:eastAsia="es-ES"/>
        </w:rPr>
        <w:t xml:space="preserve">, de tal manera que, los argumentos planteados por </w:t>
      </w:r>
      <w:r w:rsidRPr="00830724">
        <w:rPr>
          <w:rFonts w:ascii="Palatino Linotype" w:hAnsi="Palatino Linotype" w:cs="Arial"/>
          <w:b/>
          <w:color w:val="000000"/>
          <w:sz w:val="24"/>
          <w:lang w:val="es-ES" w:eastAsia="es-ES"/>
        </w:rPr>
        <w:t>EL RECURRENTE</w:t>
      </w:r>
      <w:r w:rsidRPr="00830724">
        <w:rPr>
          <w:rFonts w:ascii="Palatino Linotype" w:hAnsi="Palatino Linotype" w:cs="Arial"/>
          <w:color w:val="000000"/>
          <w:sz w:val="24"/>
          <w:lang w:val="es-ES" w:eastAsia="es-ES"/>
        </w:rPr>
        <w:t xml:space="preserve"> en su inconformidad respecto de los puntos materia del presente análisis, resultan notoriamente improcedentes, pues este Órgano Garante se encuentra imposibilitado para satisfacer requerimientos que no fueron formulados en tiempo y forma.</w:t>
      </w:r>
    </w:p>
    <w:p w14:paraId="265369EC" w14:textId="77777777" w:rsidR="000910C5" w:rsidRPr="00830724" w:rsidRDefault="000910C5" w:rsidP="000910C5">
      <w:pPr>
        <w:pStyle w:val="Prrafodelista"/>
        <w:spacing w:before="240" w:after="240" w:line="360" w:lineRule="auto"/>
        <w:ind w:left="0"/>
        <w:jc w:val="both"/>
        <w:rPr>
          <w:rFonts w:ascii="Palatino Linotype" w:hAnsi="Palatino Linotype" w:cs="Arial"/>
          <w:color w:val="000000"/>
          <w:sz w:val="24"/>
          <w:lang w:val="es-ES" w:eastAsia="es-ES"/>
        </w:rPr>
      </w:pPr>
    </w:p>
    <w:p w14:paraId="265369ED" w14:textId="77777777" w:rsidR="000910C5" w:rsidRPr="00830724" w:rsidRDefault="000910C5" w:rsidP="000910C5">
      <w:pPr>
        <w:pStyle w:val="Prrafodelista"/>
        <w:numPr>
          <w:ilvl w:val="0"/>
          <w:numId w:val="2"/>
        </w:numPr>
        <w:spacing w:before="240" w:after="240" w:line="360" w:lineRule="auto"/>
        <w:ind w:left="0" w:firstLine="0"/>
        <w:jc w:val="both"/>
        <w:rPr>
          <w:rFonts w:ascii="Palatino Linotype" w:hAnsi="Palatino Linotype" w:cs="Arial"/>
          <w:color w:val="000000"/>
          <w:sz w:val="24"/>
          <w:lang w:val="es-ES" w:eastAsia="es-ES"/>
        </w:rPr>
      </w:pPr>
      <w:r w:rsidRPr="00830724">
        <w:rPr>
          <w:rFonts w:ascii="Palatino Linotype" w:hAnsi="Palatino Linotype" w:cs="Arial"/>
          <w:color w:val="000000"/>
          <w:sz w:val="24"/>
          <w:lang w:val="es-ES" w:eastAsia="es-ES"/>
        </w:rPr>
        <w:lastRenderedPageBreak/>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265369EE" w14:textId="77777777" w:rsidR="000910C5" w:rsidRPr="00830724" w:rsidRDefault="000910C5" w:rsidP="000910C5">
      <w:pPr>
        <w:shd w:val="clear" w:color="auto" w:fill="FFFFFF"/>
        <w:ind w:left="851" w:right="899"/>
        <w:jc w:val="both"/>
        <w:rPr>
          <w:rFonts w:ascii="Palatino Linotype" w:hAnsi="Palatino Linotype" w:cs="Arial"/>
          <w:b/>
          <w:i/>
          <w:iCs/>
          <w:color w:val="000000"/>
          <w:lang w:val="es-ES" w:eastAsia="es-ES"/>
        </w:rPr>
      </w:pPr>
      <w:r w:rsidRPr="00830724">
        <w:rPr>
          <w:rFonts w:ascii="Palatino Linotype" w:hAnsi="Palatino Linotype" w:cs="Arial"/>
          <w:b/>
          <w:bCs/>
          <w:i/>
          <w:iCs/>
          <w:color w:val="000000"/>
          <w:lang w:val="es-ES" w:eastAsia="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830724">
        <w:rPr>
          <w:rFonts w:ascii="Palatino Linotype" w:hAnsi="Palatino Linotype" w:cs="Arial"/>
          <w:i/>
          <w:iCs/>
          <w:color w:val="000000"/>
          <w:lang w:val="es-ES" w:eastAsia="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830724">
        <w:rPr>
          <w:rFonts w:ascii="Palatino Linotype" w:hAnsi="Palatino Linotype" w:cs="Arial"/>
          <w:i/>
          <w:iCs/>
          <w:color w:val="000000"/>
          <w:lang w:val="es-ES" w:eastAsia="es-ES"/>
        </w:rPr>
        <w:br/>
        <w:t>OCTAVO TRIBUNAL COLEGIADO EN MATERIA ADMINISTRATIVA DEL PRIMER CIRCUITO.</w:t>
      </w:r>
      <w:r w:rsidRPr="00830724">
        <w:rPr>
          <w:rFonts w:ascii="Palatino Linotype" w:hAnsi="Palatino Linotype" w:cs="Arial"/>
          <w:b/>
          <w:i/>
          <w:iCs/>
          <w:color w:val="000000"/>
          <w:lang w:val="es-ES" w:eastAsia="es-ES"/>
        </w:rPr>
        <w:t>”</w:t>
      </w:r>
    </w:p>
    <w:p w14:paraId="265369EF" w14:textId="77777777" w:rsidR="000910C5" w:rsidRPr="00830724" w:rsidRDefault="000910C5" w:rsidP="000910C5">
      <w:pPr>
        <w:shd w:val="clear" w:color="auto" w:fill="FFFFFF"/>
        <w:ind w:left="851" w:right="899"/>
        <w:jc w:val="both"/>
        <w:rPr>
          <w:rFonts w:ascii="Palatino Linotype" w:hAnsi="Palatino Linotype" w:cs="Arial"/>
          <w:b/>
          <w:color w:val="000000"/>
          <w:lang w:val="es-ES" w:eastAsia="es-ES"/>
        </w:rPr>
      </w:pPr>
    </w:p>
    <w:p w14:paraId="265369F0" w14:textId="77777777" w:rsidR="000910C5" w:rsidRPr="00830724" w:rsidRDefault="000910C5" w:rsidP="000910C5">
      <w:pPr>
        <w:pStyle w:val="Prrafodelista"/>
        <w:numPr>
          <w:ilvl w:val="0"/>
          <w:numId w:val="2"/>
        </w:numPr>
        <w:shd w:val="clear" w:color="auto" w:fill="FFFFFF"/>
        <w:spacing w:before="240" w:after="240" w:line="360" w:lineRule="auto"/>
        <w:ind w:left="0" w:firstLine="0"/>
        <w:jc w:val="both"/>
        <w:rPr>
          <w:rFonts w:ascii="Palatino Linotype" w:hAnsi="Palatino Linotype" w:cs="Arial"/>
          <w:color w:val="000000"/>
          <w:sz w:val="24"/>
          <w:lang w:val="es-ES" w:eastAsia="es-ES"/>
        </w:rPr>
      </w:pPr>
      <w:r w:rsidRPr="00830724">
        <w:rPr>
          <w:rFonts w:ascii="Palatino Linotype" w:hAnsi="Palatino Linotype" w:cs="Arial"/>
          <w:color w:val="000000"/>
          <w:sz w:val="24"/>
          <w:lang w:val="es-ES" w:eastAsia="es-ES"/>
        </w:rPr>
        <w:lastRenderedPageBreak/>
        <w:t xml:space="preserve">Así mismo ha sido criterio del Instituto Nacional de Transparencia, Acceso a la Información y Protección de Datos Personales bajo el número 27/10, que </w:t>
      </w:r>
      <w:r w:rsidRPr="00830724">
        <w:rPr>
          <w:rFonts w:ascii="Palatino Linotype" w:hAnsi="Palatino Linotype" w:cs="Arial"/>
          <w:bCs/>
          <w:color w:val="000000"/>
          <w:sz w:val="24"/>
          <w:u w:val="single"/>
          <w:lang w:val="es-ES" w:eastAsia="es-ES"/>
        </w:rPr>
        <w:t>resulta improcedente ampliar las solicitudes de información pública</w:t>
      </w:r>
      <w:r w:rsidRPr="00830724">
        <w:rPr>
          <w:rFonts w:ascii="Palatino Linotype" w:hAnsi="Palatino Linotype" w:cs="Arial"/>
          <w:color w:val="000000"/>
          <w:sz w:val="24"/>
          <w:u w:val="single"/>
          <w:lang w:val="es-ES" w:eastAsia="es-ES"/>
        </w:rPr>
        <w:t xml:space="preserve"> o de datos personales a través de la interposición del recurso de revisión</w:t>
      </w:r>
      <w:r w:rsidRPr="00830724">
        <w:rPr>
          <w:rFonts w:ascii="Palatino Linotype" w:hAnsi="Palatino Linotype" w:cs="Arial"/>
          <w:color w:val="000000"/>
          <w:sz w:val="24"/>
          <w:lang w:val="es-ES" w:eastAsia="es-ES"/>
        </w:rPr>
        <w:t xml:space="preserve">, como se estima acontece en el presente asunto, al aumentar datos a la solicitud inicial, </w:t>
      </w:r>
      <w:r w:rsidRPr="00830724">
        <w:rPr>
          <w:rFonts w:ascii="Palatino Linotype" w:hAnsi="Palatino Linotype" w:cs="Arial"/>
          <w:b/>
          <w:bCs/>
          <w:color w:val="000000"/>
          <w:sz w:val="24"/>
          <w:lang w:val="es-ES" w:eastAsia="es-ES"/>
        </w:rPr>
        <w:t>por lo que se insiste no se puede entrar al estudio de la información novedosa</w:t>
      </w:r>
      <w:r w:rsidRPr="00830724">
        <w:rPr>
          <w:rFonts w:ascii="Palatino Linotype" w:hAnsi="Palatino Linotype" w:cs="Arial"/>
          <w:color w:val="000000"/>
          <w:sz w:val="24"/>
          <w:lang w:val="es-ES" w:eastAsia="es-ES"/>
        </w:rPr>
        <w:t>, criterio que es de la literalidad siguiente:</w:t>
      </w:r>
    </w:p>
    <w:p w14:paraId="265369F1" w14:textId="77777777" w:rsidR="000910C5" w:rsidRPr="00830724" w:rsidRDefault="000910C5" w:rsidP="000910C5">
      <w:pPr>
        <w:shd w:val="clear" w:color="auto" w:fill="FFFFFF"/>
        <w:spacing w:before="240" w:after="240"/>
        <w:ind w:left="851" w:right="899"/>
        <w:jc w:val="both"/>
        <w:rPr>
          <w:rFonts w:ascii="Palatino Linotype" w:hAnsi="Palatino Linotype" w:cs="Arial"/>
          <w:color w:val="000000"/>
          <w:lang w:val="es-ES" w:eastAsia="es-ES"/>
        </w:rPr>
      </w:pPr>
      <w:r w:rsidRPr="00830724">
        <w:rPr>
          <w:rFonts w:ascii="Palatino Linotype" w:hAnsi="Palatino Linotype" w:cs="Arial"/>
          <w:b/>
          <w:bCs/>
          <w:i/>
          <w:iCs/>
          <w:color w:val="000000"/>
          <w:lang w:val="es-ES" w:eastAsia="es-ES"/>
        </w:rPr>
        <w:t>“Es improcedente ampliar las solicitudes de acceso a información pública o datos personales, a través de la interposición del recurso de revisión.</w:t>
      </w:r>
      <w:r w:rsidRPr="00830724">
        <w:rPr>
          <w:rFonts w:ascii="Palatino Linotype" w:hAnsi="Palatino Linotype" w:cs="Arial"/>
          <w:i/>
          <w:iCs/>
          <w:color w:val="000000"/>
          <w:lang w:val="es-ES" w:eastAsia="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265369F2" w14:textId="77777777" w:rsidR="00EE678D" w:rsidRPr="00830724" w:rsidRDefault="000910C5" w:rsidP="003B212D">
      <w:pPr>
        <w:shd w:val="clear" w:color="auto" w:fill="FFFFFF"/>
        <w:spacing w:before="240" w:after="240"/>
        <w:ind w:left="851" w:right="899"/>
        <w:jc w:val="both"/>
        <w:rPr>
          <w:rFonts w:ascii="Palatino Linotype" w:hAnsi="Palatino Linotype" w:cs="Arial"/>
          <w:b/>
          <w:color w:val="000000"/>
          <w:lang w:val="es-ES" w:eastAsia="es-ES"/>
        </w:rPr>
      </w:pPr>
      <w:r w:rsidRPr="00830724">
        <w:rPr>
          <w:rFonts w:ascii="Palatino Linotype" w:hAnsi="Palatino Linotype" w:cs="Arial"/>
          <w:i/>
          <w:iCs/>
          <w:color w:val="000000"/>
          <w:lang w:val="es-ES" w:eastAsia="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830724">
        <w:rPr>
          <w:rFonts w:ascii="Palatino Linotype" w:hAnsi="Palatino Linotype" w:cs="Arial"/>
          <w:i/>
          <w:iCs/>
          <w:color w:val="000000"/>
          <w:lang w:val="es-ES" w:eastAsia="es-ES"/>
        </w:rPr>
        <w:t>Marván</w:t>
      </w:r>
      <w:proofErr w:type="spellEnd"/>
      <w:r w:rsidRPr="00830724">
        <w:rPr>
          <w:rFonts w:ascii="Palatino Linotype" w:hAnsi="Palatino Linotype" w:cs="Arial"/>
          <w:i/>
          <w:iCs/>
          <w:color w:val="000000"/>
          <w:lang w:val="es-ES" w:eastAsia="es-ES"/>
        </w:rPr>
        <w:t xml:space="preserve"> Laborde1523 1006/10 Instituto Mexicano del Seguro Social – Sigrid </w:t>
      </w:r>
      <w:proofErr w:type="spellStart"/>
      <w:r w:rsidRPr="00830724">
        <w:rPr>
          <w:rFonts w:ascii="Palatino Linotype" w:hAnsi="Palatino Linotype" w:cs="Arial"/>
          <w:i/>
          <w:iCs/>
          <w:color w:val="000000"/>
          <w:lang w:val="es-ES" w:eastAsia="es-ES"/>
        </w:rPr>
        <w:t>Arzt</w:t>
      </w:r>
      <w:proofErr w:type="spellEnd"/>
      <w:r w:rsidRPr="00830724">
        <w:rPr>
          <w:rFonts w:ascii="Palatino Linotype" w:hAnsi="Palatino Linotype" w:cs="Arial"/>
          <w:i/>
          <w:iCs/>
          <w:color w:val="000000"/>
          <w:lang w:val="es-ES" w:eastAsia="es-ES"/>
        </w:rPr>
        <w:t xml:space="preserve"> Colunga 1378/10 Instituto de Seguridad y Servicios Sociales de los Trabajadores del Estado – María Elena Pérez-Jaén Zermeño.</w:t>
      </w:r>
      <w:r w:rsidRPr="00830724">
        <w:rPr>
          <w:rFonts w:ascii="Palatino Linotype" w:hAnsi="Palatino Linotype" w:cs="Arial"/>
          <w:b/>
          <w:i/>
          <w:iCs/>
          <w:color w:val="000000"/>
          <w:lang w:val="es-ES" w:eastAsia="es-ES"/>
        </w:rPr>
        <w:t>”</w:t>
      </w:r>
    </w:p>
    <w:p w14:paraId="265369F3" w14:textId="77777777" w:rsidR="00EE678D" w:rsidRPr="00830724" w:rsidRDefault="00EE678D" w:rsidP="00EE678D">
      <w:pPr>
        <w:pStyle w:val="Prrafodelista"/>
        <w:rPr>
          <w:rFonts w:ascii="Palatino Linotype" w:hAnsi="Palatino Linotype" w:cs="Arial"/>
          <w:color w:val="000000"/>
          <w:sz w:val="24"/>
          <w:lang w:val="es-ES"/>
        </w:rPr>
      </w:pPr>
    </w:p>
    <w:p w14:paraId="265369F4" w14:textId="77777777" w:rsidR="003B212D" w:rsidRPr="00830724" w:rsidRDefault="003B212D" w:rsidP="00C529CD">
      <w:pPr>
        <w:pStyle w:val="Prrafodelista"/>
        <w:numPr>
          <w:ilvl w:val="0"/>
          <w:numId w:val="2"/>
        </w:numPr>
        <w:spacing w:before="240" w:after="240" w:line="360" w:lineRule="auto"/>
        <w:ind w:left="0" w:firstLine="0"/>
        <w:jc w:val="both"/>
        <w:rPr>
          <w:rFonts w:ascii="Palatino Linotype" w:hAnsi="Palatino Linotype" w:cs="Arial"/>
          <w:color w:val="000000"/>
          <w:sz w:val="24"/>
          <w:lang w:val="es-ES"/>
        </w:rPr>
      </w:pPr>
      <w:r w:rsidRPr="00830724">
        <w:rPr>
          <w:rFonts w:ascii="Palatino Linotype" w:hAnsi="Palatino Linotype" w:cs="Arial"/>
          <w:color w:val="000000"/>
          <w:sz w:val="24"/>
          <w:lang w:val="es-ES"/>
        </w:rPr>
        <w:t>No obstante lo anterior, se dejan a salvo los derechos del Recurrente para que pueda interponer una nueva solicitud de información.</w:t>
      </w:r>
    </w:p>
    <w:p w14:paraId="265369F5" w14:textId="77777777" w:rsidR="003B212D" w:rsidRPr="00830724" w:rsidRDefault="003B212D" w:rsidP="003B212D">
      <w:pPr>
        <w:pStyle w:val="Prrafodelista"/>
        <w:spacing w:before="240" w:after="240" w:line="360" w:lineRule="auto"/>
        <w:ind w:left="0"/>
        <w:jc w:val="both"/>
        <w:rPr>
          <w:rFonts w:ascii="Palatino Linotype" w:hAnsi="Palatino Linotype" w:cs="Arial"/>
          <w:color w:val="000000"/>
          <w:sz w:val="24"/>
          <w:lang w:val="es-ES"/>
        </w:rPr>
      </w:pPr>
    </w:p>
    <w:p w14:paraId="265369F6" w14:textId="77777777" w:rsidR="00C529CD" w:rsidRPr="00830724" w:rsidRDefault="000910C5" w:rsidP="00C529CD">
      <w:pPr>
        <w:pStyle w:val="Prrafodelista"/>
        <w:numPr>
          <w:ilvl w:val="0"/>
          <w:numId w:val="2"/>
        </w:numPr>
        <w:spacing w:before="240" w:after="240" w:line="360" w:lineRule="auto"/>
        <w:ind w:left="0" w:firstLine="0"/>
        <w:jc w:val="both"/>
        <w:rPr>
          <w:rFonts w:ascii="Palatino Linotype" w:hAnsi="Palatino Linotype" w:cs="Arial"/>
          <w:color w:val="000000"/>
          <w:sz w:val="24"/>
          <w:lang w:val="es-ES"/>
        </w:rPr>
      </w:pPr>
      <w:r w:rsidRPr="00830724">
        <w:rPr>
          <w:rFonts w:ascii="Palatino Linotype" w:hAnsi="Palatino Linotype" w:cs="Arial"/>
          <w:color w:val="000000"/>
          <w:sz w:val="24"/>
          <w:lang w:val="es-ES"/>
        </w:rPr>
        <w:t>Por otra parte</w:t>
      </w:r>
      <w:r w:rsidR="00C529CD" w:rsidRPr="00830724">
        <w:rPr>
          <w:rFonts w:ascii="Palatino Linotype" w:hAnsi="Palatino Linotype" w:cs="Arial"/>
          <w:color w:val="000000"/>
          <w:sz w:val="24"/>
          <w:lang w:val="es-ES"/>
        </w:rPr>
        <w:t xml:space="preserve">, </w:t>
      </w:r>
      <w:r w:rsidRPr="00830724">
        <w:rPr>
          <w:rFonts w:ascii="Palatino Linotype" w:hAnsi="Palatino Linotype" w:cs="Arial"/>
          <w:color w:val="000000"/>
          <w:sz w:val="24"/>
          <w:lang w:val="es-ES"/>
        </w:rPr>
        <w:t xml:space="preserve">sobre la inconformidad del sujeto obligado sobre el área a la que pertenecen los servidores públicos remitidos en respuesta y que no cuentan con </w:t>
      </w:r>
      <w:r w:rsidRPr="00830724">
        <w:rPr>
          <w:rFonts w:ascii="Palatino Linotype" w:hAnsi="Palatino Linotype" w:cs="Arial"/>
          <w:color w:val="000000"/>
          <w:sz w:val="24"/>
          <w:lang w:val="es-ES"/>
        </w:rPr>
        <w:lastRenderedPageBreak/>
        <w:t xml:space="preserve">certificación, </w:t>
      </w:r>
      <w:r w:rsidR="00C529CD" w:rsidRPr="00830724">
        <w:rPr>
          <w:rFonts w:ascii="Palatino Linotype" w:hAnsi="Palatino Linotype" w:cs="Arial"/>
          <w:color w:val="000000"/>
          <w:sz w:val="24"/>
          <w:lang w:val="es-ES"/>
        </w:rPr>
        <w:t>a través</w:t>
      </w:r>
      <w:r w:rsidR="00AE523C" w:rsidRPr="00830724">
        <w:rPr>
          <w:rFonts w:ascii="Palatino Linotype" w:hAnsi="Palatino Linotype" w:cs="Arial"/>
          <w:color w:val="000000"/>
          <w:sz w:val="24"/>
          <w:lang w:val="es-ES"/>
        </w:rPr>
        <w:t xml:space="preserve"> de</w:t>
      </w:r>
      <w:r w:rsidR="00C529CD" w:rsidRPr="00830724">
        <w:rPr>
          <w:rFonts w:ascii="Palatino Linotype" w:hAnsi="Palatino Linotype" w:cs="Arial"/>
          <w:color w:val="000000"/>
          <w:sz w:val="24"/>
          <w:lang w:val="es-ES"/>
        </w:rPr>
        <w:t xml:space="preserve"> informe justificado, el </w:t>
      </w:r>
      <w:r w:rsidR="00AE523C" w:rsidRPr="00830724">
        <w:rPr>
          <w:rFonts w:ascii="Palatino Linotype" w:hAnsi="Palatino Linotype" w:cs="Arial"/>
          <w:color w:val="000000"/>
          <w:sz w:val="24"/>
          <w:lang w:val="es-ES"/>
        </w:rPr>
        <w:t xml:space="preserve">Sujeto Obligado manifestó que se adjuntaba información para complementar la ya remitida en repuesta y en la cual se advierte </w:t>
      </w:r>
      <w:r w:rsidRPr="00830724">
        <w:rPr>
          <w:rFonts w:ascii="Palatino Linotype" w:hAnsi="Palatino Linotype" w:cs="Arial"/>
          <w:color w:val="000000"/>
          <w:sz w:val="24"/>
          <w:lang w:val="es-ES"/>
        </w:rPr>
        <w:t>lo siguiente</w:t>
      </w:r>
      <w:r w:rsidR="00AE523C" w:rsidRPr="00830724">
        <w:rPr>
          <w:rFonts w:ascii="Palatino Linotype" w:hAnsi="Palatino Linotype" w:cs="Arial"/>
          <w:color w:val="000000"/>
          <w:sz w:val="24"/>
          <w:lang w:val="es-ES"/>
        </w:rPr>
        <w:t>:</w:t>
      </w:r>
    </w:p>
    <w:p w14:paraId="265369F7" w14:textId="77777777" w:rsidR="00AE523C" w:rsidRPr="00830724" w:rsidRDefault="00AE523C" w:rsidP="00AE523C">
      <w:pPr>
        <w:pStyle w:val="Prrafodelista"/>
        <w:rPr>
          <w:rFonts w:ascii="Palatino Linotype" w:hAnsi="Palatino Linotype" w:cs="Arial"/>
          <w:color w:val="000000"/>
          <w:sz w:val="24"/>
          <w:lang w:val="es-ES"/>
        </w:rPr>
      </w:pPr>
    </w:p>
    <w:p w14:paraId="265369F8" w14:textId="77777777" w:rsidR="00AE523C" w:rsidRPr="00830724" w:rsidRDefault="00AE523C" w:rsidP="00AE523C">
      <w:pPr>
        <w:pStyle w:val="Prrafodelista"/>
        <w:spacing w:before="240" w:after="240" w:line="360" w:lineRule="auto"/>
        <w:ind w:left="0"/>
        <w:jc w:val="center"/>
        <w:rPr>
          <w:rFonts w:ascii="Palatino Linotype" w:hAnsi="Palatino Linotype" w:cs="Arial"/>
          <w:color w:val="000000"/>
          <w:sz w:val="24"/>
          <w:lang w:val="es-ES"/>
        </w:rPr>
      </w:pPr>
      <w:r w:rsidRPr="00830724">
        <w:rPr>
          <w:noProof/>
        </w:rPr>
        <w:drawing>
          <wp:inline distT="0" distB="0" distL="0" distR="0" wp14:anchorId="26536A5C" wp14:editId="26536A5D">
            <wp:extent cx="5640636" cy="47267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35" t="22860" r="33621" b="25954"/>
                    <a:stretch/>
                  </pic:blipFill>
                  <pic:spPr bwMode="auto">
                    <a:xfrm>
                      <a:off x="0" y="0"/>
                      <a:ext cx="5658059" cy="4741392"/>
                    </a:xfrm>
                    <a:prstGeom prst="rect">
                      <a:avLst/>
                    </a:prstGeom>
                    <a:ln>
                      <a:noFill/>
                    </a:ln>
                    <a:extLst>
                      <a:ext uri="{53640926-AAD7-44D8-BBD7-CCE9431645EC}">
                        <a14:shadowObscured xmlns:a14="http://schemas.microsoft.com/office/drawing/2010/main"/>
                      </a:ext>
                    </a:extLst>
                  </pic:spPr>
                </pic:pic>
              </a:graphicData>
            </a:graphic>
          </wp:inline>
        </w:drawing>
      </w:r>
    </w:p>
    <w:p w14:paraId="265369F9" w14:textId="77777777" w:rsidR="00C529CD" w:rsidRPr="00830724" w:rsidRDefault="00AE523C" w:rsidP="00AE523C">
      <w:pPr>
        <w:pStyle w:val="Prrafodelista"/>
        <w:spacing w:before="240" w:after="240" w:line="360" w:lineRule="auto"/>
        <w:ind w:left="0"/>
        <w:jc w:val="center"/>
        <w:rPr>
          <w:rFonts w:ascii="Palatino Linotype" w:hAnsi="Palatino Linotype" w:cs="Arial"/>
          <w:color w:val="000000"/>
          <w:sz w:val="24"/>
          <w:lang w:val="es-ES"/>
        </w:rPr>
      </w:pPr>
      <w:r w:rsidRPr="00830724">
        <w:rPr>
          <w:noProof/>
        </w:rPr>
        <w:lastRenderedPageBreak/>
        <w:drawing>
          <wp:inline distT="0" distB="0" distL="0" distR="0" wp14:anchorId="26536A5E" wp14:editId="26536A5F">
            <wp:extent cx="5596568" cy="413524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44" t="37872" r="33623" b="16747"/>
                    <a:stretch/>
                  </pic:blipFill>
                  <pic:spPr bwMode="auto">
                    <a:xfrm>
                      <a:off x="0" y="0"/>
                      <a:ext cx="5626619" cy="4157449"/>
                    </a:xfrm>
                    <a:prstGeom prst="rect">
                      <a:avLst/>
                    </a:prstGeom>
                    <a:ln>
                      <a:noFill/>
                    </a:ln>
                    <a:extLst>
                      <a:ext uri="{53640926-AAD7-44D8-BBD7-CCE9431645EC}">
                        <a14:shadowObscured xmlns:a14="http://schemas.microsoft.com/office/drawing/2010/main"/>
                      </a:ext>
                    </a:extLst>
                  </pic:spPr>
                </pic:pic>
              </a:graphicData>
            </a:graphic>
          </wp:inline>
        </w:drawing>
      </w:r>
    </w:p>
    <w:p w14:paraId="265369FA" w14:textId="77777777" w:rsidR="00C529CD" w:rsidRPr="00830724" w:rsidRDefault="00C529CD" w:rsidP="00C529CD">
      <w:pPr>
        <w:pStyle w:val="Prrafodelista"/>
        <w:rPr>
          <w:rFonts w:ascii="Palatino Linotype" w:hAnsi="Palatino Linotype" w:cs="Arial"/>
          <w:color w:val="000000"/>
          <w:sz w:val="24"/>
          <w:lang w:val="es-ES"/>
        </w:rPr>
      </w:pPr>
    </w:p>
    <w:p w14:paraId="265369FB" w14:textId="77777777" w:rsidR="00AE523C" w:rsidRPr="00830724" w:rsidRDefault="00AE523C" w:rsidP="00C529CD">
      <w:pPr>
        <w:pStyle w:val="Prrafodelista"/>
        <w:numPr>
          <w:ilvl w:val="0"/>
          <w:numId w:val="2"/>
        </w:numPr>
        <w:spacing w:before="240" w:after="240" w:line="360" w:lineRule="auto"/>
        <w:ind w:left="0" w:firstLine="0"/>
        <w:jc w:val="both"/>
        <w:rPr>
          <w:rFonts w:ascii="Palatino Linotype" w:hAnsi="Palatino Linotype" w:cs="Arial"/>
          <w:color w:val="000000"/>
          <w:sz w:val="24"/>
          <w:lang w:val="es-ES"/>
        </w:rPr>
      </w:pPr>
      <w:r w:rsidRPr="00830724">
        <w:rPr>
          <w:rFonts w:ascii="Palatino Linotype" w:hAnsi="Palatino Linotype" w:cs="Arial"/>
          <w:color w:val="000000"/>
          <w:sz w:val="24"/>
          <w:lang w:val="es-ES"/>
        </w:rPr>
        <w:t>Como se puede observar en los documentos remitidos en respuesta, el Sujeto Oblig</w:t>
      </w:r>
      <w:r w:rsidR="00EE678D" w:rsidRPr="00830724">
        <w:rPr>
          <w:rFonts w:ascii="Palatino Linotype" w:hAnsi="Palatino Linotype" w:cs="Arial"/>
          <w:color w:val="000000"/>
          <w:sz w:val="24"/>
          <w:lang w:val="es-ES"/>
        </w:rPr>
        <w:t xml:space="preserve">ado refirió el área a la que pertenecen los servidores públicos que no cuentan con certificación, por lo que colma con esa parte de la solicitud de información. </w:t>
      </w:r>
    </w:p>
    <w:p w14:paraId="265369FC" w14:textId="77777777" w:rsidR="00C529CD" w:rsidRPr="00830724" w:rsidRDefault="00C529CD" w:rsidP="00EE678D">
      <w:pPr>
        <w:pStyle w:val="Prrafodelista"/>
        <w:spacing w:before="240" w:after="240" w:line="360" w:lineRule="auto"/>
        <w:ind w:left="0"/>
        <w:jc w:val="both"/>
        <w:rPr>
          <w:rFonts w:ascii="Palatino Linotype" w:hAnsi="Palatino Linotype" w:cs="Arial"/>
          <w:color w:val="000000"/>
          <w:sz w:val="24"/>
          <w:lang w:val="es-ES"/>
        </w:rPr>
      </w:pPr>
    </w:p>
    <w:p w14:paraId="265369FD" w14:textId="77777777" w:rsidR="00C529CD" w:rsidRPr="00830724" w:rsidRDefault="000910C5" w:rsidP="00C529CD">
      <w:pPr>
        <w:pStyle w:val="Prrafodelista"/>
        <w:numPr>
          <w:ilvl w:val="0"/>
          <w:numId w:val="2"/>
        </w:numPr>
        <w:spacing w:before="240" w:after="240" w:line="360" w:lineRule="auto"/>
        <w:ind w:left="0" w:firstLine="0"/>
        <w:jc w:val="both"/>
        <w:rPr>
          <w:rFonts w:ascii="Palatino Linotype" w:hAnsi="Palatino Linotype" w:cs="Arial"/>
          <w:color w:val="000000"/>
          <w:sz w:val="28"/>
          <w:lang w:val="es-ES"/>
        </w:rPr>
      </w:pPr>
      <w:r w:rsidRPr="00830724">
        <w:rPr>
          <w:rFonts w:ascii="Palatino Linotype" w:eastAsia="Calibri" w:hAnsi="Palatino Linotype"/>
          <w:sz w:val="24"/>
        </w:rPr>
        <w:t>Por lo tanto, en el presente asunto</w:t>
      </w:r>
      <w:r w:rsidR="00C529CD" w:rsidRPr="00830724">
        <w:rPr>
          <w:rFonts w:ascii="Palatino Linotype" w:eastAsia="Calibri" w:hAnsi="Palatino Linotype"/>
          <w:sz w:val="24"/>
        </w:rPr>
        <w:t xml:space="preserve">, este Pleno advierte que el </w:t>
      </w:r>
      <w:r w:rsidR="00C529CD" w:rsidRPr="00830724">
        <w:rPr>
          <w:rFonts w:ascii="Palatino Linotype" w:eastAsia="Calibri" w:hAnsi="Palatino Linotype"/>
          <w:b/>
          <w:sz w:val="24"/>
        </w:rPr>
        <w:t>SUJETO OBLIGADO</w:t>
      </w:r>
      <w:r w:rsidR="00C529CD" w:rsidRPr="00830724">
        <w:rPr>
          <w:rFonts w:ascii="Palatino Linotype" w:eastAsia="Calibri" w:hAnsi="Palatino Linotype"/>
          <w:sz w:val="24"/>
        </w:rPr>
        <w:t xml:space="preserve"> con la información enviada a través del informe de justificación, </w:t>
      </w:r>
      <w:r w:rsidR="00C529CD" w:rsidRPr="00830724">
        <w:rPr>
          <w:rFonts w:ascii="Palatino Linotype" w:eastAsia="Calibri" w:hAnsi="Palatino Linotype"/>
          <w:b/>
          <w:sz w:val="24"/>
        </w:rPr>
        <w:t>modifica</w:t>
      </w:r>
      <w:r w:rsidR="00C529CD" w:rsidRPr="00830724">
        <w:rPr>
          <w:rFonts w:ascii="Palatino Linotype" w:eastAsia="Calibri" w:hAnsi="Palatino Linotype"/>
          <w:sz w:val="24"/>
        </w:rPr>
        <w:t xml:space="preserve"> el acto que le dio origen al recurso de revisión, lo que trae como consecuencia que el mismo quede sin materia, actualizándose de este modo, la hipótesis jurídica contenida en la fracción III del citado artículo.</w:t>
      </w:r>
    </w:p>
    <w:p w14:paraId="265369FE" w14:textId="77777777" w:rsidR="00C529CD" w:rsidRPr="00830724" w:rsidRDefault="00C529CD" w:rsidP="00C529CD">
      <w:pPr>
        <w:pStyle w:val="Prrafodelista"/>
        <w:rPr>
          <w:rFonts w:ascii="Palatino Linotype" w:eastAsia="Calibri" w:hAnsi="Palatino Linotype"/>
        </w:rPr>
      </w:pPr>
    </w:p>
    <w:p w14:paraId="265369FF" w14:textId="77777777" w:rsidR="00C529CD" w:rsidRPr="00830724" w:rsidRDefault="00C529CD" w:rsidP="00C529CD">
      <w:pPr>
        <w:pStyle w:val="Prrafodelista"/>
        <w:numPr>
          <w:ilvl w:val="0"/>
          <w:numId w:val="2"/>
        </w:numPr>
        <w:spacing w:before="240" w:after="240" w:line="360" w:lineRule="auto"/>
        <w:ind w:left="0" w:firstLine="0"/>
        <w:jc w:val="both"/>
        <w:rPr>
          <w:rFonts w:ascii="Palatino Linotype" w:hAnsi="Palatino Linotype" w:cs="Arial"/>
          <w:color w:val="000000"/>
          <w:sz w:val="32"/>
          <w:lang w:val="es-ES"/>
        </w:rPr>
      </w:pPr>
      <w:r w:rsidRPr="00830724">
        <w:rPr>
          <w:rFonts w:ascii="Palatino Linotype" w:eastAsia="Calibri" w:hAnsi="Palatino Linotype"/>
          <w:sz w:val="24"/>
        </w:rPr>
        <w:lastRenderedPageBreak/>
        <w:t xml:space="preserve">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830724">
        <w:rPr>
          <w:rFonts w:ascii="Palatino Linotype" w:eastAsia="Calibri" w:hAnsi="Palatino Linotype"/>
          <w:b/>
          <w:sz w:val="24"/>
        </w:rPr>
        <w:t>SUJETOS OBLIGADOS</w:t>
      </w:r>
      <w:r w:rsidRPr="00830724">
        <w:rPr>
          <w:rFonts w:ascii="Palatino Linotype" w:eastAsia="Calibri" w:hAnsi="Palatino Linotype"/>
          <w:sz w:val="24"/>
        </w:rPr>
        <w:t xml:space="preserve"> o la negativa de entrega de la misma, derivada de la solicitud de información pública.</w:t>
      </w:r>
    </w:p>
    <w:p w14:paraId="26536A00"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 xml:space="preserve">De este modo, cuando el </w:t>
      </w:r>
      <w:r w:rsidRPr="00830724">
        <w:rPr>
          <w:rFonts w:ascii="Palatino Linotype" w:eastAsia="Calibri" w:hAnsi="Palatino Linotype"/>
          <w:b/>
        </w:rPr>
        <w:t xml:space="preserve">SUJETO OBLIGADO, </w:t>
      </w:r>
      <w:r w:rsidRPr="00830724">
        <w:rPr>
          <w:rFonts w:ascii="Palatino Linotype" w:eastAsia="Calibri" w:hAnsi="Palatino Linotype"/>
        </w:rPr>
        <w:t xml:space="preserve">antes de que se dicte resolución definitiva, </w:t>
      </w:r>
      <w:r w:rsidRPr="00830724">
        <w:rPr>
          <w:rFonts w:ascii="Palatino Linotype" w:eastAsia="Calibri" w:hAnsi="Palatino Linotype"/>
          <w:b/>
        </w:rPr>
        <w:t>entrega la información solicitada</w:t>
      </w:r>
      <w:r w:rsidRPr="00830724">
        <w:rPr>
          <w:rFonts w:ascii="Palatino Linotype" w:eastAsia="Calibri" w:hAnsi="Palatino Linotype"/>
        </w:rPr>
        <w:t xml:space="preserve"> o completa la información que en un primer momento fue incompleta o no correspondió con lo solicitado; el recurso de revisión que al efecto se haya interpuesto queda sin materia lo que imposibilita el estudio de fondo de la </w:t>
      </w:r>
      <w:proofErr w:type="spellStart"/>
      <w:r w:rsidRPr="00830724">
        <w:rPr>
          <w:rFonts w:ascii="Palatino Linotype" w:eastAsia="Calibri" w:hAnsi="Palatino Linotype"/>
          <w:i/>
        </w:rPr>
        <w:t>litis</w:t>
      </w:r>
      <w:proofErr w:type="spellEnd"/>
      <w:r w:rsidRPr="00830724">
        <w:rPr>
          <w:rFonts w:ascii="Palatino Linotype" w:eastAsia="Calibri" w:hAnsi="Palatino Linotype"/>
        </w:rPr>
        <w:t xml:space="preserve"> planteada, debido a que la afectación en su esfera de derechos fue restituida por la propia autoridad que emitió el acto motivo de impugnación.</w:t>
      </w:r>
    </w:p>
    <w:p w14:paraId="26536A01" w14:textId="77777777" w:rsidR="00C529CD" w:rsidRPr="00830724" w:rsidRDefault="00C529CD" w:rsidP="00C529CD">
      <w:pPr>
        <w:spacing w:line="360" w:lineRule="auto"/>
        <w:contextualSpacing/>
        <w:rPr>
          <w:rFonts w:ascii="Palatino Linotype" w:eastAsia="Calibri" w:hAnsi="Palatino Linotype"/>
        </w:rPr>
      </w:pPr>
    </w:p>
    <w:p w14:paraId="26536A02"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Sirve de sustento a lo anterior la siguiente jurisprudencia por contradicción, cuyo rubro, texto y datos de identificación son los siguientes:</w:t>
      </w:r>
    </w:p>
    <w:p w14:paraId="26536A03" w14:textId="77777777" w:rsidR="00C529CD" w:rsidRPr="00830724" w:rsidRDefault="00C529CD" w:rsidP="00C529CD">
      <w:pPr>
        <w:spacing w:line="360" w:lineRule="auto"/>
        <w:ind w:left="567" w:right="616"/>
        <w:contextualSpacing/>
        <w:jc w:val="both"/>
        <w:rPr>
          <w:rFonts w:ascii="Palatino Linotype" w:eastAsia="Calibri" w:hAnsi="Palatino Linotype"/>
        </w:rPr>
      </w:pPr>
    </w:p>
    <w:p w14:paraId="26536A04" w14:textId="77777777" w:rsidR="00C529CD" w:rsidRPr="00830724" w:rsidRDefault="00C529CD" w:rsidP="00C529CD">
      <w:pPr>
        <w:spacing w:line="360" w:lineRule="auto"/>
        <w:ind w:left="851" w:right="616"/>
        <w:contextualSpacing/>
        <w:jc w:val="both"/>
        <w:rPr>
          <w:rFonts w:ascii="Palatino Linotype" w:eastAsia="Calibri" w:hAnsi="Palatino Linotype"/>
          <w:i/>
          <w:sz w:val="22"/>
        </w:rPr>
      </w:pPr>
      <w:r w:rsidRPr="00830724">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30724">
        <w:rPr>
          <w:rFonts w:ascii="Palatino Linotype" w:eastAsia="Calibri" w:hAnsi="Palatino Linotype"/>
          <w:i/>
          <w:sz w:val="22"/>
        </w:rPr>
        <w:t xml:space="preserve"> De la interpretación de </w:t>
      </w:r>
      <w:r w:rsidRPr="00830724">
        <w:rPr>
          <w:rFonts w:ascii="Palatino Linotype" w:eastAsia="Calibri" w:hAnsi="Palatino Linotype"/>
          <w:i/>
          <w:sz w:val="22"/>
        </w:rPr>
        <w:lastRenderedPageBreak/>
        <w:t>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26536A05" w14:textId="77777777" w:rsidR="00C529CD" w:rsidRPr="00830724" w:rsidRDefault="00C529CD" w:rsidP="00C529CD">
      <w:pPr>
        <w:spacing w:line="360" w:lineRule="auto"/>
        <w:ind w:left="708"/>
        <w:contextualSpacing/>
        <w:jc w:val="both"/>
        <w:rPr>
          <w:rFonts w:ascii="Palatino Linotype" w:eastAsia="Calibri" w:hAnsi="Palatino Linotype"/>
          <w:i/>
        </w:rPr>
      </w:pPr>
    </w:p>
    <w:p w14:paraId="26536A06"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La anterior jurisprudencia resulta aplicable al presente asunto, en dos aspectos:</w:t>
      </w:r>
    </w:p>
    <w:p w14:paraId="26536A07" w14:textId="77777777" w:rsidR="00C529CD" w:rsidRPr="00830724" w:rsidRDefault="00C529CD" w:rsidP="00C529CD">
      <w:pPr>
        <w:spacing w:line="360" w:lineRule="auto"/>
        <w:ind w:left="426"/>
        <w:contextualSpacing/>
        <w:jc w:val="both"/>
        <w:rPr>
          <w:rFonts w:ascii="Palatino Linotype" w:eastAsia="Calibri" w:hAnsi="Palatino Linotype"/>
          <w:sz w:val="28"/>
        </w:rPr>
      </w:pPr>
    </w:p>
    <w:p w14:paraId="26536A08" w14:textId="77777777" w:rsidR="00C529CD" w:rsidRPr="00830724" w:rsidRDefault="00C529CD" w:rsidP="00C529CD">
      <w:pPr>
        <w:numPr>
          <w:ilvl w:val="0"/>
          <w:numId w:val="4"/>
        </w:numPr>
        <w:spacing w:line="360" w:lineRule="auto"/>
        <w:ind w:left="567" w:right="616" w:firstLine="0"/>
        <w:contextualSpacing/>
        <w:jc w:val="both"/>
        <w:rPr>
          <w:rFonts w:ascii="Palatino Linotype" w:eastAsia="Calibri" w:hAnsi="Palatino Linotype"/>
        </w:rPr>
      </w:pPr>
      <w:r w:rsidRPr="00830724">
        <w:rPr>
          <w:rFonts w:ascii="Palatino Linotype" w:eastAsia="Calibri" w:hAnsi="Palatino Linotype"/>
          <w:b/>
        </w:rPr>
        <w:t>La cesación de los efectos perniciosos del acto de autoridad:</w:t>
      </w:r>
      <w:r w:rsidRPr="00830724">
        <w:rPr>
          <w:rFonts w:ascii="Palatino Linotype" w:eastAsia="Calibri" w:hAnsi="Palatino Linotype"/>
        </w:rPr>
        <w:t xml:space="preserve"> Al respecto, la Ley de Transparencia contempla la figura jurídica del sobreseimiento cuando el </w:t>
      </w:r>
      <w:r w:rsidRPr="00830724">
        <w:rPr>
          <w:rFonts w:ascii="Palatino Linotype" w:eastAsia="Calibri" w:hAnsi="Palatino Linotype"/>
          <w:b/>
        </w:rPr>
        <w:t>SUJETO OBLIGADO</w:t>
      </w:r>
      <w:r w:rsidRPr="00830724">
        <w:rPr>
          <w:rFonts w:ascii="Palatino Linotype" w:eastAsia="Calibri" w:hAnsi="Palatino Linotype"/>
        </w:rPr>
        <w:t xml:space="preserve"> de </w:t>
      </w:r>
      <w:r w:rsidRPr="00830724">
        <w:rPr>
          <w:rFonts w:ascii="Palatino Linotype" w:eastAsia="Calibri" w:hAnsi="Palatino Linotype"/>
          <w:i/>
        </w:rPr>
        <w:t>motu proprio</w:t>
      </w:r>
      <w:r w:rsidRPr="00830724">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14:paraId="26536A09" w14:textId="77777777" w:rsidR="00C529CD" w:rsidRPr="00830724" w:rsidRDefault="00C529CD" w:rsidP="00C529CD">
      <w:pPr>
        <w:spacing w:line="360" w:lineRule="auto"/>
        <w:ind w:left="567" w:right="616"/>
        <w:contextualSpacing/>
        <w:rPr>
          <w:rFonts w:ascii="Palatino Linotype" w:eastAsia="Calibri" w:hAnsi="Palatino Linotype"/>
        </w:rPr>
      </w:pPr>
    </w:p>
    <w:p w14:paraId="26536A0A" w14:textId="77777777" w:rsidR="00C529CD" w:rsidRPr="00830724" w:rsidRDefault="00C529CD" w:rsidP="00C529CD">
      <w:pPr>
        <w:numPr>
          <w:ilvl w:val="0"/>
          <w:numId w:val="4"/>
        </w:numPr>
        <w:spacing w:line="360" w:lineRule="auto"/>
        <w:ind w:left="567" w:right="616" w:firstLine="0"/>
        <w:contextualSpacing/>
        <w:jc w:val="both"/>
        <w:rPr>
          <w:rFonts w:ascii="Palatino Linotype" w:eastAsia="Calibri" w:hAnsi="Palatino Linotype"/>
        </w:rPr>
      </w:pPr>
      <w:r w:rsidRPr="00830724">
        <w:rPr>
          <w:rFonts w:ascii="Palatino Linotype" w:eastAsia="Calibri" w:hAnsi="Palatino Linotype"/>
          <w:b/>
        </w:rPr>
        <w:t>El momento procesal para modificar el acto impugnado:</w:t>
      </w:r>
      <w:r w:rsidRPr="00830724">
        <w:rPr>
          <w:rFonts w:ascii="Palatino Linotype" w:eastAsia="Calibri" w:hAnsi="Palatino Linotype"/>
        </w:rPr>
        <w:t xml:space="preserve"> Para que se actualice el sobreseimiento de un recurso de revisión, el </w:t>
      </w:r>
      <w:r w:rsidRPr="00830724">
        <w:rPr>
          <w:rFonts w:ascii="Palatino Linotype" w:eastAsia="Calibri" w:hAnsi="Palatino Linotype"/>
          <w:b/>
        </w:rPr>
        <w:t>SUJETO OBLIGADO</w:t>
      </w:r>
      <w:r w:rsidRPr="00830724">
        <w:rPr>
          <w:rFonts w:ascii="Palatino Linotype" w:eastAsia="Calibri" w:hAnsi="Palatino Linotype"/>
        </w:rPr>
        <w:t xml:space="preserve"> puede entregar o completar la información al momento de </w:t>
      </w:r>
      <w:r w:rsidRPr="00830724">
        <w:rPr>
          <w:rFonts w:ascii="Palatino Linotype" w:eastAsia="Calibri" w:hAnsi="Palatino Linotype"/>
        </w:rPr>
        <w:lastRenderedPageBreak/>
        <w:t xml:space="preserve">rendir su informe de justificación o </w:t>
      </w:r>
      <w:r w:rsidRPr="00830724">
        <w:rPr>
          <w:rFonts w:ascii="Palatino Linotype" w:eastAsia="Calibri" w:hAnsi="Palatino Linotype"/>
          <w:b/>
          <w:u w:val="single"/>
        </w:rPr>
        <w:t>posteriormente</w:t>
      </w:r>
      <w:r w:rsidRPr="00830724">
        <w:rPr>
          <w:rFonts w:ascii="Palatino Linotype" w:eastAsia="Calibri" w:hAnsi="Palatino Linotype"/>
        </w:rPr>
        <w:t xml:space="preserve"> a éste, siempre y cuando el Pleno del Instituto no haya dictado resolución definitiva.</w:t>
      </w:r>
    </w:p>
    <w:p w14:paraId="26536A0B" w14:textId="77777777" w:rsidR="00C529CD" w:rsidRPr="00830724" w:rsidRDefault="00C529CD" w:rsidP="00C529CD">
      <w:pPr>
        <w:spacing w:line="360" w:lineRule="auto"/>
        <w:contextualSpacing/>
        <w:jc w:val="both"/>
        <w:rPr>
          <w:rFonts w:ascii="Palatino Linotype" w:eastAsia="Calibri" w:hAnsi="Palatino Linotype"/>
        </w:rPr>
      </w:pPr>
    </w:p>
    <w:p w14:paraId="26536A0C"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 xml:space="preserve">Eduardo Pallares, en su artículo </w:t>
      </w:r>
      <w:r w:rsidRPr="00830724">
        <w:rPr>
          <w:rFonts w:ascii="Palatino Linotype" w:eastAsia="Calibri" w:hAnsi="Palatino Linotype"/>
          <w:i/>
        </w:rPr>
        <w:t>“La caducidad y el sobreseimiento en el amparo”</w:t>
      </w:r>
      <w:r w:rsidRPr="00830724">
        <w:rPr>
          <w:rFonts w:ascii="Palatino Linotype" w:eastAsia="Calibri" w:hAnsi="Palatino Linotype"/>
        </w:rPr>
        <w:t xml:space="preserve">, cita la definición de Aguilera Paz, aduciendo que se </w:t>
      </w:r>
      <w:r w:rsidRPr="00830724">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830724">
        <w:rPr>
          <w:rFonts w:ascii="Palatino Linotype" w:eastAsia="Calibri" w:hAnsi="Palatino Linotype"/>
        </w:rPr>
        <w:t>. Asimismo señala que existe el sobreseimiento provisional y el definitivo</w:t>
      </w:r>
      <w:r w:rsidRPr="00830724">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26536A0D" w14:textId="77777777" w:rsidR="00C529CD" w:rsidRPr="00830724" w:rsidRDefault="00C529CD" w:rsidP="00C529CD">
      <w:pPr>
        <w:spacing w:line="360" w:lineRule="auto"/>
        <w:ind w:left="426"/>
        <w:contextualSpacing/>
        <w:jc w:val="both"/>
        <w:rPr>
          <w:rFonts w:ascii="Palatino Linotype" w:eastAsia="Calibri" w:hAnsi="Palatino Linotype"/>
        </w:rPr>
      </w:pPr>
    </w:p>
    <w:p w14:paraId="26536A0E"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 xml:space="preserve">Así, para la doctrina el sobreseimiento provoca que un procedimiento se suspenda o se resuelva en definitiva </w:t>
      </w:r>
      <w:r w:rsidRPr="00830724">
        <w:rPr>
          <w:rFonts w:ascii="Palatino Linotype" w:eastAsia="Calibri" w:hAnsi="Palatino Linotype"/>
          <w:b/>
          <w:u w:val="single"/>
        </w:rPr>
        <w:t xml:space="preserve">sin que se entre al estudio de los agravios o motivos de inconformidad. </w:t>
      </w:r>
      <w:r w:rsidRPr="00830724">
        <w:rPr>
          <w:rFonts w:ascii="Palatino Linotype" w:eastAsia="Calibri" w:hAnsi="Palatino Linotype"/>
        </w:rPr>
        <w:t>Este mismo criterio es compartido por el más alto tribunal del país en múltiples jurisprudencias, por lo que a continuación se agrega una de ellas que sirve como orientador en esta resolución:</w:t>
      </w:r>
    </w:p>
    <w:p w14:paraId="26536A0F" w14:textId="77777777" w:rsidR="00C529CD" w:rsidRPr="00830724" w:rsidRDefault="00C529CD" w:rsidP="00C529CD">
      <w:pPr>
        <w:spacing w:line="360" w:lineRule="auto"/>
        <w:ind w:left="426"/>
        <w:contextualSpacing/>
        <w:jc w:val="both"/>
        <w:rPr>
          <w:rFonts w:ascii="Palatino Linotype" w:eastAsia="Calibri" w:hAnsi="Palatino Linotype"/>
          <w:sz w:val="22"/>
        </w:rPr>
      </w:pPr>
    </w:p>
    <w:p w14:paraId="26536A10" w14:textId="77777777" w:rsidR="00C529CD" w:rsidRPr="00830724" w:rsidRDefault="00C529CD" w:rsidP="00C529CD">
      <w:pPr>
        <w:spacing w:line="360" w:lineRule="auto"/>
        <w:ind w:left="851" w:right="616"/>
        <w:contextualSpacing/>
        <w:jc w:val="both"/>
        <w:rPr>
          <w:rFonts w:ascii="Palatino Linotype" w:eastAsia="Calibri" w:hAnsi="Palatino Linotype"/>
          <w:i/>
          <w:sz w:val="22"/>
          <w:lang w:val="es-AR"/>
        </w:rPr>
      </w:pPr>
      <w:r w:rsidRPr="00830724">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830724">
        <w:rPr>
          <w:rFonts w:ascii="Palatino Linotype" w:eastAsia="Calibri" w:hAnsi="Palatino Linotype"/>
          <w:i/>
          <w:sz w:val="22"/>
          <w:lang w:val="es-AR"/>
        </w:rPr>
        <w:t xml:space="preserve"> en el juicio de amparo directo </w:t>
      </w:r>
      <w:r w:rsidRPr="00830724">
        <w:rPr>
          <w:rFonts w:ascii="Palatino Linotype" w:eastAsia="Calibri" w:hAnsi="Palatino Linotype"/>
          <w:b/>
          <w:i/>
          <w:sz w:val="22"/>
          <w:lang w:val="es-AR"/>
        </w:rPr>
        <w:t>provoca la terminación de la controversia planteada</w:t>
      </w:r>
      <w:r w:rsidRPr="00830724">
        <w:rPr>
          <w:rFonts w:ascii="Palatino Linotype" w:eastAsia="Calibri" w:hAnsi="Palatino Linotype"/>
          <w:i/>
          <w:sz w:val="22"/>
          <w:lang w:val="es-AR"/>
        </w:rPr>
        <w:t xml:space="preserve"> por el quejoso en la demanda de amparo</w:t>
      </w:r>
      <w:r w:rsidRPr="00830724">
        <w:rPr>
          <w:rFonts w:ascii="Palatino Linotype" w:eastAsia="Calibri" w:hAnsi="Palatino Linotype"/>
          <w:b/>
          <w:i/>
          <w:sz w:val="22"/>
          <w:lang w:val="es-AR"/>
        </w:rPr>
        <w:t>, sin hacer un pronunciamiento de fondo sobre la legalidad o ilegalidad de la sentencia reclamada</w:t>
      </w:r>
      <w:r w:rsidRPr="00830724">
        <w:rPr>
          <w:rFonts w:ascii="Palatino Linotype" w:eastAsia="Calibri" w:hAnsi="Palatino Linotype"/>
          <w:i/>
          <w:sz w:val="22"/>
          <w:lang w:val="es-AR"/>
        </w:rPr>
        <w:t xml:space="preserve">. </w:t>
      </w:r>
      <w:r w:rsidRPr="00830724">
        <w:rPr>
          <w:rFonts w:ascii="Palatino Linotype" w:eastAsia="Calibri" w:hAnsi="Palatino Linotype"/>
          <w:b/>
          <w:i/>
          <w:sz w:val="22"/>
          <w:lang w:val="es-AR"/>
        </w:rPr>
        <w:t xml:space="preserve">Por consiguiente, si al sobreseerse en el juicio de amparo no se pueden estudiar los planteamientos que se hacen valer </w:t>
      </w:r>
      <w:r w:rsidRPr="00830724">
        <w:rPr>
          <w:rFonts w:ascii="Palatino Linotype" w:eastAsia="Calibri" w:hAnsi="Palatino Linotype"/>
          <w:b/>
          <w:i/>
          <w:sz w:val="22"/>
          <w:lang w:val="es-AR"/>
        </w:rPr>
        <w:lastRenderedPageBreak/>
        <w:t>en contra del fallo reclamado, tampoco se deben analizar las violaciones procesales propuestas en los conceptos de violación, dado que, la principal consecuencia del sobreseimiento es poner fin al juicio de amparo sin resolver la controversia en sus méritos</w:t>
      </w:r>
      <w:r w:rsidRPr="00830724">
        <w:rPr>
          <w:rFonts w:ascii="Palatino Linotype" w:eastAsia="Calibri" w:hAnsi="Palatino Linotype"/>
          <w:i/>
          <w:sz w:val="22"/>
          <w:lang w:val="es-AR"/>
        </w:rPr>
        <w:t>.</w:t>
      </w:r>
    </w:p>
    <w:p w14:paraId="26536A11" w14:textId="77777777" w:rsidR="00C529CD" w:rsidRPr="00830724" w:rsidRDefault="00C529CD" w:rsidP="00C529CD">
      <w:pPr>
        <w:spacing w:line="360" w:lineRule="auto"/>
        <w:ind w:left="851" w:right="616"/>
        <w:contextualSpacing/>
        <w:jc w:val="both"/>
        <w:rPr>
          <w:rFonts w:ascii="Palatino Linotype" w:eastAsia="Calibri" w:hAnsi="Palatino Linotype"/>
          <w:i/>
          <w:sz w:val="22"/>
          <w:lang w:val="es-AR"/>
        </w:rPr>
      </w:pPr>
      <w:r w:rsidRPr="00830724">
        <w:rPr>
          <w:rFonts w:ascii="Palatino Linotype" w:eastAsia="Calibri" w:hAnsi="Palatino Linotype"/>
          <w:i/>
          <w:sz w:val="22"/>
          <w:lang w:val="es-AR"/>
        </w:rPr>
        <w:t>SÉPTIMO TRIBUNAL COLEGIADO EN MATERIA CIVIL DEL PRIMER CIRCUITO.</w:t>
      </w:r>
    </w:p>
    <w:p w14:paraId="26536A12" w14:textId="77777777" w:rsidR="00C529CD" w:rsidRPr="00830724" w:rsidRDefault="00C529CD" w:rsidP="00C529CD">
      <w:pPr>
        <w:spacing w:line="360" w:lineRule="auto"/>
        <w:ind w:left="567" w:right="616"/>
        <w:contextualSpacing/>
        <w:jc w:val="both"/>
        <w:rPr>
          <w:rFonts w:ascii="Palatino Linotype" w:eastAsia="Calibri" w:hAnsi="Palatino Linotype"/>
          <w:b/>
          <w:i/>
          <w:sz w:val="22"/>
          <w:lang w:val="es-AR"/>
        </w:rPr>
      </w:pPr>
      <w:r w:rsidRPr="00830724">
        <w:rPr>
          <w:rFonts w:ascii="Palatino Linotype" w:eastAsia="Calibri" w:hAnsi="Palatino Linotype"/>
          <w:i/>
          <w:sz w:val="22"/>
          <w:lang w:val="es-AR"/>
        </w:rPr>
        <w:t xml:space="preserve">Amparo directo 699/2008. Mariana Leticia González </w:t>
      </w:r>
      <w:proofErr w:type="spellStart"/>
      <w:r w:rsidRPr="00830724">
        <w:rPr>
          <w:rFonts w:ascii="Palatino Linotype" w:eastAsia="Calibri" w:hAnsi="Palatino Linotype"/>
          <w:i/>
          <w:sz w:val="22"/>
          <w:lang w:val="es-AR"/>
        </w:rPr>
        <w:t>Steele</w:t>
      </w:r>
      <w:proofErr w:type="spellEnd"/>
      <w:r w:rsidRPr="00830724">
        <w:rPr>
          <w:rFonts w:ascii="Palatino Linotype" w:eastAsia="Calibri" w:hAnsi="Palatino Linotype"/>
          <w:i/>
          <w:sz w:val="22"/>
          <w:lang w:val="es-AR"/>
        </w:rPr>
        <w:t>. 13 de noviembre de 2008. Unanimidad de votos. Ponente: Sara Judith Montalvo Trejo. Secretario: Arnulfo Mateos García.</w:t>
      </w:r>
    </w:p>
    <w:p w14:paraId="26536A13" w14:textId="77777777" w:rsidR="00C529CD" w:rsidRPr="00830724" w:rsidRDefault="00C529CD" w:rsidP="00C529CD">
      <w:pPr>
        <w:spacing w:line="360" w:lineRule="auto"/>
        <w:ind w:left="567" w:right="616"/>
        <w:contextualSpacing/>
        <w:jc w:val="both"/>
        <w:rPr>
          <w:rFonts w:ascii="Palatino Linotype" w:eastAsia="Calibri" w:hAnsi="Palatino Linotype"/>
          <w:sz w:val="22"/>
          <w:lang w:val="es-AR"/>
        </w:rPr>
      </w:pPr>
      <w:r w:rsidRPr="00830724">
        <w:rPr>
          <w:rFonts w:ascii="Palatino Linotype" w:eastAsia="Calibri" w:hAnsi="Palatino Linotype"/>
          <w:sz w:val="22"/>
          <w:lang w:val="es-AR"/>
        </w:rPr>
        <w:t>(Énfasis añadido)</w:t>
      </w:r>
    </w:p>
    <w:p w14:paraId="26536A14" w14:textId="77777777" w:rsidR="00C529CD" w:rsidRPr="00830724" w:rsidRDefault="00C529CD" w:rsidP="00C529CD">
      <w:pPr>
        <w:spacing w:line="360" w:lineRule="auto"/>
        <w:ind w:left="426"/>
        <w:contextualSpacing/>
        <w:jc w:val="both"/>
        <w:rPr>
          <w:rFonts w:ascii="Palatino Linotype" w:eastAsia="Calibri" w:hAnsi="Palatino Linotype"/>
        </w:rPr>
      </w:pPr>
    </w:p>
    <w:p w14:paraId="26536A15"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26536A16" w14:textId="77777777" w:rsidR="00C529CD" w:rsidRPr="00830724" w:rsidRDefault="00C529CD" w:rsidP="00C529CD">
      <w:pPr>
        <w:spacing w:line="360" w:lineRule="auto"/>
        <w:contextualSpacing/>
        <w:jc w:val="both"/>
        <w:rPr>
          <w:rFonts w:ascii="Palatino Linotype" w:eastAsia="Calibri" w:hAnsi="Palatino Linotype"/>
        </w:rPr>
      </w:pPr>
    </w:p>
    <w:p w14:paraId="26536A17"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lang w:val="es-CO"/>
        </w:rPr>
        <w:t xml:space="preserve">Bajo ese tenor y en términos del artículo 186 fracción I este Pleno determina el </w:t>
      </w:r>
      <w:r w:rsidRPr="00830724">
        <w:rPr>
          <w:rFonts w:ascii="Palatino Linotype" w:eastAsia="Calibri" w:hAnsi="Palatino Linotype"/>
          <w:b/>
          <w:lang w:val="es-CO"/>
        </w:rPr>
        <w:t xml:space="preserve">SOBRESEIMIENTO </w:t>
      </w:r>
      <w:r w:rsidRPr="00830724">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26536A18" w14:textId="77777777" w:rsidR="00C529CD" w:rsidRPr="00830724" w:rsidRDefault="00C529CD" w:rsidP="00C529CD">
      <w:pPr>
        <w:spacing w:line="360" w:lineRule="auto"/>
        <w:contextualSpacing/>
        <w:jc w:val="both"/>
        <w:rPr>
          <w:rFonts w:ascii="Palatino Linotype" w:eastAsia="Calibri" w:hAnsi="Palatino Linotype"/>
        </w:rPr>
      </w:pPr>
    </w:p>
    <w:p w14:paraId="26536A19" w14:textId="77777777" w:rsidR="00C529CD" w:rsidRPr="00830724" w:rsidRDefault="00C529CD" w:rsidP="00C529CD">
      <w:pPr>
        <w:numPr>
          <w:ilvl w:val="0"/>
          <w:numId w:val="2"/>
        </w:numPr>
        <w:spacing w:line="360" w:lineRule="auto"/>
        <w:ind w:left="0" w:firstLine="0"/>
        <w:contextualSpacing/>
        <w:jc w:val="both"/>
        <w:rPr>
          <w:rFonts w:ascii="Palatino Linotype" w:eastAsia="Calibri" w:hAnsi="Palatino Linotype"/>
        </w:rPr>
      </w:pPr>
      <w:r w:rsidRPr="00830724">
        <w:rPr>
          <w:rFonts w:ascii="Palatino Linotype" w:eastAsia="Calibri" w:hAnsi="Palatino Linotype"/>
        </w:rPr>
        <w:t xml:space="preserve">Por lo anteriormente expuesto y fundado, este </w:t>
      </w:r>
      <w:r w:rsidRPr="00830724">
        <w:rPr>
          <w:rFonts w:ascii="Palatino Linotype" w:eastAsia="Calibri" w:hAnsi="Palatino Linotype"/>
          <w:b/>
          <w:bCs/>
        </w:rPr>
        <w:t>ÓRGANO GARANTE</w:t>
      </w:r>
      <w:r w:rsidRPr="00830724">
        <w:rPr>
          <w:rFonts w:ascii="Palatino Linotype" w:eastAsia="Calibri" w:hAnsi="Palatino Linotype"/>
        </w:rPr>
        <w:t xml:space="preserve"> emite los siguientes:</w:t>
      </w:r>
    </w:p>
    <w:p w14:paraId="26536A1A" w14:textId="77777777" w:rsidR="00C529CD" w:rsidRPr="00830724" w:rsidRDefault="00C529CD" w:rsidP="00C529CD">
      <w:pPr>
        <w:spacing w:line="360" w:lineRule="auto"/>
        <w:contextualSpacing/>
        <w:jc w:val="both"/>
        <w:rPr>
          <w:rFonts w:ascii="Palatino Linotype" w:eastAsia="Calibri" w:hAnsi="Palatino Linotype"/>
        </w:rPr>
      </w:pPr>
    </w:p>
    <w:p w14:paraId="26536A1B" w14:textId="77777777" w:rsidR="00C529CD" w:rsidRPr="00830724" w:rsidRDefault="00C529CD" w:rsidP="00C529CD">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8" w:name="_Toc528153792"/>
      <w:bookmarkStart w:id="9" w:name="_Toc71158406"/>
      <w:r w:rsidRPr="00830724">
        <w:rPr>
          <w:rFonts w:ascii="Palatino Linotype" w:eastAsiaTheme="majorEastAsia" w:hAnsi="Palatino Linotype" w:cstheme="majorBidi"/>
          <w:b/>
          <w:color w:val="000000" w:themeColor="text1"/>
          <w:lang w:eastAsia="en-US"/>
        </w:rPr>
        <w:lastRenderedPageBreak/>
        <w:t>R E S O L U T I V O S</w:t>
      </w:r>
      <w:bookmarkEnd w:id="8"/>
      <w:bookmarkEnd w:id="9"/>
    </w:p>
    <w:p w14:paraId="26536A1C" w14:textId="77777777" w:rsidR="00C529CD" w:rsidRPr="00830724" w:rsidRDefault="00C529CD" w:rsidP="00C529CD">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26536A1D" w14:textId="0AFF8095" w:rsidR="00C529CD" w:rsidRPr="00830724" w:rsidRDefault="00C529CD" w:rsidP="00C529CD">
      <w:pPr>
        <w:pStyle w:val="Sinespaciado"/>
        <w:spacing w:line="360" w:lineRule="auto"/>
        <w:jc w:val="both"/>
        <w:rPr>
          <w:rFonts w:ascii="Palatino Linotype" w:hAnsi="Palatino Linotype"/>
          <w:sz w:val="24"/>
          <w:szCs w:val="20"/>
        </w:rPr>
      </w:pPr>
      <w:r w:rsidRPr="00830724">
        <w:rPr>
          <w:rFonts w:ascii="Palatino Linotype" w:hAnsi="Palatino Linotype"/>
          <w:b/>
          <w:sz w:val="24"/>
          <w:szCs w:val="20"/>
        </w:rPr>
        <w:t xml:space="preserve">PRIMERO. </w:t>
      </w:r>
      <w:r w:rsidRPr="00830724">
        <w:rPr>
          <w:rFonts w:ascii="Palatino Linotype" w:hAnsi="Palatino Linotype"/>
          <w:sz w:val="24"/>
          <w:szCs w:val="20"/>
        </w:rPr>
        <w:t xml:space="preserve">Se </w:t>
      </w:r>
      <w:r w:rsidRPr="00830724">
        <w:rPr>
          <w:rFonts w:ascii="Palatino Linotype" w:hAnsi="Palatino Linotype"/>
          <w:b/>
          <w:sz w:val="24"/>
          <w:szCs w:val="20"/>
        </w:rPr>
        <w:t>SOBRESEE</w:t>
      </w:r>
      <w:r w:rsidRPr="00830724">
        <w:rPr>
          <w:rFonts w:ascii="Palatino Linotype" w:hAnsi="Palatino Linotype"/>
          <w:sz w:val="24"/>
          <w:szCs w:val="20"/>
        </w:rPr>
        <w:t xml:space="preserve"> el recurso de revisión número </w:t>
      </w:r>
      <w:r w:rsidR="00670AD8" w:rsidRPr="00830724">
        <w:rPr>
          <w:rFonts w:ascii="Palatino Linotype" w:hAnsi="Palatino Linotype"/>
          <w:b/>
          <w:sz w:val="24"/>
          <w:szCs w:val="20"/>
        </w:rPr>
        <w:t>12103</w:t>
      </w:r>
      <w:r w:rsidRPr="00830724">
        <w:rPr>
          <w:rFonts w:ascii="Palatino Linotype" w:hAnsi="Palatino Linotype"/>
          <w:b/>
          <w:sz w:val="24"/>
          <w:szCs w:val="20"/>
        </w:rPr>
        <w:t>/INFOEM/IP/RR/2022</w:t>
      </w:r>
      <w:r w:rsidRPr="00830724">
        <w:rPr>
          <w:rFonts w:ascii="Palatino Linotype" w:hAnsi="Palatino Linotype"/>
          <w:sz w:val="24"/>
          <w:szCs w:val="20"/>
        </w:rPr>
        <w:t xml:space="preserve">, </w:t>
      </w:r>
      <w:r w:rsidR="003A7D7C" w:rsidRPr="00830724">
        <w:rPr>
          <w:rFonts w:ascii="Palatino Linotype" w:hAnsi="Palatino Linotype"/>
          <w:sz w:val="24"/>
          <w:szCs w:val="20"/>
        </w:rPr>
        <w:t xml:space="preserve">con fundamento en el artículo </w:t>
      </w:r>
      <w:r w:rsidR="003A7D7C" w:rsidRPr="00830724">
        <w:rPr>
          <w:rFonts w:ascii="Palatino Linotype" w:eastAsia="Calibri" w:hAnsi="Palatino Linotype"/>
        </w:rPr>
        <w:t xml:space="preserve">192 fracción III de la </w:t>
      </w:r>
      <w:r w:rsidR="003A7D7C" w:rsidRPr="00830724">
        <w:rPr>
          <w:rFonts w:ascii="Palatino Linotype" w:eastAsia="Calibri" w:hAnsi="Palatino Linotype"/>
          <w:bCs/>
        </w:rPr>
        <w:t>Ley de Transparencia y Acceso a la Información Pública del Estado de México y Municipios,</w:t>
      </w:r>
      <w:r w:rsidR="003A7D7C" w:rsidRPr="00830724">
        <w:rPr>
          <w:rFonts w:ascii="Palatino Linotype" w:eastAsia="Calibri" w:hAnsi="Palatino Linotype"/>
        </w:rPr>
        <w:t xml:space="preserve"> </w:t>
      </w:r>
      <w:r w:rsidRPr="00830724">
        <w:rPr>
          <w:rFonts w:ascii="Palatino Linotype" w:hAnsi="Palatino Linotype"/>
          <w:sz w:val="24"/>
          <w:szCs w:val="20"/>
        </w:rPr>
        <w:t xml:space="preserve">porque al </w:t>
      </w:r>
      <w:r w:rsidRPr="00830724">
        <w:rPr>
          <w:rFonts w:ascii="Palatino Linotype" w:hAnsi="Palatino Linotype"/>
          <w:b/>
          <w:sz w:val="24"/>
          <w:szCs w:val="20"/>
        </w:rPr>
        <w:t>atender lo solicitado a través del informe justificado, el recurso</w:t>
      </w:r>
      <w:r w:rsidRPr="00830724">
        <w:rPr>
          <w:rFonts w:ascii="Palatino Linotype" w:hAnsi="Palatino Linotype"/>
          <w:sz w:val="24"/>
          <w:szCs w:val="20"/>
        </w:rPr>
        <w:t xml:space="preserve"> de revisión quedó sin materia en términos del  Considerando </w:t>
      </w:r>
      <w:r w:rsidRPr="00830724">
        <w:rPr>
          <w:rFonts w:ascii="Palatino Linotype" w:hAnsi="Palatino Linotype"/>
          <w:b/>
          <w:sz w:val="24"/>
          <w:szCs w:val="20"/>
        </w:rPr>
        <w:t>TERCERO</w:t>
      </w:r>
      <w:r w:rsidRPr="00830724">
        <w:rPr>
          <w:rFonts w:ascii="Palatino Linotype" w:hAnsi="Palatino Linotype"/>
          <w:sz w:val="24"/>
          <w:szCs w:val="20"/>
        </w:rPr>
        <w:t xml:space="preserve"> de la presente resolución.</w:t>
      </w:r>
    </w:p>
    <w:p w14:paraId="26536A1E" w14:textId="77777777" w:rsidR="00C529CD" w:rsidRPr="00830724" w:rsidRDefault="00C529CD" w:rsidP="00C529CD">
      <w:pPr>
        <w:pStyle w:val="Sinespaciado"/>
        <w:spacing w:line="360" w:lineRule="auto"/>
        <w:jc w:val="both"/>
        <w:rPr>
          <w:rFonts w:ascii="Palatino Linotype" w:hAnsi="Palatino Linotype"/>
          <w:szCs w:val="20"/>
        </w:rPr>
      </w:pPr>
    </w:p>
    <w:p w14:paraId="26536A1F" w14:textId="77777777" w:rsidR="00C529CD" w:rsidRPr="00830724" w:rsidRDefault="00C529CD" w:rsidP="00C529CD">
      <w:pPr>
        <w:pStyle w:val="Sinespaciado"/>
        <w:spacing w:line="360" w:lineRule="auto"/>
        <w:jc w:val="both"/>
        <w:rPr>
          <w:rFonts w:ascii="Palatino Linotype" w:eastAsia="Calibri" w:hAnsi="Palatino Linotype" w:cs="Arial"/>
          <w:b/>
          <w:bCs/>
          <w:sz w:val="24"/>
          <w:szCs w:val="24"/>
          <w:lang w:val="es-ES"/>
        </w:rPr>
      </w:pPr>
      <w:r w:rsidRPr="00830724">
        <w:rPr>
          <w:rFonts w:ascii="Palatino Linotype" w:eastAsia="Calibri" w:hAnsi="Palatino Linotype" w:cs="Arial"/>
          <w:b/>
          <w:bCs/>
          <w:sz w:val="24"/>
          <w:szCs w:val="24"/>
          <w:lang w:val="es-ES"/>
        </w:rPr>
        <w:t xml:space="preserve">SEGUNDO. REMÍTASE </w:t>
      </w:r>
      <w:r w:rsidRPr="00830724">
        <w:rPr>
          <w:rFonts w:ascii="Palatino Linotype" w:eastAsia="Calibri" w:hAnsi="Palatino Linotype" w:cs="Arial"/>
          <w:bCs/>
          <w:sz w:val="24"/>
          <w:szCs w:val="24"/>
          <w:lang w:val="es-ES"/>
        </w:rPr>
        <w:t xml:space="preserve">a través del Sistema de Acceso a la Información Mexiquense </w:t>
      </w:r>
      <w:r w:rsidRPr="00830724">
        <w:rPr>
          <w:rFonts w:ascii="Palatino Linotype" w:eastAsia="Calibri" w:hAnsi="Palatino Linotype" w:cs="Arial"/>
          <w:b/>
          <w:bCs/>
          <w:sz w:val="24"/>
          <w:szCs w:val="24"/>
          <w:lang w:val="es-ES"/>
        </w:rPr>
        <w:t xml:space="preserve">(SAIMEX) </w:t>
      </w:r>
      <w:r w:rsidRPr="00830724">
        <w:rPr>
          <w:rFonts w:ascii="Palatino Linotype" w:eastAsia="Calibri" w:hAnsi="Palatino Linotype" w:cs="Arial"/>
          <w:bCs/>
          <w:sz w:val="24"/>
          <w:szCs w:val="24"/>
          <w:lang w:val="es-ES"/>
        </w:rPr>
        <w:t>la presente resolución al Titular de la Unidad de Transparencia del</w:t>
      </w:r>
      <w:r w:rsidRPr="00830724">
        <w:rPr>
          <w:rFonts w:ascii="Palatino Linotype" w:eastAsia="Calibri" w:hAnsi="Palatino Linotype" w:cs="Arial"/>
          <w:b/>
          <w:bCs/>
          <w:sz w:val="24"/>
          <w:szCs w:val="24"/>
          <w:lang w:val="es-ES"/>
        </w:rPr>
        <w:t xml:space="preserve"> SUJETO OBLIGADO. </w:t>
      </w:r>
    </w:p>
    <w:p w14:paraId="26536A20" w14:textId="77777777" w:rsidR="00C529CD" w:rsidRPr="00830724" w:rsidRDefault="00C529CD" w:rsidP="00C529CD">
      <w:pPr>
        <w:pStyle w:val="Sinespaciado"/>
        <w:tabs>
          <w:tab w:val="left" w:pos="3263"/>
        </w:tabs>
        <w:spacing w:line="360" w:lineRule="auto"/>
        <w:jc w:val="both"/>
        <w:rPr>
          <w:rFonts w:ascii="Palatino Linotype" w:eastAsia="Palatino Linotype" w:hAnsi="Palatino Linotype" w:cs="Palatino Linotype"/>
          <w:b/>
          <w:sz w:val="24"/>
          <w:szCs w:val="24"/>
        </w:rPr>
      </w:pPr>
      <w:r w:rsidRPr="00830724">
        <w:rPr>
          <w:rFonts w:ascii="Palatino Linotype" w:eastAsia="Palatino Linotype" w:hAnsi="Palatino Linotype" w:cs="Palatino Linotype"/>
          <w:b/>
          <w:sz w:val="24"/>
          <w:szCs w:val="24"/>
        </w:rPr>
        <w:tab/>
      </w:r>
    </w:p>
    <w:p w14:paraId="26536A21" w14:textId="77777777" w:rsidR="00C529CD" w:rsidRPr="00830724" w:rsidRDefault="00C529CD" w:rsidP="00C529CD">
      <w:pPr>
        <w:pStyle w:val="Sinespaciado"/>
        <w:spacing w:line="360" w:lineRule="auto"/>
        <w:jc w:val="both"/>
        <w:rPr>
          <w:rFonts w:ascii="Palatino Linotype" w:eastAsia="Times New Roman" w:hAnsi="Palatino Linotype" w:cs="Times New Roman"/>
          <w:color w:val="222222"/>
          <w:sz w:val="24"/>
          <w:szCs w:val="24"/>
          <w:lang w:val="es-ES" w:eastAsia="es-MX"/>
        </w:rPr>
      </w:pPr>
      <w:r w:rsidRPr="00830724">
        <w:rPr>
          <w:rFonts w:ascii="Palatino Linotype" w:eastAsia="Times New Roman" w:hAnsi="Palatino Linotype" w:cs="Arial"/>
          <w:b/>
          <w:sz w:val="24"/>
          <w:szCs w:val="24"/>
        </w:rPr>
        <w:t xml:space="preserve">TERCERO. </w:t>
      </w:r>
      <w:r w:rsidRPr="00830724">
        <w:rPr>
          <w:rFonts w:ascii="Palatino Linotype" w:eastAsia="Times New Roman" w:hAnsi="Palatino Linotype" w:cs="Times New Roman"/>
          <w:b/>
          <w:bCs/>
          <w:sz w:val="24"/>
          <w:szCs w:val="24"/>
          <w:lang w:val="es-ES"/>
        </w:rPr>
        <w:t xml:space="preserve">Notifíquese </w:t>
      </w:r>
      <w:r w:rsidRPr="00830724">
        <w:rPr>
          <w:rFonts w:ascii="Palatino Linotype" w:eastAsia="Times New Roman" w:hAnsi="Palatino Linotype" w:cs="Times New Roman"/>
          <w:bCs/>
          <w:sz w:val="24"/>
          <w:szCs w:val="24"/>
          <w:lang w:val="es-ES"/>
        </w:rPr>
        <w:t xml:space="preserve">al </w:t>
      </w:r>
      <w:r w:rsidRPr="00830724">
        <w:rPr>
          <w:rFonts w:ascii="Palatino Linotype" w:eastAsia="Times New Roman" w:hAnsi="Palatino Linotype" w:cs="Times New Roman"/>
          <w:b/>
          <w:bCs/>
          <w:sz w:val="24"/>
          <w:szCs w:val="24"/>
          <w:lang w:val="es-ES"/>
        </w:rPr>
        <w:t>RECURRENTE</w:t>
      </w:r>
      <w:r w:rsidRPr="00830724">
        <w:rPr>
          <w:rFonts w:ascii="Palatino Linotype" w:hAnsi="Palatino Linotype"/>
          <w:sz w:val="24"/>
          <w:szCs w:val="24"/>
        </w:rPr>
        <w:t xml:space="preserve"> </w:t>
      </w:r>
      <w:r w:rsidRPr="00830724">
        <w:rPr>
          <w:rFonts w:ascii="Palatino Linotype" w:eastAsia="Times New Roman" w:hAnsi="Palatino Linotype" w:cs="Times New Roman"/>
          <w:sz w:val="24"/>
          <w:szCs w:val="24"/>
          <w:lang w:val="es-ES" w:eastAsia="es-MX"/>
        </w:rPr>
        <w:t>la presente resolución.</w:t>
      </w:r>
    </w:p>
    <w:p w14:paraId="26536A22" w14:textId="77777777" w:rsidR="00C529CD" w:rsidRPr="00830724" w:rsidRDefault="00C529CD" w:rsidP="00C529CD">
      <w:pPr>
        <w:pStyle w:val="Sinespaciado"/>
        <w:spacing w:line="360" w:lineRule="auto"/>
        <w:jc w:val="both"/>
        <w:rPr>
          <w:rFonts w:ascii="Palatino Linotype" w:eastAsia="Times New Roman" w:hAnsi="Palatino Linotype" w:cs="Times New Roman"/>
          <w:color w:val="222222"/>
          <w:sz w:val="24"/>
          <w:szCs w:val="24"/>
          <w:lang w:val="es-ES" w:eastAsia="es-MX"/>
        </w:rPr>
      </w:pPr>
    </w:p>
    <w:p w14:paraId="26536A23" w14:textId="77777777" w:rsidR="00C529CD" w:rsidRPr="00830724" w:rsidRDefault="00C529CD" w:rsidP="00C529CD">
      <w:pPr>
        <w:spacing w:line="360" w:lineRule="auto"/>
        <w:jc w:val="both"/>
        <w:rPr>
          <w:rFonts w:ascii="Palatino Linotype" w:eastAsia="MS Mincho" w:hAnsi="Palatino Linotype"/>
          <w:lang w:val="es-ES"/>
        </w:rPr>
      </w:pPr>
      <w:r w:rsidRPr="00830724">
        <w:rPr>
          <w:rFonts w:ascii="Palatino Linotype" w:eastAsia="MS Mincho" w:hAnsi="Palatino Linotype"/>
          <w:b/>
        </w:rPr>
        <w:t>CUARTO.</w:t>
      </w:r>
      <w:r w:rsidRPr="00830724">
        <w:rPr>
          <w:rFonts w:ascii="Palatino Linotype" w:eastAsia="MS Mincho" w:hAnsi="Palatino Linotype"/>
        </w:rPr>
        <w:t xml:space="preserve"> </w:t>
      </w:r>
      <w:r w:rsidRPr="00830724">
        <w:rPr>
          <w:rFonts w:ascii="Palatino Linotype" w:eastAsia="MS Mincho" w:hAnsi="Palatino Linotype"/>
          <w:lang w:val="es-ES"/>
        </w:rPr>
        <w:t xml:space="preserve">Se hace del conocimiento del </w:t>
      </w:r>
      <w:r w:rsidRPr="00830724">
        <w:rPr>
          <w:rFonts w:ascii="Palatino Linotype" w:hAnsi="Palatino Linotype"/>
          <w:b/>
          <w:bCs/>
          <w:lang w:val="es-ES"/>
        </w:rPr>
        <w:t>RECURRENTE</w:t>
      </w:r>
      <w:r w:rsidRPr="00830724">
        <w:rPr>
          <w:rFonts w:ascii="Palatino Linotype" w:hAnsi="Palatino Linotype"/>
        </w:rPr>
        <w:t xml:space="preserve">  </w:t>
      </w:r>
      <w:r w:rsidRPr="00830724">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30724">
        <w:rPr>
          <w:rFonts w:ascii="Palatino Linotype" w:eastAsia="MS Mincho" w:hAnsi="Palatino Linotype"/>
          <w:bCs/>
          <w:lang w:val="es-ES"/>
        </w:rPr>
        <w:t>vía juicio de amparo</w:t>
      </w:r>
      <w:r w:rsidRPr="00830724">
        <w:rPr>
          <w:rFonts w:ascii="Palatino Linotype" w:eastAsia="MS Mincho" w:hAnsi="Palatino Linotype"/>
          <w:lang w:val="es-ES"/>
        </w:rPr>
        <w:t> en los términos de las leyes aplicables.</w:t>
      </w:r>
    </w:p>
    <w:p w14:paraId="26536A24" w14:textId="77777777" w:rsidR="00C529CD" w:rsidRPr="00830724" w:rsidRDefault="00C529CD" w:rsidP="00C529CD">
      <w:pPr>
        <w:shd w:val="clear" w:color="auto" w:fill="FFFFFF"/>
        <w:spacing w:line="360" w:lineRule="auto"/>
        <w:contextualSpacing/>
        <w:jc w:val="both"/>
        <w:rPr>
          <w:rFonts w:ascii="Palatino Linotype" w:eastAsiaTheme="minorEastAsia" w:hAnsi="Palatino Linotype" w:cs="Arial"/>
          <w:lang w:val="es-ES_tradnl" w:eastAsia="es-ES"/>
        </w:rPr>
      </w:pPr>
      <w:bookmarkStart w:id="10" w:name="_Toc452722829"/>
      <w:bookmarkStart w:id="11" w:name="_Toc454373811"/>
      <w:bookmarkStart w:id="12" w:name="_Toc476675991"/>
      <w:bookmarkEnd w:id="6"/>
      <w:bookmarkEnd w:id="7"/>
    </w:p>
    <w:bookmarkEnd w:id="10"/>
    <w:bookmarkEnd w:id="11"/>
    <w:bookmarkEnd w:id="12"/>
    <w:p w14:paraId="3E06052F" w14:textId="240C4AFD" w:rsidR="004D4259" w:rsidRDefault="004D4259" w:rsidP="004D4259">
      <w:pPr>
        <w:spacing w:before="240" w:after="240" w:line="360" w:lineRule="auto"/>
        <w:jc w:val="both"/>
        <w:rPr>
          <w:rFonts w:ascii="Palatino Linotype" w:hAnsi="Palatino Linotype"/>
        </w:rPr>
      </w:pPr>
      <w:r w:rsidRPr="0083072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Pr="00830724">
        <w:rPr>
          <w:rFonts w:ascii="Palatino Linotype" w:hAnsi="Palatino Linotype"/>
        </w:rPr>
        <w:lastRenderedPageBreak/>
        <w:t>DEL ROSARIO MEJÍA AYALA; SHARON CRISTINA MORALES MARTÍNEZ; LUIS GUSTAVO PARRA NORIEGA</w:t>
      </w:r>
      <w:r w:rsidR="00B93D47" w:rsidRPr="00830724">
        <w:rPr>
          <w:rFonts w:ascii="Palatino Linotype" w:hAnsi="Palatino Linotype"/>
        </w:rPr>
        <w:t xml:space="preserve"> EMITIENDO VOTO PARTICULAR</w:t>
      </w:r>
      <w:r w:rsidRPr="00830724">
        <w:rPr>
          <w:rFonts w:ascii="Palatino Linotype" w:hAnsi="Palatino Linotype"/>
        </w:rPr>
        <w:t xml:space="preserve"> Y GUADALUPE RAMÍREZ PEÑA EN LA CUADRAGÉSIMA PRIMERA SESIÓN ORDINARIA CELEBRADA EL DIECISÉIS (16) DE NOVIEMBRE DE DOS MIL VEINTIDÓS, ANTE EL SECRETARIO TÉCNICO DEL PLENO ALEXIS TAPIA RAMÍREZ.</w:t>
      </w:r>
      <w:bookmarkStart w:id="13" w:name="_GoBack"/>
      <w:bookmarkEnd w:id="13"/>
      <w:r w:rsidRPr="00624AAD">
        <w:rPr>
          <w:rFonts w:ascii="Palatino Linotype" w:hAnsi="Palatino Linotype"/>
        </w:rPr>
        <w:t xml:space="preserve"> </w:t>
      </w:r>
    </w:p>
    <w:p w14:paraId="26536A27" w14:textId="77777777" w:rsidR="00C529CD" w:rsidRPr="00E95235" w:rsidRDefault="00C529CD" w:rsidP="00C529CD">
      <w:pPr>
        <w:spacing w:line="360" w:lineRule="auto"/>
        <w:ind w:right="49"/>
        <w:jc w:val="both"/>
        <w:rPr>
          <w:rFonts w:ascii="Palatino Linotype" w:eastAsiaTheme="minorEastAsia" w:hAnsi="Palatino Linotype" w:cs="Arial"/>
          <w:sz w:val="22"/>
          <w:szCs w:val="22"/>
          <w:lang w:val="es-ES_tradnl" w:eastAsia="es-ES"/>
        </w:rPr>
      </w:pPr>
    </w:p>
    <w:p w14:paraId="26536A28" w14:textId="77777777" w:rsidR="00C529CD" w:rsidRPr="00E95235" w:rsidRDefault="00C529CD" w:rsidP="00C529CD">
      <w:pPr>
        <w:spacing w:line="360" w:lineRule="auto"/>
        <w:ind w:right="49"/>
        <w:jc w:val="both"/>
        <w:rPr>
          <w:rFonts w:ascii="Palatino Linotype" w:eastAsiaTheme="minorEastAsia" w:hAnsi="Palatino Linotype" w:cs="Arial"/>
          <w:sz w:val="22"/>
          <w:szCs w:val="22"/>
          <w:lang w:val="es-ES_tradnl" w:eastAsia="es-ES"/>
        </w:rPr>
      </w:pPr>
    </w:p>
    <w:p w14:paraId="26536A29" w14:textId="77777777" w:rsidR="00C529CD" w:rsidRPr="00E95235" w:rsidRDefault="00C529CD" w:rsidP="00C529CD">
      <w:pPr>
        <w:spacing w:line="360" w:lineRule="auto"/>
        <w:rPr>
          <w:rFonts w:ascii="Palatino Linotype" w:hAnsi="Palatino Linotype"/>
          <w:sz w:val="22"/>
          <w:szCs w:val="22"/>
        </w:rPr>
      </w:pPr>
    </w:p>
    <w:p w14:paraId="26536A2A" w14:textId="77777777" w:rsidR="00C529CD" w:rsidRPr="00E95235" w:rsidRDefault="00C529CD" w:rsidP="00C529CD">
      <w:pPr>
        <w:spacing w:line="360" w:lineRule="auto"/>
        <w:rPr>
          <w:rFonts w:ascii="Palatino Linotype" w:hAnsi="Palatino Linotype"/>
          <w:sz w:val="22"/>
          <w:szCs w:val="22"/>
        </w:rPr>
      </w:pPr>
    </w:p>
    <w:p w14:paraId="26536A2B" w14:textId="77777777" w:rsidR="00C529CD" w:rsidRPr="00E95235" w:rsidRDefault="00C529CD" w:rsidP="00C529CD">
      <w:pPr>
        <w:spacing w:line="360" w:lineRule="auto"/>
        <w:rPr>
          <w:rFonts w:ascii="Palatino Linotype" w:hAnsi="Palatino Linotype"/>
          <w:sz w:val="22"/>
          <w:szCs w:val="22"/>
        </w:rPr>
      </w:pPr>
    </w:p>
    <w:p w14:paraId="26536A2C" w14:textId="77777777" w:rsidR="00C529CD" w:rsidRPr="00E95235" w:rsidRDefault="00C529CD" w:rsidP="00C529CD">
      <w:pPr>
        <w:spacing w:line="360" w:lineRule="auto"/>
        <w:rPr>
          <w:rFonts w:ascii="Palatino Linotype" w:hAnsi="Palatino Linotype"/>
          <w:sz w:val="22"/>
          <w:szCs w:val="22"/>
        </w:rPr>
      </w:pPr>
    </w:p>
    <w:p w14:paraId="26536A2D" w14:textId="77777777" w:rsidR="00C529CD" w:rsidRPr="00E95235" w:rsidRDefault="00C529CD" w:rsidP="00C529CD">
      <w:pPr>
        <w:spacing w:line="360" w:lineRule="auto"/>
        <w:rPr>
          <w:rFonts w:ascii="Palatino Linotype" w:hAnsi="Palatino Linotype"/>
          <w:sz w:val="22"/>
          <w:szCs w:val="22"/>
        </w:rPr>
      </w:pPr>
    </w:p>
    <w:p w14:paraId="26536A2E" w14:textId="77777777" w:rsidR="00C529CD" w:rsidRPr="00E95235" w:rsidRDefault="00C529CD" w:rsidP="00C529CD">
      <w:pPr>
        <w:spacing w:line="360" w:lineRule="auto"/>
        <w:rPr>
          <w:rFonts w:ascii="Palatino Linotype" w:hAnsi="Palatino Linotype"/>
          <w:sz w:val="22"/>
          <w:szCs w:val="22"/>
        </w:rPr>
      </w:pPr>
    </w:p>
    <w:p w14:paraId="26536A2F" w14:textId="77777777" w:rsidR="00C529CD" w:rsidRPr="00E95235" w:rsidRDefault="00C529CD" w:rsidP="00C529CD">
      <w:pPr>
        <w:spacing w:line="360" w:lineRule="auto"/>
        <w:rPr>
          <w:rFonts w:ascii="Palatino Linotype" w:hAnsi="Palatino Linotype"/>
          <w:sz w:val="22"/>
          <w:szCs w:val="22"/>
        </w:rPr>
      </w:pPr>
    </w:p>
    <w:p w14:paraId="26536A30" w14:textId="77777777" w:rsidR="00C529CD" w:rsidRPr="00E95235" w:rsidRDefault="00C529CD" w:rsidP="00C529CD">
      <w:pPr>
        <w:spacing w:line="360" w:lineRule="auto"/>
        <w:rPr>
          <w:rFonts w:ascii="Palatino Linotype" w:hAnsi="Palatino Linotype"/>
          <w:sz w:val="22"/>
          <w:szCs w:val="22"/>
        </w:rPr>
      </w:pPr>
    </w:p>
    <w:p w14:paraId="26536A31" w14:textId="77777777" w:rsidR="00C529CD" w:rsidRPr="00E95235" w:rsidRDefault="00C529CD" w:rsidP="00C529CD">
      <w:pPr>
        <w:spacing w:line="360" w:lineRule="auto"/>
        <w:rPr>
          <w:rFonts w:ascii="Palatino Linotype" w:hAnsi="Palatino Linotype"/>
          <w:sz w:val="22"/>
          <w:szCs w:val="22"/>
        </w:rPr>
      </w:pPr>
    </w:p>
    <w:p w14:paraId="26536A32" w14:textId="77777777" w:rsidR="00C529CD" w:rsidRPr="00E95235" w:rsidRDefault="00C529CD" w:rsidP="00C529CD">
      <w:pPr>
        <w:spacing w:line="360" w:lineRule="auto"/>
        <w:rPr>
          <w:rFonts w:ascii="Palatino Linotype" w:hAnsi="Palatino Linotype"/>
          <w:sz w:val="22"/>
          <w:szCs w:val="22"/>
        </w:rPr>
      </w:pPr>
    </w:p>
    <w:p w14:paraId="26536A33" w14:textId="77777777" w:rsidR="00C529CD" w:rsidRPr="00E95235" w:rsidRDefault="00C529CD" w:rsidP="00C529CD">
      <w:pPr>
        <w:spacing w:line="360" w:lineRule="auto"/>
        <w:rPr>
          <w:rFonts w:ascii="Palatino Linotype" w:hAnsi="Palatino Linotype"/>
          <w:sz w:val="22"/>
          <w:szCs w:val="22"/>
        </w:rPr>
      </w:pPr>
    </w:p>
    <w:p w14:paraId="26536A34" w14:textId="77777777" w:rsidR="00C529CD" w:rsidRPr="00E95235" w:rsidRDefault="00C529CD" w:rsidP="00C529CD">
      <w:pPr>
        <w:spacing w:line="360" w:lineRule="auto"/>
        <w:rPr>
          <w:rFonts w:ascii="Palatino Linotype" w:hAnsi="Palatino Linotype"/>
          <w:sz w:val="22"/>
          <w:szCs w:val="22"/>
        </w:rPr>
      </w:pPr>
    </w:p>
    <w:p w14:paraId="26536A35" w14:textId="77777777" w:rsidR="00C529CD" w:rsidRPr="00E95235" w:rsidRDefault="00C529CD" w:rsidP="00C529CD">
      <w:pPr>
        <w:spacing w:line="360" w:lineRule="auto"/>
        <w:rPr>
          <w:rFonts w:ascii="Palatino Linotype" w:hAnsi="Palatino Linotype"/>
          <w:sz w:val="22"/>
          <w:szCs w:val="22"/>
        </w:rPr>
      </w:pPr>
    </w:p>
    <w:p w14:paraId="26536A36" w14:textId="77777777" w:rsidR="00C529CD" w:rsidRPr="00E95235" w:rsidRDefault="00C529CD" w:rsidP="00C529CD">
      <w:pPr>
        <w:spacing w:line="360" w:lineRule="auto"/>
        <w:rPr>
          <w:rFonts w:ascii="Palatino Linotype" w:hAnsi="Palatino Linotype"/>
          <w:sz w:val="22"/>
          <w:szCs w:val="22"/>
        </w:rPr>
      </w:pPr>
    </w:p>
    <w:p w14:paraId="26536A37" w14:textId="77777777" w:rsidR="00C529CD" w:rsidRPr="00E95235" w:rsidRDefault="00C529CD" w:rsidP="00C529CD">
      <w:pPr>
        <w:spacing w:line="360" w:lineRule="auto"/>
        <w:rPr>
          <w:rFonts w:ascii="Palatino Linotype" w:hAnsi="Palatino Linotype"/>
          <w:sz w:val="22"/>
          <w:szCs w:val="22"/>
        </w:rPr>
      </w:pPr>
    </w:p>
    <w:p w14:paraId="26536A38" w14:textId="77777777" w:rsidR="00C529CD" w:rsidRPr="00E95235" w:rsidRDefault="00C529CD" w:rsidP="00C529CD">
      <w:pPr>
        <w:spacing w:line="360" w:lineRule="auto"/>
        <w:rPr>
          <w:rFonts w:ascii="Palatino Linotype" w:hAnsi="Palatino Linotype"/>
          <w:sz w:val="22"/>
          <w:szCs w:val="22"/>
        </w:rPr>
      </w:pPr>
    </w:p>
    <w:p w14:paraId="26536A39" w14:textId="77777777" w:rsidR="00C529CD" w:rsidRPr="00E95235" w:rsidRDefault="00C529CD" w:rsidP="00C529CD">
      <w:pPr>
        <w:spacing w:line="360" w:lineRule="auto"/>
        <w:rPr>
          <w:rFonts w:ascii="Palatino Linotype" w:hAnsi="Palatino Linotype"/>
          <w:sz w:val="22"/>
          <w:szCs w:val="22"/>
        </w:rPr>
      </w:pPr>
    </w:p>
    <w:p w14:paraId="26536A3A" w14:textId="77777777" w:rsidR="00C529CD" w:rsidRPr="00E95235" w:rsidRDefault="00C529CD" w:rsidP="00C529CD">
      <w:pPr>
        <w:spacing w:line="360" w:lineRule="auto"/>
        <w:rPr>
          <w:rFonts w:ascii="Palatino Linotype" w:hAnsi="Palatino Linotype"/>
          <w:sz w:val="22"/>
          <w:szCs w:val="22"/>
        </w:rPr>
      </w:pPr>
    </w:p>
    <w:p w14:paraId="26536A3B" w14:textId="77777777" w:rsidR="00C529CD" w:rsidRPr="00E95235" w:rsidRDefault="00C529CD" w:rsidP="00C529CD">
      <w:pPr>
        <w:spacing w:line="360" w:lineRule="auto"/>
        <w:rPr>
          <w:rFonts w:ascii="Palatino Linotype" w:hAnsi="Palatino Linotype"/>
          <w:sz w:val="22"/>
          <w:szCs w:val="22"/>
        </w:rPr>
      </w:pPr>
    </w:p>
    <w:p w14:paraId="26536A3C" w14:textId="77777777" w:rsidR="00C529CD" w:rsidRPr="00E95235" w:rsidRDefault="00C529CD" w:rsidP="00C529CD">
      <w:pPr>
        <w:spacing w:line="360" w:lineRule="auto"/>
        <w:rPr>
          <w:rFonts w:ascii="Palatino Linotype" w:hAnsi="Palatino Linotype"/>
          <w:sz w:val="22"/>
          <w:szCs w:val="22"/>
        </w:rPr>
      </w:pPr>
    </w:p>
    <w:p w14:paraId="26536A3D" w14:textId="77777777" w:rsidR="00C529CD" w:rsidRPr="00E95235" w:rsidRDefault="00C529CD" w:rsidP="00C529CD">
      <w:pPr>
        <w:spacing w:line="360" w:lineRule="auto"/>
        <w:rPr>
          <w:rFonts w:ascii="Palatino Linotype" w:hAnsi="Palatino Linotype"/>
          <w:sz w:val="22"/>
          <w:szCs w:val="22"/>
        </w:rPr>
      </w:pPr>
    </w:p>
    <w:p w14:paraId="26536A3E" w14:textId="77777777" w:rsidR="00C529CD" w:rsidRPr="00E95235" w:rsidRDefault="00C529CD" w:rsidP="00C529CD">
      <w:pPr>
        <w:spacing w:line="360" w:lineRule="auto"/>
        <w:rPr>
          <w:rFonts w:ascii="Palatino Linotype" w:hAnsi="Palatino Linotype"/>
          <w:sz w:val="22"/>
          <w:szCs w:val="22"/>
        </w:rPr>
      </w:pPr>
    </w:p>
    <w:p w14:paraId="26536A3F" w14:textId="77777777" w:rsidR="00C529CD" w:rsidRPr="00E95235" w:rsidRDefault="00C529CD" w:rsidP="00C529CD">
      <w:pPr>
        <w:spacing w:line="360" w:lineRule="auto"/>
        <w:rPr>
          <w:rFonts w:ascii="Palatino Linotype" w:hAnsi="Palatino Linotype"/>
          <w:sz w:val="22"/>
          <w:szCs w:val="22"/>
        </w:rPr>
      </w:pPr>
    </w:p>
    <w:p w14:paraId="26536A40" w14:textId="77777777" w:rsidR="00C529CD" w:rsidRPr="00E95235" w:rsidRDefault="00C529CD" w:rsidP="00C529CD">
      <w:pPr>
        <w:spacing w:line="360" w:lineRule="auto"/>
        <w:rPr>
          <w:rFonts w:ascii="Palatino Linotype" w:hAnsi="Palatino Linotype"/>
          <w:sz w:val="22"/>
          <w:szCs w:val="22"/>
        </w:rPr>
      </w:pPr>
    </w:p>
    <w:p w14:paraId="26536A41" w14:textId="77777777" w:rsidR="00C529CD" w:rsidRPr="00E95235" w:rsidRDefault="00C529CD" w:rsidP="00C529CD">
      <w:pPr>
        <w:spacing w:line="360" w:lineRule="auto"/>
        <w:rPr>
          <w:rFonts w:ascii="Palatino Linotype" w:hAnsi="Palatino Linotype"/>
          <w:sz w:val="22"/>
          <w:szCs w:val="22"/>
        </w:rPr>
      </w:pPr>
    </w:p>
    <w:p w14:paraId="26536A42" w14:textId="77777777" w:rsidR="00C529CD" w:rsidRPr="00E95235" w:rsidRDefault="00C529CD" w:rsidP="00C529CD">
      <w:pPr>
        <w:spacing w:line="360" w:lineRule="auto"/>
        <w:rPr>
          <w:rFonts w:ascii="Palatino Linotype" w:hAnsi="Palatino Linotype"/>
          <w:sz w:val="22"/>
          <w:szCs w:val="22"/>
        </w:rPr>
      </w:pPr>
    </w:p>
    <w:p w14:paraId="26536A43" w14:textId="77777777" w:rsidR="00C529CD" w:rsidRPr="00E95235" w:rsidRDefault="00C529CD" w:rsidP="00C529CD">
      <w:pPr>
        <w:spacing w:line="360" w:lineRule="auto"/>
        <w:rPr>
          <w:rFonts w:ascii="Palatino Linotype" w:hAnsi="Palatino Linotype"/>
          <w:sz w:val="22"/>
          <w:szCs w:val="22"/>
        </w:rPr>
      </w:pPr>
    </w:p>
    <w:p w14:paraId="26536A44" w14:textId="77777777" w:rsidR="00C529CD" w:rsidRPr="00E95235" w:rsidRDefault="00C529CD" w:rsidP="00C529CD">
      <w:pPr>
        <w:spacing w:line="360" w:lineRule="auto"/>
        <w:rPr>
          <w:rFonts w:ascii="Palatino Linotype" w:hAnsi="Palatino Linotype"/>
          <w:sz w:val="22"/>
          <w:szCs w:val="22"/>
        </w:rPr>
      </w:pPr>
    </w:p>
    <w:p w14:paraId="26536A45" w14:textId="77777777" w:rsidR="00C529CD" w:rsidRPr="00E95235" w:rsidRDefault="00C529CD" w:rsidP="00C529CD">
      <w:pPr>
        <w:spacing w:line="360" w:lineRule="auto"/>
        <w:rPr>
          <w:rFonts w:ascii="Palatino Linotype" w:hAnsi="Palatino Linotype"/>
          <w:sz w:val="22"/>
          <w:szCs w:val="22"/>
        </w:rPr>
      </w:pPr>
    </w:p>
    <w:p w14:paraId="26536A46" w14:textId="77777777" w:rsidR="00C529CD" w:rsidRPr="00E95235" w:rsidRDefault="00C529CD" w:rsidP="00C529CD">
      <w:pPr>
        <w:spacing w:line="360" w:lineRule="auto"/>
        <w:rPr>
          <w:rFonts w:ascii="Palatino Linotype" w:hAnsi="Palatino Linotype"/>
          <w:sz w:val="22"/>
          <w:szCs w:val="22"/>
        </w:rPr>
      </w:pPr>
    </w:p>
    <w:p w14:paraId="26536A47" w14:textId="77777777" w:rsidR="00C529CD" w:rsidRPr="00E95235" w:rsidRDefault="00C529CD" w:rsidP="00C529CD">
      <w:pPr>
        <w:spacing w:line="360" w:lineRule="auto"/>
        <w:rPr>
          <w:rFonts w:ascii="Palatino Linotype" w:hAnsi="Palatino Linotype"/>
          <w:sz w:val="22"/>
          <w:szCs w:val="22"/>
        </w:rPr>
      </w:pPr>
    </w:p>
    <w:p w14:paraId="26536A48" w14:textId="77777777" w:rsidR="00C529CD" w:rsidRPr="00E95235" w:rsidRDefault="00C529CD" w:rsidP="00C529CD">
      <w:pPr>
        <w:spacing w:line="360" w:lineRule="auto"/>
        <w:rPr>
          <w:rFonts w:ascii="Palatino Linotype" w:hAnsi="Palatino Linotype"/>
          <w:sz w:val="22"/>
          <w:szCs w:val="22"/>
        </w:rPr>
      </w:pPr>
    </w:p>
    <w:p w14:paraId="26536A49" w14:textId="77777777" w:rsidR="00C529CD" w:rsidRPr="00E95235" w:rsidRDefault="00C529CD" w:rsidP="00C529CD">
      <w:pPr>
        <w:spacing w:line="360" w:lineRule="auto"/>
        <w:rPr>
          <w:rFonts w:ascii="Palatino Linotype" w:hAnsi="Palatino Linotype"/>
          <w:sz w:val="22"/>
          <w:szCs w:val="22"/>
        </w:rPr>
      </w:pPr>
    </w:p>
    <w:p w14:paraId="26536A4A" w14:textId="77777777" w:rsidR="00C529CD" w:rsidRPr="00E95235" w:rsidRDefault="00C529CD" w:rsidP="00C529CD">
      <w:pPr>
        <w:spacing w:line="360" w:lineRule="auto"/>
        <w:rPr>
          <w:rFonts w:ascii="Palatino Linotype" w:hAnsi="Palatino Linotype"/>
          <w:sz w:val="22"/>
          <w:szCs w:val="22"/>
        </w:rPr>
      </w:pPr>
    </w:p>
    <w:p w14:paraId="26536A4B" w14:textId="77777777" w:rsidR="00C529CD" w:rsidRPr="00E95235" w:rsidRDefault="00C529CD" w:rsidP="00C529CD">
      <w:pPr>
        <w:spacing w:line="360" w:lineRule="auto"/>
        <w:rPr>
          <w:rFonts w:ascii="Palatino Linotype" w:hAnsi="Palatino Linotype"/>
          <w:sz w:val="22"/>
          <w:szCs w:val="22"/>
        </w:rPr>
      </w:pPr>
    </w:p>
    <w:p w14:paraId="26536A4C" w14:textId="77777777" w:rsidR="00C529CD" w:rsidRPr="00E95235" w:rsidRDefault="00C529CD" w:rsidP="00C529CD">
      <w:pPr>
        <w:spacing w:line="360" w:lineRule="auto"/>
        <w:rPr>
          <w:rFonts w:ascii="Palatino Linotype" w:hAnsi="Palatino Linotype"/>
          <w:sz w:val="22"/>
          <w:szCs w:val="22"/>
        </w:rPr>
      </w:pPr>
    </w:p>
    <w:p w14:paraId="26536A4D" w14:textId="77777777" w:rsidR="00C529CD" w:rsidRPr="00E95235" w:rsidRDefault="00C529CD" w:rsidP="00C529CD">
      <w:pPr>
        <w:spacing w:line="360" w:lineRule="auto"/>
        <w:rPr>
          <w:rFonts w:ascii="Palatino Linotype" w:hAnsi="Palatino Linotype"/>
          <w:sz w:val="22"/>
          <w:szCs w:val="22"/>
        </w:rPr>
      </w:pPr>
    </w:p>
    <w:p w14:paraId="26536A4E" w14:textId="77777777" w:rsidR="00C529CD" w:rsidRPr="00E95235" w:rsidRDefault="00C529CD" w:rsidP="00C529CD">
      <w:pPr>
        <w:spacing w:line="360" w:lineRule="auto"/>
        <w:rPr>
          <w:rFonts w:ascii="Palatino Linotype" w:hAnsi="Palatino Linotype"/>
          <w:sz w:val="22"/>
          <w:szCs w:val="22"/>
        </w:rPr>
      </w:pPr>
    </w:p>
    <w:p w14:paraId="26536A4F" w14:textId="77777777" w:rsidR="00C529CD" w:rsidRPr="00E95235" w:rsidRDefault="00C529CD" w:rsidP="00C529CD">
      <w:pPr>
        <w:spacing w:line="360" w:lineRule="auto"/>
        <w:rPr>
          <w:rFonts w:ascii="Palatino Linotype" w:hAnsi="Palatino Linotype"/>
          <w:sz w:val="22"/>
          <w:szCs w:val="22"/>
        </w:rPr>
      </w:pPr>
    </w:p>
    <w:p w14:paraId="26536A50" w14:textId="77777777" w:rsidR="00C529CD" w:rsidRPr="00E95235" w:rsidRDefault="00C529CD" w:rsidP="00C529CD">
      <w:pPr>
        <w:spacing w:line="360" w:lineRule="auto"/>
        <w:rPr>
          <w:rFonts w:ascii="Palatino Linotype" w:hAnsi="Palatino Linotype"/>
          <w:sz w:val="22"/>
          <w:szCs w:val="22"/>
        </w:rPr>
      </w:pPr>
    </w:p>
    <w:p w14:paraId="26536A51" w14:textId="77777777" w:rsidR="00C529CD" w:rsidRPr="00E95235" w:rsidRDefault="00C529CD" w:rsidP="00C529CD">
      <w:pPr>
        <w:spacing w:line="360" w:lineRule="auto"/>
        <w:rPr>
          <w:rFonts w:ascii="Palatino Linotype" w:hAnsi="Palatino Linotype"/>
          <w:sz w:val="22"/>
          <w:szCs w:val="22"/>
        </w:rPr>
      </w:pPr>
    </w:p>
    <w:p w14:paraId="26536A52" w14:textId="77777777" w:rsidR="00C529CD" w:rsidRPr="00E95235" w:rsidRDefault="00C529CD" w:rsidP="00C529CD">
      <w:pPr>
        <w:spacing w:line="360" w:lineRule="auto"/>
        <w:rPr>
          <w:rFonts w:ascii="Palatino Linotype" w:hAnsi="Palatino Linotype"/>
          <w:sz w:val="22"/>
          <w:szCs w:val="22"/>
        </w:rPr>
      </w:pPr>
    </w:p>
    <w:p w14:paraId="26536A53" w14:textId="77777777" w:rsidR="00C529CD" w:rsidRPr="00E95235" w:rsidRDefault="00C529CD" w:rsidP="00C529CD">
      <w:pPr>
        <w:spacing w:line="360" w:lineRule="auto"/>
        <w:rPr>
          <w:rFonts w:ascii="Palatino Linotype" w:hAnsi="Palatino Linotype"/>
          <w:sz w:val="22"/>
          <w:szCs w:val="22"/>
        </w:rPr>
      </w:pPr>
    </w:p>
    <w:p w14:paraId="26536A54" w14:textId="77777777" w:rsidR="00C529CD" w:rsidRPr="00E95235" w:rsidRDefault="00C529CD" w:rsidP="00C529CD">
      <w:pPr>
        <w:spacing w:line="360" w:lineRule="auto"/>
        <w:rPr>
          <w:rFonts w:ascii="Palatino Linotype" w:hAnsi="Palatino Linotype"/>
          <w:sz w:val="22"/>
          <w:szCs w:val="22"/>
        </w:rPr>
      </w:pPr>
    </w:p>
    <w:p w14:paraId="26536A55" w14:textId="77777777" w:rsidR="00C529CD" w:rsidRPr="00E95235" w:rsidRDefault="00C529CD" w:rsidP="00C529CD">
      <w:pPr>
        <w:spacing w:line="360" w:lineRule="auto"/>
        <w:rPr>
          <w:rFonts w:ascii="Palatino Linotype" w:hAnsi="Palatino Linotype"/>
          <w:sz w:val="22"/>
          <w:szCs w:val="22"/>
        </w:rPr>
      </w:pPr>
    </w:p>
    <w:p w14:paraId="26536A56" w14:textId="77777777" w:rsidR="00C529CD" w:rsidRPr="00E95235" w:rsidRDefault="00C529CD" w:rsidP="00C529CD">
      <w:pPr>
        <w:spacing w:line="360" w:lineRule="auto"/>
        <w:rPr>
          <w:rFonts w:ascii="Palatino Linotype" w:hAnsi="Palatino Linotype"/>
          <w:sz w:val="22"/>
          <w:szCs w:val="22"/>
        </w:rPr>
      </w:pPr>
    </w:p>
    <w:p w14:paraId="26536A57" w14:textId="77777777" w:rsidR="009073FA" w:rsidRDefault="009073FA"/>
    <w:sectPr w:rsidR="009073FA" w:rsidSect="0026086D">
      <w:headerReference w:type="even" r:id="rId13"/>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03496" w14:textId="77777777" w:rsidR="006B3E36" w:rsidRDefault="006B3E36" w:rsidP="00C529CD">
      <w:r>
        <w:separator/>
      </w:r>
    </w:p>
  </w:endnote>
  <w:endnote w:type="continuationSeparator" w:id="0">
    <w:p w14:paraId="52A4F41D" w14:textId="77777777" w:rsidR="006B3E36" w:rsidRDefault="006B3E36" w:rsidP="00C5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6A74" w14:textId="77777777" w:rsidR="0026086D" w:rsidRDefault="007E0D51">
    <w:pPr>
      <w:pStyle w:val="Piedepgina"/>
      <w:jc w:val="right"/>
    </w:pPr>
    <w:r>
      <w:rPr>
        <w:lang w:val="es-ES"/>
      </w:rPr>
      <w:t xml:space="preserve">Página </w:t>
    </w:r>
    <w:r>
      <w:rPr>
        <w:b/>
        <w:bCs/>
      </w:rPr>
      <w:fldChar w:fldCharType="begin"/>
    </w:r>
    <w:r>
      <w:rPr>
        <w:b/>
        <w:bCs/>
      </w:rPr>
      <w:instrText>PAGE</w:instrText>
    </w:r>
    <w:r>
      <w:rPr>
        <w:b/>
        <w:bCs/>
      </w:rPr>
      <w:fldChar w:fldCharType="separate"/>
    </w:r>
    <w:r w:rsidR="00830724">
      <w:rPr>
        <w:b/>
        <w:bCs/>
        <w:noProof/>
      </w:rPr>
      <w:t>28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30724">
      <w:rPr>
        <w:b/>
        <w:bCs/>
        <w:noProof/>
      </w:rPr>
      <w:t>29</w:t>
    </w:r>
    <w:r>
      <w:rPr>
        <w:b/>
        <w:bCs/>
      </w:rPr>
      <w:fldChar w:fldCharType="end"/>
    </w:r>
  </w:p>
  <w:p w14:paraId="26536A75" w14:textId="77777777" w:rsidR="0026086D" w:rsidRDefault="006B3E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6A87" w14:textId="77777777" w:rsidR="0026086D" w:rsidRDefault="007E0D51">
    <w:pPr>
      <w:pStyle w:val="Piedepgina"/>
      <w:jc w:val="right"/>
    </w:pPr>
    <w:r>
      <w:rPr>
        <w:lang w:val="es-ES"/>
      </w:rPr>
      <w:t xml:space="preserve">Página </w:t>
    </w:r>
    <w:r>
      <w:rPr>
        <w:b/>
        <w:bCs/>
      </w:rPr>
      <w:fldChar w:fldCharType="begin"/>
    </w:r>
    <w:r>
      <w:rPr>
        <w:b/>
        <w:bCs/>
      </w:rPr>
      <w:instrText>PAGE</w:instrText>
    </w:r>
    <w:r>
      <w:rPr>
        <w:b/>
        <w:bCs/>
      </w:rPr>
      <w:fldChar w:fldCharType="separate"/>
    </w:r>
    <w:r w:rsidR="0083072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30724">
      <w:rPr>
        <w:b/>
        <w:bCs/>
        <w:noProof/>
      </w:rPr>
      <w:t>29</w:t>
    </w:r>
    <w:r>
      <w:rPr>
        <w:b/>
        <w:bCs/>
      </w:rPr>
      <w:fldChar w:fldCharType="end"/>
    </w:r>
  </w:p>
  <w:p w14:paraId="26536A88" w14:textId="77777777" w:rsidR="0026086D" w:rsidRDefault="006B3E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00D21" w14:textId="77777777" w:rsidR="006B3E36" w:rsidRDefault="006B3E36" w:rsidP="00C529CD">
      <w:r>
        <w:separator/>
      </w:r>
    </w:p>
  </w:footnote>
  <w:footnote w:type="continuationSeparator" w:id="0">
    <w:p w14:paraId="40FA35BD" w14:textId="77777777" w:rsidR="006B3E36" w:rsidRDefault="006B3E36" w:rsidP="00C529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6A64" w14:textId="77777777" w:rsidR="0026086D" w:rsidRDefault="006B3E36">
    <w:pPr>
      <w:pStyle w:val="Encabezado"/>
    </w:pPr>
    <w:r>
      <w:rPr>
        <w:noProof/>
      </w:rPr>
      <w:pict w14:anchorId="26536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14:paraId="26536A72" w14:textId="77777777" w:rsidTr="0026086D">
      <w:trPr>
        <w:trHeight w:val="1435"/>
      </w:trPr>
      <w:tc>
        <w:tcPr>
          <w:tcW w:w="2268" w:type="dxa"/>
          <w:shd w:val="clear" w:color="auto" w:fill="auto"/>
        </w:tcPr>
        <w:p w14:paraId="26536A65" w14:textId="77777777" w:rsidR="0026086D" w:rsidRPr="005C106F" w:rsidRDefault="006B3E36" w:rsidP="0026086D">
          <w:pPr>
            <w:tabs>
              <w:tab w:val="right" w:pos="4273"/>
            </w:tabs>
            <w:rPr>
              <w:rFonts w:ascii="Garamond" w:eastAsia="Calibri" w:hAnsi="Garamond"/>
              <w:sz w:val="16"/>
              <w:szCs w:val="16"/>
              <w:lang w:eastAsia="en-US"/>
            </w:rPr>
          </w:pPr>
        </w:p>
      </w:tc>
      <w:tc>
        <w:tcPr>
          <w:tcW w:w="6946" w:type="dxa"/>
          <w:shd w:val="clear" w:color="auto" w:fill="auto"/>
        </w:tcPr>
        <w:p w14:paraId="26536A66" w14:textId="77777777" w:rsidR="0026086D" w:rsidRDefault="006B3E36" w:rsidP="0026086D"/>
        <w:tbl>
          <w:tblPr>
            <w:tblW w:w="6662" w:type="dxa"/>
            <w:tblInd w:w="40" w:type="dxa"/>
            <w:tblLayout w:type="fixed"/>
            <w:tblLook w:val="0420" w:firstRow="1" w:lastRow="0" w:firstColumn="0" w:lastColumn="0" w:noHBand="0" w:noVBand="1"/>
          </w:tblPr>
          <w:tblGrid>
            <w:gridCol w:w="2551"/>
            <w:gridCol w:w="4111"/>
          </w:tblGrid>
          <w:tr w:rsidR="0026086D" w14:paraId="26536A69" w14:textId="77777777" w:rsidTr="0026086D">
            <w:trPr>
              <w:trHeight w:val="150"/>
            </w:trPr>
            <w:tc>
              <w:tcPr>
                <w:tcW w:w="2551" w:type="dxa"/>
                <w:shd w:val="clear" w:color="auto" w:fill="auto"/>
              </w:tcPr>
              <w:p w14:paraId="26536A67" w14:textId="77777777" w:rsidR="0026086D" w:rsidRPr="00020E73" w:rsidRDefault="007E0D51"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26536A68" w14:textId="77777777" w:rsidR="0026086D" w:rsidRPr="00020E73" w:rsidRDefault="00C529CD"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12103</w:t>
                </w:r>
                <w:r w:rsidR="007E0D51">
                  <w:rPr>
                    <w:rFonts w:ascii="Palatino Linotype" w:eastAsia="Calibri" w:hAnsi="Palatino Linotype" w:cs="Tahoma"/>
                    <w:bCs/>
                    <w:sz w:val="22"/>
                    <w:szCs w:val="22"/>
                    <w:lang w:eastAsia="en-US"/>
                  </w:rPr>
                  <w:t>/INFOEM/IP/RR/2022</w:t>
                </w:r>
                <w:r w:rsidR="007E0D51" w:rsidRPr="009E7B0A">
                  <w:rPr>
                    <w:rFonts w:ascii="Palatino Linotype" w:eastAsia="Calibri" w:hAnsi="Palatino Linotype" w:cs="Tahoma"/>
                    <w:b/>
                    <w:bCs/>
                    <w:sz w:val="22"/>
                    <w:szCs w:val="22"/>
                    <w:lang w:eastAsia="en-US"/>
                  </w:rPr>
                  <w:t xml:space="preserve"> </w:t>
                </w:r>
              </w:p>
            </w:tc>
          </w:tr>
          <w:tr w:rsidR="0026086D" w14:paraId="26536A6C" w14:textId="77777777" w:rsidTr="0026086D">
            <w:trPr>
              <w:trHeight w:val="295"/>
            </w:trPr>
            <w:tc>
              <w:tcPr>
                <w:tcW w:w="2551" w:type="dxa"/>
                <w:shd w:val="clear" w:color="auto" w:fill="auto"/>
              </w:tcPr>
              <w:p w14:paraId="26536A6A" w14:textId="77777777" w:rsidR="0026086D" w:rsidRPr="00020E73" w:rsidRDefault="007E0D51"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26536A6B" w14:textId="77777777" w:rsidR="0026086D" w:rsidRPr="00020E73" w:rsidRDefault="00C529CD"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Ixtlahuaca</w:t>
                </w:r>
              </w:p>
            </w:tc>
          </w:tr>
          <w:tr w:rsidR="0026086D" w14:paraId="26536A70" w14:textId="77777777" w:rsidTr="0026086D">
            <w:trPr>
              <w:trHeight w:val="295"/>
            </w:trPr>
            <w:tc>
              <w:tcPr>
                <w:tcW w:w="2551" w:type="dxa"/>
                <w:shd w:val="clear" w:color="auto" w:fill="auto"/>
              </w:tcPr>
              <w:p w14:paraId="26536A6D" w14:textId="77777777" w:rsidR="0026086D" w:rsidRPr="00020E73" w:rsidRDefault="007E0D51"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26536A6E" w14:textId="77777777" w:rsidR="0026086D" w:rsidRPr="00020E73" w:rsidRDefault="007E0D51"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26536A6F" w14:textId="77777777" w:rsidR="0026086D" w:rsidRPr="00020E73" w:rsidRDefault="006B3E36" w:rsidP="0026086D">
                <w:pPr>
                  <w:tabs>
                    <w:tab w:val="right" w:pos="8838"/>
                  </w:tabs>
                  <w:ind w:left="-108" w:right="171"/>
                  <w:jc w:val="both"/>
                  <w:rPr>
                    <w:rFonts w:ascii="Palatino Linotype" w:eastAsia="Calibri" w:hAnsi="Palatino Linotype" w:cs="Tahoma"/>
                    <w:b/>
                    <w:sz w:val="22"/>
                    <w:szCs w:val="22"/>
                    <w:lang w:val="es-ES" w:eastAsia="en-US"/>
                  </w:rPr>
                </w:pPr>
              </w:p>
            </w:tc>
          </w:tr>
        </w:tbl>
        <w:p w14:paraId="26536A71" w14:textId="77777777" w:rsidR="0026086D" w:rsidRPr="005C106F" w:rsidRDefault="006B3E36" w:rsidP="0026086D">
          <w:pPr>
            <w:tabs>
              <w:tab w:val="right" w:pos="8838"/>
            </w:tabs>
            <w:ind w:left="-28"/>
            <w:jc w:val="both"/>
            <w:rPr>
              <w:rFonts w:ascii="Arial" w:eastAsia="Calibri" w:hAnsi="Arial" w:cs="Arial"/>
              <w:b/>
              <w:sz w:val="22"/>
              <w:szCs w:val="22"/>
              <w:lang w:eastAsia="en-US"/>
            </w:rPr>
          </w:pPr>
        </w:p>
      </w:tc>
    </w:tr>
  </w:tbl>
  <w:p w14:paraId="26536A73" w14:textId="77777777" w:rsidR="0026086D" w:rsidRPr="00443C6B" w:rsidRDefault="006B3E36" w:rsidP="0026086D">
    <w:pPr>
      <w:pStyle w:val="Encabezado"/>
      <w:rPr>
        <w:sz w:val="14"/>
      </w:rPr>
    </w:pPr>
    <w:r>
      <w:rPr>
        <w:noProof/>
        <w:sz w:val="14"/>
      </w:rPr>
      <w:pict w14:anchorId="26536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14:paraId="26536A85" w14:textId="77777777" w:rsidTr="0026086D">
      <w:trPr>
        <w:trHeight w:val="1435"/>
      </w:trPr>
      <w:tc>
        <w:tcPr>
          <w:tcW w:w="2268" w:type="dxa"/>
          <w:shd w:val="clear" w:color="auto" w:fill="auto"/>
        </w:tcPr>
        <w:p w14:paraId="26536A76" w14:textId="77777777" w:rsidR="0026086D" w:rsidRPr="00330DA7" w:rsidRDefault="006B3E36"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14:paraId="26536A79" w14:textId="77777777" w:rsidTr="0026086D">
            <w:trPr>
              <w:trHeight w:val="144"/>
            </w:trPr>
            <w:tc>
              <w:tcPr>
                <w:tcW w:w="2444" w:type="dxa"/>
                <w:shd w:val="clear" w:color="auto" w:fill="auto"/>
              </w:tcPr>
              <w:p w14:paraId="26536A77" w14:textId="77777777" w:rsidR="0026086D" w:rsidRPr="00020E73" w:rsidRDefault="007E0D51"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26536A78" w14:textId="77777777" w:rsidR="0026086D" w:rsidRPr="00020E73" w:rsidRDefault="00C529CD"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12103</w:t>
                </w:r>
                <w:r w:rsidR="007E0D51">
                  <w:rPr>
                    <w:rFonts w:ascii="Palatino Linotype" w:eastAsia="Calibri" w:hAnsi="Palatino Linotype" w:cs="Tahoma"/>
                    <w:sz w:val="22"/>
                    <w:szCs w:val="22"/>
                    <w:lang w:eastAsia="en-US"/>
                  </w:rPr>
                  <w:t>/INFOEM/IP/RR/2022</w:t>
                </w:r>
                <w:r w:rsidR="007E0D51">
                  <w:rPr>
                    <w:rFonts w:ascii="Palatino Linotype" w:eastAsia="Calibri" w:hAnsi="Palatino Linotype" w:cs="Tahoma"/>
                    <w:b/>
                    <w:bCs/>
                    <w:sz w:val="22"/>
                    <w:szCs w:val="22"/>
                    <w:lang w:eastAsia="en-US"/>
                  </w:rPr>
                  <w:t xml:space="preserve"> </w:t>
                </w:r>
              </w:p>
            </w:tc>
          </w:tr>
          <w:tr w:rsidR="0026086D" w:rsidRPr="00330DA7" w14:paraId="26536A7C" w14:textId="77777777" w:rsidTr="0026086D">
            <w:trPr>
              <w:trHeight w:val="144"/>
            </w:trPr>
            <w:tc>
              <w:tcPr>
                <w:tcW w:w="2444" w:type="dxa"/>
                <w:shd w:val="clear" w:color="auto" w:fill="auto"/>
              </w:tcPr>
              <w:p w14:paraId="26536A7A" w14:textId="77777777" w:rsidR="0026086D" w:rsidRPr="00020E73" w:rsidRDefault="007E0D51"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26536A7B" w14:textId="78B5D44B" w:rsidR="0026086D" w:rsidRPr="00020E73" w:rsidRDefault="00830724"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XXXX XXXXX</w:t>
                </w:r>
              </w:p>
            </w:tc>
          </w:tr>
          <w:tr w:rsidR="0026086D" w:rsidRPr="00330DA7" w14:paraId="26536A7F" w14:textId="77777777" w:rsidTr="0026086D">
            <w:trPr>
              <w:trHeight w:val="283"/>
            </w:trPr>
            <w:tc>
              <w:tcPr>
                <w:tcW w:w="2444" w:type="dxa"/>
                <w:shd w:val="clear" w:color="auto" w:fill="auto"/>
              </w:tcPr>
              <w:p w14:paraId="26536A7D" w14:textId="77777777" w:rsidR="0026086D" w:rsidRPr="00020E73" w:rsidRDefault="007E0D51"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26536A7E" w14:textId="77777777" w:rsidR="0026086D" w:rsidRPr="009E7B0A" w:rsidRDefault="00C529CD" w:rsidP="0026086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Ixtlahuaca</w:t>
                </w:r>
              </w:p>
            </w:tc>
          </w:tr>
          <w:tr w:rsidR="0026086D" w:rsidRPr="00330DA7" w14:paraId="26536A83" w14:textId="77777777" w:rsidTr="0026086D">
            <w:trPr>
              <w:trHeight w:val="283"/>
            </w:trPr>
            <w:tc>
              <w:tcPr>
                <w:tcW w:w="2444" w:type="dxa"/>
                <w:shd w:val="clear" w:color="auto" w:fill="auto"/>
              </w:tcPr>
              <w:p w14:paraId="26536A80" w14:textId="77777777" w:rsidR="0026086D" w:rsidRPr="00020E73" w:rsidRDefault="007E0D51"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26536A81" w14:textId="77777777" w:rsidR="0026086D" w:rsidRPr="00020E73" w:rsidRDefault="007E0D51"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26536A82" w14:textId="77777777" w:rsidR="0026086D" w:rsidRPr="00020E73" w:rsidRDefault="006B3E36" w:rsidP="0026086D">
                <w:pPr>
                  <w:tabs>
                    <w:tab w:val="right" w:pos="8838"/>
                  </w:tabs>
                  <w:ind w:left="-74" w:right="-105"/>
                  <w:jc w:val="both"/>
                  <w:rPr>
                    <w:rFonts w:ascii="Palatino Linotype" w:eastAsia="Calibri" w:hAnsi="Palatino Linotype" w:cs="Tahoma"/>
                    <w:b/>
                    <w:sz w:val="22"/>
                    <w:szCs w:val="22"/>
                    <w:lang w:val="es-ES" w:eastAsia="en-US"/>
                  </w:rPr>
                </w:pPr>
              </w:p>
            </w:tc>
          </w:tr>
        </w:tbl>
        <w:p w14:paraId="26536A84" w14:textId="77777777" w:rsidR="0026086D" w:rsidRPr="00330DA7" w:rsidRDefault="006B3E36" w:rsidP="0026086D">
          <w:pPr>
            <w:tabs>
              <w:tab w:val="right" w:pos="8838"/>
            </w:tabs>
            <w:ind w:left="-28"/>
            <w:jc w:val="both"/>
            <w:rPr>
              <w:rFonts w:ascii="Arial" w:eastAsia="Calibri" w:hAnsi="Arial" w:cs="Arial"/>
              <w:b/>
              <w:sz w:val="22"/>
              <w:szCs w:val="22"/>
              <w:lang w:eastAsia="en-US"/>
            </w:rPr>
          </w:pPr>
        </w:p>
      </w:tc>
    </w:tr>
  </w:tbl>
  <w:p w14:paraId="26536A86" w14:textId="77777777" w:rsidR="0026086D" w:rsidRPr="00827FA0" w:rsidRDefault="006B3E36" w:rsidP="0026086D">
    <w:pPr>
      <w:pStyle w:val="Encabezado"/>
      <w:rPr>
        <w:sz w:val="2"/>
        <w:szCs w:val="22"/>
      </w:rPr>
    </w:pPr>
    <w:r>
      <w:rPr>
        <w:noProof/>
        <w:sz w:val="2"/>
        <w:szCs w:val="22"/>
      </w:rPr>
      <w:pict w14:anchorId="26536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76C86748"/>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4317490"/>
    <w:multiLevelType w:val="hybridMultilevel"/>
    <w:tmpl w:val="A978D286"/>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AA5D73"/>
    <w:multiLevelType w:val="hybridMultilevel"/>
    <w:tmpl w:val="BE540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5"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3"/>
  </w:num>
  <w:num w:numId="2">
    <w:abstractNumId w:val="0"/>
  </w:num>
  <w:num w:numId="3">
    <w:abstractNumId w:val="4"/>
  </w:num>
  <w:num w:numId="4">
    <w:abstractNumId w:val="1"/>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9CD"/>
    <w:rsid w:val="000910C5"/>
    <w:rsid w:val="00207AAC"/>
    <w:rsid w:val="003A7D7C"/>
    <w:rsid w:val="003B212D"/>
    <w:rsid w:val="00442011"/>
    <w:rsid w:val="004D4259"/>
    <w:rsid w:val="00503B10"/>
    <w:rsid w:val="005146E9"/>
    <w:rsid w:val="00545EC9"/>
    <w:rsid w:val="00670AD8"/>
    <w:rsid w:val="006B3E36"/>
    <w:rsid w:val="007E0D51"/>
    <w:rsid w:val="00830724"/>
    <w:rsid w:val="00900AF6"/>
    <w:rsid w:val="009073FA"/>
    <w:rsid w:val="00AA2F4E"/>
    <w:rsid w:val="00AE523C"/>
    <w:rsid w:val="00B07952"/>
    <w:rsid w:val="00B5371D"/>
    <w:rsid w:val="00B724F1"/>
    <w:rsid w:val="00B93D47"/>
    <w:rsid w:val="00C529CD"/>
    <w:rsid w:val="00EE67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536962"/>
  <w15:chartTrackingRefBased/>
  <w15:docId w15:val="{DB6ED5FA-815A-42EF-9C7E-F1B955AAB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9CD"/>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9CD"/>
    <w:pPr>
      <w:tabs>
        <w:tab w:val="center" w:pos="4419"/>
        <w:tab w:val="right" w:pos="8838"/>
      </w:tabs>
    </w:pPr>
  </w:style>
  <w:style w:type="character" w:customStyle="1" w:styleId="EncabezadoCar">
    <w:name w:val="Encabezado Car"/>
    <w:basedOn w:val="Fuentedeprrafopredeter"/>
    <w:link w:val="Encabezado"/>
    <w:uiPriority w:val="99"/>
    <w:rsid w:val="00C529CD"/>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529CD"/>
    <w:pPr>
      <w:tabs>
        <w:tab w:val="center" w:pos="4419"/>
        <w:tab w:val="right" w:pos="8838"/>
      </w:tabs>
    </w:pPr>
  </w:style>
  <w:style w:type="character" w:customStyle="1" w:styleId="PiedepginaCar">
    <w:name w:val="Pie de página Car"/>
    <w:basedOn w:val="Fuentedeprrafopredeter"/>
    <w:link w:val="Piedepgina"/>
    <w:uiPriority w:val="99"/>
    <w:rsid w:val="00C529CD"/>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529C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529CD"/>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529CD"/>
    <w:rPr>
      <w:color w:val="0563C1"/>
      <w:u w:val="single"/>
    </w:rPr>
  </w:style>
  <w:style w:type="paragraph" w:styleId="Sinespaciado">
    <w:name w:val="No Spacing"/>
    <w:uiPriority w:val="1"/>
    <w:qFormat/>
    <w:rsid w:val="00C529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891273">
      <w:bodyDiv w:val="1"/>
      <w:marLeft w:val="0"/>
      <w:marRight w:val="0"/>
      <w:marTop w:val="0"/>
      <w:marBottom w:val="0"/>
      <w:divBdr>
        <w:top w:val="none" w:sz="0" w:space="0" w:color="auto"/>
        <w:left w:val="none" w:sz="0" w:space="0" w:color="auto"/>
        <w:bottom w:val="none" w:sz="0" w:space="0" w:color="auto"/>
        <w:right w:val="none" w:sz="0" w:space="0" w:color="auto"/>
      </w:divBdr>
    </w:div>
    <w:div w:id="187662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2028.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aimex.org.mx/saimex/solicitud/downloadAttach/1505074.page" TargetMode="Externa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29</Pages>
  <Words>5380</Words>
  <Characters>29593</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DELL</cp:lastModifiedBy>
  <cp:revision>9</cp:revision>
  <dcterms:created xsi:type="dcterms:W3CDTF">2022-11-01T23:14:00Z</dcterms:created>
  <dcterms:modified xsi:type="dcterms:W3CDTF">2022-11-28T03:52:00Z</dcterms:modified>
</cp:coreProperties>
</file>