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E5A" w:rsidRDefault="002E0AE7">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cuatro de mayo del dos mil veintidós.</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01099/INFOEM/IP/RR/2022</w:t>
      </w:r>
      <w:r>
        <w:rPr>
          <w:rFonts w:ascii="Palatino Linotype" w:eastAsia="Palatino Linotype" w:hAnsi="Palatino Linotype" w:cs="Palatino Linotype"/>
        </w:rPr>
        <w:t xml:space="preserve">, interpuesto por una persona de manera anónima a quien en lo sucesivo se le denominará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00031/XONACAT/IP/2022,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Ayuntamiento de </w:t>
      </w:r>
      <w:proofErr w:type="spellStart"/>
      <w:r>
        <w:rPr>
          <w:rFonts w:ascii="Palatino Linotype" w:eastAsia="Palatino Linotype" w:hAnsi="Palatino Linotype" w:cs="Palatino Linotype"/>
          <w:b/>
        </w:rPr>
        <w:t>Xonacatlán</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C94E5A" w:rsidRDefault="002E0AE7">
      <w:pPr>
        <w:numPr>
          <w:ilvl w:val="0"/>
          <w:numId w:val="4"/>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nueve de febrero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C94E5A" w:rsidRDefault="002E0AE7">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“Solicito los recibos de nomas del mes de enero 2022 del presidente municipal, sindico, regidores y de todos h cada uno de los titulares de área ya sean </w:t>
      </w:r>
      <w:proofErr w:type="spellStart"/>
      <w:r>
        <w:rPr>
          <w:rFonts w:ascii="Palatino Linotype" w:eastAsia="Palatino Linotype" w:hAnsi="Palatino Linotype" w:cs="Palatino Linotype"/>
          <w:i/>
          <w:sz w:val="22"/>
          <w:szCs w:val="22"/>
        </w:rPr>
        <w:t>sirectores</w:t>
      </w:r>
      <w:proofErr w:type="spellEnd"/>
      <w:r>
        <w:rPr>
          <w:rFonts w:ascii="Palatino Linotype" w:eastAsia="Palatino Linotype" w:hAnsi="Palatino Linotype" w:cs="Palatino Linotype"/>
          <w:i/>
          <w:sz w:val="22"/>
          <w:szCs w:val="22"/>
        </w:rPr>
        <w:t xml:space="preserve"> o coordinadores.” (Sic)</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C94E5A" w:rsidRDefault="00C94E5A">
      <w:pPr>
        <w:spacing w:before="240"/>
        <w:jc w:val="both"/>
        <w:rPr>
          <w:rFonts w:ascii="Palatino Linotype" w:eastAsia="Palatino Linotype" w:hAnsi="Palatino Linotype" w:cs="Palatino Linotype"/>
          <w:b/>
        </w:rPr>
      </w:pPr>
    </w:p>
    <w:p w:rsidR="00C94E5A" w:rsidRDefault="00C94E5A">
      <w:pPr>
        <w:jc w:val="both"/>
        <w:rPr>
          <w:rFonts w:ascii="Palatino Linotype" w:eastAsia="Palatino Linotype" w:hAnsi="Palatino Linotype" w:cs="Palatino Linotype"/>
          <w:b/>
        </w:rPr>
      </w:pPr>
    </w:p>
    <w:p w:rsidR="00C94E5A" w:rsidRDefault="00C94E5A">
      <w:pPr>
        <w:jc w:val="both"/>
        <w:rPr>
          <w:rFonts w:ascii="Palatino Linotype" w:eastAsia="Palatino Linotype" w:hAnsi="Palatino Linotype" w:cs="Palatino Linotype"/>
          <w:b/>
        </w:rPr>
      </w:pPr>
    </w:p>
    <w:p w:rsidR="00C94E5A" w:rsidRDefault="00C94E5A">
      <w:pPr>
        <w:jc w:val="both"/>
        <w:rPr>
          <w:rFonts w:ascii="Palatino Linotype" w:eastAsia="Palatino Linotype" w:hAnsi="Palatino Linotype" w:cs="Palatino Linotype"/>
          <w:b/>
        </w:rPr>
      </w:pPr>
    </w:p>
    <w:p w:rsidR="00C94E5A" w:rsidRDefault="002E0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del Sujeto Obligado. </w:t>
      </w:r>
      <w:r>
        <w:rPr>
          <w:rFonts w:ascii="Palatino Linotype" w:eastAsia="Palatino Linotype" w:hAnsi="Palatino Linotype" w:cs="Palatino Linotype"/>
        </w:rPr>
        <w:t xml:space="preserve">Con fecha dieciocho de febrero del dos mil veintidós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p w:rsidR="00C94E5A" w:rsidRDefault="00C94E5A">
      <w:pPr>
        <w:spacing w:line="360" w:lineRule="auto"/>
        <w:jc w:val="both"/>
        <w:rPr>
          <w:rFonts w:ascii="Palatino Linotype" w:eastAsia="Palatino Linotype" w:hAnsi="Palatino Linotype" w:cs="Palatino Linotype"/>
          <w:i/>
          <w:sz w:val="22"/>
          <w:szCs w:val="22"/>
        </w:rPr>
      </w:pPr>
    </w:p>
    <w:p w:rsidR="00C94E5A" w:rsidRDefault="002E0AE7">
      <w:pPr>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Con fundamento en el artículo 50,51,52, 53 fracción II y V, 163 de la Ley de Transparencia y Acceso a la Información Pública del Estado de México y Municipios, se da contestación al particular anexando el oficio de respuesta N°: XON/TM/096/2022, signado por C.P. Jesús Antonio </w:t>
      </w:r>
      <w:proofErr w:type="spellStart"/>
      <w:r>
        <w:rPr>
          <w:rFonts w:ascii="Palatino Linotype" w:eastAsia="Palatino Linotype" w:hAnsi="Palatino Linotype" w:cs="Palatino Linotype"/>
          <w:i/>
          <w:color w:val="000000"/>
        </w:rPr>
        <w:t>Raygoza</w:t>
      </w:r>
      <w:proofErr w:type="spellEnd"/>
      <w:r>
        <w:rPr>
          <w:rFonts w:ascii="Palatino Linotype" w:eastAsia="Palatino Linotype" w:hAnsi="Palatino Linotype" w:cs="Palatino Linotype"/>
          <w:i/>
          <w:color w:val="000000"/>
        </w:rPr>
        <w:t xml:space="preserve"> Miranda, Tesorero Municipal.</w:t>
      </w:r>
    </w:p>
    <w:p w:rsidR="00C94E5A" w:rsidRDefault="00C94E5A">
      <w:pPr>
        <w:ind w:left="851" w:right="902"/>
        <w:jc w:val="both"/>
        <w:rPr>
          <w:rFonts w:ascii="Palatino Linotype" w:eastAsia="Palatino Linotype" w:hAnsi="Palatino Linotype" w:cs="Palatino Linotype"/>
          <w:i/>
          <w:color w:val="000000"/>
        </w:rPr>
      </w:pPr>
    </w:p>
    <w:p w:rsidR="00C94E5A" w:rsidRDefault="002E0AE7">
      <w:pPr>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ATENTAMENTE </w:t>
      </w:r>
    </w:p>
    <w:p w:rsidR="00C94E5A" w:rsidRDefault="002E0AE7">
      <w:pPr>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P.L.L. </w:t>
      </w:r>
      <w:proofErr w:type="spellStart"/>
      <w:r>
        <w:rPr>
          <w:rFonts w:ascii="Palatino Linotype" w:eastAsia="Palatino Linotype" w:hAnsi="Palatino Linotype" w:cs="Palatino Linotype"/>
          <w:i/>
          <w:color w:val="000000"/>
        </w:rPr>
        <w:t>Nadab</w:t>
      </w:r>
      <w:proofErr w:type="spellEnd"/>
      <w:r>
        <w:rPr>
          <w:rFonts w:ascii="Palatino Linotype" w:eastAsia="Palatino Linotype" w:hAnsi="Palatino Linotype" w:cs="Palatino Linotype"/>
          <w:i/>
          <w:color w:val="000000"/>
        </w:rPr>
        <w:t xml:space="preserve"> Arenas Sosa.</w:t>
      </w:r>
    </w:p>
    <w:p w:rsidR="00C94E5A" w:rsidRDefault="002E0AE7">
      <w:pPr>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w:t>
      </w:r>
    </w:p>
    <w:p w:rsidR="00C94E5A" w:rsidRDefault="002E0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adjuntó a su respuesta el archivo</w:t>
      </w:r>
      <w:r>
        <w:rPr>
          <w:rFonts w:ascii="Palatino Linotype" w:eastAsia="Palatino Linotype" w:hAnsi="Palatino Linotype" w:cs="Palatino Linotype"/>
          <w:b/>
        </w:rPr>
        <w:t xml:space="preserve"> </w:t>
      </w:r>
      <w:r>
        <w:rPr>
          <w:rFonts w:ascii="Palatino Linotype" w:eastAsia="Palatino Linotype" w:hAnsi="Palatino Linotype" w:cs="Palatino Linotype"/>
          <w:b/>
          <w:i/>
        </w:rPr>
        <w:t xml:space="preserve">Respuesta 31.pdf </w:t>
      </w:r>
      <w:r>
        <w:rPr>
          <w:rFonts w:ascii="Palatino Linotype" w:eastAsia="Palatino Linotype" w:hAnsi="Palatino Linotype" w:cs="Palatino Linotype"/>
        </w:rPr>
        <w:t>que contiene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oficio XON/TM/096/2022, a través del cual el Tesorero Municipal señala lo siguiente: </w:t>
      </w:r>
    </w:p>
    <w:p w:rsidR="00C94E5A" w:rsidRDefault="002E0AE7">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3797495" cy="4781796"/>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797495" cy="4781796"/>
                    </a:xfrm>
                    <a:prstGeom prst="rect">
                      <a:avLst/>
                    </a:prstGeom>
                    <a:ln/>
                  </pic:spPr>
                </pic:pic>
              </a:graphicData>
            </a:graphic>
          </wp:inline>
        </w:drawing>
      </w:r>
    </w:p>
    <w:p w:rsidR="00C94E5A" w:rsidRDefault="00C94E5A">
      <w:pPr>
        <w:spacing w:line="360" w:lineRule="auto"/>
        <w:jc w:val="both"/>
        <w:rPr>
          <w:rFonts w:ascii="Palatino Linotype" w:eastAsia="Palatino Linotype" w:hAnsi="Palatino Linotype" w:cs="Palatino Linotype"/>
          <w:b/>
        </w:rPr>
      </w:pPr>
    </w:p>
    <w:p w:rsidR="00C94E5A" w:rsidRDefault="002E0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del recurso de revisión. </w:t>
      </w:r>
      <w:r>
        <w:rPr>
          <w:rFonts w:ascii="Palatino Linotype" w:eastAsia="Palatino Linotype" w:hAnsi="Palatino Linotype" w:cs="Palatino Linotype"/>
        </w:rPr>
        <w:t xml:space="preserve">Inconforme el 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a través del SAIMEX en fecha veintidós de enero del dos mil veintidós, a través del cual expresó lo siguiente:</w:t>
      </w:r>
    </w:p>
    <w:p w:rsidR="00C94E5A" w:rsidRDefault="002E0AE7">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C94E5A" w:rsidRDefault="002E0AE7">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“El sujeto obligado de </w:t>
      </w:r>
      <w:proofErr w:type="spellStart"/>
      <w:r>
        <w:rPr>
          <w:rFonts w:ascii="Palatino Linotype" w:eastAsia="Palatino Linotype" w:hAnsi="Palatino Linotype" w:cs="Palatino Linotype"/>
          <w:i/>
          <w:color w:val="000000"/>
        </w:rPr>
        <w:t>Xonacatlán</w:t>
      </w:r>
      <w:proofErr w:type="spellEnd"/>
      <w:r>
        <w:rPr>
          <w:rFonts w:ascii="Palatino Linotype" w:eastAsia="Palatino Linotype" w:hAnsi="Palatino Linotype" w:cs="Palatino Linotype"/>
          <w:i/>
          <w:color w:val="000000"/>
        </w:rPr>
        <w:t xml:space="preserve">, toda vez que hizo caso omiso a los plazos establecidos en la Ley de Transparencia y Acceso a la Información del Estado de México y Municipios, para el trámite de las solicitudes de Acceso a la Información” </w:t>
      </w:r>
    </w:p>
    <w:p w:rsidR="00C94E5A" w:rsidRDefault="002E0AE7">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b) Motivos de inconformidad.</w:t>
      </w:r>
    </w:p>
    <w:p w:rsidR="00C94E5A" w:rsidRDefault="002E0AE7">
      <w:pPr>
        <w:spacing w:after="240"/>
        <w:ind w:left="851"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“El sujeto obligado de </w:t>
      </w:r>
      <w:proofErr w:type="spellStart"/>
      <w:r>
        <w:rPr>
          <w:rFonts w:ascii="Palatino Linotype" w:eastAsia="Palatino Linotype" w:hAnsi="Palatino Linotype" w:cs="Palatino Linotype"/>
          <w:i/>
          <w:color w:val="000000"/>
        </w:rPr>
        <w:t>Xonacatlán</w:t>
      </w:r>
      <w:proofErr w:type="spellEnd"/>
      <w:r>
        <w:rPr>
          <w:rFonts w:ascii="Palatino Linotype" w:eastAsia="Palatino Linotype" w:hAnsi="Palatino Linotype" w:cs="Palatino Linotype"/>
          <w:i/>
          <w:color w:val="000000"/>
        </w:rPr>
        <w:t>, toda vez que hizo caso omiso a los plazos establecidos en la Ley de Transparencia y Acceso a la Información del Estado de México y Municipios, para el trámite de las solicitudes de Acceso a la Información.”</w:t>
      </w:r>
    </w:p>
    <w:p w:rsidR="00C94E5A" w:rsidRDefault="002E0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particular adjuntó el archivo </w:t>
      </w:r>
      <w:r>
        <w:rPr>
          <w:rFonts w:ascii="Palatino Linotype" w:eastAsia="Palatino Linotype" w:hAnsi="Palatino Linotype" w:cs="Palatino Linotype"/>
          <w:b/>
          <w:i/>
        </w:rPr>
        <w:t>Xonacatlán.docx</w:t>
      </w:r>
      <w:r>
        <w:rPr>
          <w:rFonts w:ascii="Palatino Linotype" w:eastAsia="Palatino Linotype" w:hAnsi="Palatino Linotype" w:cs="Palatino Linotype"/>
        </w:rPr>
        <w:t>, en el cual manifiesta que se venció el plazo del Sujeto Obligado para hacer una aclaración. Manifestando que lo que solicitó fue:</w:t>
      </w:r>
    </w:p>
    <w:p w:rsidR="00C94E5A" w:rsidRDefault="002E0AE7">
      <w:pPr>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C94E5A" w:rsidRDefault="002E0AE7">
      <w:pPr>
        <w:ind w:left="708"/>
        <w:jc w:val="both"/>
        <w:rPr>
          <w:rFonts w:ascii="Palatino Linotype" w:eastAsia="Palatino Linotype" w:hAnsi="Palatino Linotype" w:cs="Palatino Linotype"/>
          <w:i/>
          <w:color w:val="000000"/>
        </w:rPr>
      </w:pPr>
      <w:r>
        <w:rPr>
          <w:rFonts w:ascii="Palatino Linotype" w:eastAsia="Palatino Linotype" w:hAnsi="Palatino Linotype" w:cs="Palatino Linotype"/>
          <w:i/>
        </w:rPr>
        <w:t>“</w:t>
      </w:r>
      <w:r>
        <w:rPr>
          <w:rFonts w:ascii="Palatino Linotype" w:eastAsia="Palatino Linotype" w:hAnsi="Palatino Linotype" w:cs="Palatino Linotype"/>
          <w:i/>
          <w:color w:val="000000"/>
        </w:rPr>
        <w:t>Solicito los recibos de nómina del mes de enero 2022 del presidente municipal, sindico, regidores y de todos y cada uno de los titulares de área ya sean directores o coordinadores de la administración municipal 2022.”</w:t>
      </w:r>
    </w:p>
    <w:p w:rsidR="00C94E5A" w:rsidRDefault="00C94E5A">
      <w:pPr>
        <w:jc w:val="both"/>
        <w:rPr>
          <w:rFonts w:ascii="Palatino Linotype" w:eastAsia="Palatino Linotype" w:hAnsi="Palatino Linotype" w:cs="Palatino Linotype"/>
          <w:color w:val="000000"/>
        </w:rPr>
      </w:pPr>
    </w:p>
    <w:p w:rsidR="00C94E5A" w:rsidRDefault="002E0AE7">
      <w:p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Tal y como se muestra en las siguientes imágenes del archivo enviado por el recurrente. </w:t>
      </w:r>
      <w:r>
        <w:rPr>
          <w:noProof/>
          <w:lang w:val="es-MX" w:eastAsia="es-MX"/>
        </w:rPr>
        <mc:AlternateContent>
          <mc:Choice Requires="wpg">
            <w:drawing>
              <wp:anchor distT="0" distB="0" distL="114300" distR="114300" simplePos="0" relativeHeight="251658240" behindDoc="0" locked="0" layoutInCell="1" hidden="0" allowOverlap="1">
                <wp:simplePos x="0" y="0"/>
                <wp:positionH relativeFrom="column">
                  <wp:posOffset>-330199</wp:posOffset>
                </wp:positionH>
                <wp:positionV relativeFrom="paragraph">
                  <wp:posOffset>660400</wp:posOffset>
                </wp:positionV>
                <wp:extent cx="6267450" cy="3695700"/>
                <wp:effectExtent l="0" t="0" r="0" b="0"/>
                <wp:wrapNone/>
                <wp:docPr id="36" name="Conector recto de flecha 36"/>
                <wp:cNvGraphicFramePr/>
                <a:graphic xmlns:a="http://schemas.openxmlformats.org/drawingml/2006/main">
                  <a:graphicData uri="http://schemas.microsoft.com/office/word/2010/wordprocessingShape">
                    <wps:wsp>
                      <wps:cNvCnPr/>
                      <wps:spPr>
                        <a:xfrm>
                          <a:off x="2217038" y="1936913"/>
                          <a:ext cx="6257925" cy="3686175"/>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-330199</wp:posOffset>
                </wp:positionH>
                <wp:positionV relativeFrom="paragraph">
                  <wp:posOffset>660400</wp:posOffset>
                </wp:positionV>
                <wp:extent cx="6267450" cy="3695700"/>
                <wp:effectExtent b="0" l="0" r="0" t="0"/>
                <wp:wrapNone/>
                <wp:docPr id="3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267450" cy="3695700"/>
                        </a:xfrm>
                        <a:prstGeom prst="rect"/>
                        <a:ln/>
                      </pic:spPr>
                    </pic:pic>
                  </a:graphicData>
                </a:graphic>
              </wp:anchor>
            </w:drawing>
          </mc:Fallback>
        </mc:AlternateContent>
      </w:r>
    </w:p>
    <w:p w:rsidR="00C94E5A" w:rsidRDefault="002E0AE7">
      <w:pPr>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extent cx="5867492" cy="6905733"/>
            <wp:effectExtent l="0" t="0" r="0" b="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867492" cy="6905733"/>
                    </a:xfrm>
                    <a:prstGeom prst="rect">
                      <a:avLst/>
                    </a:prstGeom>
                    <a:ln/>
                  </pic:spPr>
                </pic:pic>
              </a:graphicData>
            </a:graphic>
          </wp:inline>
        </w:drawing>
      </w:r>
    </w:p>
    <w:p w:rsidR="00C94E5A" w:rsidRDefault="00C94E5A">
      <w:pPr>
        <w:spacing w:line="360" w:lineRule="auto"/>
        <w:jc w:val="both"/>
        <w:rPr>
          <w:rFonts w:ascii="Palatino Linotype" w:eastAsia="Palatino Linotype" w:hAnsi="Palatino Linotype" w:cs="Palatino Linotype"/>
          <w:i/>
        </w:rPr>
      </w:pPr>
    </w:p>
    <w:p w:rsidR="00C94E5A" w:rsidRDefault="002E0AE7">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noProof/>
          <w:lang w:val="es-MX" w:eastAsia="es-MX"/>
        </w:rPr>
        <w:lastRenderedPageBreak/>
        <w:drawing>
          <wp:inline distT="0" distB="0" distL="0" distR="0">
            <wp:extent cx="5612130" cy="2824480"/>
            <wp:effectExtent l="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612130" cy="2824480"/>
                    </a:xfrm>
                    <a:prstGeom prst="rect">
                      <a:avLst/>
                    </a:prstGeom>
                    <a:ln/>
                  </pic:spPr>
                </pic:pic>
              </a:graphicData>
            </a:graphic>
          </wp:inline>
        </w:drawing>
      </w:r>
    </w:p>
    <w:p w:rsidR="00C94E5A" w:rsidRDefault="002E0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w:t>
      </w:r>
      <w:r>
        <w:rPr>
          <w:rFonts w:ascii="Palatino Linotype" w:eastAsia="Palatino Linotype" w:hAnsi="Palatino Linotype" w:cs="Palatino Linotype"/>
          <w:b/>
          <w:color w:val="222222"/>
        </w:rPr>
        <w:t>Turno</w:t>
      </w:r>
      <w:r>
        <w:rPr>
          <w:rFonts w:ascii="Palatino Linotype" w:eastAsia="Palatino Linotype" w:hAnsi="Palatino Linotype" w:cs="Palatino Linotype"/>
          <w:b/>
          <w:color w:val="222222"/>
          <w:sz w:val="28"/>
          <w:szCs w:val="28"/>
        </w:rPr>
        <w:t>. </w:t>
      </w:r>
      <w:r>
        <w:rPr>
          <w:rFonts w:ascii="Palatino Linotype" w:eastAsia="Palatino Linotype" w:hAnsi="Palatino Linotype" w:cs="Palatino Linotype"/>
          <w:color w:val="222222"/>
        </w:rPr>
        <w:t>En fecha veintidós de enero del año dos mil veintidós</w:t>
      </w:r>
      <w:r>
        <w:rPr>
          <w:rFonts w:ascii="Palatino Linotype" w:eastAsia="Palatino Linotype" w:hAnsi="Palatino Linotype" w:cs="Palatino Linotype"/>
          <w:color w:val="222222"/>
          <w:sz w:val="28"/>
          <w:szCs w:val="28"/>
        </w:rPr>
        <w:t>, d</w:t>
      </w:r>
      <w:r>
        <w:rPr>
          <w:rFonts w:ascii="Palatino Linotype" w:eastAsia="Palatino Linotype" w:hAnsi="Palatino Linotype" w:cs="Palatino Linotype"/>
          <w:color w:val="222222"/>
        </w:rPr>
        <w:t>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w:t>
      </w:r>
      <w:r>
        <w:rPr>
          <w:rFonts w:ascii="Palatino Linotype" w:eastAsia="Palatino Linotype" w:hAnsi="Palatino Linotype" w:cs="Palatino Linotype"/>
          <w:b/>
          <w:color w:val="222222"/>
        </w:rPr>
        <w:t xml:space="preserve"> Comisionada</w:t>
      </w:r>
      <w:r>
        <w:rPr>
          <w:rFonts w:ascii="Palatino Linotype" w:eastAsia="Palatino Linotype" w:hAnsi="Palatino Linotype" w:cs="Palatino Linotype"/>
          <w:color w:val="222222"/>
        </w:rPr>
        <w:t> </w:t>
      </w:r>
      <w:r>
        <w:rPr>
          <w:rFonts w:ascii="Palatino Linotype" w:eastAsia="Palatino Linotype" w:hAnsi="Palatino Linotype" w:cs="Palatino Linotype"/>
          <w:b/>
          <w:color w:val="222222"/>
        </w:rPr>
        <w:t>Guadalupe Ramírez Peña</w:t>
      </w:r>
      <w:r>
        <w:rPr>
          <w:rFonts w:ascii="Palatino Linotype" w:eastAsia="Palatino Linotype" w:hAnsi="Palatino Linotype" w:cs="Palatino Linotype"/>
          <w:color w:val="222222"/>
        </w:rPr>
        <w:t> para su análisis, estudio, elaboración del proyecto y presentación ante el Pleno de este Instituto.</w:t>
      </w:r>
    </w:p>
    <w:p w:rsidR="00C94E5A" w:rsidRDefault="00C94E5A">
      <w:pPr>
        <w:jc w:val="both"/>
        <w:rPr>
          <w:rFonts w:ascii="Palatino Linotype" w:eastAsia="Palatino Linotype" w:hAnsi="Palatino Linotype" w:cs="Palatino Linotype"/>
          <w:b/>
        </w:rPr>
      </w:pPr>
    </w:p>
    <w:p w:rsidR="00C94E5A" w:rsidRDefault="002E0AE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Admisión del recurso de revisión: </w:t>
      </w:r>
      <w:r>
        <w:rPr>
          <w:rFonts w:ascii="Palatino Linotype" w:eastAsia="Palatino Linotype" w:hAnsi="Palatino Linotype" w:cs="Palatino Linotype"/>
        </w:rPr>
        <w:t xml:space="preserve">En fecha veinticinco de febrero del dos mil veintidós,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C94E5A" w:rsidRDefault="002E0AE7">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7. Manifestaciones</w:t>
      </w:r>
      <w:r>
        <w:rPr>
          <w:rFonts w:ascii="Palatino Linotype" w:eastAsia="Palatino Linotype" w:hAnsi="Palatino Linotype" w:cs="Palatino Linotype"/>
          <w:color w:val="000000"/>
        </w:rPr>
        <w:t>: De las constancias que integran el expediente en que se actúa se advierte que ambas partes fueron omisas en ofrecer pruebas y alegatos.</w:t>
      </w:r>
    </w:p>
    <w:p w:rsidR="00C94E5A" w:rsidRDefault="002E0AE7">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extent cx="5612130" cy="1895475"/>
            <wp:effectExtent l="0" t="0" r="0" b="0"/>
            <wp:docPr id="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612130" cy="1895475"/>
                    </a:xfrm>
                    <a:prstGeom prst="rect">
                      <a:avLst/>
                    </a:prstGeom>
                    <a:ln/>
                  </pic:spPr>
                </pic:pic>
              </a:graphicData>
            </a:graphic>
          </wp:inline>
        </w:drawing>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En fecha siete de abril de dos mil veintidós, con fundamento en lo establecido en los artículos 185, fracción VI de la 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C94E5A" w:rsidRDefault="002E0AE7">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Ampliación del plazo para emitir resolución</w:t>
      </w:r>
      <w:r>
        <w:rPr>
          <w:rFonts w:ascii="Palatino Linotype" w:eastAsia="Palatino Linotype" w:hAnsi="Palatino Linotype" w:cs="Palatino Linotype"/>
        </w:rPr>
        <w:t>. En fecha veintiuno de abril del dos mil veintidós,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C94E5A" w:rsidRDefault="002E0AE7">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w:t>
      </w:r>
      <w:r>
        <w:rPr>
          <w:rFonts w:ascii="Palatino Linotype" w:eastAsia="Palatino Linotype" w:hAnsi="Palatino Linotype" w:cs="Palatino Linotype"/>
          <w:b/>
          <w:color w:val="000000"/>
        </w:rPr>
        <w:tab/>
        <w:t>C O N S I D E R A N D O:</w:t>
      </w:r>
    </w:p>
    <w:p w:rsidR="00C94E5A" w:rsidRDefault="002E0AE7">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highlight w:val="white"/>
        </w:rPr>
        <w:lastRenderedPageBreak/>
        <w:t xml:space="preserve">la parte recurrente,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De conformidad con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 a la solicitud planteada por el solicitante en fecha dieciocho de febrero del año dos mil veintidós y el recurrente presentó su recurso de revisión el veintidós de febrero del dos mil veintidós, esto es al segundo día hábil siguiente de aquel en que tuvo conocimiento de la respuesta; evidenciándose que la interposición del recurso se encuentra dentro de los márgenes temporales previstos en el citado precepto legal.</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señaló nombre o seudónimo con el cual desee ser identificado, como se advierte en el detalle de seguimiento del SAIMEX, no obstante lo anterior, no proporcionar el nombre completo no es motivo </w:t>
      </w:r>
      <w:r>
        <w:rPr>
          <w:rFonts w:ascii="Palatino Linotype" w:eastAsia="Palatino Linotype" w:hAnsi="Palatino Linotype" w:cs="Palatino Linotype"/>
        </w:rPr>
        <w:lastRenderedPageBreak/>
        <w:t>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94E5A" w:rsidRDefault="002E0AE7">
      <w:pPr>
        <w:spacing w:before="240" w:after="240" w:line="276" w:lineRule="auto"/>
        <w:ind w:left="566" w:right="6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C94E5A" w:rsidRDefault="002E0AE7">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 revisión, según lo aducido por el recurrente en su acto impugnado como en sus motivos de inconformidad, de acuerdo al artículo 179 fracción I de la Ley de Transparencia y Acceso a la Información Pública del Estado de México y Municipios; que a la letra dice:</w:t>
      </w:r>
    </w:p>
    <w:p w:rsidR="00C94E5A" w:rsidRDefault="00C94E5A">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C94E5A" w:rsidRDefault="002E0AE7">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C94E5A" w:rsidRDefault="002E0AE7">
      <w:pPr>
        <w:pBdr>
          <w:top w:val="nil"/>
          <w:left w:val="nil"/>
          <w:bottom w:val="nil"/>
          <w:right w:val="nil"/>
          <w:between w:val="nil"/>
        </w:pBdr>
        <w:ind w:left="992" w:right="1043"/>
        <w:jc w:val="both"/>
        <w:rPr>
          <w:rFonts w:ascii="Palatino Linotype" w:eastAsia="Palatino Linotype" w:hAnsi="Palatino Linotype" w:cs="Palatino Linotype"/>
          <w:i/>
          <w:color w:val="000000"/>
          <w:sz w:val="22"/>
          <w:szCs w:val="22"/>
        </w:rPr>
      </w:pPr>
      <w:r>
        <w:rPr>
          <w:color w:val="000000"/>
        </w:rPr>
        <w:t>…</w:t>
      </w:r>
    </w:p>
    <w:p w:rsidR="00C94E5A" w:rsidRDefault="002E0AE7">
      <w:pPr>
        <w:numPr>
          <w:ilvl w:val="0"/>
          <w:numId w:val="6"/>
        </w:numPr>
        <w:pBdr>
          <w:top w:val="nil"/>
          <w:left w:val="nil"/>
          <w:bottom w:val="nil"/>
          <w:right w:val="nil"/>
          <w:between w:val="nil"/>
        </w:pBdr>
        <w:ind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negativa a la información solicitada.</w:t>
      </w:r>
    </w:p>
    <w:p w:rsidR="00C94E5A" w:rsidRDefault="00C94E5A">
      <w:pPr>
        <w:pBdr>
          <w:top w:val="nil"/>
          <w:left w:val="nil"/>
          <w:bottom w:val="nil"/>
          <w:right w:val="nil"/>
          <w:between w:val="nil"/>
        </w:pBdr>
        <w:spacing w:after="240" w:line="360" w:lineRule="auto"/>
        <w:ind w:right="-91"/>
        <w:jc w:val="both"/>
        <w:rPr>
          <w:rFonts w:ascii="Palatino Linotype" w:eastAsia="Palatino Linotype" w:hAnsi="Palatino Linotype" w:cs="Palatino Linotype"/>
          <w:b/>
          <w:i/>
          <w:color w:val="000000"/>
          <w:sz w:val="22"/>
          <w:szCs w:val="22"/>
        </w:rPr>
      </w:pPr>
    </w:p>
    <w:p w:rsidR="00C94E5A" w:rsidRDefault="002E0AE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Tercero. Materia de Revisión</w:t>
      </w:r>
      <w:r>
        <w:rPr>
          <w:rFonts w:ascii="Palatino Linotype" w:eastAsia="Palatino Linotype" w:hAnsi="Palatino Linotype" w:cs="Palatino Linotype"/>
        </w:rPr>
        <w:t xml:space="preserve">: 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C94E5A" w:rsidRDefault="002E0AE7">
      <w:pPr>
        <w:pBdr>
          <w:top w:val="nil"/>
          <w:left w:val="nil"/>
          <w:bottom w:val="nil"/>
          <w:right w:val="nil"/>
          <w:between w:val="nil"/>
        </w:pBdr>
        <w:spacing w:before="240" w:after="240" w:line="360" w:lineRule="auto"/>
        <w:ind w:right="-234"/>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C94E5A" w:rsidRDefault="002E0AE7">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C94E5A" w:rsidRDefault="002E0AE7">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C94E5A" w:rsidRDefault="002E0AE7">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Todas las autoridades, en el ámbito de sus competencias, tienen la obligación de promover, respetar, proteger y garantizar los derechos </w:t>
      </w:r>
      <w:r>
        <w:rPr>
          <w:rFonts w:ascii="Palatino Linotype" w:eastAsia="Palatino Linotype" w:hAnsi="Palatino Linotype" w:cs="Palatino Linotype"/>
          <w:b/>
          <w:i/>
          <w:sz w:val="22"/>
          <w:szCs w:val="22"/>
          <w:u w:val="single"/>
        </w:rPr>
        <w:lastRenderedPageBreak/>
        <w:t>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C94E5A" w:rsidRDefault="002E0AE7">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94E5A" w:rsidRDefault="002E0AE7">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C94E5A" w:rsidRDefault="002E0AE7">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94E5A" w:rsidRDefault="002E0AE7">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C94E5A" w:rsidRDefault="002E0AE7">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94E5A" w:rsidRDefault="002E0AE7">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C94E5A" w:rsidRDefault="002E0AE7">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C94E5A" w:rsidRDefault="002E0AE7">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C94E5A" w:rsidRDefault="002E0AE7">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94E5A" w:rsidRDefault="002E0AE7">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C94E5A" w:rsidRDefault="002E0AE7">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C94E5A" w:rsidRDefault="002E0AE7">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94E5A" w:rsidRDefault="002E0AE7">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w:t>
      </w:r>
      <w:r>
        <w:rPr>
          <w:rFonts w:ascii="Palatino Linotype" w:eastAsia="Palatino Linotype" w:hAnsi="Palatino Linotype" w:cs="Palatino Linotype"/>
          <w:b/>
          <w:i/>
          <w:sz w:val="22"/>
          <w:szCs w:val="22"/>
        </w:rPr>
        <w:lastRenderedPageBreak/>
        <w:t>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94E5A" w:rsidRDefault="002E0AE7">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C94E5A" w:rsidRDefault="002E0AE7">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C94E5A" w:rsidRDefault="002E0AE7">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C94E5A" w:rsidRDefault="002E0AE7">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rPr>
        <w:t>ad hoc</w:t>
      </w:r>
      <w:r>
        <w:rPr>
          <w:rFonts w:ascii="Palatino Linotype" w:eastAsia="Palatino Linotype" w:hAnsi="Palatino Linotype" w:cs="Palatino Linotype"/>
        </w:rPr>
        <w:t xml:space="preserve">, para satisfacer el derecho de acceso a la </w:t>
      </w:r>
      <w:r>
        <w:rPr>
          <w:rFonts w:ascii="Palatino Linotype" w:eastAsia="Palatino Linotype" w:hAnsi="Palatino Linotype" w:cs="Palatino Linotype"/>
        </w:rPr>
        <w:lastRenderedPageBreak/>
        <w:t>información pública, como así lo establece</w:t>
      </w:r>
      <w:r>
        <w:rPr>
          <w:rFonts w:ascii="Palatino Linotype" w:eastAsia="Palatino Linotype" w:hAnsi="Palatino Linotype" w:cs="Palatino Linotype"/>
          <w:strike/>
          <w:color w:val="FF0000"/>
        </w:rPr>
        <w:t xml:space="preserve"> </w:t>
      </w:r>
      <w:r>
        <w:rPr>
          <w:rFonts w:ascii="Palatino Linotype" w:eastAsia="Palatino Linotype" w:hAnsi="Palatino Linotype" w:cs="Palatino Linotype"/>
        </w:rPr>
        <w:t>el criterio 03/17 emitido por el Instituto Nacional de Transparencia, Acceso a la Información Pública y Protección de Datos Perso</w:t>
      </w:r>
      <w:r>
        <w:rPr>
          <w:rFonts w:ascii="Palatino Linotype" w:eastAsia="Palatino Linotype" w:hAnsi="Palatino Linotype" w:cs="Palatino Linotype"/>
          <w:sz w:val="22"/>
          <w:szCs w:val="22"/>
        </w:rPr>
        <w:t>nales, los cuales señalan lo siguiente:</w:t>
      </w:r>
    </w:p>
    <w:p w:rsidR="00C94E5A" w:rsidRDefault="002E0AE7">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rsidR="00C94E5A" w:rsidRDefault="002E0AE7">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rsidR="00C94E5A" w:rsidRDefault="002E0AE7">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C94E5A" w:rsidRDefault="002E0AE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Pr>
          <w:rFonts w:ascii="Palatino Linotype" w:eastAsia="Palatino Linotype" w:hAnsi="Palatino Linotype" w:cs="Palatino Linotype"/>
        </w:rPr>
        <w:lastRenderedPageBreak/>
        <w:t>el servidor público habilitado de cada Sujeto Obligado; como así se establece en la Ley de Transparencia y Acceso a la Información Pública del Estado de México y Municipios.</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C94E5A" w:rsidRDefault="002E0AE7">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C94E5A" w:rsidRDefault="002E0AE7">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94E5A" w:rsidRDefault="002E0AE7">
      <w:pPr>
        <w:spacing w:before="240" w:after="240"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w:t>
      </w:r>
      <w:r>
        <w:rPr>
          <w:rFonts w:ascii="Palatino Linotype" w:eastAsia="Palatino Linotype" w:hAnsi="Palatino Linotype" w:cs="Palatino Linotype"/>
          <w:b/>
          <w:i/>
          <w:sz w:val="22"/>
          <w:szCs w:val="22"/>
        </w:rPr>
        <w:t>actas,</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(Sic)</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rsidR="00C94E5A" w:rsidRDefault="002E0AE7">
      <w:pPr>
        <w:spacing w:before="240" w:after="240" w:line="276" w:lineRule="auto"/>
        <w:ind w:left="567"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C94E5A" w:rsidRDefault="002E0AE7">
      <w:pPr>
        <w:spacing w:before="240" w:after="240" w:line="276" w:lineRule="auto"/>
        <w:ind w:left="567"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94E5A" w:rsidRDefault="002E0AE7">
      <w:pPr>
        <w:spacing w:before="240" w:after="240" w:line="276" w:lineRule="auto"/>
        <w:ind w:left="567"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C94E5A" w:rsidRDefault="002E0AE7">
      <w:pPr>
        <w:numPr>
          <w:ilvl w:val="0"/>
          <w:numId w:val="1"/>
        </w:numPr>
        <w:spacing w:before="240" w:after="240" w:line="276" w:lineRule="auto"/>
        <w:ind w:left="567"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Que se trate de información registrada en cualquier soporte documental, que en ejercicio de las atribuciones conferidas, sea generada por los Sujetos Obligados;</w:t>
      </w:r>
    </w:p>
    <w:p w:rsidR="00C94E5A" w:rsidRDefault="002E0AE7">
      <w:pPr>
        <w:numPr>
          <w:ilvl w:val="0"/>
          <w:numId w:val="1"/>
        </w:numPr>
        <w:spacing w:before="240" w:after="240" w:line="276" w:lineRule="auto"/>
        <w:ind w:left="567"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C94E5A" w:rsidRDefault="002E0AE7">
      <w:pPr>
        <w:spacing w:before="240" w:after="240" w:line="276" w:lineRule="auto"/>
        <w:ind w:left="567" w:right="899"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w:t>
      </w:r>
      <w:r>
        <w:rPr>
          <w:rFonts w:ascii="Palatino Linotype" w:eastAsia="Palatino Linotype" w:hAnsi="Palatino Linotype" w:cs="Palatino Linotype"/>
        </w:rPr>
        <w:lastRenderedPageBreak/>
        <w:t>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la solicitud de información motivo del Recurso de Revisión que ahora se resuelve, se advierte que la parte solicitante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lo siguiente: </w:t>
      </w:r>
    </w:p>
    <w:p w:rsidR="00C94E5A" w:rsidRDefault="002E0AE7">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“Solicito los recibos de nomas del mes de enero 2022 del presidente municipal, sindico, regidores y de todos h cada uno de los titulares de </w:t>
      </w:r>
      <w:proofErr w:type="spellStart"/>
      <w:r>
        <w:rPr>
          <w:rFonts w:ascii="Palatino Linotype" w:eastAsia="Palatino Linotype" w:hAnsi="Palatino Linotype" w:cs="Palatino Linotype"/>
          <w:i/>
          <w:color w:val="000000"/>
          <w:sz w:val="22"/>
          <w:szCs w:val="22"/>
        </w:rPr>
        <w:t>area</w:t>
      </w:r>
      <w:proofErr w:type="spellEnd"/>
      <w:r>
        <w:rPr>
          <w:rFonts w:ascii="Palatino Linotype" w:eastAsia="Palatino Linotype" w:hAnsi="Palatino Linotype" w:cs="Palatino Linotype"/>
          <w:i/>
          <w:color w:val="000000"/>
          <w:sz w:val="22"/>
          <w:szCs w:val="22"/>
        </w:rPr>
        <w:t xml:space="preserve"> ya sean </w:t>
      </w:r>
      <w:proofErr w:type="spellStart"/>
      <w:r>
        <w:rPr>
          <w:rFonts w:ascii="Palatino Linotype" w:eastAsia="Palatino Linotype" w:hAnsi="Palatino Linotype" w:cs="Palatino Linotype"/>
          <w:i/>
          <w:color w:val="000000"/>
          <w:sz w:val="22"/>
          <w:szCs w:val="22"/>
        </w:rPr>
        <w:t>sirectores</w:t>
      </w:r>
      <w:proofErr w:type="spellEnd"/>
      <w:r>
        <w:rPr>
          <w:rFonts w:ascii="Palatino Linotype" w:eastAsia="Palatino Linotype" w:hAnsi="Palatino Linotype" w:cs="Palatino Linotype"/>
          <w:i/>
          <w:color w:val="000000"/>
          <w:sz w:val="22"/>
          <w:szCs w:val="22"/>
        </w:rPr>
        <w:t xml:space="preserve"> o coordinadores” (Sic) </w:t>
      </w:r>
    </w:p>
    <w:p w:rsidR="00C94E5A" w:rsidRDefault="002E0AE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Por su parte </w:t>
      </w:r>
      <w:r>
        <w:rPr>
          <w:rFonts w:ascii="Palatino Linotype" w:eastAsia="Palatino Linotype" w:hAnsi="Palatino Linotype" w:cs="Palatino Linotype"/>
          <w:b/>
        </w:rPr>
        <w:t>EL SUJETO OBLIGADO</w:t>
      </w:r>
      <w:r>
        <w:rPr>
          <w:rFonts w:ascii="Palatino Linotype" w:eastAsia="Palatino Linotype" w:hAnsi="Palatino Linotype" w:cs="Palatino Linotype"/>
          <w:color w:val="000000"/>
        </w:rPr>
        <w:t xml:space="preserve">, emitió su respuesta a través del Tesorero Municipal, en la que señaló: </w:t>
      </w:r>
    </w:p>
    <w:p w:rsidR="00C94E5A" w:rsidRDefault="002E0AE7">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3740342" cy="4597636"/>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740342" cy="4597636"/>
                    </a:xfrm>
                    <a:prstGeom prst="rect">
                      <a:avLst/>
                    </a:prstGeom>
                    <a:ln/>
                  </pic:spPr>
                </pic:pic>
              </a:graphicData>
            </a:graphic>
          </wp:inline>
        </w:drawing>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derivado de la respuesta emitida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se inconformó en lo medular porque </w:t>
      </w:r>
      <w:r>
        <w:rPr>
          <w:rFonts w:ascii="Palatino Linotype" w:eastAsia="Palatino Linotype" w:hAnsi="Palatino Linotype" w:cs="Palatino Linotype"/>
          <w:color w:val="000000"/>
        </w:rPr>
        <w:t>se le negó la información</w:t>
      </w:r>
      <w:r>
        <w:rPr>
          <w:rFonts w:ascii="Palatino Linotype" w:eastAsia="Palatino Linotype" w:hAnsi="Palatino Linotype" w:cs="Palatino Linotype"/>
        </w:rPr>
        <w:t>, asimismo, mediante un archivo adjunto enviado en la inconformidad, llamado Xonacatlán.docx, el ahora recurrente manifiesta que se venció el plazo del Sujeto Obligado para hacer una aclaración. Señalando que lo que solicitó fue:</w:t>
      </w:r>
    </w:p>
    <w:p w:rsidR="00C94E5A" w:rsidRDefault="002E0AE7">
      <w:pPr>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C94E5A" w:rsidRDefault="002E0AE7">
      <w:pPr>
        <w:ind w:left="708"/>
        <w:jc w:val="both"/>
        <w:rPr>
          <w:rFonts w:ascii="Palatino Linotype" w:eastAsia="Palatino Linotype" w:hAnsi="Palatino Linotype" w:cs="Palatino Linotype"/>
          <w:i/>
          <w:color w:val="000000"/>
        </w:rPr>
      </w:pPr>
      <w:r>
        <w:rPr>
          <w:rFonts w:ascii="Palatino Linotype" w:eastAsia="Palatino Linotype" w:hAnsi="Palatino Linotype" w:cs="Palatino Linotype"/>
          <w:i/>
        </w:rPr>
        <w:t>“</w:t>
      </w:r>
      <w:r>
        <w:rPr>
          <w:rFonts w:ascii="Palatino Linotype" w:eastAsia="Palatino Linotype" w:hAnsi="Palatino Linotype" w:cs="Palatino Linotype"/>
          <w:i/>
          <w:color w:val="000000"/>
        </w:rPr>
        <w:t>Solicito los recibos de nómina del mes de enero 2022 del presidente municipal, sindico, regidores y de todos y cada uno de los titulares de área ya sean directores o coordinadores de la administración municipal 2022.”</w:t>
      </w:r>
    </w:p>
    <w:p w:rsidR="00C94E5A" w:rsidRDefault="00C94E5A">
      <w:pPr>
        <w:jc w:val="both"/>
        <w:rPr>
          <w:rFonts w:ascii="Palatino Linotype" w:eastAsia="Palatino Linotype" w:hAnsi="Palatino Linotype" w:cs="Palatino Linotype"/>
          <w:color w:val="000000"/>
        </w:rPr>
      </w:pPr>
    </w:p>
    <w:p w:rsidR="00C94E5A" w:rsidRDefault="002E0AE7">
      <w:pPr>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Tal y como se muestra en las siguientes imágenes del archivo enviado por el recurrente. </w:t>
      </w:r>
    </w:p>
    <w:p w:rsidR="00C94E5A" w:rsidRDefault="002E0AE7">
      <w:pPr>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extent cx="5867492" cy="6905733"/>
            <wp:effectExtent l="0" t="0" r="0" b="0"/>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867492" cy="6905733"/>
                    </a:xfrm>
                    <a:prstGeom prst="rect">
                      <a:avLst/>
                    </a:prstGeom>
                    <a:ln/>
                  </pic:spPr>
                </pic:pic>
              </a:graphicData>
            </a:graphic>
          </wp:inline>
        </w:drawing>
      </w:r>
    </w:p>
    <w:p w:rsidR="00C94E5A" w:rsidRDefault="00C94E5A">
      <w:pPr>
        <w:spacing w:line="360" w:lineRule="auto"/>
        <w:jc w:val="both"/>
        <w:rPr>
          <w:rFonts w:ascii="Palatino Linotype" w:eastAsia="Palatino Linotype" w:hAnsi="Palatino Linotype" w:cs="Palatino Linotype"/>
          <w:i/>
        </w:rPr>
      </w:pPr>
    </w:p>
    <w:p w:rsidR="00C94E5A" w:rsidRDefault="002E0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w:drawing>
          <wp:inline distT="0" distB="0" distL="0" distR="0">
            <wp:extent cx="5612130" cy="2824480"/>
            <wp:effectExtent l="0" t="0" r="0" b="0"/>
            <wp:docPr id="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612130" cy="2824480"/>
                    </a:xfrm>
                    <a:prstGeom prst="rect">
                      <a:avLst/>
                    </a:prstGeom>
                    <a:ln/>
                  </pic:spPr>
                </pic:pic>
              </a:graphicData>
            </a:graphic>
          </wp:inline>
        </w:drawing>
      </w:r>
    </w:p>
    <w:p w:rsidR="00C94E5A" w:rsidRDefault="002E0AE7">
      <w:pPr>
        <w:tabs>
          <w:tab w:val="left" w:pos="8647"/>
        </w:tabs>
        <w:spacing w:before="240" w:after="240" w:line="360" w:lineRule="auto"/>
        <w:ind w:right="49"/>
        <w:jc w:val="both"/>
      </w:pPr>
      <w:r>
        <w:rPr>
          <w:rFonts w:ascii="Palatino Linotype" w:eastAsia="Palatino Linotype" w:hAnsi="Palatino Linotype" w:cs="Palatino Linotype"/>
          <w:color w:val="000000"/>
        </w:rPr>
        <w:t xml:space="preserve">Cabe señalar que durante la etapa de manifestaciones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fue omiso de rendir alegatos, así mismo el</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rPr>
        <w:t>SUJETO</w:t>
      </w:r>
      <w:r>
        <w:rPr>
          <w:rFonts w:ascii="Palatino Linotype" w:eastAsia="Palatino Linotype" w:hAnsi="Palatino Linotype" w:cs="Palatino Linotype"/>
          <w:b/>
          <w:color w:val="000000"/>
        </w:rPr>
        <w:t xml:space="preserve">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resultó</w:t>
      </w:r>
      <w:r>
        <w:rPr>
          <w:rFonts w:ascii="Palatino Linotype" w:eastAsia="Palatino Linotype" w:hAnsi="Palatino Linotype" w:cs="Palatino Linotype"/>
          <w:color w:val="000000"/>
        </w:rPr>
        <w:t xml:space="preserve"> omiso de remitir su informe justificado. </w:t>
      </w:r>
    </w:p>
    <w:p w:rsidR="00C94E5A" w:rsidRDefault="002E0AE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atención al pronunciamiento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en respuesta a la solicitud de información, resu</w:t>
      </w:r>
      <w:r>
        <w:rPr>
          <w:rFonts w:ascii="Palatino Linotype" w:eastAsia="Palatino Linotype" w:hAnsi="Palatino Linotype" w:cs="Palatino Linotype"/>
        </w:rPr>
        <w:t xml:space="preserve">lta indispensable precisar </w:t>
      </w:r>
      <w:r>
        <w:rPr>
          <w:rFonts w:ascii="Palatino Linotype" w:eastAsia="Palatino Linotype" w:hAnsi="Palatino Linotype" w:cs="Palatino Linotype"/>
          <w:color w:val="000000"/>
        </w:rPr>
        <w:t>que, en efecto, tal como lo refiere el recurre</w:t>
      </w:r>
      <w:r>
        <w:rPr>
          <w:rFonts w:ascii="Palatino Linotype" w:eastAsia="Palatino Linotype" w:hAnsi="Palatino Linotype" w:cs="Palatino Linotype"/>
        </w:rPr>
        <w:t xml:space="preserve">nte, </w:t>
      </w:r>
      <w:r>
        <w:rPr>
          <w:rFonts w:ascii="Palatino Linotype" w:eastAsia="Palatino Linotype" w:hAnsi="Palatino Linotype" w:cs="Palatino Linotype"/>
          <w:color w:val="000000"/>
        </w:rPr>
        <w:t>el artículo 159 de  la Ley de la Materia confiere a los Sujetos Obligados la potestad de que, por una sola vez dentro de los cinco días posteriores a la recepción de la solicitud, requieran a los solicitantes para que proporcionen datos adicionales que les permitan localizar la información a la que desean acceder, sin embargo, para aplicar dicha facultad, debe actualizarse el</w:t>
      </w:r>
      <w:r>
        <w:t xml:space="preserve"> </w:t>
      </w:r>
      <w:r>
        <w:rPr>
          <w:rFonts w:ascii="Palatino Linotype" w:eastAsia="Palatino Linotype" w:hAnsi="Palatino Linotype" w:cs="Palatino Linotype"/>
          <w:color w:val="000000"/>
        </w:rPr>
        <w:t xml:space="preserve">supuesto jurídico que consiste en que los términos de la solicitud sean vagos, que los datos proporcionados sean insuficientes o incompletos, impidiendo a los Sujetos Obligados tener certeza de qué información deben ubicar y entregar, situación que en el presente caso no se actualizó, toda vez que la solicitud presentada por el particular contaba con </w:t>
      </w:r>
      <w:r>
        <w:rPr>
          <w:rFonts w:ascii="Palatino Linotype" w:eastAsia="Palatino Linotype" w:hAnsi="Palatino Linotype" w:cs="Palatino Linotype"/>
          <w:color w:val="000000"/>
        </w:rPr>
        <w:lastRenderedPageBreak/>
        <w:t xml:space="preserve">elementos suficientes para poder ser atendida, aunado a que el requerimiento de aclaración se presentó como respuesta a la solicitud de información, dejando sin oportunidad al recurrente de desahogar dicho requerimiento. </w:t>
      </w:r>
    </w:p>
    <w:p w:rsidR="00C94E5A" w:rsidRDefault="002E0AE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tenor, no debe perderse de vista que el derecho humano de acceso a la información, como la prerrogativa de las personas para buscar, difundir, investigar, recabar, recibir, y solicitar información pública, sin necesidad de acreditar personalidad ni interés jurídico, debe ser garantizado por todos los entes públicos, situación que no fue observada por el Sujeto Obligado en el caso que nos ocupa, pues la aclaración pretendida no era procedente, toda vez que si bien se advierten errores ortográficos, dichos errores no se prestan a interpretaciones confusas. </w:t>
      </w:r>
    </w:p>
    <w:p w:rsidR="00C94E5A" w:rsidRDefault="002E0AE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Bajo tales consideraciones, con la finalidad de garantizar plenamente el derecho a la información, se insta al Sujeto Obligado para que en próximas ocasiones se apegue puntualmente a los principios que rigen el procedimiento de acceso a la información.</w:t>
      </w:r>
    </w:p>
    <w:p w:rsidR="00C94E5A" w:rsidRDefault="002E0AE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Precisado lo anterior y continuando con el análisis del presente asunto</w:t>
      </w:r>
      <w:r>
        <w:rPr>
          <w:rFonts w:ascii="Palatino Linotype" w:eastAsia="Palatino Linotype" w:hAnsi="Palatino Linotype" w:cs="Palatino Linotype"/>
          <w:color w:val="000000"/>
        </w:rPr>
        <w:t xml:space="preserve">, se procede al análisis del ámbito competencial del Sujeto Obligado para generar, poseer o administrar la información solicitada. </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es necesario traer a colación, el artículo 147 de la Constitución Política del Estado Libre y Soberano de México, que establece que los trabajadores al servicio del Estado, recibirán una remuneración adecuada e irrenunciable por el desempeño de su empleo, cargo o comisión, que será determinada en el presupuesto de egresos que corresponda.</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se advierte que si bien es cierto en nuestra legislación no existe como tal una definición de nómina;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Pr>
          <w:rFonts w:ascii="Palatino Linotype" w:eastAsia="Palatino Linotype" w:hAnsi="Palatino Linotype" w:cs="Palatino Linotype"/>
        </w:rPr>
        <w:t>Presupuestación</w:t>
      </w:r>
      <w:proofErr w:type="spellEnd"/>
      <w:r>
        <w:rPr>
          <w:rFonts w:ascii="Palatino Linotype" w:eastAsia="Palatino Linotype" w:hAnsi="Palatino Linotype" w:cs="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w:t>
      </w:r>
    </w:p>
    <w:p w:rsidR="00C94E5A" w:rsidRDefault="002E0AE7">
      <w:pPr>
        <w:spacing w:before="240" w:after="24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“NÓMINA: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lo anterior, debe destacarse que dicho término es mencionado en diferentes ordenamientos legales, tal es el caso del artículo 804 de la Ley Federal de Trabajo, fracción II que establece:</w:t>
      </w:r>
    </w:p>
    <w:p w:rsidR="00C94E5A" w:rsidRDefault="002E0AE7">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“Artículo 804.- El patrón tiene obligación de conservar y exhibir en juicio los documentos que a continuación se precisan:</w:t>
      </w:r>
    </w:p>
    <w:p w:rsidR="00C94E5A" w:rsidRDefault="002E0AE7">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rsidR="00C94E5A" w:rsidRDefault="002E0AE7">
      <w:pPr>
        <w:spacing w:before="240" w:after="24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II. Listas de raya o nómina de personal, cuando se lleven en el centro de trabajo; o recibos de pagos de salarios;</w:t>
      </w:r>
    </w:p>
    <w:p w:rsidR="00C94E5A" w:rsidRDefault="002E0AE7">
      <w:pPr>
        <w:spacing w:before="240" w:after="240" w:line="36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anteriormente señalado, se puede llegar a la conclusión de que la nómina o recibos de pago, consisten en un registro conformado por el conjunto de trabajadores a los cuales se les va a remunerar por los servicios que éstos le prestan al patrón, en el cual se asientan las percepciones brutas, deducciones y el neto a recibir de dichos trabajadores.</w:t>
      </w:r>
    </w:p>
    <w:p w:rsidR="00C94E5A" w:rsidRDefault="002E0AE7">
      <w:pPr>
        <w:spacing w:before="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ahí que, el artículo 50 de la Ley del Trabajo de los Servidores Públicos del Estado y Municipios, dispone literalmente lo siguiente:</w:t>
      </w:r>
    </w:p>
    <w:p w:rsidR="00C94E5A" w:rsidRDefault="00C94E5A">
      <w:pPr>
        <w:ind w:left="851" w:right="851"/>
        <w:jc w:val="both"/>
        <w:rPr>
          <w:rFonts w:ascii="Palatino Linotype" w:eastAsia="Palatino Linotype" w:hAnsi="Palatino Linotype" w:cs="Palatino Linotype"/>
          <w:i/>
          <w:sz w:val="22"/>
          <w:szCs w:val="22"/>
        </w:rPr>
      </w:pPr>
    </w:p>
    <w:p w:rsidR="00C94E5A" w:rsidRDefault="002E0AE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50</w:t>
      </w:r>
      <w:r>
        <w:rPr>
          <w:rFonts w:ascii="Palatino Linotype" w:eastAsia="Palatino Linotype" w:hAnsi="Palatino Linotype" w:cs="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C94E5A" w:rsidRDefault="002E0AE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Iguales consecuencias se generarán para todos los servidores públicos, cuando la relación de trabajo se formalice mediante un contrato o por encontrarse en lista de raya.”(Sic)</w:t>
      </w:r>
    </w:p>
    <w:p w:rsidR="00C94E5A" w:rsidRDefault="00C94E5A">
      <w:pPr>
        <w:spacing w:line="360" w:lineRule="auto"/>
        <w:ind w:right="49"/>
        <w:jc w:val="both"/>
        <w:rPr>
          <w:rFonts w:ascii="Palatino Linotype" w:eastAsia="Palatino Linotype" w:hAnsi="Palatino Linotype" w:cs="Palatino Linotype"/>
        </w:rPr>
      </w:pPr>
    </w:p>
    <w:p w:rsidR="00C94E5A" w:rsidRDefault="002E0AE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lo anterior, se advierte que la relación laboral entre un servidor público y el Estado se formaliza mediante nombramiento, contrato o formato único de movimientos de personal.</w:t>
      </w:r>
    </w:p>
    <w:p w:rsidR="00C94E5A" w:rsidRDefault="002E0AE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rsidR="00C94E5A" w:rsidRDefault="002E0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tratándose de servidores públicos, la Ley del Trabajo de los Servidores Públicos del Estado y Municipios, en su artículo 220-K fracciones II y IV y último párrafo, establecen lo siguiente:</w:t>
      </w:r>
    </w:p>
    <w:p w:rsidR="00C94E5A" w:rsidRDefault="00C94E5A">
      <w:pPr>
        <w:spacing w:line="360" w:lineRule="auto"/>
        <w:jc w:val="both"/>
        <w:rPr>
          <w:rFonts w:ascii="Palatino Linotype" w:eastAsia="Palatino Linotype" w:hAnsi="Palatino Linotype" w:cs="Palatino Linotype"/>
        </w:rPr>
      </w:pPr>
    </w:p>
    <w:p w:rsidR="00C94E5A" w:rsidRDefault="002E0AE7">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“ARTÍCULO 220 K.- La institución o dependencia pública tiene la obligación de conservar y exhibir en el proceso los documentos que a continuación se precisan: … </w:t>
      </w:r>
    </w:p>
    <w:p w:rsidR="00C94E5A" w:rsidRDefault="002E0AE7">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Recibos de pagos de salarios o las constancias documentales del pago de salario cuando sea por depósito o mediante información electrónica; </w:t>
      </w:r>
    </w:p>
    <w:p w:rsidR="00C94E5A" w:rsidRDefault="002E0AE7">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C94E5A" w:rsidRDefault="002E0AE7">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w:t>
      </w:r>
      <w:r>
        <w:rPr>
          <w:rFonts w:ascii="Palatino Linotype" w:eastAsia="Palatino Linotype" w:hAnsi="Palatino Linotype" w:cs="Palatino Linotype"/>
          <w:i/>
          <w:sz w:val="22"/>
          <w:szCs w:val="22"/>
          <w:u w:val="single"/>
        </w:rPr>
        <w:t>Recibos o las constancias de depósito</w:t>
      </w:r>
      <w:r>
        <w:rPr>
          <w:rFonts w:ascii="Palatino Linotype" w:eastAsia="Palatino Linotype" w:hAnsi="Palatino Linotype" w:cs="Palatino Linotype"/>
          <w:i/>
          <w:sz w:val="22"/>
          <w:szCs w:val="22"/>
        </w:rPr>
        <w:t xml:space="preserve"> o del medio de información magnética o electrónica que sean utilizadas para el </w:t>
      </w:r>
      <w:r>
        <w:rPr>
          <w:rFonts w:ascii="Palatino Linotype" w:eastAsia="Palatino Linotype" w:hAnsi="Palatino Linotype" w:cs="Palatino Linotype"/>
          <w:i/>
          <w:sz w:val="22"/>
          <w:szCs w:val="22"/>
          <w:u w:val="single"/>
        </w:rPr>
        <w:t xml:space="preserve">pago de salarios, prima vacacional, aguinaldo </w:t>
      </w:r>
      <w:r>
        <w:rPr>
          <w:rFonts w:ascii="Palatino Linotype" w:eastAsia="Palatino Linotype" w:hAnsi="Palatino Linotype" w:cs="Palatino Linotype"/>
          <w:i/>
          <w:sz w:val="22"/>
          <w:szCs w:val="22"/>
        </w:rPr>
        <w:t xml:space="preserve">y demás prestaciones establecidas en la presente ley; y </w:t>
      </w:r>
    </w:p>
    <w:p w:rsidR="00C94E5A" w:rsidRDefault="002E0AE7">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C94E5A" w:rsidRDefault="002E0AE7">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w:t>
      </w:r>
    </w:p>
    <w:p w:rsidR="00C94E5A" w:rsidRDefault="002E0AE7">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00C94E5A" w:rsidRDefault="00C94E5A">
      <w:pPr>
        <w:spacing w:line="276" w:lineRule="auto"/>
        <w:ind w:left="851" w:right="900"/>
        <w:jc w:val="both"/>
        <w:rPr>
          <w:rFonts w:ascii="Palatino Linotype" w:eastAsia="Palatino Linotype" w:hAnsi="Palatino Linotype" w:cs="Palatino Linotype"/>
          <w:i/>
          <w:sz w:val="22"/>
          <w:szCs w:val="22"/>
        </w:rPr>
      </w:pPr>
    </w:p>
    <w:p w:rsidR="00C94E5A" w:rsidRDefault="002E0AE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este sentido, se advierte que toda institución pública o dependencia pública del Estado de México debe conservar los recibos o constancias de pago de s</w:t>
      </w:r>
      <w:r>
        <w:rPr>
          <w:rFonts w:ascii="Palatino Linotype" w:eastAsia="Palatino Linotype" w:hAnsi="Palatino Linotype" w:cs="Palatino Linotype"/>
          <w:u w:val="single"/>
        </w:rPr>
        <w:t xml:space="preserve">alarios </w:t>
      </w:r>
      <w:r>
        <w:rPr>
          <w:rFonts w:ascii="Palatino Linotype" w:eastAsia="Palatino Linotype" w:hAnsi="Palatino Linotype" w:cs="Palatino Linotype"/>
        </w:rPr>
        <w:t>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C94E5A" w:rsidRDefault="00C94E5A">
      <w:pPr>
        <w:spacing w:line="360" w:lineRule="auto"/>
        <w:ind w:right="49"/>
        <w:jc w:val="both"/>
        <w:rPr>
          <w:rFonts w:ascii="Palatino Linotype" w:eastAsia="Palatino Linotype" w:hAnsi="Palatino Linotype" w:cs="Palatino Linotype"/>
        </w:rPr>
      </w:pPr>
    </w:p>
    <w:p w:rsidR="00C94E5A" w:rsidRDefault="002E0AE7">
      <w:pPr>
        <w:tabs>
          <w:tab w:val="right" w:pos="8505"/>
        </w:tabs>
        <w:spacing w:after="240" w:line="360" w:lineRule="auto"/>
        <w:jc w:val="both"/>
      </w:pPr>
      <w:r>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w:t>
      </w:r>
      <w:r>
        <w:rPr>
          <w:rFonts w:ascii="Palatino Linotype" w:eastAsia="Palatino Linotype" w:hAnsi="Palatino Linotype" w:cs="Palatino Linotype"/>
        </w:rPr>
        <w:lastRenderedPageBreak/>
        <w:t xml:space="preserve">conforman el Estado de México, entre ellos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t xml:space="preserve"> </w:t>
      </w:r>
      <w:r>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rsidR="00C94E5A" w:rsidRDefault="002E0AE7">
      <w:pPr>
        <w:spacing w:before="24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Son sujetos de fiscalización:</w:t>
      </w:r>
    </w:p>
    <w:p w:rsidR="00C94E5A" w:rsidRDefault="002E0AE7">
      <w:pPr>
        <w:ind w:left="851" w:right="851"/>
        <w:jc w:val="both"/>
        <w:rPr>
          <w:i/>
          <w:sz w:val="22"/>
          <w:szCs w:val="22"/>
        </w:rPr>
      </w:pPr>
      <w:r>
        <w:rPr>
          <w:rFonts w:ascii="Palatino Linotype" w:eastAsia="Palatino Linotype" w:hAnsi="Palatino Linotype" w:cs="Palatino Linotype"/>
          <w:i/>
          <w:sz w:val="22"/>
          <w:szCs w:val="22"/>
        </w:rPr>
        <w:t>…</w:t>
      </w:r>
    </w:p>
    <w:p w:rsidR="00C94E5A" w:rsidRDefault="002E0AE7">
      <w:pPr>
        <w:numPr>
          <w:ilvl w:val="0"/>
          <w:numId w:val="3"/>
        </w:numPr>
        <w:spacing w:before="240" w:after="160"/>
        <w:ind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municipios del Estado de México…” (Sic)</w:t>
      </w:r>
    </w:p>
    <w:p w:rsidR="00C94E5A" w:rsidRDefault="00C94E5A">
      <w:pPr>
        <w:spacing w:before="240"/>
        <w:ind w:left="851" w:right="851"/>
        <w:jc w:val="both"/>
        <w:rPr>
          <w:b/>
          <w:sz w:val="22"/>
          <w:szCs w:val="22"/>
        </w:rPr>
      </w:pPr>
    </w:p>
    <w:p w:rsidR="00C94E5A" w:rsidRDefault="002E0AE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2021, como así se advierte a continuación:</w:t>
      </w:r>
    </w:p>
    <w:p w:rsidR="00C94E5A" w:rsidRDefault="00C94E5A">
      <w:pPr>
        <w:spacing w:line="360" w:lineRule="auto"/>
        <w:ind w:right="49"/>
        <w:jc w:val="both"/>
        <w:rPr>
          <w:rFonts w:ascii="Palatino Linotype" w:eastAsia="Palatino Linotype" w:hAnsi="Palatino Linotype" w:cs="Palatino Linotype"/>
        </w:rPr>
      </w:pPr>
    </w:p>
    <w:p w:rsidR="00C94E5A" w:rsidRDefault="002E0AE7">
      <w:pPr>
        <w:ind w:left="851" w:right="851"/>
        <w:jc w:val="both"/>
        <w:rPr>
          <w:i/>
          <w:sz w:val="22"/>
          <w:szCs w:val="22"/>
        </w:rPr>
      </w:pPr>
      <w:r>
        <w:rPr>
          <w:rFonts w:ascii="Palatino Linotype" w:eastAsia="Palatino Linotype" w:hAnsi="Palatino Linotype" w:cs="Palatino Linotype"/>
          <w:b/>
          <w:i/>
          <w:sz w:val="22"/>
          <w:szCs w:val="22"/>
        </w:rPr>
        <w:t xml:space="preserve">“Artículo 8. </w:t>
      </w:r>
      <w:r>
        <w:rPr>
          <w:rFonts w:ascii="Palatino Linotype" w:eastAsia="Palatino Linotype" w:hAnsi="Palatino Linotype" w:cs="Palatino Linotype"/>
          <w:i/>
          <w:sz w:val="22"/>
          <w:szCs w:val="22"/>
        </w:rPr>
        <w:t>El Órgano Superior tendrá las siguientes atribuciones:</w:t>
      </w:r>
    </w:p>
    <w:p w:rsidR="00C94E5A" w:rsidRDefault="002E0AE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94E5A" w:rsidRDefault="002E0AE7">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XI. Establecer los lineamientos</w:t>
      </w:r>
      <w:r>
        <w:rPr>
          <w:rFonts w:ascii="Palatino Linotype" w:eastAsia="Palatino Linotype" w:hAnsi="Palatino Linotype" w:cs="Palatino Linotype"/>
          <w:i/>
          <w:sz w:val="22"/>
          <w:szCs w:val="22"/>
        </w:rPr>
        <w:t xml:space="preserve">, criterios, procedimientos, métodos y sistemas </w:t>
      </w:r>
      <w:r>
        <w:rPr>
          <w:rFonts w:ascii="Palatino Linotype" w:eastAsia="Palatino Linotype" w:hAnsi="Palatino Linotype" w:cs="Palatino Linotype"/>
          <w:b/>
          <w:i/>
          <w:sz w:val="22"/>
          <w:szCs w:val="22"/>
        </w:rPr>
        <w:t>para las acciones de control y evaluación, necesarios para la fiscalización de las cuentas públicas y los informes trimestrales</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w:t>
      </w:r>
      <w:r>
        <w:rPr>
          <w:rFonts w:ascii="Palatino Linotype" w:eastAsia="Palatino Linotype" w:hAnsi="Palatino Linotype" w:cs="Palatino Linotype"/>
          <w:i/>
          <w:sz w:val="22"/>
          <w:szCs w:val="22"/>
        </w:rPr>
        <w:t>Sic)</w:t>
      </w:r>
    </w:p>
    <w:p w:rsidR="00C94E5A" w:rsidRDefault="00C94E5A">
      <w:pPr>
        <w:ind w:left="851" w:right="851"/>
        <w:jc w:val="both"/>
        <w:rPr>
          <w:rFonts w:ascii="Palatino Linotype" w:eastAsia="Palatino Linotype" w:hAnsi="Palatino Linotype" w:cs="Palatino Linotype"/>
          <w:b/>
          <w:i/>
        </w:rPr>
      </w:pPr>
    </w:p>
    <w:p w:rsidR="00C94E5A" w:rsidRDefault="002E0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Dentro de los cuales ubicamos en su módulo cuatro la información de la nómina, como se advierte en las siguientes imágenes sustraídas de dichas políticas:</w:t>
      </w:r>
    </w:p>
    <w:p w:rsidR="00C94E5A" w:rsidRDefault="002E0AE7">
      <w:pPr>
        <w:spacing w:line="360" w:lineRule="auto"/>
        <w:jc w:val="both"/>
      </w:pPr>
      <w:r>
        <w:rPr>
          <w:noProof/>
          <w:lang w:val="es-MX" w:eastAsia="es-MX"/>
        </w:rPr>
        <w:lastRenderedPageBreak/>
        <w:drawing>
          <wp:inline distT="0" distB="0" distL="0" distR="0">
            <wp:extent cx="5433102" cy="5930313"/>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35982" t="17911" r="21361" b="2999"/>
                    <a:stretch>
                      <a:fillRect/>
                    </a:stretch>
                  </pic:blipFill>
                  <pic:spPr>
                    <a:xfrm>
                      <a:off x="0" y="0"/>
                      <a:ext cx="5433102" cy="5930313"/>
                    </a:xfrm>
                    <a:prstGeom prst="rect">
                      <a:avLst/>
                    </a:prstGeom>
                    <a:ln/>
                  </pic:spPr>
                </pic:pic>
              </a:graphicData>
            </a:graphic>
          </wp:inline>
        </w:drawing>
      </w:r>
    </w:p>
    <w:p w:rsidR="00C94E5A" w:rsidRDefault="002E0AE7">
      <w:pPr>
        <w:spacing w:line="360" w:lineRule="auto"/>
        <w:jc w:val="both"/>
      </w:pPr>
      <w:r>
        <w:rPr>
          <w:noProof/>
          <w:lang w:val="es-MX" w:eastAsia="es-MX"/>
        </w:rPr>
        <w:lastRenderedPageBreak/>
        <w:drawing>
          <wp:inline distT="0" distB="0" distL="0" distR="0">
            <wp:extent cx="5527688" cy="3462490"/>
            <wp:effectExtent l="0" t="0" r="0" b="0"/>
            <wp:docPr id="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l="32361" t="20325" r="3937" b="4206"/>
                    <a:stretch>
                      <a:fillRect/>
                    </a:stretch>
                  </pic:blipFill>
                  <pic:spPr>
                    <a:xfrm>
                      <a:off x="0" y="0"/>
                      <a:ext cx="5527688" cy="3462490"/>
                    </a:xfrm>
                    <a:prstGeom prst="rect">
                      <a:avLst/>
                    </a:prstGeom>
                    <a:ln/>
                  </pic:spPr>
                </pic:pic>
              </a:graphicData>
            </a:graphic>
          </wp:inline>
        </w:drawing>
      </w:r>
    </w:p>
    <w:p w:rsidR="00C94E5A" w:rsidRDefault="002E0AE7">
      <w:pPr>
        <w:spacing w:line="360" w:lineRule="auto"/>
        <w:jc w:val="both"/>
      </w:pPr>
      <w:r>
        <w:rPr>
          <w:noProof/>
          <w:lang w:val="es-MX" w:eastAsia="es-MX"/>
        </w:rPr>
        <w:drawing>
          <wp:inline distT="0" distB="0" distL="0" distR="0">
            <wp:extent cx="5441950" cy="3568700"/>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23987" t="26966" r="3145" b="13261"/>
                    <a:stretch>
                      <a:fillRect/>
                    </a:stretch>
                  </pic:blipFill>
                  <pic:spPr>
                    <a:xfrm>
                      <a:off x="0" y="0"/>
                      <a:ext cx="5441950" cy="3568700"/>
                    </a:xfrm>
                    <a:prstGeom prst="rect">
                      <a:avLst/>
                    </a:prstGeom>
                    <a:ln/>
                  </pic:spPr>
                </pic:pic>
              </a:graphicData>
            </a:graphic>
          </wp:inline>
        </w:drawing>
      </w:r>
    </w:p>
    <w:p w:rsidR="00C94E5A" w:rsidRDefault="002E0AE7">
      <w:pPr>
        <w:spacing w:line="360" w:lineRule="auto"/>
        <w:jc w:val="both"/>
      </w:pPr>
      <w:r>
        <w:rPr>
          <w:noProof/>
          <w:lang w:val="es-MX" w:eastAsia="es-MX"/>
        </w:rPr>
        <w:lastRenderedPageBreak/>
        <w:drawing>
          <wp:inline distT="0" distB="0" distL="0" distR="0">
            <wp:extent cx="5353050" cy="3035300"/>
            <wp:effectExtent l="0" t="0" r="0" b="0"/>
            <wp:docPr id="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l="22516" t="21936" r="4391" b="21512"/>
                    <a:stretch>
                      <a:fillRect/>
                    </a:stretch>
                  </pic:blipFill>
                  <pic:spPr>
                    <a:xfrm>
                      <a:off x="0" y="0"/>
                      <a:ext cx="5353050" cy="3035300"/>
                    </a:xfrm>
                    <a:prstGeom prst="rect">
                      <a:avLst/>
                    </a:prstGeom>
                    <a:ln/>
                  </pic:spPr>
                </pic:pic>
              </a:graphicData>
            </a:graphic>
          </wp:inline>
        </w:drawing>
      </w:r>
    </w:p>
    <w:p w:rsidR="00C94E5A" w:rsidRDefault="002E0AE7">
      <w:pPr>
        <w:spacing w:line="360" w:lineRule="auto"/>
        <w:jc w:val="both"/>
      </w:pPr>
      <w:r>
        <w:rPr>
          <w:noProof/>
          <w:lang w:val="es-MX" w:eastAsia="es-MX"/>
        </w:rPr>
        <w:drawing>
          <wp:inline distT="0" distB="0" distL="0" distR="0">
            <wp:extent cx="5492750" cy="3683000"/>
            <wp:effectExtent l="0" t="0" r="0" b="0"/>
            <wp:docPr id="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l="36206" t="14489" r="18081"/>
                    <a:stretch>
                      <a:fillRect/>
                    </a:stretch>
                  </pic:blipFill>
                  <pic:spPr>
                    <a:xfrm>
                      <a:off x="0" y="0"/>
                      <a:ext cx="5492750" cy="3683000"/>
                    </a:xfrm>
                    <a:prstGeom prst="rect">
                      <a:avLst/>
                    </a:prstGeom>
                    <a:ln/>
                  </pic:spPr>
                </pic:pic>
              </a:graphicData>
            </a:graphic>
          </wp:inline>
        </w:drawing>
      </w:r>
    </w:p>
    <w:p w:rsidR="00C94E5A" w:rsidRDefault="002E0AE7">
      <w:pPr>
        <w:spacing w:line="360" w:lineRule="auto"/>
        <w:jc w:val="both"/>
      </w:pPr>
      <w:r>
        <w:rPr>
          <w:noProof/>
          <w:lang w:val="es-MX" w:eastAsia="es-MX"/>
        </w:rPr>
        <w:lastRenderedPageBreak/>
        <w:drawing>
          <wp:inline distT="0" distB="0" distL="0" distR="0">
            <wp:extent cx="5435600" cy="4070350"/>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37792" t="16704" r="16949" b="2192"/>
                    <a:stretch>
                      <a:fillRect/>
                    </a:stretch>
                  </pic:blipFill>
                  <pic:spPr>
                    <a:xfrm>
                      <a:off x="0" y="0"/>
                      <a:ext cx="5435600" cy="4070350"/>
                    </a:xfrm>
                    <a:prstGeom prst="rect">
                      <a:avLst/>
                    </a:prstGeom>
                    <a:ln/>
                  </pic:spPr>
                </pic:pic>
              </a:graphicData>
            </a:graphic>
          </wp:inline>
        </w:drawing>
      </w:r>
    </w:p>
    <w:p w:rsidR="00C94E5A" w:rsidRDefault="002E0AE7">
      <w:pPr>
        <w:spacing w:line="360" w:lineRule="auto"/>
        <w:jc w:val="both"/>
      </w:pPr>
      <w:r>
        <w:rPr>
          <w:noProof/>
          <w:lang w:val="es-MX" w:eastAsia="es-MX"/>
        </w:rPr>
        <w:drawing>
          <wp:inline distT="0" distB="0" distL="0" distR="0">
            <wp:extent cx="5435600" cy="3073400"/>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l="43222" t="23949" r="22607" b="9438"/>
                    <a:stretch>
                      <a:fillRect/>
                    </a:stretch>
                  </pic:blipFill>
                  <pic:spPr>
                    <a:xfrm>
                      <a:off x="0" y="0"/>
                      <a:ext cx="5435600" cy="3073400"/>
                    </a:xfrm>
                    <a:prstGeom prst="rect">
                      <a:avLst/>
                    </a:prstGeom>
                    <a:ln/>
                  </pic:spPr>
                </pic:pic>
              </a:graphicData>
            </a:graphic>
          </wp:inline>
        </w:drawing>
      </w:r>
    </w:p>
    <w:p w:rsidR="00C94E5A" w:rsidRDefault="002E0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observancia a las imágenes anteriores, se acredita que el </w:t>
      </w:r>
      <w:r>
        <w:rPr>
          <w:rFonts w:ascii="Palatino Linotype" w:eastAsia="Palatino Linotype" w:hAnsi="Palatino Linotype" w:cs="Palatino Linotype"/>
          <w:b/>
        </w:rPr>
        <w:t>SUJETO OBLIGADO</w:t>
      </w:r>
      <w:r>
        <w:rPr>
          <w:rFonts w:ascii="Palatino Linotype" w:eastAsia="Palatino Linotype" w:hAnsi="Palatino Linotype" w:cs="Palatino Linotype"/>
        </w:rPr>
        <w:t>, debió generar la información solicitada y remitirla al Órgano Superior de Fiscalización del Estado de México, para su respectiva revisión y fiscalización.</w:t>
      </w:r>
    </w:p>
    <w:p w:rsidR="00C94E5A" w:rsidRDefault="00C94E5A">
      <w:pPr>
        <w:spacing w:line="360" w:lineRule="auto"/>
        <w:jc w:val="both"/>
        <w:rPr>
          <w:rFonts w:ascii="Palatino Linotype" w:eastAsia="Palatino Linotype" w:hAnsi="Palatino Linotype" w:cs="Palatino Linotype"/>
        </w:rPr>
      </w:pPr>
    </w:p>
    <w:p w:rsidR="00C94E5A" w:rsidRDefault="002E0AE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resumen, los recibos de nómina, es el documento que contiene los salarios de todos los funcionarios de la administración pública del Sujeto Obligado y que debió haber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generado, administrado o poseído de acuerdo a lo establecido en el presente considerando; por lo que resulta procedente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su entrega salvaguardando los datos personales que contenga, de conformidad con el considerando quinto. </w:t>
      </w:r>
    </w:p>
    <w:p w:rsidR="00C94E5A" w:rsidRDefault="00C94E5A">
      <w:pPr>
        <w:spacing w:line="360" w:lineRule="auto"/>
        <w:ind w:right="51"/>
        <w:jc w:val="both"/>
        <w:rPr>
          <w:rFonts w:ascii="Palatino Linotype" w:eastAsia="Palatino Linotype" w:hAnsi="Palatino Linotype" w:cs="Palatino Linotype"/>
        </w:rPr>
      </w:pPr>
    </w:p>
    <w:p w:rsidR="00C94E5A" w:rsidRDefault="002E0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C94E5A" w:rsidRDefault="00C94E5A">
      <w:pPr>
        <w:spacing w:before="160" w:line="360" w:lineRule="auto"/>
        <w:jc w:val="both"/>
        <w:rPr>
          <w:rFonts w:ascii="Palatino Linotype" w:eastAsia="Palatino Linotype" w:hAnsi="Palatino Linotype" w:cs="Palatino Linotype"/>
        </w:rPr>
      </w:pPr>
    </w:p>
    <w:p w:rsidR="00C94E5A" w:rsidRDefault="00C94E5A">
      <w:pPr>
        <w:spacing w:before="160" w:line="360" w:lineRule="auto"/>
        <w:jc w:val="both"/>
        <w:rPr>
          <w:rFonts w:ascii="Palatino Linotype" w:eastAsia="Palatino Linotype" w:hAnsi="Palatino Linotype" w:cs="Palatino Linotype"/>
        </w:rPr>
      </w:pPr>
    </w:p>
    <w:p w:rsidR="00C94E5A" w:rsidRDefault="002E0AE7">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u w:val="single"/>
        </w:rPr>
        <w:lastRenderedPageBreak/>
        <w:t>“Artículo 7. El Estado de México garantizará el efectivo acceso de toda persona a la información en posesión de cualquier entidad,</w:t>
      </w:r>
      <w:r>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Pr>
          <w:rFonts w:ascii="Palatino Linotype" w:eastAsia="Palatino Linotype" w:hAnsi="Palatino Linotype" w:cs="Palatino Linotype"/>
          <w:b/>
          <w:i/>
          <w:sz w:val="22"/>
          <w:szCs w:val="22"/>
          <w:u w:val="single"/>
        </w:rPr>
        <w:t>que reciba y ejerza recursos públicos</w:t>
      </w:r>
      <w:r>
        <w:rPr>
          <w:rFonts w:ascii="Palatino Linotype" w:eastAsia="Palatino Linotype" w:hAnsi="Palatino Linotype" w:cs="Palatino Linotype"/>
          <w:i/>
          <w:sz w:val="22"/>
          <w:szCs w:val="22"/>
        </w:rPr>
        <w:t xml:space="preserve"> o realice actos de autoridad </w:t>
      </w:r>
      <w:r>
        <w:rPr>
          <w:rFonts w:ascii="Palatino Linotype" w:eastAsia="Palatino Linotype" w:hAnsi="Palatino Linotype" w:cs="Palatino Linotype"/>
          <w:b/>
          <w:i/>
          <w:sz w:val="22"/>
          <w:szCs w:val="22"/>
          <w:u w:val="single"/>
        </w:rPr>
        <w:t>en el ámbito de competencia del Estado de México y sus municipios</w:t>
      </w:r>
      <w:r>
        <w:rPr>
          <w:rFonts w:ascii="Palatino Linotype" w:eastAsia="Palatino Linotype" w:hAnsi="Palatino Linotype" w:cs="Palatino Linotype"/>
          <w:i/>
          <w:sz w:val="22"/>
          <w:szCs w:val="22"/>
          <w:u w:val="single"/>
        </w:rPr>
        <w:t>.</w:t>
      </w:r>
    </w:p>
    <w:p w:rsidR="00C94E5A" w:rsidRDefault="002E0AE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C94E5A" w:rsidRDefault="002E0AE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94E5A" w:rsidRDefault="002E0AE7">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IV. Los ayuntamientos y las dependencias, organismos, órganos y entidades de la administración municipal;</w:t>
      </w:r>
    </w:p>
    <w:p w:rsidR="00C94E5A" w:rsidRDefault="002E0AE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94E5A" w:rsidRDefault="002E0AE7">
      <w:pPr>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C94E5A" w:rsidRDefault="002E0AE7">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Pr>
          <w:rFonts w:ascii="Palatino Linotype" w:eastAsia="Palatino Linotype" w:hAnsi="Palatino Linotype" w:cs="Palatino Linotype"/>
          <w:b/>
          <w:i/>
          <w:sz w:val="22"/>
          <w:szCs w:val="22"/>
        </w:rPr>
        <w:t xml:space="preserve"> [Sic]</w:t>
      </w:r>
    </w:p>
    <w:p w:rsidR="00C94E5A" w:rsidRDefault="00C94E5A">
      <w:pPr>
        <w:spacing w:line="360" w:lineRule="auto"/>
        <w:jc w:val="both"/>
        <w:rPr>
          <w:rFonts w:ascii="Palatino Linotype" w:eastAsia="Palatino Linotype" w:hAnsi="Palatino Linotype" w:cs="Palatino Linotype"/>
        </w:rPr>
      </w:pPr>
    </w:p>
    <w:p w:rsidR="00C94E5A" w:rsidRDefault="002E0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b/>
        </w:rPr>
        <w:t>01/2003</w:t>
      </w:r>
      <w:r>
        <w:rPr>
          <w:rFonts w:ascii="Palatino Linotype" w:eastAsia="Palatino Linotype" w:hAnsi="Palatino Linotype" w:cs="Palatino Linotype"/>
        </w:rPr>
        <w:t xml:space="preserve"> y </w:t>
      </w:r>
      <w:r>
        <w:rPr>
          <w:rFonts w:ascii="Palatino Linotype" w:eastAsia="Palatino Linotype" w:hAnsi="Palatino Linotype" w:cs="Palatino Linotype"/>
          <w:b/>
        </w:rPr>
        <w:t>02/2003</w:t>
      </w:r>
      <w:r>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rsidR="00C94E5A" w:rsidRDefault="002E0AE7">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01/2003.</w:t>
      </w:r>
    </w:p>
    <w:p w:rsidR="00C94E5A" w:rsidRDefault="002E0AE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Pr>
          <w:rFonts w:ascii="Palatino Linotype" w:eastAsia="Palatino Linotype" w:hAnsi="Palatino Linotype" w:cs="Palatino Linotype"/>
          <w:i/>
          <w:sz w:val="22"/>
          <w:szCs w:val="22"/>
        </w:rPr>
        <w:t xml:space="preserve"> </w:t>
      </w:r>
    </w:p>
    <w:p w:rsidR="00C94E5A" w:rsidRDefault="002E0AE7">
      <w:pPr>
        <w:ind w:left="851" w:right="851"/>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w:t>
      </w:r>
      <w:r>
        <w:rPr>
          <w:rFonts w:ascii="Palatino Linotype" w:eastAsia="Palatino Linotype" w:hAnsi="Palatino Linotype" w:cs="Palatino Linotype"/>
          <w:i/>
          <w:sz w:val="22"/>
          <w:szCs w:val="22"/>
        </w:rPr>
        <w:lastRenderedPageBreak/>
        <w:t xml:space="preserve">mismo ordenamiento que la referida información, como una obligación de trasparencia, </w:t>
      </w:r>
      <w:r>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eastAsia="Palatino Linotype" w:hAnsi="Palatino Linotype" w:cs="Palatino Linotype"/>
          <w:i/>
          <w:sz w:val="22"/>
          <w:szCs w:val="22"/>
          <w:u w:val="single"/>
        </w:rPr>
        <w:t>…”</w:t>
      </w:r>
    </w:p>
    <w:p w:rsidR="00C94E5A" w:rsidRDefault="00C94E5A">
      <w:pPr>
        <w:ind w:left="851" w:right="851"/>
        <w:jc w:val="both"/>
        <w:rPr>
          <w:rFonts w:ascii="Palatino Linotype" w:eastAsia="Palatino Linotype" w:hAnsi="Palatino Linotype" w:cs="Palatino Linotype"/>
          <w:i/>
          <w:sz w:val="22"/>
          <w:szCs w:val="22"/>
        </w:rPr>
      </w:pPr>
    </w:p>
    <w:p w:rsidR="00C94E5A" w:rsidRDefault="002E0AE7">
      <w:pPr>
        <w:ind w:left="851" w:right="851"/>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“Criterio 02/2003.</w:t>
      </w:r>
    </w:p>
    <w:p w:rsidR="00C94E5A" w:rsidRDefault="002E0AE7">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Pr>
          <w:rFonts w:ascii="Palatino Linotype" w:eastAsia="Palatino Linotype" w:hAnsi="Palatino Linotype" w:cs="Palatino Linotype"/>
          <w:i/>
          <w:sz w:val="22"/>
          <w:szCs w:val="22"/>
        </w:rPr>
        <w:t xml:space="preserve"> </w:t>
      </w:r>
    </w:p>
    <w:p w:rsidR="00C94E5A" w:rsidRDefault="002E0AE7">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sz w:val="22"/>
          <w:szCs w:val="22"/>
        </w:rPr>
        <w:t xml:space="preserve"> el sistema de compensación…” </w:t>
      </w:r>
      <w:r>
        <w:rPr>
          <w:rFonts w:ascii="Palatino Linotype" w:eastAsia="Palatino Linotype" w:hAnsi="Palatino Linotype" w:cs="Palatino Linotype"/>
          <w:b/>
          <w:i/>
          <w:sz w:val="22"/>
          <w:szCs w:val="22"/>
        </w:rPr>
        <w:t>[Sic]</w:t>
      </w:r>
    </w:p>
    <w:p w:rsidR="00C94E5A" w:rsidRDefault="00C94E5A">
      <w:pPr>
        <w:spacing w:line="360" w:lineRule="auto"/>
        <w:jc w:val="both"/>
        <w:rPr>
          <w:rFonts w:ascii="Palatino Linotype" w:eastAsia="Palatino Linotype" w:hAnsi="Palatino Linotype" w:cs="Palatino Linotype"/>
        </w:rPr>
      </w:pPr>
    </w:p>
    <w:p w:rsidR="00C94E5A" w:rsidRDefault="002E0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el artículo 70 de la Ley General de Transparencia y Acceso a la Información Pública dispone lo siguiente: </w:t>
      </w:r>
    </w:p>
    <w:p w:rsidR="00C94E5A" w:rsidRDefault="00C94E5A">
      <w:pPr>
        <w:spacing w:line="360" w:lineRule="auto"/>
        <w:jc w:val="both"/>
        <w:rPr>
          <w:rFonts w:ascii="Palatino Linotype" w:eastAsia="Palatino Linotype" w:hAnsi="Palatino Linotype" w:cs="Palatino Linotype"/>
          <w:sz w:val="22"/>
          <w:szCs w:val="22"/>
        </w:rPr>
      </w:pPr>
    </w:p>
    <w:p w:rsidR="00C94E5A" w:rsidRDefault="002E0AE7">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C94E5A" w:rsidRDefault="002E0AE7">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C94E5A" w:rsidRDefault="002E0AE7">
      <w:pPr>
        <w:spacing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VIII. La remuneración bruta y neta de todos los Servidores Públicos de base o de confianza, de todas las percepciones, incluyendo sueldos, prestaciones, </w:t>
      </w:r>
      <w:r>
        <w:rPr>
          <w:rFonts w:ascii="Palatino Linotype" w:eastAsia="Palatino Linotype" w:hAnsi="Palatino Linotype" w:cs="Palatino Linotype"/>
          <w:i/>
          <w:sz w:val="22"/>
          <w:szCs w:val="22"/>
        </w:rPr>
        <w:lastRenderedPageBreak/>
        <w:t>gratificaciones, primas, comisiones, dietas, bonos, estímulos, ingresos y sistemas de compensación, señalando la periodicidad de dicha remuneración;</w:t>
      </w:r>
      <w:r>
        <w:rPr>
          <w:rFonts w:ascii="Palatino Linotype" w:eastAsia="Palatino Linotype" w:hAnsi="Palatino Linotype" w:cs="Palatino Linotype"/>
          <w:i/>
        </w:rPr>
        <w:t xml:space="preserve"> </w:t>
      </w:r>
    </w:p>
    <w:p w:rsidR="00C94E5A" w:rsidRDefault="00C94E5A">
      <w:pPr>
        <w:spacing w:line="360" w:lineRule="auto"/>
        <w:jc w:val="both"/>
      </w:pPr>
    </w:p>
    <w:p w:rsidR="00C94E5A" w:rsidRDefault="002E0AE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rsidR="00C94E5A" w:rsidRDefault="00C94E5A">
      <w:pPr>
        <w:spacing w:line="360" w:lineRule="auto"/>
        <w:ind w:right="49"/>
        <w:jc w:val="both"/>
        <w:rPr>
          <w:rFonts w:ascii="Palatino Linotype" w:eastAsia="Palatino Linotype" w:hAnsi="Palatino Linotype" w:cs="Palatino Linotype"/>
        </w:rPr>
      </w:pPr>
    </w:p>
    <w:p w:rsidR="00C94E5A" w:rsidRDefault="002E0AE7">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C94E5A" w:rsidRDefault="002E0AE7">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94E5A" w:rsidRDefault="002E0AE7">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C94E5A" w:rsidRDefault="00C94E5A">
      <w:pPr>
        <w:spacing w:line="360" w:lineRule="auto"/>
        <w:jc w:val="both"/>
        <w:rPr>
          <w:sz w:val="22"/>
          <w:szCs w:val="22"/>
        </w:rPr>
      </w:pPr>
    </w:p>
    <w:p w:rsidR="00C94E5A" w:rsidRDefault="002E0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r>
        <w:rPr>
          <w:noProof/>
          <w:lang w:val="es-MX" w:eastAsia="es-MX"/>
        </w:rPr>
        <w:drawing>
          <wp:anchor distT="0" distB="0" distL="0" distR="0" simplePos="0" relativeHeight="251659264" behindDoc="1" locked="0" layoutInCell="1" hidden="0" allowOverlap="1">
            <wp:simplePos x="0" y="0"/>
            <wp:positionH relativeFrom="column">
              <wp:posOffset>-190499</wp:posOffset>
            </wp:positionH>
            <wp:positionV relativeFrom="paragraph">
              <wp:posOffset>1775282</wp:posOffset>
            </wp:positionV>
            <wp:extent cx="7635600" cy="9943200"/>
            <wp:effectExtent l="0" t="0" r="0" b="0"/>
            <wp:wrapNone/>
            <wp:docPr id="4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7635600" cy="9943200"/>
                    </a:xfrm>
                    <a:prstGeom prst="rect">
                      <a:avLst/>
                    </a:prstGeom>
                    <a:ln/>
                  </pic:spPr>
                </pic:pic>
              </a:graphicData>
            </a:graphic>
          </wp:anchor>
        </w:drawing>
      </w:r>
    </w:p>
    <w:p w:rsidR="00C94E5A" w:rsidRDefault="00C94E5A">
      <w:pPr>
        <w:spacing w:line="360" w:lineRule="auto"/>
        <w:jc w:val="both"/>
        <w:rPr>
          <w:rFonts w:ascii="Palatino Linotype" w:eastAsia="Palatino Linotype" w:hAnsi="Palatino Linotype" w:cs="Palatino Linotype"/>
        </w:rPr>
      </w:pPr>
    </w:p>
    <w:p w:rsidR="00C94E5A" w:rsidRDefault="002E0AE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Razones por las cuales lo procedente es ordenar, los recibos de nómina solicitados, en términos de lo señalado por el considerando quinto del presente fallo.</w:t>
      </w:r>
    </w:p>
    <w:p w:rsidR="00C94E5A" w:rsidRDefault="00C94E5A">
      <w:pPr>
        <w:spacing w:line="360" w:lineRule="auto"/>
        <w:jc w:val="both"/>
        <w:rPr>
          <w:rFonts w:ascii="Palatino Linotype" w:eastAsia="Palatino Linotype" w:hAnsi="Palatino Linotype" w:cs="Palatino Linotype"/>
          <w:b/>
        </w:rPr>
      </w:pPr>
    </w:p>
    <w:p w:rsidR="00C94E5A" w:rsidRDefault="002E0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Quinto. Versión Pública. C</w:t>
      </w:r>
      <w:r>
        <w:rPr>
          <w:rFonts w:ascii="Palatino Linotype" w:eastAsia="Palatino Linotype" w:hAnsi="Palatino Linotype" w:cs="Palatino Linotype"/>
        </w:rPr>
        <w:t>omo fue debidamente apuntado, el</w:t>
      </w:r>
      <w:r>
        <w:rPr>
          <w:rFonts w:ascii="Palatino Linotype" w:eastAsia="Palatino Linotype" w:hAnsi="Palatino Linotype" w:cs="Palatino Linotype"/>
          <w:b/>
        </w:rPr>
        <w:t> SUJETO OBLIGADO</w:t>
      </w:r>
      <w:r>
        <w:rPr>
          <w:rFonts w:ascii="Palatino Linotype" w:eastAsia="Palatino Linotype" w:hAnsi="Palatino Linotype" w:cs="Palatino Linotype"/>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rsidR="00C94E5A" w:rsidRDefault="002E0AE7">
      <w:pPr>
        <w:shd w:val="clear" w:color="auto" w:fill="FFFFFF"/>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C94E5A" w:rsidRDefault="002E0AE7">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C94E5A" w:rsidRDefault="002E0AE7">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C94E5A" w:rsidRDefault="002E0AE7">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C94E5A" w:rsidRDefault="002E0AE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C94E5A" w:rsidRDefault="002E0AE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rsidR="00C94E5A" w:rsidRDefault="002E0AE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C94E5A" w:rsidRDefault="002E0AE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C94E5A" w:rsidRDefault="00C94E5A">
      <w:pPr>
        <w:ind w:left="993" w:right="1041"/>
        <w:jc w:val="both"/>
        <w:rPr>
          <w:rFonts w:ascii="Palatino Linotype" w:eastAsia="Palatino Linotype" w:hAnsi="Palatino Linotype" w:cs="Palatino Linotype"/>
          <w:i/>
          <w:sz w:val="22"/>
          <w:szCs w:val="22"/>
        </w:rPr>
      </w:pPr>
    </w:p>
    <w:p w:rsidR="00C94E5A" w:rsidRDefault="002E0AE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C94E5A" w:rsidRDefault="00C94E5A">
      <w:pPr>
        <w:ind w:left="993" w:right="1041"/>
        <w:jc w:val="both"/>
        <w:rPr>
          <w:rFonts w:ascii="Palatino Linotype" w:eastAsia="Palatino Linotype" w:hAnsi="Palatino Linotype" w:cs="Palatino Linotype"/>
          <w:i/>
          <w:sz w:val="22"/>
          <w:szCs w:val="22"/>
        </w:rPr>
      </w:pPr>
    </w:p>
    <w:p w:rsidR="00C94E5A" w:rsidRDefault="002E0AE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Los Comités de Transparencia tendrán las siguientes atribuciones:</w:t>
      </w:r>
    </w:p>
    <w:p w:rsidR="00C94E5A" w:rsidRDefault="002E0AE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94E5A" w:rsidRDefault="002E0AE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Aprobar, modificar o revocar la clasificación de la información;</w:t>
      </w:r>
    </w:p>
    <w:p w:rsidR="00C94E5A" w:rsidRDefault="002E0AE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C94E5A" w:rsidRDefault="002E0AE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C94E5A" w:rsidRDefault="00C94E5A">
      <w:pPr>
        <w:ind w:left="993" w:right="1041"/>
        <w:jc w:val="both"/>
        <w:rPr>
          <w:rFonts w:ascii="Palatino Linotype" w:eastAsia="Palatino Linotype" w:hAnsi="Palatino Linotype" w:cs="Palatino Linotype"/>
          <w:i/>
          <w:sz w:val="22"/>
          <w:szCs w:val="22"/>
        </w:rPr>
      </w:pPr>
    </w:p>
    <w:p w:rsidR="00C94E5A" w:rsidRDefault="002E0AE7">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94E5A" w:rsidRDefault="00C94E5A">
      <w:pPr>
        <w:ind w:left="993" w:right="1041"/>
        <w:jc w:val="both"/>
        <w:rPr>
          <w:rFonts w:ascii="Palatino Linotype" w:eastAsia="Palatino Linotype" w:hAnsi="Palatino Linotype" w:cs="Palatino Linotype"/>
          <w:b/>
          <w:i/>
          <w:sz w:val="22"/>
          <w:szCs w:val="22"/>
        </w:rPr>
      </w:pPr>
    </w:p>
    <w:p w:rsidR="00C94E5A" w:rsidRDefault="002E0AE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C94E5A" w:rsidRDefault="002E0AE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C94E5A" w:rsidRDefault="002E0AE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C94E5A" w:rsidRDefault="002E0AE7">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III. La que presenten los particulares a los sujetos obligados, de conformidad con lo dispuesto por las leyes o los tratados internacionales.” (Sic)</w:t>
      </w:r>
    </w:p>
    <w:p w:rsidR="00C94E5A" w:rsidRDefault="00C94E5A">
      <w:pPr>
        <w:ind w:left="993" w:right="1041"/>
        <w:jc w:val="both"/>
        <w:rPr>
          <w:rFonts w:ascii="Palatino Linotype" w:eastAsia="Palatino Linotype" w:hAnsi="Palatino Linotype" w:cs="Palatino Linotype"/>
          <w:i/>
          <w:sz w:val="22"/>
          <w:szCs w:val="22"/>
        </w:rPr>
      </w:pPr>
    </w:p>
    <w:p w:rsidR="00C94E5A" w:rsidRDefault="002E0AE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C94E5A" w:rsidRDefault="00C94E5A">
      <w:pPr>
        <w:spacing w:line="360" w:lineRule="auto"/>
        <w:ind w:right="51"/>
        <w:jc w:val="both"/>
        <w:rPr>
          <w:rFonts w:ascii="Palatino Linotype" w:eastAsia="Palatino Linotype" w:hAnsi="Palatino Linotype" w:cs="Palatino Linotype"/>
        </w:rPr>
      </w:pPr>
    </w:p>
    <w:p w:rsidR="00C94E5A" w:rsidRDefault="002E0AE7">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C94E5A" w:rsidRDefault="00C94E5A">
      <w:pPr>
        <w:spacing w:line="360" w:lineRule="auto"/>
        <w:ind w:right="50"/>
        <w:jc w:val="both"/>
        <w:rPr>
          <w:rFonts w:ascii="Palatino Linotype" w:eastAsia="Palatino Linotype" w:hAnsi="Palatino Linotype" w:cs="Palatino Linotype"/>
        </w:rPr>
      </w:pPr>
    </w:p>
    <w:p w:rsidR="00C94E5A" w:rsidRDefault="002E0AE7">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w:t>
      </w:r>
      <w:r>
        <w:rPr>
          <w:rFonts w:ascii="Palatino Linotype" w:eastAsia="Palatino Linotype" w:hAnsi="Palatino Linotype" w:cs="Palatino Linotype"/>
        </w:rPr>
        <w:lastRenderedPageBreak/>
        <w:t>lo que disponen los artículos 49 fracción VIII, 53, fracción X y 59, fracción V, de la Ley en consulta, cuyo sentido literal es el siguiente:</w:t>
      </w:r>
    </w:p>
    <w:p w:rsidR="00C94E5A" w:rsidRDefault="00C94E5A">
      <w:pPr>
        <w:spacing w:line="360" w:lineRule="auto"/>
        <w:ind w:right="51"/>
        <w:jc w:val="both"/>
        <w:rPr>
          <w:rFonts w:ascii="Palatino Linotype" w:eastAsia="Palatino Linotype" w:hAnsi="Palatino Linotype" w:cs="Palatino Linotype"/>
        </w:rPr>
      </w:pPr>
    </w:p>
    <w:p w:rsidR="00C94E5A" w:rsidRDefault="002E0AE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C94E5A" w:rsidRDefault="002E0AE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C94E5A" w:rsidRDefault="002E0AE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C94E5A" w:rsidRDefault="002E0AE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C94E5A" w:rsidRDefault="002E0AE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C94E5A" w:rsidRDefault="002E0AE7">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rsidR="00C94E5A" w:rsidRDefault="00C94E5A">
      <w:pPr>
        <w:ind w:left="992" w:right="1043"/>
        <w:jc w:val="both"/>
        <w:rPr>
          <w:rFonts w:ascii="Palatino Linotype" w:eastAsia="Palatino Linotype" w:hAnsi="Palatino Linotype" w:cs="Palatino Linotype"/>
          <w:i/>
          <w:sz w:val="22"/>
          <w:szCs w:val="22"/>
        </w:rPr>
      </w:pPr>
    </w:p>
    <w:p w:rsidR="00C94E5A" w:rsidRDefault="002E0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C94E5A" w:rsidRDefault="00C94E5A">
      <w:pPr>
        <w:spacing w:line="360" w:lineRule="auto"/>
        <w:jc w:val="both"/>
        <w:rPr>
          <w:rFonts w:ascii="Palatino Linotype" w:eastAsia="Palatino Linotype" w:hAnsi="Palatino Linotype" w:cs="Palatino Linotype"/>
        </w:rPr>
      </w:pPr>
    </w:p>
    <w:p w:rsidR="00C94E5A" w:rsidRDefault="002E0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C94E5A" w:rsidRDefault="00C94E5A">
      <w:pPr>
        <w:spacing w:line="360" w:lineRule="auto"/>
        <w:jc w:val="both"/>
        <w:rPr>
          <w:rFonts w:ascii="Palatino Linotype" w:eastAsia="Palatino Linotype" w:hAnsi="Palatino Linotype" w:cs="Palatino Linotype"/>
        </w:rPr>
      </w:pPr>
    </w:p>
    <w:p w:rsidR="00C94E5A" w:rsidRDefault="002E0AE7">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C94E5A" w:rsidRDefault="00C94E5A">
      <w:pPr>
        <w:spacing w:before="240" w:after="240"/>
        <w:ind w:left="993" w:right="1041"/>
        <w:jc w:val="both"/>
        <w:rPr>
          <w:rFonts w:ascii="Palatino Linotype" w:eastAsia="Palatino Linotype" w:hAnsi="Palatino Linotype" w:cs="Palatino Linotype"/>
          <w:i/>
          <w:sz w:val="22"/>
          <w:szCs w:val="22"/>
        </w:rPr>
      </w:pPr>
    </w:p>
    <w:p w:rsidR="00C94E5A" w:rsidRDefault="002E0AE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C94E5A" w:rsidRDefault="002E0AE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y los descuentos que se realicen por pensión alimenticia o deducciones estrictamente personales o de cualquier índole siempre que, no se encuentren relacionados con los impuestos o las cuotas por seguridad social, número de cuenta </w:t>
      </w:r>
      <w:r>
        <w:rPr>
          <w:rFonts w:ascii="Palatino Linotype" w:eastAsia="Palatino Linotype" w:hAnsi="Palatino Linotype" w:cs="Palatino Linotype"/>
        </w:rPr>
        <w:lastRenderedPageBreak/>
        <w:t>o cualquier otro dato que ponga en riesgo la vida, seguridad y salud de dichas personas.</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w:t>
      </w:r>
      <w:r>
        <w:rPr>
          <w:rFonts w:ascii="Palatino Linotype" w:eastAsia="Palatino Linotype" w:hAnsi="Palatino Linotype" w:cs="Palatino Linotype"/>
          <w:b/>
        </w:rPr>
        <w:t>Registro Federal de Contribuyentes (RFC),</w:t>
      </w:r>
      <w:r>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C94E5A" w:rsidRDefault="002E0AE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compartido por el entonces Instituto Federal de Acceso a la Información Pública y Protección de Datos Personales (IFAI) a través del Criterio </w:t>
      </w:r>
      <w:r>
        <w:rPr>
          <w:rFonts w:ascii="Palatino Linotype" w:eastAsia="Palatino Linotype" w:hAnsi="Palatino Linotype" w:cs="Palatino Linotype"/>
          <w:highlight w:val="white"/>
        </w:rPr>
        <w:t xml:space="preserve">19/17, </w:t>
      </w:r>
      <w:r>
        <w:rPr>
          <w:rFonts w:ascii="Palatino Linotype" w:eastAsia="Palatino Linotype" w:hAnsi="Palatino Linotype" w:cs="Palatino Linotype"/>
        </w:rPr>
        <w:t>el cual es del tenor literal siguiente:</w:t>
      </w:r>
    </w:p>
    <w:p w:rsidR="00C94E5A" w:rsidRDefault="002E0AE7">
      <w:pPr>
        <w:spacing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“Registro Federal de Contribuyentes (RFC) de personas físicas</w:t>
      </w:r>
      <w:r>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xml:space="preserve">, la cual es única e irrepetible y determina la identificación de dicha persona para efectos fiscales, por lo que constituye un dato personal que concierne </w:t>
      </w:r>
      <w:r>
        <w:rPr>
          <w:rFonts w:ascii="Palatino Linotype" w:eastAsia="Palatino Linotype" w:hAnsi="Palatino Linotype" w:cs="Palatino Linotype"/>
        </w:rPr>
        <w:lastRenderedPageBreak/>
        <w:t>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manera la </w:t>
      </w:r>
      <w:r>
        <w:rPr>
          <w:rFonts w:ascii="Palatino Linotype" w:eastAsia="Palatino Linotype" w:hAnsi="Palatino Linotype" w:cs="Palatino Linotype"/>
          <w:b/>
        </w:rPr>
        <w:t>Clave Única de Registro de Población (CURP)</w:t>
      </w:r>
      <w:r>
        <w:rPr>
          <w:rFonts w:ascii="Palatino Linotype" w:eastAsia="Palatino Linotype" w:hAnsi="Palatino Linotype" w:cs="Palatino Linotype"/>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es compartido por el Instituto </w:t>
      </w:r>
      <w:r>
        <w:rPr>
          <w:rFonts w:ascii="Palatino Linotype" w:eastAsia="Palatino Linotype" w:hAnsi="Palatino Linotype" w:cs="Palatino Linotype"/>
          <w:highlight w:val="white"/>
        </w:rPr>
        <w:t>Nacional de Transparencia, Acceso a la Información y Protección de Datos Personales,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18/17, el cual refiere: </w:t>
      </w:r>
    </w:p>
    <w:p w:rsidR="00C94E5A" w:rsidRDefault="002E0AE7">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“Clave Única de Registro de Población (CURP). </w:t>
      </w:r>
      <w:r>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94E5A" w:rsidRDefault="002E0AE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w:t>
      </w:r>
      <w:r>
        <w:rPr>
          <w:rFonts w:ascii="Palatino Linotype" w:eastAsia="Palatino Linotype" w:hAnsi="Palatino Linotype" w:cs="Palatino Linotype"/>
          <w:b/>
        </w:rPr>
        <w:t>Clave de cualquier tipo de seguridad social (</w:t>
      </w:r>
      <w:proofErr w:type="spellStart"/>
      <w:r>
        <w:rPr>
          <w:rFonts w:ascii="Palatino Linotype" w:eastAsia="Palatino Linotype" w:hAnsi="Palatino Linotype" w:cs="Palatino Linotype"/>
          <w:b/>
        </w:rPr>
        <w:t>ISSEMyM</w:t>
      </w:r>
      <w:proofErr w:type="spellEnd"/>
      <w:r>
        <w:rPr>
          <w:rFonts w:ascii="Palatino Linotype" w:eastAsia="Palatino Linotype" w:hAnsi="Palatino Linotype" w:cs="Palatino Linotype"/>
          <w:b/>
        </w:rPr>
        <w:t xml:space="preserve">, u otros), </w:t>
      </w:r>
      <w:r>
        <w:rPr>
          <w:rFonts w:ascii="Palatino Linotype" w:eastAsia="Palatino Linotype" w:hAnsi="Palatino Linotype" w:cs="Palatino Linotype"/>
        </w:rPr>
        <w:t xml:space="preserve">está integrado por una secuencia de números con los que se identifica a los trabajadores que cubren las cuotas respectivas, asimismo, lo identifica con la fuente </w:t>
      </w:r>
      <w:r>
        <w:rPr>
          <w:rFonts w:ascii="Palatino Linotype" w:eastAsia="Palatino Linotype" w:hAnsi="Palatino Linotype" w:cs="Palatino Linotype"/>
        </w:rPr>
        <w:lastRenderedPageBreak/>
        <w:t>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C94E5A" w:rsidRDefault="002E0AE7">
      <w:pPr>
        <w:spacing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Pr>
          <w:rFonts w:ascii="Palatino Linotype" w:eastAsia="Palatino Linotype" w:hAnsi="Palatino Linotype" w:cs="Palatino Linotype"/>
          <w:u w:val="single"/>
        </w:rPr>
        <w:t>se le asigna una clave para hacer identificable al trabajador con el objetivo de poder proporcionar los servicios que brinda el ISSEMYM.</w:t>
      </w:r>
    </w:p>
    <w:p w:rsidR="00C94E5A" w:rsidRDefault="00C94E5A">
      <w:pPr>
        <w:spacing w:line="360" w:lineRule="auto"/>
        <w:jc w:val="both"/>
        <w:rPr>
          <w:rFonts w:ascii="Palatino Linotype" w:eastAsia="Palatino Linotype" w:hAnsi="Palatino Linotype" w:cs="Palatino Linotype"/>
        </w:rPr>
      </w:pPr>
    </w:p>
    <w:p w:rsidR="00C94E5A" w:rsidRDefault="002E0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C94E5A" w:rsidRDefault="00C94E5A">
      <w:pPr>
        <w:spacing w:line="360" w:lineRule="auto"/>
        <w:jc w:val="both"/>
        <w:rPr>
          <w:rFonts w:ascii="Palatino Linotype" w:eastAsia="Palatino Linotype" w:hAnsi="Palatino Linotype" w:cs="Palatino Linotype"/>
        </w:rPr>
      </w:pPr>
    </w:p>
    <w:p w:rsidR="00C94E5A" w:rsidRDefault="002E0AE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C94E5A" w:rsidRDefault="002E0AE7">
      <w:pPr>
        <w:spacing w:before="280" w:after="280" w:line="360" w:lineRule="auto"/>
        <w:jc w:val="both"/>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C94E5A" w:rsidRDefault="002E0AE7">
      <w:pPr>
        <w:spacing w:before="280" w:after="280" w:line="360" w:lineRule="auto"/>
        <w:jc w:val="both"/>
      </w:pPr>
      <w:r>
        <w:rPr>
          <w:rFonts w:ascii="Palatino Linotype" w:eastAsia="Palatino Linotype" w:hAnsi="Palatino Linotype" w:cs="Palatino Linotype"/>
        </w:rPr>
        <w:t>Por su parte, el artículo 84 de la Ley del Trabajo de los Servidores Públicos del Estado y Municipios, señala:</w:t>
      </w:r>
    </w:p>
    <w:p w:rsidR="00C94E5A" w:rsidRDefault="002E0AE7">
      <w:pPr>
        <w:spacing w:line="276" w:lineRule="auto"/>
        <w:ind w:left="851" w:right="902"/>
        <w:jc w:val="both"/>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rsidR="00C94E5A" w:rsidRDefault="002E0AE7">
      <w:pPr>
        <w:spacing w:line="276" w:lineRule="auto"/>
        <w:ind w:left="851" w:right="902"/>
        <w:jc w:val="both"/>
      </w:pPr>
      <w:r>
        <w:rPr>
          <w:rFonts w:ascii="Palatino Linotype" w:eastAsia="Palatino Linotype" w:hAnsi="Palatino Linotype" w:cs="Palatino Linotype"/>
          <w:i/>
          <w:sz w:val="22"/>
          <w:szCs w:val="22"/>
        </w:rPr>
        <w:t>I. Gravámenes fiscales relacionados con el sueldo;</w:t>
      </w:r>
    </w:p>
    <w:p w:rsidR="00C94E5A" w:rsidRDefault="002E0AE7">
      <w:pPr>
        <w:spacing w:line="276" w:lineRule="auto"/>
        <w:ind w:left="851" w:right="902"/>
        <w:jc w:val="both"/>
      </w:pPr>
      <w:r>
        <w:rPr>
          <w:rFonts w:ascii="Palatino Linotype" w:eastAsia="Palatino Linotype" w:hAnsi="Palatino Linotype" w:cs="Palatino Linotype"/>
          <w:b/>
          <w:i/>
          <w:sz w:val="22"/>
          <w:szCs w:val="22"/>
        </w:rPr>
        <w:t>II. Deudas contraídas con las instituciones públicas o dependencias</w:t>
      </w:r>
      <w:r>
        <w:rPr>
          <w:rFonts w:ascii="Palatino Linotype" w:eastAsia="Palatino Linotype" w:hAnsi="Palatino Linotype" w:cs="Palatino Linotype"/>
          <w:i/>
          <w:sz w:val="22"/>
          <w:szCs w:val="22"/>
        </w:rPr>
        <w:t xml:space="preserve"> por concepto de anticipos de sueldo, pagos hechos con exceso, errores o pérdidas debidamente comprobados;</w:t>
      </w:r>
    </w:p>
    <w:p w:rsidR="00C94E5A" w:rsidRDefault="002E0AE7">
      <w:pPr>
        <w:spacing w:line="276" w:lineRule="auto"/>
        <w:ind w:left="851" w:right="902"/>
        <w:jc w:val="both"/>
      </w:pPr>
      <w:r>
        <w:rPr>
          <w:rFonts w:ascii="Palatino Linotype" w:eastAsia="Palatino Linotype" w:hAnsi="Palatino Linotype" w:cs="Palatino Linotype"/>
          <w:b/>
          <w:i/>
          <w:sz w:val="22"/>
          <w:szCs w:val="22"/>
        </w:rPr>
        <w:t>III. Cuotas sindicales</w:t>
      </w:r>
      <w:r>
        <w:rPr>
          <w:rFonts w:ascii="Palatino Linotype" w:eastAsia="Palatino Linotype" w:hAnsi="Palatino Linotype" w:cs="Palatino Linotype"/>
          <w:i/>
          <w:sz w:val="22"/>
          <w:szCs w:val="22"/>
        </w:rPr>
        <w:t>;</w:t>
      </w:r>
    </w:p>
    <w:p w:rsidR="00C94E5A" w:rsidRDefault="002E0AE7">
      <w:pPr>
        <w:spacing w:line="276" w:lineRule="auto"/>
        <w:ind w:left="851" w:right="902"/>
        <w:jc w:val="both"/>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C94E5A" w:rsidRDefault="002E0AE7">
      <w:pPr>
        <w:spacing w:line="276" w:lineRule="auto"/>
        <w:ind w:left="851" w:right="902"/>
        <w:jc w:val="both"/>
      </w:pPr>
      <w:r>
        <w:rPr>
          <w:rFonts w:ascii="Palatino Linotype" w:eastAsia="Palatino Linotype" w:hAnsi="Palatino Linotype" w:cs="Palatino Linotype"/>
          <w:i/>
          <w:sz w:val="22"/>
          <w:szCs w:val="22"/>
        </w:rPr>
        <w:lastRenderedPageBreak/>
        <w:t>V. Descuentos ordenados por el Instituto de Seguridad Social del Estado de México y Municipios, con motivo de cuotas y obligaciones contraídas con éste por los servidores públicos;</w:t>
      </w:r>
    </w:p>
    <w:p w:rsidR="00C94E5A" w:rsidRDefault="002E0AE7">
      <w:pPr>
        <w:spacing w:line="276" w:lineRule="auto"/>
        <w:ind w:left="851" w:right="902"/>
        <w:jc w:val="both"/>
      </w:pPr>
      <w:r>
        <w:rPr>
          <w:rFonts w:ascii="Palatino Linotype" w:eastAsia="Palatino Linotype" w:hAnsi="Palatino Linotype" w:cs="Palatino Linotype"/>
          <w:b/>
          <w:i/>
          <w:sz w:val="22"/>
          <w:szCs w:val="22"/>
        </w:rPr>
        <w:t>VI. Obligaciones a cargo del servidor público con las que haya consentido</w:t>
      </w:r>
      <w:r>
        <w:rPr>
          <w:rFonts w:ascii="Palatino Linotype" w:eastAsia="Palatino Linotype" w:hAnsi="Palatino Linotype" w:cs="Palatino Linotype"/>
          <w:i/>
          <w:sz w:val="22"/>
          <w:szCs w:val="22"/>
        </w:rPr>
        <w:t>, derivadas de la adquisición o del uso de habitaciones consideradas como de interés social;</w:t>
      </w:r>
    </w:p>
    <w:p w:rsidR="00C94E5A" w:rsidRDefault="002E0AE7">
      <w:pPr>
        <w:spacing w:line="276" w:lineRule="auto"/>
        <w:ind w:left="851" w:right="902"/>
        <w:jc w:val="both"/>
      </w:pPr>
      <w:r>
        <w:rPr>
          <w:rFonts w:ascii="Palatino Linotype" w:eastAsia="Palatino Linotype" w:hAnsi="Palatino Linotype" w:cs="Palatino Linotype"/>
          <w:i/>
          <w:sz w:val="22"/>
          <w:szCs w:val="22"/>
        </w:rPr>
        <w:t>VII. Faltas de puntualidad o de asistencia injustificadas;</w:t>
      </w:r>
    </w:p>
    <w:p w:rsidR="00C94E5A" w:rsidRDefault="002E0AE7">
      <w:pPr>
        <w:spacing w:line="276" w:lineRule="auto"/>
        <w:ind w:left="851" w:right="902"/>
        <w:jc w:val="both"/>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rsidR="00C94E5A" w:rsidRDefault="002E0AE7">
      <w:pPr>
        <w:spacing w:line="276" w:lineRule="auto"/>
        <w:ind w:left="851" w:right="902"/>
        <w:jc w:val="both"/>
      </w:pPr>
      <w:r>
        <w:rPr>
          <w:rFonts w:ascii="Palatino Linotype" w:eastAsia="Palatino Linotype" w:hAnsi="Palatino Linotype" w:cs="Palatino Linotype"/>
          <w:b/>
          <w:i/>
          <w:sz w:val="22"/>
          <w:szCs w:val="22"/>
        </w:rPr>
        <w:t>IX. Cualquier otro convenido con instituciones de servicios y aceptado por el servidor público.</w:t>
      </w:r>
    </w:p>
    <w:p w:rsidR="00C94E5A" w:rsidRDefault="002E0AE7">
      <w:pPr>
        <w:spacing w:line="276" w:lineRule="auto"/>
        <w:ind w:left="851" w:right="902"/>
        <w:jc w:val="both"/>
      </w:pPr>
      <w:r>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C94E5A" w:rsidRDefault="002E0AE7">
      <w:pPr>
        <w:ind w:left="851" w:right="902"/>
        <w:jc w:val="both"/>
      </w:pPr>
      <w:r>
        <w:rPr>
          <w:rFonts w:ascii="Palatino Linotype" w:eastAsia="Palatino Linotype" w:hAnsi="Palatino Linotype" w:cs="Palatino Linotype"/>
          <w:sz w:val="22"/>
          <w:szCs w:val="22"/>
        </w:rPr>
        <w:t>(Énfasis añadido)</w:t>
      </w:r>
    </w:p>
    <w:p w:rsidR="00C94E5A" w:rsidRDefault="002E0AE7">
      <w:pPr>
        <w:spacing w:before="280" w:after="280" w:line="360" w:lineRule="auto"/>
        <w:jc w:val="both"/>
      </w:pPr>
      <w:r>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Pr>
          <w:rFonts w:ascii="Palatino Linotype" w:eastAsia="Palatino Linotype" w:hAnsi="Palatino Linotype" w:cs="Palatino Linotype"/>
          <w:b/>
        </w:rPr>
        <w:t>únicamente inciden en su vida privada</w:t>
      </w:r>
      <w:r>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w:t>
      </w:r>
      <w:r>
        <w:rPr>
          <w:rFonts w:ascii="Palatino Linotype" w:eastAsia="Palatino Linotype" w:hAnsi="Palatino Linotype" w:cs="Palatino Linotype"/>
        </w:rPr>
        <w:lastRenderedPageBreak/>
        <w:t>persona ajena a su titular, sobre todo cuando traiga implícita que se ponga en riesgo la vida o integridad de una persona.</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Sirven de sustento a lo anterior, las tesis jurisprudenciales </w:t>
      </w:r>
      <w:r>
        <w:rPr>
          <w:rFonts w:ascii="Palatino Linotype" w:eastAsia="Palatino Linotype" w:hAnsi="Palatino Linotype" w:cs="Palatino Linotype"/>
          <w:i/>
        </w:rPr>
        <w:t xml:space="preserve">P. LX/2000 </w:t>
      </w:r>
      <w:r>
        <w:rPr>
          <w:rFonts w:ascii="Palatino Linotype" w:eastAsia="Palatino Linotype" w:hAnsi="Palatino Linotype" w:cs="Palatino Linotype"/>
        </w:rPr>
        <w:t xml:space="preserve">y </w:t>
      </w:r>
      <w:r>
        <w:rPr>
          <w:rFonts w:ascii="Palatino Linotype" w:eastAsia="Palatino Linotype" w:hAnsi="Palatino Linotype" w:cs="Palatino Linotype"/>
          <w:i/>
        </w:rPr>
        <w:t>2a. XLIII/2008</w:t>
      </w:r>
      <w:r>
        <w:rPr>
          <w:rFonts w:ascii="Tahoma" w:eastAsia="Tahoma" w:hAnsi="Tahoma" w:cs="Tahoma"/>
          <w:b/>
          <w:sz w:val="18"/>
          <w:szCs w:val="18"/>
        </w:rPr>
        <w:t xml:space="preserve"> </w:t>
      </w:r>
      <w:r>
        <w:rPr>
          <w:rFonts w:ascii="Palatino Linotype" w:eastAsia="Palatino Linotype" w:hAnsi="Palatino Linotype" w:cs="Palatino Linotype"/>
        </w:rPr>
        <w:t>emitidas por el Peno y la Segunda Sala de la Suprema Corte de Justicia de la Nación, respectivamente, que son del tenor literal siguiente:</w:t>
      </w:r>
    </w:p>
    <w:p w:rsidR="00C94E5A" w:rsidRDefault="002E0AE7">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Pr>
          <w:rFonts w:ascii="Palatino Linotype" w:eastAsia="Palatino Linotype" w:hAnsi="Palatino Linotype" w:cs="Palatino Linotype"/>
          <w:i/>
          <w:sz w:val="22"/>
          <w:szCs w:val="22"/>
        </w:rPr>
        <w:t>.”</w:t>
      </w:r>
    </w:p>
    <w:p w:rsidR="00C94E5A" w:rsidRDefault="00C94E5A">
      <w:pPr>
        <w:spacing w:line="276" w:lineRule="auto"/>
        <w:ind w:left="851" w:right="851"/>
        <w:jc w:val="both"/>
        <w:rPr>
          <w:rFonts w:ascii="Palatino Linotype" w:eastAsia="Palatino Linotype" w:hAnsi="Palatino Linotype" w:cs="Palatino Linotype"/>
          <w:i/>
          <w:sz w:val="22"/>
          <w:szCs w:val="22"/>
        </w:rPr>
      </w:pPr>
    </w:p>
    <w:p w:rsidR="00C94E5A" w:rsidRDefault="002E0AE7">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“TRANSPARENCIA Y ACCESO A LA INFORMACIÓN PÚBLICA GUBERNAMENTAL. EL ARTÍCULO 14, FRACCIÓN I, DE LA LEY FEDERAL RELATIVA, NO VIOLA LA GARANTÍA DE ACCESO A LA </w:t>
      </w:r>
      <w:r>
        <w:rPr>
          <w:rFonts w:ascii="Palatino Linotype" w:eastAsia="Palatino Linotype" w:hAnsi="Palatino Linotype" w:cs="Palatino Linotype"/>
          <w:b/>
          <w:i/>
          <w:sz w:val="22"/>
          <w:szCs w:val="22"/>
        </w:rPr>
        <w:lastRenderedPageBreak/>
        <w:t xml:space="preserve">INFORMACIÓN. </w:t>
      </w:r>
      <w:r>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C94E5A" w:rsidRDefault="00C94E5A">
      <w:pPr>
        <w:spacing w:line="276" w:lineRule="auto"/>
        <w:ind w:left="851" w:right="851"/>
        <w:jc w:val="both"/>
        <w:rPr>
          <w:rFonts w:ascii="Palatino Linotype" w:eastAsia="Palatino Linotype" w:hAnsi="Palatino Linotype" w:cs="Palatino Linotype"/>
          <w:i/>
          <w:sz w:val="22"/>
          <w:szCs w:val="22"/>
        </w:rPr>
      </w:pPr>
    </w:p>
    <w:p w:rsidR="00C94E5A" w:rsidRDefault="00C94E5A">
      <w:pPr>
        <w:ind w:left="851" w:right="851"/>
        <w:jc w:val="both"/>
        <w:rPr>
          <w:rFonts w:ascii="Palatino Linotype" w:eastAsia="Palatino Linotype" w:hAnsi="Palatino Linotype" w:cs="Palatino Linotype"/>
          <w:i/>
          <w:sz w:val="22"/>
          <w:szCs w:val="22"/>
        </w:rPr>
      </w:pPr>
    </w:p>
    <w:p w:rsidR="00C94E5A" w:rsidRDefault="002E0AE7">
      <w:pPr>
        <w:spacing w:line="360" w:lineRule="auto"/>
        <w:ind w:right="-93"/>
        <w:jc w:val="both"/>
        <w:rPr>
          <w:rFonts w:ascii="Palatino Linotype" w:eastAsia="Palatino Linotype" w:hAnsi="Palatino Linotype" w:cs="Palatino Linotype"/>
          <w:b/>
        </w:rPr>
      </w:pPr>
      <w:r>
        <w:rPr>
          <w:rFonts w:ascii="Palatino Linotype" w:eastAsia="Palatino Linotype" w:hAnsi="Palatino Linotype" w:cs="Palatino Linotype"/>
        </w:rPr>
        <w:t>También,</w:t>
      </w:r>
      <w:r>
        <w:rPr>
          <w:rFonts w:ascii="Palatino Linotype" w:eastAsia="Palatino Linotype" w:hAnsi="Palatino Linotype" w:cs="Palatino Linotype"/>
          <w:b/>
        </w:rPr>
        <w:t xml:space="preserve"> el número de cuenta bancario</w:t>
      </w:r>
      <w:r>
        <w:rPr>
          <w:rFonts w:ascii="Palatino Linotype" w:eastAsia="Palatino Linotype" w:hAnsi="Palatino Linotype" w:cs="Palatino Linotype"/>
        </w:rPr>
        <w:t>, en el Criterio 10/17 emitido por el Pleno del Instituto Nacional de Transparencia, Acceso a la Información y Protección de Datos Personales  se establece lo siguiente:</w:t>
      </w:r>
    </w:p>
    <w:p w:rsidR="00C94E5A" w:rsidRDefault="00C94E5A">
      <w:pPr>
        <w:shd w:val="clear" w:color="auto" w:fill="FFFFFF"/>
        <w:spacing w:line="360" w:lineRule="auto"/>
        <w:ind w:left="567" w:right="567"/>
        <w:jc w:val="both"/>
        <w:rPr>
          <w:rFonts w:ascii="Palatino Linotype" w:eastAsia="Palatino Linotype" w:hAnsi="Palatino Linotype" w:cs="Palatino Linotype"/>
        </w:rPr>
      </w:pPr>
    </w:p>
    <w:p w:rsidR="00C94E5A" w:rsidRDefault="002E0AE7">
      <w:pPr>
        <w:shd w:val="clear" w:color="auto" w:fill="FFFFFF"/>
        <w:spacing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b/>
          <w:i/>
        </w:rPr>
        <w:t>Cuentas bancarias y/o CLABE interbancaria de personas físicas y morales privadas.</w:t>
      </w:r>
      <w:r>
        <w:rPr>
          <w:rFonts w:ascii="Palatino Linotype" w:eastAsia="Palatino Linotype" w:hAnsi="Palatino Linotype" w:cs="Palatino Linotype"/>
          <w:i/>
        </w:rPr>
        <w:t xml:space="preserve"> El número de cuenta bancaria y/o CLABE interbancaria de particulares es información confidencial, al tratarse de un conjunto de caracteres </w:t>
      </w:r>
      <w:r>
        <w:rPr>
          <w:rFonts w:ascii="Palatino Linotype" w:eastAsia="Palatino Linotype" w:hAnsi="Palatino Linotype" w:cs="Palatino Linotype"/>
          <w:i/>
        </w:rPr>
        <w:lastRenderedPageBreak/>
        <w:t>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Pr>
          <w:rFonts w:ascii="Palatino Linotype" w:eastAsia="Palatino Linotype" w:hAnsi="Palatino Linotype" w:cs="Palatino Linotype"/>
        </w:rPr>
        <w:t>.”</w:t>
      </w:r>
    </w:p>
    <w:p w:rsidR="00C94E5A" w:rsidRDefault="00C94E5A">
      <w:pPr>
        <w:spacing w:line="360" w:lineRule="auto"/>
        <w:jc w:val="both"/>
        <w:rPr>
          <w:rFonts w:ascii="Palatino Linotype" w:eastAsia="Palatino Linotype" w:hAnsi="Palatino Linotype" w:cs="Palatino Linotype"/>
        </w:rPr>
      </w:pPr>
    </w:p>
    <w:p w:rsidR="00C94E5A" w:rsidRDefault="002E0AE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C94E5A" w:rsidRDefault="00C94E5A">
      <w:pPr>
        <w:spacing w:line="360" w:lineRule="auto"/>
        <w:ind w:right="-93"/>
        <w:jc w:val="both"/>
        <w:rPr>
          <w:rFonts w:ascii="Palatino Linotype" w:eastAsia="Palatino Linotype" w:hAnsi="Palatino Linotype" w:cs="Palatino Linotype"/>
        </w:rPr>
      </w:pPr>
    </w:p>
    <w:p w:rsidR="00C94E5A" w:rsidRDefault="002E0AE7">
      <w:pPr>
        <w:spacing w:line="360" w:lineRule="auto"/>
        <w:ind w:right="-93"/>
        <w:jc w:val="both"/>
        <w:rPr>
          <w:rFonts w:ascii="Palatino Linotype" w:eastAsia="Palatino Linotype" w:hAnsi="Palatino Linotype" w:cs="Palatino Linotype"/>
          <w:b/>
        </w:rPr>
      </w:pPr>
      <w:r>
        <w:rPr>
          <w:rFonts w:ascii="Palatino Linotype" w:eastAsia="Palatino Linotype" w:hAnsi="Palatino Linotype" w:cs="Palatino Linotype"/>
        </w:rPr>
        <w:t xml:space="preserve">El </w:t>
      </w:r>
      <w:r>
        <w:rPr>
          <w:rFonts w:ascii="Palatino Linotype" w:eastAsia="Palatino Linotype" w:hAnsi="Palatino Linotype" w:cs="Palatino Linotype"/>
          <w:b/>
        </w:rPr>
        <w:t>Código de barras bidimensional (QR)</w:t>
      </w:r>
      <w:r>
        <w:rPr>
          <w:rFonts w:ascii="Palatino Linotype" w:eastAsia="Palatino Linotype" w:hAnsi="Palatino Linotype" w:cs="Palatino Linotype"/>
        </w:rPr>
        <w:t xml:space="preserve">, resulta necesario señalar que los comprobantes fiscales digitales por Internet, deben de incluir un código bidimensional conforme al formato </w:t>
      </w:r>
      <w:r>
        <w:rPr>
          <w:rFonts w:ascii="Palatino Linotype" w:eastAsia="Palatino Linotype" w:hAnsi="Palatino Linotype" w:cs="Palatino Linotype"/>
          <w:i/>
        </w:rPr>
        <w:t xml:space="preserve">QR </w:t>
      </w:r>
      <w:proofErr w:type="spellStart"/>
      <w:r>
        <w:rPr>
          <w:rFonts w:ascii="Palatino Linotype" w:eastAsia="Palatino Linotype" w:hAnsi="Palatino Linotype" w:cs="Palatino Linotype"/>
          <w:i/>
        </w:rPr>
        <w:t>Code</w:t>
      </w:r>
      <w:proofErr w:type="spellEnd"/>
      <w:r>
        <w:rPr>
          <w:rFonts w:ascii="Palatino Linotype" w:eastAsia="Palatino Linotype" w:hAnsi="Palatino Linotype" w:cs="Palatino Linotype"/>
          <w:i/>
        </w:rPr>
        <w:t xml:space="preserve"> (Quick Response </w:t>
      </w:r>
      <w:proofErr w:type="spellStart"/>
      <w:r>
        <w:rPr>
          <w:rFonts w:ascii="Palatino Linotype" w:eastAsia="Palatino Linotype" w:hAnsi="Palatino Linotype" w:cs="Palatino Linotype"/>
          <w:i/>
        </w:rPr>
        <w:t>Code</w:t>
      </w:r>
      <w:proofErr w:type="spellEnd"/>
      <w:r>
        <w:rPr>
          <w:rFonts w:ascii="Palatino Linotype" w:eastAsia="Palatino Linotype" w:hAnsi="Palatino Linotype" w:cs="Palatino Linotype"/>
          <w:i/>
        </w:rPr>
        <w:t>)</w:t>
      </w:r>
      <w:r>
        <w:rPr>
          <w:rFonts w:ascii="Palatino Linotype" w:eastAsia="Palatino Linotype" w:hAnsi="Palatino Linotype" w:cs="Palatino Linotype"/>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2">
        <w:r>
          <w:rPr>
            <w:rFonts w:ascii="Palatino Linotype" w:eastAsia="Palatino Linotype" w:hAnsi="Palatino Linotype" w:cs="Palatino Linotype"/>
            <w:color w:val="0000FF"/>
            <w:u w:val="single"/>
          </w:rPr>
          <w:t>http://dof.gob.mx/nota_detalle.php?codigo=5492254&amp;fecha=28/07/2017</w:t>
        </w:r>
      </w:hyperlink>
      <w:r>
        <w:rPr>
          <w:rFonts w:ascii="Palatino Linotype" w:eastAsia="Palatino Linotype" w:hAnsi="Palatino Linotype" w:cs="Palatino Linotype"/>
        </w:rPr>
        <w:t xml:space="preserve">. Incluso con la captura de dicho código, a través de la aplicación móvil del Servicio de </w:t>
      </w:r>
      <w:r>
        <w:rPr>
          <w:rFonts w:ascii="Palatino Linotype" w:eastAsia="Palatino Linotype" w:hAnsi="Palatino Linotype" w:cs="Palatino Linotype"/>
        </w:rPr>
        <w:lastRenderedPageBreak/>
        <w:t xml:space="preserve">Administración Tributaria, permite el acceso al Registro Federal de Contribuyentes, como del </w:t>
      </w:r>
      <w:r>
        <w:rPr>
          <w:rFonts w:ascii="Palatino Linotype" w:eastAsia="Palatino Linotype" w:hAnsi="Palatino Linotype" w:cs="Palatino Linotype"/>
          <w:b/>
        </w:rPr>
        <w:t>Sujeto Obligado</w:t>
      </w:r>
      <w:r>
        <w:rPr>
          <w:rFonts w:ascii="Palatino Linotype" w:eastAsia="Palatino Linotype" w:hAnsi="Palatino Linotype" w:cs="Palatino Linotype"/>
        </w:rPr>
        <w:t>, como de la persona física o moral correspondiente.</w:t>
      </w:r>
    </w:p>
    <w:p w:rsidR="00C94E5A" w:rsidRDefault="00C94E5A">
      <w:pPr>
        <w:spacing w:line="360" w:lineRule="auto"/>
        <w:ind w:right="-93"/>
        <w:jc w:val="both"/>
        <w:rPr>
          <w:rFonts w:ascii="Palatino Linotype" w:eastAsia="Palatino Linotype" w:hAnsi="Palatino Linotype" w:cs="Palatino Linotype"/>
        </w:rPr>
      </w:pPr>
    </w:p>
    <w:p w:rsidR="00C94E5A" w:rsidRDefault="002E0AE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C94E5A" w:rsidRDefault="002E0AE7">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Por otra parte y respecto a</w:t>
      </w:r>
      <w:r>
        <w:rPr>
          <w:rFonts w:ascii="Palatino Linotype" w:eastAsia="Palatino Linotype" w:hAnsi="Palatino Linotype" w:cs="Palatino Linotype"/>
          <w:b/>
          <w:color w:val="222222"/>
        </w:rPr>
        <w:t xml:space="preserve"> la clave de seguridad social y en su caso clave o número del servidor público –trabajador-,</w:t>
      </w:r>
      <w:r>
        <w:rPr>
          <w:rFonts w:ascii="Palatino Linotype" w:eastAsia="Palatino Linotype" w:hAnsi="Palatino Linotype" w:cs="Palatino Linotype"/>
          <w:color w:val="222222"/>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C94E5A" w:rsidRDefault="002E0AE7">
      <w:pPr>
        <w:shd w:val="clear" w:color="auto" w:fill="FFFFFF"/>
        <w:spacing w:before="240" w:after="240" w:line="276" w:lineRule="auto"/>
        <w:ind w:left="567" w:right="900"/>
        <w:jc w:val="both"/>
        <w:rPr>
          <w:color w:val="222222"/>
        </w:rPr>
      </w:pPr>
      <w:r>
        <w:rPr>
          <w:rFonts w:ascii="Palatino Linotype" w:eastAsia="Palatino Linotype" w:hAnsi="Palatino Linotype" w:cs="Palatino Linotype"/>
          <w:b/>
          <w:i/>
          <w:color w:val="222222"/>
          <w:sz w:val="22"/>
          <w:szCs w:val="22"/>
        </w:rPr>
        <w:t>“El número de ficha de identificación única de los trabajadores es información de carácter confidencial.</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u w:val="single"/>
        </w:rPr>
        <w:t>dicha información es susceptible de clasificarse con el carácter de confidencial</w:t>
      </w:r>
      <w:r>
        <w:rPr>
          <w:rFonts w:ascii="Palatino Linotype" w:eastAsia="Palatino Linotype" w:hAnsi="Palatino Linotype" w:cs="Palatino Linotype"/>
          <w:i/>
          <w:color w:val="222222"/>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rsidR="00C94E5A" w:rsidRDefault="00C94E5A">
      <w:pPr>
        <w:spacing w:line="360" w:lineRule="auto"/>
        <w:ind w:right="-93"/>
        <w:jc w:val="both"/>
        <w:rPr>
          <w:rFonts w:ascii="Palatino Linotype" w:eastAsia="Palatino Linotype" w:hAnsi="Palatino Linotype" w:cs="Palatino Linotype"/>
        </w:rPr>
      </w:pPr>
    </w:p>
    <w:p w:rsidR="00C94E5A" w:rsidRDefault="002E0AE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Al respecto, es de señalar que </w:t>
      </w:r>
      <w:r>
        <w:rPr>
          <w:rFonts w:ascii="Palatino Linotype" w:eastAsia="Palatino Linotype" w:hAnsi="Palatino Linotype" w:cs="Palatino Linotype"/>
          <w:b/>
        </w:rPr>
        <w:t xml:space="preserve">la firma </w:t>
      </w:r>
      <w:r>
        <w:rPr>
          <w:rFonts w:ascii="Palatino Linotype" w:eastAsia="Palatino Linotype" w:hAnsi="Palatino Linotype" w:cs="Palatino Linotype"/>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rsidR="00C94E5A" w:rsidRDefault="00C94E5A">
      <w:pPr>
        <w:spacing w:line="360" w:lineRule="auto"/>
        <w:ind w:right="-93"/>
        <w:jc w:val="both"/>
        <w:rPr>
          <w:rFonts w:ascii="Palatino Linotype" w:eastAsia="Palatino Linotype" w:hAnsi="Palatino Linotype" w:cs="Palatino Linotype"/>
        </w:rPr>
      </w:pPr>
    </w:p>
    <w:p w:rsidR="00C94E5A" w:rsidRDefault="002E0AE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C94E5A" w:rsidRDefault="00C94E5A">
      <w:pPr>
        <w:spacing w:line="360" w:lineRule="auto"/>
        <w:ind w:right="-93"/>
        <w:jc w:val="both"/>
        <w:rPr>
          <w:rFonts w:ascii="Palatino Linotype" w:eastAsia="Palatino Linotype" w:hAnsi="Palatino Linotype" w:cs="Palatino Linotype"/>
        </w:rPr>
      </w:pPr>
    </w:p>
    <w:p w:rsidR="00C94E5A" w:rsidRDefault="002E0AE7">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C94E5A" w:rsidRDefault="00C94E5A">
      <w:pPr>
        <w:spacing w:line="360" w:lineRule="auto"/>
        <w:ind w:right="-93"/>
        <w:jc w:val="both"/>
        <w:rPr>
          <w:rFonts w:ascii="Palatino Linotype" w:eastAsia="Palatino Linotype" w:hAnsi="Palatino Linotype" w:cs="Palatino Linotype"/>
        </w:rPr>
      </w:pPr>
    </w:p>
    <w:p w:rsidR="00C94E5A" w:rsidRDefault="002E0AE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Sirve de sustento a lo anterior el Criterio de Interpretación 02/19 emitido por el Instituto Nacional de Transparencia, Acceso a la Información y Protección de Datos Personales, cuyo rubro y texto establecen lo siguiente:</w:t>
      </w:r>
    </w:p>
    <w:p w:rsidR="00C94E5A" w:rsidRDefault="00C94E5A">
      <w:pPr>
        <w:spacing w:line="276" w:lineRule="auto"/>
        <w:ind w:right="-93"/>
        <w:jc w:val="both"/>
        <w:rPr>
          <w:rFonts w:ascii="Palatino Linotype" w:eastAsia="Palatino Linotype" w:hAnsi="Palatino Linotype" w:cs="Palatino Linotype"/>
        </w:rPr>
      </w:pPr>
    </w:p>
    <w:p w:rsidR="00C94E5A" w:rsidRDefault="002E0AE7">
      <w:pPr>
        <w:spacing w:line="276" w:lineRule="auto"/>
        <w:ind w:left="1134"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FIRMA Y RÚBRICA DE SERVIDORES PÚBLICOS.</w:t>
      </w:r>
      <w:r>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C94E5A" w:rsidRDefault="002E0AE7">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rPr>
        <w:lastRenderedPageBreak/>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r>
        <w:rPr>
          <w:rFonts w:ascii="Palatino Linotype" w:eastAsia="Palatino Linotype" w:hAnsi="Palatino Linotype" w:cs="Palatino Linotype"/>
          <w:highlight w:val="white"/>
        </w:rPr>
        <w:t>.</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o reservada es importante someterlo al Comité de Transparencia, quien debe confirmar, modificar o revocar la clasificación.</w:t>
      </w:r>
    </w:p>
    <w:p w:rsidR="00C94E5A" w:rsidRDefault="002E0AE7">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rPr>
        <w:t>RECURRENTE.</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C94E5A" w:rsidRDefault="002E0AE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“Quincuagésimo sexto</w:t>
      </w:r>
      <w:r>
        <w:rPr>
          <w:rFonts w:ascii="Palatino Linotype" w:eastAsia="Palatino Linotype" w:hAnsi="Palatino Linotype" w:cs="Palatino Linotype"/>
          <w:b/>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C94E5A" w:rsidRDefault="002E0AE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Quincuagésimo séptimo. Se considera, en principio, como información pública y no podrá omitirse de las versiones públicas la siguiente: </w:t>
      </w:r>
    </w:p>
    <w:p w:rsidR="00C94E5A" w:rsidRDefault="002E0AE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rsidR="00C94E5A" w:rsidRDefault="002E0AE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II. El nombre de los servidores públicos en los documentos, y sus firmas autógrafas, cuando sean utilizados en el ejercicio de las facultades conferidas para el desempeño del servicio público, y </w:t>
      </w:r>
    </w:p>
    <w:p w:rsidR="00C94E5A" w:rsidRDefault="002E0AE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rsidR="00C94E5A" w:rsidRDefault="002E0AE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C94E5A" w:rsidRDefault="002E0AE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no permitan la recuperación o visualización de la misma.”</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w:t>
      </w:r>
      <w:r>
        <w:rPr>
          <w:rFonts w:ascii="Palatino Linotype" w:eastAsia="Palatino Linotype" w:hAnsi="Palatino Linotype" w:cs="Palatino Linotype"/>
          <w:b/>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Pr>
          <w:rFonts w:ascii="Palatino Linotype" w:eastAsia="Palatino Linotype" w:hAnsi="Palatino Linotype" w:cs="Palatino Linotype"/>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C94E5A" w:rsidRDefault="002E0AE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46"/>
        <w:gridCol w:w="3568"/>
        <w:gridCol w:w="968"/>
        <w:gridCol w:w="3446"/>
      </w:tblGrid>
      <w:tr w:rsidR="00C94E5A" w:rsidTr="00C94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C94E5A" w:rsidRDefault="002E0AE7">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Parcial</w:t>
            </w:r>
          </w:p>
        </w:tc>
        <w:tc>
          <w:tcPr>
            <w:tcW w:w="4414" w:type="dxa"/>
            <w:gridSpan w:val="2"/>
          </w:tcPr>
          <w:p w:rsidR="00C94E5A" w:rsidRDefault="002E0AE7">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Total</w:t>
            </w:r>
          </w:p>
        </w:tc>
      </w:tr>
      <w:tr w:rsidR="00C94E5A" w:rsidTr="00C9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C94E5A" w:rsidRDefault="002E0AE7">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Concepto</w:t>
            </w:r>
          </w:p>
        </w:tc>
        <w:tc>
          <w:tcPr>
            <w:tcW w:w="3568" w:type="dxa"/>
          </w:tcPr>
          <w:p w:rsidR="00C94E5A" w:rsidRDefault="002E0AE7">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rsidR="00C94E5A" w:rsidRDefault="002E0AE7">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C94E5A" w:rsidRDefault="002E0AE7">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C94E5A" w:rsidTr="00C94E5A">
        <w:tc>
          <w:tcPr>
            <w:cnfStyle w:val="001000000000" w:firstRow="0" w:lastRow="0" w:firstColumn="1" w:lastColumn="0" w:oddVBand="0" w:evenVBand="0" w:oddHBand="0" w:evenHBand="0" w:firstRowFirstColumn="0" w:firstRowLastColumn="0" w:lastRowFirstColumn="0" w:lastRowLastColumn="0"/>
            <w:tcW w:w="8828" w:type="dxa"/>
            <w:gridSpan w:val="4"/>
          </w:tcPr>
          <w:p w:rsidR="00C94E5A" w:rsidRDefault="002E0AE7">
            <w:pPr>
              <w:jc w:val="center"/>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Sello oficial o logotipo del sujeto obligado</w:t>
            </w:r>
          </w:p>
        </w:tc>
      </w:tr>
      <w:tr w:rsidR="00C94E5A" w:rsidTr="00C9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C94E5A" w:rsidRDefault="002E0AE7">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clasificación</w:t>
            </w:r>
          </w:p>
        </w:tc>
        <w:tc>
          <w:tcPr>
            <w:tcW w:w="3568" w:type="dxa"/>
          </w:tcPr>
          <w:p w:rsidR="00C94E5A" w:rsidRDefault="002E0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C94E5A" w:rsidRDefault="002E0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C94E5A" w:rsidRDefault="002E0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C94E5A" w:rsidTr="00C94E5A">
        <w:tc>
          <w:tcPr>
            <w:cnfStyle w:val="001000000000" w:firstRow="0" w:lastRow="0" w:firstColumn="1" w:lastColumn="0" w:oddVBand="0" w:evenVBand="0" w:oddHBand="0" w:evenHBand="0" w:firstRowFirstColumn="0" w:firstRowLastColumn="0" w:lastRowFirstColumn="0" w:lastRowLastColumn="0"/>
            <w:tcW w:w="846" w:type="dxa"/>
          </w:tcPr>
          <w:p w:rsidR="00C94E5A" w:rsidRDefault="002E0AE7">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Área</w:t>
            </w:r>
          </w:p>
        </w:tc>
        <w:tc>
          <w:tcPr>
            <w:tcW w:w="3568" w:type="dxa"/>
          </w:tcPr>
          <w:p w:rsidR="00C94E5A" w:rsidRDefault="002E0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rsidR="00C94E5A" w:rsidRDefault="002E0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C94E5A" w:rsidRDefault="002E0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C94E5A" w:rsidTr="00C9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C94E5A" w:rsidRDefault="002E0AE7">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lastRenderedPageBreak/>
              <w:t>Información reservada</w:t>
            </w:r>
          </w:p>
        </w:tc>
        <w:tc>
          <w:tcPr>
            <w:tcW w:w="3568" w:type="dxa"/>
          </w:tcPr>
          <w:p w:rsidR="00C94E5A" w:rsidRDefault="002E0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Pr>
                <w:rFonts w:ascii="Palatino Linotype" w:eastAsia="Palatino Linotype" w:hAnsi="Palatino Linotype" w:cs="Palatino Linotype"/>
                <w:sz w:val="12"/>
                <w:szCs w:val="12"/>
              </w:rPr>
              <w:t>anotarán</w:t>
            </w:r>
            <w:proofErr w:type="gramEnd"/>
            <w:r>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rsidR="00C94E5A" w:rsidRDefault="002E0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C94E5A" w:rsidRDefault="002E0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C94E5A" w:rsidTr="00C94E5A">
        <w:tc>
          <w:tcPr>
            <w:cnfStyle w:val="001000000000" w:firstRow="0" w:lastRow="0" w:firstColumn="1" w:lastColumn="0" w:oddVBand="0" w:evenVBand="0" w:oddHBand="0" w:evenHBand="0" w:firstRowFirstColumn="0" w:firstRowLastColumn="0" w:lastRowFirstColumn="0" w:lastRowLastColumn="0"/>
            <w:tcW w:w="846" w:type="dxa"/>
          </w:tcPr>
          <w:p w:rsidR="00C94E5A" w:rsidRDefault="002E0AE7">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568" w:type="dxa"/>
          </w:tcPr>
          <w:p w:rsidR="00C94E5A" w:rsidRDefault="002E0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C94E5A" w:rsidRDefault="002E0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C94E5A" w:rsidRDefault="002E0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C94E5A" w:rsidTr="00C9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C94E5A" w:rsidRDefault="002E0AE7">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Ampliación del periodo de reserva</w:t>
            </w:r>
          </w:p>
        </w:tc>
        <w:tc>
          <w:tcPr>
            <w:tcW w:w="3568" w:type="dxa"/>
          </w:tcPr>
          <w:p w:rsidR="00C94E5A" w:rsidRDefault="002E0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C94E5A" w:rsidRDefault="002E0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C94E5A" w:rsidRDefault="002E0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C94E5A" w:rsidTr="00C94E5A">
        <w:tc>
          <w:tcPr>
            <w:cnfStyle w:val="001000000000" w:firstRow="0" w:lastRow="0" w:firstColumn="1" w:lastColumn="0" w:oddVBand="0" w:evenVBand="0" w:oddHBand="0" w:evenHBand="0" w:firstRowFirstColumn="0" w:firstRowLastColumn="0" w:lastRowFirstColumn="0" w:lastRowLastColumn="0"/>
            <w:tcW w:w="846" w:type="dxa"/>
          </w:tcPr>
          <w:p w:rsidR="00C94E5A" w:rsidRDefault="002E0AE7">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Confidencial</w:t>
            </w:r>
          </w:p>
        </w:tc>
        <w:tc>
          <w:tcPr>
            <w:tcW w:w="3568" w:type="dxa"/>
          </w:tcPr>
          <w:p w:rsidR="00C94E5A" w:rsidRDefault="002E0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C94E5A" w:rsidRDefault="002E0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C94E5A" w:rsidRDefault="002E0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C94E5A" w:rsidTr="00C9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C94E5A" w:rsidRDefault="002E0AE7">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Fundamento legal</w:t>
            </w:r>
          </w:p>
        </w:tc>
        <w:tc>
          <w:tcPr>
            <w:tcW w:w="3568" w:type="dxa"/>
          </w:tcPr>
          <w:p w:rsidR="00C94E5A" w:rsidRDefault="002E0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C94E5A" w:rsidRDefault="002E0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C94E5A" w:rsidRDefault="002E0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C94E5A" w:rsidTr="00C94E5A">
        <w:tc>
          <w:tcPr>
            <w:cnfStyle w:val="001000000000" w:firstRow="0" w:lastRow="0" w:firstColumn="1" w:lastColumn="0" w:oddVBand="0" w:evenVBand="0" w:oddHBand="0" w:evenHBand="0" w:firstRowFirstColumn="0" w:firstRowLastColumn="0" w:lastRowFirstColumn="0" w:lastRowLastColumn="0"/>
            <w:tcW w:w="846" w:type="dxa"/>
          </w:tcPr>
          <w:p w:rsidR="00C94E5A" w:rsidRDefault="002E0AE7">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del titular del área</w:t>
            </w:r>
          </w:p>
        </w:tc>
        <w:tc>
          <w:tcPr>
            <w:tcW w:w="3568" w:type="dxa"/>
          </w:tcPr>
          <w:p w:rsidR="00C94E5A" w:rsidRDefault="002E0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rsidR="00C94E5A" w:rsidRDefault="002E0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C94E5A" w:rsidRDefault="002E0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C94E5A" w:rsidTr="00C9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C94E5A" w:rsidRDefault="002E0AE7">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Fecha de desclasificación</w:t>
            </w:r>
          </w:p>
        </w:tc>
        <w:tc>
          <w:tcPr>
            <w:tcW w:w="3568" w:type="dxa"/>
          </w:tcPr>
          <w:p w:rsidR="00C94E5A" w:rsidRDefault="002E0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rsidR="00C94E5A" w:rsidRDefault="002E0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C94E5A" w:rsidRDefault="002E0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C94E5A" w:rsidTr="00C94E5A">
        <w:tc>
          <w:tcPr>
            <w:cnfStyle w:val="001000000000" w:firstRow="0" w:lastRow="0" w:firstColumn="1" w:lastColumn="0" w:oddVBand="0" w:evenVBand="0" w:oddHBand="0" w:evenHBand="0" w:firstRowFirstColumn="0" w:firstRowLastColumn="0" w:lastRowFirstColumn="0" w:lastRowLastColumn="0"/>
            <w:tcW w:w="846" w:type="dxa"/>
          </w:tcPr>
          <w:p w:rsidR="00C94E5A" w:rsidRDefault="002E0AE7">
            <w:pPr>
              <w:jc w:val="both"/>
              <w:rPr>
                <w:rFonts w:ascii="Palatino Linotype" w:eastAsia="Palatino Linotype" w:hAnsi="Palatino Linotype" w:cs="Palatino Linotype"/>
                <w:sz w:val="12"/>
                <w:szCs w:val="12"/>
              </w:rPr>
            </w:pPr>
            <w:r>
              <w:rPr>
                <w:rFonts w:ascii="Palatino Linotype" w:eastAsia="Palatino Linotype" w:hAnsi="Palatino Linotype" w:cs="Palatino Linotype"/>
                <w:b w:val="0"/>
                <w:sz w:val="12"/>
                <w:szCs w:val="12"/>
              </w:rPr>
              <w:t>Rúbrica y cargo del servidor público</w:t>
            </w:r>
          </w:p>
        </w:tc>
        <w:tc>
          <w:tcPr>
            <w:tcW w:w="3568" w:type="dxa"/>
          </w:tcPr>
          <w:p w:rsidR="00C94E5A" w:rsidRDefault="002E0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rsidR="00C94E5A" w:rsidRDefault="002E0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C94E5A" w:rsidRDefault="002E0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C94E5A" w:rsidTr="00C9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C94E5A" w:rsidRDefault="00C94E5A">
            <w:pPr>
              <w:jc w:val="both"/>
              <w:rPr>
                <w:rFonts w:ascii="Palatino Linotype" w:eastAsia="Palatino Linotype" w:hAnsi="Palatino Linotype" w:cs="Palatino Linotype"/>
                <w:sz w:val="12"/>
                <w:szCs w:val="12"/>
              </w:rPr>
            </w:pPr>
          </w:p>
        </w:tc>
        <w:tc>
          <w:tcPr>
            <w:tcW w:w="3568" w:type="dxa"/>
          </w:tcPr>
          <w:p w:rsidR="00C94E5A" w:rsidRDefault="00C94E5A">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C94E5A" w:rsidRDefault="002E0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C94E5A" w:rsidRDefault="002E0AE7">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C94E5A" w:rsidTr="00C94E5A">
        <w:tc>
          <w:tcPr>
            <w:cnfStyle w:val="001000000000" w:firstRow="0" w:lastRow="0" w:firstColumn="1" w:lastColumn="0" w:oddVBand="0" w:evenVBand="0" w:oddHBand="0" w:evenHBand="0" w:firstRowFirstColumn="0" w:firstRowLastColumn="0" w:lastRowFirstColumn="0" w:lastRowLastColumn="0"/>
            <w:tcW w:w="846" w:type="dxa"/>
          </w:tcPr>
          <w:p w:rsidR="00C94E5A" w:rsidRDefault="00C94E5A">
            <w:pPr>
              <w:jc w:val="both"/>
              <w:rPr>
                <w:rFonts w:ascii="Palatino Linotype" w:eastAsia="Palatino Linotype" w:hAnsi="Palatino Linotype" w:cs="Palatino Linotype"/>
                <w:sz w:val="12"/>
                <w:szCs w:val="12"/>
              </w:rPr>
            </w:pPr>
          </w:p>
        </w:tc>
        <w:tc>
          <w:tcPr>
            <w:tcW w:w="3568" w:type="dxa"/>
          </w:tcPr>
          <w:p w:rsidR="00C94E5A" w:rsidRDefault="00C94E5A">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C94E5A" w:rsidRDefault="002E0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C94E5A" w:rsidRDefault="002E0AE7">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C94E5A" w:rsidRDefault="00C94E5A">
      <w:pPr>
        <w:spacing w:before="240" w:after="240" w:line="360" w:lineRule="auto"/>
        <w:jc w:val="both"/>
        <w:rPr>
          <w:rFonts w:ascii="Palatino Linotype" w:eastAsia="Palatino Linotype" w:hAnsi="Palatino Linotype" w:cs="Palatino Linotype"/>
        </w:rPr>
      </w:pPr>
    </w:p>
    <w:p w:rsidR="00C94E5A" w:rsidRDefault="002E0AE7">
      <w:pPr>
        <w:spacing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rPr>
        <w:t>En mérito de lo expuesto en líneas anteriores, resultan fundados los motivos de inconformidad vertidos por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por ello con fundamento en la </w:t>
      </w:r>
      <w:r>
        <w:rPr>
          <w:rFonts w:ascii="Palatino Linotype" w:eastAsia="Palatino Linotype" w:hAnsi="Palatino Linotype" w:cs="Palatino Linotype"/>
          <w:i/>
        </w:rPr>
        <w:t>primera hipótesis</w:t>
      </w:r>
      <w:r>
        <w:rPr>
          <w:rFonts w:ascii="Palatino Linotype" w:eastAsia="Palatino Linotype" w:hAnsi="Palatino Linotype" w:cs="Palatino Linotype"/>
        </w:rPr>
        <w:t xml:space="preserve"> del artículo 186, fracción III, de la Ley de Transparencia y Acceso a la Información Pública del Estado de México y Municipios,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a la solicitud de información que ha sido materia del presente fallo. </w:t>
      </w:r>
    </w:p>
    <w:p w:rsidR="00C94E5A" w:rsidRDefault="002E0AE7">
      <w:pPr>
        <w:shd w:val="clear" w:color="auto" w:fill="FFFFFF"/>
        <w:spacing w:before="240" w:after="240" w:line="360" w:lineRule="auto"/>
        <w:jc w:val="both"/>
        <w:rPr>
          <w:rFonts w:ascii="Palatino Linotype" w:eastAsia="Palatino Linotype" w:hAnsi="Palatino Linotype" w:cs="Palatino Linotype"/>
          <w:color w:val="FF0000"/>
          <w:highlight w:val="yellow"/>
        </w:rPr>
      </w:pPr>
      <w:r>
        <w:rPr>
          <w:rFonts w:ascii="Palatino Linotype" w:eastAsia="Palatino Linotype" w:hAnsi="Palatino Linotype" w:cs="Palatino Linotype"/>
        </w:rPr>
        <w:t xml:space="preserve">Así, con fundamento en lo prescrito en los artículos 5 párrafos trigésimo, trigésimo primero y trigésimo segundo de la Constitución Política del Estado Libre y Soberano de México; 2, fracción II; 29, 36 fracciones I y II; 176, 178, 179, fracción VIII, 185, </w:t>
      </w:r>
      <w:r>
        <w:t xml:space="preserve">186, </w:t>
      </w:r>
      <w:r>
        <w:lastRenderedPageBreak/>
        <w:t xml:space="preserve">fracciones III y IV </w:t>
      </w:r>
      <w:r>
        <w:rPr>
          <w:rFonts w:ascii="Palatino Linotype" w:eastAsia="Palatino Linotype" w:hAnsi="Palatino Linotype" w:cs="Palatino Linotype"/>
        </w:rPr>
        <w:t>de la Ley de Transparencia y Acceso a la Información Pública del Estado de México y Municipios, este Pleno:</w:t>
      </w:r>
    </w:p>
    <w:p w:rsidR="00C94E5A" w:rsidRDefault="002E0AE7">
      <w:pPr>
        <w:spacing w:line="360" w:lineRule="auto"/>
        <w:jc w:val="center"/>
        <w:rPr>
          <w:rFonts w:ascii="Palatino Linotype" w:eastAsia="Palatino Linotype" w:hAnsi="Palatino Linotype" w:cs="Palatino Linotype"/>
          <w:b/>
        </w:rPr>
      </w:pPr>
      <w:bookmarkStart w:id="2" w:name="_heading=h.5huso8ptlsuo" w:colFirst="0" w:colLast="0"/>
      <w:bookmarkStart w:id="3" w:name="_heading=h.qc5fa8nm4sd4" w:colFirst="0" w:colLast="0"/>
      <w:bookmarkEnd w:id="2"/>
      <w:bookmarkEnd w:id="3"/>
      <w:r>
        <w:rPr>
          <w:rFonts w:ascii="Palatino Linotype" w:eastAsia="Palatino Linotype" w:hAnsi="Palatino Linotype" w:cs="Palatino Linotype"/>
          <w:b/>
        </w:rPr>
        <w:t>III</w:t>
      </w:r>
      <w:r>
        <w:rPr>
          <w:rFonts w:ascii="Palatino Linotype" w:eastAsia="Palatino Linotype" w:hAnsi="Palatino Linotype" w:cs="Palatino Linotype"/>
          <w:b/>
        </w:rPr>
        <w:tab/>
        <w:t>R E S U E L V E</w:t>
      </w:r>
    </w:p>
    <w:p w:rsidR="00C94E5A" w:rsidRDefault="00C94E5A">
      <w:pPr>
        <w:spacing w:line="360" w:lineRule="auto"/>
        <w:jc w:val="center"/>
        <w:rPr>
          <w:rFonts w:ascii="Palatino Linotype" w:eastAsia="Palatino Linotype" w:hAnsi="Palatino Linotype" w:cs="Palatino Linotype"/>
          <w:b/>
        </w:rPr>
      </w:pPr>
    </w:p>
    <w:p w:rsidR="00C94E5A" w:rsidRDefault="002E0AE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fundadas las razones o motivos de inconformidad hechos valer por la parte Recurrente, en el recurso de revisión </w:t>
      </w:r>
      <w:r>
        <w:rPr>
          <w:rFonts w:ascii="Palatino Linotype" w:eastAsia="Palatino Linotype" w:hAnsi="Palatino Linotype" w:cs="Palatino Linotype"/>
          <w:b/>
        </w:rPr>
        <w:t>01099/INFOEM/IP/RR/2022</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w:t>
      </w:r>
    </w:p>
    <w:p w:rsidR="00C94E5A" w:rsidRDefault="002E0AE7">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REVOCA</w:t>
      </w:r>
      <w:r>
        <w:rPr>
          <w:rFonts w:ascii="Palatino Linotype" w:eastAsia="Palatino Linotype" w:hAnsi="Palatino Linotype" w:cs="Palatino Linotype"/>
        </w:rPr>
        <w:t xml:space="preserve"> la respuesta emitida por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y 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en términos de los Considerandos </w:t>
      </w:r>
      <w:r>
        <w:rPr>
          <w:rFonts w:ascii="Palatino Linotype" w:eastAsia="Palatino Linotype" w:hAnsi="Palatino Linotype" w:cs="Palatino Linotype"/>
          <w:b/>
        </w:rPr>
        <w:t xml:space="preserve">CUARTO </w:t>
      </w:r>
      <w:r>
        <w:rPr>
          <w:rFonts w:ascii="Palatino Linotype" w:eastAsia="Palatino Linotype" w:hAnsi="Palatino Linotype" w:cs="Palatino Linotype"/>
        </w:rPr>
        <w:t>y</w:t>
      </w:r>
      <w:r>
        <w:rPr>
          <w:rFonts w:ascii="Palatino Linotype" w:eastAsia="Palatino Linotype" w:hAnsi="Palatino Linotype" w:cs="Palatino Linotype"/>
          <w:b/>
        </w:rPr>
        <w:t xml:space="preserve"> QUINTO</w:t>
      </w:r>
      <w:r>
        <w:rPr>
          <w:rFonts w:ascii="Palatino Linotype" w:eastAsia="Palatino Linotype" w:hAnsi="Palatino Linotype" w:cs="Palatino Linotype"/>
        </w:rPr>
        <w:t xml:space="preserve"> de esta resolución, haga entrega en versión pública, a través del SAIMEX, de lo siguiente:</w:t>
      </w:r>
    </w:p>
    <w:p w:rsidR="00C94E5A" w:rsidRDefault="002E0AE7">
      <w:pPr>
        <w:numPr>
          <w:ilvl w:val="0"/>
          <w:numId w:val="5"/>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2"/>
          <w:szCs w:val="22"/>
        </w:rPr>
      </w:pPr>
      <w:bookmarkStart w:id="4" w:name="_heading=h.30j0zll" w:colFirst="0" w:colLast="0"/>
      <w:bookmarkEnd w:id="4"/>
      <w:r>
        <w:rPr>
          <w:rFonts w:ascii="Palatino Linotype" w:eastAsia="Palatino Linotype" w:hAnsi="Palatino Linotype" w:cs="Palatino Linotype"/>
          <w:color w:val="000000"/>
        </w:rPr>
        <w:t xml:space="preserve">los recibos de nómina del mes de enero de 2022, del presidente municipal, síndico, regidores y de todos y cada uno de los titulares de área ya sean directores o coordinadores. </w:t>
      </w:r>
    </w:p>
    <w:p w:rsidR="00C94E5A" w:rsidRDefault="002E0AE7">
      <w:pPr>
        <w:spacing w:before="8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i/>
          <w:color w:val="000000"/>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rsidR="00C94E5A" w:rsidRDefault="002E0AE7">
      <w:pPr>
        <w:spacing w:before="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rPr>
        <w:t> </w:t>
      </w:r>
      <w:r>
        <w:rPr>
          <w:rFonts w:ascii="Palatino Linotype" w:eastAsia="Palatino Linotype" w:hAnsi="Palatino Linotype" w:cs="Palatino Linotype"/>
          <w:b/>
        </w:rPr>
        <w:t xml:space="preserve">NOTIFÍQUESE vía SAIMEX </w:t>
      </w:r>
      <w:r>
        <w:rPr>
          <w:rFonts w:ascii="Palatino Linotype" w:eastAsia="Palatino Linotype" w:hAnsi="Palatino Linotype" w:cs="Palatino Linotype"/>
        </w:rPr>
        <w:t>la presente resolución 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w:t>
      </w:r>
      <w:r>
        <w:rPr>
          <w:rFonts w:ascii="Palatino Linotype" w:eastAsia="Palatino Linotype" w:hAnsi="Palatino Linotype" w:cs="Palatino Linotype"/>
        </w:rPr>
        <w:lastRenderedPageBreak/>
        <w:t>en un plazo de tres días hábiles siguientes sobre el cumplimiento dado a la presente resolución.</w:t>
      </w:r>
    </w:p>
    <w:p w:rsidR="00C94E5A" w:rsidRDefault="00C94E5A">
      <w:pPr>
        <w:spacing w:line="360" w:lineRule="auto"/>
        <w:ind w:right="49"/>
        <w:jc w:val="both"/>
        <w:rPr>
          <w:rFonts w:ascii="Palatino Linotype" w:eastAsia="Palatino Linotype" w:hAnsi="Palatino Linotype" w:cs="Palatino Linotype"/>
        </w:rPr>
      </w:pPr>
    </w:p>
    <w:p w:rsidR="00C94E5A" w:rsidRDefault="002E0AE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C94E5A" w:rsidRDefault="00C94E5A">
      <w:pPr>
        <w:spacing w:line="360" w:lineRule="auto"/>
        <w:ind w:right="49"/>
        <w:jc w:val="both"/>
        <w:rPr>
          <w:rFonts w:ascii="Palatino Linotype" w:eastAsia="Palatino Linotype" w:hAnsi="Palatino Linotype" w:cs="Palatino Linotype"/>
        </w:rPr>
      </w:pPr>
    </w:p>
    <w:p w:rsidR="00C94E5A" w:rsidRDefault="002E0AE7">
      <w:pPr>
        <w:spacing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QUINTO. NOTIFÍQUESE vía SAIMEX</w:t>
      </w:r>
      <w:r>
        <w:rPr>
          <w:rFonts w:ascii="Palatino Linotype" w:eastAsia="Palatino Linotype" w:hAnsi="Palatino Linotype" w:cs="Palatino Linotype"/>
        </w:rPr>
        <w:t xml:space="preserve"> a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C94E5A" w:rsidRDefault="002E0AE7">
      <w:pPr>
        <w:spacing w:before="240" w:after="240" w:line="360" w:lineRule="auto"/>
        <w:jc w:val="both"/>
        <w:rPr>
          <w:rFonts w:ascii="Palatino Linotype" w:eastAsia="Palatino Linotype" w:hAnsi="Palatino Linotype" w:cs="Palatino Linotype"/>
        </w:rPr>
        <w:sectPr w:rsidR="00C94E5A">
          <w:headerReference w:type="default" r:id="rId23"/>
          <w:footerReference w:type="default" r:id="rId24"/>
          <w:headerReference w:type="first" r:id="rId25"/>
          <w:footerReference w:type="first" r:id="rId26"/>
          <w:pgSz w:w="12240" w:h="15840"/>
          <w:pgMar w:top="1417" w:right="1701" w:bottom="1417" w:left="1701" w:header="709" w:footer="709" w:gutter="0"/>
          <w:pgNumType w:start="1"/>
          <w:cols w:space="720"/>
          <w:titlePg/>
        </w:sectPr>
      </w:pPr>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DÉCIMO SEXTA SESIÓN ORDINARIA CELEBRADA EL CUATRO DE MAYO</w:t>
      </w:r>
      <w:r>
        <w:rPr>
          <w:rFonts w:ascii="Palatino Linotype" w:eastAsia="Palatino Linotype" w:hAnsi="Palatino Linotype" w:cs="Palatino Linotype"/>
        </w:rPr>
        <w:t xml:space="preserve"> DE DOS MIL VEINTIDÓS, ANTE EL SECRETARIO TÉCNICO DEL PLENO ALEXIS TAPIA RAMÍREZ.</w:t>
      </w:r>
    </w:p>
    <w:p w:rsidR="00C94E5A" w:rsidRDefault="00C94E5A">
      <w:pPr>
        <w:spacing w:before="240" w:after="240" w:line="360" w:lineRule="auto"/>
        <w:jc w:val="both"/>
        <w:rPr>
          <w:rFonts w:ascii="Palatino Linotype" w:eastAsia="Palatino Linotype" w:hAnsi="Palatino Linotype" w:cs="Palatino Linotype"/>
        </w:rPr>
      </w:pPr>
    </w:p>
    <w:p w:rsidR="00C94E5A" w:rsidRDefault="00C94E5A">
      <w:pPr>
        <w:spacing w:before="240" w:after="240" w:line="360" w:lineRule="auto"/>
        <w:jc w:val="both"/>
        <w:rPr>
          <w:rFonts w:ascii="Palatino Linotype" w:eastAsia="Palatino Linotype" w:hAnsi="Palatino Linotype" w:cs="Palatino Linotype"/>
        </w:rPr>
      </w:pPr>
    </w:p>
    <w:p w:rsidR="00C94E5A" w:rsidRDefault="00C94E5A">
      <w:pPr>
        <w:spacing w:before="240" w:after="240" w:line="360" w:lineRule="auto"/>
        <w:jc w:val="both"/>
        <w:rPr>
          <w:rFonts w:ascii="Palatino Linotype" w:eastAsia="Palatino Linotype" w:hAnsi="Palatino Linotype" w:cs="Palatino Linotype"/>
        </w:rPr>
      </w:pPr>
    </w:p>
    <w:p w:rsidR="00C94E5A" w:rsidRDefault="00C94E5A"/>
    <w:p w:rsidR="00C94E5A" w:rsidRDefault="00C94E5A"/>
    <w:sectPr w:rsidR="00C94E5A">
      <w:headerReference w:type="first" r:id="rId27"/>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AE7" w:rsidRDefault="002E0AE7">
      <w:r>
        <w:separator/>
      </w:r>
    </w:p>
  </w:endnote>
  <w:endnote w:type="continuationSeparator" w:id="0">
    <w:p w:rsidR="002E0AE7" w:rsidRDefault="002E0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E5A" w:rsidRDefault="002E0AE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5330F">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5330F">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rsidR="00C94E5A" w:rsidRDefault="00C94E5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E5A" w:rsidRDefault="002E0AE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5330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5330F">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rsidR="00C94E5A" w:rsidRDefault="00C94E5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AE7" w:rsidRDefault="002E0AE7">
      <w:r>
        <w:separator/>
      </w:r>
    </w:p>
  </w:footnote>
  <w:footnote w:type="continuationSeparator" w:id="0">
    <w:p w:rsidR="002E0AE7" w:rsidRDefault="002E0AE7">
      <w:r>
        <w:continuationSeparator/>
      </w:r>
    </w:p>
  </w:footnote>
  <w:footnote w:id="1">
    <w:p w:rsidR="00C94E5A" w:rsidRDefault="002E0AE7">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sz w:val="20"/>
          <w:szCs w:val="20"/>
        </w:rPr>
        <w:t xml:space="preserve"> (…)</w:t>
      </w:r>
    </w:p>
  </w:footnote>
  <w:footnote w:id="2">
    <w:p w:rsidR="00C94E5A" w:rsidRDefault="002E0AE7">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9"/>
          <w:szCs w:val="19"/>
        </w:rPr>
        <w:t xml:space="preserve"> </w:t>
      </w:r>
      <w:r>
        <w:rPr>
          <w:rFonts w:ascii="Palatino Linotype" w:eastAsia="Palatino Linotype" w:hAnsi="Palatino Linotype" w:cs="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E5A" w:rsidRDefault="0045528E">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60288" behindDoc="1" locked="0" layoutInCell="1" hidden="0" allowOverlap="1" wp14:anchorId="0A560449" wp14:editId="20EF1274">
          <wp:simplePos x="0" y="0"/>
          <wp:positionH relativeFrom="column">
            <wp:posOffset>-856527</wp:posOffset>
          </wp:positionH>
          <wp:positionV relativeFrom="paragraph">
            <wp:posOffset>-81658</wp:posOffset>
          </wp:positionV>
          <wp:extent cx="7635600" cy="9943200"/>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5812" w:type="dxa"/>
      <w:tblInd w:w="3119" w:type="dxa"/>
      <w:tblLayout w:type="fixed"/>
      <w:tblLook w:val="0400" w:firstRow="0" w:lastRow="0" w:firstColumn="0" w:lastColumn="0" w:noHBand="0" w:noVBand="1"/>
    </w:tblPr>
    <w:tblGrid>
      <w:gridCol w:w="2551"/>
      <w:gridCol w:w="3261"/>
    </w:tblGrid>
    <w:tr w:rsidR="00C94E5A">
      <w:tc>
        <w:tcPr>
          <w:tcW w:w="2551" w:type="dxa"/>
          <w:vAlign w:val="center"/>
        </w:tcPr>
        <w:p w:rsidR="00C94E5A" w:rsidRDefault="002E0AE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rsidR="00C94E5A" w:rsidRDefault="002E0AE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01099/INFOEM/IP/RR/2022. </w:t>
          </w:r>
        </w:p>
      </w:tc>
    </w:tr>
    <w:tr w:rsidR="00C94E5A">
      <w:tc>
        <w:tcPr>
          <w:tcW w:w="2551" w:type="dxa"/>
          <w:vAlign w:val="center"/>
        </w:tcPr>
        <w:p w:rsidR="00C94E5A" w:rsidRDefault="002E0AE7">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rsidR="00C94E5A" w:rsidRDefault="00C94E5A">
          <w:pPr>
            <w:jc w:val="both"/>
            <w:rPr>
              <w:rFonts w:ascii="Palatino Linotype" w:eastAsia="Palatino Linotype" w:hAnsi="Palatino Linotype" w:cs="Palatino Linotype"/>
              <w:b/>
              <w:sz w:val="22"/>
              <w:szCs w:val="22"/>
            </w:rPr>
          </w:pPr>
        </w:p>
      </w:tc>
    </w:tr>
    <w:tr w:rsidR="00C94E5A">
      <w:trPr>
        <w:trHeight w:val="228"/>
      </w:trPr>
      <w:tc>
        <w:tcPr>
          <w:tcW w:w="2551" w:type="dxa"/>
          <w:vAlign w:val="center"/>
        </w:tcPr>
        <w:p w:rsidR="00C94E5A" w:rsidRDefault="002E0AE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rsidR="00C94E5A" w:rsidRDefault="002E0AE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Xonacatlán</w:t>
          </w:r>
          <w:proofErr w:type="spellEnd"/>
          <w:r>
            <w:rPr>
              <w:rFonts w:ascii="Palatino Linotype" w:eastAsia="Palatino Linotype" w:hAnsi="Palatino Linotype" w:cs="Palatino Linotype"/>
              <w:b/>
              <w:sz w:val="22"/>
              <w:szCs w:val="22"/>
            </w:rPr>
            <w:t>.</w:t>
          </w:r>
        </w:p>
      </w:tc>
    </w:tr>
    <w:tr w:rsidR="00C94E5A">
      <w:tc>
        <w:tcPr>
          <w:tcW w:w="2551" w:type="dxa"/>
          <w:vAlign w:val="center"/>
        </w:tcPr>
        <w:p w:rsidR="00C94E5A" w:rsidRDefault="002E0AE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rsidR="00C94E5A" w:rsidRDefault="002E0AE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94E5A" w:rsidRDefault="00C94E5A">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E5A" w:rsidRDefault="002E0AE7">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simplePos x="0" y="0"/>
          <wp:positionH relativeFrom="column">
            <wp:posOffset>-680313</wp:posOffset>
          </wp:positionH>
          <wp:positionV relativeFrom="paragraph">
            <wp:posOffset>-168884</wp:posOffset>
          </wp:positionV>
          <wp:extent cx="7635600" cy="9943200"/>
          <wp:effectExtent l="0" t="0" r="0" b="0"/>
          <wp:wrapNone/>
          <wp:docPr id="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5812" w:type="dxa"/>
      <w:tblInd w:w="3119" w:type="dxa"/>
      <w:tblLayout w:type="fixed"/>
      <w:tblLook w:val="0400" w:firstRow="0" w:lastRow="0" w:firstColumn="0" w:lastColumn="0" w:noHBand="0" w:noVBand="1"/>
    </w:tblPr>
    <w:tblGrid>
      <w:gridCol w:w="2551"/>
      <w:gridCol w:w="3261"/>
    </w:tblGrid>
    <w:tr w:rsidR="00C94E5A">
      <w:tc>
        <w:tcPr>
          <w:tcW w:w="2551" w:type="dxa"/>
          <w:vAlign w:val="center"/>
        </w:tcPr>
        <w:p w:rsidR="00C94E5A" w:rsidRDefault="002E0AE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rsidR="00C94E5A" w:rsidRDefault="002E0AE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01099/INFOEM/IP/RR/2022. </w:t>
          </w:r>
        </w:p>
      </w:tc>
    </w:tr>
    <w:tr w:rsidR="00C94E5A">
      <w:tc>
        <w:tcPr>
          <w:tcW w:w="2551" w:type="dxa"/>
          <w:vAlign w:val="center"/>
        </w:tcPr>
        <w:p w:rsidR="00C94E5A" w:rsidRDefault="002E0AE7">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1" w:type="dxa"/>
          <w:vAlign w:val="center"/>
        </w:tcPr>
        <w:p w:rsidR="00C94E5A" w:rsidRDefault="00C94E5A">
          <w:pPr>
            <w:jc w:val="both"/>
            <w:rPr>
              <w:rFonts w:ascii="Palatino Linotype" w:eastAsia="Palatino Linotype" w:hAnsi="Palatino Linotype" w:cs="Palatino Linotype"/>
              <w:b/>
              <w:sz w:val="22"/>
              <w:szCs w:val="22"/>
            </w:rPr>
          </w:pPr>
        </w:p>
      </w:tc>
    </w:tr>
    <w:tr w:rsidR="00C94E5A">
      <w:trPr>
        <w:trHeight w:val="228"/>
      </w:trPr>
      <w:tc>
        <w:tcPr>
          <w:tcW w:w="2551" w:type="dxa"/>
          <w:vAlign w:val="center"/>
        </w:tcPr>
        <w:p w:rsidR="00C94E5A" w:rsidRDefault="002E0AE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rsidR="00C94E5A" w:rsidRDefault="002E0AE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Xonacatlán</w:t>
          </w:r>
          <w:proofErr w:type="spellEnd"/>
          <w:r>
            <w:rPr>
              <w:rFonts w:ascii="Palatino Linotype" w:eastAsia="Palatino Linotype" w:hAnsi="Palatino Linotype" w:cs="Palatino Linotype"/>
              <w:b/>
              <w:sz w:val="22"/>
              <w:szCs w:val="22"/>
            </w:rPr>
            <w:t>.</w:t>
          </w:r>
        </w:p>
      </w:tc>
    </w:tr>
    <w:tr w:rsidR="00C94E5A">
      <w:tc>
        <w:tcPr>
          <w:tcW w:w="2551" w:type="dxa"/>
          <w:vAlign w:val="center"/>
        </w:tcPr>
        <w:p w:rsidR="00C94E5A" w:rsidRDefault="002E0AE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rsidR="00C94E5A" w:rsidRDefault="002E0AE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C94E5A" w:rsidRDefault="00C94E5A">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E5A" w:rsidRDefault="00C94E5A">
    <w:pPr>
      <w:pBdr>
        <w:top w:val="nil"/>
        <w:left w:val="nil"/>
        <w:bottom w:val="nil"/>
        <w:right w:val="nil"/>
        <w:between w:val="nil"/>
      </w:pBdr>
      <w:tabs>
        <w:tab w:val="center" w:pos="4419"/>
        <w:tab w:val="right" w:pos="8838"/>
      </w:tabs>
      <w:jc w:val="both"/>
      <w:rPr>
        <w:color w:val="000000"/>
      </w:rPr>
    </w:pPr>
  </w:p>
  <w:p w:rsidR="00C94E5A" w:rsidRDefault="00C94E5A">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974EA"/>
    <w:multiLevelType w:val="multilevel"/>
    <w:tmpl w:val="2940E00A"/>
    <w:lvl w:ilvl="0">
      <w:start w:val="6"/>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2F674E"/>
    <w:multiLevelType w:val="multilevel"/>
    <w:tmpl w:val="D5B29B7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2B1460B5"/>
    <w:multiLevelType w:val="multilevel"/>
    <w:tmpl w:val="72E2BB6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E82D25"/>
    <w:multiLevelType w:val="multilevel"/>
    <w:tmpl w:val="1C6CA70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 w15:restartNumberingAfterBreak="0">
    <w:nsid w:val="45A6455A"/>
    <w:multiLevelType w:val="multilevel"/>
    <w:tmpl w:val="9B36E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B7F7EDA"/>
    <w:multiLevelType w:val="multilevel"/>
    <w:tmpl w:val="8D4ADCCE"/>
    <w:lvl w:ilvl="0">
      <w:start w:val="1"/>
      <w:numFmt w:val="upperRoman"/>
      <w:lvlText w:val="%1."/>
      <w:lvlJc w:val="left"/>
      <w:pPr>
        <w:ind w:left="1712" w:hanging="720"/>
      </w:p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num w:numId="1">
    <w:abstractNumId w:val="1"/>
  </w:num>
  <w:num w:numId="2">
    <w:abstractNumId w:val="0"/>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E5A"/>
    <w:rsid w:val="002E0AE7"/>
    <w:rsid w:val="0045528E"/>
    <w:rsid w:val="00871C8B"/>
    <w:rsid w:val="00B5330F"/>
    <w:rsid w:val="00C94E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C08605-78F0-459E-BCBF-6298F1E69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D30"/>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44D30"/>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4D30"/>
    <w:pPr>
      <w:ind w:left="708"/>
    </w:pPr>
    <w:rPr>
      <w:sz w:val="22"/>
      <w:szCs w:val="22"/>
      <w:lang w:eastAsia="en-US"/>
    </w:rPr>
  </w:style>
  <w:style w:type="paragraph" w:customStyle="1" w:styleId="paragraph">
    <w:name w:val="paragraph"/>
    <w:basedOn w:val="Normal"/>
    <w:rsid w:val="00C44D30"/>
    <w:pPr>
      <w:spacing w:before="100" w:beforeAutospacing="1" w:after="100" w:afterAutospacing="1"/>
    </w:pPr>
    <w:rPr>
      <w:lang w:val="es-MX" w:eastAsia="es-MX"/>
    </w:rPr>
  </w:style>
  <w:style w:type="character" w:customStyle="1" w:styleId="normaltextrun">
    <w:name w:val="normaltextrun"/>
    <w:basedOn w:val="Fuentedeprrafopredeter"/>
    <w:rsid w:val="00C44D30"/>
  </w:style>
  <w:style w:type="character" w:customStyle="1" w:styleId="apple-converted-space">
    <w:name w:val="apple-converted-space"/>
    <w:basedOn w:val="Fuentedeprrafopredeter"/>
    <w:rsid w:val="00C44D30"/>
  </w:style>
  <w:style w:type="character" w:customStyle="1" w:styleId="eop">
    <w:name w:val="eop"/>
    <w:basedOn w:val="Fuentedeprrafopredeter"/>
    <w:rsid w:val="00C44D30"/>
  </w:style>
  <w:style w:type="table" w:styleId="Tablaconcuadrcula">
    <w:name w:val="Table Grid"/>
    <w:basedOn w:val="Tablanormal"/>
    <w:uiPriority w:val="59"/>
    <w:rsid w:val="00C44D30"/>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44D30"/>
    <w:pPr>
      <w:tabs>
        <w:tab w:val="center" w:pos="4419"/>
        <w:tab w:val="right" w:pos="8838"/>
      </w:tabs>
    </w:pPr>
  </w:style>
  <w:style w:type="character" w:customStyle="1" w:styleId="EncabezadoCar">
    <w:name w:val="Encabezado Car"/>
    <w:basedOn w:val="Fuentedeprrafopredeter"/>
    <w:link w:val="Encabezado"/>
    <w:uiPriority w:val="99"/>
    <w:rsid w:val="00C44D30"/>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44D30"/>
    <w:pPr>
      <w:tabs>
        <w:tab w:val="center" w:pos="4419"/>
        <w:tab w:val="right" w:pos="8838"/>
      </w:tabs>
    </w:pPr>
  </w:style>
  <w:style w:type="character" w:customStyle="1" w:styleId="PiedepginaCar">
    <w:name w:val="Pie de página Car"/>
    <w:basedOn w:val="Fuentedeprrafopredeter"/>
    <w:link w:val="Piedepgina"/>
    <w:uiPriority w:val="99"/>
    <w:rsid w:val="00C44D30"/>
    <w:rPr>
      <w:rFonts w:ascii="Times New Roman" w:eastAsia="Times New Roman" w:hAnsi="Times New Roman" w:cs="Times New Roman"/>
      <w:sz w:val="24"/>
      <w:szCs w:val="24"/>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hyperlink" Target="http://dof.gob.mx/nota_detalle.php?codigo=5492254&amp;fecha=28/07/2017"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ulMSxhy5NIURCxT7jm75HOMW8Q==">AMUW2mWOL7INxsxnU8ToRgDo36EEzTsaRyOmwY5C4X4cl06VSeV6BM4EGrrjUg7MFK1VKIEl3Md/pGXZm//8CSpkn/Lk8RZv1lyn9G0uglFjsh6CYdiXer0YaHirosLIK5QN59FE4Elnj9xpajTYAeXqyhYLHYk9C6H4hHqi25e7KD6KGP8i7hY=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12087</Words>
  <Characters>66483</Characters>
  <Application>Microsoft Office Word</Application>
  <DocSecurity>0</DocSecurity>
  <Lines>554</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KEPZAR Productos y Servicios de Tecnología</dc:creator>
  <cp:lastModifiedBy>Infoem-User</cp:lastModifiedBy>
  <cp:revision>4</cp:revision>
  <cp:lastPrinted>2022-05-09T15:20:00Z</cp:lastPrinted>
  <dcterms:created xsi:type="dcterms:W3CDTF">2022-05-06T18:19:00Z</dcterms:created>
  <dcterms:modified xsi:type="dcterms:W3CDTF">2022-05-09T15:20:00Z</dcterms:modified>
</cp:coreProperties>
</file>