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C90EA1" w:rsidRDefault="009F09BC" w:rsidP="007C3761">
      <w:pPr>
        <w:tabs>
          <w:tab w:val="left" w:pos="3465"/>
        </w:tabs>
        <w:spacing w:line="360" w:lineRule="auto"/>
        <w:jc w:val="both"/>
        <w:rPr>
          <w:rFonts w:ascii="Palatino Linotype" w:hAnsi="Palatino Linotype"/>
        </w:rPr>
      </w:pPr>
      <w:r w:rsidRPr="00C90EA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94534" w:rsidRPr="00C90EA1">
        <w:rPr>
          <w:rFonts w:ascii="Palatino Linotype" w:hAnsi="Palatino Linotype"/>
        </w:rPr>
        <w:t>once</w:t>
      </w:r>
      <w:r w:rsidR="006A04B6" w:rsidRPr="00C90EA1">
        <w:rPr>
          <w:rFonts w:ascii="Palatino Linotype" w:hAnsi="Palatino Linotype"/>
        </w:rPr>
        <w:t xml:space="preserve"> (</w:t>
      </w:r>
      <w:r w:rsidR="00594534" w:rsidRPr="00C90EA1">
        <w:rPr>
          <w:rFonts w:ascii="Palatino Linotype" w:hAnsi="Palatino Linotype"/>
        </w:rPr>
        <w:t>11</w:t>
      </w:r>
      <w:r w:rsidRPr="00C90EA1">
        <w:rPr>
          <w:rFonts w:ascii="Palatino Linotype" w:hAnsi="Palatino Linotype"/>
        </w:rPr>
        <w:t xml:space="preserve">) de </w:t>
      </w:r>
      <w:r w:rsidR="00594534" w:rsidRPr="00C90EA1">
        <w:rPr>
          <w:rFonts w:ascii="Palatino Linotype" w:hAnsi="Palatino Linotype"/>
        </w:rPr>
        <w:t>mayo</w:t>
      </w:r>
      <w:r w:rsidR="004525CB" w:rsidRPr="00C90EA1">
        <w:rPr>
          <w:rFonts w:ascii="Palatino Linotype" w:hAnsi="Palatino Linotype"/>
        </w:rPr>
        <w:t xml:space="preserve"> de dos mil veintidós</w:t>
      </w:r>
      <w:r w:rsidRPr="00C90EA1">
        <w:rPr>
          <w:rFonts w:ascii="Palatino Linotype" w:hAnsi="Palatino Linotype"/>
        </w:rPr>
        <w:t>.</w:t>
      </w:r>
    </w:p>
    <w:p w:rsidR="00A054B6" w:rsidRPr="00C90EA1" w:rsidRDefault="00A054B6" w:rsidP="007C3761">
      <w:pPr>
        <w:tabs>
          <w:tab w:val="left" w:pos="3465"/>
        </w:tabs>
        <w:spacing w:line="360" w:lineRule="auto"/>
        <w:jc w:val="both"/>
        <w:rPr>
          <w:rFonts w:ascii="Palatino Linotype" w:hAnsi="Palatino Linotype"/>
        </w:rPr>
      </w:pPr>
    </w:p>
    <w:p w:rsidR="009F09BC" w:rsidRPr="00C90EA1" w:rsidRDefault="009F09BC" w:rsidP="007C3761">
      <w:pPr>
        <w:spacing w:line="360" w:lineRule="auto"/>
        <w:jc w:val="both"/>
        <w:rPr>
          <w:rFonts w:ascii="Palatino Linotype" w:hAnsi="Palatino Linotype"/>
        </w:rPr>
      </w:pPr>
      <w:r w:rsidRPr="00C90EA1">
        <w:rPr>
          <w:rFonts w:ascii="Palatino Linotype" w:hAnsi="Palatino Linotype"/>
          <w:b/>
        </w:rPr>
        <w:t>VISTO</w:t>
      </w:r>
      <w:r w:rsidRPr="00C90EA1">
        <w:rPr>
          <w:rFonts w:ascii="Palatino Linotype" w:hAnsi="Palatino Linotype"/>
        </w:rPr>
        <w:t xml:space="preserve"> </w:t>
      </w:r>
      <w:r w:rsidR="008A699B" w:rsidRPr="00C90EA1">
        <w:rPr>
          <w:rFonts w:ascii="Palatino Linotype" w:hAnsi="Palatino Linotype"/>
        </w:rPr>
        <w:t>e</w:t>
      </w:r>
      <w:r w:rsidRPr="00C90EA1">
        <w:rPr>
          <w:rFonts w:ascii="Palatino Linotype" w:hAnsi="Palatino Linotype"/>
        </w:rPr>
        <w:t xml:space="preserve">l expediente electrónico formado con motivo del recurso de revisión </w:t>
      </w:r>
      <w:r w:rsidR="00CE73D6" w:rsidRPr="00C90EA1">
        <w:rPr>
          <w:rFonts w:ascii="Palatino Linotype" w:hAnsi="Palatino Linotype"/>
          <w:b/>
        </w:rPr>
        <w:t>00663</w:t>
      </w:r>
      <w:r w:rsidR="004525CB" w:rsidRPr="00C90EA1">
        <w:rPr>
          <w:rFonts w:ascii="Palatino Linotype" w:hAnsi="Palatino Linotype"/>
          <w:b/>
        </w:rPr>
        <w:t>/INFOEM/IP/RR/2022</w:t>
      </w:r>
      <w:r w:rsidRPr="00C90EA1">
        <w:rPr>
          <w:rFonts w:ascii="Palatino Linotype" w:hAnsi="Palatino Linotype"/>
        </w:rPr>
        <w:t>,</w:t>
      </w:r>
      <w:r w:rsidRPr="00C90EA1">
        <w:rPr>
          <w:rFonts w:ascii="Palatino Linotype" w:hAnsi="Palatino Linotype" w:cs="Arial"/>
          <w:b/>
          <w:bCs/>
        </w:rPr>
        <w:t xml:space="preserve"> </w:t>
      </w:r>
      <w:r w:rsidRPr="00C90EA1">
        <w:rPr>
          <w:rFonts w:ascii="Palatino Linotype" w:hAnsi="Palatino Linotype"/>
        </w:rPr>
        <w:t xml:space="preserve">promovido por </w:t>
      </w:r>
      <w:r w:rsidR="00CE73D6" w:rsidRPr="00C90EA1">
        <w:rPr>
          <w:rFonts w:ascii="Palatino Linotype" w:hAnsi="Palatino Linotype"/>
          <w:b/>
        </w:rPr>
        <w:t>No Proporcionado</w:t>
      </w:r>
      <w:r w:rsidRPr="00C90EA1">
        <w:rPr>
          <w:rFonts w:ascii="Palatino Linotype" w:hAnsi="Palatino Linotype"/>
        </w:rPr>
        <w:t xml:space="preserve">, a quien en lo sucesivo se le identificará como </w:t>
      </w:r>
      <w:r w:rsidRPr="00C90EA1">
        <w:rPr>
          <w:rFonts w:ascii="Palatino Linotype" w:hAnsi="Palatino Linotype"/>
          <w:b/>
        </w:rPr>
        <w:t>EL RECURRENTE</w:t>
      </w:r>
      <w:r w:rsidRPr="00C90EA1">
        <w:rPr>
          <w:rFonts w:ascii="Palatino Linotype" w:hAnsi="Palatino Linotype" w:cs="Arial"/>
        </w:rPr>
        <w:t xml:space="preserve">, en contra de las respuestas del </w:t>
      </w:r>
      <w:r w:rsidR="00CE73D6" w:rsidRPr="00C90EA1">
        <w:rPr>
          <w:rFonts w:ascii="Palatino Linotype" w:hAnsi="Palatino Linotype" w:cs="Arial"/>
          <w:b/>
        </w:rPr>
        <w:t>Organismo Público Descentralizado para la Prestación de Los Servicios de Agua Potable Alcantarillado y Saneamiento de Atizapán de Zaragoza por sus siglas S.A.P.A.S.A.</w:t>
      </w:r>
      <w:r w:rsidRPr="00C90EA1">
        <w:rPr>
          <w:rFonts w:ascii="Palatino Linotype" w:hAnsi="Palatino Linotype" w:cs="Arial"/>
          <w:b/>
        </w:rPr>
        <w:t>,</w:t>
      </w:r>
      <w:r w:rsidRPr="00C90EA1">
        <w:rPr>
          <w:rFonts w:ascii="Palatino Linotype" w:hAnsi="Palatino Linotype"/>
          <w:b/>
        </w:rPr>
        <w:t xml:space="preserve"> </w:t>
      </w:r>
      <w:r w:rsidRPr="00C90EA1">
        <w:rPr>
          <w:rFonts w:ascii="Palatino Linotype" w:hAnsi="Palatino Linotype"/>
        </w:rPr>
        <w:t>en lo sucesivo el</w:t>
      </w:r>
      <w:r w:rsidRPr="00C90EA1">
        <w:rPr>
          <w:rFonts w:ascii="Palatino Linotype" w:hAnsi="Palatino Linotype"/>
          <w:b/>
        </w:rPr>
        <w:t xml:space="preserve"> SUJETO OBLIGADO</w:t>
      </w:r>
      <w:r w:rsidRPr="00C90EA1">
        <w:rPr>
          <w:rFonts w:ascii="Palatino Linotype" w:hAnsi="Palatino Linotype"/>
        </w:rPr>
        <w:t>, se procede a dictar la presente resolución, con base en los siguientes:</w:t>
      </w:r>
    </w:p>
    <w:p w:rsidR="007C3761" w:rsidRPr="00C90EA1" w:rsidRDefault="007C3761" w:rsidP="007C3761">
      <w:pPr>
        <w:spacing w:line="360" w:lineRule="auto"/>
        <w:jc w:val="both"/>
        <w:rPr>
          <w:rFonts w:ascii="Palatino Linotype" w:hAnsi="Palatino Linotype"/>
          <w:b/>
        </w:rPr>
      </w:pPr>
    </w:p>
    <w:p w:rsidR="009F09BC" w:rsidRPr="00C90EA1" w:rsidRDefault="009F09BC" w:rsidP="007C3761">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C90EA1">
        <w:rPr>
          <w:rFonts w:ascii="Palatino Linotype" w:hAnsi="Palatino Linotype"/>
          <w:b/>
          <w:color w:val="000000" w:themeColor="text1"/>
          <w:sz w:val="24"/>
          <w:szCs w:val="24"/>
        </w:rPr>
        <w:t>ANTECEDENTES</w:t>
      </w:r>
      <w:bookmarkEnd w:id="0"/>
      <w:bookmarkEnd w:id="1"/>
      <w:bookmarkEnd w:id="2"/>
    </w:p>
    <w:p w:rsidR="007C3761" w:rsidRPr="00C90EA1" w:rsidRDefault="007C3761" w:rsidP="007C3761"/>
    <w:p w:rsidR="009F09BC" w:rsidRPr="00C90EA1" w:rsidRDefault="009F09BC" w:rsidP="007C3761">
      <w:pPr>
        <w:pStyle w:val="Prrafodelista"/>
        <w:numPr>
          <w:ilvl w:val="0"/>
          <w:numId w:val="15"/>
        </w:numPr>
        <w:spacing w:line="360" w:lineRule="auto"/>
        <w:ind w:left="0" w:firstLine="0"/>
        <w:jc w:val="both"/>
        <w:rPr>
          <w:rFonts w:ascii="Palatino Linotype" w:eastAsia="Calibri" w:hAnsi="Palatino Linotype" w:cs="Arial"/>
          <w:lang w:val="es-ES"/>
        </w:rPr>
      </w:pPr>
      <w:r w:rsidRPr="00C90EA1">
        <w:rPr>
          <w:rFonts w:ascii="Palatino Linotype" w:eastAsia="Calibri" w:hAnsi="Palatino Linotype" w:cs="Arial"/>
          <w:lang w:val="es-ES"/>
        </w:rPr>
        <w:t xml:space="preserve">El día </w:t>
      </w:r>
      <w:r w:rsidR="00CE73D6" w:rsidRPr="00C90EA1">
        <w:rPr>
          <w:rFonts w:ascii="Palatino Linotype" w:eastAsia="Calibri" w:hAnsi="Palatino Linotype" w:cs="Arial"/>
          <w:lang w:val="es-ES"/>
        </w:rPr>
        <w:t>trece</w:t>
      </w:r>
      <w:r w:rsidRPr="00C90EA1">
        <w:rPr>
          <w:rFonts w:ascii="Palatino Linotype" w:eastAsia="Calibri" w:hAnsi="Palatino Linotype" w:cs="Arial"/>
          <w:lang w:val="es-ES"/>
        </w:rPr>
        <w:t xml:space="preserve"> (</w:t>
      </w:r>
      <w:r w:rsidR="008A699B" w:rsidRPr="00C90EA1">
        <w:rPr>
          <w:rFonts w:ascii="Palatino Linotype" w:eastAsia="Calibri" w:hAnsi="Palatino Linotype" w:cs="Arial"/>
          <w:lang w:val="es-ES"/>
        </w:rPr>
        <w:t>1</w:t>
      </w:r>
      <w:r w:rsidR="00CE73D6" w:rsidRPr="00C90EA1">
        <w:rPr>
          <w:rFonts w:ascii="Palatino Linotype" w:eastAsia="Calibri" w:hAnsi="Palatino Linotype" w:cs="Arial"/>
          <w:lang w:val="es-ES"/>
        </w:rPr>
        <w:t>3</w:t>
      </w:r>
      <w:r w:rsidRPr="00C90EA1">
        <w:rPr>
          <w:rFonts w:ascii="Palatino Linotype" w:eastAsia="Calibri" w:hAnsi="Palatino Linotype" w:cs="Arial"/>
          <w:lang w:val="es-ES"/>
        </w:rPr>
        <w:t xml:space="preserve">) de </w:t>
      </w:r>
      <w:r w:rsidR="00594534" w:rsidRPr="00C90EA1">
        <w:rPr>
          <w:rFonts w:ascii="Palatino Linotype" w:eastAsia="Calibri" w:hAnsi="Palatino Linotype" w:cs="Arial"/>
          <w:lang w:val="es-ES"/>
        </w:rPr>
        <w:t>enero</w:t>
      </w:r>
      <w:r w:rsidRPr="00C90EA1">
        <w:rPr>
          <w:rFonts w:ascii="Palatino Linotype" w:eastAsia="Calibri" w:hAnsi="Palatino Linotype" w:cs="Arial"/>
          <w:lang w:val="es-ES"/>
        </w:rPr>
        <w:t xml:space="preserve"> de dos mil </w:t>
      </w:r>
      <w:r w:rsidR="00CE73D6" w:rsidRPr="00C90EA1">
        <w:rPr>
          <w:rFonts w:ascii="Palatino Linotype" w:eastAsia="Calibri" w:hAnsi="Palatino Linotype" w:cs="Arial"/>
          <w:lang w:val="es-ES"/>
        </w:rPr>
        <w:t>veintidós</w:t>
      </w:r>
      <w:r w:rsidRPr="00C90EA1">
        <w:rPr>
          <w:rFonts w:ascii="Palatino Linotype" w:hAnsi="Palatino Linotype"/>
          <w:b/>
        </w:rPr>
        <w:t xml:space="preserve">, </w:t>
      </w:r>
      <w:r w:rsidRPr="00C90EA1">
        <w:rPr>
          <w:rFonts w:ascii="Palatino Linotype" w:eastAsia="Calibri" w:hAnsi="Palatino Linotype" w:cs="Arial"/>
          <w:lang w:val="es-ES"/>
        </w:rPr>
        <w:t xml:space="preserve">se presentó ante el </w:t>
      </w:r>
      <w:r w:rsidRPr="00C90EA1">
        <w:rPr>
          <w:rFonts w:ascii="Palatino Linotype" w:eastAsia="Calibri" w:hAnsi="Palatino Linotype" w:cs="Arial"/>
          <w:b/>
          <w:lang w:val="es-ES"/>
        </w:rPr>
        <w:t>SUJETO OBLIGADO</w:t>
      </w:r>
      <w:r w:rsidRPr="00C90EA1">
        <w:rPr>
          <w:rFonts w:ascii="Palatino Linotype" w:eastAsia="Calibri" w:hAnsi="Palatino Linotype" w:cs="Arial"/>
        </w:rPr>
        <w:t xml:space="preserve"> vía </w:t>
      </w:r>
      <w:r w:rsidR="008A699B" w:rsidRPr="00C90EA1">
        <w:rPr>
          <w:rFonts w:ascii="Palatino Linotype" w:eastAsia="Calibri" w:hAnsi="Palatino Linotype" w:cs="Arial"/>
          <w:lang w:val="es-ES"/>
        </w:rPr>
        <w:t>SAIMEX, la solicitud</w:t>
      </w:r>
      <w:r w:rsidRPr="00C90EA1">
        <w:rPr>
          <w:rFonts w:ascii="Palatino Linotype" w:eastAsia="Calibri" w:hAnsi="Palatino Linotype" w:cs="Arial"/>
          <w:lang w:val="es-ES"/>
        </w:rPr>
        <w:t xml:space="preserve"> de información pública</w:t>
      </w:r>
      <w:r w:rsidR="008A699B" w:rsidRPr="00C90EA1">
        <w:rPr>
          <w:rFonts w:ascii="Palatino Linotype" w:eastAsia="Calibri" w:hAnsi="Palatino Linotype" w:cs="Arial"/>
          <w:lang w:val="es-ES"/>
        </w:rPr>
        <w:t xml:space="preserve"> registrada</w:t>
      </w:r>
      <w:r w:rsidRPr="00C90EA1">
        <w:rPr>
          <w:rFonts w:ascii="Palatino Linotype" w:eastAsia="Calibri" w:hAnsi="Palatino Linotype" w:cs="Arial"/>
          <w:lang w:val="es-ES"/>
        </w:rPr>
        <w:t xml:space="preserve"> con </w:t>
      </w:r>
      <w:r w:rsidR="008A699B" w:rsidRPr="00C90EA1">
        <w:rPr>
          <w:rFonts w:ascii="Palatino Linotype" w:eastAsia="Calibri" w:hAnsi="Palatino Linotype" w:cs="Arial"/>
          <w:lang w:val="es-ES"/>
        </w:rPr>
        <w:t xml:space="preserve">el </w:t>
      </w:r>
      <w:r w:rsidRPr="00C90EA1">
        <w:rPr>
          <w:rFonts w:ascii="Palatino Linotype" w:eastAsia="Calibri" w:hAnsi="Palatino Linotype" w:cs="Arial"/>
          <w:lang w:val="es-ES"/>
        </w:rPr>
        <w:t>número</w:t>
      </w:r>
      <w:r w:rsidRPr="00C90EA1">
        <w:rPr>
          <w:rFonts w:ascii="Palatino Linotype" w:hAnsi="Palatino Linotype"/>
          <w:b/>
          <w:bCs/>
          <w:color w:val="000000" w:themeColor="text1"/>
        </w:rPr>
        <w:t xml:space="preserve"> </w:t>
      </w:r>
      <w:r w:rsidR="00CE73D6" w:rsidRPr="00C90EA1">
        <w:rPr>
          <w:rFonts w:ascii="Palatino Linotype" w:hAnsi="Palatino Linotype"/>
          <w:b/>
          <w:bCs/>
          <w:color w:val="000000" w:themeColor="text1"/>
        </w:rPr>
        <w:t>00005/OASATIZARA/IP/2022</w:t>
      </w:r>
      <w:r w:rsidRPr="00C90EA1">
        <w:rPr>
          <w:rFonts w:ascii="Palatino Linotype" w:hAnsi="Palatino Linotype"/>
          <w:b/>
          <w:bCs/>
          <w:color w:val="000000" w:themeColor="text1"/>
        </w:rPr>
        <w:t xml:space="preserve">; </w:t>
      </w:r>
      <w:r w:rsidRPr="00C90EA1">
        <w:rPr>
          <w:rFonts w:ascii="Palatino Linotype" w:eastAsia="Calibri" w:hAnsi="Palatino Linotype" w:cs="Arial"/>
          <w:lang w:val="es-ES"/>
        </w:rPr>
        <w:t>mediante las cuales se solicitó la siguiente información:</w:t>
      </w:r>
    </w:p>
    <w:p w:rsidR="008A699B" w:rsidRPr="00C90EA1" w:rsidRDefault="008A699B" w:rsidP="007C3761">
      <w:pPr>
        <w:pStyle w:val="Prrafodelista"/>
        <w:spacing w:line="360" w:lineRule="auto"/>
        <w:ind w:left="0"/>
        <w:jc w:val="both"/>
        <w:rPr>
          <w:rFonts w:ascii="Palatino Linotype" w:eastAsia="Calibri" w:hAnsi="Palatino Linotype" w:cs="Arial"/>
          <w:lang w:val="es-ES"/>
        </w:rPr>
      </w:pPr>
    </w:p>
    <w:p w:rsidR="009F09BC" w:rsidRPr="00C90EA1" w:rsidRDefault="008A699B" w:rsidP="007C3761">
      <w:pPr>
        <w:pStyle w:val="Prrafodelista"/>
        <w:spacing w:line="360" w:lineRule="auto"/>
        <w:ind w:left="426" w:right="474"/>
        <w:jc w:val="both"/>
        <w:rPr>
          <w:rFonts w:ascii="Palatino Linotype" w:hAnsi="Palatino Linotype"/>
          <w:i/>
        </w:rPr>
      </w:pPr>
      <w:r w:rsidRPr="00C90EA1">
        <w:rPr>
          <w:rFonts w:ascii="Palatino Linotype" w:hAnsi="Palatino Linotype"/>
          <w:i/>
        </w:rPr>
        <w:t>“</w:t>
      </w:r>
      <w:r w:rsidR="00CE73D6" w:rsidRPr="00C90EA1">
        <w:rPr>
          <w:rFonts w:ascii="Palatino Linotype" w:hAnsi="Palatino Linotype"/>
          <w:i/>
        </w:rPr>
        <w:t xml:space="preserve">Solicito la </w:t>
      </w:r>
      <w:proofErr w:type="spellStart"/>
      <w:r w:rsidR="00CE73D6" w:rsidRPr="00C90EA1">
        <w:rPr>
          <w:rFonts w:ascii="Palatino Linotype" w:hAnsi="Palatino Linotype"/>
          <w:i/>
        </w:rPr>
        <w:t>certificacion</w:t>
      </w:r>
      <w:proofErr w:type="spellEnd"/>
      <w:r w:rsidR="00CE73D6" w:rsidRPr="00C90EA1">
        <w:rPr>
          <w:rFonts w:ascii="Palatino Linotype" w:hAnsi="Palatino Linotype"/>
          <w:i/>
        </w:rPr>
        <w:t xml:space="preserve"> en materia de acceso a la </w:t>
      </w:r>
      <w:proofErr w:type="spellStart"/>
      <w:r w:rsidR="00CE73D6" w:rsidRPr="00C90EA1">
        <w:rPr>
          <w:rFonts w:ascii="Palatino Linotype" w:hAnsi="Palatino Linotype"/>
          <w:i/>
        </w:rPr>
        <w:t>informacion</w:t>
      </w:r>
      <w:proofErr w:type="spellEnd"/>
      <w:r w:rsidR="00CE73D6" w:rsidRPr="00C90EA1">
        <w:rPr>
          <w:rFonts w:ascii="Palatino Linotype" w:hAnsi="Palatino Linotype"/>
          <w:i/>
        </w:rPr>
        <w:t xml:space="preserve">, transparencia y </w:t>
      </w:r>
      <w:proofErr w:type="spellStart"/>
      <w:r w:rsidR="00CE73D6" w:rsidRPr="00C90EA1">
        <w:rPr>
          <w:rFonts w:ascii="Palatino Linotype" w:hAnsi="Palatino Linotype"/>
          <w:i/>
        </w:rPr>
        <w:t>proteccion</w:t>
      </w:r>
      <w:proofErr w:type="spellEnd"/>
      <w:r w:rsidR="00CE73D6" w:rsidRPr="00C90EA1">
        <w:rPr>
          <w:rFonts w:ascii="Palatino Linotype" w:hAnsi="Palatino Linotype"/>
          <w:i/>
        </w:rPr>
        <w:t xml:space="preserve"> de datos personales emitida por el Instituto, de la persona que </w:t>
      </w:r>
      <w:proofErr w:type="spellStart"/>
      <w:r w:rsidR="00CE73D6" w:rsidRPr="00C90EA1">
        <w:rPr>
          <w:rFonts w:ascii="Palatino Linotype" w:hAnsi="Palatino Linotype"/>
          <w:i/>
        </w:rPr>
        <w:t>este</w:t>
      </w:r>
      <w:proofErr w:type="spellEnd"/>
      <w:r w:rsidR="00CE73D6" w:rsidRPr="00C90EA1">
        <w:rPr>
          <w:rFonts w:ascii="Palatino Linotype" w:hAnsi="Palatino Linotype"/>
          <w:i/>
        </w:rPr>
        <w:t xml:space="preserve"> en el </w:t>
      </w:r>
      <w:proofErr w:type="spellStart"/>
      <w:r w:rsidR="00CE73D6" w:rsidRPr="00C90EA1">
        <w:rPr>
          <w:rFonts w:ascii="Palatino Linotype" w:hAnsi="Palatino Linotype"/>
          <w:i/>
        </w:rPr>
        <w:lastRenderedPageBreak/>
        <w:t>area</w:t>
      </w:r>
      <w:proofErr w:type="spellEnd"/>
      <w:r w:rsidR="00CE73D6" w:rsidRPr="00C90EA1">
        <w:rPr>
          <w:rFonts w:ascii="Palatino Linotype" w:hAnsi="Palatino Linotype"/>
          <w:i/>
        </w:rPr>
        <w:t xml:space="preserve"> de transparencia solicito la </w:t>
      </w:r>
      <w:proofErr w:type="spellStart"/>
      <w:r w:rsidR="00CE73D6" w:rsidRPr="00C90EA1">
        <w:rPr>
          <w:rFonts w:ascii="Palatino Linotype" w:hAnsi="Palatino Linotype"/>
          <w:i/>
        </w:rPr>
        <w:t>documentacion</w:t>
      </w:r>
      <w:proofErr w:type="spellEnd"/>
      <w:r w:rsidR="00CE73D6" w:rsidRPr="00C90EA1">
        <w:rPr>
          <w:rFonts w:ascii="Palatino Linotype" w:hAnsi="Palatino Linotype"/>
          <w:i/>
        </w:rPr>
        <w:t xml:space="preserve"> que comprueba la experiencia todo ello requerido en el </w:t>
      </w:r>
      <w:proofErr w:type="spellStart"/>
      <w:r w:rsidR="00CE73D6" w:rsidRPr="00C90EA1">
        <w:rPr>
          <w:rFonts w:ascii="Palatino Linotype" w:hAnsi="Palatino Linotype"/>
          <w:i/>
        </w:rPr>
        <w:t>articulo</w:t>
      </w:r>
      <w:proofErr w:type="spellEnd"/>
      <w:r w:rsidR="00CE73D6" w:rsidRPr="00C90EA1">
        <w:rPr>
          <w:rFonts w:ascii="Palatino Linotype" w:hAnsi="Palatino Linotype"/>
          <w:i/>
        </w:rPr>
        <w:t xml:space="preserve"> 57 de la LTAIPEMM</w:t>
      </w:r>
      <w:r w:rsidRPr="00C90EA1">
        <w:rPr>
          <w:rFonts w:ascii="Palatino Linotype" w:hAnsi="Palatino Linotype"/>
          <w:i/>
        </w:rPr>
        <w:t>”</w:t>
      </w:r>
    </w:p>
    <w:p w:rsidR="008A699B" w:rsidRPr="00C90EA1" w:rsidRDefault="008A699B" w:rsidP="007C3761">
      <w:pPr>
        <w:pStyle w:val="Prrafodelista"/>
        <w:spacing w:line="360" w:lineRule="auto"/>
        <w:ind w:left="851" w:right="34"/>
        <w:jc w:val="both"/>
        <w:rPr>
          <w:rFonts w:ascii="Palatino Linotype" w:hAnsi="Palatino Linotype"/>
        </w:rPr>
      </w:pPr>
    </w:p>
    <w:p w:rsidR="009F09BC" w:rsidRPr="00C90EA1" w:rsidRDefault="009F09BC" w:rsidP="007C3761">
      <w:pPr>
        <w:pStyle w:val="Prrafodelista"/>
        <w:numPr>
          <w:ilvl w:val="0"/>
          <w:numId w:val="23"/>
        </w:numPr>
        <w:spacing w:line="360" w:lineRule="auto"/>
        <w:ind w:left="851" w:right="34"/>
        <w:jc w:val="both"/>
        <w:rPr>
          <w:rFonts w:ascii="Palatino Linotype" w:hAnsi="Palatino Linotype"/>
        </w:rPr>
      </w:pPr>
      <w:r w:rsidRPr="00C90EA1">
        <w:rPr>
          <w:rFonts w:ascii="Palatino Linotype" w:eastAsia="Times New Roman" w:hAnsi="Palatino Linotype" w:cs="Arial"/>
          <w:lang w:val="es-ES"/>
        </w:rPr>
        <w:t>Se eligió como modalidad de entrega de la información</w:t>
      </w:r>
      <w:r w:rsidRPr="00C90EA1">
        <w:rPr>
          <w:rFonts w:ascii="Palatino Linotype" w:hAnsi="Palatino Linotype"/>
        </w:rPr>
        <w:t xml:space="preserve">: A través del </w:t>
      </w:r>
      <w:r w:rsidRPr="00C90EA1">
        <w:rPr>
          <w:rFonts w:ascii="Palatino Linotype" w:hAnsi="Palatino Linotype"/>
          <w:b/>
        </w:rPr>
        <w:t>SAIMEX</w:t>
      </w:r>
    </w:p>
    <w:p w:rsidR="008A699B" w:rsidRPr="00C90EA1" w:rsidRDefault="008A699B" w:rsidP="007C3761">
      <w:pPr>
        <w:pStyle w:val="Prrafodelista"/>
        <w:spacing w:line="360" w:lineRule="auto"/>
        <w:ind w:left="851" w:right="34"/>
        <w:jc w:val="both"/>
        <w:rPr>
          <w:rFonts w:ascii="Palatino Linotype" w:hAnsi="Palatino Linotype"/>
        </w:rPr>
      </w:pPr>
    </w:p>
    <w:p w:rsidR="002C4997" w:rsidRPr="00C90EA1" w:rsidRDefault="004525CB" w:rsidP="00D6295E">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90EA1">
        <w:rPr>
          <w:rFonts w:ascii="Palatino Linotype" w:hAnsi="Palatino Linotype" w:cs="Arial"/>
          <w:color w:val="000000" w:themeColor="text1"/>
        </w:rPr>
        <w:t xml:space="preserve">El </w:t>
      </w:r>
      <w:r w:rsidR="00D6295E" w:rsidRPr="00C90EA1">
        <w:rPr>
          <w:rFonts w:ascii="Palatino Linotype" w:hAnsi="Palatino Linotype" w:cs="Arial"/>
          <w:color w:val="000000" w:themeColor="text1"/>
        </w:rPr>
        <w:t>tres</w:t>
      </w:r>
      <w:r w:rsidR="009F09BC" w:rsidRPr="00C90EA1">
        <w:rPr>
          <w:rFonts w:ascii="Palatino Linotype" w:hAnsi="Palatino Linotype" w:cs="Arial"/>
          <w:color w:val="000000" w:themeColor="text1"/>
        </w:rPr>
        <w:t xml:space="preserve"> (</w:t>
      </w:r>
      <w:r w:rsidR="00594534" w:rsidRPr="00C90EA1">
        <w:rPr>
          <w:rFonts w:ascii="Palatino Linotype" w:hAnsi="Palatino Linotype" w:cs="Arial"/>
          <w:color w:val="000000" w:themeColor="text1"/>
        </w:rPr>
        <w:t>0</w:t>
      </w:r>
      <w:r w:rsidR="00D6295E" w:rsidRPr="00C90EA1">
        <w:rPr>
          <w:rFonts w:ascii="Palatino Linotype" w:hAnsi="Palatino Linotype" w:cs="Arial"/>
          <w:color w:val="000000" w:themeColor="text1"/>
        </w:rPr>
        <w:t>3</w:t>
      </w:r>
      <w:r w:rsidR="009F09BC" w:rsidRPr="00C90EA1">
        <w:rPr>
          <w:rFonts w:ascii="Palatino Linotype" w:hAnsi="Palatino Linotype" w:cs="Arial"/>
          <w:color w:val="000000" w:themeColor="text1"/>
        </w:rPr>
        <w:t xml:space="preserve">) de </w:t>
      </w:r>
      <w:r w:rsidR="00594534" w:rsidRPr="00C90EA1">
        <w:rPr>
          <w:rFonts w:ascii="Palatino Linotype" w:hAnsi="Palatino Linotype" w:cs="Arial"/>
          <w:color w:val="000000" w:themeColor="text1"/>
        </w:rPr>
        <w:t>febre</w:t>
      </w:r>
      <w:r w:rsidR="002C4997" w:rsidRPr="00C90EA1">
        <w:rPr>
          <w:rFonts w:ascii="Palatino Linotype" w:hAnsi="Palatino Linotype" w:cs="Arial"/>
          <w:color w:val="000000" w:themeColor="text1"/>
        </w:rPr>
        <w:t>ro de dos mil veintidós</w:t>
      </w:r>
      <w:r w:rsidR="009F09BC" w:rsidRPr="00C90EA1">
        <w:rPr>
          <w:rFonts w:ascii="Palatino Linotype" w:hAnsi="Palatino Linotype" w:cs="Arial"/>
          <w:color w:val="000000" w:themeColor="text1"/>
        </w:rPr>
        <w:t xml:space="preserve">, el </w:t>
      </w:r>
      <w:r w:rsidR="009F09BC" w:rsidRPr="00C90EA1">
        <w:rPr>
          <w:rFonts w:ascii="Palatino Linotype" w:hAnsi="Palatino Linotype" w:cs="Arial"/>
          <w:b/>
          <w:color w:val="000000" w:themeColor="text1"/>
        </w:rPr>
        <w:t>SUJETO OBLIGADO,</w:t>
      </w:r>
      <w:r w:rsidR="009F09BC" w:rsidRPr="00C90EA1">
        <w:rPr>
          <w:rFonts w:ascii="Palatino Linotype" w:hAnsi="Palatino Linotype" w:cs="Arial"/>
          <w:color w:val="000000" w:themeColor="text1"/>
        </w:rPr>
        <w:t xml:space="preserve"> dio respuesta a la solicitud de información </w:t>
      </w:r>
      <w:r w:rsidR="00B47955" w:rsidRPr="00C90EA1">
        <w:rPr>
          <w:rFonts w:ascii="Palatino Linotype" w:hAnsi="Palatino Linotype" w:cs="Arial"/>
          <w:color w:val="000000" w:themeColor="text1"/>
        </w:rPr>
        <w:t xml:space="preserve">a través </w:t>
      </w:r>
      <w:r w:rsidR="009F0E75" w:rsidRPr="00C90EA1">
        <w:rPr>
          <w:rFonts w:ascii="Palatino Linotype" w:hAnsi="Palatino Linotype" w:cs="Arial"/>
          <w:color w:val="000000" w:themeColor="text1"/>
        </w:rPr>
        <w:t>de</w:t>
      </w:r>
      <w:r w:rsidR="00D6295E" w:rsidRPr="00C90EA1">
        <w:rPr>
          <w:rFonts w:ascii="Palatino Linotype" w:hAnsi="Palatino Linotype" w:cs="Arial"/>
          <w:color w:val="000000" w:themeColor="text1"/>
        </w:rPr>
        <w:t xml:space="preserve"> </w:t>
      </w:r>
      <w:r w:rsidR="009F0E75" w:rsidRPr="00C90EA1">
        <w:rPr>
          <w:rFonts w:ascii="Palatino Linotype" w:hAnsi="Palatino Linotype" w:cs="Arial"/>
          <w:color w:val="000000" w:themeColor="text1"/>
        </w:rPr>
        <w:t>l</w:t>
      </w:r>
      <w:r w:rsidR="00D6295E" w:rsidRPr="00C90EA1">
        <w:rPr>
          <w:rFonts w:ascii="Palatino Linotype" w:hAnsi="Palatino Linotype" w:cs="Arial"/>
          <w:color w:val="000000" w:themeColor="text1"/>
        </w:rPr>
        <w:t>os</w:t>
      </w:r>
      <w:r w:rsidR="009F0E75" w:rsidRPr="00C90EA1">
        <w:rPr>
          <w:rFonts w:ascii="Palatino Linotype" w:hAnsi="Palatino Linotype" w:cs="Arial"/>
          <w:color w:val="000000" w:themeColor="text1"/>
        </w:rPr>
        <w:t xml:space="preserve"> siguiente</w:t>
      </w:r>
      <w:r w:rsidR="00D6295E" w:rsidRPr="00C90EA1">
        <w:rPr>
          <w:rFonts w:ascii="Palatino Linotype" w:hAnsi="Palatino Linotype" w:cs="Arial"/>
          <w:color w:val="000000" w:themeColor="text1"/>
        </w:rPr>
        <w:t>s</w:t>
      </w:r>
      <w:r w:rsidR="009F0E75" w:rsidRPr="00C90EA1">
        <w:rPr>
          <w:rFonts w:ascii="Palatino Linotype" w:hAnsi="Palatino Linotype" w:cs="Arial"/>
          <w:color w:val="000000" w:themeColor="text1"/>
        </w:rPr>
        <w:t xml:space="preserve"> archivo</w:t>
      </w:r>
      <w:r w:rsidR="00D6295E" w:rsidRPr="00C90EA1">
        <w:rPr>
          <w:rFonts w:ascii="Palatino Linotype" w:hAnsi="Palatino Linotype" w:cs="Arial"/>
          <w:color w:val="000000" w:themeColor="text1"/>
        </w:rPr>
        <w:t>s</w:t>
      </w:r>
      <w:r w:rsidR="009F0E75" w:rsidRPr="00C90EA1">
        <w:rPr>
          <w:rFonts w:ascii="Palatino Linotype" w:hAnsi="Palatino Linotype" w:cs="Arial"/>
          <w:color w:val="000000" w:themeColor="text1"/>
        </w:rPr>
        <w:t xml:space="preserve"> electrónico</w:t>
      </w:r>
      <w:r w:rsidR="00D6295E" w:rsidRPr="00C90EA1">
        <w:rPr>
          <w:rFonts w:ascii="Palatino Linotype" w:hAnsi="Palatino Linotype" w:cs="Arial"/>
          <w:color w:val="000000" w:themeColor="text1"/>
        </w:rPr>
        <w:t xml:space="preserve">s, </w:t>
      </w:r>
      <w:r w:rsidR="00D6295E" w:rsidRPr="00C90EA1">
        <w:rPr>
          <w:rFonts w:ascii="Palatino Linotype" w:hAnsi="Palatino Linotype" w:cs="Arial"/>
          <w:b/>
          <w:color w:val="000000" w:themeColor="text1"/>
        </w:rPr>
        <w:t>certificación.pdf</w:t>
      </w:r>
      <w:r w:rsidR="00D6295E" w:rsidRPr="00C90EA1">
        <w:rPr>
          <w:rFonts w:ascii="Palatino Linotype" w:hAnsi="Palatino Linotype" w:cs="Arial"/>
          <w:color w:val="000000" w:themeColor="text1"/>
        </w:rPr>
        <w:t xml:space="preserve">, </w:t>
      </w:r>
      <w:r w:rsidR="00D6295E" w:rsidRPr="00C90EA1">
        <w:rPr>
          <w:rFonts w:ascii="Palatino Linotype" w:hAnsi="Palatino Linotype" w:cs="Arial"/>
          <w:b/>
          <w:color w:val="000000" w:themeColor="text1"/>
        </w:rPr>
        <w:t>PODER LEGISLATIVO DEL ESTADO DE MÉXICO.pdf</w:t>
      </w:r>
      <w:r w:rsidR="00D6295E" w:rsidRPr="00C90EA1">
        <w:rPr>
          <w:rFonts w:ascii="Palatino Linotype" w:hAnsi="Palatino Linotype" w:cs="Arial"/>
          <w:color w:val="000000" w:themeColor="text1"/>
        </w:rPr>
        <w:t xml:space="preserve">, </w:t>
      </w:r>
      <w:r w:rsidR="00D6295E" w:rsidRPr="00C90EA1">
        <w:rPr>
          <w:rFonts w:ascii="Palatino Linotype" w:hAnsi="Palatino Linotype" w:cs="Arial"/>
          <w:b/>
          <w:color w:val="000000" w:themeColor="text1"/>
        </w:rPr>
        <w:t>628_constancia-2 (1).pdf</w:t>
      </w:r>
      <w:r w:rsidR="00D6295E" w:rsidRPr="00C90EA1">
        <w:rPr>
          <w:rFonts w:ascii="Palatino Linotype" w:hAnsi="Palatino Linotype" w:cs="Arial"/>
          <w:color w:val="000000" w:themeColor="text1"/>
        </w:rPr>
        <w:t xml:space="preserve"> y </w:t>
      </w:r>
      <w:r w:rsidR="00D6295E" w:rsidRPr="00C90EA1">
        <w:rPr>
          <w:rFonts w:ascii="Palatino Linotype" w:hAnsi="Palatino Linotype" w:cs="Arial"/>
          <w:b/>
          <w:color w:val="000000" w:themeColor="text1"/>
        </w:rPr>
        <w:t>Formato CV Infoem.pdf</w:t>
      </w:r>
      <w:r w:rsidR="00D6295E" w:rsidRPr="00C90EA1">
        <w:rPr>
          <w:rFonts w:ascii="Palatino Linotype" w:hAnsi="Palatino Linotype" w:cs="Arial"/>
          <w:color w:val="000000" w:themeColor="text1"/>
        </w:rPr>
        <w:t>, mismos que ya son del conocimiento de las partes, por lo que en obvio de repeticiones innecesarias se omite su inserción. Asimismo, se adjuntó el siguiente escrito:</w:t>
      </w:r>
    </w:p>
    <w:p w:rsidR="009F0E75" w:rsidRPr="00C90EA1" w:rsidRDefault="009F0E75" w:rsidP="009F0E75">
      <w:pPr>
        <w:pStyle w:val="Prrafodelista"/>
        <w:tabs>
          <w:tab w:val="left" w:pos="0"/>
        </w:tabs>
        <w:spacing w:line="360" w:lineRule="auto"/>
        <w:ind w:left="0" w:right="49"/>
        <w:jc w:val="both"/>
        <w:rPr>
          <w:rFonts w:ascii="Palatino Linotype" w:hAnsi="Palatino Linotype" w:cs="Arial"/>
          <w:i/>
          <w:color w:val="000000" w:themeColor="text1"/>
        </w:rPr>
      </w:pPr>
    </w:p>
    <w:p w:rsidR="00D6295E" w:rsidRPr="00C90EA1" w:rsidRDefault="009F0E75" w:rsidP="00D6295E">
      <w:pPr>
        <w:pStyle w:val="Prrafodelista"/>
        <w:tabs>
          <w:tab w:val="left" w:pos="0"/>
        </w:tabs>
        <w:spacing w:line="360" w:lineRule="auto"/>
        <w:ind w:left="426" w:right="474"/>
        <w:jc w:val="both"/>
        <w:rPr>
          <w:rFonts w:ascii="Palatino Linotype" w:hAnsi="Palatino Linotype" w:cs="Arial"/>
          <w:i/>
          <w:color w:val="000000" w:themeColor="text1"/>
        </w:rPr>
      </w:pPr>
      <w:r w:rsidRPr="00C90EA1">
        <w:rPr>
          <w:rFonts w:ascii="Palatino Linotype" w:hAnsi="Palatino Linotype" w:cs="Arial"/>
          <w:i/>
          <w:color w:val="000000" w:themeColor="text1"/>
        </w:rPr>
        <w:t>“</w:t>
      </w:r>
      <w:r w:rsidR="00D6295E" w:rsidRPr="00C90EA1">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47955" w:rsidRPr="00C90EA1" w:rsidRDefault="00D6295E" w:rsidP="00D6295E">
      <w:pPr>
        <w:pStyle w:val="Prrafodelista"/>
        <w:tabs>
          <w:tab w:val="left" w:pos="0"/>
        </w:tabs>
        <w:spacing w:line="360" w:lineRule="auto"/>
        <w:ind w:left="426" w:right="474"/>
        <w:jc w:val="both"/>
        <w:rPr>
          <w:rFonts w:ascii="Palatino Linotype" w:hAnsi="Palatino Linotype" w:cs="Arial"/>
          <w:i/>
          <w:color w:val="000000" w:themeColor="text1"/>
        </w:rPr>
      </w:pPr>
      <w:r w:rsidRPr="00C90EA1">
        <w:rPr>
          <w:rFonts w:ascii="Palatino Linotype" w:hAnsi="Palatino Linotype" w:cs="Arial"/>
          <w:i/>
          <w:color w:val="000000" w:themeColor="text1"/>
        </w:rPr>
        <w:t xml:space="preserve">Por lo que atañe a la Subdirección de Administración y Finanzas, área encargada </w:t>
      </w:r>
      <w:proofErr w:type="gramStart"/>
      <w:r w:rsidRPr="00C90EA1">
        <w:rPr>
          <w:rFonts w:ascii="Palatino Linotype" w:hAnsi="Palatino Linotype" w:cs="Arial"/>
          <w:i/>
          <w:color w:val="000000" w:themeColor="text1"/>
        </w:rPr>
        <w:t>de</w:t>
      </w:r>
      <w:proofErr w:type="gramEnd"/>
      <w:r w:rsidRPr="00C90EA1">
        <w:rPr>
          <w:rFonts w:ascii="Palatino Linotype" w:hAnsi="Palatino Linotype" w:cs="Arial"/>
          <w:i/>
          <w:color w:val="000000" w:themeColor="text1"/>
        </w:rPr>
        <w:t xml:space="preserve"> atender su solicitud, la cual emite la siguiente respuesta: “Con fundamento en los artículos 12 y 59 fracciones I y II de la Ley de Transparencia y Acceso a la Información Pública del Estado de México y Municipios, se realizó una búsqueda en los archivos de esta Unidad Administrativa a efecto de emitir una respuesta a su </w:t>
      </w:r>
      <w:r w:rsidRPr="00C90EA1">
        <w:rPr>
          <w:rFonts w:ascii="Palatino Linotype" w:hAnsi="Palatino Linotype" w:cs="Arial"/>
          <w:i/>
          <w:color w:val="000000" w:themeColor="text1"/>
        </w:rPr>
        <w:lastRenderedPageBreak/>
        <w:t>solicitud de acceso a la información pública, por lo que se adjuntan documentos en los que podrá encontrar respuesta su requerimiento”.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r w:rsidR="009F0E75" w:rsidRPr="00C90EA1">
        <w:rPr>
          <w:rFonts w:ascii="Palatino Linotype" w:hAnsi="Palatino Linotype" w:cs="Arial"/>
          <w:i/>
          <w:color w:val="000000" w:themeColor="text1"/>
        </w:rPr>
        <w:t>”</w:t>
      </w:r>
    </w:p>
    <w:p w:rsidR="009F0E75" w:rsidRPr="00C90EA1" w:rsidRDefault="009F0E75" w:rsidP="009F0E75">
      <w:pPr>
        <w:pStyle w:val="Prrafodelista"/>
        <w:tabs>
          <w:tab w:val="left" w:pos="0"/>
        </w:tabs>
        <w:spacing w:line="360" w:lineRule="auto"/>
        <w:ind w:left="567" w:right="49"/>
        <w:jc w:val="both"/>
        <w:rPr>
          <w:rFonts w:ascii="Palatino Linotype" w:hAnsi="Palatino Linotype" w:cs="Arial"/>
          <w:i/>
          <w:color w:val="000000" w:themeColor="text1"/>
        </w:rPr>
      </w:pPr>
    </w:p>
    <w:p w:rsidR="009F09BC" w:rsidRPr="00C90EA1" w:rsidRDefault="009F09BC" w:rsidP="007C3761">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C90EA1">
        <w:rPr>
          <w:rFonts w:ascii="Palatino Linotype" w:eastAsia="Times New Roman" w:hAnsi="Palatino Linotype" w:cs="Arial"/>
          <w:color w:val="000000" w:themeColor="text1"/>
          <w:lang w:val="es-ES"/>
        </w:rPr>
        <w:t>E</w:t>
      </w:r>
      <w:r w:rsidR="002C4997" w:rsidRPr="00C90EA1">
        <w:rPr>
          <w:rFonts w:ascii="Palatino Linotype" w:eastAsia="Times New Roman" w:hAnsi="Palatino Linotype" w:cs="Arial"/>
          <w:color w:val="000000" w:themeColor="text1"/>
          <w:lang w:val="es-ES"/>
        </w:rPr>
        <w:t xml:space="preserve">l </w:t>
      </w:r>
      <w:r w:rsidR="00D6295E" w:rsidRPr="00C90EA1">
        <w:rPr>
          <w:rFonts w:ascii="Palatino Linotype" w:eastAsia="Times New Roman" w:hAnsi="Palatino Linotype" w:cs="Arial"/>
          <w:color w:val="000000" w:themeColor="text1"/>
          <w:lang w:val="es-ES"/>
        </w:rPr>
        <w:t>diez</w:t>
      </w:r>
      <w:r w:rsidR="002C4997" w:rsidRPr="00C90EA1">
        <w:rPr>
          <w:rFonts w:ascii="Palatino Linotype" w:eastAsia="Times New Roman" w:hAnsi="Palatino Linotype" w:cs="Arial"/>
          <w:color w:val="000000" w:themeColor="text1"/>
          <w:lang w:val="es-ES"/>
        </w:rPr>
        <w:t xml:space="preserve"> </w:t>
      </w:r>
      <w:r w:rsidRPr="00C90EA1">
        <w:rPr>
          <w:rFonts w:ascii="Palatino Linotype" w:eastAsia="Times New Roman" w:hAnsi="Palatino Linotype" w:cs="Arial"/>
          <w:color w:val="000000" w:themeColor="text1"/>
          <w:lang w:val="es-ES"/>
        </w:rPr>
        <w:t>(</w:t>
      </w:r>
      <w:r w:rsidR="00D6295E" w:rsidRPr="00C90EA1">
        <w:rPr>
          <w:rFonts w:ascii="Palatino Linotype" w:eastAsia="Times New Roman" w:hAnsi="Palatino Linotype" w:cs="Arial"/>
          <w:color w:val="000000" w:themeColor="text1"/>
          <w:lang w:val="es-ES"/>
        </w:rPr>
        <w:t>10</w:t>
      </w:r>
      <w:r w:rsidRPr="00C90EA1">
        <w:rPr>
          <w:rFonts w:ascii="Palatino Linotype" w:eastAsia="Times New Roman" w:hAnsi="Palatino Linotype" w:cs="Arial"/>
          <w:color w:val="000000" w:themeColor="text1"/>
          <w:lang w:val="es-ES"/>
        </w:rPr>
        <w:t xml:space="preserve">) de </w:t>
      </w:r>
      <w:r w:rsidR="009F0E75" w:rsidRPr="00C90EA1">
        <w:rPr>
          <w:rFonts w:ascii="Palatino Linotype" w:eastAsia="Times New Roman" w:hAnsi="Palatino Linotype" w:cs="Arial"/>
          <w:color w:val="000000" w:themeColor="text1"/>
          <w:lang w:val="es-ES"/>
        </w:rPr>
        <w:t>febrero</w:t>
      </w:r>
      <w:r w:rsidRPr="00C90EA1">
        <w:rPr>
          <w:rFonts w:ascii="Palatino Linotype" w:eastAsia="Times New Roman" w:hAnsi="Palatino Linotype" w:cs="Arial"/>
          <w:color w:val="000000" w:themeColor="text1"/>
          <w:lang w:val="es-ES"/>
        </w:rPr>
        <w:t xml:space="preserve"> de </w:t>
      </w:r>
      <w:r w:rsidR="007C3761" w:rsidRPr="00C90EA1">
        <w:rPr>
          <w:rFonts w:ascii="Palatino Linotype" w:eastAsia="Times New Roman" w:hAnsi="Palatino Linotype" w:cs="Arial"/>
          <w:color w:val="000000" w:themeColor="text1"/>
          <w:lang w:val="es-ES"/>
        </w:rPr>
        <w:t>dos mil veintidós</w:t>
      </w:r>
      <w:r w:rsidRPr="00C90EA1">
        <w:rPr>
          <w:rFonts w:ascii="Palatino Linotype" w:eastAsia="Times New Roman" w:hAnsi="Palatino Linotype" w:cs="Arial"/>
          <w:color w:val="000000" w:themeColor="text1"/>
          <w:lang w:val="es-ES"/>
        </w:rPr>
        <w:t xml:space="preserve">, el particular interpuso </w:t>
      </w:r>
      <w:r w:rsidR="002C4997" w:rsidRPr="00C90EA1">
        <w:rPr>
          <w:rFonts w:ascii="Palatino Linotype" w:eastAsia="Times New Roman" w:hAnsi="Palatino Linotype" w:cs="Arial"/>
          <w:color w:val="000000" w:themeColor="text1"/>
          <w:lang w:val="es-ES"/>
        </w:rPr>
        <w:t>e</w:t>
      </w:r>
      <w:r w:rsidRPr="00C90EA1">
        <w:rPr>
          <w:rFonts w:ascii="Palatino Linotype" w:eastAsia="Times New Roman" w:hAnsi="Palatino Linotype" w:cs="Arial"/>
          <w:color w:val="000000" w:themeColor="text1"/>
          <w:lang w:val="es-ES"/>
        </w:rPr>
        <w:t>l recurso de revisión en contra de la respuesta, manifestando l</w:t>
      </w:r>
      <w:r w:rsidR="002C4997" w:rsidRPr="00C90EA1">
        <w:rPr>
          <w:rFonts w:ascii="Palatino Linotype" w:eastAsia="Times New Roman" w:hAnsi="Palatino Linotype" w:cs="Arial"/>
          <w:color w:val="000000" w:themeColor="text1"/>
          <w:lang w:val="es-ES"/>
        </w:rPr>
        <w:t>a</w:t>
      </w:r>
      <w:r w:rsidRPr="00C90EA1">
        <w:rPr>
          <w:rFonts w:ascii="Palatino Linotype" w:eastAsia="Times New Roman" w:hAnsi="Palatino Linotype" w:cs="Arial"/>
          <w:color w:val="000000" w:themeColor="text1"/>
          <w:lang w:val="es-ES"/>
        </w:rPr>
        <w:t xml:space="preserve">s </w:t>
      </w:r>
      <w:r w:rsidR="002C4997" w:rsidRPr="00C90EA1">
        <w:rPr>
          <w:rFonts w:ascii="Palatino Linotype" w:eastAsia="Times New Roman" w:hAnsi="Palatino Linotype" w:cs="Arial"/>
          <w:color w:val="000000" w:themeColor="text1"/>
          <w:lang w:val="es-ES"/>
        </w:rPr>
        <w:t>siguientes</w:t>
      </w:r>
      <w:r w:rsidRPr="00C90EA1">
        <w:rPr>
          <w:rFonts w:ascii="Palatino Linotype" w:eastAsia="Times New Roman" w:hAnsi="Palatino Linotype" w:cs="Arial"/>
          <w:color w:val="000000" w:themeColor="text1"/>
          <w:lang w:val="es-ES"/>
        </w:rPr>
        <w:t xml:space="preserve"> razones o motivos de inconformidad:</w:t>
      </w:r>
    </w:p>
    <w:p w:rsidR="009F09BC" w:rsidRPr="00C90EA1" w:rsidRDefault="009F09BC" w:rsidP="007C3761">
      <w:pPr>
        <w:pStyle w:val="Prrafodelista"/>
        <w:tabs>
          <w:tab w:val="left" w:pos="0"/>
        </w:tabs>
        <w:spacing w:line="360" w:lineRule="auto"/>
        <w:ind w:left="0" w:right="49"/>
        <w:jc w:val="both"/>
        <w:rPr>
          <w:rFonts w:ascii="Palatino Linotype" w:hAnsi="Palatino Linotype" w:cs="Arial"/>
          <w:i/>
          <w:color w:val="000000" w:themeColor="text1"/>
        </w:rPr>
      </w:pPr>
    </w:p>
    <w:p w:rsidR="009F09BC" w:rsidRPr="00C90EA1" w:rsidRDefault="009F09BC" w:rsidP="00D6295E">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C90EA1">
        <w:rPr>
          <w:rStyle w:val="Ttulo2Car"/>
          <w:rFonts w:ascii="Palatino Linotype" w:hAnsi="Palatino Linotype"/>
          <w:b/>
          <w:color w:val="auto"/>
          <w:sz w:val="24"/>
          <w:szCs w:val="24"/>
        </w:rPr>
        <w:t>Acto impugnado</w:t>
      </w:r>
      <w:bookmarkEnd w:id="3"/>
      <w:r w:rsidRPr="00C90EA1">
        <w:rPr>
          <w:rStyle w:val="Ttulo2Car"/>
          <w:rFonts w:ascii="Palatino Linotype" w:hAnsi="Palatino Linotype"/>
          <w:b/>
          <w:color w:val="000000" w:themeColor="text1"/>
          <w:sz w:val="24"/>
          <w:szCs w:val="24"/>
        </w:rPr>
        <w:t xml:space="preserve">: </w:t>
      </w:r>
      <w:r w:rsidRPr="00C90EA1">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D6295E" w:rsidRPr="00C90EA1">
        <w:rPr>
          <w:rStyle w:val="Ttulo2Car"/>
          <w:rFonts w:ascii="Palatino Linotype" w:hAnsi="Palatino Linotype"/>
          <w:i/>
          <w:color w:val="000000" w:themeColor="text1"/>
          <w:sz w:val="24"/>
          <w:szCs w:val="24"/>
        </w:rPr>
        <w:t>Respuesta</w:t>
      </w:r>
      <w:r w:rsidRPr="00C90EA1">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C90EA1" w:rsidRDefault="009F09BC" w:rsidP="007C3761">
      <w:pPr>
        <w:pStyle w:val="Prrafodelista"/>
        <w:spacing w:line="360" w:lineRule="auto"/>
        <w:ind w:left="1004"/>
        <w:jc w:val="both"/>
        <w:rPr>
          <w:rFonts w:ascii="Palatino Linotype" w:hAnsi="Palatino Linotype"/>
          <w:i/>
          <w:color w:val="000000" w:themeColor="text1"/>
        </w:rPr>
      </w:pPr>
    </w:p>
    <w:p w:rsidR="009F09BC" w:rsidRPr="00C90EA1" w:rsidRDefault="009F09BC" w:rsidP="00D6295E">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C90EA1">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C90EA1">
        <w:rPr>
          <w:rFonts w:ascii="Palatino Linotype" w:hAnsi="Palatino Linotype"/>
          <w:b/>
          <w:color w:val="000000" w:themeColor="text1"/>
        </w:rPr>
        <w:t xml:space="preserve"> </w:t>
      </w:r>
      <w:r w:rsidRPr="00C90EA1">
        <w:rPr>
          <w:rFonts w:ascii="Palatino Linotype" w:hAnsi="Palatino Linotype"/>
          <w:i/>
          <w:color w:val="000000" w:themeColor="text1"/>
        </w:rPr>
        <w:t>“</w:t>
      </w:r>
      <w:r w:rsidR="00D6295E" w:rsidRPr="00C90EA1">
        <w:rPr>
          <w:rFonts w:ascii="Palatino Linotype" w:hAnsi="Palatino Linotype"/>
          <w:i/>
          <w:color w:val="000000" w:themeColor="text1"/>
        </w:rPr>
        <w:t>Veo unos cuadros en negro de algo que oculta en los documentos y el documento que manda cómo currículum está muy simple</w:t>
      </w:r>
      <w:r w:rsidRPr="00C90EA1">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F09BC" w:rsidRPr="00C90EA1" w:rsidRDefault="009F09BC" w:rsidP="007C3761">
      <w:pPr>
        <w:pStyle w:val="Prrafodelista"/>
        <w:spacing w:line="360" w:lineRule="auto"/>
        <w:ind w:left="1004"/>
        <w:jc w:val="both"/>
        <w:rPr>
          <w:rFonts w:ascii="Palatino Linotype" w:hAnsi="Palatino Linotype"/>
          <w:i/>
          <w:color w:val="000000" w:themeColor="text1"/>
        </w:rPr>
      </w:pPr>
    </w:p>
    <w:p w:rsidR="009F09BC" w:rsidRPr="00C90EA1" w:rsidRDefault="00CC5B2F" w:rsidP="007C3761">
      <w:pPr>
        <w:pStyle w:val="Prrafodelista"/>
        <w:numPr>
          <w:ilvl w:val="0"/>
          <w:numId w:val="15"/>
        </w:numPr>
        <w:spacing w:line="360" w:lineRule="auto"/>
        <w:ind w:left="0" w:firstLine="0"/>
        <w:jc w:val="both"/>
        <w:rPr>
          <w:rFonts w:ascii="Palatino Linotype" w:hAnsi="Palatino Linotype"/>
          <w:i/>
        </w:rPr>
      </w:pPr>
      <w:r w:rsidRPr="00C90EA1">
        <w:rPr>
          <w:rFonts w:ascii="Palatino Linotype" w:eastAsia="Calibri" w:hAnsi="Palatino Linotype" w:cs="Arial"/>
          <w:lang w:val="es-ES"/>
        </w:rPr>
        <w:t>La Comisionada</w:t>
      </w:r>
      <w:r w:rsidR="009F09BC" w:rsidRPr="00C90EA1">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D6295E" w:rsidRPr="00C90EA1">
        <w:rPr>
          <w:rFonts w:ascii="Palatino Linotype" w:eastAsia="Calibri" w:hAnsi="Palatino Linotype" w:cs="Arial"/>
          <w:lang w:val="es-ES"/>
        </w:rPr>
        <w:t xml:space="preserve">dieciséis </w:t>
      </w:r>
      <w:r w:rsidR="009F09BC" w:rsidRPr="00C90EA1">
        <w:rPr>
          <w:rFonts w:ascii="Palatino Linotype" w:eastAsia="Calibri" w:hAnsi="Palatino Linotype" w:cs="Arial"/>
          <w:lang w:val="es-ES"/>
        </w:rPr>
        <w:t>(</w:t>
      </w:r>
      <w:r w:rsidR="009F0E75" w:rsidRPr="00C90EA1">
        <w:rPr>
          <w:rFonts w:ascii="Palatino Linotype" w:eastAsia="Calibri" w:hAnsi="Palatino Linotype" w:cs="Arial"/>
          <w:lang w:val="es-ES"/>
        </w:rPr>
        <w:t>1</w:t>
      </w:r>
      <w:r w:rsidR="00D6295E" w:rsidRPr="00C90EA1">
        <w:rPr>
          <w:rFonts w:ascii="Palatino Linotype" w:eastAsia="Calibri" w:hAnsi="Palatino Linotype" w:cs="Arial"/>
          <w:lang w:val="es-ES"/>
        </w:rPr>
        <w:t>6</w:t>
      </w:r>
      <w:r w:rsidR="009F09BC" w:rsidRPr="00C90EA1">
        <w:rPr>
          <w:rFonts w:ascii="Palatino Linotype" w:eastAsia="Calibri" w:hAnsi="Palatino Linotype" w:cs="Arial"/>
          <w:lang w:val="es-ES"/>
        </w:rPr>
        <w:t xml:space="preserve">) de </w:t>
      </w:r>
      <w:r w:rsidR="009F0E75" w:rsidRPr="00C90EA1">
        <w:rPr>
          <w:rFonts w:ascii="Palatino Linotype" w:eastAsia="Calibri" w:hAnsi="Palatino Linotype" w:cs="Arial"/>
          <w:lang w:val="es-ES"/>
        </w:rPr>
        <w:t>febre</w:t>
      </w:r>
      <w:r w:rsidR="002C4997" w:rsidRPr="00C90EA1">
        <w:rPr>
          <w:rFonts w:ascii="Palatino Linotype" w:eastAsia="Calibri" w:hAnsi="Palatino Linotype" w:cs="Arial"/>
          <w:lang w:val="es-ES"/>
        </w:rPr>
        <w:t>r</w:t>
      </w:r>
      <w:r w:rsidR="009F09BC" w:rsidRPr="00C90EA1">
        <w:rPr>
          <w:rFonts w:ascii="Palatino Linotype" w:eastAsia="Calibri" w:hAnsi="Palatino Linotype" w:cs="Arial"/>
          <w:lang w:val="es-ES"/>
        </w:rPr>
        <w:t xml:space="preserve">o del año en curso, puso a disposición de las partes el expediente electrónico </w:t>
      </w:r>
      <w:r w:rsidR="009F09BC" w:rsidRPr="00C90EA1">
        <w:rPr>
          <w:rFonts w:ascii="Palatino Linotype" w:eastAsia="Calibri" w:hAnsi="Palatino Linotype" w:cs="Arial"/>
        </w:rPr>
        <w:t xml:space="preserve">vía </w:t>
      </w:r>
      <w:r w:rsidR="009F09BC" w:rsidRPr="00C90EA1">
        <w:rPr>
          <w:rFonts w:ascii="Palatino Linotype" w:eastAsia="Calibri" w:hAnsi="Palatino Linotype" w:cs="Arial"/>
          <w:b/>
          <w:lang w:val="es-ES"/>
        </w:rPr>
        <w:t xml:space="preserve">SAIMEX </w:t>
      </w:r>
      <w:r w:rsidR="009F09BC" w:rsidRPr="00C90EA1">
        <w:rPr>
          <w:rFonts w:ascii="Palatino Linotype" w:eastAsia="Calibri" w:hAnsi="Palatino Linotype" w:cs="Arial"/>
          <w:lang w:val="es-ES"/>
        </w:rPr>
        <w:t xml:space="preserve">a efecto de que en un plazo máximo de siete días </w:t>
      </w:r>
      <w:r w:rsidR="009F09BC" w:rsidRPr="00C90EA1">
        <w:rPr>
          <w:rFonts w:ascii="Palatino Linotype" w:eastAsia="Calibri" w:hAnsi="Palatino Linotype" w:cs="Arial"/>
          <w:lang w:val="es-ES"/>
        </w:rPr>
        <w:lastRenderedPageBreak/>
        <w:t xml:space="preserve">manifestaran lo que a su derecho conviniera, ofrecieran pruebas y alegatos según corresponda a los casos concretos, y el </w:t>
      </w:r>
      <w:r w:rsidR="009F09BC" w:rsidRPr="00C90EA1">
        <w:rPr>
          <w:rFonts w:ascii="Palatino Linotype" w:eastAsia="Calibri" w:hAnsi="Palatino Linotype" w:cs="Arial"/>
          <w:b/>
          <w:lang w:val="es-ES"/>
        </w:rPr>
        <w:t>SUJETO OBLIGADO</w:t>
      </w:r>
      <w:r w:rsidR="009F09BC" w:rsidRPr="00C90EA1">
        <w:rPr>
          <w:rFonts w:ascii="Palatino Linotype" w:eastAsia="Calibri" w:hAnsi="Palatino Linotype" w:cs="Arial"/>
          <w:lang w:val="es-ES"/>
        </w:rPr>
        <w:t xml:space="preserve"> presentará el Informe Justificado procedente.</w:t>
      </w:r>
    </w:p>
    <w:p w:rsidR="009F09BC" w:rsidRPr="00C90EA1" w:rsidRDefault="009F09BC" w:rsidP="007C3761">
      <w:pPr>
        <w:pStyle w:val="Prrafodelista"/>
        <w:spacing w:line="360" w:lineRule="auto"/>
        <w:ind w:left="0"/>
        <w:jc w:val="both"/>
        <w:rPr>
          <w:rFonts w:ascii="Palatino Linotype" w:hAnsi="Palatino Linotype"/>
        </w:rPr>
      </w:pPr>
    </w:p>
    <w:p w:rsidR="009F09BC" w:rsidRPr="00C90EA1" w:rsidRDefault="009F09BC" w:rsidP="007C3761">
      <w:pPr>
        <w:pStyle w:val="Prrafodelista"/>
        <w:numPr>
          <w:ilvl w:val="0"/>
          <w:numId w:val="15"/>
        </w:numPr>
        <w:spacing w:line="360" w:lineRule="auto"/>
        <w:ind w:left="0" w:firstLine="0"/>
        <w:jc w:val="both"/>
        <w:rPr>
          <w:rFonts w:ascii="Palatino Linotype" w:hAnsi="Palatino Linotype"/>
        </w:rPr>
      </w:pPr>
      <w:r w:rsidRPr="00C90EA1">
        <w:rPr>
          <w:rFonts w:ascii="Palatino Linotype" w:hAnsi="Palatino Linotype"/>
          <w:color w:val="000000"/>
        </w:rPr>
        <w:t xml:space="preserve">El </w:t>
      </w:r>
      <w:r w:rsidRPr="00C90EA1">
        <w:rPr>
          <w:rFonts w:ascii="Palatino Linotype" w:hAnsi="Palatino Linotype"/>
          <w:b/>
          <w:color w:val="000000"/>
        </w:rPr>
        <w:t>SUJETO OBLIGADO</w:t>
      </w:r>
      <w:r w:rsidR="007A6A1A" w:rsidRPr="00C90EA1">
        <w:rPr>
          <w:rFonts w:ascii="Palatino Linotype" w:hAnsi="Palatino Linotype"/>
          <w:color w:val="000000"/>
        </w:rPr>
        <w:t xml:space="preserve"> </w:t>
      </w:r>
      <w:r w:rsidR="00D6295E" w:rsidRPr="00C90EA1">
        <w:rPr>
          <w:rFonts w:ascii="Palatino Linotype" w:hAnsi="Palatino Linotype"/>
          <w:color w:val="000000"/>
        </w:rPr>
        <w:t xml:space="preserve">en fecha diecisiete (17) de febrero de </w:t>
      </w:r>
      <w:r w:rsidR="008E6C93" w:rsidRPr="00C90EA1">
        <w:rPr>
          <w:rFonts w:ascii="Palatino Linotype" w:hAnsi="Palatino Linotype"/>
          <w:color w:val="000000"/>
        </w:rPr>
        <w:t>dos mil veintidós</w:t>
      </w:r>
      <w:r w:rsidR="00D6295E" w:rsidRPr="00C90EA1">
        <w:rPr>
          <w:rFonts w:ascii="Palatino Linotype" w:hAnsi="Palatino Linotype"/>
          <w:color w:val="000000"/>
        </w:rPr>
        <w:t>, rindió el informe</w:t>
      </w:r>
      <w:r w:rsidR="008E6C93" w:rsidRPr="00C90EA1">
        <w:rPr>
          <w:rFonts w:ascii="Palatino Linotype" w:hAnsi="Palatino Linotype"/>
          <w:color w:val="000000"/>
        </w:rPr>
        <w:t xml:space="preserve"> justificado</w:t>
      </w:r>
      <w:r w:rsidR="00D6295E" w:rsidRPr="00C90EA1">
        <w:rPr>
          <w:rFonts w:ascii="Palatino Linotype" w:hAnsi="Palatino Linotype"/>
          <w:color w:val="000000"/>
        </w:rPr>
        <w:t xml:space="preserve"> correspondiente, mismo que fue puesto a disposición de la parte recurrente mediante acuerdo de fecha veintidós (22) del mismo mes y año</w:t>
      </w:r>
      <w:r w:rsidR="002C4997" w:rsidRPr="00C90EA1">
        <w:rPr>
          <w:rFonts w:ascii="Palatino Linotype" w:hAnsi="Palatino Linotype"/>
          <w:color w:val="000000"/>
        </w:rPr>
        <w:t xml:space="preserve">. </w:t>
      </w:r>
      <w:r w:rsidRPr="00C90EA1">
        <w:rPr>
          <w:rFonts w:ascii="Palatino Linotype" w:hAnsi="Palatino Linotype"/>
          <w:color w:val="000000"/>
        </w:rPr>
        <w:t xml:space="preserve">Por su parte </w:t>
      </w:r>
      <w:r w:rsidRPr="00C90EA1">
        <w:rPr>
          <w:rFonts w:ascii="Palatino Linotype" w:hAnsi="Palatino Linotype"/>
          <w:b/>
          <w:color w:val="000000"/>
        </w:rPr>
        <w:t xml:space="preserve">EL PARTICULAR </w:t>
      </w:r>
      <w:r w:rsidRPr="00C90EA1">
        <w:rPr>
          <w:rFonts w:ascii="Palatino Linotype" w:hAnsi="Palatino Linotype"/>
          <w:color w:val="000000"/>
        </w:rPr>
        <w:t>dejó de realizar manifestaciones que a su derecho conviniera y asistiera.</w:t>
      </w:r>
    </w:p>
    <w:p w:rsidR="00ED6E75" w:rsidRPr="00C90EA1" w:rsidRDefault="00ED6E75" w:rsidP="007C3761">
      <w:pPr>
        <w:pStyle w:val="Prrafodelista"/>
        <w:spacing w:line="360" w:lineRule="auto"/>
        <w:ind w:left="0"/>
        <w:jc w:val="both"/>
        <w:rPr>
          <w:rFonts w:ascii="Palatino Linotype" w:hAnsi="Palatino Linotype"/>
        </w:rPr>
      </w:pPr>
    </w:p>
    <w:p w:rsidR="009F09BC" w:rsidRPr="00C90EA1" w:rsidRDefault="009F0E75" w:rsidP="007C3761">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C90EA1">
        <w:rPr>
          <w:rFonts w:ascii="Palatino Linotype" w:hAnsi="Palatino Linotype"/>
        </w:rPr>
        <w:t xml:space="preserve">Mediante acuerdos de fecha </w:t>
      </w:r>
      <w:r w:rsidR="008E6C93" w:rsidRPr="00C90EA1">
        <w:rPr>
          <w:rFonts w:ascii="Palatino Linotype" w:hAnsi="Palatino Linotype"/>
        </w:rPr>
        <w:t>tres</w:t>
      </w:r>
      <w:r w:rsidR="0001674C" w:rsidRPr="00C90EA1">
        <w:rPr>
          <w:rFonts w:ascii="Palatino Linotype" w:hAnsi="Palatino Linotype"/>
        </w:rPr>
        <w:t xml:space="preserve"> (</w:t>
      </w:r>
      <w:r w:rsidR="008E6C93" w:rsidRPr="00C90EA1">
        <w:rPr>
          <w:rFonts w:ascii="Palatino Linotype" w:hAnsi="Palatino Linotype"/>
        </w:rPr>
        <w:t>03</w:t>
      </w:r>
      <w:r w:rsidR="0001674C" w:rsidRPr="00C90EA1">
        <w:rPr>
          <w:rFonts w:ascii="Palatino Linotype" w:hAnsi="Palatino Linotype"/>
        </w:rPr>
        <w:t xml:space="preserve">) de </w:t>
      </w:r>
      <w:r w:rsidR="008E6C93" w:rsidRPr="00C90EA1">
        <w:rPr>
          <w:rFonts w:ascii="Palatino Linotype" w:hAnsi="Palatino Linotype"/>
        </w:rPr>
        <w:t>may</w:t>
      </w:r>
      <w:r w:rsidR="0001674C" w:rsidRPr="00C90EA1">
        <w:rPr>
          <w:rFonts w:ascii="Palatino Linotype" w:hAnsi="Palatino Linotype"/>
        </w:rPr>
        <w:t>o</w:t>
      </w:r>
      <w:r w:rsidRPr="00C90EA1">
        <w:rPr>
          <w:rFonts w:ascii="Palatino Linotype" w:hAnsi="Palatino Linotype"/>
        </w:rPr>
        <w:t xml:space="preserve"> del año en curso, se decretó la ampliación del termino para</w:t>
      </w:r>
      <w:r w:rsidRPr="00C90EA1">
        <w:rPr>
          <w:rFonts w:ascii="Palatino Linotype" w:hAnsi="Palatino Linotype"/>
          <w:lang w:val="es-MX"/>
        </w:rPr>
        <w:t xml:space="preserve"> resolver y decretó el</w:t>
      </w:r>
      <w:r w:rsidR="0001674C" w:rsidRPr="00C90EA1">
        <w:rPr>
          <w:rFonts w:ascii="Palatino Linotype" w:hAnsi="Palatino Linotype"/>
        </w:rPr>
        <w:t xml:space="preserve"> cierre de instrucción</w:t>
      </w:r>
      <w:r w:rsidRPr="00C90EA1">
        <w:rPr>
          <w:rFonts w:ascii="Palatino Linotype" w:hAnsi="Palatino Linotype"/>
        </w:rPr>
        <w:t xml:space="preserve"> respectivamente</w:t>
      </w:r>
      <w:r w:rsidR="0001674C" w:rsidRPr="00C90EA1">
        <w:rPr>
          <w:rFonts w:ascii="Palatino Linotype" w:hAnsi="Palatino Linotype"/>
        </w:rPr>
        <w:t xml:space="preserve">, </w:t>
      </w:r>
      <w:r w:rsidR="009F09BC" w:rsidRPr="00C90EA1">
        <w:rPr>
          <w:rFonts w:ascii="Palatino Linotype" w:hAnsi="Palatino Linotype" w:cs="Arial"/>
        </w:rPr>
        <w:t>por lo que no habiendo más que hacer constar, y ----------------------</w:t>
      </w:r>
    </w:p>
    <w:p w:rsidR="009F0E75" w:rsidRPr="00C90EA1" w:rsidRDefault="009F0E75" w:rsidP="009F0E75">
      <w:pPr>
        <w:pStyle w:val="Prrafodelista"/>
        <w:rPr>
          <w:rFonts w:ascii="Palatino Linotype" w:hAnsi="Palatino Linotype"/>
          <w:b/>
          <w:color w:val="000000" w:themeColor="text1"/>
        </w:rPr>
      </w:pPr>
    </w:p>
    <w:p w:rsidR="009F09BC" w:rsidRPr="00C90EA1" w:rsidRDefault="009F09BC" w:rsidP="007C3761">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C90EA1">
        <w:rPr>
          <w:rFonts w:ascii="Palatino Linotype" w:hAnsi="Palatino Linotype"/>
          <w:b/>
          <w:color w:val="000000" w:themeColor="text1"/>
          <w:sz w:val="24"/>
          <w:szCs w:val="24"/>
        </w:rPr>
        <w:t>CONSIDERANDO</w:t>
      </w:r>
      <w:bookmarkEnd w:id="133"/>
      <w:bookmarkEnd w:id="134"/>
    </w:p>
    <w:p w:rsidR="009F09BC" w:rsidRPr="00C90EA1" w:rsidRDefault="009F09BC" w:rsidP="007C3761">
      <w:pPr>
        <w:spacing w:line="360" w:lineRule="auto"/>
        <w:rPr>
          <w:rFonts w:ascii="Palatino Linotype" w:hAnsi="Palatino Linotype"/>
          <w:lang w:val="es-MX" w:eastAsia="en-US"/>
        </w:rPr>
      </w:pPr>
    </w:p>
    <w:p w:rsidR="009F09BC" w:rsidRPr="00C90EA1" w:rsidRDefault="009F09BC" w:rsidP="007C3761">
      <w:pPr>
        <w:pStyle w:val="Ttulo2"/>
        <w:spacing w:before="0" w:line="360" w:lineRule="auto"/>
        <w:rPr>
          <w:rFonts w:ascii="Palatino Linotype" w:hAnsi="Palatino Linotype"/>
          <w:b/>
          <w:color w:val="auto"/>
          <w:sz w:val="24"/>
          <w:szCs w:val="24"/>
        </w:rPr>
      </w:pPr>
      <w:bookmarkStart w:id="135" w:name="_Toc491791303"/>
      <w:bookmarkStart w:id="136" w:name="_Toc83128579"/>
      <w:r w:rsidRPr="00C90EA1">
        <w:rPr>
          <w:rFonts w:ascii="Palatino Linotype" w:hAnsi="Palatino Linotype"/>
          <w:b/>
          <w:color w:val="auto"/>
          <w:sz w:val="24"/>
          <w:szCs w:val="24"/>
        </w:rPr>
        <w:t>PRIMERO. De la competencia</w:t>
      </w:r>
      <w:bookmarkEnd w:id="135"/>
      <w:bookmarkEnd w:id="136"/>
    </w:p>
    <w:p w:rsidR="009F09BC" w:rsidRPr="00C90EA1" w:rsidRDefault="009F09BC" w:rsidP="007C3761">
      <w:pPr>
        <w:spacing w:line="360" w:lineRule="auto"/>
        <w:rPr>
          <w:rFonts w:ascii="Palatino Linotype" w:hAnsi="Palatino Linotype"/>
          <w:lang w:val="es-MX" w:eastAsia="en-US"/>
        </w:rPr>
      </w:pPr>
    </w:p>
    <w:p w:rsidR="00353F1D" w:rsidRPr="00C90EA1" w:rsidRDefault="00353F1D" w:rsidP="007C3761">
      <w:pPr>
        <w:pStyle w:val="Prrafodelista"/>
        <w:numPr>
          <w:ilvl w:val="0"/>
          <w:numId w:val="15"/>
        </w:numPr>
        <w:spacing w:line="360" w:lineRule="auto"/>
        <w:ind w:left="0" w:firstLine="0"/>
        <w:jc w:val="both"/>
        <w:rPr>
          <w:rFonts w:ascii="Palatino Linotype" w:hAnsi="Palatino Linotype"/>
          <w:color w:val="000000" w:themeColor="text1"/>
        </w:rPr>
      </w:pPr>
      <w:r w:rsidRPr="00C90EA1">
        <w:rPr>
          <w:rFonts w:ascii="Palatino Linotype" w:hAnsi="Palatino Linotype"/>
          <w:color w:val="000000" w:themeColor="text1"/>
        </w:rPr>
        <w:t xml:space="preserve">El </w:t>
      </w:r>
      <w:r w:rsidRPr="00C90EA1">
        <w:rPr>
          <w:rFonts w:ascii="Palatino Linotype" w:hAnsi="Palatino Linotype"/>
        </w:rPr>
        <w:t>Instituto</w:t>
      </w:r>
      <w:r w:rsidRPr="00C90EA1">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w:t>
      </w:r>
      <w:r w:rsidRPr="00C90EA1">
        <w:rPr>
          <w:rFonts w:ascii="Palatino Linotype" w:hAnsi="Palatino Linotype"/>
          <w:color w:val="000000" w:themeColor="text1"/>
        </w:rPr>
        <w:lastRenderedPageBreak/>
        <w:t>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E75" w:rsidRPr="00C90EA1" w:rsidRDefault="009F0E75" w:rsidP="009F0E75">
      <w:pPr>
        <w:pStyle w:val="Prrafodelista"/>
        <w:spacing w:line="360" w:lineRule="auto"/>
        <w:ind w:left="0"/>
        <w:jc w:val="both"/>
        <w:rPr>
          <w:rFonts w:ascii="Palatino Linotype" w:hAnsi="Palatino Linotype"/>
          <w:color w:val="000000" w:themeColor="text1"/>
        </w:rPr>
      </w:pPr>
    </w:p>
    <w:p w:rsidR="009F09BC" w:rsidRPr="00C90EA1" w:rsidRDefault="009F09BC" w:rsidP="007C3761">
      <w:pPr>
        <w:pStyle w:val="Ttulo2"/>
        <w:spacing w:before="0" w:line="360" w:lineRule="auto"/>
        <w:rPr>
          <w:rFonts w:ascii="Palatino Linotype" w:hAnsi="Palatino Linotype"/>
          <w:b/>
          <w:color w:val="auto"/>
          <w:sz w:val="24"/>
          <w:szCs w:val="24"/>
        </w:rPr>
      </w:pPr>
      <w:bookmarkStart w:id="137" w:name="_Toc491791304"/>
      <w:bookmarkStart w:id="138" w:name="_Toc83128580"/>
      <w:r w:rsidRPr="00C90EA1">
        <w:rPr>
          <w:rFonts w:ascii="Palatino Linotype" w:hAnsi="Palatino Linotype"/>
          <w:b/>
          <w:color w:val="auto"/>
          <w:sz w:val="24"/>
          <w:szCs w:val="24"/>
        </w:rPr>
        <w:t>SEGUNDO. De la oportunidad y procedencia.</w:t>
      </w:r>
      <w:bookmarkEnd w:id="137"/>
      <w:bookmarkEnd w:id="138"/>
    </w:p>
    <w:p w:rsidR="009F09BC" w:rsidRPr="00C90EA1" w:rsidRDefault="009F09BC" w:rsidP="007C3761">
      <w:pPr>
        <w:spacing w:line="360" w:lineRule="auto"/>
        <w:rPr>
          <w:rFonts w:ascii="Palatino Linotype" w:hAnsi="Palatino Linotype"/>
          <w:lang w:val="es-MX" w:eastAsia="en-US"/>
        </w:rPr>
      </w:pPr>
    </w:p>
    <w:p w:rsidR="009F09BC" w:rsidRPr="00C90EA1" w:rsidRDefault="00425842" w:rsidP="007C3761">
      <w:pPr>
        <w:pStyle w:val="Prrafodelista"/>
        <w:numPr>
          <w:ilvl w:val="0"/>
          <w:numId w:val="15"/>
        </w:numPr>
        <w:spacing w:line="360" w:lineRule="auto"/>
        <w:ind w:left="0" w:firstLine="0"/>
        <w:jc w:val="both"/>
        <w:rPr>
          <w:rFonts w:ascii="Palatino Linotype" w:hAnsi="Palatino Linotype"/>
        </w:rPr>
      </w:pPr>
      <w:r w:rsidRPr="00C90EA1">
        <w:rPr>
          <w:rFonts w:ascii="Palatino Linotype" w:eastAsia="Calibri" w:hAnsi="Palatino Linotype" w:cs="Arial"/>
        </w:rPr>
        <w:t>El</w:t>
      </w:r>
      <w:r w:rsidR="00AD63B4" w:rsidRPr="00C90EA1">
        <w:rPr>
          <w:rFonts w:ascii="Palatino Linotype" w:eastAsia="Calibri" w:hAnsi="Palatino Linotype" w:cs="Arial"/>
        </w:rPr>
        <w:t xml:space="preserve"> </w:t>
      </w:r>
      <w:r w:rsidR="009F09BC" w:rsidRPr="00C90EA1">
        <w:rPr>
          <w:rFonts w:ascii="Palatino Linotype" w:eastAsia="Calibri" w:hAnsi="Palatino Linotype" w:cs="Arial"/>
        </w:rPr>
        <w:t xml:space="preserve">medio de impugnación fue presentado a través del </w:t>
      </w:r>
      <w:r w:rsidR="009F09BC" w:rsidRPr="00C90EA1">
        <w:rPr>
          <w:rFonts w:ascii="Palatino Linotype" w:eastAsia="Calibri" w:hAnsi="Palatino Linotype" w:cs="Arial"/>
          <w:b/>
        </w:rPr>
        <w:t>SAIMEX,</w:t>
      </w:r>
      <w:r w:rsidR="009F09BC" w:rsidRPr="00C90EA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C90EA1">
        <w:rPr>
          <w:rFonts w:ascii="Palatino Linotype" w:eastAsia="Calibri" w:hAnsi="Palatino Linotype" w:cs="Arial"/>
          <w:b/>
        </w:rPr>
        <w:t>SUJETO OBLIGADO</w:t>
      </w:r>
      <w:r w:rsidRPr="00C90EA1">
        <w:rPr>
          <w:rFonts w:ascii="Palatino Linotype" w:eastAsia="Calibri" w:hAnsi="Palatino Linotype" w:cs="Arial"/>
        </w:rPr>
        <w:t xml:space="preserve"> entregó su</w:t>
      </w:r>
      <w:r w:rsidR="009F09BC" w:rsidRPr="00C90EA1">
        <w:rPr>
          <w:rFonts w:ascii="Palatino Linotype" w:eastAsia="Calibri" w:hAnsi="Palatino Linotype" w:cs="Arial"/>
        </w:rPr>
        <w:t xml:space="preserve"> respuesta </w:t>
      </w:r>
      <w:r w:rsidRPr="00C90EA1">
        <w:rPr>
          <w:rFonts w:ascii="Palatino Linotype" w:eastAsia="Calibri" w:hAnsi="Palatino Linotype" w:cs="Arial"/>
        </w:rPr>
        <w:t>e</w:t>
      </w:r>
      <w:r w:rsidR="009F09BC" w:rsidRPr="00C90EA1">
        <w:rPr>
          <w:rFonts w:ascii="Palatino Linotype" w:eastAsia="Calibri" w:hAnsi="Palatino Linotype" w:cs="Arial"/>
        </w:rPr>
        <w:t xml:space="preserve">l </w:t>
      </w:r>
      <w:r w:rsidR="008E6C93" w:rsidRPr="00C90EA1">
        <w:rPr>
          <w:rFonts w:ascii="Palatino Linotype" w:eastAsia="Calibri" w:hAnsi="Palatino Linotype" w:cs="Arial"/>
        </w:rPr>
        <w:t>tres</w:t>
      </w:r>
      <w:r w:rsidRPr="00C90EA1">
        <w:rPr>
          <w:rFonts w:ascii="Palatino Linotype" w:eastAsia="Calibri" w:hAnsi="Palatino Linotype" w:cs="Arial"/>
        </w:rPr>
        <w:t xml:space="preserve"> (</w:t>
      </w:r>
      <w:r w:rsidR="008E6C93" w:rsidRPr="00C90EA1">
        <w:rPr>
          <w:rFonts w:ascii="Palatino Linotype" w:eastAsia="Calibri" w:hAnsi="Palatino Linotype" w:cs="Arial"/>
        </w:rPr>
        <w:t>03</w:t>
      </w:r>
      <w:r w:rsidR="009F09BC" w:rsidRPr="00C90EA1">
        <w:rPr>
          <w:rFonts w:ascii="Palatino Linotype" w:eastAsia="Calibri" w:hAnsi="Palatino Linotype" w:cs="Arial"/>
        </w:rPr>
        <w:t xml:space="preserve">) de </w:t>
      </w:r>
      <w:r w:rsidR="009F0E75" w:rsidRPr="00C90EA1">
        <w:rPr>
          <w:rFonts w:ascii="Palatino Linotype" w:eastAsia="Calibri" w:hAnsi="Palatino Linotype" w:cs="Arial"/>
        </w:rPr>
        <w:t>febre</w:t>
      </w:r>
      <w:r w:rsidRPr="00C90EA1">
        <w:rPr>
          <w:rFonts w:ascii="Palatino Linotype" w:eastAsia="Calibri" w:hAnsi="Palatino Linotype" w:cs="Arial"/>
        </w:rPr>
        <w:t>ro de dos mil veintidós</w:t>
      </w:r>
      <w:r w:rsidR="009F09BC" w:rsidRPr="00C90EA1">
        <w:rPr>
          <w:rFonts w:ascii="Palatino Linotype" w:eastAsia="Calibri" w:hAnsi="Palatino Linotype" w:cs="Arial"/>
        </w:rPr>
        <w:t xml:space="preserve">, </w:t>
      </w:r>
      <w:r w:rsidR="009F09BC" w:rsidRPr="00C90EA1">
        <w:rPr>
          <w:rFonts w:ascii="Palatino Linotype" w:hAnsi="Palatino Linotype" w:cs="Arial"/>
        </w:rPr>
        <w:t xml:space="preserve">de tal forma que </w:t>
      </w:r>
      <w:r w:rsidRPr="00C90EA1">
        <w:rPr>
          <w:rFonts w:ascii="Palatino Linotype" w:hAnsi="Palatino Linotype" w:cs="Arial"/>
        </w:rPr>
        <w:t>e</w:t>
      </w:r>
      <w:r w:rsidR="009F09BC" w:rsidRPr="00C90EA1">
        <w:rPr>
          <w:rFonts w:ascii="Palatino Linotype" w:hAnsi="Palatino Linotype" w:cs="Arial"/>
        </w:rPr>
        <w:t xml:space="preserve">l plazo para interponer </w:t>
      </w:r>
      <w:r w:rsidRPr="00C90EA1">
        <w:rPr>
          <w:rFonts w:ascii="Palatino Linotype" w:hAnsi="Palatino Linotype" w:cs="Arial"/>
        </w:rPr>
        <w:t>e</w:t>
      </w:r>
      <w:r w:rsidR="009F09BC" w:rsidRPr="00C90EA1">
        <w:rPr>
          <w:rFonts w:ascii="Palatino Linotype" w:hAnsi="Palatino Linotype" w:cs="Arial"/>
        </w:rPr>
        <w:t xml:space="preserve">l recurso de revisión </w:t>
      </w:r>
      <w:r w:rsidRPr="00C90EA1">
        <w:rPr>
          <w:rFonts w:ascii="Palatino Linotype" w:hAnsi="Palatino Linotype" w:cs="Arial"/>
        </w:rPr>
        <w:t>transcurrió</w:t>
      </w:r>
      <w:r w:rsidR="009F09BC" w:rsidRPr="00C90EA1">
        <w:rPr>
          <w:rFonts w:ascii="Palatino Linotype" w:hAnsi="Palatino Linotype" w:cs="Arial"/>
        </w:rPr>
        <w:t xml:space="preserve"> del día </w:t>
      </w:r>
      <w:r w:rsidR="008E6C93" w:rsidRPr="00C90EA1">
        <w:rPr>
          <w:rFonts w:ascii="Palatino Linotype" w:hAnsi="Palatino Linotype" w:cs="Arial"/>
        </w:rPr>
        <w:t>cuatro</w:t>
      </w:r>
      <w:r w:rsidRPr="00C90EA1">
        <w:rPr>
          <w:rFonts w:ascii="Palatino Linotype" w:hAnsi="Palatino Linotype" w:cs="Arial"/>
        </w:rPr>
        <w:t xml:space="preserve"> (</w:t>
      </w:r>
      <w:r w:rsidR="008E6C93" w:rsidRPr="00C90EA1">
        <w:rPr>
          <w:rFonts w:ascii="Palatino Linotype" w:hAnsi="Palatino Linotype" w:cs="Arial"/>
        </w:rPr>
        <w:t>04</w:t>
      </w:r>
      <w:r w:rsidR="009F09BC" w:rsidRPr="00C90EA1">
        <w:rPr>
          <w:rFonts w:ascii="Palatino Linotype" w:hAnsi="Palatino Linotype" w:cs="Arial"/>
        </w:rPr>
        <w:t xml:space="preserve">) </w:t>
      </w:r>
      <w:r w:rsidR="008E6C93" w:rsidRPr="00C90EA1">
        <w:rPr>
          <w:rFonts w:ascii="Palatino Linotype" w:hAnsi="Palatino Linotype" w:cs="Arial"/>
        </w:rPr>
        <w:t xml:space="preserve">al veinticinco (25) </w:t>
      </w:r>
      <w:r w:rsidR="009F09BC" w:rsidRPr="00C90EA1">
        <w:rPr>
          <w:rFonts w:ascii="Palatino Linotype" w:hAnsi="Palatino Linotype" w:cs="Arial"/>
        </w:rPr>
        <w:t xml:space="preserve">de </w:t>
      </w:r>
      <w:r w:rsidR="009F0E75" w:rsidRPr="00C90EA1">
        <w:rPr>
          <w:rFonts w:ascii="Palatino Linotype" w:hAnsi="Palatino Linotype" w:cs="Arial"/>
        </w:rPr>
        <w:t>febre</w:t>
      </w:r>
      <w:r w:rsidRPr="00C90EA1">
        <w:rPr>
          <w:rFonts w:ascii="Palatino Linotype" w:hAnsi="Palatino Linotype" w:cs="Arial"/>
        </w:rPr>
        <w:t>ro</w:t>
      </w:r>
      <w:r w:rsidR="009F0E75" w:rsidRPr="00C90EA1">
        <w:rPr>
          <w:rFonts w:ascii="Palatino Linotype" w:hAnsi="Palatino Linotype" w:cs="Arial"/>
        </w:rPr>
        <w:t xml:space="preserve"> </w:t>
      </w:r>
      <w:r w:rsidR="0001674C" w:rsidRPr="00C90EA1">
        <w:rPr>
          <w:rFonts w:ascii="Palatino Linotype" w:hAnsi="Palatino Linotype" w:cs="Arial"/>
        </w:rPr>
        <w:t xml:space="preserve">de dos mil </w:t>
      </w:r>
      <w:r w:rsidRPr="00C90EA1">
        <w:rPr>
          <w:rFonts w:ascii="Palatino Linotype" w:hAnsi="Palatino Linotype" w:cs="Arial"/>
        </w:rPr>
        <w:t>veintidós</w:t>
      </w:r>
      <w:r w:rsidR="0001674C" w:rsidRPr="00C90EA1">
        <w:rPr>
          <w:rFonts w:ascii="Palatino Linotype" w:hAnsi="Palatino Linotype" w:cs="Arial"/>
        </w:rPr>
        <w:t>; e</w:t>
      </w:r>
      <w:r w:rsidR="009F09BC" w:rsidRPr="00C90EA1">
        <w:rPr>
          <w:rFonts w:ascii="Palatino Linotype" w:hAnsi="Palatino Linotype" w:cs="Arial"/>
        </w:rPr>
        <w:t xml:space="preserve">n consecuencia, el ahora </w:t>
      </w:r>
      <w:r w:rsidR="009F09BC" w:rsidRPr="00C90EA1">
        <w:rPr>
          <w:rFonts w:ascii="Palatino Linotype" w:hAnsi="Palatino Linotype" w:cs="Arial"/>
          <w:b/>
        </w:rPr>
        <w:t>RECURRENTE</w:t>
      </w:r>
      <w:r w:rsidR="009F09BC" w:rsidRPr="00C90EA1">
        <w:rPr>
          <w:rFonts w:ascii="Palatino Linotype" w:hAnsi="Palatino Linotype" w:cs="Arial"/>
        </w:rPr>
        <w:t xml:space="preserve"> presentó </w:t>
      </w:r>
      <w:r w:rsidR="00CA1063" w:rsidRPr="00C90EA1">
        <w:rPr>
          <w:rFonts w:ascii="Palatino Linotype" w:hAnsi="Palatino Linotype" w:cs="Arial"/>
        </w:rPr>
        <w:t xml:space="preserve">su inconformidad el día </w:t>
      </w:r>
      <w:r w:rsidR="008E6C93" w:rsidRPr="00C90EA1">
        <w:rPr>
          <w:rFonts w:ascii="Palatino Linotype" w:hAnsi="Palatino Linotype" w:cs="Arial"/>
        </w:rPr>
        <w:t>diez</w:t>
      </w:r>
      <w:r w:rsidR="009F0E75" w:rsidRPr="00C90EA1">
        <w:rPr>
          <w:rFonts w:ascii="Palatino Linotype" w:hAnsi="Palatino Linotype" w:cs="Arial"/>
        </w:rPr>
        <w:t xml:space="preserve"> </w:t>
      </w:r>
      <w:r w:rsidR="009F09BC" w:rsidRPr="00C90EA1">
        <w:rPr>
          <w:rFonts w:ascii="Palatino Linotype" w:hAnsi="Palatino Linotype" w:cs="Arial"/>
        </w:rPr>
        <w:t>(</w:t>
      </w:r>
      <w:r w:rsidR="008E6C93" w:rsidRPr="00C90EA1">
        <w:rPr>
          <w:rFonts w:ascii="Palatino Linotype" w:hAnsi="Palatino Linotype" w:cs="Arial"/>
        </w:rPr>
        <w:t>10</w:t>
      </w:r>
      <w:r w:rsidR="009F09BC" w:rsidRPr="00C90EA1">
        <w:rPr>
          <w:rFonts w:ascii="Palatino Linotype" w:hAnsi="Palatino Linotype" w:cs="Arial"/>
        </w:rPr>
        <w:t xml:space="preserve">) de </w:t>
      </w:r>
      <w:r w:rsidR="009F0E75" w:rsidRPr="00C90EA1">
        <w:rPr>
          <w:rFonts w:ascii="Palatino Linotype" w:hAnsi="Palatino Linotype" w:cs="Arial"/>
        </w:rPr>
        <w:t>febre</w:t>
      </w:r>
      <w:r w:rsidR="006F3EF7" w:rsidRPr="00C90EA1">
        <w:rPr>
          <w:rFonts w:ascii="Palatino Linotype" w:hAnsi="Palatino Linotype" w:cs="Arial"/>
        </w:rPr>
        <w:t>ro de dos mil veintidós</w:t>
      </w:r>
      <w:r w:rsidR="009F09BC" w:rsidRPr="00C90EA1">
        <w:rPr>
          <w:rFonts w:ascii="Palatino Linotype" w:hAnsi="Palatino Linotype" w:cs="Arial"/>
        </w:rPr>
        <w:t xml:space="preserve">; </w:t>
      </w:r>
      <w:r w:rsidR="008E6C93" w:rsidRPr="00C90EA1">
        <w:rPr>
          <w:rFonts w:ascii="Palatino Linotype" w:hAnsi="Palatino Linotype" w:cs="Arial"/>
        </w:rPr>
        <w:t>es decir, dentro del</w:t>
      </w:r>
      <w:r w:rsidR="009F09BC" w:rsidRPr="00C90EA1">
        <w:rPr>
          <w:rFonts w:ascii="Palatino Linotype" w:hAnsi="Palatino Linotype" w:cs="Arial"/>
        </w:rPr>
        <w:t xml:space="preserve"> lapso legalmente establecido para tal efecto.</w:t>
      </w:r>
    </w:p>
    <w:p w:rsidR="009F09BC" w:rsidRPr="00C90EA1" w:rsidRDefault="009F09BC" w:rsidP="007C3761">
      <w:pPr>
        <w:pStyle w:val="Prrafodelista"/>
        <w:spacing w:line="360" w:lineRule="auto"/>
        <w:rPr>
          <w:rFonts w:ascii="Palatino Linotype" w:hAnsi="Palatino Linotype"/>
        </w:rPr>
      </w:pPr>
    </w:p>
    <w:p w:rsidR="00290240" w:rsidRPr="00C90EA1" w:rsidRDefault="00290240" w:rsidP="00290240">
      <w:pPr>
        <w:pStyle w:val="Prrafodelista"/>
        <w:rPr>
          <w:rFonts w:ascii="Palatino Linotype" w:hAnsi="Palatino Linotype"/>
        </w:rPr>
      </w:pPr>
    </w:p>
    <w:p w:rsidR="007C3761" w:rsidRPr="00C90EA1" w:rsidRDefault="00290240" w:rsidP="007C3761">
      <w:pPr>
        <w:pStyle w:val="Prrafodelista"/>
        <w:numPr>
          <w:ilvl w:val="0"/>
          <w:numId w:val="15"/>
        </w:numPr>
        <w:spacing w:line="360" w:lineRule="auto"/>
        <w:ind w:left="0" w:firstLine="0"/>
        <w:jc w:val="both"/>
        <w:rPr>
          <w:rFonts w:ascii="Palatino Linotype" w:eastAsia="Palatino Linotype" w:hAnsi="Palatino Linotype" w:cs="Palatino Linotype"/>
        </w:rPr>
      </w:pPr>
      <w:r w:rsidRPr="00C90EA1">
        <w:rPr>
          <w:rFonts w:ascii="Palatino Linotype" w:hAnsi="Palatino Linotype"/>
        </w:rPr>
        <w:lastRenderedPageBreak/>
        <w:t xml:space="preserve">Por otro lado, </w:t>
      </w:r>
      <w:r w:rsidR="007C3761" w:rsidRPr="00C90EA1">
        <w:rPr>
          <w:rFonts w:ascii="Palatino Linotype" w:eastAsia="Calibri" w:hAnsi="Palatino Linotype" w:cs="Arial"/>
        </w:rPr>
        <w:t>es</w:t>
      </w:r>
      <w:r w:rsidR="007C3761" w:rsidRPr="00C90EA1">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C3761" w:rsidRPr="00C90EA1" w:rsidRDefault="007C3761" w:rsidP="007C3761">
      <w:pPr>
        <w:spacing w:line="360" w:lineRule="auto"/>
        <w:jc w:val="both"/>
        <w:rPr>
          <w:rFonts w:ascii="Palatino Linotype" w:eastAsia="Palatino Linotype" w:hAnsi="Palatino Linotype" w:cs="Palatino Linotype"/>
        </w:rPr>
      </w:pPr>
    </w:p>
    <w:p w:rsidR="007C3761" w:rsidRPr="00C90EA1" w:rsidRDefault="007C3761" w:rsidP="007C3761">
      <w:pPr>
        <w:spacing w:line="360" w:lineRule="auto"/>
        <w:ind w:left="567"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w:t>
      </w:r>
      <w:r w:rsidRPr="00C90EA1">
        <w:rPr>
          <w:rFonts w:ascii="Palatino Linotype" w:eastAsia="Palatino Linotype" w:hAnsi="Palatino Linotype" w:cs="Palatino Linotype"/>
          <w:b/>
          <w:i/>
        </w:rPr>
        <w:t>Las solicitudes anónimas</w:t>
      </w:r>
      <w:r w:rsidRPr="00C90EA1">
        <w:rPr>
          <w:rFonts w:ascii="Palatino Linotype" w:eastAsia="Palatino Linotype" w:hAnsi="Palatino Linotype" w:cs="Palatino Linotype"/>
          <w:i/>
        </w:rPr>
        <w:t xml:space="preserve">, con nombre incompleto o seudónimo </w:t>
      </w:r>
      <w:r w:rsidRPr="00C90EA1">
        <w:rPr>
          <w:rFonts w:ascii="Palatino Linotype" w:eastAsia="Palatino Linotype" w:hAnsi="Palatino Linotype" w:cs="Palatino Linotype"/>
          <w:b/>
          <w:i/>
        </w:rPr>
        <w:t>serán procedentes para su trámite por parte del sujeto obligado ante quien se presente</w:t>
      </w:r>
      <w:r w:rsidRPr="00C90EA1">
        <w:rPr>
          <w:rFonts w:ascii="Palatino Linotype" w:eastAsia="Palatino Linotype" w:hAnsi="Palatino Linotype" w:cs="Palatino Linotype"/>
          <w:i/>
        </w:rPr>
        <w:t>. No podrá requerirse información adicional con motivo del nombre proporcionado por el solicitante."</w:t>
      </w:r>
    </w:p>
    <w:p w:rsidR="007C3761" w:rsidRPr="00C90EA1" w:rsidRDefault="007C3761" w:rsidP="007C3761">
      <w:pPr>
        <w:spacing w:line="360" w:lineRule="auto"/>
        <w:jc w:val="both"/>
        <w:rPr>
          <w:rFonts w:ascii="Palatino Linotype" w:eastAsia="Palatino Linotype" w:hAnsi="Palatino Linotype" w:cs="Palatino Linotype"/>
        </w:rPr>
      </w:pPr>
    </w:p>
    <w:p w:rsidR="007C3761" w:rsidRPr="00C90EA1"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C90EA1">
        <w:rPr>
          <w:rFonts w:ascii="Palatino Linotype" w:hAnsi="Palatino Linotype"/>
        </w:rPr>
        <w:t>Robusteciendo</w:t>
      </w:r>
      <w:r w:rsidRPr="00C90EA1">
        <w:rPr>
          <w:rFonts w:ascii="Palatino Linotype" w:eastAsia="Palatino Linotype" w:hAnsi="Palatino Linotype" w:cs="Palatino Linotype"/>
        </w:rPr>
        <w:t xml:space="preserve"> lo anterior se encuentra lo dispuesto en el artículo 6, Apartado A, </w:t>
      </w:r>
      <w:r w:rsidRPr="00C90EA1">
        <w:rPr>
          <w:rFonts w:ascii="Palatino Linotype" w:eastAsia="Palatino Linotype" w:hAnsi="Palatino Linotype" w:cs="Palatino Linotype"/>
          <w:color w:val="000000"/>
        </w:rPr>
        <w:t>fracciones</w:t>
      </w:r>
      <w:r w:rsidRPr="00C90EA1">
        <w:rPr>
          <w:rFonts w:ascii="Palatino Linotype" w:eastAsia="Palatino Linotype" w:hAnsi="Palatino Linotype" w:cs="Palatino Linotype"/>
        </w:rPr>
        <w:t xml:space="preserve"> III de la Constitución Política de los Estados Unidos Mexicanos que establece:</w:t>
      </w:r>
    </w:p>
    <w:p w:rsidR="007C3761" w:rsidRPr="00C90EA1" w:rsidRDefault="007C3761" w:rsidP="007C3761">
      <w:pPr>
        <w:spacing w:line="360" w:lineRule="auto"/>
        <w:ind w:right="474"/>
        <w:jc w:val="both"/>
        <w:rPr>
          <w:rFonts w:ascii="Palatino Linotype" w:eastAsia="Palatino Linotype" w:hAnsi="Palatino Linotype" w:cs="Palatino Linotype"/>
          <w:i/>
        </w:rPr>
      </w:pPr>
    </w:p>
    <w:p w:rsidR="007C3761" w:rsidRPr="00C90EA1" w:rsidRDefault="007C3761" w:rsidP="007C3761">
      <w:pPr>
        <w:spacing w:line="360" w:lineRule="auto"/>
        <w:ind w:left="567"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w:t>
      </w:r>
      <w:r w:rsidRPr="00C90EA1">
        <w:rPr>
          <w:rFonts w:ascii="Palatino Linotype" w:eastAsia="Palatino Linotype" w:hAnsi="Palatino Linotype" w:cs="Palatino Linotype"/>
          <w:b/>
          <w:i/>
        </w:rPr>
        <w:t>Artículo 6.-</w:t>
      </w:r>
      <w:r w:rsidRPr="00C90EA1">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C3761" w:rsidRPr="00C90EA1" w:rsidRDefault="007C3761" w:rsidP="007C3761">
      <w:pPr>
        <w:spacing w:line="360" w:lineRule="auto"/>
        <w:ind w:left="567"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lastRenderedPageBreak/>
        <w:t>Para efectos de lo dispuesto en el presente artículo se observará lo siguiente:</w:t>
      </w:r>
    </w:p>
    <w:p w:rsidR="007C3761" w:rsidRPr="00C90EA1" w:rsidRDefault="007C3761" w:rsidP="007C3761">
      <w:pPr>
        <w:spacing w:line="360" w:lineRule="auto"/>
        <w:ind w:left="567" w:right="474"/>
        <w:jc w:val="both"/>
        <w:rPr>
          <w:rFonts w:ascii="Palatino Linotype" w:eastAsia="Palatino Linotype" w:hAnsi="Palatino Linotype" w:cs="Palatino Linotype"/>
          <w:i/>
        </w:rPr>
      </w:pPr>
    </w:p>
    <w:p w:rsidR="007C3761" w:rsidRPr="00C90EA1" w:rsidRDefault="007C3761" w:rsidP="007C3761">
      <w:pPr>
        <w:spacing w:line="360" w:lineRule="auto"/>
        <w:ind w:left="567"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7C3761" w:rsidRPr="00C90EA1" w:rsidRDefault="007C3761" w:rsidP="007C3761">
      <w:pPr>
        <w:spacing w:line="360" w:lineRule="auto"/>
        <w:ind w:left="567" w:right="474"/>
        <w:jc w:val="both"/>
        <w:rPr>
          <w:rFonts w:ascii="Palatino Linotype" w:eastAsia="Palatino Linotype" w:hAnsi="Palatino Linotype" w:cs="Palatino Linotype"/>
          <w:i/>
        </w:rPr>
      </w:pPr>
    </w:p>
    <w:p w:rsidR="007C3761" w:rsidRPr="00C90EA1" w:rsidRDefault="007C3761" w:rsidP="007C3761">
      <w:pPr>
        <w:spacing w:line="360" w:lineRule="auto"/>
        <w:ind w:left="567"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7C3761" w:rsidRPr="00C90EA1" w:rsidRDefault="007C3761" w:rsidP="007C3761">
      <w:pPr>
        <w:spacing w:line="360" w:lineRule="auto"/>
        <w:ind w:left="567" w:right="474"/>
        <w:jc w:val="both"/>
        <w:rPr>
          <w:rFonts w:ascii="Palatino Linotype" w:eastAsia="Palatino Linotype" w:hAnsi="Palatino Linotype" w:cs="Palatino Linotype"/>
          <w:i/>
        </w:rPr>
      </w:pPr>
    </w:p>
    <w:p w:rsidR="007C3761" w:rsidRPr="00C90EA1"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C90EA1">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933424" w:rsidRPr="00C90EA1" w:rsidRDefault="00933424" w:rsidP="00933424">
      <w:pPr>
        <w:pStyle w:val="Prrafodelista"/>
        <w:spacing w:line="360" w:lineRule="auto"/>
        <w:ind w:left="0"/>
        <w:jc w:val="both"/>
        <w:rPr>
          <w:rFonts w:ascii="Palatino Linotype" w:eastAsia="Palatino Linotype" w:hAnsi="Palatino Linotype" w:cs="Palatino Linotype"/>
        </w:rPr>
      </w:pPr>
    </w:p>
    <w:p w:rsidR="007C3761" w:rsidRPr="00C90EA1" w:rsidRDefault="007C3761" w:rsidP="007C3761">
      <w:pPr>
        <w:spacing w:line="360" w:lineRule="auto"/>
        <w:ind w:left="426"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w:t>
      </w:r>
      <w:r w:rsidRPr="00C90EA1">
        <w:rPr>
          <w:rFonts w:ascii="Palatino Linotype" w:eastAsia="Palatino Linotype" w:hAnsi="Palatino Linotype" w:cs="Palatino Linotype"/>
          <w:b/>
          <w:i/>
        </w:rPr>
        <w:t>Artículo 5.-</w:t>
      </w:r>
      <w:r w:rsidRPr="00C90EA1">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C3761" w:rsidRPr="00C90EA1" w:rsidRDefault="007C3761" w:rsidP="007C3761">
      <w:pPr>
        <w:spacing w:line="360" w:lineRule="auto"/>
        <w:ind w:left="567"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w:t>
      </w:r>
    </w:p>
    <w:p w:rsidR="007C3761" w:rsidRPr="00C90EA1" w:rsidRDefault="007C3761" w:rsidP="007C3761">
      <w:pPr>
        <w:spacing w:line="360" w:lineRule="auto"/>
        <w:ind w:left="426"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lastRenderedPageBreak/>
        <w:t>Toda persona en el Estado de México, tiene derecho al libre acceso a la información plural y oportuna, así como a buscar recibir y difundir información e ideas de toda índole por cualquier medio de expresión.</w:t>
      </w:r>
    </w:p>
    <w:p w:rsidR="007C3761" w:rsidRPr="00C90EA1" w:rsidRDefault="007C3761" w:rsidP="007C3761">
      <w:pPr>
        <w:spacing w:line="360" w:lineRule="auto"/>
        <w:ind w:left="567"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w:t>
      </w:r>
    </w:p>
    <w:p w:rsidR="007C3761" w:rsidRPr="00C90EA1" w:rsidRDefault="007C3761" w:rsidP="007C3761">
      <w:pPr>
        <w:spacing w:line="360" w:lineRule="auto"/>
        <w:ind w:left="426"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7C3761" w:rsidRPr="00C90EA1" w:rsidRDefault="007C3761" w:rsidP="007C3761">
      <w:pPr>
        <w:spacing w:line="360" w:lineRule="auto"/>
        <w:ind w:left="426"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C3761" w:rsidRPr="00C90EA1" w:rsidRDefault="007C3761" w:rsidP="007C3761">
      <w:pPr>
        <w:spacing w:line="360" w:lineRule="auto"/>
        <w:ind w:left="426"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7C3761" w:rsidRPr="00C90EA1" w:rsidRDefault="007C3761" w:rsidP="007C3761">
      <w:pPr>
        <w:spacing w:line="360" w:lineRule="auto"/>
        <w:ind w:left="567"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w:t>
      </w:r>
    </w:p>
    <w:p w:rsidR="007C3761" w:rsidRPr="00C90EA1" w:rsidRDefault="007C3761" w:rsidP="007C3761">
      <w:pPr>
        <w:spacing w:line="360" w:lineRule="auto"/>
        <w:ind w:left="426"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C90EA1">
        <w:rPr>
          <w:rFonts w:ascii="Palatino Linotype" w:eastAsia="Palatino Linotype" w:hAnsi="Palatino Linotype" w:cs="Palatino Linotype"/>
          <w:i/>
        </w:rPr>
        <w:lastRenderedPageBreak/>
        <w:t>datos personales en posesión de los sujetos obligados en los términos que establezca la ley.” (Sic)</w:t>
      </w:r>
    </w:p>
    <w:p w:rsidR="007C3761" w:rsidRPr="00C90EA1" w:rsidRDefault="007C3761" w:rsidP="007C3761">
      <w:pPr>
        <w:spacing w:line="360" w:lineRule="auto"/>
        <w:ind w:left="567" w:right="474"/>
        <w:jc w:val="both"/>
        <w:rPr>
          <w:rFonts w:ascii="Palatino Linotype" w:eastAsia="Palatino Linotype" w:hAnsi="Palatino Linotype" w:cs="Palatino Linotype"/>
          <w:i/>
        </w:rPr>
      </w:pPr>
    </w:p>
    <w:p w:rsidR="007C3761" w:rsidRPr="00C90EA1"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C90EA1">
        <w:rPr>
          <w:rFonts w:ascii="Palatino Linotype" w:eastAsia="Palatino Linotype" w:hAnsi="Palatino Linotype" w:cs="Palatino Linotype"/>
        </w:rPr>
        <w:t>Por otra parte, del contenido del artículo 1 de la Constitución Política de los Estados Unidos mexicanos, se destaca lo siguiente:</w:t>
      </w:r>
    </w:p>
    <w:p w:rsidR="007C3761" w:rsidRPr="00C90EA1" w:rsidRDefault="007C3761" w:rsidP="007C3761">
      <w:pPr>
        <w:spacing w:line="360" w:lineRule="auto"/>
        <w:ind w:left="567" w:right="474"/>
        <w:jc w:val="both"/>
        <w:rPr>
          <w:rFonts w:ascii="Palatino Linotype" w:eastAsia="Palatino Linotype" w:hAnsi="Palatino Linotype" w:cs="Palatino Linotype"/>
          <w:i/>
        </w:rPr>
      </w:pPr>
    </w:p>
    <w:p w:rsidR="007C3761" w:rsidRPr="00C90EA1" w:rsidRDefault="007C3761" w:rsidP="007C3761">
      <w:pPr>
        <w:spacing w:line="360" w:lineRule="auto"/>
        <w:ind w:left="426"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w:t>
      </w:r>
      <w:r w:rsidRPr="00C90EA1">
        <w:rPr>
          <w:rFonts w:ascii="Palatino Linotype" w:eastAsia="Palatino Linotype" w:hAnsi="Palatino Linotype" w:cs="Palatino Linotype"/>
          <w:b/>
          <w:i/>
        </w:rPr>
        <w:t>Artículo 1</w:t>
      </w:r>
      <w:r w:rsidRPr="00C90EA1">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C3761" w:rsidRPr="00C90EA1" w:rsidRDefault="007C3761" w:rsidP="007C3761">
      <w:pPr>
        <w:spacing w:line="360" w:lineRule="auto"/>
        <w:ind w:left="426"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7C3761" w:rsidRPr="00C90EA1" w:rsidRDefault="007C3761" w:rsidP="007C3761">
      <w:pPr>
        <w:spacing w:line="360" w:lineRule="auto"/>
        <w:ind w:left="426" w:right="474"/>
        <w:jc w:val="both"/>
        <w:rPr>
          <w:rFonts w:ascii="Palatino Linotype" w:eastAsia="Palatino Linotype" w:hAnsi="Palatino Linotype" w:cs="Palatino Linotype"/>
          <w:i/>
        </w:rPr>
      </w:pPr>
      <w:r w:rsidRPr="00C90EA1">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C3761" w:rsidRPr="00C90EA1" w:rsidRDefault="007C3761" w:rsidP="007C3761">
      <w:pPr>
        <w:spacing w:line="360" w:lineRule="auto"/>
        <w:jc w:val="both"/>
        <w:rPr>
          <w:rFonts w:ascii="Palatino Linotype" w:hAnsi="Palatino Linotype"/>
          <w:i/>
        </w:rPr>
      </w:pPr>
    </w:p>
    <w:p w:rsidR="007C3761" w:rsidRPr="00C90EA1"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C90EA1">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w:t>
      </w:r>
      <w:r w:rsidRPr="00C90EA1">
        <w:rPr>
          <w:rFonts w:ascii="Palatino Linotype" w:eastAsia="Palatino Linotype" w:hAnsi="Palatino Linotype" w:cs="Palatino Linotype"/>
        </w:rPr>
        <w:lastRenderedPageBreak/>
        <w:t xml:space="preserve">interposición, deberá tener acceso a la información pública, es decir, dicho </w:t>
      </w:r>
      <w:r w:rsidRPr="00C90EA1">
        <w:rPr>
          <w:rFonts w:ascii="Palatino Linotype" w:eastAsia="Palatino Linotype" w:hAnsi="Palatino Linotype" w:cs="Palatino Linotype"/>
          <w:i/>
        </w:rPr>
        <w:t>derecho fundamental exime a quien lo ejerce</w:t>
      </w:r>
      <w:r w:rsidRPr="00C90EA1">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C3761" w:rsidRPr="00C90EA1" w:rsidRDefault="007C3761" w:rsidP="007C3761">
      <w:pPr>
        <w:spacing w:line="360" w:lineRule="auto"/>
        <w:jc w:val="both"/>
        <w:rPr>
          <w:rFonts w:ascii="Palatino Linotype" w:eastAsia="Palatino Linotype" w:hAnsi="Palatino Linotype" w:cs="Palatino Linotype"/>
        </w:rPr>
      </w:pPr>
    </w:p>
    <w:p w:rsidR="007C3761" w:rsidRPr="00C90EA1"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C90EA1">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C3761" w:rsidRPr="00C90EA1" w:rsidRDefault="007C3761" w:rsidP="007C3761">
      <w:pPr>
        <w:spacing w:line="360" w:lineRule="auto"/>
        <w:jc w:val="both"/>
        <w:rPr>
          <w:rFonts w:ascii="Palatino Linotype" w:eastAsia="Palatino Linotype" w:hAnsi="Palatino Linotype" w:cs="Palatino Linotype"/>
        </w:rPr>
      </w:pPr>
    </w:p>
    <w:p w:rsidR="007C3761" w:rsidRPr="00C90EA1" w:rsidRDefault="007C3761" w:rsidP="007C3761">
      <w:pPr>
        <w:spacing w:line="360" w:lineRule="auto"/>
        <w:ind w:left="851" w:right="758"/>
        <w:jc w:val="both"/>
        <w:rPr>
          <w:rFonts w:ascii="Palatino Linotype" w:eastAsia="Palatino Linotype" w:hAnsi="Palatino Linotype" w:cs="Palatino Linotype"/>
          <w:i/>
        </w:rPr>
      </w:pPr>
      <w:r w:rsidRPr="00C90EA1">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C90EA1">
        <w:rPr>
          <w:rFonts w:ascii="Palatino Linotype" w:eastAsia="Palatino Linotype" w:hAnsi="Palatino Linotype" w:cs="Palatino Linotype"/>
          <w:i/>
        </w:rPr>
        <w:lastRenderedPageBreak/>
        <w:t>en su caso, se haya cubierto el pago de reproducción y envío de la información, mediante la exhibición del recibo correspondiente.”(Sic)</w:t>
      </w:r>
    </w:p>
    <w:p w:rsidR="007C3761" w:rsidRPr="00C90EA1" w:rsidRDefault="007C3761" w:rsidP="007C3761">
      <w:pPr>
        <w:spacing w:line="360" w:lineRule="auto"/>
        <w:jc w:val="both"/>
        <w:rPr>
          <w:rFonts w:ascii="Palatino Linotype" w:eastAsia="Palatino Linotype" w:hAnsi="Palatino Linotype" w:cs="Palatino Linotype"/>
        </w:rPr>
      </w:pPr>
    </w:p>
    <w:p w:rsidR="007C3761" w:rsidRPr="00C90EA1" w:rsidRDefault="007C3761" w:rsidP="00112D7E">
      <w:pPr>
        <w:pStyle w:val="Prrafodelista"/>
        <w:numPr>
          <w:ilvl w:val="0"/>
          <w:numId w:val="15"/>
        </w:numPr>
        <w:spacing w:line="360" w:lineRule="auto"/>
        <w:ind w:left="0" w:firstLine="0"/>
        <w:jc w:val="both"/>
        <w:rPr>
          <w:rFonts w:ascii="Palatino Linotype" w:eastAsia="Palatino Linotype" w:hAnsi="Palatino Linotype" w:cs="Palatino Linotype"/>
        </w:rPr>
      </w:pPr>
      <w:r w:rsidRPr="00C90EA1">
        <w:rPr>
          <w:rFonts w:ascii="Palatino Linotype" w:eastAsia="Palatino Linotype" w:hAnsi="Palatino Linotype" w:cs="Palatino Linotype"/>
        </w:rPr>
        <w:t xml:space="preserve">En consecuencia, dado lo expuesto y fundado con anterioridad, se estima que el requisito relativo al nombre del </w:t>
      </w:r>
      <w:r w:rsidRPr="00C90EA1">
        <w:rPr>
          <w:rFonts w:ascii="Palatino Linotype" w:eastAsia="Palatino Linotype" w:hAnsi="Palatino Linotype" w:cs="Palatino Linotype"/>
          <w:b/>
        </w:rPr>
        <w:t>RECURRENTE</w:t>
      </w:r>
      <w:r w:rsidRPr="00C90EA1">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7C3761" w:rsidRPr="00C90EA1" w:rsidRDefault="007C3761" w:rsidP="007C3761">
      <w:pPr>
        <w:pStyle w:val="Prrafodelista"/>
        <w:rPr>
          <w:rFonts w:ascii="Palatino Linotype" w:eastAsia="Calibri" w:hAnsi="Palatino Linotype" w:cs="Arial"/>
        </w:rPr>
      </w:pPr>
    </w:p>
    <w:p w:rsidR="009F09BC" w:rsidRPr="00C90EA1" w:rsidRDefault="009F09BC" w:rsidP="007C3761">
      <w:pPr>
        <w:pStyle w:val="Prrafodelista"/>
        <w:numPr>
          <w:ilvl w:val="0"/>
          <w:numId w:val="15"/>
        </w:numPr>
        <w:spacing w:line="360" w:lineRule="auto"/>
        <w:ind w:left="0" w:firstLine="0"/>
        <w:jc w:val="both"/>
        <w:rPr>
          <w:rFonts w:ascii="Palatino Linotype" w:hAnsi="Palatino Linotype"/>
        </w:rPr>
      </w:pPr>
      <w:r w:rsidRPr="00C90EA1">
        <w:rPr>
          <w:rFonts w:ascii="Palatino Linotype" w:eastAsia="Calibri" w:hAnsi="Palatino Linotype" w:cs="Arial"/>
        </w:rPr>
        <w:t xml:space="preserve">Asimismo, </w:t>
      </w:r>
      <w:r w:rsidR="00CF0D2B" w:rsidRPr="00C90EA1">
        <w:rPr>
          <w:rFonts w:ascii="Palatino Linotype" w:eastAsia="Calibri" w:hAnsi="Palatino Linotype" w:cs="Arial"/>
        </w:rPr>
        <w:t>e</w:t>
      </w:r>
      <w:r w:rsidRPr="00C90EA1">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F09BC" w:rsidRPr="00C90EA1" w:rsidRDefault="00CA261A" w:rsidP="007C3761">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C90EA1">
        <w:rPr>
          <w:rFonts w:ascii="Palatino Linotype" w:hAnsi="Palatino Linotype"/>
          <w:b/>
          <w:color w:val="000000" w:themeColor="text1"/>
          <w:sz w:val="24"/>
          <w:szCs w:val="24"/>
        </w:rPr>
        <w:lastRenderedPageBreak/>
        <w:t>TERCERO</w:t>
      </w:r>
      <w:r w:rsidR="009F09BC" w:rsidRPr="00C90EA1">
        <w:rPr>
          <w:rFonts w:ascii="Palatino Linotype" w:hAnsi="Palatino Linotype"/>
          <w:b/>
          <w:color w:val="000000" w:themeColor="text1"/>
          <w:sz w:val="24"/>
          <w:szCs w:val="24"/>
        </w:rPr>
        <w:t xml:space="preserve">. </w:t>
      </w:r>
      <w:bookmarkStart w:id="143" w:name="_Toc501021589"/>
      <w:r w:rsidR="009F09BC" w:rsidRPr="00C90EA1">
        <w:rPr>
          <w:rFonts w:ascii="Palatino Linotype" w:hAnsi="Palatino Linotype"/>
          <w:b/>
          <w:color w:val="000000" w:themeColor="text1"/>
          <w:sz w:val="24"/>
          <w:szCs w:val="24"/>
        </w:rPr>
        <w:t>De</w:t>
      </w:r>
      <w:bookmarkEnd w:id="139"/>
      <w:bookmarkEnd w:id="140"/>
      <w:bookmarkEnd w:id="141"/>
      <w:bookmarkEnd w:id="142"/>
      <w:bookmarkEnd w:id="143"/>
      <w:r w:rsidR="008E6C93" w:rsidRPr="00C90EA1">
        <w:rPr>
          <w:rFonts w:ascii="Palatino Linotype" w:hAnsi="Palatino Linotype"/>
          <w:b/>
          <w:color w:val="000000" w:themeColor="text1"/>
          <w:sz w:val="24"/>
          <w:szCs w:val="24"/>
        </w:rPr>
        <w:t xml:space="preserve"> las causales de </w:t>
      </w:r>
      <w:proofErr w:type="spellStart"/>
      <w:r w:rsidR="008E6C93" w:rsidRPr="00C90EA1">
        <w:rPr>
          <w:rFonts w:ascii="Palatino Linotype" w:hAnsi="Palatino Linotype"/>
          <w:b/>
          <w:color w:val="000000" w:themeColor="text1"/>
          <w:sz w:val="24"/>
          <w:szCs w:val="24"/>
        </w:rPr>
        <w:t>sobreseeimiento</w:t>
      </w:r>
      <w:proofErr w:type="spellEnd"/>
    </w:p>
    <w:p w:rsidR="009F09BC" w:rsidRPr="00C90EA1" w:rsidRDefault="009F09BC" w:rsidP="007C3761">
      <w:pPr>
        <w:spacing w:line="360" w:lineRule="auto"/>
        <w:rPr>
          <w:rFonts w:ascii="Palatino Linotype" w:hAnsi="Palatino Linotype"/>
          <w:lang w:val="es-MX" w:eastAsia="en-US"/>
        </w:rPr>
      </w:pPr>
    </w:p>
    <w:p w:rsidR="009F09BC" w:rsidRPr="00C90EA1" w:rsidRDefault="009F09BC" w:rsidP="007C3761">
      <w:pPr>
        <w:pStyle w:val="Prrafodelista"/>
        <w:numPr>
          <w:ilvl w:val="0"/>
          <w:numId w:val="15"/>
        </w:numPr>
        <w:spacing w:line="360" w:lineRule="auto"/>
        <w:ind w:left="0" w:firstLine="0"/>
        <w:jc w:val="both"/>
        <w:rPr>
          <w:rFonts w:ascii="Palatino Linotype" w:hAnsi="Palatino Linotype" w:cs="Arial"/>
        </w:rPr>
      </w:pPr>
      <w:r w:rsidRPr="00C90EA1">
        <w:rPr>
          <w:rFonts w:ascii="Palatino Linotype" w:hAnsi="Palatino Linotype" w:cs="Arial"/>
        </w:rPr>
        <w:t xml:space="preserve">Se </w:t>
      </w:r>
      <w:r w:rsidRPr="00C90EA1">
        <w:rPr>
          <w:rFonts w:ascii="Palatino Linotype" w:eastAsia="Calibri" w:hAnsi="Palatino Linotype" w:cs="Arial"/>
        </w:rPr>
        <w:t>solicitó</w:t>
      </w:r>
      <w:r w:rsidRPr="00C90EA1">
        <w:rPr>
          <w:rFonts w:ascii="Palatino Linotype" w:hAnsi="Palatino Linotype" w:cs="Arial"/>
        </w:rPr>
        <w:t xml:space="preserve"> </w:t>
      </w:r>
      <w:r w:rsidR="00AD63B4" w:rsidRPr="00C90EA1">
        <w:rPr>
          <w:rFonts w:ascii="Palatino Linotype" w:hAnsi="Palatino Linotype" w:cs="Arial"/>
        </w:rPr>
        <w:t xml:space="preserve">tener acceso, a la </w:t>
      </w:r>
      <w:r w:rsidRPr="00C90EA1">
        <w:rPr>
          <w:rFonts w:ascii="Palatino Linotype" w:hAnsi="Palatino Linotype" w:cs="Arial"/>
        </w:rPr>
        <w:t>información que a continuación se desagrega</w:t>
      </w:r>
      <w:r w:rsidR="008E6C93" w:rsidRPr="00C90EA1">
        <w:rPr>
          <w:rFonts w:ascii="Palatino Linotype" w:hAnsi="Palatino Linotype" w:cs="Arial"/>
        </w:rPr>
        <w:t xml:space="preserve"> de la Titular de la Unidad de Transparencia del </w:t>
      </w:r>
      <w:r w:rsidR="008E6C93" w:rsidRPr="00C90EA1">
        <w:rPr>
          <w:rFonts w:ascii="Palatino Linotype" w:hAnsi="Palatino Linotype" w:cs="Arial"/>
          <w:b/>
        </w:rPr>
        <w:t>SUJETO OBLIGADO</w:t>
      </w:r>
      <w:r w:rsidRPr="00C90EA1">
        <w:rPr>
          <w:rFonts w:ascii="Palatino Linotype" w:hAnsi="Palatino Linotype" w:cs="Arial"/>
        </w:rPr>
        <w:t>:</w:t>
      </w:r>
    </w:p>
    <w:p w:rsidR="009F09BC" w:rsidRPr="00C90EA1" w:rsidRDefault="009F09BC" w:rsidP="007C3761">
      <w:pPr>
        <w:pStyle w:val="Prrafodelista"/>
        <w:spacing w:line="360" w:lineRule="auto"/>
        <w:ind w:left="0"/>
        <w:jc w:val="both"/>
        <w:rPr>
          <w:rFonts w:ascii="Palatino Linotype" w:hAnsi="Palatino Linotype" w:cs="Arial"/>
        </w:rPr>
      </w:pPr>
    </w:p>
    <w:p w:rsidR="008E6C93" w:rsidRPr="00C90EA1" w:rsidRDefault="008E6C93" w:rsidP="008E6C93">
      <w:pPr>
        <w:pStyle w:val="Prrafodelista"/>
        <w:numPr>
          <w:ilvl w:val="1"/>
          <w:numId w:val="27"/>
        </w:numPr>
        <w:spacing w:line="360" w:lineRule="auto"/>
        <w:ind w:left="1134"/>
        <w:jc w:val="both"/>
        <w:rPr>
          <w:rFonts w:ascii="Palatino Linotype" w:hAnsi="Palatino Linotype" w:cs="Arial"/>
          <w:b/>
        </w:rPr>
      </w:pPr>
      <w:r w:rsidRPr="00C90EA1">
        <w:rPr>
          <w:rFonts w:ascii="Palatino Linotype" w:hAnsi="Palatino Linotype" w:cs="Arial"/>
          <w:b/>
        </w:rPr>
        <w:t>Certificación en materia de Acceso a la Información, Transparencia y Protección de Datos Personales; y</w:t>
      </w:r>
    </w:p>
    <w:p w:rsidR="008E6C93" w:rsidRPr="00C90EA1" w:rsidRDefault="008E6C93" w:rsidP="008E6C93">
      <w:pPr>
        <w:pStyle w:val="Prrafodelista"/>
        <w:spacing w:line="360" w:lineRule="auto"/>
        <w:ind w:left="1134"/>
        <w:jc w:val="both"/>
        <w:rPr>
          <w:rFonts w:ascii="Palatino Linotype" w:hAnsi="Palatino Linotype" w:cs="Arial"/>
          <w:b/>
        </w:rPr>
      </w:pPr>
    </w:p>
    <w:p w:rsidR="009F09BC" w:rsidRPr="00C90EA1" w:rsidRDefault="008E6C93" w:rsidP="008E6C93">
      <w:pPr>
        <w:pStyle w:val="Prrafodelista"/>
        <w:numPr>
          <w:ilvl w:val="1"/>
          <w:numId w:val="27"/>
        </w:numPr>
        <w:spacing w:line="360" w:lineRule="auto"/>
        <w:ind w:left="1134"/>
        <w:jc w:val="both"/>
        <w:rPr>
          <w:rFonts w:ascii="Palatino Linotype" w:hAnsi="Palatino Linotype" w:cs="Arial"/>
          <w:b/>
        </w:rPr>
      </w:pPr>
      <w:r w:rsidRPr="00C90EA1">
        <w:rPr>
          <w:rFonts w:ascii="Palatino Linotype" w:hAnsi="Palatino Linotype" w:cs="Arial"/>
          <w:b/>
        </w:rPr>
        <w:t>Documentación que compruebe su experiencia de conformidad con el artículo 57 de la Ley de Transparencia y Acceso a la Información Pública del Estado de México y Municipios</w:t>
      </w:r>
      <w:r w:rsidR="00290240" w:rsidRPr="00C90EA1">
        <w:rPr>
          <w:rFonts w:ascii="Palatino Linotype" w:hAnsi="Palatino Linotype" w:cs="Arial"/>
          <w:b/>
        </w:rPr>
        <w:t>.</w:t>
      </w:r>
    </w:p>
    <w:p w:rsidR="00290240" w:rsidRPr="00C90EA1" w:rsidRDefault="00290240" w:rsidP="00290240">
      <w:pPr>
        <w:pStyle w:val="Prrafodelista"/>
        <w:spacing w:line="360" w:lineRule="auto"/>
        <w:ind w:left="709"/>
        <w:jc w:val="both"/>
        <w:rPr>
          <w:rFonts w:ascii="Palatino Linotype" w:hAnsi="Palatino Linotype" w:cs="Arial"/>
          <w:b/>
        </w:rPr>
      </w:pPr>
    </w:p>
    <w:p w:rsidR="006F3EF7" w:rsidRPr="00C90EA1" w:rsidRDefault="006F3EF7" w:rsidP="007C3761">
      <w:pPr>
        <w:numPr>
          <w:ilvl w:val="0"/>
          <w:numId w:val="15"/>
        </w:numPr>
        <w:spacing w:line="360" w:lineRule="auto"/>
        <w:ind w:left="0" w:firstLine="0"/>
        <w:contextualSpacing/>
        <w:jc w:val="both"/>
        <w:rPr>
          <w:rFonts w:ascii="Palatino Linotype" w:hAnsi="Palatino Linotype" w:cs="Arial"/>
        </w:rPr>
      </w:pPr>
      <w:r w:rsidRPr="00C90EA1">
        <w:rPr>
          <w:rFonts w:ascii="Palatino Linotype" w:hAnsi="Palatino Linotype" w:cs="Arial"/>
        </w:rPr>
        <w:t xml:space="preserve">En respuesta, el </w:t>
      </w:r>
      <w:r w:rsidRPr="00C90EA1">
        <w:rPr>
          <w:rFonts w:ascii="Palatino Linotype" w:hAnsi="Palatino Linotype" w:cs="Arial"/>
          <w:b/>
        </w:rPr>
        <w:t>SUJETO OBLIGADO</w:t>
      </w:r>
      <w:r w:rsidRPr="00C90EA1">
        <w:rPr>
          <w:rFonts w:ascii="Palatino Linotype" w:hAnsi="Palatino Linotype" w:cs="Arial"/>
        </w:rPr>
        <w:t xml:space="preserve"> </w:t>
      </w:r>
      <w:r w:rsidR="008E6C93" w:rsidRPr="00C90EA1">
        <w:rPr>
          <w:rFonts w:ascii="Palatino Linotype" w:hAnsi="Palatino Linotype" w:cs="Arial"/>
        </w:rPr>
        <w:t>entregó</w:t>
      </w:r>
      <w:r w:rsidR="00957E09" w:rsidRPr="00C90EA1">
        <w:rPr>
          <w:rFonts w:ascii="Palatino Linotype" w:hAnsi="Palatino Linotype" w:cs="Arial"/>
        </w:rPr>
        <w:t xml:space="preserve"> </w:t>
      </w:r>
      <w:r w:rsidR="008E6C93" w:rsidRPr="00C90EA1">
        <w:rPr>
          <w:rFonts w:ascii="Palatino Linotype" w:hAnsi="Palatino Linotype" w:cs="Arial"/>
        </w:rPr>
        <w:t>medularmente</w:t>
      </w:r>
      <w:r w:rsidR="00957E09" w:rsidRPr="00C90EA1">
        <w:rPr>
          <w:rFonts w:ascii="Palatino Linotype" w:hAnsi="Palatino Linotype" w:cs="Arial"/>
        </w:rPr>
        <w:t xml:space="preserve">, </w:t>
      </w:r>
      <w:r w:rsidR="008E6C93" w:rsidRPr="00C90EA1">
        <w:rPr>
          <w:rFonts w:ascii="Palatino Linotype" w:hAnsi="Palatino Linotype" w:cs="Arial"/>
        </w:rPr>
        <w:t xml:space="preserve">versión pública de la certificación </w:t>
      </w:r>
      <w:r w:rsidR="00A618BF" w:rsidRPr="00C90EA1">
        <w:rPr>
          <w:rFonts w:ascii="Palatino Linotype" w:hAnsi="Palatino Linotype" w:cs="Arial"/>
        </w:rPr>
        <w:t>señalada en la solicitud de información</w:t>
      </w:r>
      <w:r w:rsidR="008E6C93" w:rsidRPr="00C90EA1">
        <w:rPr>
          <w:rFonts w:ascii="Palatino Linotype" w:hAnsi="Palatino Linotype" w:cs="Arial"/>
        </w:rPr>
        <w:t xml:space="preserve">, currículum vitae </w:t>
      </w:r>
      <w:r w:rsidR="00A618BF" w:rsidRPr="00C90EA1">
        <w:rPr>
          <w:rFonts w:ascii="Palatino Linotype" w:hAnsi="Palatino Linotype" w:cs="Arial"/>
        </w:rPr>
        <w:t>y constancias de asistencia a cursos en materia de trasparencia</w:t>
      </w:r>
      <w:r w:rsidR="00626445" w:rsidRPr="00C90EA1">
        <w:rPr>
          <w:rFonts w:ascii="Palatino Linotype" w:hAnsi="Palatino Linotype" w:cs="Arial"/>
        </w:rPr>
        <w:t>.</w:t>
      </w:r>
    </w:p>
    <w:p w:rsidR="006F3EF7" w:rsidRPr="00C90EA1" w:rsidRDefault="006F3EF7" w:rsidP="007C3761">
      <w:pPr>
        <w:spacing w:line="360" w:lineRule="auto"/>
        <w:contextualSpacing/>
        <w:jc w:val="both"/>
        <w:rPr>
          <w:rFonts w:ascii="Palatino Linotype" w:hAnsi="Palatino Linotype" w:cs="Arial"/>
        </w:rPr>
      </w:pPr>
    </w:p>
    <w:p w:rsidR="009F09BC" w:rsidRPr="00C90EA1" w:rsidRDefault="009F09BC" w:rsidP="007C3761">
      <w:pPr>
        <w:numPr>
          <w:ilvl w:val="0"/>
          <w:numId w:val="15"/>
        </w:numPr>
        <w:spacing w:line="360" w:lineRule="auto"/>
        <w:ind w:left="0" w:firstLine="0"/>
        <w:contextualSpacing/>
        <w:jc w:val="both"/>
        <w:rPr>
          <w:rFonts w:ascii="Palatino Linotype" w:hAnsi="Palatino Linotype" w:cs="Arial"/>
        </w:rPr>
      </w:pPr>
      <w:r w:rsidRPr="00C90EA1">
        <w:rPr>
          <w:rFonts w:ascii="Palatino Linotype" w:hAnsi="Palatino Linotype" w:cs="Arial"/>
          <w:b/>
        </w:rPr>
        <w:t>EL PARTICULAR</w:t>
      </w:r>
      <w:r w:rsidR="00112D7E" w:rsidRPr="00C90EA1">
        <w:rPr>
          <w:rFonts w:ascii="Palatino Linotype" w:hAnsi="Palatino Linotype" w:cs="Arial"/>
          <w:b/>
        </w:rPr>
        <w:t>,</w:t>
      </w:r>
      <w:r w:rsidRPr="00C90EA1">
        <w:rPr>
          <w:rFonts w:ascii="Palatino Linotype" w:hAnsi="Palatino Linotype" w:cs="Arial"/>
          <w:b/>
        </w:rPr>
        <w:t xml:space="preserve"> </w:t>
      </w:r>
      <w:r w:rsidRPr="00C90EA1">
        <w:rPr>
          <w:rFonts w:ascii="Palatino Linotype" w:hAnsi="Palatino Linotype" w:cs="Arial"/>
        </w:rPr>
        <w:t>inconforme con la respuesta</w:t>
      </w:r>
      <w:r w:rsidR="00402466" w:rsidRPr="00C90EA1">
        <w:rPr>
          <w:rFonts w:ascii="Palatino Linotype" w:hAnsi="Palatino Linotype" w:cs="Arial"/>
        </w:rPr>
        <w:t xml:space="preserve"> interpuso recurso de revisión</w:t>
      </w:r>
      <w:r w:rsidRPr="00C90EA1">
        <w:rPr>
          <w:rFonts w:ascii="Palatino Linotype" w:hAnsi="Palatino Linotype" w:cs="Arial"/>
        </w:rPr>
        <w:t xml:space="preserve">, </w:t>
      </w:r>
      <w:r w:rsidR="00402466" w:rsidRPr="00C90EA1">
        <w:rPr>
          <w:rFonts w:ascii="Palatino Linotype" w:hAnsi="Palatino Linotype" w:cs="Arial"/>
        </w:rPr>
        <w:t>señalando</w:t>
      </w:r>
      <w:r w:rsidRPr="00C90EA1">
        <w:rPr>
          <w:rFonts w:ascii="Palatino Linotype" w:hAnsi="Palatino Linotype" w:cs="Arial"/>
        </w:rPr>
        <w:t xml:space="preserve"> </w:t>
      </w:r>
      <w:r w:rsidR="00A618BF" w:rsidRPr="00C90EA1">
        <w:rPr>
          <w:rFonts w:ascii="Palatino Linotype" w:hAnsi="Palatino Linotype" w:cs="Arial"/>
          <w:i/>
        </w:rPr>
        <w:t>grosso modo</w:t>
      </w:r>
      <w:r w:rsidR="00CF0D2B" w:rsidRPr="00C90EA1">
        <w:rPr>
          <w:rFonts w:ascii="Palatino Linotype" w:hAnsi="Palatino Linotype" w:cs="Arial"/>
        </w:rPr>
        <w:t xml:space="preserve"> </w:t>
      </w:r>
      <w:r w:rsidR="00402466" w:rsidRPr="00C90EA1">
        <w:rPr>
          <w:rFonts w:ascii="Palatino Linotype" w:hAnsi="Palatino Linotype" w:cs="Arial"/>
        </w:rPr>
        <w:t xml:space="preserve">que </w:t>
      </w:r>
      <w:r w:rsidR="00A618BF" w:rsidRPr="00C90EA1">
        <w:rPr>
          <w:rFonts w:ascii="Palatino Linotype" w:hAnsi="Palatino Linotype" w:cs="Arial"/>
        </w:rPr>
        <w:t xml:space="preserve">se oculta información dentro de los cuadros negros pertenecientes a la versión pública y que el </w:t>
      </w:r>
      <w:proofErr w:type="spellStart"/>
      <w:r w:rsidR="00A618BF" w:rsidRPr="00C90EA1">
        <w:rPr>
          <w:rFonts w:ascii="Palatino Linotype" w:hAnsi="Palatino Linotype" w:cs="Arial"/>
        </w:rPr>
        <w:t>curriculum</w:t>
      </w:r>
      <w:proofErr w:type="spellEnd"/>
      <w:r w:rsidR="00A618BF" w:rsidRPr="00C90EA1">
        <w:rPr>
          <w:rFonts w:ascii="Palatino Linotype" w:hAnsi="Palatino Linotype" w:cs="Arial"/>
        </w:rPr>
        <w:t xml:space="preserve"> vitae lo considera </w:t>
      </w:r>
      <w:r w:rsidR="00A618BF" w:rsidRPr="00C90EA1">
        <w:rPr>
          <w:rFonts w:ascii="Palatino Linotype" w:hAnsi="Palatino Linotype" w:cs="Arial"/>
          <w:i/>
        </w:rPr>
        <w:t>muy simple</w:t>
      </w:r>
      <w:r w:rsidRPr="00C90EA1">
        <w:rPr>
          <w:rFonts w:ascii="Palatino Linotype" w:hAnsi="Palatino Linotype" w:cs="Arial"/>
        </w:rPr>
        <w:t>.</w:t>
      </w:r>
    </w:p>
    <w:p w:rsidR="00A618BF" w:rsidRPr="00C90EA1" w:rsidRDefault="00A618BF" w:rsidP="00A618BF">
      <w:pPr>
        <w:pStyle w:val="Prrafodelista"/>
        <w:rPr>
          <w:rFonts w:ascii="Palatino Linotype" w:hAnsi="Palatino Linotype" w:cs="Arial"/>
        </w:rPr>
      </w:pPr>
    </w:p>
    <w:p w:rsidR="00A618BF" w:rsidRPr="00C90EA1" w:rsidRDefault="00A618BF" w:rsidP="00A618BF">
      <w:pPr>
        <w:spacing w:line="360" w:lineRule="auto"/>
        <w:contextualSpacing/>
        <w:jc w:val="both"/>
        <w:rPr>
          <w:rFonts w:ascii="Palatino Linotype" w:hAnsi="Palatino Linotype" w:cs="Arial"/>
        </w:rPr>
      </w:pPr>
    </w:p>
    <w:p w:rsidR="00A618BF" w:rsidRPr="00C90EA1" w:rsidRDefault="00A618BF" w:rsidP="00A618BF">
      <w:pPr>
        <w:pStyle w:val="Ttulo2"/>
        <w:numPr>
          <w:ilvl w:val="0"/>
          <w:numId w:val="43"/>
        </w:numPr>
        <w:spacing w:line="259" w:lineRule="auto"/>
        <w:rPr>
          <w:rFonts w:ascii="Palatino Linotype" w:hAnsi="Palatino Linotype"/>
          <w:b/>
          <w:color w:val="000000" w:themeColor="text1"/>
          <w:sz w:val="24"/>
        </w:rPr>
      </w:pPr>
      <w:bookmarkStart w:id="144" w:name="_Toc70526133"/>
      <w:r w:rsidRPr="00C90EA1">
        <w:rPr>
          <w:rFonts w:ascii="Palatino Linotype" w:hAnsi="Palatino Linotype"/>
          <w:b/>
          <w:color w:val="000000" w:themeColor="text1"/>
          <w:sz w:val="24"/>
        </w:rPr>
        <w:lastRenderedPageBreak/>
        <w:t>Del desistimiento.</w:t>
      </w:r>
      <w:bookmarkEnd w:id="144"/>
    </w:p>
    <w:p w:rsidR="00A618BF" w:rsidRPr="00C90EA1" w:rsidRDefault="00A618BF" w:rsidP="00A618BF">
      <w:pPr>
        <w:pStyle w:val="Prrafodelista"/>
        <w:rPr>
          <w:rFonts w:ascii="Palatino Linotype" w:hAnsi="Palatino Linotype"/>
          <w:color w:val="000000" w:themeColor="text1"/>
        </w:rPr>
      </w:pPr>
    </w:p>
    <w:p w:rsidR="00A618BF" w:rsidRPr="00C90EA1" w:rsidRDefault="00A618BF" w:rsidP="00A618BF">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eastAsia="Times New Roman" w:hAnsi="Palatino Linotype" w:cs="Arial"/>
          <w:color w:val="000000" w:themeColor="text1"/>
          <w:lang w:val="es-ES"/>
        </w:rPr>
        <w:t xml:space="preserve">No </w:t>
      </w:r>
      <w:r w:rsidRPr="00C90EA1">
        <w:rPr>
          <w:rFonts w:ascii="Palatino Linotype" w:hAnsi="Palatino Linotype" w:cs="Arial"/>
        </w:rPr>
        <w:t>obstante</w:t>
      </w:r>
      <w:r w:rsidRPr="00C90EA1">
        <w:rPr>
          <w:rFonts w:ascii="Palatino Linotype" w:eastAsia="Times New Roman" w:hAnsi="Palatino Linotype" w:cs="Arial"/>
          <w:color w:val="000000" w:themeColor="text1"/>
          <w:lang w:val="es-ES"/>
        </w:rPr>
        <w:t>, previo al cierre de instrucción del Recurso de Revisión, la parte recurrente se</w:t>
      </w:r>
      <w:r w:rsidRPr="00C90EA1">
        <w:rPr>
          <w:rFonts w:ascii="Palatino Linotype" w:eastAsia="Times New Roman" w:hAnsi="Palatino Linotype" w:cs="Arial"/>
          <w:b/>
          <w:color w:val="000000" w:themeColor="text1"/>
          <w:lang w:val="es-ES"/>
        </w:rPr>
        <w:t xml:space="preserve"> DESISTIÓ</w:t>
      </w:r>
      <w:r w:rsidRPr="00C90EA1">
        <w:rPr>
          <w:rFonts w:ascii="Palatino Linotype" w:eastAsia="Times New Roman" w:hAnsi="Palatino Linotype" w:cs="Arial"/>
          <w:color w:val="000000" w:themeColor="text1"/>
          <w:lang w:val="es-ES"/>
        </w:rPr>
        <w:t xml:space="preserve"> del recurso de revisión interpuesto mediante el Sistema de Acceso a la Información Mexiquense (SAIMEX), tal como se observa a continuación:</w:t>
      </w:r>
    </w:p>
    <w:p w:rsidR="00A618BF" w:rsidRPr="00C90EA1" w:rsidRDefault="00A618BF" w:rsidP="00A618BF">
      <w:pPr>
        <w:pStyle w:val="Prrafodelista"/>
        <w:rPr>
          <w:rFonts w:ascii="Palatino Linotype" w:hAnsi="Palatino Linotype"/>
          <w:color w:val="000000" w:themeColor="text1"/>
        </w:rPr>
      </w:pPr>
    </w:p>
    <w:p w:rsidR="00A618BF" w:rsidRPr="00C90EA1" w:rsidRDefault="00A618BF" w:rsidP="00A618BF">
      <w:pPr>
        <w:pStyle w:val="Prrafodelista"/>
        <w:spacing w:line="360" w:lineRule="auto"/>
        <w:ind w:left="0"/>
        <w:jc w:val="center"/>
        <w:rPr>
          <w:rFonts w:ascii="Palatino Linotype" w:hAnsi="Palatino Linotype"/>
          <w:color w:val="000000" w:themeColor="text1"/>
        </w:rPr>
      </w:pPr>
      <w:r w:rsidRPr="00C90EA1">
        <w:rPr>
          <w:rFonts w:ascii="Palatino Linotype" w:hAnsi="Palatino Linotype"/>
          <w:noProof/>
          <w:color w:val="000000" w:themeColor="text1"/>
          <w:lang w:val="es-MX" w:eastAsia="es-MX"/>
        </w:rPr>
        <w:drawing>
          <wp:inline distT="0" distB="0" distL="0" distR="0">
            <wp:extent cx="5347411" cy="3640597"/>
            <wp:effectExtent l="19050" t="19050" r="24765" b="171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8999" cy="3641678"/>
                    </a:xfrm>
                    <a:prstGeom prst="rect">
                      <a:avLst/>
                    </a:prstGeom>
                    <a:noFill/>
                    <a:ln>
                      <a:solidFill>
                        <a:schemeClr val="tx1"/>
                      </a:solidFill>
                    </a:ln>
                  </pic:spPr>
                </pic:pic>
              </a:graphicData>
            </a:graphic>
          </wp:inline>
        </w:drawing>
      </w:r>
    </w:p>
    <w:p w:rsidR="00A618BF" w:rsidRPr="00C90EA1" w:rsidRDefault="00A618BF" w:rsidP="00A618BF">
      <w:pPr>
        <w:tabs>
          <w:tab w:val="left" w:pos="567"/>
        </w:tabs>
        <w:spacing w:line="360" w:lineRule="auto"/>
        <w:jc w:val="center"/>
        <w:rPr>
          <w:rFonts w:ascii="Palatino Linotype" w:hAnsi="Palatino Linotype"/>
          <w:color w:val="000000" w:themeColor="text1"/>
        </w:rPr>
      </w:pPr>
      <w:r w:rsidRPr="00C90EA1">
        <w:rPr>
          <w:rFonts w:ascii="Palatino Linotype" w:hAnsi="Palatino Linotype"/>
          <w:noProof/>
          <w:color w:val="000000" w:themeColor="text1"/>
          <w:lang w:val="es-MX" w:eastAsia="es-MX"/>
        </w:rPr>
        <w:lastRenderedPageBreak/>
        <w:drawing>
          <wp:inline distT="0" distB="0" distL="0" distR="0">
            <wp:extent cx="5266944" cy="2399492"/>
            <wp:effectExtent l="19050" t="19050" r="10160" b="203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2755" cy="2402140"/>
                    </a:xfrm>
                    <a:prstGeom prst="rect">
                      <a:avLst/>
                    </a:prstGeom>
                    <a:noFill/>
                    <a:ln>
                      <a:solidFill>
                        <a:schemeClr val="tx1"/>
                      </a:solidFill>
                    </a:ln>
                  </pic:spPr>
                </pic:pic>
              </a:graphicData>
            </a:graphic>
          </wp:inline>
        </w:drawing>
      </w:r>
    </w:p>
    <w:p w:rsidR="00A618BF" w:rsidRPr="00C90EA1" w:rsidRDefault="00A618BF" w:rsidP="00A618BF">
      <w:pPr>
        <w:tabs>
          <w:tab w:val="left" w:pos="567"/>
        </w:tabs>
        <w:spacing w:line="360" w:lineRule="auto"/>
        <w:jc w:val="center"/>
        <w:rPr>
          <w:rFonts w:ascii="Palatino Linotype" w:hAnsi="Palatino Linotype"/>
          <w:color w:val="000000" w:themeColor="text1"/>
        </w:rPr>
      </w:pPr>
    </w:p>
    <w:p w:rsidR="00A618BF" w:rsidRPr="00C90EA1" w:rsidRDefault="00A618BF" w:rsidP="00A618BF">
      <w:pPr>
        <w:pStyle w:val="Ttulo2"/>
        <w:numPr>
          <w:ilvl w:val="0"/>
          <w:numId w:val="43"/>
        </w:numPr>
        <w:spacing w:line="259" w:lineRule="auto"/>
        <w:rPr>
          <w:rFonts w:ascii="Palatino Linotype" w:hAnsi="Palatino Linotype"/>
          <w:b/>
          <w:color w:val="000000" w:themeColor="text1"/>
          <w:sz w:val="24"/>
        </w:rPr>
      </w:pPr>
      <w:bookmarkStart w:id="145" w:name="_Toc70526134"/>
      <w:r w:rsidRPr="00C90EA1">
        <w:rPr>
          <w:rFonts w:ascii="Palatino Linotype" w:hAnsi="Palatino Linotype"/>
          <w:b/>
          <w:color w:val="000000" w:themeColor="text1"/>
          <w:sz w:val="24"/>
        </w:rPr>
        <w:t>Causal de sobreseimiento.</w:t>
      </w:r>
      <w:bookmarkEnd w:id="145"/>
    </w:p>
    <w:p w:rsidR="00A618BF" w:rsidRPr="00C90EA1" w:rsidRDefault="00A618BF" w:rsidP="00A618BF">
      <w:pPr>
        <w:tabs>
          <w:tab w:val="left" w:pos="567"/>
        </w:tabs>
        <w:spacing w:line="360" w:lineRule="auto"/>
        <w:jc w:val="center"/>
        <w:rPr>
          <w:rFonts w:ascii="Palatino Linotype" w:hAnsi="Palatino Linotype"/>
          <w:color w:val="000000" w:themeColor="text1"/>
        </w:rPr>
      </w:pPr>
    </w:p>
    <w:p w:rsidR="00A618BF" w:rsidRPr="00C90EA1" w:rsidRDefault="00A618BF" w:rsidP="00A618BF">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eastAsia="Times New Roman" w:hAnsi="Palatino Linotype"/>
          <w:color w:val="000000" w:themeColor="text1"/>
          <w:lang w:val="es-MX" w:eastAsia="en-US"/>
        </w:rPr>
        <w:t xml:space="preserve">En ese sentido, se estima dable traer a contexto </w:t>
      </w:r>
      <w:r w:rsidRPr="00C90EA1">
        <w:rPr>
          <w:rFonts w:ascii="Palatino Linotype" w:eastAsia="Batang" w:hAnsi="Palatino Linotype" w:cs="Arial"/>
          <w:color w:val="000000" w:themeColor="text1"/>
        </w:rPr>
        <w:t xml:space="preserve">la causal de sobreseimiento contenida en </w:t>
      </w:r>
      <w:r w:rsidRPr="00C90EA1">
        <w:rPr>
          <w:rFonts w:ascii="Palatino Linotype" w:hAnsi="Palatino Linotype" w:cs="Arial"/>
          <w:color w:val="000000" w:themeColor="text1"/>
        </w:rPr>
        <w:t xml:space="preserve">la fracción I del artículo 192 </w:t>
      </w:r>
      <w:r w:rsidRPr="00C90EA1">
        <w:rPr>
          <w:rFonts w:ascii="Palatino Linotype" w:eastAsia="Batang" w:hAnsi="Palatino Linotype" w:cs="Arial"/>
          <w:color w:val="000000" w:themeColor="text1"/>
        </w:rPr>
        <w:t xml:space="preserve">de la </w:t>
      </w:r>
      <w:r w:rsidRPr="00C90EA1">
        <w:rPr>
          <w:rFonts w:ascii="Palatino Linotype" w:eastAsia="Batang" w:hAnsi="Palatino Linotype" w:cs="Arial"/>
          <w:b/>
          <w:color w:val="000000" w:themeColor="text1"/>
        </w:rPr>
        <w:t>Ley de Transparencia y Acceso a la Información Pública del Estado de México y Municipios</w:t>
      </w:r>
      <w:r w:rsidRPr="00C90EA1">
        <w:rPr>
          <w:rFonts w:ascii="Palatino Linotype" w:eastAsia="Batang" w:hAnsi="Palatino Linotype" w:cs="Arial"/>
          <w:color w:val="000000" w:themeColor="text1"/>
        </w:rPr>
        <w:t>, que establece lo siguiente:</w:t>
      </w:r>
    </w:p>
    <w:p w:rsidR="00A618BF" w:rsidRPr="00C90EA1" w:rsidRDefault="00A618BF" w:rsidP="00A618BF">
      <w:pPr>
        <w:pStyle w:val="Prrafodelista"/>
        <w:spacing w:line="360" w:lineRule="auto"/>
        <w:ind w:left="0"/>
        <w:jc w:val="both"/>
        <w:rPr>
          <w:rFonts w:ascii="Palatino Linotype" w:hAnsi="Palatino Linotype"/>
          <w:color w:val="000000" w:themeColor="text1"/>
        </w:rPr>
      </w:pPr>
    </w:p>
    <w:p w:rsidR="00A618BF" w:rsidRPr="00C90EA1" w:rsidRDefault="00A618BF" w:rsidP="00A618BF">
      <w:pPr>
        <w:pStyle w:val="Prrafodelista"/>
        <w:spacing w:line="360" w:lineRule="auto"/>
        <w:ind w:left="426" w:right="425"/>
        <w:jc w:val="both"/>
        <w:rPr>
          <w:rFonts w:ascii="Palatino Linotype" w:hAnsi="Palatino Linotype"/>
          <w:i/>
          <w:color w:val="000000" w:themeColor="text1"/>
        </w:rPr>
      </w:pPr>
      <w:r w:rsidRPr="00C90EA1">
        <w:rPr>
          <w:rFonts w:ascii="Palatino Linotype" w:hAnsi="Palatino Linotype"/>
          <w:i/>
          <w:color w:val="000000" w:themeColor="text1"/>
        </w:rPr>
        <w:t>"Artículo 192. El recurso será sobreseído, en todo o en parte, cuando una vez admitido, se actualicen alguno de los siguientes supuestos:</w:t>
      </w:r>
    </w:p>
    <w:p w:rsidR="00A618BF" w:rsidRPr="00C90EA1" w:rsidRDefault="00A618BF" w:rsidP="00A618BF">
      <w:pPr>
        <w:pStyle w:val="Prrafodelista"/>
        <w:spacing w:line="360" w:lineRule="auto"/>
        <w:ind w:left="426" w:right="425"/>
        <w:jc w:val="both"/>
        <w:rPr>
          <w:rFonts w:ascii="Palatino Linotype" w:hAnsi="Palatino Linotype"/>
          <w:i/>
          <w:color w:val="000000" w:themeColor="text1"/>
        </w:rPr>
      </w:pPr>
      <w:r w:rsidRPr="00C90EA1">
        <w:rPr>
          <w:rFonts w:ascii="Palatino Linotype" w:hAnsi="Palatino Linotype"/>
          <w:i/>
          <w:color w:val="000000" w:themeColor="text1"/>
        </w:rPr>
        <w:t xml:space="preserve">I. </w:t>
      </w:r>
      <w:r w:rsidRPr="00C90EA1">
        <w:rPr>
          <w:rFonts w:ascii="Palatino Linotype" w:hAnsi="Palatino Linotype"/>
          <w:b/>
          <w:i/>
          <w:color w:val="000000" w:themeColor="text1"/>
        </w:rPr>
        <w:t>El recurrente se desista expresamente del recurso</w:t>
      </w:r>
      <w:r w:rsidRPr="00C90EA1">
        <w:rPr>
          <w:rFonts w:ascii="Palatino Linotype" w:hAnsi="Palatino Linotype"/>
          <w:i/>
          <w:color w:val="000000" w:themeColor="text1"/>
        </w:rPr>
        <w:t>;</w:t>
      </w:r>
      <w:r w:rsidRPr="00C90EA1">
        <w:rPr>
          <w:rFonts w:ascii="Palatino Linotype" w:hAnsi="Palatino Linotype"/>
          <w:i/>
          <w:color w:val="000000" w:themeColor="text1"/>
        </w:rPr>
        <w:cr/>
        <w:t>..."</w:t>
      </w:r>
    </w:p>
    <w:p w:rsidR="00A618BF" w:rsidRPr="00C90EA1" w:rsidRDefault="00A618BF" w:rsidP="00A618BF">
      <w:pPr>
        <w:pStyle w:val="Prrafodelista"/>
        <w:spacing w:line="360" w:lineRule="auto"/>
        <w:ind w:left="426" w:right="425"/>
        <w:jc w:val="both"/>
        <w:rPr>
          <w:rFonts w:ascii="Palatino Linotype" w:hAnsi="Palatino Linotype"/>
          <w:color w:val="000000" w:themeColor="text1"/>
        </w:rPr>
      </w:pPr>
      <w:r w:rsidRPr="00C90EA1">
        <w:rPr>
          <w:rFonts w:ascii="Palatino Linotype" w:hAnsi="Palatino Linotype"/>
          <w:i/>
          <w:color w:val="000000" w:themeColor="text1"/>
        </w:rPr>
        <w:t xml:space="preserve"> </w:t>
      </w:r>
      <w:r w:rsidRPr="00C90EA1">
        <w:rPr>
          <w:rFonts w:ascii="Palatino Linotype" w:hAnsi="Palatino Linotype"/>
          <w:color w:val="000000" w:themeColor="text1"/>
        </w:rPr>
        <w:t>Énfasis añadido</w:t>
      </w:r>
    </w:p>
    <w:p w:rsidR="00A618BF" w:rsidRPr="00C90EA1" w:rsidRDefault="00A618BF" w:rsidP="00A618BF">
      <w:pPr>
        <w:pStyle w:val="Prrafodelista"/>
        <w:spacing w:line="360" w:lineRule="auto"/>
        <w:ind w:left="0"/>
        <w:jc w:val="both"/>
        <w:rPr>
          <w:rFonts w:ascii="Palatino Linotype" w:hAnsi="Palatino Linotype"/>
          <w:color w:val="000000" w:themeColor="text1"/>
        </w:rPr>
      </w:pPr>
    </w:p>
    <w:p w:rsidR="00A618BF" w:rsidRPr="00C90EA1" w:rsidRDefault="00A618BF" w:rsidP="00A618BF">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eastAsia="Batang" w:hAnsi="Palatino Linotype" w:cs="Arial"/>
          <w:color w:val="000000" w:themeColor="text1"/>
        </w:rPr>
        <w:lastRenderedPageBreak/>
        <w:t xml:space="preserve">Al respecto, es oportuno señalar que la figura del sobreseimiento privilegia la existencia de elementos de fondo, tales como el </w:t>
      </w:r>
      <w:r w:rsidRPr="00C90EA1">
        <w:rPr>
          <w:rFonts w:ascii="Palatino Linotype" w:eastAsia="Batang" w:hAnsi="Palatino Linotype" w:cs="Arial"/>
          <w:b/>
          <w:color w:val="000000" w:themeColor="text1"/>
          <w:u w:val="single"/>
        </w:rPr>
        <w:t>desistimiento expreso</w:t>
      </w:r>
      <w:r w:rsidRPr="00C90EA1">
        <w:rPr>
          <w:rFonts w:ascii="Palatino Linotype" w:eastAsia="Batang" w:hAnsi="Palatino Linotype" w:cs="Arial"/>
          <w:b/>
          <w:color w:val="000000" w:themeColor="text1"/>
        </w:rPr>
        <w:t xml:space="preserve"> </w:t>
      </w:r>
      <w:r w:rsidRPr="00C90EA1">
        <w:rPr>
          <w:rFonts w:ascii="Palatino Linotype" w:eastAsia="Batang" w:hAnsi="Palatino Linotype" w:cs="Arial"/>
          <w:color w:val="000000" w:themeColor="text1"/>
        </w:rPr>
        <w:t xml:space="preserve">o </w:t>
      </w:r>
      <w:r w:rsidRPr="00C90EA1">
        <w:rPr>
          <w:rFonts w:ascii="Palatino Linotype" w:eastAsia="Times New Roman" w:hAnsi="Palatino Linotype"/>
          <w:color w:val="000000" w:themeColor="text1"/>
          <w:lang w:val="es-MX" w:eastAsia="en-US"/>
        </w:rPr>
        <w:t>fallecimiento</w:t>
      </w:r>
      <w:r w:rsidRPr="00C90EA1">
        <w:rPr>
          <w:rFonts w:ascii="Palatino Linotype" w:eastAsia="Batang" w:hAnsi="Palatino Linotype" w:cs="Arial"/>
          <w:color w:val="000000" w:themeColor="text1"/>
        </w:rPr>
        <w:t xml:space="preserve"> del </w:t>
      </w:r>
      <w:r w:rsidRPr="00C90EA1">
        <w:rPr>
          <w:rFonts w:ascii="Palatino Linotype" w:eastAsia="Batang" w:hAnsi="Palatino Linotype" w:cs="Arial"/>
          <w:b/>
          <w:color w:val="000000" w:themeColor="text1"/>
        </w:rPr>
        <w:t>RECURRENTE</w:t>
      </w:r>
      <w:r w:rsidRPr="00C90EA1">
        <w:rPr>
          <w:rFonts w:ascii="Palatino Linotype" w:eastAsia="Batang" w:hAnsi="Palatino Linotype" w:cs="Arial"/>
          <w:color w:val="000000" w:themeColor="text1"/>
        </w:rPr>
        <w:t xml:space="preserve"> o que el </w:t>
      </w:r>
      <w:r w:rsidRPr="00C90EA1">
        <w:rPr>
          <w:rFonts w:ascii="Palatino Linotype" w:eastAsia="Batang" w:hAnsi="Palatino Linotype" w:cs="Arial"/>
          <w:b/>
          <w:color w:val="000000" w:themeColor="text1"/>
        </w:rPr>
        <w:t>SUJETO OBLIGADO</w:t>
      </w:r>
      <w:r w:rsidRPr="00C90EA1">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rsidR="00A618BF" w:rsidRPr="00C90EA1" w:rsidRDefault="00A618BF" w:rsidP="00A618BF">
      <w:pPr>
        <w:pStyle w:val="Prrafodelista"/>
        <w:spacing w:line="360" w:lineRule="auto"/>
        <w:ind w:left="0"/>
        <w:jc w:val="both"/>
        <w:rPr>
          <w:rFonts w:ascii="Palatino Linotype" w:hAnsi="Palatino Linotype"/>
          <w:color w:val="000000" w:themeColor="text1"/>
        </w:rPr>
      </w:pPr>
    </w:p>
    <w:p w:rsidR="00A618BF" w:rsidRPr="00C90EA1" w:rsidRDefault="00A618BF" w:rsidP="00A618BF">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hAnsi="Palatino Linotype" w:cs="Arial"/>
          <w:color w:val="000000" w:themeColor="text1"/>
        </w:rPr>
        <w:t xml:space="preserve">Las consecuencias jurídicas de este desistimiento es que el recurso de revisión interpuesto quede </w:t>
      </w:r>
      <w:r w:rsidRPr="00C90EA1">
        <w:rPr>
          <w:rFonts w:ascii="Palatino Linotype" w:eastAsia="Batang" w:hAnsi="Palatino Linotype" w:cs="Arial"/>
          <w:color w:val="000000" w:themeColor="text1"/>
        </w:rPr>
        <w:t>sin</w:t>
      </w:r>
      <w:r w:rsidRPr="00C90EA1">
        <w:rPr>
          <w:rFonts w:ascii="Palatino Linotype" w:hAnsi="Palatino Linotype" w:cs="Arial"/>
          <w:color w:val="000000" w:themeColor="text1"/>
        </w:rPr>
        <w:t xml:space="preserve"> efectos o sin materia. Un acto impugnado queda sin efectos, cuando aun existiendo jurídicamente, no genera consecuencia legal alguna; queda sin materia, cuando ha sido satisfecha la pretensión del particular, ya sea porque se hizo la entrega de la información solicitada, porque se completó la misma </w:t>
      </w:r>
      <w:r w:rsidRPr="00C90EA1">
        <w:rPr>
          <w:rFonts w:ascii="Palatino Linotype" w:hAnsi="Palatino Linotype" w:cs="Arial"/>
          <w:b/>
          <w:color w:val="000000" w:themeColor="text1"/>
        </w:rPr>
        <w:t>o bien porque el mismo se desiste</w:t>
      </w:r>
      <w:r w:rsidRPr="00C90EA1">
        <w:rPr>
          <w:rFonts w:ascii="Palatino Linotype" w:hAnsi="Palatino Linotype" w:cs="Arial"/>
          <w:color w:val="000000" w:themeColor="text1"/>
        </w:rPr>
        <w:t>.</w:t>
      </w:r>
    </w:p>
    <w:p w:rsidR="00A618BF" w:rsidRPr="00C90EA1" w:rsidRDefault="00A618BF" w:rsidP="00A618BF">
      <w:pPr>
        <w:pStyle w:val="Prrafodelista"/>
        <w:spacing w:line="360" w:lineRule="auto"/>
        <w:ind w:left="0"/>
        <w:jc w:val="both"/>
        <w:rPr>
          <w:rFonts w:ascii="Palatino Linotype" w:hAnsi="Palatino Linotype"/>
          <w:color w:val="000000" w:themeColor="text1"/>
        </w:rPr>
      </w:pPr>
    </w:p>
    <w:p w:rsidR="00A618BF" w:rsidRPr="00C90EA1" w:rsidRDefault="00A618BF" w:rsidP="00A618BF">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hAnsi="Palatino Linotype" w:cs="Arial"/>
          <w:color w:val="000000" w:themeColor="text1"/>
        </w:rPr>
        <w:t>Robustece lo anteriormente expuesto la Tesis Jurisprudencial</w:t>
      </w:r>
      <w:r w:rsidRPr="00C90EA1">
        <w:rPr>
          <w:rStyle w:val="Refdenotaalpie"/>
          <w:rFonts w:ascii="Palatino Linotype" w:hAnsi="Palatino Linotype" w:cs="Arial"/>
          <w:color w:val="000000" w:themeColor="text1"/>
        </w:rPr>
        <w:footnoteReference w:id="1"/>
      </w:r>
      <w:r w:rsidRPr="00C90EA1">
        <w:rPr>
          <w:rFonts w:ascii="Palatino Linotype" w:hAnsi="Palatino Linotype" w:cs="Arial"/>
          <w:color w:val="000000" w:themeColor="text1"/>
        </w:rPr>
        <w:t xml:space="preserve">  emitida por la Suprema Corte de Justicia de la Nación, a saber:</w:t>
      </w:r>
    </w:p>
    <w:p w:rsidR="00A618BF" w:rsidRPr="00C90EA1" w:rsidRDefault="00A618BF" w:rsidP="00A618BF">
      <w:pPr>
        <w:pStyle w:val="Prrafodelista"/>
        <w:spacing w:line="360" w:lineRule="auto"/>
        <w:ind w:left="0"/>
        <w:jc w:val="both"/>
        <w:rPr>
          <w:rFonts w:ascii="Palatino Linotype" w:hAnsi="Palatino Linotype"/>
          <w:color w:val="000000" w:themeColor="text1"/>
        </w:rPr>
      </w:pPr>
    </w:p>
    <w:p w:rsidR="00A618BF" w:rsidRPr="00C90EA1" w:rsidRDefault="00A618BF" w:rsidP="00A618BF">
      <w:pPr>
        <w:pStyle w:val="Prrafodelista"/>
        <w:spacing w:line="360" w:lineRule="auto"/>
        <w:ind w:left="567" w:right="567"/>
        <w:jc w:val="both"/>
        <w:rPr>
          <w:rFonts w:ascii="Palatino Linotype" w:hAnsi="Palatino Linotype"/>
          <w:i/>
        </w:rPr>
      </w:pPr>
      <w:r w:rsidRPr="00C90EA1">
        <w:rPr>
          <w:rFonts w:ascii="Palatino Linotype" w:hAnsi="Palatino Linotype"/>
          <w:b/>
          <w:i/>
        </w:rPr>
        <w:t>DESISTIMIENTO DE LA INSTANCIA. SURTE EFECTOS DESDE EL MOMENTO EN QUE SE PRESENTA EL ESCRITO CORRESPONDIENTE.</w:t>
      </w:r>
      <w:r w:rsidRPr="00C90EA1">
        <w:rPr>
          <w:rFonts w:ascii="Palatino Linotype" w:hAnsi="Palatino Linotype"/>
          <w:i/>
        </w:rPr>
        <w:t xml:space="preserve"> Los órganos jurisdiccionales tienen conocimiento de </w:t>
      </w:r>
      <w:r w:rsidRPr="00C90EA1">
        <w:rPr>
          <w:rFonts w:ascii="Palatino Linotype" w:hAnsi="Palatino Linotype"/>
          <w:i/>
        </w:rPr>
        <w:lastRenderedPageBreak/>
        <w:t xml:space="preserve">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 Contradicción de tesis 155/2004-PS.—Entre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w:t>
      </w:r>
      <w:r w:rsidRPr="00C90EA1">
        <w:rPr>
          <w:rFonts w:ascii="Palatino Linotype" w:hAnsi="Palatino Linotype"/>
          <w:i/>
        </w:rPr>
        <w:lastRenderedPageBreak/>
        <w:t>Semanario Judicial de la Federación y su Gaceta, Novena Época, Tomo XXII, julio de 2005, página 161, Primera Sala, tesis 1a</w:t>
      </w:r>
      <w:proofErr w:type="gramStart"/>
      <w:r w:rsidRPr="00C90EA1">
        <w:rPr>
          <w:rFonts w:ascii="Palatino Linotype" w:hAnsi="Palatino Linotype"/>
          <w:i/>
        </w:rPr>
        <w:t>./</w:t>
      </w:r>
      <w:proofErr w:type="gramEnd"/>
      <w:r w:rsidRPr="00C90EA1">
        <w:rPr>
          <w:rFonts w:ascii="Palatino Linotype" w:hAnsi="Palatino Linotype"/>
          <w:i/>
        </w:rPr>
        <w:t>J. 65/2005; véase ejecutoria en el Semanario Judicial de la Federación y su Gaceta, Novena Época, Tomo XXII, julio de 2005, página 146.</w:t>
      </w:r>
    </w:p>
    <w:p w:rsidR="00A618BF" w:rsidRPr="00C90EA1" w:rsidRDefault="00A618BF" w:rsidP="00A618BF">
      <w:pPr>
        <w:pStyle w:val="Prrafodelista"/>
        <w:spacing w:line="360" w:lineRule="auto"/>
        <w:ind w:left="567" w:right="567"/>
        <w:jc w:val="both"/>
        <w:rPr>
          <w:rFonts w:ascii="Palatino Linotype" w:hAnsi="Palatino Linotype"/>
          <w:i/>
          <w:color w:val="000000" w:themeColor="text1"/>
        </w:rPr>
      </w:pPr>
    </w:p>
    <w:p w:rsidR="00A618BF" w:rsidRPr="00C90EA1" w:rsidRDefault="00A618BF" w:rsidP="00A618BF">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hAnsi="Palatino Linotype" w:cs="Arial"/>
          <w:color w:val="000000" w:themeColor="text1"/>
        </w:rPr>
        <w:t xml:space="preserve">No se omite señalar que el desistimiento fue efectuado </w:t>
      </w:r>
      <w:r w:rsidRPr="00C90EA1">
        <w:rPr>
          <w:rFonts w:ascii="Palatino Linotype" w:eastAsia="MS Mincho" w:hAnsi="Palatino Linotype" w:cs="Arial"/>
          <w:color w:val="000000" w:themeColor="text1"/>
        </w:rPr>
        <w:t xml:space="preserve">con el uso de programas y herramientas tecnológicas de fácil acceso; es decir, mediante plataformas de </w:t>
      </w:r>
      <w:r w:rsidRPr="00C90EA1">
        <w:rPr>
          <w:rFonts w:ascii="Palatino Linotype" w:hAnsi="Palatino Linotype" w:cs="Arial"/>
          <w:color w:val="000000" w:themeColor="text1"/>
        </w:rPr>
        <w:t>internet</w:t>
      </w:r>
      <w:r w:rsidRPr="00C90EA1">
        <w:rPr>
          <w:rFonts w:ascii="Palatino Linotype" w:eastAsia="MS Mincho" w:hAnsi="Palatino Linotype" w:cs="Arial"/>
          <w:color w:val="000000" w:themeColor="text1"/>
        </w:rPr>
        <w:t xml:space="preserve"> como el Sistema de Acceso a la Información Mexiquense (</w:t>
      </w:r>
      <w:r w:rsidRPr="00C90EA1">
        <w:rPr>
          <w:rFonts w:ascii="Palatino Linotype" w:eastAsia="MS Mincho" w:hAnsi="Palatino Linotype" w:cs="Arial"/>
          <w:b/>
          <w:color w:val="000000" w:themeColor="text1"/>
        </w:rPr>
        <w:t>SAIMEX</w:t>
      </w:r>
      <w:r w:rsidRPr="00C90EA1">
        <w:rPr>
          <w:rFonts w:ascii="Palatino Linotype" w:eastAsia="MS Mincho" w:hAnsi="Palatino Linotype" w:cs="Arial"/>
          <w:color w:val="000000" w:themeColor="text1"/>
        </w:rPr>
        <w:t>),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rsidR="00A618BF" w:rsidRPr="00C90EA1" w:rsidRDefault="00A618BF" w:rsidP="00A618BF">
      <w:pPr>
        <w:pStyle w:val="Prrafodelista"/>
        <w:spacing w:line="360" w:lineRule="auto"/>
        <w:ind w:left="0"/>
        <w:jc w:val="both"/>
        <w:rPr>
          <w:rFonts w:ascii="Palatino Linotype" w:hAnsi="Palatino Linotype"/>
          <w:color w:val="000000" w:themeColor="text1"/>
        </w:rPr>
      </w:pPr>
    </w:p>
    <w:p w:rsidR="00A618BF" w:rsidRPr="00C90EA1" w:rsidRDefault="00A618BF" w:rsidP="00A618BF">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C90EA1">
        <w:rPr>
          <w:rFonts w:ascii="Palatino Linotype" w:hAnsi="Palatino Linotype" w:cs="Arial"/>
          <w:bCs/>
          <w:color w:val="000000" w:themeColor="text1"/>
          <w:szCs w:val="23"/>
          <w:lang w:val="es-MX"/>
        </w:rPr>
        <w:t xml:space="preserve">Sirven de apoyo a lo anterior </w:t>
      </w:r>
      <w:r w:rsidRPr="00C90EA1">
        <w:rPr>
          <w:rFonts w:ascii="Palatino Linotype" w:hAnsi="Palatino Linotype" w:cs="Arial"/>
          <w:color w:val="000000" w:themeColor="text1"/>
          <w:szCs w:val="23"/>
          <w:lang w:val="es-MX"/>
        </w:rPr>
        <w:t>las siguiente tesis aisladas:</w:t>
      </w:r>
      <w:r w:rsidRPr="00C90EA1">
        <w:rPr>
          <w:rFonts w:ascii="Palatino Linotype" w:hAnsi="Palatino Linotype" w:cs="Arial"/>
          <w:bCs/>
          <w:color w:val="000000" w:themeColor="text1"/>
          <w:szCs w:val="23"/>
          <w:lang w:val="es-MX"/>
        </w:rPr>
        <w:t xml:space="preserve"> </w:t>
      </w:r>
    </w:p>
    <w:p w:rsidR="00A618BF" w:rsidRPr="00C90EA1" w:rsidRDefault="00A618BF" w:rsidP="00A618BF">
      <w:pPr>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C90EA1">
        <w:rPr>
          <w:rFonts w:ascii="Palatino Linotype" w:hAnsi="Palatino Linotype"/>
          <w:b/>
          <w:i/>
          <w:color w:val="000000" w:themeColor="text1"/>
        </w:rPr>
        <w:lastRenderedPageBreak/>
        <w:t>“PÁGINAS WEB O ELECTRÓNICAS. SU CONTENIDO ES UN HECHO NOTORIO Y SUSCEPTIBLE DE SER VALORADO EN UNA DECISIÓN JUDICIAL.</w:t>
      </w:r>
      <w:r w:rsidRPr="00C90EA1">
        <w:rPr>
          <w:rFonts w:ascii="Palatino Linotype" w:hAnsi="Palatino Linotype"/>
          <w:color w:val="000000" w:themeColor="text1"/>
        </w:rPr>
        <w:t xml:space="preserve"> </w:t>
      </w:r>
      <w:r w:rsidRPr="00C90EA1">
        <w:rPr>
          <w:rFonts w:ascii="Palatino Linotype" w:hAnsi="Palatino Linotype"/>
          <w:i/>
          <w:color w:val="000000" w:themeColor="text1"/>
          <w:sz w:val="22"/>
          <w:szCs w:val="22"/>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w:t>
      </w:r>
      <w:proofErr w:type="spellStart"/>
      <w:r w:rsidRPr="00C90EA1">
        <w:rPr>
          <w:rFonts w:ascii="Palatino Linotype" w:hAnsi="Palatino Linotype"/>
          <w:i/>
          <w:color w:val="000000" w:themeColor="text1"/>
          <w:sz w:val="22"/>
          <w:szCs w:val="22"/>
        </w:rPr>
        <w:t>Mardygras</w:t>
      </w:r>
      <w:proofErr w:type="spellEnd"/>
      <w:r w:rsidRPr="00C90EA1">
        <w:rPr>
          <w:rFonts w:ascii="Palatino Linotype" w:hAnsi="Palatino Linotype"/>
          <w:i/>
          <w:color w:val="000000" w:themeColor="text1"/>
          <w:sz w:val="22"/>
          <w:szCs w:val="22"/>
        </w:rPr>
        <w:t>, S.A. de C.V. 7 de diciembre de 2012. Unanimidad de votos. Ponente: Neófito López Ramos. Secretaria: Ana Lilia Osorno Arroyo</w:t>
      </w:r>
      <w:proofErr w:type="gramStart"/>
      <w:r w:rsidRPr="00C90EA1">
        <w:rPr>
          <w:rFonts w:ascii="Palatino Linotype" w:hAnsi="Palatino Linotype"/>
          <w:i/>
          <w:color w:val="000000" w:themeColor="text1"/>
          <w:sz w:val="22"/>
          <w:szCs w:val="22"/>
        </w:rPr>
        <w:t>.“</w:t>
      </w:r>
      <w:proofErr w:type="gramEnd"/>
    </w:p>
    <w:p w:rsidR="00A618BF" w:rsidRPr="00C90EA1" w:rsidRDefault="00A618BF" w:rsidP="00A618BF">
      <w:pPr>
        <w:pStyle w:val="Prrafodelista"/>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C90EA1">
        <w:rPr>
          <w:rFonts w:ascii="Palatino Linotype" w:hAnsi="Palatino Linotype"/>
          <w:b/>
          <w:i/>
          <w:color w:val="000000" w:themeColor="text1"/>
          <w:sz w:val="22"/>
          <w:szCs w:val="22"/>
        </w:rPr>
        <w:lastRenderedPageBreak/>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C90EA1">
        <w:rPr>
          <w:rFonts w:ascii="Palatino Linotype" w:hAnsi="Palatino Linotype"/>
          <w:i/>
          <w:color w:val="000000" w:themeColor="text1"/>
          <w:sz w:val="22"/>
          <w:szCs w:val="22"/>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C90EA1">
        <w:rPr>
          <w:rFonts w:ascii="Palatino Linotype" w:hAnsi="Palatino Linotype"/>
          <w:i/>
          <w:color w:val="000000" w:themeColor="text1"/>
          <w:sz w:val="22"/>
          <w:szCs w:val="22"/>
        </w:rPr>
        <w:t>Pag</w:t>
      </w:r>
      <w:proofErr w:type="spellEnd"/>
      <w:r w:rsidRPr="00C90EA1">
        <w:rPr>
          <w:rFonts w:ascii="Palatino Linotype" w:hAnsi="Palatino Linotype"/>
          <w:i/>
          <w:color w:val="000000" w:themeColor="text1"/>
          <w:sz w:val="22"/>
          <w:szCs w:val="22"/>
        </w:rPr>
        <w:t>.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rsidR="00A618BF" w:rsidRPr="00C90EA1" w:rsidRDefault="00A618BF" w:rsidP="00A618BF">
      <w:pPr>
        <w:pStyle w:val="Prrafodelista"/>
        <w:spacing w:line="360" w:lineRule="auto"/>
        <w:ind w:left="0"/>
        <w:jc w:val="both"/>
        <w:rPr>
          <w:rFonts w:ascii="Palatino Linotype" w:hAnsi="Palatino Linotype"/>
          <w:color w:val="000000" w:themeColor="text1"/>
        </w:rPr>
      </w:pPr>
    </w:p>
    <w:p w:rsidR="00A618BF" w:rsidRPr="00C90EA1" w:rsidRDefault="00A618BF" w:rsidP="00A618BF">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eastAsia="Calibri" w:hAnsi="Palatino Linotype" w:cs="Times New Roman"/>
          <w:color w:val="000000" w:themeColor="text1"/>
        </w:rPr>
        <w:t xml:space="preserve">Por otra parte, para que se actualice el sobreseimiento de un recurso de revisión, el </w:t>
      </w:r>
      <w:r w:rsidRPr="00C90EA1">
        <w:rPr>
          <w:rFonts w:ascii="Palatino Linotype" w:eastAsia="Calibri" w:hAnsi="Palatino Linotype" w:cs="Times New Roman"/>
          <w:b/>
          <w:color w:val="000000" w:themeColor="text1"/>
        </w:rPr>
        <w:t>SUJETO OBLIGADO</w:t>
      </w:r>
      <w:r w:rsidRPr="00C90EA1">
        <w:rPr>
          <w:rFonts w:ascii="Palatino Linotype" w:eastAsia="Calibri" w:hAnsi="Palatino Linotype" w:cs="Times New Roman"/>
          <w:color w:val="000000" w:themeColor="text1"/>
        </w:rPr>
        <w:t xml:space="preserve"> puede entregar o completar la información al </w:t>
      </w:r>
      <w:r w:rsidRPr="00C90EA1">
        <w:rPr>
          <w:rFonts w:ascii="Palatino Linotype" w:eastAsia="Calibri" w:hAnsi="Palatino Linotype" w:cs="Times New Roman"/>
          <w:color w:val="000000" w:themeColor="text1"/>
        </w:rPr>
        <w:lastRenderedPageBreak/>
        <w:t xml:space="preserve">momento de </w:t>
      </w:r>
      <w:r w:rsidRPr="00C90EA1">
        <w:rPr>
          <w:rFonts w:ascii="Palatino Linotype" w:hAnsi="Palatino Linotype"/>
          <w:color w:val="000000" w:themeColor="text1"/>
        </w:rPr>
        <w:t>rendir</w:t>
      </w:r>
      <w:r w:rsidRPr="00C90EA1">
        <w:rPr>
          <w:rFonts w:ascii="Palatino Linotype" w:eastAsia="Calibri" w:hAnsi="Palatino Linotype" w:cs="Times New Roman"/>
          <w:color w:val="000000" w:themeColor="text1"/>
        </w:rPr>
        <w:t xml:space="preserve"> su informe justificado o dentro de los siete días previstos para manifestar lo que a su derecho convenga, lo anterior también puede ocurrir si entrega la información después de ese lapso, pero antes del cierre de instrucción, o bien si el particular </w:t>
      </w:r>
      <w:r w:rsidRPr="00C90EA1">
        <w:rPr>
          <w:rFonts w:ascii="Palatino Linotype" w:eastAsia="Calibri" w:hAnsi="Palatino Linotype" w:cs="Times New Roman"/>
          <w:b/>
          <w:color w:val="000000" w:themeColor="text1"/>
          <w:u w:val="single"/>
        </w:rPr>
        <w:t xml:space="preserve">se desiste </w:t>
      </w:r>
      <w:r w:rsidRPr="00C90EA1">
        <w:rPr>
          <w:rFonts w:ascii="Palatino Linotype" w:eastAsia="Calibri" w:hAnsi="Palatino Linotype" w:cs="Times New Roman"/>
          <w:color w:val="000000" w:themeColor="text1"/>
        </w:rPr>
        <w:t>o fallece.</w:t>
      </w:r>
    </w:p>
    <w:p w:rsidR="00A618BF" w:rsidRPr="00C90EA1" w:rsidRDefault="00A618BF" w:rsidP="00A618BF">
      <w:pPr>
        <w:pStyle w:val="Prrafodelista"/>
        <w:spacing w:line="360" w:lineRule="auto"/>
        <w:ind w:left="0"/>
        <w:jc w:val="both"/>
        <w:rPr>
          <w:rFonts w:ascii="Palatino Linotype" w:hAnsi="Palatino Linotype"/>
          <w:color w:val="000000" w:themeColor="text1"/>
        </w:rPr>
      </w:pPr>
    </w:p>
    <w:p w:rsidR="00A618BF" w:rsidRPr="00C90EA1" w:rsidRDefault="00A618BF" w:rsidP="00A618BF">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eastAsia="Calibri" w:hAnsi="Palatino Linotype" w:cs="Times New Roman"/>
          <w:color w:val="000000" w:themeColor="text1"/>
        </w:rPr>
        <w:t>Además</w:t>
      </w:r>
      <w:r w:rsidRPr="00C90EA1">
        <w:rPr>
          <w:rFonts w:ascii="Palatino Linotype" w:eastAsia="Batang" w:hAnsi="Palatino Linotype" w:cs="Arial"/>
          <w:color w:val="000000" w:themeColor="text1"/>
        </w:rPr>
        <w:t xml:space="preserve">, de acuerdo con el procesalista Niceto Alcalá-Zamora y Castillo en su obra </w:t>
      </w:r>
      <w:r w:rsidRPr="00C90EA1">
        <w:rPr>
          <w:rFonts w:ascii="Palatino Linotype" w:eastAsia="Batang" w:hAnsi="Palatino Linotype" w:cs="Arial"/>
          <w:i/>
          <w:color w:val="000000" w:themeColor="text1"/>
        </w:rPr>
        <w:t>“Cuestiones de Terminología Procesal”</w:t>
      </w:r>
      <w:r w:rsidRPr="00C90EA1">
        <w:rPr>
          <w:rFonts w:ascii="Palatino Linotype" w:eastAsia="Batang" w:hAnsi="Palatino Linotype" w:cs="Arial"/>
          <w:color w:val="000000" w:themeColor="text1"/>
        </w:rPr>
        <w:t xml:space="preserve">, el sobreseimiento es </w:t>
      </w:r>
      <w:r w:rsidRPr="00C90EA1">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rsidR="00A618BF" w:rsidRPr="00C90EA1" w:rsidRDefault="00A618BF" w:rsidP="00A618BF">
      <w:pPr>
        <w:pStyle w:val="Prrafodelista"/>
        <w:spacing w:line="360" w:lineRule="auto"/>
        <w:ind w:left="0"/>
        <w:jc w:val="both"/>
        <w:rPr>
          <w:rFonts w:ascii="Palatino Linotype" w:hAnsi="Palatino Linotype"/>
          <w:color w:val="000000" w:themeColor="text1"/>
        </w:rPr>
      </w:pPr>
    </w:p>
    <w:p w:rsidR="00A618BF" w:rsidRPr="00C90EA1" w:rsidRDefault="00A618BF" w:rsidP="00A618BF">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eastAsia="Calibri" w:hAnsi="Palatino Linotype" w:cs="Times New Roman"/>
          <w:color w:val="000000" w:themeColor="text1"/>
        </w:rPr>
        <w:t>Eduardo</w:t>
      </w:r>
      <w:r w:rsidRPr="00C90EA1">
        <w:rPr>
          <w:rFonts w:ascii="Palatino Linotype" w:eastAsia="Batang" w:hAnsi="Palatino Linotype" w:cs="Arial"/>
          <w:color w:val="000000" w:themeColor="text1"/>
        </w:rPr>
        <w:t xml:space="preserve"> Pallares, en su artículo </w:t>
      </w:r>
      <w:r w:rsidRPr="00C90EA1">
        <w:rPr>
          <w:rFonts w:ascii="Palatino Linotype" w:eastAsia="Batang" w:hAnsi="Palatino Linotype" w:cs="Arial"/>
          <w:i/>
          <w:color w:val="000000" w:themeColor="text1"/>
        </w:rPr>
        <w:t>“La caducidad y el sobreseimiento en el amparo”</w:t>
      </w:r>
      <w:r w:rsidRPr="00C90EA1">
        <w:rPr>
          <w:rFonts w:ascii="Palatino Linotype" w:eastAsia="Batang" w:hAnsi="Palatino Linotype" w:cs="Arial"/>
          <w:color w:val="000000" w:themeColor="text1"/>
        </w:rPr>
        <w:t xml:space="preserve">, cita la definición de Aguilera Paz, aduciendo que se </w:t>
      </w:r>
      <w:r w:rsidRPr="00C90EA1">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C90EA1">
        <w:rPr>
          <w:rFonts w:ascii="Palatino Linotype" w:eastAsia="Batang" w:hAnsi="Palatino Linotype" w:cs="Arial"/>
          <w:color w:val="000000" w:themeColor="text1"/>
        </w:rPr>
        <w:t xml:space="preserve">. </w:t>
      </w:r>
      <w:r w:rsidR="00933424" w:rsidRPr="00C90EA1">
        <w:rPr>
          <w:rFonts w:ascii="Palatino Linotype" w:eastAsia="Batang" w:hAnsi="Palatino Linotype" w:cs="Arial"/>
          <w:color w:val="000000" w:themeColor="text1"/>
        </w:rPr>
        <w:t>Asimismo,</w:t>
      </w:r>
      <w:r w:rsidRPr="00C90EA1">
        <w:rPr>
          <w:rFonts w:ascii="Palatino Linotype" w:eastAsia="Batang" w:hAnsi="Palatino Linotype" w:cs="Arial"/>
          <w:color w:val="000000" w:themeColor="text1"/>
        </w:rPr>
        <w:t xml:space="preserve"> señala que existe el sobreseimiento provisional y el definitivo</w:t>
      </w:r>
      <w:r w:rsidRPr="00C90EA1">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rsidR="00A618BF" w:rsidRPr="00C90EA1" w:rsidRDefault="00A618BF" w:rsidP="00A618BF">
      <w:pPr>
        <w:pStyle w:val="Prrafodelista"/>
        <w:spacing w:line="360" w:lineRule="auto"/>
        <w:ind w:left="0"/>
        <w:jc w:val="both"/>
        <w:rPr>
          <w:rFonts w:ascii="Palatino Linotype" w:hAnsi="Palatino Linotype"/>
          <w:color w:val="000000" w:themeColor="text1"/>
        </w:rPr>
      </w:pPr>
    </w:p>
    <w:p w:rsidR="00A618BF" w:rsidRPr="00C90EA1" w:rsidRDefault="00A618BF" w:rsidP="00933424">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eastAsia="Batang" w:hAnsi="Palatino Linotype" w:cs="Arial"/>
          <w:color w:val="000000" w:themeColor="text1"/>
        </w:rPr>
        <w:t xml:space="preserve">Así, para la doctrina el sobreseimiento provoca que un procedimiento se suspenda o se </w:t>
      </w:r>
      <w:r w:rsidRPr="00C90EA1">
        <w:rPr>
          <w:rFonts w:ascii="Palatino Linotype" w:eastAsia="Calibri" w:hAnsi="Palatino Linotype" w:cs="Times New Roman"/>
          <w:color w:val="000000" w:themeColor="text1"/>
        </w:rPr>
        <w:t>resuelva</w:t>
      </w:r>
      <w:r w:rsidRPr="00C90EA1">
        <w:rPr>
          <w:rFonts w:ascii="Palatino Linotype" w:eastAsia="Batang" w:hAnsi="Palatino Linotype" w:cs="Arial"/>
          <w:color w:val="000000" w:themeColor="text1"/>
        </w:rPr>
        <w:t xml:space="preserve"> en definitiva </w:t>
      </w:r>
      <w:r w:rsidRPr="00C90EA1">
        <w:rPr>
          <w:rFonts w:ascii="Palatino Linotype" w:eastAsia="Batang" w:hAnsi="Palatino Linotype" w:cs="Arial"/>
          <w:b/>
          <w:color w:val="000000" w:themeColor="text1"/>
          <w:u w:val="single"/>
        </w:rPr>
        <w:t xml:space="preserve">sin que se entre al estudio de los agravios o </w:t>
      </w:r>
      <w:r w:rsidRPr="00C90EA1">
        <w:rPr>
          <w:rFonts w:ascii="Palatino Linotype" w:eastAsia="Batang" w:hAnsi="Palatino Linotype" w:cs="Arial"/>
          <w:b/>
          <w:color w:val="000000" w:themeColor="text1"/>
          <w:u w:val="single"/>
        </w:rPr>
        <w:lastRenderedPageBreak/>
        <w:t>motivos de inconformidad.</w:t>
      </w:r>
      <w:r w:rsidRPr="00C90EA1">
        <w:rPr>
          <w:rFonts w:ascii="Palatino Linotype" w:eastAsia="Batang" w:hAnsi="Palatino Linotype" w:cs="Arial"/>
          <w:b/>
          <w:color w:val="000000" w:themeColor="text1"/>
        </w:rPr>
        <w:t xml:space="preserve"> </w:t>
      </w:r>
      <w:r w:rsidRPr="00C90EA1">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rsidR="00A618BF" w:rsidRPr="00C90EA1" w:rsidRDefault="00A618BF" w:rsidP="00A618BF">
      <w:pPr>
        <w:pStyle w:val="Prrafodelista"/>
        <w:spacing w:before="240" w:after="240" w:line="360" w:lineRule="auto"/>
        <w:ind w:left="0" w:right="49"/>
        <w:jc w:val="both"/>
        <w:rPr>
          <w:rFonts w:ascii="Palatino Linotype" w:hAnsi="Palatino Linotype"/>
          <w:color w:val="000000" w:themeColor="text1"/>
        </w:rPr>
      </w:pPr>
    </w:p>
    <w:p w:rsidR="00A618BF" w:rsidRPr="00C90EA1" w:rsidRDefault="00A618BF" w:rsidP="00A618BF">
      <w:pPr>
        <w:pStyle w:val="Prrafodelista"/>
        <w:spacing w:line="360" w:lineRule="auto"/>
        <w:ind w:left="567" w:right="616"/>
        <w:jc w:val="both"/>
        <w:rPr>
          <w:rFonts w:ascii="Palatino Linotype" w:hAnsi="Palatino Linotype"/>
          <w:color w:val="000000" w:themeColor="text1"/>
        </w:rPr>
      </w:pPr>
      <w:r w:rsidRPr="00C90EA1">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rsidR="00A618BF" w:rsidRPr="00C90EA1" w:rsidRDefault="00A618BF" w:rsidP="00A618BF">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C90EA1">
        <w:rPr>
          <w:rFonts w:ascii="Palatino Linotype" w:eastAsia="Batang" w:hAnsi="Palatino Linotype" w:cs="Arial"/>
          <w:b/>
          <w:i/>
          <w:color w:val="000000" w:themeColor="text1"/>
          <w:sz w:val="22"/>
          <w:szCs w:val="22"/>
          <w:lang w:val="es-AR"/>
        </w:rPr>
        <w:t>El sobreseimiento</w:t>
      </w:r>
      <w:r w:rsidRPr="00C90EA1">
        <w:rPr>
          <w:rFonts w:ascii="Palatino Linotype" w:eastAsia="Batang" w:hAnsi="Palatino Linotype" w:cs="Arial"/>
          <w:i/>
          <w:color w:val="000000" w:themeColor="text1"/>
          <w:sz w:val="22"/>
          <w:szCs w:val="22"/>
          <w:lang w:val="es-AR"/>
        </w:rPr>
        <w:t xml:space="preserve"> en el juicio de amparo directo </w:t>
      </w:r>
      <w:r w:rsidRPr="00C90EA1">
        <w:rPr>
          <w:rFonts w:ascii="Palatino Linotype" w:eastAsia="Batang" w:hAnsi="Palatino Linotype" w:cs="Arial"/>
          <w:b/>
          <w:i/>
          <w:color w:val="000000" w:themeColor="text1"/>
          <w:sz w:val="22"/>
          <w:szCs w:val="22"/>
          <w:lang w:val="es-AR"/>
        </w:rPr>
        <w:t>provoca la terminación de la controversia planteada</w:t>
      </w:r>
      <w:r w:rsidRPr="00C90EA1">
        <w:rPr>
          <w:rFonts w:ascii="Palatino Linotype" w:eastAsia="Batang" w:hAnsi="Palatino Linotype" w:cs="Arial"/>
          <w:i/>
          <w:color w:val="000000" w:themeColor="text1"/>
          <w:sz w:val="22"/>
          <w:szCs w:val="22"/>
          <w:lang w:val="es-AR"/>
        </w:rPr>
        <w:t xml:space="preserve"> por el quejoso en la demanda de amparo</w:t>
      </w:r>
      <w:r w:rsidRPr="00C90EA1">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C90EA1">
        <w:rPr>
          <w:rFonts w:ascii="Palatino Linotype" w:eastAsia="Batang" w:hAnsi="Palatino Linotype" w:cs="Arial"/>
          <w:i/>
          <w:color w:val="000000" w:themeColor="text1"/>
          <w:sz w:val="22"/>
          <w:szCs w:val="22"/>
          <w:lang w:val="es-AR"/>
        </w:rPr>
        <w:t xml:space="preserve">. </w:t>
      </w:r>
      <w:r w:rsidRPr="00C90EA1">
        <w:rPr>
          <w:rFonts w:ascii="Palatino Linotype" w:eastAsia="Batang" w:hAnsi="Palatino Linotype" w:cs="Arial"/>
          <w:b/>
          <w:i/>
          <w:color w:val="000000" w:themeColor="text1"/>
          <w:sz w:val="22"/>
          <w:szCs w:val="22"/>
          <w:lang w:val="es-AR"/>
        </w:rPr>
        <w:t xml:space="preserve">Por consiguiente, si al sobreseerse en el juicio de amparo </w:t>
      </w:r>
      <w:r w:rsidRPr="00C90EA1">
        <w:rPr>
          <w:rFonts w:ascii="Palatino Linotype" w:eastAsia="Batang" w:hAnsi="Palatino Linotype" w:cs="Arial"/>
          <w:b/>
          <w:i/>
          <w:color w:val="000000" w:themeColor="text1"/>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90EA1">
        <w:rPr>
          <w:rFonts w:ascii="Palatino Linotype" w:eastAsia="Batang" w:hAnsi="Palatino Linotype" w:cs="Arial"/>
          <w:i/>
          <w:color w:val="000000" w:themeColor="text1"/>
          <w:sz w:val="22"/>
          <w:szCs w:val="22"/>
          <w:lang w:val="es-AR"/>
        </w:rPr>
        <w:t>.</w:t>
      </w:r>
    </w:p>
    <w:p w:rsidR="00A618BF" w:rsidRPr="00C90EA1" w:rsidRDefault="00A618BF" w:rsidP="00A618BF">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C90EA1">
        <w:rPr>
          <w:rFonts w:ascii="Palatino Linotype" w:eastAsia="Batang" w:hAnsi="Palatino Linotype" w:cs="Arial"/>
          <w:i/>
          <w:color w:val="000000" w:themeColor="text1"/>
          <w:sz w:val="22"/>
          <w:szCs w:val="22"/>
          <w:lang w:val="es-AR"/>
        </w:rPr>
        <w:t>SÉPTIMO TRIBUNAL COLEGIADO EN MATERIA CIVIL DEL PRIMER CIRCUITO.</w:t>
      </w:r>
    </w:p>
    <w:p w:rsidR="00A618BF" w:rsidRPr="00C90EA1" w:rsidRDefault="00A618BF" w:rsidP="00A618BF">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C90EA1">
        <w:rPr>
          <w:rFonts w:ascii="Palatino Linotype" w:eastAsia="Batang" w:hAnsi="Palatino Linotype" w:cs="Arial"/>
          <w:i/>
          <w:color w:val="000000" w:themeColor="text1"/>
          <w:sz w:val="22"/>
          <w:szCs w:val="22"/>
          <w:lang w:val="es-AR"/>
        </w:rPr>
        <w:t xml:space="preserve">Amparo directo 699/2008. Mariana Leticia González </w:t>
      </w:r>
      <w:proofErr w:type="spellStart"/>
      <w:r w:rsidRPr="00C90EA1">
        <w:rPr>
          <w:rFonts w:ascii="Palatino Linotype" w:eastAsia="Batang" w:hAnsi="Palatino Linotype" w:cs="Arial"/>
          <w:i/>
          <w:color w:val="000000" w:themeColor="text1"/>
          <w:sz w:val="22"/>
          <w:szCs w:val="22"/>
          <w:lang w:val="es-AR"/>
        </w:rPr>
        <w:t>Steele</w:t>
      </w:r>
      <w:proofErr w:type="spellEnd"/>
      <w:r w:rsidRPr="00C90EA1">
        <w:rPr>
          <w:rFonts w:ascii="Palatino Linotype" w:eastAsia="Batang" w:hAnsi="Palatino Linotype" w:cs="Arial"/>
          <w:i/>
          <w:color w:val="000000" w:themeColor="text1"/>
          <w:sz w:val="22"/>
          <w:szCs w:val="22"/>
          <w:lang w:val="es-AR"/>
        </w:rPr>
        <w:t>. 13 de noviembre de 2008. Unanimidad de votos. Ponente: Sara Judith Montalvo Trejo. Secretario: Arnulfo Mateos García.</w:t>
      </w:r>
    </w:p>
    <w:p w:rsidR="00A618BF" w:rsidRPr="00C90EA1" w:rsidRDefault="00933424" w:rsidP="00933424">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hAnsi="Palatino Linotype" w:cs="Arial"/>
          <w:noProof/>
          <w:color w:val="000000" w:themeColor="text1"/>
          <w:lang w:eastAsia="es-MX"/>
        </w:rPr>
        <w:lastRenderedPageBreak/>
        <w:t>Luego entonces</w:t>
      </w:r>
      <w:r w:rsidR="00A618BF" w:rsidRPr="00C90EA1">
        <w:rPr>
          <w:rFonts w:ascii="Palatino Linotype" w:hAnsi="Palatino Linotype" w:cs="Arial"/>
          <w:noProof/>
          <w:color w:val="000000" w:themeColor="text1"/>
          <w:lang w:eastAsia="es-MX"/>
        </w:rPr>
        <w:t xml:space="preserve">, como quedó demostrado, si bien es cierto únicamente fue señalado </w:t>
      </w:r>
      <w:r w:rsidR="00A618BF" w:rsidRPr="00C90EA1">
        <w:rPr>
          <w:rFonts w:ascii="Palatino Linotype" w:eastAsia="Batang" w:hAnsi="Palatino Linotype" w:cs="Arial"/>
          <w:color w:val="000000" w:themeColor="text1"/>
        </w:rPr>
        <w:t>que</w:t>
      </w:r>
      <w:r w:rsidR="00A618BF" w:rsidRPr="00C90EA1">
        <w:rPr>
          <w:rFonts w:ascii="Palatino Linotype" w:hAnsi="Palatino Linotype" w:cs="Arial"/>
          <w:noProof/>
          <w:color w:val="000000" w:themeColor="text1"/>
          <w:lang w:eastAsia="es-MX"/>
        </w:rPr>
        <w:t xml:space="preserve"> no se estaba en condiciones de entregar lo relaivo al ejercicio fiscal 2021; también lo es que en fecha posterior el solicitante hoy recurrente manifestó su desición de desistirse del presente asunto por voluntad propia, por lo que se actualiza </w:t>
      </w:r>
      <w:r w:rsidR="00A618BF" w:rsidRPr="00C90EA1">
        <w:rPr>
          <w:rFonts w:ascii="Palatino Linotype" w:hAnsi="Palatino Linotype" w:cs="Arial"/>
          <w:color w:val="000000" w:themeColor="text1"/>
        </w:rPr>
        <w:t xml:space="preserve">la fracción I del artículo 192 </w:t>
      </w:r>
      <w:r w:rsidR="00A618BF" w:rsidRPr="00C90EA1">
        <w:rPr>
          <w:rFonts w:ascii="Palatino Linotype" w:eastAsia="Batang" w:hAnsi="Palatino Linotype" w:cs="Arial"/>
          <w:color w:val="000000" w:themeColor="text1"/>
        </w:rPr>
        <w:t xml:space="preserve">de la </w:t>
      </w:r>
      <w:r w:rsidR="00A618BF" w:rsidRPr="00C90EA1">
        <w:rPr>
          <w:rFonts w:ascii="Palatino Linotype" w:eastAsia="Batang" w:hAnsi="Palatino Linotype" w:cs="Arial"/>
          <w:b/>
          <w:color w:val="000000" w:themeColor="text1"/>
        </w:rPr>
        <w:t>Ley de Transparencia y Acceso a la Información Pública del Estado de México y Municipios.</w:t>
      </w:r>
    </w:p>
    <w:p w:rsidR="00A618BF" w:rsidRPr="00C90EA1" w:rsidRDefault="00A618BF" w:rsidP="00A618BF">
      <w:pPr>
        <w:pStyle w:val="Prrafodelista"/>
        <w:spacing w:before="240" w:after="240"/>
        <w:ind w:left="0" w:right="51"/>
        <w:jc w:val="both"/>
        <w:rPr>
          <w:rFonts w:ascii="Palatino Linotype" w:hAnsi="Palatino Linotype"/>
          <w:color w:val="000000" w:themeColor="text1"/>
        </w:rPr>
      </w:pPr>
    </w:p>
    <w:p w:rsidR="00A618BF" w:rsidRPr="00C90EA1" w:rsidRDefault="00A618BF" w:rsidP="00933424">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rsidR="00933424" w:rsidRPr="00C90EA1" w:rsidRDefault="00933424" w:rsidP="00933424">
      <w:pPr>
        <w:pStyle w:val="Prrafodelista"/>
        <w:rPr>
          <w:rFonts w:ascii="Palatino Linotype" w:hAnsi="Palatino Linotype"/>
          <w:color w:val="000000" w:themeColor="text1"/>
        </w:rPr>
      </w:pPr>
    </w:p>
    <w:p w:rsidR="00A618BF" w:rsidRPr="00C90EA1" w:rsidRDefault="00A618BF" w:rsidP="00A618BF">
      <w:pPr>
        <w:pStyle w:val="Ttulo2"/>
        <w:numPr>
          <w:ilvl w:val="0"/>
          <w:numId w:val="42"/>
        </w:numPr>
        <w:spacing w:line="259" w:lineRule="auto"/>
        <w:rPr>
          <w:rFonts w:ascii="Palatino Linotype" w:hAnsi="Palatino Linotype"/>
          <w:b/>
          <w:color w:val="000000" w:themeColor="text1"/>
          <w:sz w:val="24"/>
        </w:rPr>
      </w:pPr>
      <w:bookmarkStart w:id="146" w:name="_Toc70526135"/>
      <w:bookmarkStart w:id="147" w:name="_GoBack"/>
      <w:r w:rsidRPr="00C90EA1">
        <w:rPr>
          <w:rFonts w:ascii="Palatino Linotype" w:hAnsi="Palatino Linotype"/>
          <w:b/>
          <w:color w:val="000000" w:themeColor="text1"/>
          <w:sz w:val="24"/>
        </w:rPr>
        <w:t>Determinación</w:t>
      </w:r>
      <w:bookmarkEnd w:id="146"/>
    </w:p>
    <w:p w:rsidR="00933424" w:rsidRPr="00C90EA1" w:rsidRDefault="00933424" w:rsidP="00933424"/>
    <w:p w:rsidR="00A618BF" w:rsidRPr="00C90EA1" w:rsidRDefault="00A618BF" w:rsidP="00933424">
      <w:pPr>
        <w:numPr>
          <w:ilvl w:val="0"/>
          <w:numId w:val="15"/>
        </w:numPr>
        <w:spacing w:line="360" w:lineRule="auto"/>
        <w:ind w:left="0" w:firstLine="0"/>
        <w:contextualSpacing/>
        <w:jc w:val="both"/>
        <w:rPr>
          <w:rFonts w:ascii="Palatino Linotype" w:hAnsi="Palatino Linotype"/>
          <w:color w:val="000000" w:themeColor="text1"/>
        </w:rPr>
      </w:pPr>
      <w:r w:rsidRPr="00C90EA1">
        <w:rPr>
          <w:rFonts w:ascii="Palatino Linotype" w:hAnsi="Palatino Linotype"/>
        </w:rPr>
        <w:t xml:space="preserve">Atento a lo anterior, </w:t>
      </w:r>
      <w:r w:rsidRPr="00C90EA1">
        <w:rPr>
          <w:rFonts w:ascii="Palatino Linotype" w:hAnsi="Palatino Linotype" w:cs="Arial"/>
          <w:color w:val="000000" w:themeColor="text1"/>
          <w:lang w:val="es-CO"/>
        </w:rPr>
        <w:t xml:space="preserve">y en términos del artículo 186 fracción I este Pleno determina el </w:t>
      </w:r>
      <w:r w:rsidRPr="00C90EA1">
        <w:rPr>
          <w:rFonts w:ascii="Palatino Linotype" w:hAnsi="Palatino Linotype" w:cs="Arial"/>
          <w:b/>
          <w:color w:val="000000" w:themeColor="text1"/>
          <w:lang w:val="es-CO"/>
        </w:rPr>
        <w:t xml:space="preserve">SOBRESEIMIENTO </w:t>
      </w:r>
      <w:r w:rsidRPr="00C90EA1">
        <w:rPr>
          <w:rFonts w:ascii="Palatino Linotype" w:hAnsi="Palatino Linotype" w:cs="Arial"/>
          <w:color w:val="000000" w:themeColor="text1"/>
          <w:lang w:val="es-CO"/>
        </w:rPr>
        <w:t>del presente recurso de revisión, toda vez que el particular declara que se desiste de su derecho de acceder a la información requerida.</w:t>
      </w:r>
    </w:p>
    <w:bookmarkEnd w:id="147"/>
    <w:p w:rsidR="00933424" w:rsidRPr="00C90EA1" w:rsidRDefault="00933424" w:rsidP="00933424">
      <w:pPr>
        <w:spacing w:line="360" w:lineRule="auto"/>
        <w:contextualSpacing/>
        <w:jc w:val="both"/>
        <w:rPr>
          <w:rFonts w:ascii="Palatino Linotype" w:hAnsi="Palatino Linotype" w:cs="Arial"/>
        </w:rPr>
      </w:pPr>
    </w:p>
    <w:p w:rsidR="00A618BF" w:rsidRPr="00C90EA1" w:rsidRDefault="00A618BF" w:rsidP="00933424">
      <w:pPr>
        <w:numPr>
          <w:ilvl w:val="0"/>
          <w:numId w:val="15"/>
        </w:numPr>
        <w:spacing w:line="360" w:lineRule="auto"/>
        <w:ind w:left="0" w:firstLine="0"/>
        <w:contextualSpacing/>
        <w:jc w:val="both"/>
        <w:rPr>
          <w:rFonts w:ascii="Palatino Linotype" w:hAnsi="Palatino Linotype" w:cs="Arial"/>
        </w:rPr>
      </w:pPr>
      <w:r w:rsidRPr="00C90EA1">
        <w:rPr>
          <w:rFonts w:ascii="Palatino Linotype" w:hAnsi="Palatino Linotype"/>
          <w:color w:val="000000"/>
          <w:lang w:val="es-ES" w:eastAsia="es-MX"/>
        </w:rPr>
        <w:t xml:space="preserve">Por lo anteriormente expuesto y fundado, este </w:t>
      </w:r>
      <w:r w:rsidRPr="00C90EA1">
        <w:rPr>
          <w:rFonts w:ascii="Palatino Linotype" w:hAnsi="Palatino Linotype"/>
          <w:b/>
          <w:bCs/>
          <w:color w:val="000000"/>
          <w:lang w:val="es-ES" w:eastAsia="es-MX"/>
        </w:rPr>
        <w:t>ÓRGANO GARANTE</w:t>
      </w:r>
      <w:r w:rsidRPr="00C90EA1">
        <w:rPr>
          <w:rFonts w:ascii="Palatino Linotype" w:hAnsi="Palatino Linotype"/>
          <w:color w:val="000000"/>
          <w:lang w:val="es-ES" w:eastAsia="es-MX"/>
        </w:rPr>
        <w:t xml:space="preserve"> emite los siguientes:</w:t>
      </w:r>
    </w:p>
    <w:p w:rsidR="00A618BF" w:rsidRPr="00C90EA1" w:rsidRDefault="00A618BF" w:rsidP="00A618BF">
      <w:pPr>
        <w:pStyle w:val="Prrafodelista"/>
        <w:rPr>
          <w:rFonts w:ascii="Palatino Linotype" w:hAnsi="Palatino Linotype" w:cs="Arial"/>
        </w:rPr>
      </w:pPr>
    </w:p>
    <w:p w:rsidR="00933424" w:rsidRPr="00C90EA1" w:rsidRDefault="00933424" w:rsidP="00A618BF">
      <w:pPr>
        <w:pStyle w:val="Prrafodelista"/>
        <w:rPr>
          <w:rFonts w:ascii="Palatino Linotype" w:hAnsi="Palatino Linotype" w:cs="Arial"/>
        </w:rPr>
      </w:pPr>
    </w:p>
    <w:p w:rsidR="00933424" w:rsidRPr="00C90EA1" w:rsidRDefault="00933424" w:rsidP="00A618BF">
      <w:pPr>
        <w:pStyle w:val="Prrafodelista"/>
        <w:rPr>
          <w:rFonts w:ascii="Palatino Linotype" w:hAnsi="Palatino Linotype" w:cs="Arial"/>
        </w:rPr>
      </w:pPr>
    </w:p>
    <w:p w:rsidR="00933424" w:rsidRPr="00C90EA1" w:rsidRDefault="00933424" w:rsidP="00A618BF">
      <w:pPr>
        <w:pStyle w:val="Prrafodelista"/>
        <w:rPr>
          <w:rFonts w:ascii="Palatino Linotype" w:hAnsi="Palatino Linotype" w:cs="Arial"/>
        </w:rPr>
      </w:pPr>
    </w:p>
    <w:p w:rsidR="00A618BF" w:rsidRPr="00C90EA1" w:rsidRDefault="00A618BF" w:rsidP="00933424">
      <w:pPr>
        <w:pStyle w:val="Ttulo1"/>
        <w:spacing w:before="0" w:line="360" w:lineRule="auto"/>
        <w:jc w:val="center"/>
        <w:rPr>
          <w:rFonts w:ascii="Palatino Linotype" w:eastAsia="Times New Roman" w:hAnsi="Palatino Linotype"/>
          <w:b/>
          <w:color w:val="000000" w:themeColor="text1"/>
          <w:sz w:val="24"/>
          <w:szCs w:val="24"/>
        </w:rPr>
      </w:pPr>
      <w:bookmarkStart w:id="148" w:name="_Toc447699324"/>
      <w:bookmarkStart w:id="149" w:name="_Toc445745148"/>
      <w:bookmarkStart w:id="150" w:name="_Toc486525261"/>
      <w:bookmarkStart w:id="151" w:name="_Toc21628107"/>
      <w:bookmarkStart w:id="152" w:name="_Toc66315416"/>
      <w:bookmarkStart w:id="153" w:name="_Toc70526136"/>
      <w:r w:rsidRPr="00C90EA1">
        <w:rPr>
          <w:rFonts w:ascii="Palatino Linotype" w:eastAsia="Times New Roman" w:hAnsi="Palatino Linotype"/>
          <w:b/>
          <w:color w:val="000000" w:themeColor="text1"/>
          <w:sz w:val="24"/>
          <w:szCs w:val="24"/>
        </w:rPr>
        <w:t>R E S O L U T I V O S</w:t>
      </w:r>
      <w:bookmarkEnd w:id="148"/>
      <w:bookmarkEnd w:id="149"/>
      <w:bookmarkEnd w:id="150"/>
      <w:bookmarkEnd w:id="151"/>
      <w:bookmarkEnd w:id="152"/>
      <w:bookmarkEnd w:id="153"/>
    </w:p>
    <w:p w:rsidR="00A618BF" w:rsidRPr="00C90EA1" w:rsidRDefault="00A618BF" w:rsidP="00933424">
      <w:pPr>
        <w:spacing w:line="360" w:lineRule="auto"/>
        <w:rPr>
          <w:rFonts w:ascii="Palatino Linotype" w:hAnsi="Palatino Linotype"/>
          <w:lang w:val="es-MX" w:eastAsia="en-US"/>
        </w:rPr>
      </w:pPr>
    </w:p>
    <w:p w:rsidR="00A618BF" w:rsidRPr="00C90EA1" w:rsidRDefault="00A618BF" w:rsidP="00933424">
      <w:pPr>
        <w:spacing w:line="360" w:lineRule="auto"/>
        <w:jc w:val="both"/>
        <w:rPr>
          <w:rFonts w:ascii="Palatino Linotype" w:hAnsi="Palatino Linotype" w:cs="Arial"/>
        </w:rPr>
      </w:pPr>
      <w:r w:rsidRPr="00C90EA1">
        <w:rPr>
          <w:rFonts w:ascii="Palatino Linotype" w:hAnsi="Palatino Linotype" w:cs="Arial"/>
          <w:b/>
          <w:bCs/>
          <w:lang w:eastAsia="es-MX"/>
        </w:rPr>
        <w:t>PRIMERO</w:t>
      </w:r>
      <w:r w:rsidRPr="00C90EA1">
        <w:rPr>
          <w:rFonts w:ascii="Palatino Linotype" w:hAnsi="Palatino Linotype" w:cs="Arial"/>
        </w:rPr>
        <w:t xml:space="preserve">. Se </w:t>
      </w:r>
      <w:r w:rsidRPr="00C90EA1">
        <w:rPr>
          <w:rFonts w:ascii="Palatino Linotype" w:hAnsi="Palatino Linotype" w:cs="Arial"/>
          <w:b/>
        </w:rPr>
        <w:t xml:space="preserve">SOBRESEE </w:t>
      </w:r>
      <w:r w:rsidRPr="00C90EA1">
        <w:rPr>
          <w:rFonts w:ascii="Palatino Linotype" w:hAnsi="Palatino Linotype" w:cs="Arial"/>
        </w:rPr>
        <w:t>el recurso de revisión</w:t>
      </w:r>
      <w:r w:rsidRPr="00C90EA1">
        <w:rPr>
          <w:rFonts w:ascii="Palatino Linotype" w:hAnsi="Palatino Linotype" w:cs="Arial"/>
          <w:b/>
        </w:rPr>
        <w:t xml:space="preserve"> </w:t>
      </w:r>
      <w:r w:rsidRPr="00C90EA1">
        <w:rPr>
          <w:rFonts w:ascii="Palatino Linotype" w:hAnsi="Palatino Linotype" w:cs="Arial"/>
        </w:rPr>
        <w:t xml:space="preserve">número </w:t>
      </w:r>
      <w:r w:rsidR="00933424" w:rsidRPr="00C90EA1">
        <w:rPr>
          <w:rFonts w:ascii="Palatino Linotype" w:hAnsi="Palatino Linotype" w:cs="Arial"/>
          <w:b/>
        </w:rPr>
        <w:t>00663</w:t>
      </w:r>
      <w:r w:rsidRPr="00C90EA1">
        <w:rPr>
          <w:rFonts w:ascii="Palatino Linotype" w:hAnsi="Palatino Linotype" w:cs="Arial"/>
          <w:b/>
        </w:rPr>
        <w:t>/INFOEM/IP/RR/202</w:t>
      </w:r>
      <w:r w:rsidR="00933424" w:rsidRPr="00C90EA1">
        <w:rPr>
          <w:rFonts w:ascii="Palatino Linotype" w:hAnsi="Palatino Linotype" w:cs="Arial"/>
          <w:b/>
        </w:rPr>
        <w:t>2</w:t>
      </w:r>
      <w:r w:rsidRPr="00C90EA1">
        <w:rPr>
          <w:rFonts w:ascii="Palatino Linotype" w:hAnsi="Palatino Linotype" w:cs="Arial"/>
        </w:rPr>
        <w:t xml:space="preserve"> </w:t>
      </w:r>
      <w:r w:rsidRPr="00C90EA1">
        <w:rPr>
          <w:rFonts w:ascii="Palatino Linotype" w:hAnsi="Palatino Linotype"/>
        </w:rPr>
        <w:t xml:space="preserve">por </w:t>
      </w:r>
      <w:r w:rsidRPr="00C90EA1">
        <w:rPr>
          <w:rFonts w:ascii="Palatino Linotype" w:hAnsi="Palatino Linotype"/>
          <w:b/>
        </w:rPr>
        <w:t>haberse desistido expresamente EL</w:t>
      </w:r>
      <w:r w:rsidRPr="00C90EA1">
        <w:rPr>
          <w:rFonts w:ascii="Palatino Linotype" w:hAnsi="Palatino Linotype"/>
        </w:rPr>
        <w:t xml:space="preserve"> </w:t>
      </w:r>
      <w:r w:rsidRPr="00C90EA1">
        <w:rPr>
          <w:rFonts w:ascii="Palatino Linotype" w:hAnsi="Palatino Linotype"/>
          <w:b/>
        </w:rPr>
        <w:t>RECURRENTE</w:t>
      </w:r>
      <w:r w:rsidRPr="00C90EA1">
        <w:rPr>
          <w:rFonts w:ascii="Palatino Linotype" w:hAnsi="Palatino Linotype" w:cs="Arial"/>
          <w:b/>
        </w:rPr>
        <w:t xml:space="preserve">, </w:t>
      </w:r>
      <w:r w:rsidRPr="00C90EA1">
        <w:rPr>
          <w:rFonts w:ascii="Palatino Linotype" w:hAnsi="Palatino Linotype" w:cs="Arial"/>
        </w:rPr>
        <w:t xml:space="preserve">en términos del Considerando </w:t>
      </w:r>
      <w:r w:rsidR="00CA261A" w:rsidRPr="00C90EA1">
        <w:rPr>
          <w:rFonts w:ascii="Palatino Linotype" w:hAnsi="Palatino Linotype" w:cs="Arial"/>
          <w:b/>
        </w:rPr>
        <w:t>TERCERO</w:t>
      </w:r>
      <w:r w:rsidRPr="00C90EA1">
        <w:rPr>
          <w:rFonts w:ascii="Palatino Linotype" w:hAnsi="Palatino Linotype" w:cs="Arial"/>
        </w:rPr>
        <w:t xml:space="preserve"> de la presente resolución.</w:t>
      </w:r>
    </w:p>
    <w:p w:rsidR="00933424" w:rsidRPr="00C90EA1" w:rsidRDefault="00933424" w:rsidP="00933424">
      <w:pPr>
        <w:spacing w:line="360" w:lineRule="auto"/>
        <w:jc w:val="both"/>
        <w:rPr>
          <w:rFonts w:ascii="Palatino Linotype" w:hAnsi="Palatino Linotype" w:cs="Arial"/>
        </w:rPr>
      </w:pPr>
    </w:p>
    <w:p w:rsidR="00A618BF" w:rsidRPr="00C90EA1" w:rsidRDefault="00A618BF" w:rsidP="00933424">
      <w:pPr>
        <w:shd w:val="clear" w:color="auto" w:fill="FFFFFF"/>
        <w:spacing w:line="360" w:lineRule="auto"/>
        <w:jc w:val="both"/>
        <w:rPr>
          <w:rFonts w:ascii="Palatino Linotype" w:eastAsia="MS Mincho" w:hAnsi="Palatino Linotype" w:cs="Times New Roman"/>
          <w:color w:val="000000" w:themeColor="text1"/>
          <w:shd w:val="clear" w:color="auto" w:fill="FFFFFF"/>
        </w:rPr>
      </w:pPr>
      <w:r w:rsidRPr="00C90EA1">
        <w:rPr>
          <w:rFonts w:ascii="Palatino Linotype" w:eastAsia="Times New Roman" w:hAnsi="Palatino Linotype" w:cs="Arial"/>
          <w:b/>
        </w:rPr>
        <w:t>SEGUNDO.</w:t>
      </w:r>
      <w:r w:rsidRPr="00C90EA1">
        <w:rPr>
          <w:rStyle w:val="Ttulo2Car"/>
        </w:rPr>
        <w:t xml:space="preserve"> </w:t>
      </w:r>
      <w:r w:rsidRPr="00C90EA1">
        <w:rPr>
          <w:rFonts w:ascii="Palatino Linotype" w:eastAsia="MS Mincho" w:hAnsi="Palatino Linotype" w:cs="Arial"/>
          <w:b/>
          <w:bCs/>
          <w:color w:val="000000" w:themeColor="text1"/>
          <w:shd w:val="clear" w:color="auto" w:fill="FFFFFF"/>
        </w:rPr>
        <w:t xml:space="preserve">Remítase </w:t>
      </w:r>
      <w:r w:rsidRPr="00C90EA1">
        <w:rPr>
          <w:rFonts w:ascii="Palatino Linotype" w:eastAsia="MS Mincho" w:hAnsi="Palatino Linotype" w:cs="Times New Roman"/>
          <w:color w:val="000000" w:themeColor="text1"/>
          <w:shd w:val="clear" w:color="auto" w:fill="FFFFFF"/>
        </w:rPr>
        <w:t>al Titular de la Unidad de Transparencia del</w:t>
      </w:r>
      <w:r w:rsidRPr="00C90EA1">
        <w:rPr>
          <w:rFonts w:ascii="Palatino Linotype" w:eastAsia="MS Mincho" w:hAnsi="Palatino Linotype" w:cs="Times New Roman"/>
          <w:b/>
          <w:bCs/>
          <w:color w:val="000000" w:themeColor="text1"/>
          <w:shd w:val="clear" w:color="auto" w:fill="FFFFFF"/>
        </w:rPr>
        <w:t xml:space="preserve"> SUJETO OBLIGADO</w:t>
      </w:r>
      <w:r w:rsidRPr="00C90EA1">
        <w:rPr>
          <w:rFonts w:ascii="Palatino Linotype" w:eastAsia="MS Mincho" w:hAnsi="Palatino Linotype" w:cs="Times New Roman"/>
          <w:color w:val="000000" w:themeColor="text1"/>
          <w:shd w:val="clear" w:color="auto" w:fill="FFFFFF"/>
        </w:rPr>
        <w:t xml:space="preserve"> vía</w:t>
      </w:r>
      <w:r w:rsidRPr="00C90EA1">
        <w:rPr>
          <w:rFonts w:ascii="Palatino Linotype" w:eastAsia="MS Mincho" w:hAnsi="Palatino Linotype" w:cs="Times New Roman"/>
          <w:b/>
          <w:color w:val="000000" w:themeColor="text1"/>
          <w:shd w:val="clear" w:color="auto" w:fill="FFFFFF"/>
        </w:rPr>
        <w:t xml:space="preserve"> SAIMEX</w:t>
      </w:r>
      <w:r w:rsidRPr="00C90EA1">
        <w:rPr>
          <w:rFonts w:ascii="Palatino Linotype" w:eastAsia="MS Mincho" w:hAnsi="Palatino Linotype" w:cs="Times New Roman"/>
          <w:color w:val="000000" w:themeColor="text1"/>
          <w:shd w:val="clear" w:color="auto" w:fill="FFFFFF"/>
        </w:rPr>
        <w:t>.</w:t>
      </w:r>
    </w:p>
    <w:p w:rsidR="00933424" w:rsidRPr="00C90EA1" w:rsidRDefault="00933424" w:rsidP="00933424">
      <w:pPr>
        <w:shd w:val="clear" w:color="auto" w:fill="FFFFFF"/>
        <w:spacing w:line="360" w:lineRule="auto"/>
        <w:jc w:val="both"/>
        <w:rPr>
          <w:rStyle w:val="Ttulo2Car"/>
          <w:b/>
        </w:rPr>
      </w:pPr>
    </w:p>
    <w:p w:rsidR="00A618BF" w:rsidRPr="00C90EA1" w:rsidRDefault="00A618BF" w:rsidP="00933424">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C90EA1">
        <w:rPr>
          <w:rFonts w:ascii="Palatino Linotype" w:hAnsi="Palatino Linotype" w:cs="Arial"/>
          <w:b/>
        </w:rPr>
        <w:t>TERCERO</w:t>
      </w:r>
      <w:r w:rsidRPr="00C90EA1">
        <w:rPr>
          <w:rFonts w:ascii="Palatino Linotype" w:hAnsi="Palatino Linotype"/>
          <w:b/>
          <w:color w:val="222222"/>
          <w:lang w:eastAsia="es-ES_tradnl"/>
        </w:rPr>
        <w:t>.</w:t>
      </w:r>
      <w:r w:rsidRPr="00C90EA1">
        <w:rPr>
          <w:rFonts w:ascii="Palatino Linotype" w:hAnsi="Palatino Linotype"/>
          <w:b/>
          <w:color w:val="222222"/>
          <w:sz w:val="22"/>
          <w:szCs w:val="22"/>
          <w:lang w:eastAsia="es-ES_tradnl"/>
        </w:rPr>
        <w:t xml:space="preserve"> </w:t>
      </w:r>
      <w:r w:rsidRPr="00C90EA1">
        <w:rPr>
          <w:rFonts w:ascii="Palatino Linotype" w:hAnsi="Palatino Linotype"/>
          <w:b/>
          <w:color w:val="222222"/>
          <w:lang w:eastAsia="es-ES_tradnl"/>
        </w:rPr>
        <w:t xml:space="preserve">Notifíquese a </w:t>
      </w:r>
      <w:r w:rsidRPr="00C90EA1">
        <w:rPr>
          <w:rFonts w:ascii="Palatino Linotype" w:hAnsi="Palatino Linotype"/>
          <w:b/>
          <w:szCs w:val="22"/>
        </w:rPr>
        <w:t>EL RECURRENTE</w:t>
      </w:r>
      <w:r w:rsidRPr="00C90EA1">
        <w:rPr>
          <w:rFonts w:ascii="Palatino Linotype" w:hAnsi="Palatino Linotype"/>
          <w:color w:val="222222"/>
          <w:lang w:eastAsia="es-ES_tradnl"/>
        </w:rPr>
        <w:t xml:space="preserve"> la presente resolución </w:t>
      </w:r>
      <w:r w:rsidR="00933424" w:rsidRPr="00C90EA1">
        <w:rPr>
          <w:rFonts w:ascii="Palatino Linotype" w:eastAsia="MS Mincho" w:hAnsi="Palatino Linotype" w:cs="Times New Roman"/>
          <w:color w:val="000000" w:themeColor="text1"/>
          <w:shd w:val="clear" w:color="auto" w:fill="FFFFFF"/>
        </w:rPr>
        <w:t>vía</w:t>
      </w:r>
      <w:r w:rsidR="00933424" w:rsidRPr="00C90EA1">
        <w:rPr>
          <w:rFonts w:ascii="Palatino Linotype" w:eastAsia="MS Mincho" w:hAnsi="Palatino Linotype" w:cs="Times New Roman"/>
          <w:b/>
          <w:color w:val="000000" w:themeColor="text1"/>
          <w:shd w:val="clear" w:color="auto" w:fill="FFFFFF"/>
        </w:rPr>
        <w:t xml:space="preserve"> SAIMEX</w:t>
      </w:r>
      <w:r w:rsidRPr="00C90EA1">
        <w:rPr>
          <w:rFonts w:ascii="Palatino Linotype" w:hAnsi="Palatino Linotype"/>
          <w:color w:val="222222"/>
          <w:lang w:eastAsia="es-ES_tradnl"/>
        </w:rPr>
        <w:t>.</w:t>
      </w:r>
    </w:p>
    <w:p w:rsidR="00A618BF" w:rsidRPr="00C90EA1" w:rsidRDefault="00A618BF" w:rsidP="00933424">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18"/>
          <w:lang w:eastAsia="es-ES_tradnl"/>
        </w:rPr>
      </w:pPr>
    </w:p>
    <w:p w:rsidR="00A618BF" w:rsidRPr="00C90EA1" w:rsidRDefault="00A618BF" w:rsidP="00933424">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C90EA1">
        <w:rPr>
          <w:rFonts w:ascii="Palatino Linotype" w:hAnsi="Palatino Linotype"/>
          <w:b/>
          <w:color w:val="222222"/>
          <w:lang w:eastAsia="es-ES_tradnl"/>
        </w:rPr>
        <w:t xml:space="preserve">CUARTO. </w:t>
      </w:r>
      <w:r w:rsidRPr="00C90EA1">
        <w:rPr>
          <w:rFonts w:ascii="Palatino Linotype" w:hAnsi="Palatino Linotype"/>
          <w:color w:val="222222"/>
          <w:lang w:eastAsia="es-ES_tradnl"/>
        </w:rPr>
        <w:t xml:space="preserve">Se hace de conocimiento a </w:t>
      </w:r>
      <w:r w:rsidRPr="00C90EA1">
        <w:rPr>
          <w:rFonts w:ascii="Palatino Linotype" w:hAnsi="Palatino Linotype"/>
          <w:b/>
          <w:szCs w:val="22"/>
        </w:rPr>
        <w:t>EL RECURRENTE</w:t>
      </w:r>
      <w:r w:rsidRPr="00C90EA1">
        <w:rPr>
          <w:rFonts w:ascii="Palatino Linotype" w:hAnsi="Palatino Linotype"/>
          <w:color w:val="222222"/>
          <w:lang w:eastAsia="es-ES_tradnl"/>
        </w:rPr>
        <w:t xml:space="preserve"> que, de conformidad con lo establecido en el artículo 142 de la Ley de Protección de Datos Personales en Posesión de Sujetos Obligados del Estado de México y Municipios de aplicación supletoria, en caso de que considere que la resolución le cause algún perjuicio podrá impugnarla vía Juicio de Amparo en los términos de las leyes aplicables.</w:t>
      </w:r>
    </w:p>
    <w:p w:rsidR="002679E6" w:rsidRPr="00C90EA1" w:rsidRDefault="002679E6" w:rsidP="00933424">
      <w:pPr>
        <w:pStyle w:val="Prrafodelista"/>
        <w:spacing w:line="360" w:lineRule="auto"/>
        <w:ind w:left="0"/>
        <w:jc w:val="both"/>
        <w:rPr>
          <w:rFonts w:ascii="Palatino Linotype" w:hAnsi="Palatino Linotype"/>
          <w:color w:val="000000" w:themeColor="text1"/>
        </w:rPr>
      </w:pPr>
    </w:p>
    <w:p w:rsidR="00C90EA1" w:rsidRDefault="00C90EA1" w:rsidP="00C90EA1">
      <w:pPr>
        <w:spacing w:before="240" w:after="240" w:line="360" w:lineRule="auto"/>
        <w:ind w:firstLine="1"/>
        <w:jc w:val="both"/>
        <w:rPr>
          <w:rFonts w:ascii="Palatino Linotype" w:hAnsi="Palatino Linotype"/>
        </w:rPr>
      </w:pPr>
      <w:r w:rsidRPr="00C90EA1">
        <w:rPr>
          <w:rFonts w:ascii="Palatino Linotype" w:hAnsi="Palatino Linotype"/>
        </w:rPr>
        <w:t xml:space="preserve">ASÍ LO RESUELVE, POR UNANIMIDAD DE VOTOS, EL PLENO DEL INSTITUTO DE TRANSPARENCIA, ACCESO A LA INFORMACIÓN PÚBLICA Y PROTECCIÓN DE DATOS PERSONALES DEL ESTADO DE MÉXICO Y </w:t>
      </w:r>
      <w:r w:rsidRPr="00C90EA1">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DÉCIMA SÉPTIMA SESIÓN ORDINARIA CELEBRADA EL ONCE (11) DE MAYO DE DOS MIL VEINTIDÓS, ANTE EL SECRETARIO TÉCNICO DEL PLENO ALEXIS TAPIA RAMÍREZ.</w:t>
      </w:r>
      <w:r w:rsidRPr="00624AAD">
        <w:rPr>
          <w:rFonts w:ascii="Palatino Linotype" w:hAnsi="Palatino Linotype"/>
        </w:rPr>
        <w:t xml:space="preserve"> </w:t>
      </w: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jc w:val="both"/>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spacing w:line="360" w:lineRule="auto"/>
        <w:rPr>
          <w:rFonts w:ascii="Palatino Linotype" w:hAnsi="Palatino Linotype"/>
        </w:rPr>
      </w:pPr>
    </w:p>
    <w:p w:rsidR="009F09BC" w:rsidRPr="007C3761" w:rsidRDefault="009F09BC" w:rsidP="007C3761">
      <w:pPr>
        <w:tabs>
          <w:tab w:val="left" w:pos="3374"/>
        </w:tabs>
        <w:spacing w:line="360" w:lineRule="auto"/>
        <w:rPr>
          <w:rFonts w:ascii="Palatino Linotype" w:hAnsi="Palatino Linotype"/>
        </w:rPr>
      </w:pPr>
      <w:r w:rsidRPr="007C3761">
        <w:rPr>
          <w:rFonts w:ascii="Palatino Linotype" w:hAnsi="Palatino Linotype"/>
        </w:rPr>
        <w:tab/>
      </w: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p w:rsidR="007C3761" w:rsidRPr="007C3761" w:rsidRDefault="007C3761" w:rsidP="007C3761">
      <w:pPr>
        <w:tabs>
          <w:tab w:val="left" w:pos="3374"/>
        </w:tabs>
        <w:spacing w:line="360" w:lineRule="auto"/>
        <w:rPr>
          <w:rFonts w:ascii="Palatino Linotype" w:hAnsi="Palatino Linotype"/>
        </w:rPr>
      </w:pPr>
    </w:p>
    <w:sectPr w:rsidR="007C3761" w:rsidRPr="007C3761" w:rsidSect="00D6295E">
      <w:headerReference w:type="even" r:id="rId10"/>
      <w:headerReference w:type="default" r:id="rId11"/>
      <w:footerReference w:type="default" r:id="rId12"/>
      <w:headerReference w:type="first" r:id="rId13"/>
      <w:footerReference w:type="first" r:id="rId14"/>
      <w:pgSz w:w="12240" w:h="15840"/>
      <w:pgMar w:top="3544"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827" w:rsidRDefault="00493827" w:rsidP="003B7751">
      <w:r>
        <w:separator/>
      </w:r>
    </w:p>
  </w:endnote>
  <w:endnote w:type="continuationSeparator" w:id="0">
    <w:p w:rsidR="00493827" w:rsidRDefault="0049382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173AA" w:rsidRPr="002D6DD8" w:rsidRDefault="00F173A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15F9">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E15F9">
              <w:rPr>
                <w:rFonts w:ascii="Palatino Linotype" w:hAnsi="Palatino Linotype"/>
                <w:bCs/>
                <w:noProof/>
                <w:sz w:val="20"/>
              </w:rPr>
              <w:t>25</w:t>
            </w:r>
            <w:r>
              <w:rPr>
                <w:rFonts w:ascii="Palatino Linotype" w:hAnsi="Palatino Linotype"/>
                <w:bCs/>
                <w:noProof/>
                <w:sz w:val="20"/>
              </w:rPr>
              <w:fldChar w:fldCharType="end"/>
            </w:r>
          </w:p>
        </w:sdtContent>
      </w:sdt>
    </w:sdtContent>
  </w:sdt>
  <w:p w:rsidR="00F173AA" w:rsidRDefault="00F173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AA" w:rsidRPr="000B69FA" w:rsidRDefault="00F173AA"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15F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E15F9">
      <w:rPr>
        <w:rFonts w:ascii="Palatino Linotype" w:hAnsi="Palatino Linotype"/>
        <w:bCs/>
        <w:noProof/>
        <w:sz w:val="20"/>
      </w:rPr>
      <w:t>25</w:t>
    </w:r>
    <w:r>
      <w:rPr>
        <w:rFonts w:ascii="Palatino Linotype" w:hAnsi="Palatino Linotype"/>
        <w:bCs/>
        <w:noProof/>
        <w:sz w:val="20"/>
      </w:rPr>
      <w:fldChar w:fldCharType="end"/>
    </w:r>
  </w:p>
  <w:p w:rsidR="00F173AA" w:rsidRDefault="00F173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827" w:rsidRDefault="00493827" w:rsidP="003B7751">
      <w:r>
        <w:separator/>
      </w:r>
    </w:p>
  </w:footnote>
  <w:footnote w:type="continuationSeparator" w:id="0">
    <w:p w:rsidR="00493827" w:rsidRDefault="00493827" w:rsidP="003B7751">
      <w:r>
        <w:continuationSeparator/>
      </w:r>
    </w:p>
  </w:footnote>
  <w:footnote w:id="1">
    <w:p w:rsidR="00A618BF" w:rsidRPr="00600612" w:rsidRDefault="00A618BF" w:rsidP="00A618BF">
      <w:pPr>
        <w:pStyle w:val="Textonotapie"/>
      </w:pPr>
      <w:r>
        <w:rPr>
          <w:rStyle w:val="Refdenotaalpie"/>
        </w:rPr>
        <w:footnoteRef/>
      </w:r>
      <w:r>
        <w:t xml:space="preserve"> </w:t>
      </w:r>
      <w:r w:rsidRPr="00600612">
        <w:t>1012916. 317. Primera Sala. Novena Época. Apéndice 1917-Septiembre 2011. Tomo V. Civil Primera Parte - SCJN Primera Sección - Civil Subsección 2 - Adjetivo, Pág.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AA" w:rsidRDefault="0049382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F173AA" w:rsidTr="006A04B6">
      <w:trPr>
        <w:trHeight w:val="227"/>
      </w:trPr>
      <w:tc>
        <w:tcPr>
          <w:tcW w:w="2976" w:type="dxa"/>
          <w:vAlign w:val="center"/>
          <w:hideMark/>
        </w:tcPr>
        <w:p w:rsidR="00F173AA" w:rsidRPr="00674A46" w:rsidRDefault="00F173AA"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F173AA" w:rsidRPr="00485ED8" w:rsidRDefault="00CE73D6" w:rsidP="00594534">
          <w:pPr>
            <w:pStyle w:val="Encabezado"/>
            <w:rPr>
              <w:rFonts w:ascii="Palatino Linotype" w:hAnsi="Palatino Linotype"/>
              <w:b/>
              <w:sz w:val="22"/>
              <w:szCs w:val="22"/>
            </w:rPr>
          </w:pPr>
          <w:r>
            <w:rPr>
              <w:rFonts w:ascii="Palatino Linotype" w:hAnsi="Palatino Linotype" w:cs="Arial"/>
              <w:b/>
              <w:bCs/>
              <w:sz w:val="22"/>
              <w:szCs w:val="22"/>
              <w:lang w:eastAsia="es-MX"/>
            </w:rPr>
            <w:t>00663</w:t>
          </w:r>
          <w:r w:rsidR="00F173AA" w:rsidRPr="00485ED8">
            <w:rPr>
              <w:rFonts w:ascii="Palatino Linotype" w:hAnsi="Palatino Linotype" w:cs="Arial"/>
              <w:b/>
              <w:bCs/>
              <w:sz w:val="22"/>
              <w:szCs w:val="22"/>
              <w:lang w:eastAsia="es-MX"/>
            </w:rPr>
            <w:t>/INFOEM/IP/RR/202</w:t>
          </w:r>
          <w:r w:rsidR="00F173AA">
            <w:rPr>
              <w:rFonts w:ascii="Palatino Linotype" w:hAnsi="Palatino Linotype" w:cs="Arial"/>
              <w:b/>
              <w:bCs/>
              <w:sz w:val="22"/>
              <w:szCs w:val="22"/>
              <w:lang w:eastAsia="es-MX"/>
            </w:rPr>
            <w:t>2</w:t>
          </w:r>
        </w:p>
      </w:tc>
    </w:tr>
    <w:tr w:rsidR="00F173AA" w:rsidTr="006A04B6">
      <w:trPr>
        <w:trHeight w:val="242"/>
      </w:trPr>
      <w:tc>
        <w:tcPr>
          <w:tcW w:w="2976" w:type="dxa"/>
          <w:vAlign w:val="center"/>
          <w:hideMark/>
        </w:tcPr>
        <w:p w:rsidR="00F173AA" w:rsidRPr="00674A46" w:rsidRDefault="00F173AA"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F173AA" w:rsidRPr="00485ED8" w:rsidRDefault="00CE73D6" w:rsidP="009F09BC">
          <w:pPr>
            <w:pStyle w:val="Encabezado"/>
            <w:jc w:val="both"/>
            <w:rPr>
              <w:rFonts w:ascii="Palatino Linotype" w:hAnsi="Palatino Linotype"/>
              <w:b/>
              <w:sz w:val="22"/>
              <w:szCs w:val="22"/>
            </w:rPr>
          </w:pPr>
          <w:r w:rsidRPr="00CE73D6">
            <w:rPr>
              <w:rFonts w:ascii="Palatino Linotype" w:hAnsi="Palatino Linotype"/>
              <w:b/>
              <w:bCs/>
              <w:color w:val="000000"/>
              <w:sz w:val="22"/>
              <w:szCs w:val="22"/>
            </w:rPr>
            <w:t>Organismo Público Descentralizado para la Prestación de Los Servicios de Agua Potable Alcantarillado y Saneamiento de Atizapán de Zaragoza por sus siglas S.A.P.A.S.A.</w:t>
          </w:r>
        </w:p>
      </w:tc>
    </w:tr>
    <w:tr w:rsidR="00F173AA" w:rsidTr="006A04B6">
      <w:trPr>
        <w:trHeight w:val="342"/>
      </w:trPr>
      <w:tc>
        <w:tcPr>
          <w:tcW w:w="2976" w:type="dxa"/>
          <w:vAlign w:val="center"/>
          <w:hideMark/>
        </w:tcPr>
        <w:p w:rsidR="00F173AA" w:rsidRPr="00674A46" w:rsidRDefault="00F173AA"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F173AA" w:rsidRPr="00485ED8" w:rsidRDefault="00F173AA"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F173AA" w:rsidRPr="00AE046A" w:rsidRDefault="00493827"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06.9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F173AA" w:rsidTr="006A04B6">
      <w:trPr>
        <w:trHeight w:val="227"/>
      </w:trPr>
      <w:tc>
        <w:tcPr>
          <w:tcW w:w="2977" w:type="dxa"/>
          <w:vAlign w:val="center"/>
          <w:hideMark/>
        </w:tcPr>
        <w:p w:rsidR="00F173AA" w:rsidRPr="00674A46" w:rsidRDefault="00F173AA"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F173AA" w:rsidRPr="00485ED8" w:rsidRDefault="00CE73D6" w:rsidP="008A699B">
          <w:pPr>
            <w:pStyle w:val="Encabezado"/>
            <w:rPr>
              <w:rFonts w:ascii="Palatino Linotype" w:hAnsi="Palatino Linotype"/>
              <w:b/>
              <w:sz w:val="22"/>
              <w:szCs w:val="22"/>
            </w:rPr>
          </w:pPr>
          <w:r>
            <w:rPr>
              <w:rFonts w:ascii="Palatino Linotype" w:hAnsi="Palatino Linotype" w:cs="Arial"/>
              <w:b/>
              <w:bCs/>
              <w:sz w:val="22"/>
              <w:szCs w:val="22"/>
              <w:lang w:eastAsia="es-MX"/>
            </w:rPr>
            <w:t>00663</w:t>
          </w:r>
          <w:r w:rsidR="00F173AA" w:rsidRPr="00485ED8">
            <w:rPr>
              <w:rFonts w:ascii="Palatino Linotype" w:hAnsi="Palatino Linotype" w:cs="Arial"/>
              <w:b/>
              <w:bCs/>
              <w:sz w:val="22"/>
              <w:szCs w:val="22"/>
              <w:lang w:eastAsia="es-MX"/>
            </w:rPr>
            <w:t>/INFOEM/IP/RR/202</w:t>
          </w:r>
          <w:r w:rsidR="00F173AA">
            <w:rPr>
              <w:rFonts w:ascii="Palatino Linotype" w:hAnsi="Palatino Linotype" w:cs="Arial"/>
              <w:b/>
              <w:bCs/>
              <w:sz w:val="22"/>
              <w:szCs w:val="22"/>
              <w:lang w:eastAsia="es-MX"/>
            </w:rPr>
            <w:t>2</w:t>
          </w:r>
        </w:p>
      </w:tc>
    </w:tr>
    <w:tr w:rsidR="00F173AA" w:rsidTr="006A04B6">
      <w:trPr>
        <w:trHeight w:val="242"/>
      </w:trPr>
      <w:tc>
        <w:tcPr>
          <w:tcW w:w="2977" w:type="dxa"/>
          <w:vAlign w:val="center"/>
          <w:hideMark/>
        </w:tcPr>
        <w:p w:rsidR="00F173AA" w:rsidRPr="00674A46" w:rsidRDefault="00F173AA"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F173AA" w:rsidRPr="00B75F20" w:rsidRDefault="00F173AA" w:rsidP="009F09BC">
          <w:pPr>
            <w:pStyle w:val="Encabezado"/>
            <w:tabs>
              <w:tab w:val="left" w:pos="521"/>
            </w:tabs>
            <w:rPr>
              <w:rFonts w:ascii="Palatino Linotype" w:hAnsi="Palatino Linotype"/>
              <w:b/>
              <w:sz w:val="22"/>
              <w:szCs w:val="22"/>
            </w:rPr>
          </w:pPr>
        </w:p>
      </w:tc>
    </w:tr>
    <w:tr w:rsidR="00F173AA" w:rsidTr="006A04B6">
      <w:trPr>
        <w:trHeight w:val="342"/>
      </w:trPr>
      <w:tc>
        <w:tcPr>
          <w:tcW w:w="2977" w:type="dxa"/>
          <w:vAlign w:val="center"/>
        </w:tcPr>
        <w:p w:rsidR="00F173AA" w:rsidRPr="00674A46" w:rsidRDefault="00F173AA"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F173AA" w:rsidRPr="00674A46" w:rsidRDefault="00CE73D6" w:rsidP="009F09BC">
          <w:pPr>
            <w:pStyle w:val="Encabezado"/>
            <w:jc w:val="both"/>
            <w:rPr>
              <w:rFonts w:ascii="Palatino Linotype" w:hAnsi="Palatino Linotype"/>
              <w:b/>
              <w:sz w:val="22"/>
              <w:szCs w:val="22"/>
            </w:rPr>
          </w:pPr>
          <w:r w:rsidRPr="00CE73D6">
            <w:rPr>
              <w:rFonts w:ascii="Palatino Linotype" w:hAnsi="Palatino Linotype"/>
              <w:b/>
              <w:bCs/>
              <w:color w:val="000000"/>
              <w:sz w:val="22"/>
              <w:szCs w:val="22"/>
            </w:rPr>
            <w:t>Organismo Público Descentralizado para la Prestación de Los Servicios de Agua Potable Alcantarillado y Saneamiento de Atizapán de Zaragoza por sus siglas S.A.P.A.S.A.</w:t>
          </w:r>
        </w:p>
      </w:tc>
    </w:tr>
    <w:tr w:rsidR="00F173AA" w:rsidTr="006A04B6">
      <w:trPr>
        <w:trHeight w:val="342"/>
      </w:trPr>
      <w:tc>
        <w:tcPr>
          <w:tcW w:w="2977" w:type="dxa"/>
          <w:vAlign w:val="center"/>
        </w:tcPr>
        <w:p w:rsidR="00F173AA" w:rsidRPr="00674A46" w:rsidRDefault="00F173AA"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F173AA" w:rsidRPr="00674A46" w:rsidRDefault="00F173AA"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F173AA" w:rsidRPr="00C222C0" w:rsidRDefault="00493827">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5.9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BA4"/>
    <w:multiLevelType w:val="hybridMultilevel"/>
    <w:tmpl w:val="8850E6BE"/>
    <w:lvl w:ilvl="0" w:tplc="DECAA0A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num>
  <w:num w:numId="8">
    <w:abstractNumId w:val="1"/>
  </w:num>
  <w:num w:numId="9">
    <w:abstractNumId w:val="32"/>
  </w:num>
  <w:num w:numId="10">
    <w:abstractNumId w:val="21"/>
  </w:num>
  <w:num w:numId="11">
    <w:abstractNumId w:val="15"/>
  </w:num>
  <w:num w:numId="12">
    <w:abstractNumId w:val="24"/>
  </w:num>
  <w:num w:numId="13">
    <w:abstractNumId w:val="33"/>
  </w:num>
  <w:num w:numId="14">
    <w:abstractNumId w:val="5"/>
  </w:num>
  <w:num w:numId="15">
    <w:abstractNumId w:val="18"/>
  </w:num>
  <w:num w:numId="16">
    <w:abstractNumId w:val="29"/>
  </w:num>
  <w:num w:numId="17">
    <w:abstractNumId w:val="11"/>
  </w:num>
  <w:num w:numId="18">
    <w:abstractNumId w:val="26"/>
  </w:num>
  <w:num w:numId="19">
    <w:abstractNumId w:val="34"/>
  </w:num>
  <w:num w:numId="20">
    <w:abstractNumId w:val="19"/>
  </w:num>
  <w:num w:numId="21">
    <w:abstractNumId w:val="23"/>
  </w:num>
  <w:num w:numId="22">
    <w:abstractNumId w:val="16"/>
  </w:num>
  <w:num w:numId="23">
    <w:abstractNumId w:val="38"/>
  </w:num>
  <w:num w:numId="24">
    <w:abstractNumId w:val="8"/>
  </w:num>
  <w:num w:numId="25">
    <w:abstractNumId w:val="30"/>
  </w:num>
  <w:num w:numId="26">
    <w:abstractNumId w:val="22"/>
  </w:num>
  <w:num w:numId="27">
    <w:abstractNumId w:val="6"/>
  </w:num>
  <w:num w:numId="28">
    <w:abstractNumId w:val="31"/>
  </w:num>
  <w:num w:numId="29">
    <w:abstractNumId w:val="28"/>
  </w:num>
  <w:num w:numId="30">
    <w:abstractNumId w:val="25"/>
  </w:num>
  <w:num w:numId="31">
    <w:abstractNumId w:val="36"/>
  </w:num>
  <w:num w:numId="32">
    <w:abstractNumId w:val="20"/>
  </w:num>
  <w:num w:numId="33">
    <w:abstractNumId w:val="9"/>
  </w:num>
  <w:num w:numId="34">
    <w:abstractNumId w:val="14"/>
  </w:num>
  <w:num w:numId="35">
    <w:abstractNumId w:val="7"/>
  </w:num>
  <w:num w:numId="36">
    <w:abstractNumId w:val="27"/>
  </w:num>
  <w:num w:numId="37">
    <w:abstractNumId w:val="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37"/>
  </w:num>
  <w:num w:numId="42">
    <w:abstractNumId w:val="3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674C"/>
    <w:rsid w:val="00017144"/>
    <w:rsid w:val="00020780"/>
    <w:rsid w:val="00030FBC"/>
    <w:rsid w:val="000373F6"/>
    <w:rsid w:val="00051287"/>
    <w:rsid w:val="0008243D"/>
    <w:rsid w:val="000E1A02"/>
    <w:rsid w:val="000E4891"/>
    <w:rsid w:val="000E5A75"/>
    <w:rsid w:val="00112D7E"/>
    <w:rsid w:val="00114502"/>
    <w:rsid w:val="001352F5"/>
    <w:rsid w:val="001A18E7"/>
    <w:rsid w:val="001C4290"/>
    <w:rsid w:val="001D23C1"/>
    <w:rsid w:val="001D373F"/>
    <w:rsid w:val="001D5404"/>
    <w:rsid w:val="00223C06"/>
    <w:rsid w:val="00246A14"/>
    <w:rsid w:val="002679E6"/>
    <w:rsid w:val="00272CA2"/>
    <w:rsid w:val="00277FAC"/>
    <w:rsid w:val="002901F4"/>
    <w:rsid w:val="00290240"/>
    <w:rsid w:val="00291500"/>
    <w:rsid w:val="002C0D3C"/>
    <w:rsid w:val="002C40FB"/>
    <w:rsid w:val="002C4997"/>
    <w:rsid w:val="002C5477"/>
    <w:rsid w:val="0030094A"/>
    <w:rsid w:val="00310233"/>
    <w:rsid w:val="00312281"/>
    <w:rsid w:val="00323FFD"/>
    <w:rsid w:val="003437D9"/>
    <w:rsid w:val="003522EE"/>
    <w:rsid w:val="00353F1D"/>
    <w:rsid w:val="003833B3"/>
    <w:rsid w:val="003A15C8"/>
    <w:rsid w:val="003B7751"/>
    <w:rsid w:val="003C13F1"/>
    <w:rsid w:val="003E15F9"/>
    <w:rsid w:val="003E66D2"/>
    <w:rsid w:val="00402466"/>
    <w:rsid w:val="00407FDA"/>
    <w:rsid w:val="004118FA"/>
    <w:rsid w:val="00425842"/>
    <w:rsid w:val="00437672"/>
    <w:rsid w:val="004525CB"/>
    <w:rsid w:val="00456CFF"/>
    <w:rsid w:val="0046395B"/>
    <w:rsid w:val="00476540"/>
    <w:rsid w:val="00493827"/>
    <w:rsid w:val="004A4393"/>
    <w:rsid w:val="004C139A"/>
    <w:rsid w:val="004E4EE6"/>
    <w:rsid w:val="004E6CE4"/>
    <w:rsid w:val="004F34D1"/>
    <w:rsid w:val="005432D0"/>
    <w:rsid w:val="00546076"/>
    <w:rsid w:val="00547ACE"/>
    <w:rsid w:val="005507B0"/>
    <w:rsid w:val="00554A21"/>
    <w:rsid w:val="00556E0A"/>
    <w:rsid w:val="00563F2E"/>
    <w:rsid w:val="0057514F"/>
    <w:rsid w:val="00592F5C"/>
    <w:rsid w:val="00594534"/>
    <w:rsid w:val="005B076D"/>
    <w:rsid w:val="005B3B95"/>
    <w:rsid w:val="005C5021"/>
    <w:rsid w:val="005D2F1C"/>
    <w:rsid w:val="005D4C57"/>
    <w:rsid w:val="005F1366"/>
    <w:rsid w:val="00614B85"/>
    <w:rsid w:val="00626445"/>
    <w:rsid w:val="00647F7C"/>
    <w:rsid w:val="00657639"/>
    <w:rsid w:val="00662889"/>
    <w:rsid w:val="006A04B6"/>
    <w:rsid w:val="006A6390"/>
    <w:rsid w:val="006D15D0"/>
    <w:rsid w:val="006D6CC1"/>
    <w:rsid w:val="006E237E"/>
    <w:rsid w:val="006E7397"/>
    <w:rsid w:val="006E7C94"/>
    <w:rsid w:val="006F3EF7"/>
    <w:rsid w:val="00705EFD"/>
    <w:rsid w:val="00711062"/>
    <w:rsid w:val="00716BCA"/>
    <w:rsid w:val="00720371"/>
    <w:rsid w:val="0073654B"/>
    <w:rsid w:val="00742823"/>
    <w:rsid w:val="00775EB2"/>
    <w:rsid w:val="00782A12"/>
    <w:rsid w:val="007851DB"/>
    <w:rsid w:val="007A6A1A"/>
    <w:rsid w:val="007C095D"/>
    <w:rsid w:val="007C3761"/>
    <w:rsid w:val="007F3CAC"/>
    <w:rsid w:val="008526F4"/>
    <w:rsid w:val="008563C8"/>
    <w:rsid w:val="008573BF"/>
    <w:rsid w:val="0086792A"/>
    <w:rsid w:val="00873EB6"/>
    <w:rsid w:val="008A699B"/>
    <w:rsid w:val="008B0637"/>
    <w:rsid w:val="008C1ED7"/>
    <w:rsid w:val="008E330F"/>
    <w:rsid w:val="008E6050"/>
    <w:rsid w:val="008E6574"/>
    <w:rsid w:val="008E6C93"/>
    <w:rsid w:val="008F4B9F"/>
    <w:rsid w:val="008F6D18"/>
    <w:rsid w:val="009072B7"/>
    <w:rsid w:val="00911A75"/>
    <w:rsid w:val="009126F1"/>
    <w:rsid w:val="00933424"/>
    <w:rsid w:val="009335F9"/>
    <w:rsid w:val="00945135"/>
    <w:rsid w:val="00957E09"/>
    <w:rsid w:val="009A2251"/>
    <w:rsid w:val="009D5A32"/>
    <w:rsid w:val="009D65DE"/>
    <w:rsid w:val="009F09BC"/>
    <w:rsid w:val="009F0E75"/>
    <w:rsid w:val="00A054B6"/>
    <w:rsid w:val="00A23E82"/>
    <w:rsid w:val="00A552B5"/>
    <w:rsid w:val="00A618BF"/>
    <w:rsid w:val="00A626EB"/>
    <w:rsid w:val="00AD316E"/>
    <w:rsid w:val="00AD63B4"/>
    <w:rsid w:val="00AF4BBC"/>
    <w:rsid w:val="00AF4EB9"/>
    <w:rsid w:val="00B07BF8"/>
    <w:rsid w:val="00B45E2B"/>
    <w:rsid w:val="00B47955"/>
    <w:rsid w:val="00B54047"/>
    <w:rsid w:val="00BF3FB5"/>
    <w:rsid w:val="00C0715F"/>
    <w:rsid w:val="00C105CC"/>
    <w:rsid w:val="00C14F2A"/>
    <w:rsid w:val="00C21FAE"/>
    <w:rsid w:val="00C41B2B"/>
    <w:rsid w:val="00C54D99"/>
    <w:rsid w:val="00C85E64"/>
    <w:rsid w:val="00C87396"/>
    <w:rsid w:val="00C90814"/>
    <w:rsid w:val="00C90EA1"/>
    <w:rsid w:val="00C91F0F"/>
    <w:rsid w:val="00CA1063"/>
    <w:rsid w:val="00CA261A"/>
    <w:rsid w:val="00CA3A63"/>
    <w:rsid w:val="00CC5B2F"/>
    <w:rsid w:val="00CE73D6"/>
    <w:rsid w:val="00CF0D2B"/>
    <w:rsid w:val="00CF1B6E"/>
    <w:rsid w:val="00D021A5"/>
    <w:rsid w:val="00D06ECC"/>
    <w:rsid w:val="00D16FC7"/>
    <w:rsid w:val="00D47231"/>
    <w:rsid w:val="00D6224B"/>
    <w:rsid w:val="00D6295E"/>
    <w:rsid w:val="00D81329"/>
    <w:rsid w:val="00DA6D37"/>
    <w:rsid w:val="00DB753F"/>
    <w:rsid w:val="00E02175"/>
    <w:rsid w:val="00E118BA"/>
    <w:rsid w:val="00E17429"/>
    <w:rsid w:val="00E43FC8"/>
    <w:rsid w:val="00E56172"/>
    <w:rsid w:val="00E5636B"/>
    <w:rsid w:val="00E566C9"/>
    <w:rsid w:val="00E61DA9"/>
    <w:rsid w:val="00E819F3"/>
    <w:rsid w:val="00E92E04"/>
    <w:rsid w:val="00ED1D6B"/>
    <w:rsid w:val="00ED3A35"/>
    <w:rsid w:val="00ED6E75"/>
    <w:rsid w:val="00F173AA"/>
    <w:rsid w:val="00F24A04"/>
    <w:rsid w:val="00F35B0C"/>
    <w:rsid w:val="00F42ADB"/>
    <w:rsid w:val="00F7371C"/>
    <w:rsid w:val="00F946B5"/>
    <w:rsid w:val="00FC0A83"/>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26F6-A557-4FF0-B39D-9777378C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4439</Words>
  <Characters>24420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dcterms:created xsi:type="dcterms:W3CDTF">2022-05-03T19:27:00Z</dcterms:created>
  <dcterms:modified xsi:type="dcterms:W3CDTF">2022-05-27T20:39:00Z</dcterms:modified>
</cp:coreProperties>
</file>