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ocho de junio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02399/INFOEM/IP/RR/2022;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particular que no proporcionó nombre</w:t>
      </w:r>
      <w:r w:rsidDel="00000000" w:rsidR="00000000" w:rsidRPr="00000000">
        <w:rPr>
          <w:rFonts w:ascii="Palatino Linotype" w:cs="Palatino Linotype" w:eastAsia="Palatino Linotype" w:hAnsi="Palatino Linotype"/>
          <w:rtl w:val="0"/>
        </w:rPr>
        <w:t xml:space="preserve">, en lo sucesivo se le denominara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00688/METEPEC/IP/2022,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3"/>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diez de enero del dos mil veintidós,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conocer el número de asistentes, dosis aplicadas, dosis por marca de vacuna aplicada el 10 de enero.”(Sic)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Con fecha veintinueve de enero de dos mil veintidós, el SUJETO OBLIGADO, </w:t>
        <w:tab/>
        <w:t xml:space="preserve">requirió una prórroga para dar respuesta a la solicitud, a través de la cual, indicó lo siguiente:</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9">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00000" w:rsidDel="00000000" w:rsidP="00000000" w:rsidRDefault="00000000" w:rsidRPr="00000000" w14:paraId="0000000A">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Gerardo Arturo Ozuna Martínez</w:t>
      </w:r>
    </w:p>
    <w:p w:rsidR="00000000" w:rsidDel="00000000" w:rsidP="00000000" w:rsidRDefault="00000000" w:rsidRPr="00000000" w14:paraId="0000000B">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documento “</w:t>
      </w:r>
      <w:r w:rsidDel="00000000" w:rsidR="00000000" w:rsidRPr="00000000">
        <w:rPr>
          <w:rFonts w:ascii="Palatino Linotype" w:cs="Palatino Linotype" w:eastAsia="Palatino Linotype" w:hAnsi="Palatino Linotype"/>
          <w:b w:val="1"/>
          <w:i w:val="1"/>
          <w:rtl w:val="0"/>
        </w:rPr>
        <w:t xml:space="preserve">acta primera sesion extraordinaria.pdf”, </w:t>
      </w:r>
      <w:r w:rsidDel="00000000" w:rsidR="00000000" w:rsidRPr="00000000">
        <w:rPr>
          <w:rFonts w:ascii="Palatino Linotype" w:cs="Palatino Linotype" w:eastAsia="Palatino Linotype" w:hAnsi="Palatino Linotype"/>
          <w:rtl w:val="0"/>
        </w:rPr>
        <w:t xml:space="preserve">a través de la cual se aprueba la ampliación del término hasta por siete días hábiles para dar respuesta a la solicitud de acceso que nos ocupa.</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nueve de febrero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E">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SOLICITANTE P R E S E N T E. En respuesta a la solicitud número 00688/METEPEC/IP/2022,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000000" w:rsidDel="00000000" w:rsidP="00000000" w:rsidRDefault="00000000" w:rsidRPr="00000000" w14:paraId="0000000F">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0">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Gerardo Arturo Ozuna Martínez” (Sic)</w:t>
      </w:r>
    </w:p>
    <w:p w:rsidR="00000000" w:rsidDel="00000000" w:rsidP="00000000" w:rsidRDefault="00000000" w:rsidRPr="00000000" w14:paraId="00000011">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siguiente: </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w:t>
      </w:r>
      <w:hyperlink r:id="rId8">
        <w:r w:rsidDel="00000000" w:rsidR="00000000" w:rsidRPr="00000000">
          <w:rPr>
            <w:rFonts w:ascii="Palatino Linotype" w:cs="Palatino Linotype" w:eastAsia="Palatino Linotype" w:hAnsi="Palatino Linotype"/>
            <w:b w:val="1"/>
            <w:rtl w:val="0"/>
          </w:rPr>
          <w:t xml:space="preserve">TURNO 00688.pdf</w:t>
        </w:r>
      </w:hyperlink>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el cual contiene el oficio número DDS/0124/2022, de fecha veintiocho de enero de dos mil veintidós, por medio del cual el Director de Desarrollo Social, remitió al Encargado de la Unidad de Transparencia, respuesta en la que señala medularmente que:</w:t>
      </w:r>
    </w:p>
    <w:p w:rsidR="00000000" w:rsidDel="00000000" w:rsidP="00000000" w:rsidRDefault="00000000" w:rsidRPr="00000000" w14:paraId="00000014">
      <w:pPr>
        <w:spacing w:after="240" w:before="240" w:line="36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 dispuesto por los artículos 12 párrafo segundo, 59, fracciones I, II y III, 162 Y 167 de la Ley de Transparencia y Acceso a la información Pública del Estado de México y Municipios, le hago de su conocimiento que </w:t>
      </w:r>
      <w:r w:rsidDel="00000000" w:rsidR="00000000" w:rsidRPr="00000000">
        <w:rPr>
          <w:rFonts w:ascii="Palatino Linotype" w:cs="Palatino Linotype" w:eastAsia="Palatino Linotype" w:hAnsi="Palatino Linotype"/>
          <w:b w:val="1"/>
          <w:i w:val="1"/>
          <w:sz w:val="22"/>
          <w:szCs w:val="22"/>
          <w:rtl w:val="0"/>
        </w:rPr>
        <w:t xml:space="preserve">no existe ningún archivo referente a la información solicitada en esta Direcció</w:t>
      </w:r>
      <w:r w:rsidDel="00000000" w:rsidR="00000000" w:rsidRPr="00000000">
        <w:rPr>
          <w:rFonts w:ascii="Palatino Linotype" w:cs="Palatino Linotype" w:eastAsia="Palatino Linotype" w:hAnsi="Palatino Linotype"/>
          <w:i w:val="1"/>
          <w:sz w:val="22"/>
          <w:szCs w:val="22"/>
          <w:rtl w:val="0"/>
        </w:rPr>
        <w:t xml:space="preserve">n, por lo que no es posible proporcionarle el número de asistentes, dosis aplicadas, dosis por marca de vacuna aplicada el 10 de enero del año en curso, </w:t>
      </w:r>
      <w:r w:rsidDel="00000000" w:rsidR="00000000" w:rsidRPr="00000000">
        <w:rPr>
          <w:rFonts w:ascii="Palatino Linotype" w:cs="Palatino Linotype" w:eastAsia="Palatino Linotype" w:hAnsi="Palatino Linotype"/>
          <w:b w:val="1"/>
          <w:i w:val="1"/>
          <w:sz w:val="22"/>
          <w:szCs w:val="22"/>
          <w:rtl w:val="0"/>
        </w:rPr>
        <w:t xml:space="preserve">derivado que le corresponde a gobierno federal y estatal la aplicación de las vacunas.</w:t>
      </w:r>
      <w:r w:rsidDel="00000000" w:rsidR="00000000" w:rsidRPr="00000000">
        <w:rPr>
          <w:rFonts w:ascii="Palatino Linotype" w:cs="Palatino Linotype" w:eastAsia="Palatino Linotype" w:hAnsi="Palatino Linotype"/>
          <w:i w:val="1"/>
          <w:sz w:val="22"/>
          <w:szCs w:val="22"/>
          <w:rtl w:val="0"/>
        </w:rPr>
        <w:t xml:space="preserve"> ..” (Sic)</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en fecha </w:t>
      </w:r>
      <w:r w:rsidDel="00000000" w:rsidR="00000000" w:rsidRPr="00000000">
        <w:rPr>
          <w:rFonts w:ascii="Palatino Linotype" w:cs="Palatino Linotype" w:eastAsia="Palatino Linotype" w:hAnsi="Palatino Linotype"/>
          <w:b w:val="1"/>
          <w:rtl w:val="0"/>
        </w:rPr>
        <w:t xml:space="preserve">veintiocho de febrero del dos mil veintidós</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6">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7">
      <w:pPr>
        <w:spacing w:after="240" w:before="240" w:line="36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“La respuesta proporcionada por el Sujeto Obligado.” (Sic)</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9">
      <w:pPr>
        <w:spacing w:before="240"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Del="00000000" w:rsidR="00000000" w:rsidRPr="00000000">
        <w:rPr>
          <w:rFonts w:ascii="Palatino Linotype" w:cs="Palatino Linotype" w:eastAsia="Palatino Linotype" w:hAnsi="Palatino Linotype"/>
          <w:b w:val="1"/>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(Sic)</w:t>
      </w:r>
    </w:p>
    <w:p w:rsidR="00000000" w:rsidDel="00000000" w:rsidP="00000000" w:rsidRDefault="00000000" w:rsidRPr="00000000" w14:paraId="0000001A">
      <w:pPr>
        <w:ind w:left="851" w:right="902"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1B">
      <w:pPr>
        <w:spacing w:after="240" w:line="360" w:lineRule="auto"/>
        <w:jc w:val="both"/>
        <w:rPr>
          <w:rFonts w:ascii="Palatino Linotype" w:cs="Palatino Linotype" w:eastAsia="Palatino Linotype" w:hAnsi="Palatino Linotype"/>
          <w:b w:val="1"/>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recurso de revisión número </w:t>
      </w:r>
      <w:r w:rsidDel="00000000" w:rsidR="00000000" w:rsidRPr="00000000">
        <w:rPr>
          <w:rFonts w:ascii="Palatino Linotype" w:cs="Palatino Linotype" w:eastAsia="Palatino Linotype" w:hAnsi="Palatino Linotype"/>
          <w:b w:val="1"/>
          <w:rtl w:val="0"/>
        </w:rPr>
        <w:t xml:space="preserve">02399/INFOEM/IP/RR/2022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r w:rsidDel="00000000" w:rsidR="00000000" w:rsidRPr="00000000">
        <w:rPr>
          <w:rtl w:val="0"/>
        </w:rPr>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marzo del dos mil veintidós,</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7.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fue omisa en ofrecer pruebas o expresar alegatos; en términos del artículo 185 fracciones II de la ley que nos ocupa. Por su parte, el Sujeto Obligado presentó su Informe Justificado el diecinueve de abril de dos mil veintidós, donde confirma su respuesta y acredita que se ha dado contestación a la solicitud de acceso a la información, </w:t>
      </w:r>
      <w:r w:rsidDel="00000000" w:rsidR="00000000" w:rsidRPr="00000000">
        <w:rPr>
          <w:rFonts w:ascii="Palatino Linotype" w:cs="Palatino Linotype" w:eastAsia="Palatino Linotype" w:hAnsi="Palatino Linotype"/>
          <w:rtl w:val="0"/>
        </w:rPr>
        <w:t xml:space="preserve">y refiere</w:t>
      </w:r>
      <w:r w:rsidDel="00000000" w:rsidR="00000000" w:rsidRPr="00000000">
        <w:rPr>
          <w:rFonts w:ascii="Palatino Linotype" w:cs="Palatino Linotype" w:eastAsia="Palatino Linotype" w:hAnsi="Palatino Linotype"/>
          <w:color w:val="000000"/>
          <w:rtl w:val="0"/>
        </w:rPr>
        <w:t xml:space="preserve"> que el solicitante dentro de su interposición del recurso de revisión no especifica, no funda ni motiva a su acto de inconformidad respecto de la supuesta afectación a sus derechos de acceso a la información, pues sólo se constriñe a relatar artículos y cuestiones tendientes a la contestación. </w:t>
      </w:r>
    </w:p>
    <w:p w:rsidR="00000000" w:rsidDel="00000000" w:rsidP="00000000" w:rsidRDefault="00000000" w:rsidRPr="00000000" w14:paraId="0000001E">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dieciséis de mayo del año dos mil veintidós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F">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En fecha</w:t>
      </w:r>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Fonts w:ascii="Palatino Linotype" w:cs="Palatino Linotype" w:eastAsia="Palatino Linotype" w:hAnsi="Palatino Linotype"/>
          <w:b w:val="1"/>
          <w:highlight w:val="white"/>
          <w:rtl w:val="0"/>
        </w:rPr>
        <w:t xml:space="preserve">treinta y uno de mayo del año dos mil veintidós</w:t>
      </w:r>
      <w:r w:rsidDel="00000000" w:rsidR="00000000" w:rsidRPr="00000000">
        <w:rPr>
          <w:rFonts w:ascii="Palatino Linotype" w:cs="Palatino Linotype" w:eastAsia="Palatino Linotype" w:hAnsi="Palatino Linotype"/>
          <w:highlight w:val="white"/>
          <w:rtl w:val="0"/>
        </w:rPr>
        <w:t xml:space="preserve">, la Comisionada ponen</w:t>
      </w:r>
      <w:r w:rsidDel="00000000" w:rsidR="00000000" w:rsidRPr="00000000">
        <w:rPr>
          <w:rFonts w:ascii="Palatino Linotype" w:cs="Palatino Linotype" w:eastAsia="Palatino Linotype" w:hAnsi="Palatino Linotype"/>
          <w:rtl w:val="0"/>
        </w:rPr>
        <w:t xml:space="preserve">te notificó el acuerdo por el cual se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nueve de febrero del año dos mil veintidós y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veintiocho del mismo mes y año, esto es al décimo tercer día hábil siguiente de aquel en que tuvo conocimiento de la respuesta</w:t>
      </w: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Fonts w:ascii="Palatino Linotype" w:cs="Palatino Linotype" w:eastAsia="Palatino Linotype" w:hAnsi="Palatino Linotype"/>
          <w:rtl w:val="0"/>
        </w:rPr>
        <w:t xml:space="preserve"> evidenciándose que la interposición del recurso se encuentra dentro de los márgenes temporales previstos en el citado precepto legal.</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color w:val="000000"/>
          <w:rtl w:val="0"/>
        </w:rPr>
        <w:t xml:space="preserve">EL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 efecto de sustentar lo anterior, es de suma importancia mencionar que si bien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no proporcionó nombre o seudónimo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40" w:before="240" w:line="276"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resulta procedente la interposición del recurso, según lo aducido por la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El recurso de revisión</w:t>
      </w:r>
      <w:r w:rsidDel="00000000" w:rsidR="00000000" w:rsidRPr="00000000">
        <w:rPr>
          <w:rFonts w:ascii="Palatino Linotype" w:cs="Palatino Linotype" w:eastAsia="Palatino Linotype" w:hAnsi="Palatino Linotype"/>
          <w:i w:val="1"/>
          <w:color w:val="000000"/>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La negativa a la información solicitada;” (Sic)</w:t>
      </w:r>
    </w:p>
    <w:p w:rsidR="00000000" w:rsidDel="00000000" w:rsidP="00000000" w:rsidRDefault="00000000" w:rsidRPr="00000000" w14:paraId="0000002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Tercero. Materia de Revisión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Cuarto. Estudio de fondo del asunto. </w:t>
      </w:r>
      <w:r w:rsidDel="00000000" w:rsidR="00000000" w:rsidRPr="00000000">
        <w:rPr>
          <w:rFonts w:ascii="Palatino Linotype" w:cs="Palatino Linotype" w:eastAsia="Palatino Linotype" w:hAnsi="Palatino Linotype"/>
          <w:color w:val="000000"/>
          <w:rtl w:val="0"/>
        </w:rPr>
        <w:t xml:space="preserve">Antes de entrar al análisis de los pronunciamientos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before="240" w:line="276"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color w:val="000000"/>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40" w:before="240" w:line="276"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before="240" w:line="276"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color w:val="000000"/>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before="240" w:line="276" w:lineRule="auto"/>
        <w:ind w:left="851" w:right="85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before="240" w:line="276" w:lineRule="auto"/>
        <w:ind w:left="851" w:right="90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6o.</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40" w:before="240" w:line="276" w:lineRule="auto"/>
        <w:ind w:left="851" w:right="90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color w:val="000000"/>
          <w:sz w:val="22"/>
          <w:szCs w:val="22"/>
          <w:rtl w:val="0"/>
        </w:rPr>
        <w:t xml:space="preserve"> Ejecutivo, Legislativo </w:t>
      </w:r>
      <w:r w:rsidDel="00000000" w:rsidR="00000000" w:rsidRPr="00000000">
        <w:rPr>
          <w:rFonts w:ascii="Palatino Linotype" w:cs="Palatino Linotype" w:eastAsia="Palatino Linotype" w:hAnsi="Palatino Linotype"/>
          <w:b w:val="1"/>
          <w:i w:val="1"/>
          <w:color w:val="000000"/>
          <w:sz w:val="22"/>
          <w:szCs w:val="22"/>
          <w:u w:val="single"/>
          <w:rtl w:val="0"/>
        </w:rPr>
        <w:t xml:space="preserve">y Judicial</w:t>
      </w:r>
      <w:r w:rsidDel="00000000" w:rsidR="00000000" w:rsidRPr="00000000">
        <w:rPr>
          <w:rFonts w:ascii="Palatino Linotype" w:cs="Palatino Linotype" w:eastAsia="Palatino Linotype" w:hAnsi="Palatino Linotype"/>
          <w:i w:val="1"/>
          <w:color w:val="000000"/>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color w:val="000000"/>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color w:val="000000"/>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color w:val="000000"/>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IV. </w:t>
      </w:r>
      <w:r w:rsidDel="00000000" w:rsidR="00000000" w:rsidRPr="00000000">
        <w:rPr>
          <w:rFonts w:ascii="Palatino Linotype" w:cs="Palatino Linotype" w:eastAsia="Palatino Linotype" w:hAnsi="Palatino Linotype"/>
          <w:i w:val="1"/>
          <w:color w:val="000000"/>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276"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276" w:lineRule="auto"/>
        <w:ind w:left="709" w:right="76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276"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276"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12</w:t>
      </w:r>
      <w:r w:rsidDel="00000000" w:rsidR="00000000" w:rsidRPr="00000000">
        <w:rPr>
          <w:rFonts w:ascii="Palatino Linotype" w:cs="Palatino Linotype" w:eastAsia="Palatino Linotype" w:hAnsi="Palatino Linotype"/>
          <w:i w:val="1"/>
          <w:color w:val="000000"/>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276"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w:t>
      </w:r>
      <w:r w:rsidDel="00000000" w:rsidR="00000000" w:rsidRPr="00000000">
        <w:rPr>
          <w:rFonts w:ascii="Palatino Linotype" w:cs="Palatino Linotype" w:eastAsia="Palatino Linotype" w:hAnsi="Palatino Linotype"/>
          <w:b w:val="1"/>
          <w:i w:val="1"/>
          <w:color w:val="000000"/>
          <w:sz w:val="22"/>
          <w:szCs w:val="22"/>
          <w:rtl w:val="0"/>
        </w:rPr>
        <w:t xml:space="preserve">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color w:val="000000"/>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03/17</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3. </w:t>
      </w:r>
      <w:r w:rsidDel="00000000" w:rsidR="00000000" w:rsidRPr="00000000">
        <w:rPr>
          <w:rFonts w:ascii="Palatino Linotype" w:cs="Palatino Linotype" w:eastAsia="Palatino Linotype" w:hAnsi="Palatino Linotype"/>
          <w:i w:val="1"/>
          <w:color w:val="000000"/>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0002-11</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276"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240" w:before="240" w:line="276" w:lineRule="auto"/>
        <w:ind w:left="1495"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240" w:before="240" w:line="276" w:lineRule="auto"/>
        <w:ind w:left="1495"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276" w:lineRule="auto"/>
        <w:ind w:left="993" w:right="567" w:firstLine="142.00000000000003"/>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3) </w:t>
      </w:r>
      <w:r w:rsidDel="00000000" w:rsidR="00000000" w:rsidRPr="00000000">
        <w:rPr>
          <w:rFonts w:ascii="Palatino Linotype" w:cs="Palatino Linotype" w:eastAsia="Palatino Linotype" w:hAnsi="Palatino Linotype"/>
          <w:b w:val="1"/>
          <w:i w:val="1"/>
          <w:color w:val="000000"/>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ahí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análisis de la solicitud de información pública que motivó el recurso de revisión que ahora se resuelve, se advierte que el particular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w:t>
      </w:r>
      <w:r w:rsidDel="00000000" w:rsidR="00000000" w:rsidRPr="00000000">
        <w:rPr>
          <w:rtl w:val="0"/>
        </w:rPr>
      </w:r>
    </w:p>
    <w:p w:rsidR="00000000" w:rsidDel="00000000" w:rsidP="00000000" w:rsidRDefault="00000000" w:rsidRPr="00000000" w14:paraId="00000056">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“Se solicita conocer el número de asistentes, dosis aplicadas, dosis por marca de vacuna aplicada el 10 de enero.”(Sic</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Director de Desarrollo Social, emitió su respuesta a través de la cual señala lo siguiente:</w:t>
      </w:r>
    </w:p>
    <w:p w:rsidR="00000000" w:rsidDel="00000000" w:rsidP="00000000" w:rsidRDefault="00000000" w:rsidRPr="00000000" w14:paraId="00000058">
      <w:pPr>
        <w:spacing w:after="240" w:before="240" w:line="360" w:lineRule="auto"/>
        <w:ind w:left="1134"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le hago de su conocimiento que no existe ningún archivo referente a la información solicitada en esta Dirección, por lo que no es posible proporcionarle el número de asistentes, dosis aplicadas, dosis por marca de vacuna aplicada el 10 de enero del año en curso, derivado que le corresponde a gobierno federal y estatal la aplicación de las vacunas. ...” (Sic)</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se inserta continuación:</w:t>
      </w:r>
    </w:p>
    <w:p w:rsidR="00000000" w:rsidDel="00000000" w:rsidP="00000000" w:rsidRDefault="00000000" w:rsidRPr="00000000" w14:paraId="0000005A">
      <w:pPr>
        <w:spacing w:after="240" w:before="240" w:line="360" w:lineRule="auto"/>
        <w:jc w:val="center"/>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Pr>
        <w:drawing>
          <wp:inline distB="0" distT="0" distL="0" distR="0">
            <wp:extent cx="3743325" cy="3857625"/>
            <wp:effectExtent b="0" l="0" r="0" t="0"/>
            <wp:docPr id="14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74332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respuesta el solicitante se inconformó, por “</w:t>
      </w:r>
      <w:r w:rsidDel="00000000" w:rsidR="00000000" w:rsidRPr="00000000">
        <w:rPr>
          <w:rFonts w:ascii="Palatino Linotype" w:cs="Palatino Linotype" w:eastAsia="Palatino Linotype" w:hAnsi="Palatino Linotype"/>
          <w:i w:val="1"/>
          <w:rtl w:val="0"/>
        </w:rPr>
        <w:t xml:space="preserve">La respuesta proporcionada por el Sujeto Obligado.</w:t>
      </w:r>
      <w:r w:rsidDel="00000000" w:rsidR="00000000" w:rsidRPr="00000000">
        <w:rPr>
          <w:rFonts w:ascii="Palatino Linotype" w:cs="Palatino Linotype" w:eastAsia="Palatino Linotype" w:hAnsi="Palatino Linotype"/>
          <w:rtl w:val="0"/>
        </w:rPr>
        <w:t xml:space="preserve">” (Sic) y señaló medularmente como motivos de inconformidad que: “</w:t>
      </w:r>
      <w:r w:rsidDel="00000000" w:rsidR="00000000" w:rsidRPr="00000000">
        <w:rPr>
          <w:rFonts w:ascii="Palatino Linotype" w:cs="Palatino Linotype" w:eastAsia="Palatino Linotype" w:hAnsi="Palatino Linotype"/>
          <w:i w:val="1"/>
          <w:rtl w:val="0"/>
        </w:rPr>
        <w:t xml:space="preserve">La respuesta proporcionada por el sujeto obligado está repleta de deficiencias al incumplir con diversas disposiciones explícitamente señaladas por la Ley de Transparencia y Acceso a la Información Pública...</w:t>
      </w:r>
      <w:r w:rsidDel="00000000" w:rsidR="00000000" w:rsidRPr="00000000">
        <w:rPr>
          <w:rFonts w:ascii="Palatino Linotype" w:cs="Palatino Linotype" w:eastAsia="Palatino Linotype" w:hAnsi="Palatino Linotype"/>
          <w:rtl w:val="0"/>
        </w:rPr>
        <w:t xml:space="preserve">” (Sic) </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en el que se advierte que ratifica la respuesta proporcionada, y puntualiza que dio contestación a la solicitud de acceso a la información en fecha nueve de febrero de dos mil veintidós, sin embargo considera que el </w:t>
      </w:r>
      <w:r w:rsidDel="00000000" w:rsidR="00000000" w:rsidRPr="00000000">
        <w:rPr>
          <w:rFonts w:ascii="Palatino Linotype" w:cs="Palatino Linotype" w:eastAsia="Palatino Linotype" w:hAnsi="Palatino Linotype"/>
          <w:i w:val="1"/>
          <w:rtl w:val="0"/>
        </w:rPr>
        <w:t xml:space="preserve">solicitante dentro de su interposición del recurso de revisión, no especifica, ni funda, ni motiva su acto de inconformidad respecto de la supuesta afectación a sus derechos de acceso a la información, pues sólo se constriñe en relatar artículos y cuestiones tendientes a la contestación.</w:t>
      </w:r>
      <w:r w:rsidDel="00000000" w:rsidR="00000000" w:rsidRPr="00000000">
        <w:rPr>
          <w:rtl w:val="0"/>
        </w:rPr>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Primeramente, se estima conveniente subsanar la deficiencia de la queja, ya que el motivo de agravio sustancial del recurso de revisión es la respuesta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ello, es que se considera suficiente para que este Instituto supla la deficiencia en el recurso de revisión y se analice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considerando que el particular desea conocer</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el número de asistentes, dosis aplicadas, dosis por marca de la vacuna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contra Covid 19</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aplicada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el 10 de enero de dos mil veintidós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ello con sustento en los artículos 13 y 181 tercer párrafo de la Ley de Transparencia y Acceso a la Información Pública del Estado de México y Municipios, los cuales a la letra refieren:</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13. El Instituto, en el ámbito de sus atribuciones, deberá suplir cualquier deficiencia para garantizar el ejercicio del derecho de acceso a la información.”</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181.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Durante el procedimiento deberá aplicarse la suplencia de la queja a favor del 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sin cambiar los hechos expuestos, asegurándose de que las partes puedan presentar, de manera oral o escrita, los argumentos que funden y motiven sus pretensiones.”</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los numerales transcritos, se desprende que es deber de este Instituto suplir cualquier deficiencia para garantizar el derecho de acceso a la información pública a favor de la parte recurrente, sin que se cambien los hechos que fuera expuestos por éste; lo cual, encuentra sustento en la jurisprudencia emitida por la Suprema Corte de Justicia de la Nación que a continuación se inserta: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“Época: Novena Época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Registro: 178599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Instancia: Primera Sala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Tipo de Tesis: Jurisprudencia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Fuente: Semanario Judicial de la Federación y su Gaceta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Tomo XXI, Abril de 2005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Materia(s): Común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Tesis: 1a./J. 35/2005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Página: 686 </w:t>
      </w: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SUPLENCIA DE LA QUEJA DEFICIENTE. DEBE HACERSE A PARTIR DE LOS CONCEPTOS DE VIOLACIÓN O, EN SU CASO, DE LOS AGRAVIOS EXPRESADOS, POR LO TANTO NO ES ILIMITADA.</w:t>
      </w: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este sentido, t</w:t>
      </w:r>
      <w:r w:rsidDel="00000000" w:rsidR="00000000" w:rsidRPr="00000000">
        <w:rPr>
          <w:rFonts w:ascii="Palatino Linotype" w:cs="Palatino Linotype" w:eastAsia="Palatino Linotype" w:hAnsi="Palatino Linotype"/>
          <w:color w:val="000000"/>
          <w:rtl w:val="0"/>
        </w:rPr>
        <w:t xml:space="preserve">omando en consideración la materia de la solicitud, conviene iniciar precisando que, la Constitución Política de los Estados Unidos Mexicanos, reconoce el derecho humano que toda persona tiene a la protección de la salud y establece que en caso de epidemias de carácter grave, la Secretaría de Salud tendrá obligación de dictar inmediatamente las medidas preventivas indispensables.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el 11 de marzo de 2020, la Organización Mundial de la Salud declaró la pandemia de COVID-19 señalando que en todo el mundo se esperaba contar en el corto plazo con una vacuna efectiva contra dicha enfermedad, como una de las medidas más costo-efectivas para controlar la pandemia, y disminuir su impacto en la salud, la economía y la sociedad, por su parte el Gobierno Mexicano, en fecha 23 de marzo de 2020, publicó, en el Diario Oficial de la Federación, el "Acuerdo por el que el Consejo de Salubridad General reconoce la epidemia de enfermedad por el virus SARS-CoV-2 (COVID-19) en México, como una enfermedad grave de atención prioritaria, así como se establecen las actividades de preparación y respuesta ante dicha epidemia".</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color w:val="000000"/>
          <w:rtl w:val="0"/>
        </w:rPr>
        <w:t xml:space="preserve">En este panorama, tiene aplicativo el artículo 184</w:t>
      </w:r>
      <w:r w:rsidDel="00000000" w:rsidR="00000000" w:rsidRPr="00000000">
        <w:rPr>
          <w:rFonts w:ascii="Palatino Linotype" w:cs="Palatino Linotype" w:eastAsia="Palatino Linotype" w:hAnsi="Palatino Linotype"/>
          <w:color w:val="000000"/>
          <w:vertAlign w:val="superscript"/>
        </w:rPr>
        <w:footnoteReference w:customMarkFollows="0" w:id="0"/>
      </w:r>
      <w:r w:rsidDel="00000000" w:rsidR="00000000" w:rsidRPr="00000000">
        <w:rPr>
          <w:rFonts w:ascii="Palatino Linotype" w:cs="Palatino Linotype" w:eastAsia="Palatino Linotype" w:hAnsi="Palatino Linotype"/>
          <w:color w:val="000000"/>
          <w:rtl w:val="0"/>
        </w:rPr>
        <w:t xml:space="preserve"> de la Ley General de Salud, el cual establece que la acción extraordinaria en materia de salubridad general será ejercida por la Secretaría de Salud, y para tal efecto, esta puede integrar brigadas especiales que actuarán bajo su dirección y responsabilidad, mismas que tendrán, entre otras atribuciones, la de encomendar a las autoridades federales, estatales y municipales, así como a los profesionales, técnicos y auxiliares de las disciplinas para la salud, el desempeño de las actividades que estime necesarias y obtener para ese fin la participación de los particulares.</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el mismo tenor, el </w:t>
      </w:r>
      <w:r w:rsidDel="00000000" w:rsidR="00000000" w:rsidRPr="00000000">
        <w:rPr>
          <w:rFonts w:ascii="Palatino Linotype" w:cs="Palatino Linotype" w:eastAsia="Palatino Linotype" w:hAnsi="Palatino Linotype"/>
          <w:i w:val="1"/>
          <w:color w:val="000000"/>
          <w:rtl w:val="0"/>
        </w:rPr>
        <w:t xml:space="preserve">Acuerdo por el que se establecen brigadas especiales, como una acción extraordinaria en materia de salubridad general, para llevar a cabo la vacunación como medida para la mitigación y control de la enfermedad COVID-19, en todo el territorio nacional</w:t>
      </w:r>
      <w:r w:rsidDel="00000000" w:rsidR="00000000" w:rsidRPr="00000000">
        <w:rPr>
          <w:rFonts w:ascii="Palatino Linotype" w:cs="Palatino Linotype" w:eastAsia="Palatino Linotype" w:hAnsi="Palatino Linotype"/>
          <w:i w:val="1"/>
          <w:color w:val="000000"/>
          <w:vertAlign w:val="superscript"/>
        </w:rPr>
        <w:footnoteReference w:customMarkFollows="0" w:id="1"/>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publicado en el Diario Oficial de la Federación el veintiuno de enero de dos mil veintiuno, mismo que tiene por objeto establecer las brigadas, como una acción extraordinaria en materia de salubridad general, para para la estrategia operativa que se implemente a nivel federal, para llevar a cabo la vacunación como medida para la mitigación y control de la enfermedad COVID-19, en todo el territorio nacional, dispone que es la Secretar</w:t>
      </w:r>
      <w:r w:rsidDel="00000000" w:rsidR="00000000" w:rsidRPr="00000000">
        <w:rPr>
          <w:rFonts w:ascii="Palatino Linotype" w:cs="Palatino Linotype" w:eastAsia="Palatino Linotype" w:hAnsi="Palatino Linotype"/>
          <w:rtl w:val="0"/>
        </w:rPr>
        <w:t xml:space="preserve">í</w:t>
      </w:r>
      <w:r w:rsidDel="00000000" w:rsidR="00000000" w:rsidRPr="00000000">
        <w:rPr>
          <w:rFonts w:ascii="Palatino Linotype" w:cs="Palatino Linotype" w:eastAsia="Palatino Linotype" w:hAnsi="Palatino Linotype"/>
          <w:color w:val="000000"/>
          <w:rtl w:val="0"/>
        </w:rPr>
        <w:t xml:space="preserve">a de Salud la dependencia que dirige las brigadas especiales, sin embargo, también dispone debe ser nombrado un Coordinador  en cada entidad federativa del país, de dichas las brigadas especiales, </w:t>
      </w:r>
      <w:r w:rsidDel="00000000" w:rsidR="00000000" w:rsidRPr="00000000">
        <w:rPr>
          <w:rFonts w:ascii="Palatino Linotype" w:cs="Palatino Linotype" w:eastAsia="Palatino Linotype" w:hAnsi="Palatino Linotype"/>
          <w:i w:val="1"/>
          <w:color w:val="000000"/>
          <w:rtl w:val="0"/>
        </w:rPr>
        <w:t xml:space="preserve">quien tendrá a su cargo la estrategia operativa que se implemente a nivel local</w:t>
      </w:r>
      <w:r w:rsidDel="00000000" w:rsidR="00000000" w:rsidRPr="00000000">
        <w:rPr>
          <w:rFonts w:ascii="Palatino Linotype" w:cs="Palatino Linotype" w:eastAsia="Palatino Linotype" w:hAnsi="Palatino Linotype"/>
          <w:color w:val="000000"/>
          <w:rtl w:val="0"/>
        </w:rPr>
        <w:t xml:space="preserve"> para llevar a cabo la vacunación para la mitigación y control de la enfermedad COVID-19, y quien </w:t>
      </w:r>
      <w:r w:rsidDel="00000000" w:rsidR="00000000" w:rsidRPr="00000000">
        <w:rPr>
          <w:rFonts w:ascii="Palatino Linotype" w:cs="Palatino Linotype" w:eastAsia="Palatino Linotype" w:hAnsi="Palatino Linotype"/>
          <w:i w:val="1"/>
          <w:color w:val="000000"/>
          <w:rtl w:val="0"/>
        </w:rPr>
        <w:t xml:space="preserve">podrá requerir el apoyo</w:t>
      </w:r>
      <w:r w:rsidDel="00000000" w:rsidR="00000000" w:rsidRPr="00000000">
        <w:rPr>
          <w:rFonts w:ascii="Palatino Linotype" w:cs="Palatino Linotype" w:eastAsia="Palatino Linotype" w:hAnsi="Palatino Linotype"/>
          <w:color w:val="000000"/>
          <w:rtl w:val="0"/>
        </w:rPr>
        <w:t xml:space="preserve"> de las </w:t>
      </w:r>
      <w:r w:rsidDel="00000000" w:rsidR="00000000" w:rsidRPr="00000000">
        <w:rPr>
          <w:rFonts w:ascii="Palatino Linotype" w:cs="Palatino Linotype" w:eastAsia="Palatino Linotype" w:hAnsi="Palatino Linotype"/>
          <w:i w:val="1"/>
          <w:color w:val="000000"/>
          <w:rtl w:val="0"/>
        </w:rPr>
        <w:t xml:space="preserve">autoridades estatales y municipales</w:t>
      </w:r>
      <w:r w:rsidDel="00000000" w:rsidR="00000000" w:rsidRPr="00000000">
        <w:rPr>
          <w:rFonts w:ascii="Palatino Linotype" w:cs="Palatino Linotype" w:eastAsia="Palatino Linotype" w:hAnsi="Palatino Linotype"/>
          <w:color w:val="000000"/>
          <w:rtl w:val="0"/>
        </w:rPr>
        <w:t xml:space="preserve">, para el desempeño de las actividades que estime necesarias, como se lee en su artículo tercero: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80" w:before="28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TERCERO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En cada una de las entidades federativas</w:t>
      </w:r>
      <w:r w:rsidDel="00000000" w:rsidR="00000000" w:rsidRPr="00000000">
        <w:rPr>
          <w:rFonts w:ascii="Palatino Linotype" w:cs="Palatino Linotype" w:eastAsia="Palatino Linotype" w:hAnsi="Palatino Linotype"/>
          <w:i w:val="1"/>
          <w:color w:val="000000"/>
          <w:sz w:val="22"/>
          <w:szCs w:val="22"/>
          <w:rtl w:val="0"/>
        </w:rPr>
        <w:t xml:space="preserve"> del país, </w:t>
      </w:r>
      <w:r w:rsidDel="00000000" w:rsidR="00000000" w:rsidRPr="00000000">
        <w:rPr>
          <w:rFonts w:ascii="Palatino Linotype" w:cs="Palatino Linotype" w:eastAsia="Palatino Linotype" w:hAnsi="Palatino Linotype"/>
          <w:b w:val="1"/>
          <w:i w:val="1"/>
          <w:color w:val="000000"/>
          <w:sz w:val="22"/>
          <w:szCs w:val="22"/>
          <w:rtl w:val="0"/>
        </w:rPr>
        <w:t xml:space="preserve">será nombrado un Coordinador de las brigadas especiales</w:t>
      </w:r>
      <w:r w:rsidDel="00000000" w:rsidR="00000000" w:rsidRPr="00000000">
        <w:rPr>
          <w:rFonts w:ascii="Palatino Linotype" w:cs="Palatino Linotype" w:eastAsia="Palatino Linotype" w:hAnsi="Palatino Linotype"/>
          <w:i w:val="1"/>
          <w:color w:val="000000"/>
          <w:sz w:val="22"/>
          <w:szCs w:val="22"/>
          <w:rtl w:val="0"/>
        </w:rPr>
        <w:t xml:space="preserve">, quien </w:t>
      </w:r>
      <w:r w:rsidDel="00000000" w:rsidR="00000000" w:rsidRPr="00000000">
        <w:rPr>
          <w:rFonts w:ascii="Palatino Linotype" w:cs="Palatino Linotype" w:eastAsia="Palatino Linotype" w:hAnsi="Palatino Linotype"/>
          <w:b w:val="1"/>
          <w:i w:val="1"/>
          <w:color w:val="000000"/>
          <w:sz w:val="22"/>
          <w:szCs w:val="22"/>
          <w:rtl w:val="0"/>
        </w:rPr>
        <w:t xml:space="preserve">tendrá a su cargo la estrategia operativa que se implemente a nivel local para llevar a cabo la vacunación para la mitigación y control de la enfermedad COVID</w:t>
      </w:r>
      <w:r w:rsidDel="00000000" w:rsidR="00000000" w:rsidRPr="00000000">
        <w:rPr>
          <w:rFonts w:ascii="Palatino Linotype" w:cs="Palatino Linotype" w:eastAsia="Palatino Linotype" w:hAnsi="Palatino Linotype"/>
          <w:i w:val="1"/>
          <w:color w:val="000000"/>
          <w:sz w:val="22"/>
          <w:szCs w:val="22"/>
          <w:rtl w:val="0"/>
        </w:rPr>
        <w:t xml:space="preserve">-19, y quien </w:t>
      </w:r>
      <w:r w:rsidDel="00000000" w:rsidR="00000000" w:rsidRPr="00000000">
        <w:rPr>
          <w:rFonts w:ascii="Palatino Linotype" w:cs="Palatino Linotype" w:eastAsia="Palatino Linotype" w:hAnsi="Palatino Linotype"/>
          <w:b w:val="1"/>
          <w:i w:val="1"/>
          <w:color w:val="000000"/>
          <w:sz w:val="22"/>
          <w:szCs w:val="22"/>
          <w:u w:val="single"/>
          <w:rtl w:val="0"/>
        </w:rPr>
        <w:t xml:space="preserve">podrá requerir el apoyo de las autoridades estatales y municipales</w:t>
      </w:r>
      <w:r w:rsidDel="00000000" w:rsidR="00000000" w:rsidRPr="00000000">
        <w:rPr>
          <w:rFonts w:ascii="Palatino Linotype" w:cs="Palatino Linotype" w:eastAsia="Palatino Linotype" w:hAnsi="Palatino Linotype"/>
          <w:i w:val="1"/>
          <w:color w:val="000000"/>
          <w:sz w:val="22"/>
          <w:szCs w:val="22"/>
          <w:u w:val="single"/>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así como de los profesionales, técnicos y auxiliares de las disciplinas para la salud, </w:t>
      </w:r>
      <w:r w:rsidDel="00000000" w:rsidR="00000000" w:rsidRPr="00000000">
        <w:rPr>
          <w:rFonts w:ascii="Palatino Linotype" w:cs="Palatino Linotype" w:eastAsia="Palatino Linotype" w:hAnsi="Palatino Linotype"/>
          <w:b w:val="1"/>
          <w:i w:val="1"/>
          <w:color w:val="000000"/>
          <w:sz w:val="22"/>
          <w:szCs w:val="22"/>
          <w:rtl w:val="0"/>
        </w:rPr>
        <w:t xml:space="preserve">para el desempeño de las actividades que estime necesarias, </w:t>
      </w:r>
      <w:r w:rsidDel="00000000" w:rsidR="00000000" w:rsidRPr="00000000">
        <w:rPr>
          <w:rFonts w:ascii="Palatino Linotype" w:cs="Palatino Linotype" w:eastAsia="Palatino Linotype" w:hAnsi="Palatino Linotype"/>
          <w:i w:val="1"/>
          <w:color w:val="000000"/>
          <w:sz w:val="22"/>
          <w:szCs w:val="22"/>
          <w:rtl w:val="0"/>
        </w:rPr>
        <w:t xml:space="preserve">así como obtener la participación de los particulares para tales fines.”</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Siguiendo el orden de ideas, de acuerdo con la Política Nacional de Vacunación contra el virus SARS-CoV2, para la prevención de la COVID-19 en México, a partir de la segunda etapa operativa de la política nacional de vacunación, se ha establecido por instrucción presidencial una estrategia federal denominada “Operativo Correcaminos”</w:t>
      </w:r>
      <w:r w:rsidDel="00000000" w:rsidR="00000000" w:rsidRPr="00000000">
        <w:rPr>
          <w:rFonts w:ascii="Palatino Linotype" w:cs="Palatino Linotype" w:eastAsia="Palatino Linotype" w:hAnsi="Palatino Linotype"/>
          <w:color w:val="000000"/>
          <w:vertAlign w:val="superscript"/>
        </w:rPr>
        <w:footnoteReference w:customMarkFollows="0" w:id="2"/>
      </w:r>
      <w:r w:rsidDel="00000000" w:rsidR="00000000" w:rsidRPr="00000000">
        <w:rPr>
          <w:rFonts w:ascii="Palatino Linotype" w:cs="Palatino Linotype" w:eastAsia="Palatino Linotype" w:hAnsi="Palatino Linotype"/>
          <w:color w:val="000000"/>
          <w:rtl w:val="0"/>
        </w:rPr>
        <w:t xml:space="preserve">, para la fase expansiva de la vacunación a todo territorio nacional, cuyo objetivo es lograr la cobertura de toda la población mexicana (susceptible a recibir la vacuna) de manera eficaz y eficiente, en los tiempos establecidos, mismo que se integra de la siguiente forma:</w:t>
      </w:r>
    </w:p>
    <w:p w:rsidR="00000000" w:rsidDel="00000000" w:rsidP="00000000" w:rsidRDefault="00000000" w:rsidRPr="00000000" w14:paraId="00000077">
      <w:pPr>
        <w:spacing w:after="240" w:before="24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3441700" cy="3175000"/>
            <wp:effectExtent b="0" l="0" r="0" t="0"/>
            <wp:docPr id="14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4417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Cabe señalar que la Coordinación General del Operativo Correcaminos está a cargo de la oficina de la Presidencia de la República, mientras que su dirección técnica está a cargo de la </w:t>
      </w:r>
      <w:r w:rsidDel="00000000" w:rsidR="00000000" w:rsidRPr="00000000">
        <w:rPr>
          <w:rFonts w:ascii="Palatino Linotype" w:cs="Palatino Linotype" w:eastAsia="Palatino Linotype" w:hAnsi="Palatino Linotype"/>
          <w:b w:val="1"/>
          <w:color w:val="000000"/>
          <w:rtl w:val="0"/>
        </w:rPr>
        <w:t xml:space="preserve">Secretaría de Salud Federal</w:t>
      </w:r>
      <w:r w:rsidDel="00000000" w:rsidR="00000000" w:rsidRPr="00000000">
        <w:rPr>
          <w:rFonts w:ascii="Palatino Linotype" w:cs="Palatino Linotype" w:eastAsia="Palatino Linotype" w:hAnsi="Palatino Linotype"/>
          <w:color w:val="000000"/>
          <w:rtl w:val="0"/>
        </w:rPr>
        <w:t xml:space="preserve"> a través de la </w:t>
      </w:r>
      <w:r w:rsidDel="00000000" w:rsidR="00000000" w:rsidRPr="00000000">
        <w:rPr>
          <w:rFonts w:ascii="Palatino Linotype" w:cs="Palatino Linotype" w:eastAsia="Palatino Linotype" w:hAnsi="Palatino Linotype"/>
          <w:b w:val="1"/>
          <w:color w:val="000000"/>
          <w:rtl w:val="0"/>
        </w:rPr>
        <w:t xml:space="preserve">Subsecretaría de Prevención y Promoción de la Salud.</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cada una </w:t>
      </w:r>
      <w:r w:rsidDel="00000000" w:rsidR="00000000" w:rsidRPr="00000000">
        <w:rPr>
          <w:rFonts w:ascii="Palatino Linotype" w:cs="Palatino Linotype" w:eastAsia="Palatino Linotype" w:hAnsi="Palatino Linotype"/>
          <w:b w:val="1"/>
          <w:color w:val="000000"/>
          <w:rtl w:val="0"/>
        </w:rPr>
        <w:t xml:space="preserve">de las 32 entidades federativas cuenta con una persona “Coordinadora Estatal” designada por el Titular de la Secretaría de Salud del Gobierno de México.</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highlight w:val="green"/>
        </w:rPr>
      </w:pPr>
      <w:r w:rsidDel="00000000" w:rsidR="00000000" w:rsidRPr="00000000">
        <w:rPr>
          <w:rFonts w:ascii="Palatino Linotype" w:cs="Palatino Linotype" w:eastAsia="Palatino Linotype" w:hAnsi="Palatino Linotype"/>
          <w:color w:val="000000"/>
          <w:rtl w:val="0"/>
        </w:rPr>
        <w:t xml:space="preserve">En este tenor, de conformidad con la </w:t>
      </w:r>
      <w:r w:rsidDel="00000000" w:rsidR="00000000" w:rsidRPr="00000000">
        <w:rPr>
          <w:rFonts w:ascii="Palatino Linotype" w:cs="Palatino Linotype" w:eastAsia="Palatino Linotype" w:hAnsi="Palatino Linotype"/>
          <w:i w:val="1"/>
          <w:color w:val="000000"/>
          <w:rtl w:val="0"/>
        </w:rPr>
        <w:t xml:space="preserve">Estrategia Operativa de la Política Nacional de Vacunación contra el virus SARS-CoV2 para la prevención de la COVID-19,</w:t>
      </w:r>
      <w:r w:rsidDel="00000000" w:rsidR="00000000" w:rsidRPr="00000000">
        <w:rPr>
          <w:rFonts w:ascii="Palatino Linotype" w:cs="Palatino Linotype" w:eastAsia="Palatino Linotype" w:hAnsi="Palatino Linotype"/>
          <w:color w:val="000000"/>
          <w:rtl w:val="0"/>
        </w:rPr>
        <w:t xml:space="preserve"> la Coordinación estatal del Operativo Correcaminos, será la responsable de la coordinación operativa de la estrategia federal de vacunación en cada una de las entidades federativas y definirá los planes de distribución en la entidad de acuerdo con los lineamientos federales.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persona designada como responsable de la coordinación estatal correcaminos </w:t>
      </w:r>
      <w:r w:rsidDel="00000000" w:rsidR="00000000" w:rsidRPr="00000000">
        <w:rPr>
          <w:rFonts w:ascii="Palatino Linotype" w:cs="Palatino Linotype" w:eastAsia="Palatino Linotype" w:hAnsi="Palatino Linotype"/>
          <w:color w:val="000000"/>
          <w:u w:val="single"/>
          <w:rtl w:val="0"/>
        </w:rPr>
        <w:t xml:space="preserve">fungirá como única vía de comunicación entre la coordinación federal y las autoridades locales</w:t>
      </w:r>
      <w:r w:rsidDel="00000000" w:rsidR="00000000" w:rsidRPr="00000000">
        <w:rPr>
          <w:rFonts w:ascii="Palatino Linotype" w:cs="Palatino Linotype" w:eastAsia="Palatino Linotype" w:hAnsi="Palatino Linotype"/>
          <w:color w:val="000000"/>
          <w:rtl w:val="0"/>
        </w:rPr>
        <w:t xml:space="preserve">, y tiene las siguientes responsabilidades:</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 </w:t>
      </w:r>
      <w:r w:rsidDel="00000000" w:rsidR="00000000" w:rsidRPr="00000000">
        <w:rPr>
          <w:rFonts w:ascii="Palatino Linotype" w:cs="Palatino Linotype" w:eastAsia="Palatino Linotype" w:hAnsi="Palatino Linotype"/>
          <w:color w:val="000000"/>
          <w:u w:val="single"/>
          <w:rtl w:val="0"/>
        </w:rPr>
        <w:t xml:space="preserve">Resguardo y custodia de las vacunas</w:t>
      </w:r>
      <w:r w:rsidDel="00000000" w:rsidR="00000000" w:rsidRPr="00000000">
        <w:rPr>
          <w:rFonts w:ascii="Palatino Linotype" w:cs="Palatino Linotype" w:eastAsia="Palatino Linotype" w:hAnsi="Palatino Linotype"/>
          <w:color w:val="000000"/>
          <w:rtl w:val="0"/>
        </w:rPr>
        <w:t xml:space="preserve">, desde el momento de llegada del embarque al aeropuerto o centro de redistribución estatal.</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 </w:t>
      </w:r>
      <w:r w:rsidDel="00000000" w:rsidR="00000000" w:rsidRPr="00000000">
        <w:rPr>
          <w:rFonts w:ascii="Palatino Linotype" w:cs="Palatino Linotype" w:eastAsia="Palatino Linotype" w:hAnsi="Palatino Linotype"/>
          <w:color w:val="000000"/>
          <w:u w:val="single"/>
          <w:rtl w:val="0"/>
        </w:rPr>
        <w:t xml:space="preserve">Control de entradas y salidas de vacunas</w:t>
      </w:r>
      <w:r w:rsidDel="00000000" w:rsidR="00000000" w:rsidRPr="00000000">
        <w:rPr>
          <w:rFonts w:ascii="Palatino Linotype" w:cs="Palatino Linotype" w:eastAsia="Palatino Linotype" w:hAnsi="Palatino Linotype"/>
          <w:color w:val="000000"/>
          <w:rtl w:val="0"/>
        </w:rPr>
        <w:t xml:space="preserve"> a cada entidad federativa siguiendo lineamientos operativos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 Vigilancia de las vacunas desde la salida del centro de redistribución hasta la unidad de vacunación establecida.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4. Coordinar la verificación del adecuado funcionamiento de la red de frío instalada para el resguardo de las vacunas (refrigeradores y ultra congeladores).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5. Revisión con autoridades locales de los listados provistos de unidades programadas para la vacunación.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6. En coordinación de autoridades locales, validación de censos de la población a vacunar.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7. Establecimiento de comunicación continua con cada uno de los coordinadores de brigadas instaladas en la entidad federativa para la operación adecuada de las diferentes unidades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8. Verificación de la aplicación de vacuna en la población, de acuerdo a las etapas planteadas en la estrategia nacional.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 Recepción y compilación de reportes de cada coordinador de brigada instalada.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10. Responsable del flujo de información y reportes necesarios hacia la autoridad superior establecida.</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responsabilidades atribuidas al Coordinador estatal se desprende que debe validar los censos de población, junto con las autoridades locales, asimismo, que debe </w:t>
      </w:r>
      <w:r w:rsidDel="00000000" w:rsidR="00000000" w:rsidRPr="00000000">
        <w:rPr>
          <w:rFonts w:ascii="Palatino Linotype" w:cs="Palatino Linotype" w:eastAsia="Palatino Linotype" w:hAnsi="Palatino Linotype"/>
          <w:b w:val="1"/>
          <w:color w:val="000000"/>
          <w:rtl w:val="0"/>
        </w:rPr>
        <w:t xml:space="preserve">recibir un reporte que cada coordinador de brigada debe generar</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otro lado, por  cuanto hace a las responsabilidades de los voluntarios –condición en la que el personal adscrito a diferentes unidades administrativas del municipio se encuentra, según se lee en el párrafo segundo del argumento séptimo del informe justificado presentado por el sujeto obligado-, la Estrategia operativa  de vacunación, contempla que deberán auxiliar al coordinador de la brigada, en la ejecución de las funciones de coordinación, registro y captura, y elaborar el acta de hechos de vacunación.</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Luego entonces, relativo a la campaña de vacunación llevada a cabo por en el Municipio de Metepec del diez al trece de enero de dos mil veintidós. </w:t>
      </w:r>
      <w:r w:rsidDel="00000000" w:rsidR="00000000" w:rsidRPr="00000000">
        <w:rPr>
          <w:rFonts w:ascii="Palatino Linotype" w:cs="Palatino Linotype" w:eastAsia="Palatino Linotype" w:hAnsi="Palatino Linotype"/>
          <w:b w:val="1"/>
          <w:color w:val="000000"/>
          <w:rtl w:val="0"/>
        </w:rPr>
        <w:t xml:space="preserve">La Secretaría de Salud </w:t>
      </w:r>
      <w:r w:rsidDel="00000000" w:rsidR="00000000" w:rsidRPr="00000000">
        <w:rPr>
          <w:rFonts w:ascii="Palatino Linotype" w:cs="Palatino Linotype" w:eastAsia="Palatino Linotype" w:hAnsi="Palatino Linotype"/>
          <w:color w:val="000000"/>
          <w:rtl w:val="0"/>
        </w:rPr>
        <w:t xml:space="preserve">por medio del</w:t>
      </w:r>
      <w:r w:rsidDel="00000000" w:rsidR="00000000" w:rsidRPr="00000000">
        <w:rPr>
          <w:rFonts w:ascii="Palatino Linotype" w:cs="Palatino Linotype" w:eastAsia="Palatino Linotype" w:hAnsi="Palatino Linotype"/>
          <w:b w:val="1"/>
          <w:color w:val="000000"/>
          <w:rtl w:val="0"/>
        </w:rPr>
        <w:t xml:space="preserve"> Instituto de Salud del Estado de México</w:t>
      </w:r>
      <w:r w:rsidDel="00000000" w:rsidR="00000000" w:rsidRPr="00000000">
        <w:rPr>
          <w:rFonts w:ascii="Palatino Linotype" w:cs="Palatino Linotype" w:eastAsia="Palatino Linotype" w:hAnsi="Palatino Linotype"/>
          <w:color w:val="000000"/>
          <w:rtl w:val="0"/>
        </w:rPr>
        <w:t xml:space="preserve"> publicó en su página oficial el boletín número UCS/SSEM/ISEM/00/2022 de fecha ocho de enero de dos mil veintidós, con el rubro “</w:t>
      </w:r>
      <w:r w:rsidDel="00000000" w:rsidR="00000000" w:rsidRPr="00000000">
        <w:rPr>
          <w:rFonts w:ascii="Palatino Linotype" w:cs="Palatino Linotype" w:eastAsia="Palatino Linotype" w:hAnsi="Palatino Linotype"/>
          <w:i w:val="1"/>
          <w:color w:val="000000"/>
          <w:rtl w:val="0"/>
        </w:rPr>
        <w:t xml:space="preserve">ANUNCIAN NUEVAS FECHAS Y SEDES PARA APLICACIÓN DE SEGUNDA DOSIS DE VACUNA CONTRA COVID-19 A MENORES DE 15 A 17 AÑOS EN 44 MUNICIPIOS DEL EDOMÉX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color w:val="000000"/>
          <w:vertAlign w:val="superscript"/>
        </w:rPr>
        <w:footnoteReference w:customMarkFollows="0" w:id="3"/>
      </w:r>
      <w:r w:rsidDel="00000000" w:rsidR="00000000" w:rsidRPr="00000000">
        <w:rPr>
          <w:rFonts w:ascii="Palatino Linotype" w:cs="Palatino Linotype" w:eastAsia="Palatino Linotype" w:hAnsi="Palatino Linotype"/>
          <w:color w:val="000000"/>
          <w:rtl w:val="0"/>
        </w:rPr>
        <w:t xml:space="preserve"> donde se informó que </w:t>
      </w:r>
      <w:r w:rsidDel="00000000" w:rsidR="00000000" w:rsidRPr="00000000">
        <w:rPr>
          <w:rFonts w:ascii="Palatino Linotype" w:cs="Palatino Linotype" w:eastAsia="Palatino Linotype" w:hAnsi="Palatino Linotype"/>
          <w:b w:val="1"/>
          <w:color w:val="000000"/>
          <w:rtl w:val="0"/>
        </w:rPr>
        <w:t xml:space="preserve">el día diez de enero</w:t>
      </w:r>
      <w:r w:rsidDel="00000000" w:rsidR="00000000" w:rsidRPr="00000000">
        <w:rPr>
          <w:rFonts w:ascii="Palatino Linotype" w:cs="Palatino Linotype" w:eastAsia="Palatino Linotype" w:hAnsi="Palatino Linotype"/>
          <w:color w:val="000000"/>
          <w:rtl w:val="0"/>
        </w:rPr>
        <w:t xml:space="preserve"> de se inició por parte de las autoridades nacionales y estatales la campaña de vacunación de menores de 15 a 17 años en los municipios del Estado de México, </w:t>
      </w:r>
      <w:r w:rsidDel="00000000" w:rsidR="00000000" w:rsidRPr="00000000">
        <w:rPr>
          <w:rFonts w:ascii="Palatino Linotype" w:cs="Palatino Linotype" w:eastAsia="Palatino Linotype" w:hAnsi="Palatino Linotype"/>
          <w:b w:val="1"/>
          <w:color w:val="000000"/>
          <w:rtl w:val="0"/>
        </w:rPr>
        <w:t xml:space="preserve">entre ellos, el Municipio de Metepec</w:t>
      </w:r>
      <w:r w:rsidDel="00000000" w:rsidR="00000000" w:rsidRPr="00000000">
        <w:rPr>
          <w:rFonts w:ascii="Palatino Linotype" w:cs="Palatino Linotype" w:eastAsia="Palatino Linotype" w:hAnsi="Palatino Linotype"/>
          <w:color w:val="000000"/>
          <w:rtl w:val="0"/>
        </w:rPr>
        <w:t xml:space="preserve">. Se insertan capturas de pantalla de dicho boletín para mayor referencia: </w:t>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03307" cy="1603972"/>
            <wp:effectExtent b="0" l="0" r="0" t="0"/>
            <wp:docPr id="148" name="image2.png"/>
            <a:graphic>
              <a:graphicData uri="http://schemas.openxmlformats.org/drawingml/2006/picture">
                <pic:pic>
                  <pic:nvPicPr>
                    <pic:cNvPr id="0" name="image2.png"/>
                    <pic:cNvPicPr preferRelativeResize="0"/>
                  </pic:nvPicPr>
                  <pic:blipFill>
                    <a:blip r:embed="rId11"/>
                    <a:srcRect b="6615" l="0" r="0" t="0"/>
                    <a:stretch>
                      <a:fillRect/>
                    </a:stretch>
                  </pic:blipFill>
                  <pic:spPr>
                    <a:xfrm>
                      <a:off x="0" y="0"/>
                      <a:ext cx="5903307" cy="1603972"/>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5791835" cy="3759200"/>
            <wp:effectExtent b="0" l="0" r="0" t="0"/>
            <wp:docPr id="15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91835"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color w:val="000000"/>
          <w:rtl w:val="0"/>
        </w:rPr>
        <w:t xml:space="preserve">De las imágenes anteriores, se puede advertir que la campaña de vacunación, referida por el particular en su solicitud de información fue organizada y llevada a cabo por una autoridad distinta al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sin embargo en alguna parte podía exi</w:t>
      </w:r>
      <w:r w:rsidDel="00000000" w:rsidR="00000000" w:rsidRPr="00000000">
        <w:rPr>
          <w:rFonts w:ascii="Palatino Linotype" w:cs="Palatino Linotype" w:eastAsia="Palatino Linotype" w:hAnsi="Palatino Linotype"/>
          <w:rtl w:val="0"/>
        </w:rPr>
        <w:t xml:space="preserve">stir participación de las autoridades locales como el Ayuntamiento de Metepec.</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al existir duda razonable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turnó la solicitud a la Dirección de Desarrollo Social, lo anterior en aras de disipar toda duda razonable sobre la administración del documento materia de la solicitud de información, esto 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el trámite correspondiente a la solicitud de información a efecto de realizar un análisis de las facultades, competencias o funciones de la Unidad Administrativa que lo integra y que de acuerdo a sus funciones pudiera conocer, concluyendo finalmente que dicha información no obra en sus archivos.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y ante la necesidad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haber turnado la solicitud para que se realizará la búsqueda de la información, corresponde entonces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Sirve de sustento a lo anterior el siguiente criterio:</w:t>
      </w:r>
    </w:p>
    <w:p w:rsidR="00000000" w:rsidDel="00000000" w:rsidP="00000000" w:rsidRDefault="00000000" w:rsidRPr="00000000" w14:paraId="00000092">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w:t>
      </w:r>
      <w:r w:rsidDel="00000000" w:rsidR="00000000" w:rsidRPr="00000000">
        <w:rPr>
          <w:rFonts w:ascii="Palatino Linotype" w:cs="Palatino Linotype" w:eastAsia="Palatino Linotype" w:hAnsi="Palatino Linotype"/>
          <w:i w:val="1"/>
          <w:sz w:val="22"/>
          <w:szCs w:val="22"/>
          <w:rtl w:val="0"/>
        </w:rPr>
        <w:t xml:space="preserve"> 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93">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Precedentes</w:t>
      </w:r>
    </w:p>
    <w:p w:rsidR="00000000" w:rsidDel="00000000" w:rsidP="00000000" w:rsidRDefault="00000000" w:rsidRPr="00000000" w14:paraId="00000094">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materia de acceso a la información pública. 5600/INFOEM/IP/RR/2019. Aprobado por unanimidad de votos. Ayuntamiento de Huixquilucan. Comisionada Ponente Zulema Martínez Sánchez.</w:t>
      </w:r>
    </w:p>
    <w:p w:rsidR="00000000" w:rsidDel="00000000" w:rsidP="00000000" w:rsidRDefault="00000000" w:rsidRPr="00000000" w14:paraId="00000095">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materia de acceso a la información pública. 5151/INFOEM/IP/RR/2019. Aprobado por unanimidad de votos, emitiendo voto particular el Comisionado Luis Gustavo Parra Noriega. Ayuntamiento de Naucalpan de Juárez. Comisionado Ponente Javier Martínez Cruz.</w:t>
      </w:r>
    </w:p>
    <w:p w:rsidR="00000000" w:rsidDel="00000000" w:rsidP="00000000" w:rsidRDefault="00000000" w:rsidRPr="00000000" w14:paraId="00000096">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materia de acceso a la información pública. 5272/INFOEM/IP/RR/2019 y acumulado. Aprobado por unanimidad de votos de los presentes. Organismo Público Descentralizado para la Prestación de Servicios de Agua Potable, Alcantarillado y Saneamiento del Municipio de Naucalpan de Juárez. Comisionada Ponente Eva Abaid Yapur.   </w:t>
      </w:r>
    </w:p>
    <w:p w:rsidR="00000000" w:rsidDel="00000000" w:rsidP="00000000" w:rsidRDefault="00000000" w:rsidRPr="00000000" w14:paraId="00000097">
      <w:pPr>
        <w:spacing w:after="240" w:before="24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Segunda Época Criterio Reiterado 01/19 https://legislacion.edomex.gob.mx/sites/legislacion.edomex.gob.mx/files/files/pdf/gct/201</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este sentido, si bien hay un pronunciamiento</w:t>
      </w:r>
      <w:r w:rsidDel="00000000" w:rsidR="00000000" w:rsidRPr="00000000">
        <w:rPr>
          <w:rFonts w:ascii="Palatino Linotype" w:cs="Palatino Linotype" w:eastAsia="Palatino Linotype" w:hAnsi="Palatino Linotype"/>
          <w:color w:val="000000"/>
          <w:rtl w:val="0"/>
        </w:rPr>
        <w:t xml:space="preserve"> del </w:t>
      </w:r>
      <w:r w:rsidDel="00000000" w:rsidR="00000000" w:rsidRPr="00000000">
        <w:rPr>
          <w:rFonts w:ascii="Palatino Linotype" w:cs="Palatino Linotype" w:eastAsia="Palatino Linotype" w:hAnsi="Palatino Linotype"/>
          <w:b w:val="1"/>
          <w:color w:val="000000"/>
          <w:sz w:val="28"/>
          <w:szCs w:val="28"/>
          <w:rtl w:val="0"/>
        </w:rPr>
        <w:t xml:space="preserve">SUJETO OBLIGADO</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donde refiere que </w:t>
      </w:r>
      <w:r w:rsidDel="00000000" w:rsidR="00000000" w:rsidRPr="00000000">
        <w:rPr>
          <w:rFonts w:ascii="Palatino Linotype" w:cs="Palatino Linotype" w:eastAsia="Palatino Linotype" w:hAnsi="Palatino Linotype"/>
          <w:i w:val="1"/>
          <w:color w:val="000000"/>
          <w:rtl w:val="0"/>
        </w:rPr>
        <w:t xml:space="preserve">no existe ningún archivo referente a la información solicitada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también</w:t>
      </w:r>
      <w:r w:rsidDel="00000000" w:rsidR="00000000" w:rsidRPr="00000000">
        <w:rPr>
          <w:rFonts w:ascii="Palatino Linotype" w:cs="Palatino Linotype" w:eastAsia="Palatino Linotype" w:hAnsi="Palatino Linotype"/>
          <w:color w:val="000000"/>
          <w:rtl w:val="0"/>
        </w:rPr>
        <w:t xml:space="preserve"> lo es que toda v</w:t>
      </w:r>
      <w:r w:rsidDel="00000000" w:rsidR="00000000" w:rsidRPr="00000000">
        <w:rPr>
          <w:rFonts w:ascii="Palatino Linotype" w:cs="Palatino Linotype" w:eastAsia="Palatino Linotype" w:hAnsi="Palatino Linotype"/>
          <w:rtl w:val="0"/>
        </w:rPr>
        <w:t xml:space="preserve">ez que tuvo que haber realizado la búsqueda en sus archivos para determinar si poseía la información solicitada por lo que debió ajustarse a</w:t>
      </w:r>
      <w:r w:rsidDel="00000000" w:rsidR="00000000" w:rsidRPr="00000000">
        <w:rPr>
          <w:rFonts w:ascii="Palatino Linotype" w:cs="Palatino Linotype" w:eastAsia="Palatino Linotype" w:hAnsi="Palatino Linotype"/>
          <w:color w:val="000000"/>
          <w:rtl w:val="0"/>
        </w:rPr>
        <w:t xml:space="preserve"> lo previsto en la fracción II del artículo 49 de la Ley de la Materia, que se lee a continuación:</w:t>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left="505"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49.</w:t>
      </w:r>
      <w:r w:rsidDel="00000000" w:rsidR="00000000" w:rsidRPr="00000000">
        <w:rPr>
          <w:rFonts w:ascii="Palatino Linotype" w:cs="Palatino Linotype" w:eastAsia="Palatino Linotype" w:hAnsi="Palatino Linotype"/>
          <w:i w:val="1"/>
          <w:color w:val="000000"/>
          <w:sz w:val="22"/>
          <w:szCs w:val="22"/>
          <w:rtl w:val="0"/>
        </w:rPr>
        <w:t xml:space="preserve"> Los Comités de Transparencia tendrán las siguientes atribuciones: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505"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left="505"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w:t>
      </w:r>
      <w:r w:rsidDel="00000000" w:rsidR="00000000" w:rsidRPr="00000000">
        <w:rPr>
          <w:rFonts w:ascii="Palatino Linotype" w:cs="Palatino Linotype" w:eastAsia="Palatino Linotype" w:hAnsi="Palatino Linotype"/>
          <w:b w:val="1"/>
          <w:i w:val="1"/>
          <w:color w:val="000000"/>
          <w:sz w:val="22"/>
          <w:szCs w:val="22"/>
          <w:u w:val="single"/>
          <w:rtl w:val="0"/>
        </w:rPr>
        <w:t xml:space="preserve">Confirmar, modificar o revocar las determinaciones que en materia</w:t>
      </w:r>
      <w:r w:rsidDel="00000000" w:rsidR="00000000" w:rsidRPr="00000000">
        <w:rPr>
          <w:rFonts w:ascii="Palatino Linotype" w:cs="Palatino Linotype" w:eastAsia="Palatino Linotype" w:hAnsi="Palatino Linotype"/>
          <w:i w:val="1"/>
          <w:color w:val="000000"/>
          <w:sz w:val="22"/>
          <w:szCs w:val="22"/>
          <w:rtl w:val="0"/>
        </w:rPr>
        <w:t xml:space="preserve"> de ampliación del plazo de respuesta, clasificación de la información y declaración de inexistencia o </w:t>
      </w:r>
      <w:r w:rsidDel="00000000" w:rsidR="00000000" w:rsidRPr="00000000">
        <w:rPr>
          <w:rFonts w:ascii="Palatino Linotype" w:cs="Palatino Linotype" w:eastAsia="Palatino Linotype" w:hAnsi="Palatino Linotype"/>
          <w:b w:val="1"/>
          <w:i w:val="1"/>
          <w:color w:val="000000"/>
          <w:sz w:val="22"/>
          <w:szCs w:val="22"/>
          <w:u w:val="single"/>
          <w:rtl w:val="0"/>
        </w:rPr>
        <w:t xml:space="preserve">de incompetencia realicen los titulares de las áreas de los sujetos obligados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502"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Énfasis añadido.</w:t>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502" w:right="851"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el Comité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deberá emitir el </w:t>
      </w:r>
      <w:r w:rsidDel="00000000" w:rsidR="00000000" w:rsidRPr="00000000">
        <w:rPr>
          <w:rFonts w:ascii="Palatino Linotype" w:cs="Palatino Linotype" w:eastAsia="Palatino Linotype" w:hAnsi="Palatino Linotype"/>
          <w:b w:val="1"/>
          <w:color w:val="000000"/>
          <w:rtl w:val="0"/>
        </w:rPr>
        <w:t xml:space="preserve">Acuerdo de Declaratoria de Incompetencia</w:t>
      </w:r>
      <w:r w:rsidDel="00000000" w:rsidR="00000000" w:rsidRPr="00000000">
        <w:rPr>
          <w:rFonts w:ascii="Palatino Linotype" w:cs="Palatino Linotype" w:eastAsia="Palatino Linotype" w:hAnsi="Palatino Linotype"/>
          <w:color w:val="000000"/>
          <w:rtl w:val="0"/>
        </w:rPr>
        <w:t xml:space="preserve"> en términos de la Ley de Transparencia y Acceso a la Información Pública del Estado de México y Municipios, ante la falta de 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 toda vez que del análisis realizado se determinó la incompetencia para atender el requerimiento. </w:t>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no escapa de la óptica de este Organismo Garante que en sus motivos de inconformidad la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parcialmente fundados los motivos de inconformidad hechos valer por la parte </w:t>
      </w:r>
      <w:r w:rsidDel="00000000" w:rsidR="00000000" w:rsidRPr="00000000">
        <w:rPr>
          <w:rFonts w:ascii="Palatino Linotype" w:cs="Palatino Linotype" w:eastAsia="Palatino Linotype" w:hAnsi="Palatino Linotype"/>
          <w:b w:val="1"/>
          <w:rtl w:val="0"/>
        </w:rPr>
        <w:t xml:space="preserve">RECURRENT</w:t>
      </w:r>
      <w:r w:rsidDel="00000000" w:rsidR="00000000" w:rsidRPr="00000000">
        <w:rPr>
          <w:rFonts w:ascii="Palatino Linotype" w:cs="Palatino Linotype" w:eastAsia="Palatino Linotype" w:hAnsi="Palatino Linotype"/>
          <w:rtl w:val="0"/>
        </w:rPr>
        <w:t xml:space="preserve">E en el Recurso de Revisión </w:t>
      </w:r>
      <w:r w:rsidDel="00000000" w:rsidR="00000000" w:rsidRPr="00000000">
        <w:rPr>
          <w:rFonts w:ascii="Palatino Linotype" w:cs="Palatino Linotype" w:eastAsia="Palatino Linotype" w:hAnsi="Palatino Linotype"/>
          <w:b w:val="1"/>
          <w:rtl w:val="0"/>
        </w:rPr>
        <w:t xml:space="preserve">02399/INFOEM/IP/RR/2022,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los Considerandos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haga entrega vía SAIMEX lo siguiente:</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pacing w:line="360" w:lineRule="auto"/>
        <w:ind w:left="180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Acuerdo del Comité de Transparencia, en el que se declare la incompetencia del Ayuntamiento de Metepec para atender el requerimiento de la solicitud de información 00688/METEPEC/IP/2022.</w:t>
      </w:r>
    </w:p>
    <w:p w:rsidR="00000000" w:rsidDel="00000000" w:rsidP="00000000" w:rsidRDefault="00000000" w:rsidRPr="00000000" w14:paraId="000000A8">
      <w:pPr>
        <w:spacing w:line="360" w:lineRule="auto"/>
        <w:ind w:right="51"/>
        <w:jc w:val="both"/>
        <w:rPr>
          <w:rFonts w:ascii="Palatino Linotype" w:cs="Palatino Linotype" w:eastAsia="Palatino Linotype" w:hAnsi="Palatino Linotype"/>
          <w:b w:val="1"/>
          <w:color w:val="ff0000"/>
        </w:rPr>
      </w:pPr>
      <w:r w:rsidDel="00000000" w:rsidR="00000000" w:rsidRPr="00000000">
        <w:rPr>
          <w:rtl w:val="0"/>
        </w:rPr>
      </w:r>
    </w:p>
    <w:p w:rsidR="00000000" w:rsidDel="00000000" w:rsidP="00000000" w:rsidRDefault="00000000" w:rsidRPr="00000000" w14:paraId="000000A9">
      <w:pPr>
        <w:spacing w:after="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highlight w:val="white"/>
          <w:rtl w:val="0"/>
        </w:rPr>
        <w:t xml:space="preserve">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Titular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00000" w:rsidDel="00000000" w:rsidP="00000000" w:rsidRDefault="00000000" w:rsidRPr="00000000" w14:paraId="000000A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b w:val="1"/>
          <w:highlight w:val="white"/>
          <w:rtl w:val="0"/>
        </w:rPr>
        <w:t xml:space="preserve">Notifíquese vía SAIMEX</w:t>
      </w:r>
      <w:r w:rsidDel="00000000" w:rsidR="00000000" w:rsidRPr="00000000">
        <w:rPr>
          <w:rFonts w:ascii="Palatino Linotype" w:cs="Palatino Linotype" w:eastAsia="Palatino Linotype" w:hAnsi="Palatino Linotype"/>
          <w:rtl w:val="0"/>
        </w:rPr>
        <w:t xml:space="preserve">, a la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rPr>
        <w:sectPr>
          <w:headerReference r:id="rId13" w:type="default"/>
          <w:headerReference r:id="rId14" w:type="first"/>
          <w:footerReference r:id="rId15" w:type="default"/>
          <w:footerReference r:id="rId16" w:type="first"/>
          <w:pgSz w:h="15840" w:w="12240" w:orient="portrait"/>
          <w:pgMar w:bottom="1276" w:top="1417"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Del="00000000" w:rsidR="00000000" w:rsidRPr="00000000">
        <w:rPr>
          <w:rFonts w:ascii="Palatino Linotype" w:cs="Palatino Linotype" w:eastAsia="Palatino Linotype" w:hAnsi="Palatino Linotype"/>
          <w:color w:val="222222"/>
          <w:rtl w:val="0"/>
        </w:rPr>
        <w:t xml:space="preserve">VIGÉSIMA PRIMERA SESIÓN ORDINARIA CELEBRADA EL OCHO</w:t>
      </w:r>
      <w:r w:rsidDel="00000000" w:rsidR="00000000" w:rsidRPr="00000000">
        <w:rPr>
          <w:rFonts w:ascii="Palatino Linotype" w:cs="Palatino Linotype" w:eastAsia="Palatino Linotype" w:hAnsi="Palatino Linotype"/>
          <w:rtl w:val="0"/>
        </w:rPr>
        <w:t xml:space="preserve"> DE JUNIO DE DOS MIL VEINTIDÓS, ANTE EL SECRETARIO TÉCNICO DEL PLENO ALEXIS TAPIA RAMÍREZ.    </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7" w:type="first"/>
      <w:type w:val="nextPage"/>
      <w:pgSz w:h="15840" w:w="12240" w:orient="portrait"/>
      <w:pgMar w:bottom="1276" w:top="1417"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184</w:t>
      </w:r>
      <w:r w:rsidDel="00000000" w:rsidR="00000000" w:rsidRPr="00000000">
        <w:rPr>
          <w:rFonts w:ascii="Palatino Linotype" w:cs="Palatino Linotype" w:eastAsia="Palatino Linotype" w:hAnsi="Palatino Linotype"/>
          <w:color w:val="000000"/>
          <w:sz w:val="16"/>
          <w:szCs w:val="16"/>
          <w:rtl w:val="0"/>
        </w:rPr>
        <w:t xml:space="preserve">. La acción extraordinaria en materia de salubridad general será ejercida por la Secretaría de Salud, la que podrá integrar brigadas especiales que actuarán bajo su dirección y responsabilidad y tendrán las atribuciones siguientes: </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Encomendar a las autoridades federales, estatales y municipales, así como a los profesionales, técnicos y auxiliares de las disciplinas para la salud, el desempeño de las actividades que estime necesarias y obtener para ese fin la participación de los particulares; </w:t>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Dictar medidas sanitarias relacionadas con reuniones de personas, entrada y salida de ellas en las poblaciones y con los regímenes higiénicos especiales que deban implantarse, según el caso;</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III. Regular el tránsito terrestre, marítimo y aéreo, así como disponer libremente de todos los medios de transporte de propiedad del estado y de servicio público, cualquiera que sea el régimen legal a que estén sujetos estos últimos:</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Utilizar libre y prioritariamente los servicios telefónicos, telegráficos y de correos, así como las transmisiones de radio y televisión, y </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Las demás que determine la propia Secretaría.</w:t>
      </w:r>
    </w:p>
  </w:footnote>
  <w:footnote w:id="1">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http://www.dof.gob.mx/nota_detalle.php?codigo=5610149&amp;fecha=21/01/2021</w:t>
      </w:r>
    </w:p>
  </w:footnote>
  <w:footnote w:id="2">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Brigada especial conforme al artículo 184 de la Ley General de Salud y el Acuerdo referido en la página 16  de la presente resolución</w:t>
      </w:r>
      <w:r w:rsidDel="00000000" w:rsidR="00000000" w:rsidRPr="00000000">
        <w:rPr>
          <w:rtl w:val="0"/>
        </w:rPr>
      </w:r>
    </w:p>
  </w:footnote>
  <w:footnote w:id="3">
    <w:p w:rsidR="00000000" w:rsidDel="00000000" w:rsidP="00000000" w:rsidRDefault="00000000" w:rsidRPr="00000000" w14:paraId="000000B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Dicho comunicado puede ser consultado en la dirección electrónica: https://salud.edomex.gob.mx/isem/ac_boletines_informativos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-651049</wp:posOffset>
          </wp:positionH>
          <wp:positionV relativeFrom="paragraph">
            <wp:posOffset>-322500</wp:posOffset>
          </wp:positionV>
          <wp:extent cx="7635600" cy="9943200"/>
          <wp:effectExtent b="0" l="0" r="0" t="0"/>
          <wp:wrapNone/>
          <wp:docPr id="14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02399/INFOEM/IP/RR/2022 </w:t>
          </w:r>
        </w:p>
      </w:tc>
    </w:tr>
    <w:tr>
      <w:trPr>
        <w:cantSplit w:val="0"/>
        <w:tblHeader w:val="0"/>
      </w:trPr>
      <w:tc>
        <w:tcPr>
          <w:vAlign w:val="center"/>
        </w:tcPr>
        <w:p w:rsidR="00000000" w:rsidDel="00000000" w:rsidP="00000000" w:rsidRDefault="00000000" w:rsidRPr="00000000" w14:paraId="000000B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B">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B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Metepec</w:t>
          </w:r>
        </w:p>
      </w:tc>
    </w:tr>
    <w:tr>
      <w:trPr>
        <w:cantSplit w:val="0"/>
        <w:tblHeader w:val="0"/>
      </w:trPr>
      <w:tc>
        <w:tcPr>
          <w:vAlign w:val="center"/>
        </w:tcPr>
        <w:p w:rsidR="00000000" w:rsidDel="00000000" w:rsidP="00000000" w:rsidRDefault="00000000" w:rsidRPr="00000000" w14:paraId="000000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-680309</wp:posOffset>
          </wp:positionH>
          <wp:positionV relativeFrom="paragraph">
            <wp:posOffset>-454173</wp:posOffset>
          </wp:positionV>
          <wp:extent cx="7635600" cy="9943200"/>
          <wp:effectExtent b="0" l="0" r="0" t="0"/>
          <wp:wrapNone/>
          <wp:docPr id="14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C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02399/INFOEM/IP/RR/2022.</w:t>
          </w:r>
        </w:p>
      </w:tc>
    </w:tr>
    <w:tr>
      <w:trPr>
        <w:cantSplit w:val="0"/>
        <w:trHeight w:val="228" w:hRule="atLeast"/>
        <w:tblHeader w:val="0"/>
      </w:trPr>
      <w:tc>
        <w:tcP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C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Metepec.</w:t>
          </w:r>
        </w:p>
      </w:tc>
    </w:tr>
    <w:tr>
      <w:trPr>
        <w:cantSplit w:val="0"/>
        <w:tblHeader w:val="0"/>
      </w:trPr>
      <w:tc>
        <w:tcP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C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abstractNum w:abstractNumId="3">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C49B8"/>
  </w:style>
  <w:style w:type="paragraph" w:styleId="Ttulo1">
    <w:name w:val="heading 1"/>
    <w:basedOn w:val="Normal"/>
    <w:link w:val="Ttulo1Car"/>
    <w:uiPriority w:val="9"/>
    <w:qFormat w:val="1"/>
    <w:rsid w:val="00815308"/>
    <w:pPr>
      <w:spacing w:after="100" w:afterAutospacing="1" w:before="100" w:beforeAutospacing="1"/>
      <w:outlineLvl w:val="0"/>
    </w:pPr>
    <w:rPr>
      <w:b w:val="1"/>
      <w:bCs w:val="1"/>
      <w:kern w:val="36"/>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Textoindependiente">
    <w:name w:val="Body Text"/>
    <w:basedOn w:val="Normal"/>
    <w:link w:val="TextoindependienteCar"/>
    <w:uiPriority w:val="1"/>
    <w:unhideWhenUsed w:val="1"/>
    <w:qFormat w:val="1"/>
    <w:rsid w:val="002E5396"/>
    <w:pPr>
      <w:autoSpaceDE w:val="0"/>
      <w:autoSpaceDN w:val="0"/>
      <w:adjustRightInd w:val="0"/>
      <w:ind w:left="93"/>
    </w:pPr>
    <w:rPr>
      <w:rFonts w:eastAsiaTheme="minorHAnsi"/>
      <w:sz w:val="23"/>
      <w:szCs w:val="23"/>
      <w:lang w:eastAsia="en-US"/>
    </w:rPr>
  </w:style>
  <w:style w:type="character" w:styleId="TextoindependienteCar" w:customStyle="1">
    <w:name w:val="Texto independiente Car"/>
    <w:basedOn w:val="Fuentedeprrafopredeter"/>
    <w:link w:val="Textoindependiente"/>
    <w:uiPriority w:val="1"/>
    <w:rsid w:val="002E5396"/>
    <w:rPr>
      <w:rFonts w:ascii="Times New Roman" w:cs="Times New Roman" w:hAnsi="Times New Roman"/>
      <w:sz w:val="23"/>
      <w:szCs w:val="23"/>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E5396"/>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2E5396"/>
    <w:pPr>
      <w:ind w:left="708"/>
    </w:pPr>
    <w:rPr>
      <w:sz w:val="22"/>
      <w:szCs w:val="22"/>
      <w:lang w:eastAsia="en-US"/>
    </w:rPr>
  </w:style>
  <w:style w:type="paragraph" w:styleId="paragraph" w:customStyle="1">
    <w:name w:val="paragraph"/>
    <w:basedOn w:val="Normal"/>
    <w:rsid w:val="002E5396"/>
    <w:pPr>
      <w:spacing w:after="100" w:afterAutospacing="1" w:before="100" w:beforeAutospacing="1"/>
    </w:pPr>
  </w:style>
  <w:style w:type="character" w:styleId="normaltextrun" w:customStyle="1">
    <w:name w:val="normaltextrun"/>
    <w:basedOn w:val="Fuentedeprrafopredeter"/>
    <w:rsid w:val="002E5396"/>
  </w:style>
  <w:style w:type="character" w:styleId="apple-converted-space" w:customStyle="1">
    <w:name w:val="apple-converted-space"/>
    <w:basedOn w:val="Fuentedeprrafopredeter"/>
    <w:rsid w:val="002E5396"/>
  </w:style>
  <w:style w:type="character" w:styleId="eop" w:customStyle="1">
    <w:name w:val="eop"/>
    <w:basedOn w:val="Fuentedeprrafopredeter"/>
    <w:rsid w:val="002E5396"/>
  </w:style>
  <w:style w:type="table" w:styleId="Tablaconcuadrcula">
    <w:name w:val="Table Grid"/>
    <w:basedOn w:val="Tablanormal"/>
    <w:uiPriority w:val="59"/>
    <w:rsid w:val="002E5396"/>
    <w:rPr>
      <w:rFonts w:eastAsiaTheme="minorEastAsia"/>
      <w:lang w:eastAsia="es-ES" w:val="es-ES_tradnl"/>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2E5396"/>
    <w:rPr>
      <w:color w:val="0000ff"/>
      <w:u w:val="single"/>
    </w:rPr>
  </w:style>
  <w:style w:type="paragraph" w:styleId="Encabezado">
    <w:name w:val="header"/>
    <w:basedOn w:val="Normal"/>
    <w:link w:val="EncabezadoCar"/>
    <w:uiPriority w:val="99"/>
    <w:unhideWhenUsed w:val="1"/>
    <w:rsid w:val="00224D6A"/>
    <w:pPr>
      <w:tabs>
        <w:tab w:val="center" w:pos="4419"/>
        <w:tab w:val="right" w:pos="8838"/>
      </w:tabs>
    </w:pPr>
  </w:style>
  <w:style w:type="character" w:styleId="EncabezadoCar" w:customStyle="1">
    <w:name w:val="Encabezado Car"/>
    <w:basedOn w:val="Fuentedeprrafopredeter"/>
    <w:link w:val="Encabezado"/>
    <w:uiPriority w:val="99"/>
    <w:rsid w:val="00224D6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224D6A"/>
    <w:pPr>
      <w:tabs>
        <w:tab w:val="center" w:pos="4419"/>
        <w:tab w:val="right" w:pos="8838"/>
      </w:tabs>
    </w:pPr>
  </w:style>
  <w:style w:type="character" w:styleId="PiedepginaCar" w:customStyle="1">
    <w:name w:val="Pie de página Car"/>
    <w:basedOn w:val="Fuentedeprrafopredeter"/>
    <w:link w:val="Piedepgina"/>
    <w:uiPriority w:val="99"/>
    <w:rsid w:val="00224D6A"/>
    <w:rPr>
      <w:rFonts w:ascii="Times New Roman" w:cs="Times New Roman" w:eastAsia="Times New Roman" w:hAnsi="Times New Roman"/>
      <w:sz w:val="24"/>
      <w:szCs w:val="24"/>
      <w:lang w:eastAsia="es-ES" w:val="es-ES"/>
    </w:rPr>
  </w:style>
  <w:style w:type="paragraph" w:styleId="Sinespaciado">
    <w:name w:val="No Spacing"/>
    <w:aliases w:val="Francesa"/>
    <w:link w:val="SinespaciadoCar"/>
    <w:uiPriority w:val="1"/>
    <w:qFormat w:val="1"/>
    <w:rsid w:val="001E35F1"/>
  </w:style>
  <w:style w:type="character" w:styleId="SinespaciadoCar" w:customStyle="1">
    <w:name w:val="Sin espaciado Car"/>
    <w:aliases w:val="Francesa Car"/>
    <w:link w:val="Sinespaciado"/>
    <w:uiPriority w:val="1"/>
    <w:locked w:val="1"/>
    <w:rsid w:val="001E35F1"/>
  </w:style>
  <w:style w:type="character" w:styleId="Textoennegrita">
    <w:name w:val="Strong"/>
    <w:uiPriority w:val="22"/>
    <w:qFormat w:val="1"/>
    <w:rsid w:val="00FE56B6"/>
    <w:rPr>
      <w:b w:val="1"/>
      <w:bCs w:val="1"/>
    </w:rPr>
  </w:style>
  <w:style w:type="paragraph" w:styleId="Textodeglobo">
    <w:name w:val="Balloon Text"/>
    <w:basedOn w:val="Normal"/>
    <w:link w:val="TextodegloboCar"/>
    <w:uiPriority w:val="99"/>
    <w:semiHidden w:val="1"/>
    <w:unhideWhenUsed w:val="1"/>
    <w:rsid w:val="00E72E9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72E93"/>
    <w:rPr>
      <w:rFonts w:ascii="Segoe UI" w:cs="Segoe UI" w:eastAsia="Times New Roman" w:hAnsi="Segoe UI"/>
      <w:sz w:val="18"/>
      <w:szCs w:val="18"/>
      <w:lang w:eastAsia="es-ES" w:val="es-ES"/>
    </w:rPr>
  </w:style>
  <w:style w:type="character" w:styleId="Nmerodelnea">
    <w:name w:val="line number"/>
    <w:basedOn w:val="Fuentedeprrafopredeter"/>
    <w:uiPriority w:val="99"/>
    <w:semiHidden w:val="1"/>
    <w:unhideWhenUsed w:val="1"/>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14A6D"/>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cs="Times New Roman" w:eastAsia="Times New Roman" w:hAnsi="Times New Roman"/>
      <w:sz w:val="20"/>
      <w:szCs w:val="20"/>
      <w:lang w:eastAsia="es-ES"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114A6D"/>
    <w:rPr>
      <w:vertAlign w:val="superscript"/>
    </w:rPr>
  </w:style>
  <w:style w:type="paragraph" w:styleId="Default" w:customStyle="1">
    <w:name w:val="Default"/>
    <w:rsid w:val="00A13C6C"/>
    <w:pPr>
      <w:autoSpaceDE w:val="0"/>
      <w:autoSpaceDN w:val="0"/>
      <w:adjustRightInd w:val="0"/>
    </w:pPr>
    <w:rPr>
      <w:rFonts w:ascii="Arial" w:cs="Arial" w:hAnsi="Arial"/>
      <w:color w:val="000000"/>
    </w:rPr>
  </w:style>
  <w:style w:type="character" w:styleId="Hipervnculovisitado">
    <w:name w:val="FollowedHyperlink"/>
    <w:basedOn w:val="Fuentedeprrafopredeter"/>
    <w:uiPriority w:val="99"/>
    <w:semiHidden w:val="1"/>
    <w:unhideWhenUsed w:val="1"/>
    <w:rsid w:val="002B22DF"/>
    <w:rPr>
      <w:color w:val="954f72" w:themeColor="followedHyperlink"/>
      <w:u w:val="single"/>
    </w:rPr>
  </w:style>
  <w:style w:type="paragraph" w:styleId="j" w:customStyle="1">
    <w:name w:val="j"/>
    <w:basedOn w:val="Normal"/>
    <w:rsid w:val="00300B23"/>
    <w:pPr>
      <w:spacing w:after="100" w:afterAutospacing="1" w:before="100" w:beforeAutospacing="1"/>
    </w:pPr>
  </w:style>
  <w:style w:type="character" w:styleId="h" w:customStyle="1">
    <w:name w:val="h"/>
    <w:basedOn w:val="Fuentedeprrafopredeter"/>
    <w:rsid w:val="00300B23"/>
  </w:style>
  <w:style w:type="character" w:styleId="nacep" w:customStyle="1">
    <w:name w:val="n_acep"/>
    <w:basedOn w:val="Fuentedeprrafopredeter"/>
    <w:rsid w:val="00300B23"/>
  </w:style>
  <w:style w:type="character" w:styleId="A8" w:customStyle="1">
    <w:name w:val="A8"/>
    <w:uiPriority w:val="99"/>
    <w:rsid w:val="00180F38"/>
    <w:rPr>
      <w:rFonts w:cs="Raleway"/>
      <w:color w:val="211d1e"/>
      <w:sz w:val="28"/>
      <w:szCs w:val="28"/>
    </w:rPr>
  </w:style>
  <w:style w:type="character" w:styleId="Ttulo1Car" w:customStyle="1">
    <w:name w:val="Título 1 Car"/>
    <w:basedOn w:val="Fuentedeprrafopredeter"/>
    <w:link w:val="Ttulo1"/>
    <w:uiPriority w:val="9"/>
    <w:rsid w:val="00815308"/>
    <w:rPr>
      <w:rFonts w:ascii="Times New Roman" w:cs="Times New Roman" w:eastAsia="Times New Roman" w:hAnsi="Times New Roman"/>
      <w:b w:val="1"/>
      <w:bCs w:val="1"/>
      <w:kern w:val="36"/>
      <w:sz w:val="48"/>
      <w:szCs w:val="48"/>
      <w:lang w:eastAsia="es-MX"/>
    </w:rPr>
  </w:style>
  <w:style w:type="character" w:styleId="apple-style-span" w:customStyle="1">
    <w:name w:val="apple-style-span"/>
    <w:rsid w:val="00F44283"/>
  </w:style>
  <w:style w:type="character" w:styleId="Mencinsinresolver1" w:customStyle="1">
    <w:name w:val="Mención sin resolver1"/>
    <w:basedOn w:val="Fuentedeprrafopredeter"/>
    <w:uiPriority w:val="99"/>
    <w:semiHidden w:val="1"/>
    <w:unhideWhenUsed w:val="1"/>
    <w:rsid w:val="00316E8D"/>
    <w:rPr>
      <w:color w:val="605e5c"/>
      <w:shd w:color="auto" w:fill="e1dfdd" w:val="clear"/>
    </w:rPr>
  </w:style>
  <w:style w:type="paragraph" w:styleId="NormalWeb">
    <w:name w:val="Normal (Web)"/>
    <w:basedOn w:val="Normal"/>
    <w:uiPriority w:val="99"/>
    <w:unhideWhenUsed w:val="1"/>
    <w:rsid w:val="00AB41B0"/>
    <w:pPr>
      <w:spacing w:after="100" w:afterAutospacing="1" w:before="100" w:beforeAutospacing="1"/>
    </w:p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header" Target="header3.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imex.org.mx/saimex/solicitud/downloadAttach/1343996.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W/LVjnGYk7DwcCfNc7iRPrY3A==">AMUW2mXD9mizFsIYaz2S7FLOFjtanl4moWle4P1FcPbIxhw3PyzJ9GWiAx9SrBrGHS35UPREMduIEn6Wv4DsvehVncQkNNp2DhoRLBEjiNTwOUw3O1QUud51BbfpGaW08iHUod58AQm1y0vVqdIZXFU8simYc71WQw==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2022-06-02T03:33:00Z</dcterms:created>
  <dc:creator>USER</dc:creator>
</cp:coreProperties>
</file>