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veinticinco de mayo de dos mil veintidós. </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Pr>
          <w:rFonts w:ascii="Palatino Linotype" w:eastAsia="Palatino Linotype" w:hAnsi="Palatino Linotype" w:cs="Palatino Linotype"/>
          <w:b/>
        </w:rPr>
        <w:t>02159/INFOEM/IP/RR/2022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02160/INFOEM/IP/RR/2022, 02161/INFOEM/IP/RR/2022 y 02364/INFOEM/IP/RR/2022, </w:t>
      </w:r>
      <w:r>
        <w:rPr>
          <w:rFonts w:ascii="Palatino Linotype" w:eastAsia="Palatino Linotype" w:hAnsi="Palatino Linotype" w:cs="Palatino Linotype"/>
        </w:rPr>
        <w:t xml:space="preserve">interpuestos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xml:space="preserve">, a quien se le denominada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r>
        <w:rPr>
          <w:rFonts w:ascii="Palatino Linotype" w:eastAsia="Palatino Linotype" w:hAnsi="Palatino Linotype" w:cs="Palatino Linotype"/>
          <w:b/>
        </w:rPr>
        <w:t>00458/METEPEC/IP/2022, 00457/METEPEC/IP/2022, 00456/METEPEC/IP/2022 y 00658/METEPEC/IP/2022,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9655B" w:rsidRDefault="00661999">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highlight w:val="white"/>
        </w:rPr>
        <w:t xml:space="preserve">Con fecha diez de enero del dos mil veintidós,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formuló solicitudes de acceso a información pública al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a través del Sistema de Acceso a </w:t>
      </w:r>
      <w:r>
        <w:rPr>
          <w:rFonts w:ascii="Palatino Linotype" w:eastAsia="Palatino Linotype" w:hAnsi="Palatino Linotype" w:cs="Palatino Linotype"/>
        </w:rPr>
        <w:t xml:space="preserve">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9655B" w:rsidRDefault="0066199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00458/METEPEC/IP/2022:</w:t>
      </w:r>
    </w:p>
    <w:p w:rsidR="0019655B" w:rsidRDefault="00661999">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solicita copia de </w:t>
      </w:r>
      <w:r>
        <w:rPr>
          <w:rFonts w:ascii="Palatino Linotype" w:eastAsia="Palatino Linotype" w:hAnsi="Palatino Linotype" w:cs="Palatino Linotype"/>
          <w:i/>
          <w:color w:val="000000"/>
          <w:sz w:val="22"/>
          <w:szCs w:val="22"/>
          <w:highlight w:val="white"/>
        </w:rPr>
        <w:t>las listas de asistencia o bitácora del checador de ingreso y salida de todas las áreas del 1, 2, 3, 4, 5, 6, 7, 8, 9 y 10 de e</w:t>
      </w:r>
      <w:r>
        <w:rPr>
          <w:rFonts w:ascii="Palatino Linotype" w:eastAsia="Palatino Linotype" w:hAnsi="Palatino Linotype" w:cs="Palatino Linotype"/>
          <w:i/>
          <w:color w:val="000000"/>
          <w:sz w:val="22"/>
          <w:szCs w:val="22"/>
        </w:rPr>
        <w:t>nero de 2022.” (Sic)</w:t>
      </w:r>
    </w:p>
    <w:p w:rsidR="0019655B" w:rsidRDefault="0066199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00457/METEPEC/IP/2022:</w:t>
      </w:r>
    </w:p>
    <w:p w:rsidR="0019655B" w:rsidRDefault="00661999">
      <w:pPr>
        <w:spacing w:before="240" w:after="240"/>
        <w:ind w:right="900"/>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i/>
          <w:color w:val="000000"/>
          <w:sz w:val="22"/>
          <w:szCs w:val="22"/>
          <w:highlight w:val="white"/>
        </w:rPr>
        <w:lastRenderedPageBreak/>
        <w:t>“Se solicita copia de las listas de asistencia o bitácora del checador de ingreso y salida de todas las áreas del 6 de enero de 2022.” (Sic)</w:t>
      </w:r>
    </w:p>
    <w:p w:rsidR="0019655B" w:rsidRDefault="0066199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00456/METEPEC/IP/2022:</w:t>
      </w:r>
    </w:p>
    <w:p w:rsidR="0019655B" w:rsidRDefault="00661999">
      <w:pPr>
        <w:spacing w:before="240" w:after="240"/>
        <w:ind w:right="900"/>
        <w:jc w:val="both"/>
        <w:rPr>
          <w:rFonts w:ascii="Palatino Linotype" w:eastAsia="Palatino Linotype" w:hAnsi="Palatino Linotype" w:cs="Palatino Linotype"/>
          <w:i/>
          <w:color w:val="000000"/>
          <w:sz w:val="22"/>
          <w:szCs w:val="22"/>
          <w:highlight w:val="white"/>
        </w:rPr>
      </w:pPr>
      <w:r>
        <w:rPr>
          <w:rFonts w:ascii="Palatino Linotype" w:eastAsia="Palatino Linotype" w:hAnsi="Palatino Linotype" w:cs="Palatino Linotype"/>
          <w:i/>
          <w:color w:val="000000"/>
          <w:sz w:val="22"/>
          <w:szCs w:val="22"/>
          <w:highlight w:val="white"/>
        </w:rPr>
        <w:t>“Se solicita copia de las listas de asistencia de todas las áreas del 6 de enero de 2022.” (Sic)</w:t>
      </w:r>
    </w:p>
    <w:p w:rsidR="0019655B" w:rsidRDefault="00661999">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00658/METEPEC/IP/2022:</w:t>
      </w:r>
    </w:p>
    <w:p w:rsidR="0019655B" w:rsidRDefault="00661999">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solicita copia de las listas de asistencia o bitácoras de checadores de todas las dependencias del 10 de enero de 2022.” (Sic)</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9655B" w:rsidRDefault="0019655B">
      <w:pPr>
        <w:spacing w:line="360" w:lineRule="auto"/>
        <w:jc w:val="both"/>
        <w:rPr>
          <w:rFonts w:ascii="Palatino Linotype" w:eastAsia="Palatino Linotype" w:hAnsi="Palatino Linotype" w:cs="Palatino Linotype"/>
        </w:rPr>
      </w:pPr>
    </w:p>
    <w:p w:rsidR="0019655B" w:rsidRDefault="00661999">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prórroga para atender sus solicitudes de información, medularmente en los siguientes términos: </w:t>
      </w:r>
    </w:p>
    <w:p w:rsidR="0019655B" w:rsidRDefault="0066199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19655B" w:rsidRDefault="0066199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19655B" w:rsidRDefault="0066199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Lic. Gerardo Arturo Ozuna Martínez</w:t>
      </w:r>
    </w:p>
    <w:p w:rsidR="0019655B" w:rsidRDefault="0066199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rsidR="0019655B" w:rsidRDefault="00661999">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19655B" w:rsidRDefault="00661999">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 xml:space="preserve">Consistente en el acta de la Primera Sesión Extraordinaria del Comité de Transparencia del Ayuntamiento de Metepec, Estado de México, celebrada el 21 de enero de 2022, mediante la cual se aprobó la ampliación de un plazo de 7 días para la atención de la solicitud de información a la que recayó el presente recurso de revisión: </w:t>
      </w:r>
    </w:p>
    <w:p w:rsidR="0019655B" w:rsidRDefault="00661999">
      <w:pPr>
        <w:spacing w:before="240" w:after="240" w:line="360" w:lineRule="auto"/>
        <w:ind w:right="49"/>
        <w:jc w:val="both"/>
        <w:rPr>
          <w:rFonts w:ascii="Palatino Linotype" w:eastAsia="Palatino Linotype" w:hAnsi="Palatino Linotype" w:cs="Palatino Linotype"/>
          <w:b/>
        </w:rPr>
      </w:pPr>
      <w:r>
        <w:object w:dxaOrig="8398" w:dyaOrig="6026" w14:anchorId="29DEE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301.15pt" o:ole="">
            <v:imagedata r:id="rId8" o:title=""/>
          </v:shape>
          <o:OLEObject Type="Embed" ProgID="PBrush" ShapeID="_x0000_i1025" DrawAspect="Content" ObjectID="_1715066265" r:id="rId9"/>
        </w:object>
      </w:r>
    </w:p>
    <w:p w:rsidR="0019655B" w:rsidRDefault="00661999">
      <w:pPr>
        <w:spacing w:before="240" w:after="240" w:line="360" w:lineRule="auto"/>
        <w:ind w:right="49"/>
        <w:jc w:val="both"/>
      </w:pPr>
      <w:r>
        <w:object w:dxaOrig="8277" w:dyaOrig="11217" w14:anchorId="6B6742C3">
          <v:shape id="_x0000_i1026" type="#_x0000_t75" style="width:414.45pt;height:560.95pt" o:ole="">
            <v:imagedata r:id="rId10" o:title=""/>
          </v:shape>
          <o:OLEObject Type="Embed" ProgID="PBrush" ShapeID="_x0000_i1026" DrawAspect="Content" ObjectID="_1715066266" r:id="rId11"/>
        </w:object>
      </w:r>
    </w:p>
    <w:p w:rsidR="0019655B" w:rsidRDefault="00661999">
      <w:pPr>
        <w:spacing w:before="240" w:after="240" w:line="360" w:lineRule="auto"/>
        <w:ind w:right="49"/>
        <w:jc w:val="both"/>
        <w:rPr>
          <w:rFonts w:ascii="Palatino Linotype" w:eastAsia="Palatino Linotype" w:hAnsi="Palatino Linotype" w:cs="Palatino Linotype"/>
          <w:b/>
        </w:rPr>
      </w:pPr>
      <w:r>
        <w:object w:dxaOrig="8313" w:dyaOrig="10286" w14:anchorId="5470A9EA">
          <v:shape id="_x0000_i1027" type="#_x0000_t75" style="width:416.35pt;height:514pt" o:ole="">
            <v:imagedata r:id="rId12" o:title=""/>
          </v:shape>
          <o:OLEObject Type="Embed" ProgID="PBrush" ShapeID="_x0000_i1027" DrawAspect="Content" ObjectID="_1715066267" r:id="rId13"/>
        </w:object>
      </w:r>
    </w:p>
    <w:p w:rsidR="0019655B" w:rsidRDefault="0019655B">
      <w:pPr>
        <w:spacing w:before="240" w:after="240" w:line="360" w:lineRule="auto"/>
        <w:ind w:right="49"/>
        <w:jc w:val="both"/>
        <w:rPr>
          <w:rFonts w:ascii="Palatino Linotype" w:eastAsia="Palatino Linotype" w:hAnsi="Palatino Linotype" w:cs="Palatino Linotype"/>
          <w:b/>
        </w:rPr>
      </w:pPr>
    </w:p>
    <w:p w:rsidR="0019655B" w:rsidRDefault="0019655B">
      <w:pPr>
        <w:spacing w:before="240" w:after="240" w:line="360" w:lineRule="auto"/>
        <w:ind w:right="49"/>
        <w:jc w:val="both"/>
        <w:rPr>
          <w:rFonts w:ascii="Palatino Linotype" w:eastAsia="Palatino Linotype" w:hAnsi="Palatino Linotype" w:cs="Palatino Linotype"/>
          <w:b/>
        </w:rPr>
      </w:pPr>
    </w:p>
    <w:p w:rsidR="0019655B" w:rsidRDefault="00661999">
      <w:pPr>
        <w:spacing w:before="240" w:after="240" w:line="360" w:lineRule="auto"/>
        <w:ind w:right="49"/>
        <w:jc w:val="both"/>
        <w:rPr>
          <w:rFonts w:ascii="Palatino Linotype" w:eastAsia="Palatino Linotype" w:hAnsi="Palatino Linotype" w:cs="Palatino Linotype"/>
          <w:b/>
        </w:rPr>
      </w:pPr>
      <w:r>
        <w:object w:dxaOrig="8313" w:dyaOrig="10540" w14:anchorId="4FABBA74">
          <v:shape id="_x0000_i1028" type="#_x0000_t75" style="width:416.35pt;height:527.8pt" o:ole="">
            <v:imagedata r:id="rId14" o:title=""/>
          </v:shape>
          <o:OLEObject Type="Embed" ProgID="PBrush" ShapeID="_x0000_i1028" DrawAspect="Content" ObjectID="_1715066268" r:id="rId15"/>
        </w:object>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3302000</wp:posOffset>
                </wp:positionH>
                <wp:positionV relativeFrom="paragraph">
                  <wp:posOffset>1663700</wp:posOffset>
                </wp:positionV>
                <wp:extent cx="1238250" cy="198541"/>
                <wp:effectExtent l="0" t="0" r="0" b="0"/>
                <wp:wrapNone/>
                <wp:docPr id="40" name="Rectángulo 40"/>
                <wp:cNvGraphicFramePr/>
                <a:graphic xmlns:a="http://schemas.openxmlformats.org/drawingml/2006/main">
                  <a:graphicData uri="http://schemas.microsoft.com/office/word/2010/wordprocessingShape">
                    <wps:wsp>
                      <wps:cNvSpPr/>
                      <wps:spPr>
                        <a:xfrm>
                          <a:off x="4755450" y="3709305"/>
                          <a:ext cx="1181100" cy="141391"/>
                        </a:xfrm>
                        <a:prstGeom prst="rect">
                          <a:avLst/>
                        </a:prstGeom>
                        <a:noFill/>
                        <a:ln w="28575" cap="flat" cmpd="sng">
                          <a:solidFill>
                            <a:srgbClr val="002060"/>
                          </a:solidFill>
                          <a:prstDash val="solid"/>
                          <a:round/>
                          <a:headEnd type="none" w="sm" len="sm"/>
                          <a:tailEnd type="none" w="sm" len="sm"/>
                        </a:ln>
                      </wps:spPr>
                      <wps:txbx>
                        <w:txbxContent>
                          <w:p w:rsidR="0019655B" w:rsidRDefault="0019655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1663700</wp:posOffset>
                </wp:positionV>
                <wp:extent cx="1238250" cy="198541"/>
                <wp:effectExtent b="0" l="0" r="0" t="0"/>
                <wp:wrapNone/>
                <wp:docPr id="40"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1238250" cy="198541"/>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165100</wp:posOffset>
                </wp:positionH>
                <wp:positionV relativeFrom="paragraph">
                  <wp:posOffset>1778000</wp:posOffset>
                </wp:positionV>
                <wp:extent cx="2235807" cy="221974"/>
                <wp:effectExtent l="0" t="0" r="0" b="0"/>
                <wp:wrapNone/>
                <wp:docPr id="39" name="Rectángulo 39"/>
                <wp:cNvGraphicFramePr/>
                <a:graphic xmlns:a="http://schemas.openxmlformats.org/drawingml/2006/main">
                  <a:graphicData uri="http://schemas.microsoft.com/office/word/2010/wordprocessingShape">
                    <wps:wsp>
                      <wps:cNvSpPr/>
                      <wps:spPr>
                        <a:xfrm>
                          <a:off x="4256672" y="3697588"/>
                          <a:ext cx="2178657" cy="164824"/>
                        </a:xfrm>
                        <a:prstGeom prst="rect">
                          <a:avLst/>
                        </a:prstGeom>
                        <a:noFill/>
                        <a:ln w="28575" cap="flat" cmpd="sng">
                          <a:solidFill>
                            <a:srgbClr val="002060"/>
                          </a:solidFill>
                          <a:prstDash val="solid"/>
                          <a:round/>
                          <a:headEnd type="none" w="sm" len="sm"/>
                          <a:tailEnd type="none" w="sm" len="sm"/>
                        </a:ln>
                      </wps:spPr>
                      <wps:txbx>
                        <w:txbxContent>
                          <w:p w:rsidR="0019655B" w:rsidRDefault="0019655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1778000</wp:posOffset>
                </wp:positionV>
                <wp:extent cx="2235807" cy="221974"/>
                <wp:effectExtent b="0" l="0" r="0" t="0"/>
                <wp:wrapNone/>
                <wp:docPr id="39"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235807" cy="221974"/>
                        </a:xfrm>
                        <a:prstGeom prst="rect"/>
                        <a:ln/>
                      </pic:spPr>
                    </pic:pic>
                  </a:graphicData>
                </a:graphic>
              </wp:anchor>
            </w:drawing>
          </mc:Fallback>
        </mc:AlternateContent>
      </w:r>
    </w:p>
    <w:p w:rsidR="0019655B" w:rsidRDefault="00661999">
      <w:pPr>
        <w:spacing w:before="240" w:after="240" w:line="360" w:lineRule="auto"/>
        <w:jc w:val="both"/>
        <w:rPr>
          <w:rFonts w:ascii="Palatino Linotype" w:eastAsia="Palatino Linotype" w:hAnsi="Palatino Linotype" w:cs="Palatino Linotype"/>
          <w:b/>
        </w:rPr>
      </w:pPr>
      <w:r>
        <w:rPr>
          <w:noProof/>
          <w:lang w:val="en-US" w:eastAsia="en-US"/>
        </w:rPr>
        <w:lastRenderedPageBreak/>
        <w:drawing>
          <wp:inline distT="0" distB="0" distL="0" distR="0">
            <wp:extent cx="5502069" cy="3117839"/>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35710" t="43343" r="20510"/>
                    <a:stretch>
                      <a:fillRect/>
                    </a:stretch>
                  </pic:blipFill>
                  <pic:spPr>
                    <a:xfrm>
                      <a:off x="0" y="0"/>
                      <a:ext cx="5502069" cy="3117839"/>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1524000</wp:posOffset>
                </wp:positionH>
                <wp:positionV relativeFrom="paragraph">
                  <wp:posOffset>711200</wp:posOffset>
                </wp:positionV>
                <wp:extent cx="1238250" cy="198541"/>
                <wp:effectExtent l="0" t="0" r="0" b="0"/>
                <wp:wrapNone/>
                <wp:docPr id="41" name="Rectángulo 41"/>
                <wp:cNvGraphicFramePr/>
                <a:graphic xmlns:a="http://schemas.openxmlformats.org/drawingml/2006/main">
                  <a:graphicData uri="http://schemas.microsoft.com/office/word/2010/wordprocessingShape">
                    <wps:wsp>
                      <wps:cNvSpPr/>
                      <wps:spPr>
                        <a:xfrm>
                          <a:off x="4755450" y="3709305"/>
                          <a:ext cx="1181100" cy="141391"/>
                        </a:xfrm>
                        <a:prstGeom prst="rect">
                          <a:avLst/>
                        </a:prstGeom>
                        <a:noFill/>
                        <a:ln w="28575" cap="flat" cmpd="sng">
                          <a:solidFill>
                            <a:srgbClr val="002060"/>
                          </a:solidFill>
                          <a:prstDash val="solid"/>
                          <a:round/>
                          <a:headEnd type="none" w="sm" len="sm"/>
                          <a:tailEnd type="none" w="sm" len="sm"/>
                        </a:ln>
                      </wps:spPr>
                      <wps:txbx>
                        <w:txbxContent>
                          <w:p w:rsidR="0019655B" w:rsidRDefault="0019655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711200</wp:posOffset>
                </wp:positionV>
                <wp:extent cx="1238250" cy="198541"/>
                <wp:effectExtent b="0" l="0" r="0" t="0"/>
                <wp:wrapNone/>
                <wp:docPr id="41"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1238250" cy="198541"/>
                        </a:xfrm>
                        <a:prstGeom prst="rect"/>
                        <a:ln/>
                      </pic:spPr>
                    </pic:pic>
                  </a:graphicData>
                </a:graphic>
              </wp:anchor>
            </w:drawing>
          </mc:Fallback>
        </mc:AlternateContent>
      </w:r>
    </w:p>
    <w:p w:rsidR="0019655B" w:rsidRDefault="0066199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3. Respuestas. </w:t>
      </w:r>
      <w:r>
        <w:rPr>
          <w:rFonts w:ascii="Palatino Linotype" w:eastAsia="Palatino Linotype" w:hAnsi="Palatino Linotype" w:cs="Palatino Linotype"/>
          <w:highlight w:val="white"/>
        </w:rPr>
        <w:t xml:space="preserve">Con fecha diez y doce de febrero de dos mil veintidós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envió sus respuestas a las solicitudes de acceso a la información a través del SAIMEX, la cual versa como sigue:</w:t>
      </w:r>
    </w:p>
    <w:p w:rsidR="0019655B" w:rsidRDefault="00661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00458/METEPEC/IP/2022</w:t>
      </w:r>
      <w:r>
        <w:rPr>
          <w:rFonts w:ascii="Palatino Linotype" w:eastAsia="Palatino Linotype" w:hAnsi="Palatino Linotype" w:cs="Palatino Linotype"/>
        </w:rPr>
        <w:t xml:space="preserve">: </w:t>
      </w:r>
    </w:p>
    <w:p w:rsidR="0019655B" w:rsidRDefault="0066199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SOLICITANTE P R E S E N T E. En respuesta a la solicitud número 00458/METEPEC/IP/2022,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w:t>
      </w:r>
      <w:r>
        <w:rPr>
          <w:rFonts w:ascii="Palatino Linotype" w:eastAsia="Palatino Linotype" w:hAnsi="Palatino Linotype" w:cs="Palatino Linotype"/>
          <w:i/>
          <w:color w:val="000000"/>
          <w:sz w:val="22"/>
          <w:szCs w:val="22"/>
        </w:rPr>
        <w:lastRenderedPageBreak/>
        <w:t>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Gerardo Arturo Ozuna Martínez” (Sic)</w:t>
      </w:r>
    </w:p>
    <w:p w:rsidR="0019655B" w:rsidRDefault="0019655B">
      <w:pPr>
        <w:ind w:left="851" w:right="902"/>
        <w:jc w:val="both"/>
        <w:rPr>
          <w:rFonts w:ascii="Palatino Linotype" w:eastAsia="Palatino Linotype" w:hAnsi="Palatino Linotype" w:cs="Palatino Linotype"/>
          <w:i/>
          <w:color w:val="000000"/>
          <w:sz w:val="22"/>
          <w:szCs w:val="22"/>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denominado “</w:t>
      </w:r>
      <w:hyperlink r:id="rId20">
        <w:r>
          <w:rPr>
            <w:rFonts w:ascii="Palatino Linotype" w:eastAsia="Palatino Linotype" w:hAnsi="Palatino Linotype" w:cs="Palatino Linotype"/>
          </w:rPr>
          <w:t>Folio 0458 2022.pdf</w:t>
        </w:r>
      </w:hyperlink>
      <w:r>
        <w:rPr>
          <w:rFonts w:ascii="Palatino Linotype" w:eastAsia="Palatino Linotype" w:hAnsi="Palatino Linotype" w:cs="Palatino Linotype"/>
        </w:rPr>
        <w:t xml:space="preserve">”, el cual contiene el oficio número DA/0570/2022, por medio del cual la Dirección de Administración informó que con la información proporcionada por la Subdirección de Recursos Humanos, que debido al inicio de la administración al día de hoy, </w:t>
      </w:r>
      <w:r>
        <w:rPr>
          <w:rFonts w:ascii="Palatino Linotype" w:eastAsia="Palatino Linotype" w:hAnsi="Palatino Linotype" w:cs="Palatino Linotype"/>
          <w:b/>
        </w:rPr>
        <w:t>el área se encuentra definiendo el formato oficial de listas de asistencias</w:t>
      </w:r>
      <w:r>
        <w:rPr>
          <w:rFonts w:ascii="Palatino Linotype" w:eastAsia="Palatino Linotype" w:hAnsi="Palatino Linotype" w:cs="Palatino Linotype"/>
        </w:rPr>
        <w:t xml:space="preserve">, motivo por el cual no es posible atender de favorable su solicitud, conforme al fundamento legal que señaló en su respuesta. </w:t>
      </w:r>
    </w:p>
    <w:p w:rsidR="0019655B" w:rsidRDefault="0019655B">
      <w:pPr>
        <w:spacing w:line="360" w:lineRule="auto"/>
        <w:jc w:val="both"/>
        <w:rPr>
          <w:rFonts w:ascii="Palatino Linotype" w:eastAsia="Palatino Linotype" w:hAnsi="Palatino Linotype" w:cs="Palatino Linotype"/>
        </w:rPr>
      </w:pPr>
    </w:p>
    <w:p w:rsidR="0019655B" w:rsidRDefault="0066199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21">
        <w:r>
          <w:rPr>
            <w:rFonts w:ascii="Palatino Linotype" w:eastAsia="Palatino Linotype" w:hAnsi="Palatino Linotype" w:cs="Palatino Linotype"/>
            <w:b/>
          </w:rPr>
          <w:t>000457/METEPEC/IP/2022</w:t>
        </w:r>
      </w:hyperlink>
      <w:r>
        <w:rPr>
          <w:rFonts w:ascii="Palatino Linotype" w:eastAsia="Palatino Linotype" w:hAnsi="Palatino Linotype" w:cs="Palatino Linotype"/>
          <w:b/>
        </w:rPr>
        <w:t>:</w:t>
      </w:r>
    </w:p>
    <w:p w:rsidR="0019655B" w:rsidRDefault="0066199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SOLICITANTE P R E S E N T E. En respuesta a la solicitud número 00457/METEPEC/IP/2022,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w:t>
      </w:r>
      <w:r>
        <w:rPr>
          <w:rFonts w:ascii="Palatino Linotype" w:eastAsia="Palatino Linotype" w:hAnsi="Palatino Linotype" w:cs="Palatino Linotype"/>
          <w:i/>
          <w:color w:val="000000"/>
          <w:sz w:val="22"/>
          <w:szCs w:val="22"/>
        </w:rPr>
        <w:lastRenderedPageBreak/>
        <w:t>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Gerardo Arturo Ozuna Martínez” (Sic)</w:t>
      </w:r>
    </w:p>
    <w:p w:rsidR="0019655B" w:rsidRDefault="0019655B">
      <w:pPr>
        <w:ind w:left="851" w:right="902"/>
        <w:jc w:val="both"/>
        <w:rPr>
          <w:rFonts w:ascii="Palatino Linotype" w:eastAsia="Palatino Linotype" w:hAnsi="Palatino Linotype" w:cs="Palatino Linotype"/>
          <w:i/>
          <w:sz w:val="22"/>
          <w:szCs w:val="22"/>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el SUJETO OBLIGADO, no adjuntó ningún archivo a su respuesta. </w:t>
      </w:r>
    </w:p>
    <w:p w:rsidR="0019655B" w:rsidRDefault="00661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22">
        <w:r>
          <w:rPr>
            <w:rFonts w:ascii="Palatino Linotype" w:eastAsia="Palatino Linotype" w:hAnsi="Palatino Linotype" w:cs="Palatino Linotype"/>
            <w:b/>
          </w:rPr>
          <w:t xml:space="preserve">00456/METEPEC/IP/2022 </w:t>
        </w:r>
      </w:hyperlink>
      <w:r>
        <w:rPr>
          <w:rFonts w:ascii="Palatino Linotype" w:eastAsia="Palatino Linotype" w:hAnsi="Palatino Linotype" w:cs="Palatino Linotype"/>
          <w:b/>
        </w:rPr>
        <w:t>:</w:t>
      </w:r>
    </w:p>
    <w:p w:rsidR="0019655B" w:rsidRDefault="0066199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SOLICITANTE P R E S E N T E. En respuesta a la solicitud número 00456/METEPEC/IP/2022,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Gerardo Arturo Ozuna Martínez” (Sic)</w:t>
      </w:r>
    </w:p>
    <w:p w:rsidR="0019655B" w:rsidRDefault="0019655B">
      <w:pPr>
        <w:ind w:left="851" w:right="902"/>
        <w:jc w:val="both"/>
        <w:rPr>
          <w:rFonts w:ascii="Palatino Linotype" w:eastAsia="Palatino Linotype" w:hAnsi="Palatino Linotype" w:cs="Palatino Linotype"/>
          <w:i/>
          <w:sz w:val="22"/>
          <w:szCs w:val="22"/>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solicitud el archivo electrónico denominado </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23">
        <w:r>
          <w:rPr>
            <w:rFonts w:ascii="Palatino Linotype" w:eastAsia="Palatino Linotype" w:hAnsi="Palatino Linotype" w:cs="Palatino Linotype"/>
          </w:rPr>
          <w:t>Folio 0456 2022.pdf</w:t>
        </w:r>
      </w:hyperlink>
      <w:r>
        <w:rPr>
          <w:rFonts w:ascii="Palatino Linotype" w:eastAsia="Palatino Linotype" w:hAnsi="Palatino Linotype" w:cs="Palatino Linotype"/>
        </w:rPr>
        <w:t>”, el cual contiene el oficio número DA/0568/2022, por medio del cual la Dirección de Administración informó que con la información proporcionada por la Subdirección de Recursos Humanos, que debido al inicio de la administración al día de hoy, e</w:t>
      </w:r>
      <w:r>
        <w:rPr>
          <w:rFonts w:ascii="Palatino Linotype" w:eastAsia="Palatino Linotype" w:hAnsi="Palatino Linotype" w:cs="Palatino Linotype"/>
          <w:b/>
        </w:rPr>
        <w:t>l área se encuentra definiendo el formato oficial de listas de asistencias</w:t>
      </w:r>
      <w:r>
        <w:rPr>
          <w:rFonts w:ascii="Palatino Linotype" w:eastAsia="Palatino Linotype" w:hAnsi="Palatino Linotype" w:cs="Palatino Linotype"/>
        </w:rPr>
        <w:t xml:space="preserve">, motivo por el cual no es posible atender de favorable su solicitud, conforme al fundamento legal que señaló en su respuesta. </w:t>
      </w:r>
    </w:p>
    <w:p w:rsidR="0019655B" w:rsidRDefault="00661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00658/METEPEC/IP/2022:</w:t>
      </w:r>
    </w:p>
    <w:p w:rsidR="0019655B" w:rsidRDefault="00661999">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SOLICITANTE P R E S E N T E. En respuesta a la solicitud número 00658/METEPEC/IP/2022,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655B" w:rsidRDefault="00661999">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Gerardo Arturo Ozuna Martínez” (Sic)</w:t>
      </w:r>
    </w:p>
    <w:p w:rsidR="0019655B" w:rsidRDefault="0019655B">
      <w:pPr>
        <w:ind w:left="851" w:right="902"/>
        <w:jc w:val="both"/>
        <w:rPr>
          <w:rFonts w:ascii="Palatino Linotype" w:eastAsia="Palatino Linotype" w:hAnsi="Palatino Linotype" w:cs="Palatino Linotype"/>
          <w:i/>
          <w:sz w:val="22"/>
          <w:szCs w:val="22"/>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solicitud el archivo electrónico denominado </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24">
        <w:r>
          <w:rPr>
            <w:rFonts w:ascii="Palatino Linotype" w:eastAsia="Palatino Linotype" w:hAnsi="Palatino Linotype" w:cs="Palatino Linotype"/>
          </w:rPr>
          <w:t>folio 00658 2022.pdf</w:t>
        </w:r>
      </w:hyperlink>
      <w:r>
        <w:rPr>
          <w:rFonts w:ascii="Palatino Linotype" w:eastAsia="Palatino Linotype" w:hAnsi="Palatino Linotype" w:cs="Palatino Linotype"/>
        </w:rPr>
        <w:t xml:space="preserve">”, el cual contiene el oficio número DA/0632/2022, por medio del cual la Dirección de Administración informó que con la información proporcionada por la Subdirección de Recursos Humanos, que debido al inicio de la administración al día de hoy, el área se encuentra definiendo el formato oficial de listas de asistencias, motivo por el cual no es posible atender de favorable su solicitud, conforme al fundamento legal que señaló en su respuesta. </w:t>
      </w:r>
    </w:p>
    <w:p w:rsidR="0019655B" w:rsidRDefault="0019655B">
      <w:pPr>
        <w:spacing w:line="360" w:lineRule="auto"/>
        <w:jc w:val="both"/>
        <w:rPr>
          <w:rFonts w:ascii="Palatino Linotype" w:eastAsia="Palatino Linotype" w:hAnsi="Palatino Linotype" w:cs="Palatino Linotype"/>
          <w:b/>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 los recursos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veintiocho de febrero de dos mil veintidós, a través del cual expresó lo mismo en cada recurso, como sigue:</w:t>
      </w:r>
    </w:p>
    <w:p w:rsidR="0019655B" w:rsidRDefault="00661999">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19655B" w:rsidRDefault="0019655B">
      <w:pPr>
        <w:ind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19655B" w:rsidRDefault="00661999">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sz w:val="22"/>
          <w:szCs w:val="22"/>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w:t>
      </w:r>
      <w:r>
        <w:rPr>
          <w:rFonts w:ascii="Palatino Linotype" w:eastAsia="Palatino Linotype" w:hAnsi="Palatino Linotype" w:cs="Palatino Linotype"/>
          <w:i/>
          <w:sz w:val="22"/>
          <w:szCs w:val="22"/>
        </w:rPr>
        <w:lastRenderedPageBreak/>
        <w:t xml:space="preserve">México y Municipios </w:t>
      </w:r>
      <w:r>
        <w:rPr>
          <w:rFonts w:ascii="Palatino Linotype" w:eastAsia="Palatino Linotype" w:hAnsi="Palatino Linotype" w:cs="Palatino Linotype"/>
          <w:b/>
          <w:i/>
          <w:sz w:val="22"/>
          <w:szCs w:val="22"/>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b/>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w:t>
      </w:r>
      <w:r>
        <w:rPr>
          <w:rFonts w:ascii="Palatino Linotype" w:eastAsia="Palatino Linotype" w:hAnsi="Palatino Linotype" w:cs="Palatino Linotype"/>
          <w:i/>
          <w:sz w:val="22"/>
          <w:szCs w:val="22"/>
        </w:rPr>
        <w:t>,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19655B" w:rsidRDefault="0019655B">
      <w:pPr>
        <w:spacing w:before="240" w:line="360" w:lineRule="auto"/>
        <w:jc w:val="both"/>
        <w:rPr>
          <w:rFonts w:ascii="Palatino Linotype" w:eastAsia="Palatino Linotype" w:hAnsi="Palatino Linotype" w:cs="Palatino Linotype"/>
          <w:b/>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número </w:t>
      </w:r>
      <w:r>
        <w:rPr>
          <w:rFonts w:ascii="Palatino Linotype" w:eastAsia="Palatino Linotype" w:hAnsi="Palatino Linotype" w:cs="Palatino Linotype"/>
          <w:b/>
        </w:rPr>
        <w:t xml:space="preserve">02159/INFOEM/IP/RR/2022 y 02364/INFOEM/IP/RR/2022,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02160/INFOEM/IP/RR/2022,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y el recurso de revisión número </w:t>
      </w:r>
      <w:r>
        <w:rPr>
          <w:rFonts w:ascii="Palatino Linotype" w:eastAsia="Palatino Linotype" w:hAnsi="Palatino Linotype" w:cs="Palatino Linotype"/>
          <w:b/>
        </w:rPr>
        <w:t xml:space="preserve">02161/INFOEM/IP/RR/2022,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Luis Gustavo Parra Noriega</w:t>
      </w:r>
      <w:r>
        <w:rPr>
          <w:rFonts w:ascii="Palatino Linotype" w:eastAsia="Palatino Linotype" w:hAnsi="Palatino Linotype" w:cs="Palatino Linotype"/>
        </w:rPr>
        <w:t>, para su análisis, estudio, elaboración del proyecto y presentación ante el Pleno de este Instituto.</w:t>
      </w:r>
    </w:p>
    <w:p w:rsidR="0019655B" w:rsidRDefault="0019655B">
      <w:pPr>
        <w:spacing w:after="40" w:line="360" w:lineRule="auto"/>
        <w:jc w:val="both"/>
        <w:rPr>
          <w:rFonts w:ascii="Palatino Linotype" w:eastAsia="Palatino Linotype" w:hAnsi="Palatino Linotype" w:cs="Palatino Linotype"/>
        </w:rPr>
      </w:pPr>
    </w:p>
    <w:p w:rsidR="0019655B" w:rsidRDefault="00661999">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Novena Sesión Ordinaria del Pleno de este Instituto de Transparencia, Acceso a la Información Pública y Protección de Datos Personales del Estado de México y Municipios, celebrada en fecha nueve de marzo de dos mil veintiuno,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19655B" w:rsidRDefault="00661999">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19655B" w:rsidRDefault="0019655B">
      <w:pPr>
        <w:ind w:right="1325"/>
        <w:jc w:val="both"/>
        <w:rPr>
          <w:rFonts w:ascii="Palatino Linotype" w:eastAsia="Palatino Linotype" w:hAnsi="Palatino Linotype" w:cs="Palatino Linotype"/>
          <w:i/>
          <w:sz w:val="22"/>
          <w:szCs w:val="22"/>
        </w:rPr>
      </w:pPr>
    </w:p>
    <w:p w:rsidR="0019655B" w:rsidRDefault="00661999">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19655B" w:rsidRDefault="0019655B">
      <w:pPr>
        <w:spacing w:after="240" w:line="360" w:lineRule="auto"/>
        <w:jc w:val="both"/>
        <w:rPr>
          <w:rFonts w:ascii="Palatino Linotype" w:eastAsia="Palatino Linotype" w:hAnsi="Palatino Linotype" w:cs="Palatino Linotype"/>
          <w:b/>
        </w:rPr>
      </w:pP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de los recursos de revisión: </w:t>
      </w:r>
      <w:r>
        <w:rPr>
          <w:rFonts w:ascii="Palatino Linotype" w:eastAsia="Palatino Linotype" w:hAnsi="Palatino Linotype" w:cs="Palatino Linotype"/>
        </w:rPr>
        <w:t xml:space="preserve">En fechas cuatro y siete de marzo de dos mil veintidós,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19655B" w:rsidRDefault="0066199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 Manifestaciones</w:t>
      </w:r>
      <w:r>
        <w:rPr>
          <w:rFonts w:ascii="Palatino Linotype" w:eastAsia="Palatino Linotype" w:hAnsi="Palatino Linotype" w:cs="Palatino Linotype"/>
          <w:color w:val="000000"/>
        </w:rPr>
        <w:t xml:space="preserve">: De las constancias que integran los expedientes de los Recursos de Revisión </w:t>
      </w:r>
      <w:r>
        <w:rPr>
          <w:rFonts w:ascii="Palatino Linotype" w:eastAsia="Palatino Linotype" w:hAnsi="Palatino Linotype" w:cs="Palatino Linotype"/>
          <w:b/>
          <w:color w:val="000000"/>
          <w:sz w:val="22"/>
          <w:szCs w:val="22"/>
        </w:rPr>
        <w:t xml:space="preserve">02159/INFOEM/IP/RR/2022 y 02160/INFOEM/IP/RR/2022, </w:t>
      </w:r>
      <w:r>
        <w:rPr>
          <w:rFonts w:ascii="Palatino Linotype" w:eastAsia="Palatino Linotype" w:hAnsi="Palatino Linotype" w:cs="Palatino Linotype"/>
          <w:color w:val="000000"/>
        </w:rPr>
        <w:t>se advierte que el recurrente fue omiso en ofrecer pruebas o expresar alegatos; en términos del artículo 185 fracciones II de la ley que nos ocupa. Por su parte,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igual forma, fue omiso en presentar el Informe Justificado correspondiente.</w:t>
      </w:r>
    </w:p>
    <w:p w:rsidR="0019655B" w:rsidRDefault="0066199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los Recursos de Revisión </w:t>
      </w:r>
      <w:r>
        <w:rPr>
          <w:rFonts w:ascii="Palatino Linotype" w:eastAsia="Palatino Linotype" w:hAnsi="Palatino Linotype" w:cs="Palatino Linotype"/>
          <w:b/>
          <w:color w:val="000000"/>
        </w:rPr>
        <w:t xml:space="preserve">02161/INFOEM/IP/RR/2022 y 02364/INFOEM/IP/RR/2022, </w:t>
      </w:r>
      <w:r>
        <w:rPr>
          <w:rFonts w:ascii="Palatino Linotype" w:eastAsia="Palatino Linotype" w:hAnsi="Palatino Linotype" w:cs="Palatino Linotype"/>
          <w:color w:val="000000"/>
        </w:rPr>
        <w:t>rindió sus informes justificados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 través de los siguientes archivos electrónicos “</w:t>
      </w:r>
      <w:hyperlink r:id="rId25">
        <w:r>
          <w:rPr>
            <w:rFonts w:ascii="Palatino Linotype" w:eastAsia="Palatino Linotype" w:hAnsi="Palatino Linotype" w:cs="Palatino Linotype"/>
            <w:color w:val="000000"/>
          </w:rPr>
          <w:t>recurso 456 v.pdf</w:t>
        </w:r>
      </w:hyperlink>
      <w:r>
        <w:rPr>
          <w:rFonts w:ascii="Palatino Linotype" w:eastAsia="Palatino Linotype" w:hAnsi="Palatino Linotype" w:cs="Palatino Linotype"/>
          <w:color w:val="000000"/>
        </w:rPr>
        <w:t>” y “</w:t>
      </w:r>
      <w:hyperlink r:id="rId26">
        <w:r>
          <w:rPr>
            <w:rFonts w:ascii="Palatino Linotype" w:eastAsia="Palatino Linotype" w:hAnsi="Palatino Linotype" w:cs="Palatino Linotype"/>
            <w:color w:val="000000"/>
          </w:rPr>
          <w:t>INF JUS 658.pdf</w:t>
        </w:r>
      </w:hyperlink>
      <w:r>
        <w:rPr>
          <w:rFonts w:ascii="Palatino Linotype" w:eastAsia="Palatino Linotype" w:hAnsi="Palatino Linotype" w:cs="Palatino Linotype"/>
          <w:color w:val="000000"/>
        </w:rPr>
        <w:t xml:space="preserve">”, mediante los cuales en lo medular </w:t>
      </w:r>
      <w:r>
        <w:rPr>
          <w:rFonts w:ascii="Palatino Linotype" w:eastAsia="Palatino Linotype" w:hAnsi="Palatino Linotype" w:cs="Palatino Linotype"/>
        </w:rPr>
        <w:t>confirmó</w:t>
      </w:r>
      <w:r>
        <w:rPr>
          <w:rFonts w:ascii="Palatino Linotype" w:eastAsia="Palatino Linotype" w:hAnsi="Palatino Linotype" w:cs="Palatino Linotype"/>
          <w:color w:val="000000"/>
        </w:rPr>
        <w:t xml:space="preserve"> sus respuestas iniciales. </w:t>
      </w:r>
    </w:p>
    <w:p w:rsidR="0019655B" w:rsidRDefault="00661999">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En fecha once de mayo de dos mil veintidós la Comisionada ponente determinó los cierres de instrucción en términos de la fracción </w:t>
      </w:r>
      <w:r>
        <w:rPr>
          <w:rFonts w:ascii="Palatino Linotype" w:eastAsia="Palatino Linotype" w:hAnsi="Palatino Linotype" w:cs="Palatino Linotype"/>
        </w:rPr>
        <w:lastRenderedPageBreak/>
        <w:t>VI del artículo 185 de la Ley de Transparencia y Acceso a la Información Pública del Estado de México y Municipios.</w:t>
      </w:r>
    </w:p>
    <w:p w:rsidR="0019655B" w:rsidRDefault="0019655B">
      <w:pPr>
        <w:widowControl w:val="0"/>
        <w:spacing w:line="360" w:lineRule="auto"/>
        <w:jc w:val="both"/>
        <w:rPr>
          <w:rFonts w:ascii="Palatino Linotype" w:eastAsia="Palatino Linotype" w:hAnsi="Palatino Linotype" w:cs="Palatino Linotype"/>
        </w:rPr>
      </w:pPr>
    </w:p>
    <w:p w:rsidR="0019655B" w:rsidRDefault="0066199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 Ampliación del plazo.</w:t>
      </w:r>
      <w:r>
        <w:rPr>
          <w:rFonts w:ascii="Palatino Linotype" w:eastAsia="Palatino Linotype" w:hAnsi="Palatino Linotype" w:cs="Palatino Linotype"/>
        </w:rPr>
        <w:t xml:space="preserve"> En fecha once de mayo del año dos mil veintidós, con fundamento en el artículo 181, párrafo tercero de la Ley de Transparencia y Acceso a la Información Pública del Estado de México y Municipios, se acordó la ampliación del plazo para su resolución.</w:t>
      </w:r>
    </w:p>
    <w:p w:rsidR="0019655B" w:rsidRDefault="0019655B">
      <w:pPr>
        <w:widowControl w:val="0"/>
        <w:spacing w:after="240" w:line="360" w:lineRule="auto"/>
        <w:jc w:val="both"/>
        <w:rPr>
          <w:rFonts w:ascii="Palatino Linotype" w:eastAsia="Palatino Linotype" w:hAnsi="Palatino Linotype" w:cs="Palatino Linotype"/>
        </w:rPr>
      </w:pPr>
    </w:p>
    <w:p w:rsidR="0019655B" w:rsidRDefault="00661999">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19655B" w:rsidRDefault="00661999">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el solicitante en diez y doce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el veintiocho del mismo mes y año, esto es al décimo y onceavo día hábil siguiente de aquel en que tuvo conocimiento de las respuestas, respectivamente</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 los recursos se encuentra dentro de los márgenes temporales previstos en el citado precepto legal.</w:t>
      </w:r>
    </w:p>
    <w:p w:rsidR="0019655B" w:rsidRDefault="0066199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por cuanto hace a la procedibilidad de los recursos de revisión, es de suma importancia señalar que la parte recurrente se identifica como "</w:t>
      </w:r>
      <w:r>
        <w:rPr>
          <w:rFonts w:ascii="Palatino Linotype" w:eastAsia="Palatino Linotype" w:hAnsi="Palatino Linotype" w:cs="Palatino Linotype"/>
          <w:b/>
        </w:rPr>
        <w:t>no proporcionó nombre o seudónimo</w:t>
      </w:r>
      <w:r>
        <w:rPr>
          <w:rFonts w:ascii="Palatino Linotype" w:eastAsia="Palatino Linotype" w:hAnsi="Palatino Linotype" w:cs="Palatino Linotype"/>
        </w:rPr>
        <w:t xml:space="preserve"> "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9655B" w:rsidRDefault="0019655B">
      <w:pPr>
        <w:ind w:left="567" w:right="474"/>
        <w:jc w:val="both"/>
        <w:rPr>
          <w:rFonts w:ascii="Palatino Linotype" w:eastAsia="Palatino Linotype" w:hAnsi="Palatino Linotype" w:cs="Palatino Linotype"/>
          <w:i/>
        </w:rPr>
      </w:pPr>
    </w:p>
    <w:p w:rsidR="0019655B" w:rsidRDefault="00661999">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19655B" w:rsidRDefault="0019655B">
      <w:pPr>
        <w:spacing w:line="360" w:lineRule="auto"/>
        <w:jc w:val="both"/>
        <w:rPr>
          <w:i/>
          <w:color w:val="1F1F1F"/>
          <w:sz w:val="22"/>
          <w:szCs w:val="22"/>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 los recursos de revisión al rubro anotado, toda vez que se actualiza las hipótesis previstas en el artículo 179, fracción I de la ley de la materia, que a la letra dice:</w:t>
      </w:r>
    </w:p>
    <w:p w:rsidR="0019655B" w:rsidRDefault="0066199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19655B" w:rsidRDefault="0066199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r>
        <w:rPr>
          <w:rFonts w:ascii="Palatino Linotype" w:eastAsia="Palatino Linotype" w:hAnsi="Palatino Linotype" w:cs="Palatino Linotype"/>
          <w:i/>
        </w:rPr>
        <w:t xml:space="preserve"> (Sic)</w:t>
      </w:r>
    </w:p>
    <w:p w:rsidR="0019655B" w:rsidRDefault="0019655B">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19655B" w:rsidRDefault="00661999">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t xml:space="preserve">Tercero. Materia de la revisión. </w:t>
      </w:r>
      <w:r>
        <w:rPr>
          <w:rFonts w:ascii="Palatino Linotype" w:eastAsia="Palatino Linotype" w:hAnsi="Palatino Linotype" w:cs="Palatino Linotype"/>
          <w:color w:val="000000"/>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color w:val="000000"/>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color w:val="000000"/>
        </w:rPr>
        <w:t>de la parte Recurrente, o en su defecto, en caso de ser procedente, ordenar la entrega de información oportuna.</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las solicitudes de información motivo de los recursos de revisión que ahora se resuelven, se advierte que el particular requirió al </w:t>
      </w:r>
      <w:r>
        <w:rPr>
          <w:rFonts w:ascii="Palatino Linotype" w:eastAsia="Palatino Linotype" w:hAnsi="Palatino Linotype" w:cs="Palatino Linotype"/>
          <w:b/>
        </w:rPr>
        <w:t>Ayuntamiento de Metepec,</w:t>
      </w:r>
      <w:r>
        <w:rPr>
          <w:rFonts w:ascii="Palatino Linotype" w:eastAsia="Palatino Linotype" w:hAnsi="Palatino Linotype" w:cs="Palatino Linotype"/>
        </w:rPr>
        <w:t xml:space="preserve"> lo siguiente:</w:t>
      </w:r>
    </w:p>
    <w:p w:rsidR="0019655B" w:rsidRDefault="00661999">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solicita copia de las listas de asistencia o bitácora del checador de ingreso y salida de todas las áreas del 1</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color w:val="000000"/>
          <w:sz w:val="22"/>
          <w:szCs w:val="22"/>
        </w:rPr>
        <w:t xml:space="preserve"> 10 de enero de 2022.</w:t>
      </w:r>
    </w:p>
    <w:p w:rsidR="0019655B" w:rsidRDefault="0066199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Subdirección de Recursos Humanos, que debido al inicio de la administración, el área se encuentra definiendo </w:t>
      </w:r>
      <w:r>
        <w:rPr>
          <w:rFonts w:ascii="Palatino Linotype" w:eastAsia="Palatino Linotype" w:hAnsi="Palatino Linotype" w:cs="Palatino Linotype"/>
        </w:rPr>
        <w:lastRenderedPageBreak/>
        <w:t xml:space="preserve">el formato oficial de listas de asistencias, motivo por el cual no es posible atender de favorable su solicitud, conforme al fundamento legal que señaló en su respuesta. </w:t>
      </w:r>
    </w:p>
    <w:p w:rsidR="0019655B" w:rsidRDefault="0019655B">
      <w:pPr>
        <w:spacing w:line="360" w:lineRule="auto"/>
        <w:jc w:val="both"/>
        <w:rPr>
          <w:rFonts w:ascii="Palatino Linotype" w:eastAsia="Palatino Linotype" w:hAnsi="Palatino Linotype" w:cs="Palatino Linotype"/>
        </w:rPr>
      </w:pPr>
    </w:p>
    <w:p w:rsidR="0019655B" w:rsidRDefault="00661999">
      <w:pPr>
        <w:shd w:val="clear" w:color="auto" w:fill="FFFFFF"/>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las respuestas, interpone los recursos de revisión en lo medular por la negativa de la información solicitada. </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cual señaló que entregó la respuesta en tiempo y forma, y confirma  sus respuestas iniciales. </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advierten que los motivos de inconformidad acontecen parcialmente fundados para modificar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9655B" w:rsidRDefault="0066199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9655B" w:rsidRDefault="0066199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9655B" w:rsidRDefault="0066199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9655B" w:rsidRDefault="0019655B">
      <w:pPr>
        <w:spacing w:line="360" w:lineRule="auto"/>
        <w:jc w:val="both"/>
        <w:rPr>
          <w:rFonts w:ascii="Palatino Linotype" w:eastAsia="Palatino Linotype" w:hAnsi="Palatino Linotype" w:cs="Palatino Linotype"/>
        </w:rPr>
      </w:pPr>
    </w:p>
    <w:p w:rsidR="0019655B" w:rsidRDefault="0066199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9655B" w:rsidRDefault="0019655B">
      <w:pPr>
        <w:ind w:left="567" w:right="758"/>
        <w:jc w:val="both"/>
        <w:rPr>
          <w:rFonts w:ascii="Palatino Linotype" w:eastAsia="Palatino Linotype" w:hAnsi="Palatino Linotype" w:cs="Palatino Linotype"/>
          <w:i/>
          <w:sz w:val="22"/>
          <w:szCs w:val="22"/>
        </w:rPr>
      </w:pPr>
    </w:p>
    <w:p w:rsidR="0019655B" w:rsidRDefault="0066199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rsidR="0019655B" w:rsidRDefault="0019655B">
      <w:pPr>
        <w:spacing w:line="360" w:lineRule="auto"/>
        <w:ind w:right="-93"/>
        <w:jc w:val="both"/>
        <w:rPr>
          <w:rFonts w:ascii="Palatino Linotype" w:eastAsia="Palatino Linotype" w:hAnsi="Palatino Linotype" w:cs="Palatino Linotype"/>
          <w:color w:val="000000"/>
        </w:rPr>
      </w:pPr>
    </w:p>
    <w:p w:rsidR="0019655B" w:rsidRDefault="0066199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19655B" w:rsidRDefault="0019655B">
      <w:pPr>
        <w:spacing w:line="360" w:lineRule="auto"/>
        <w:ind w:right="-93"/>
        <w:jc w:val="both"/>
        <w:rPr>
          <w:rFonts w:ascii="Palatino Linotype" w:eastAsia="Palatino Linotype" w:hAnsi="Palatino Linotype" w:cs="Palatino Linotype"/>
          <w:color w:val="000000"/>
        </w:rPr>
      </w:pPr>
    </w:p>
    <w:p w:rsidR="0019655B" w:rsidRDefault="00661999">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9655B" w:rsidRDefault="0019655B">
      <w:pPr>
        <w:ind w:left="851" w:right="850"/>
        <w:jc w:val="both"/>
        <w:rPr>
          <w:rFonts w:ascii="Palatino Linotype" w:eastAsia="Palatino Linotype" w:hAnsi="Palatino Linotype" w:cs="Palatino Linotype"/>
          <w:color w:val="000000"/>
        </w:rPr>
      </w:pPr>
    </w:p>
    <w:p w:rsidR="0019655B" w:rsidRDefault="0066199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9655B" w:rsidRDefault="0066199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9655B" w:rsidRDefault="0066199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9655B" w:rsidRDefault="0066199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9655B" w:rsidRDefault="0066199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9655B" w:rsidRDefault="0019655B">
      <w:pPr>
        <w:spacing w:line="360" w:lineRule="auto"/>
        <w:ind w:right="-93"/>
        <w:jc w:val="both"/>
        <w:rPr>
          <w:rFonts w:ascii="Palatino Linotype" w:eastAsia="Palatino Linotype" w:hAnsi="Palatino Linotype" w:cs="Palatino Linotype"/>
          <w:color w:val="000000"/>
        </w:rPr>
      </w:pPr>
    </w:p>
    <w:p w:rsidR="0019655B" w:rsidRDefault="0066199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9655B" w:rsidRDefault="0019655B">
      <w:pPr>
        <w:spacing w:line="360" w:lineRule="auto"/>
        <w:jc w:val="both"/>
        <w:rPr>
          <w:rFonts w:ascii="Palatino Linotype" w:eastAsia="Palatino Linotype" w:hAnsi="Palatino Linotype" w:cs="Palatino Linotype"/>
          <w:color w:val="000000"/>
        </w:rPr>
      </w:pPr>
    </w:p>
    <w:p w:rsidR="0019655B" w:rsidRDefault="0066199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9655B" w:rsidRDefault="0019655B">
      <w:pPr>
        <w:spacing w:line="360" w:lineRule="auto"/>
        <w:ind w:right="49"/>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19655B" w:rsidRDefault="0019655B">
      <w:pPr>
        <w:ind w:left="851" w:right="899"/>
        <w:jc w:val="both"/>
        <w:rPr>
          <w:rFonts w:ascii="Palatino Linotype" w:eastAsia="Palatino Linotype" w:hAnsi="Palatino Linotype" w:cs="Palatino Linotype"/>
          <w:i/>
          <w:sz w:val="22"/>
          <w:szCs w:val="22"/>
        </w:rPr>
      </w:pPr>
    </w:p>
    <w:p w:rsidR="0019655B" w:rsidRDefault="0066199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9655B" w:rsidRDefault="0066199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9655B" w:rsidRDefault="0019655B">
      <w:pPr>
        <w:ind w:left="851" w:right="899"/>
        <w:jc w:val="both"/>
        <w:rPr>
          <w:rFonts w:ascii="Palatino Linotype" w:eastAsia="Palatino Linotype" w:hAnsi="Palatino Linotype" w:cs="Palatino Linotype"/>
          <w:sz w:val="22"/>
          <w:szCs w:val="22"/>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9655B" w:rsidRDefault="0019655B">
      <w:pPr>
        <w:ind w:left="851" w:right="899"/>
        <w:jc w:val="both"/>
        <w:rPr>
          <w:rFonts w:ascii="Palatino Linotype" w:eastAsia="Palatino Linotype" w:hAnsi="Palatino Linotype" w:cs="Palatino Linotype"/>
        </w:rPr>
      </w:pPr>
    </w:p>
    <w:p w:rsidR="0019655B" w:rsidRDefault="0066199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9655B" w:rsidRDefault="0066199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655B" w:rsidRDefault="0066199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9655B" w:rsidRDefault="0066199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9655B" w:rsidRDefault="0066199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19655B" w:rsidRDefault="0066199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655B" w:rsidRDefault="0019655B">
      <w:pPr>
        <w:spacing w:line="360" w:lineRule="auto"/>
        <w:ind w:right="-93"/>
        <w:jc w:val="both"/>
        <w:rPr>
          <w:rFonts w:ascii="Palatino Linotype" w:eastAsia="Palatino Linotype" w:hAnsi="Palatino Linotype" w:cs="Palatino Linotype"/>
          <w:color w:val="000000"/>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 reitera que la información proporcionada por el Sujeto Obligado en su respuesta, no cumple con lo establecido por los artículos 4, 12, 24 último párrafo y 162 de la Ley de Transparencia y Acceso a la Información Pública del Estado de México y Municipios, de conformidad con los puntos siguientes:</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sobre la naturaleza de la información solicita debe decirse que la Ley del Trabajo de los Servidores Públicos del Estado y Municipios, establece ciertos requisitos para tener por formalizada una relación de trabajo entre el servidor público y las entidades públicas, los que se destacan los siguiente:</w:t>
      </w: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Nombre completo del servidor público;</w:t>
      </w: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Cargo para el que es designado, fecha de inicio de sus servicios y lugar de adscripción; III. Carácter del nombramiento, ya sea de servidores públicos generales o de confianza, así como la temporalidad del mismo;</w:t>
      </w: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Remuneración correspondiente al puesto;</w:t>
      </w:r>
    </w:p>
    <w:p w:rsidR="0019655B" w:rsidRDefault="00661999">
      <w:pPr>
        <w:tabs>
          <w:tab w:val="left" w:pos="709"/>
        </w:tabs>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Jornada de trabajo;</w:t>
      </w: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Derogada;</w:t>
      </w:r>
    </w:p>
    <w:p w:rsidR="0019655B" w:rsidRDefault="00661999">
      <w:pPr>
        <w:tabs>
          <w:tab w:val="left" w:pos="709"/>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 (Sic)</w:t>
      </w: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Del anterior ordenamiento legal, se advierte que, en los nombramientos, contratos o formatos únicos de movimiento de personal, deben contener como requisitos entre otros la jornada de trabajo; es decir el periodo o espacio de tiempo por el cual el Servidor Público prestará su servicio al organismo público que se trate, lo que se robustece con lo establecido por los artículos 56 y 59 del mismo ordenamiento legal señalado en el párrafo anterior, que dispone:</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56</w:t>
      </w:r>
      <w:r>
        <w:rPr>
          <w:rFonts w:ascii="Palatino Linotype" w:eastAsia="Palatino Linotype" w:hAnsi="Palatino Linotype" w:cs="Palatino Linotype"/>
          <w:i/>
          <w:sz w:val="22"/>
          <w:szCs w:val="22"/>
        </w:rPr>
        <w:t>. Las condiciones generales de trabajo, establecerán como mínimo:</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Duración de la jornada de trabajo.</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 (Sic)</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66199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la duración de la jornada de trabajo puede ser de varias maneras las cuales se encuentran establecidas en el artículo 60, 61, 62 y 63 de la mencionada Ley de Trabajo, que literalmente señalan lo siguiente:</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60</w:t>
      </w:r>
      <w:r>
        <w:rPr>
          <w:rFonts w:ascii="Palatino Linotype" w:eastAsia="Palatino Linotype" w:hAnsi="Palatino Linotype" w:cs="Palatino Linotype"/>
          <w:i/>
          <w:sz w:val="22"/>
          <w:szCs w:val="22"/>
        </w:rPr>
        <w:t>. La jornada de trabajo puede ser diurna, nocturna o mixta, conforme a lo siguiente:</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Diurna, la comprendida entre las seis y las veinte horas;</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Nocturna, la comprendida entre las veinte y las seis horas; y </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Mixta, la que comprenda períodos de tiempo de las jornadas diurna y nocturna, siempre que el período nocturno sea menor de tres horas y media, pues en caso contrario, se considerará como jornada nocturna.” </w:t>
      </w:r>
    </w:p>
    <w:p w:rsidR="0019655B" w:rsidRDefault="00661999">
      <w:pPr>
        <w:tabs>
          <w:tab w:val="left" w:pos="709"/>
        </w:tabs>
        <w:spacing w:line="276" w:lineRule="auto"/>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61</w:t>
      </w:r>
      <w:r>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rsidR="0019655B" w:rsidRDefault="00661999">
      <w:pPr>
        <w:tabs>
          <w:tab w:val="left" w:pos="709"/>
        </w:tabs>
        <w:spacing w:line="276" w:lineRule="auto"/>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62.</w:t>
      </w:r>
      <w:r>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w:t>
      </w:r>
      <w:r>
        <w:rPr>
          <w:rFonts w:ascii="Palatino Linotype" w:eastAsia="Palatino Linotype" w:hAnsi="Palatino Linotype" w:cs="Palatino Linotype"/>
          <w:i/>
          <w:sz w:val="22"/>
          <w:szCs w:val="22"/>
        </w:rPr>
        <w:lastRenderedPageBreak/>
        <w:t xml:space="preserve">trabajo, a fin de permitir a los servidores públicos el descanso del sábado o cualquier modalidad equivalente. </w:t>
      </w:r>
    </w:p>
    <w:p w:rsidR="0019655B" w:rsidRDefault="00661999">
      <w:pPr>
        <w:tabs>
          <w:tab w:val="left" w:pos="709"/>
        </w:tabs>
        <w:spacing w:line="276" w:lineRule="auto"/>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63</w:t>
      </w:r>
      <w:r>
        <w:rPr>
          <w:rFonts w:ascii="Palatino Linotype" w:eastAsia="Palatino Linotype" w:hAnsi="Palatino Linotype" w:cs="Palatino Linotype"/>
          <w:i/>
          <w:sz w:val="22"/>
          <w:szCs w:val="22"/>
        </w:rPr>
        <w:t>.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 (Sic)</w:t>
      </w:r>
    </w:p>
    <w:p w:rsidR="0019655B" w:rsidRDefault="0019655B">
      <w:pPr>
        <w:tabs>
          <w:tab w:val="left" w:pos="709"/>
        </w:tabs>
        <w:spacing w:line="276" w:lineRule="auto"/>
        <w:ind w:left="567" w:right="618"/>
        <w:jc w:val="both"/>
        <w:rPr>
          <w:rFonts w:ascii="Palatino Linotype" w:eastAsia="Palatino Linotype" w:hAnsi="Palatino Linotype" w:cs="Palatino Linotype"/>
          <w:i/>
          <w:sz w:val="22"/>
          <w:szCs w:val="22"/>
        </w:rPr>
      </w:pPr>
    </w:p>
    <w:p w:rsidR="0019655B" w:rsidRDefault="00661999">
      <w:pPr>
        <w:tabs>
          <w:tab w:val="left" w:pos="709"/>
        </w:tabs>
        <w:spacing w:line="276" w:lineRule="auto"/>
        <w:ind w:left="700"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V</w:t>
      </w:r>
    </w:p>
    <w:p w:rsidR="0019655B" w:rsidRDefault="00661999">
      <w:pPr>
        <w:tabs>
          <w:tab w:val="left" w:pos="709"/>
        </w:tabs>
        <w:spacing w:line="276" w:lineRule="auto"/>
        <w:ind w:left="700"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DEL SUELDO</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71. El sueldo es la retribución que la institución pública debe pagar al servidor público por los servicios prestados.</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72.- A trabajo igual, desempeñado en puesto, horario y condiciones de eficiencia, también iguales y sin distinción de sexo, corresponde sueldo igual, debiendo ser éste uniforme para cada uno de los puestos que ocupen los servidores públicos.</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73.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84.</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19655B" w:rsidRDefault="00661999">
      <w:pPr>
        <w:tabs>
          <w:tab w:val="left" w:pos="709"/>
        </w:tabs>
        <w:spacing w:line="276"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establecen algunos supuestos para la duración de la jornada de trabajo, la cual deberá cumplir cabalmente el Servidor Público ya que se establece como una obligación en la Ley de Trabajo de los Servidores Públicos del Estado de México y Municipios, en su artículo 88, que literalmente indica:</w:t>
      </w: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88</w:t>
      </w:r>
      <w:r>
        <w:rPr>
          <w:rFonts w:ascii="Palatino Linotype" w:eastAsia="Palatino Linotype" w:hAnsi="Palatino Linotype" w:cs="Palatino Linotype"/>
          <w:i/>
          <w:sz w:val="22"/>
          <w:szCs w:val="22"/>
        </w:rPr>
        <w:t>. Son obligaciones de los servidores públicos:</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Cumplir con las obligaciones que señalan las condiciones generales de trabajo” (Sic)</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661999">
      <w:pPr>
        <w:tabs>
          <w:tab w:val="left" w:pos="709"/>
        </w:tabs>
        <w:spacing w:line="360" w:lineRule="auto"/>
        <w:ind w:left="700"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CAPITULO IX</w:t>
      </w:r>
    </w:p>
    <w:p w:rsidR="0019655B" w:rsidRDefault="00661999">
      <w:pPr>
        <w:tabs>
          <w:tab w:val="left" w:pos="709"/>
        </w:tabs>
        <w:spacing w:line="360" w:lineRule="auto"/>
        <w:ind w:left="700"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RESCISION DE LA RELACION LABORAL</w:t>
      </w:r>
    </w:p>
    <w:p w:rsidR="0019655B" w:rsidRDefault="00661999">
      <w:pPr>
        <w:tabs>
          <w:tab w:val="left" w:pos="709"/>
        </w:tabs>
        <w:spacing w:line="360"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93.- Son causas de rescisión de la relación laboral, sin responsabilidad para las instituciones públicas:</w:t>
      </w:r>
    </w:p>
    <w:p w:rsidR="0019655B" w:rsidRDefault="00661999">
      <w:pPr>
        <w:tabs>
          <w:tab w:val="left" w:pos="709"/>
        </w:tabs>
        <w:spacing w:line="360" w:lineRule="auto"/>
        <w:ind w:left="700"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spacing w:line="360" w:lineRule="auto"/>
        <w:ind w:left="700" w:right="76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IV. Incurrir en cuatro o más faltas de asistencia a sus labores sin causa justificada, dentro de un lapso de treinta días;</w:t>
      </w: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19655B">
      <w:pPr>
        <w:tabs>
          <w:tab w:val="left" w:pos="709"/>
        </w:tabs>
        <w:ind w:left="567" w:right="618"/>
        <w:jc w:val="both"/>
        <w:rPr>
          <w:rFonts w:ascii="Palatino Linotype" w:eastAsia="Palatino Linotype" w:hAnsi="Palatino Linotype" w:cs="Palatino Linotype"/>
          <w:i/>
          <w:sz w:val="22"/>
          <w:szCs w:val="22"/>
        </w:rPr>
      </w:pPr>
    </w:p>
    <w:p w:rsidR="0019655B" w:rsidRDefault="0066199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Servidor Público tiene la obligación de cumplir con la jornada de trabajo estipulada en su nombramiento, contrato o formato único de movimiento de personal; en caso contrario, será motivo de rescisión de la relación laboral</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w:t>
      </w: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para comprobar el cumplimiento de la jornada de trabajo del Servidor Público el patrón</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jefe o superior jerárquico, debe establecer un control de asistencias para sus servidores públicos, como así se lo establece el artículo 220-K de la repetitiva Ley de Trabajo, que de manera literal señala:</w:t>
      </w:r>
    </w:p>
    <w:p w:rsidR="0019655B" w:rsidRDefault="0019655B">
      <w:pPr>
        <w:tabs>
          <w:tab w:val="left" w:pos="709"/>
        </w:tabs>
        <w:spacing w:line="360" w:lineRule="auto"/>
        <w:jc w:val="both"/>
        <w:rPr>
          <w:rFonts w:ascii="Palatino Linotype" w:eastAsia="Palatino Linotype" w:hAnsi="Palatino Linotype" w:cs="Palatino Linotype"/>
        </w:rPr>
      </w:pP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Controles de asistencia o la información magnética o electrónica de asistencia de los servidores públicos;</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tabs>
          <w:tab w:val="left" w:pos="709"/>
        </w:tabs>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documentos señalados</w:t>
      </w:r>
      <w:r>
        <w:rPr>
          <w:rFonts w:ascii="Palatino Linotype" w:eastAsia="Palatino Linotype" w:hAnsi="Palatino Linotype" w:cs="Palatino Linotype"/>
          <w:i/>
          <w:sz w:val="22"/>
          <w:szCs w:val="22"/>
        </w:rPr>
        <w:t xml:space="preserve"> en la fracción I de este artículo, </w:t>
      </w:r>
      <w:r>
        <w:rPr>
          <w:rFonts w:ascii="Palatino Linotype" w:eastAsia="Palatino Linotype" w:hAnsi="Palatino Linotype" w:cs="Palatino Linotype"/>
          <w:b/>
          <w:i/>
          <w:sz w:val="22"/>
          <w:szCs w:val="22"/>
        </w:rPr>
        <w:t>deberán conservarse</w:t>
      </w:r>
      <w:r>
        <w:rPr>
          <w:rFonts w:ascii="Palatino Linotype" w:eastAsia="Palatino Linotype" w:hAnsi="Palatino Linotype" w:cs="Palatino Linotype"/>
          <w:i/>
          <w:sz w:val="22"/>
          <w:szCs w:val="22"/>
        </w:rPr>
        <w:t xml:space="preserve"> mientras dure la relación laboral y hasta un año después; </w:t>
      </w:r>
      <w:r>
        <w:rPr>
          <w:rFonts w:ascii="Palatino Linotype" w:eastAsia="Palatino Linotype" w:hAnsi="Palatino Linotype" w:cs="Palatino Linotype"/>
          <w:b/>
          <w:i/>
          <w:sz w:val="22"/>
          <w:szCs w:val="22"/>
        </w:rPr>
        <w:t>los señalados por las fracciones</w:t>
      </w:r>
      <w:r>
        <w:rPr>
          <w:rFonts w:ascii="Palatino Linotype" w:eastAsia="Palatino Linotype" w:hAnsi="Palatino Linotype" w:cs="Palatino Linotype"/>
          <w:i/>
          <w:sz w:val="22"/>
          <w:szCs w:val="22"/>
        </w:rPr>
        <w:t xml:space="preserve"> II, </w:t>
      </w: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IV </w:t>
      </w:r>
      <w:r>
        <w:rPr>
          <w:rFonts w:ascii="Palatino Linotype" w:eastAsia="Palatino Linotype" w:hAnsi="Palatino Linotype" w:cs="Palatino Linotype"/>
          <w:b/>
          <w:i/>
          <w:sz w:val="22"/>
          <w:szCs w:val="22"/>
        </w:rPr>
        <w:t>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regresando 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en términos de lo señalado con antelación, la Subdirección de Recursos Humanos señaló que por inicio de la actual administración se encuentra definiendo el formato oficial de listas de </w:t>
      </w:r>
      <w:r>
        <w:rPr>
          <w:rFonts w:ascii="Palatino Linotype" w:eastAsia="Palatino Linotype" w:hAnsi="Palatino Linotype" w:cs="Palatino Linotype"/>
        </w:rPr>
        <w:lastRenderedPageBreak/>
        <w:t xml:space="preserve">asistencias, motivo por el cual no es posible de atender de favorable las solicitudes; sin embargo, a consideración de este Organismo Garante, no tener el formato oficial para la lista de asistencia no es un impedimento legal para no tener el documento que contenga el registro de entrada y salida de sus servidores públicos, toda vez que del Código Reglamentario Municipal de Metepec para el año 2022,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aún sigue usando el Código Reglamentario de la Administración 2018-2021, ya que únicamente la actual administración 2022-2024 hizo reformas a dicho Código, como se observa en la siguiente imagen:</w:t>
      </w:r>
    </w:p>
    <w:p w:rsidR="0019655B" w:rsidRDefault="00661999">
      <w:pPr>
        <w:spacing w:before="240" w:after="240" w:line="360" w:lineRule="auto"/>
        <w:jc w:val="both"/>
        <w:rPr>
          <w:rFonts w:ascii="Palatino Linotype" w:eastAsia="Palatino Linotype" w:hAnsi="Palatino Linotype" w:cs="Palatino Linotype"/>
        </w:rPr>
      </w:pPr>
      <w:r>
        <w:rPr>
          <w:noProof/>
          <w:lang w:val="en-US" w:eastAsia="en-US"/>
        </w:rPr>
        <w:drawing>
          <wp:inline distT="0" distB="0" distL="0" distR="0">
            <wp:extent cx="5840671" cy="3034539"/>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l="6651" t="15765" r="35849" b="7458"/>
                    <a:stretch>
                      <a:fillRect/>
                    </a:stretch>
                  </pic:blipFill>
                  <pic:spPr>
                    <a:xfrm>
                      <a:off x="0" y="0"/>
                      <a:ext cx="5840671" cy="3034539"/>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5041900</wp:posOffset>
                </wp:positionH>
                <wp:positionV relativeFrom="paragraph">
                  <wp:posOffset>2743200</wp:posOffset>
                </wp:positionV>
                <wp:extent cx="816045" cy="819766"/>
                <wp:effectExtent l="0" t="0" r="0" b="0"/>
                <wp:wrapNone/>
                <wp:docPr id="42" name="Flecha izquierda 42"/>
                <wp:cNvGraphicFramePr/>
                <a:graphic xmlns:a="http://schemas.openxmlformats.org/drawingml/2006/main">
                  <a:graphicData uri="http://schemas.microsoft.com/office/word/2010/wordprocessingShape">
                    <wps:wsp>
                      <wps:cNvSpPr/>
                      <wps:spPr>
                        <a:xfrm rot="3190848">
                          <a:off x="5055608" y="3499062"/>
                          <a:ext cx="580784" cy="561877"/>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19655B" w:rsidRDefault="0019655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5041900</wp:posOffset>
                </wp:positionH>
                <wp:positionV relativeFrom="paragraph">
                  <wp:posOffset>2743200</wp:posOffset>
                </wp:positionV>
                <wp:extent cx="816045" cy="819766"/>
                <wp:effectExtent b="0" l="0" r="0" t="0"/>
                <wp:wrapNone/>
                <wp:docPr id="42"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816045" cy="819766"/>
                        </a:xfrm>
                        <a:prstGeom prst="rect"/>
                        <a:ln/>
                      </pic:spPr>
                    </pic:pic>
                  </a:graphicData>
                </a:graphic>
              </wp:anchor>
            </w:drawing>
          </mc:Fallback>
        </mc:AlternateContent>
      </w:r>
    </w:p>
    <w:p w:rsidR="0019655B" w:rsidRDefault="00661999">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En este sentido respecto a la documentación solicitada el citado código señala: </w:t>
      </w:r>
    </w:p>
    <w:p w:rsidR="0019655B" w:rsidRDefault="00661999">
      <w:pPr>
        <w:spacing w:before="240" w:after="240"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3.81.- Para el cumplimiento de sus atribuciones y facultades la Dirección de Administración, contará con:</w:t>
      </w:r>
    </w:p>
    <w:p w:rsidR="0019655B" w:rsidRDefault="00661999">
      <w:pPr>
        <w:spacing w:before="240" w:after="240"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Subdirección de Recursos Humanos;</w:t>
      </w:r>
    </w:p>
    <w:p w:rsidR="0019655B" w:rsidRDefault="00661999">
      <w:pPr>
        <w:spacing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3.82.- La Subdirección de Recursos Humanos, tiene las siguientes atribuciones:</w:t>
      </w:r>
    </w:p>
    <w:p w:rsidR="0019655B" w:rsidRDefault="00661999">
      <w:pPr>
        <w:spacing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spacing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i/>
          <w:sz w:val="22"/>
          <w:szCs w:val="22"/>
          <w:u w:val="single"/>
        </w:rPr>
        <w:t>Controlar y registrar asistencia</w:t>
      </w:r>
      <w:r>
        <w:rPr>
          <w:rFonts w:ascii="Palatino Linotype" w:eastAsia="Palatino Linotype" w:hAnsi="Palatino Linotype" w:cs="Palatino Linotype"/>
          <w:i/>
          <w:sz w:val="22"/>
          <w:szCs w:val="22"/>
        </w:rPr>
        <w:t>, nombramientos, remociones, renuncias, licencias, cambios de adscripción, promociones, incapacidades, vacaciones, días no laborables y demás incidencias relacionadas con las y los servidores públicos municipales;</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observa que la Dirección de Administración, cuenta con la subdirección de Recursos Humanos, quien tiene como atribuciones la de controlar y registrar asistencia de las y los servidores públicos municipales.</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cabe señalar que las listas de asistencias están vinculadas con el pago de remuneraciones pues la jornada de trabajo es el tiempo durante el cual el Servidor Pública está a disposición de la institución pública para prestar sus servicios.  Y en este sentido el horario de trabajo será determinado conforme a las necesidades del servicio de la institución pública o dependencia, de acuerdo a lo estipulado en las condiciones generales de trabajo sin que exceda los máximos legales , por lo que en función de la disposición del servidor público  a la institución,  es  que  se realiza el pago de remuneraciones lo que  implica un gasto con recursos públicos que obviamente justifica su publicidad, por las siguientes razones: Primero, se trata de uno de los temas fundacionales del régimen de transparencia: el dinero público. En el caso en comento, del dinero público asignado y gastado. Segundo, no hay tema más atractivo en el marco del acceso a la información que el de conocer el uso y destino de los recursos financieros o dinerarios públicos administrados por los </w:t>
      </w:r>
      <w:r>
        <w:rPr>
          <w:rFonts w:ascii="Palatino Linotype" w:eastAsia="Palatino Linotype" w:hAnsi="Palatino Linotype" w:cs="Palatino Linotype"/>
        </w:rPr>
        <w:lastRenderedPageBreak/>
        <w:t>Sujetos Obligados. Es una de las razones primordiales de que exista el régimen de transparencia y del derecho de acceso a la información.</w:t>
      </w:r>
    </w:p>
    <w:p w:rsidR="0019655B" w:rsidRDefault="00661999">
      <w:pPr>
        <w:spacing w:before="240" w:after="240" w:line="360" w:lineRule="auto"/>
        <w:jc w:val="both"/>
        <w:rPr>
          <w:rFonts w:ascii="Palatino Linotype" w:eastAsia="Palatino Linotype" w:hAnsi="Palatino Linotype" w:cs="Palatino Linotype"/>
          <w:i/>
        </w:rPr>
      </w:pPr>
      <w:bookmarkStart w:id="1" w:name="_heading=h.ky0b2r4x62om" w:colFirst="0" w:colLast="0"/>
      <w:bookmarkEnd w:id="1"/>
      <w:r>
        <w:rPr>
          <w:rFonts w:ascii="Palatino Linotype" w:eastAsia="Palatino Linotype" w:hAnsi="Palatino Linotype" w:cs="Palatino Linotype"/>
        </w:rPr>
        <w:t>La publicidad de información además sin duda se justifica ya que los sistemas los sistemas de administración o de control de personal son herramientas útiles para que la consecución de los objetivos, obligaciones y metas institucionales. De ahí resulta importante que todo servidor sea, al mismo tiempo, parte viva o actuante para la observancia de la puntualidad, asistencia, permanencia, productividad con calidad y de responsabilidad social de cara a un futuro de más y nuevas oportunidades de realización personal, social, familiar y laboral. En suma, el cumplimiento, o no, de la asistencia laboral, se refleja en los propósitos de conseguir un mejor y mayor desempeño o rendimiento contraen responsabilidades, algunas de las cuales obligan a sancionar con el fin de encarar y eliminar las inconductas laborales que se puedan manifestar, asentar y debilitar a la institución municipal. Definitivamente, las conductas que son relevantes por su laboriosidad, dedicación mostrada, el esfuerzo conseguido o el cumplimiento oportuno de deberes, sin duda, ameritan, responsablemente, reconocer, estimular y resaltar como contribución tendiente al engrandecimiento institucional y la buena práctica de puntualidad y responsabilidad con la ciudadanía</w:t>
      </w:r>
      <w:r>
        <w:rPr>
          <w:rFonts w:ascii="Palatino Linotype" w:eastAsia="Palatino Linotype" w:hAnsi="Palatino Linotype" w:cs="Palatino Linotype"/>
          <w:i/>
        </w:rPr>
        <w:t>.</w:t>
      </w:r>
    </w:p>
    <w:p w:rsidR="0019655B" w:rsidRDefault="00661999">
      <w:pPr>
        <w:spacing w:before="240" w:after="240" w:line="360" w:lineRule="auto"/>
        <w:ind w:right="60"/>
        <w:jc w:val="both"/>
        <w:rPr>
          <w:rFonts w:ascii="Palatino Linotype" w:eastAsia="Palatino Linotype" w:hAnsi="Palatino Linotype" w:cs="Palatino Linotype"/>
        </w:rPr>
      </w:pPr>
      <w:bookmarkStart w:id="2" w:name="_heading=h.1r6vnnx0erye" w:colFirst="0" w:colLast="0"/>
      <w:bookmarkEnd w:id="2"/>
      <w:r>
        <w:rPr>
          <w:rFonts w:ascii="Palatino Linotype" w:eastAsia="Palatino Linotype" w:hAnsi="Palatino Linotype" w:cs="Palatino Linotype"/>
        </w:rPr>
        <w:t xml:space="preserve">Luego entonces, se presume que los formatos para las listas de asistencia son los decretados por la administración pasada 2018-2021, los cuales debió haber usar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la fecha de la solicitud (diez de enero del 2022);razones por las cuales lo procedente es ordenar nueva búsqueda exhaustiva y razonable del documento en donde conste las listas de asistencia o bitácora del checador de </w:t>
      </w:r>
      <w:r>
        <w:rPr>
          <w:rFonts w:ascii="Palatino Linotype" w:eastAsia="Palatino Linotype" w:hAnsi="Palatino Linotype" w:cs="Palatino Linotype"/>
        </w:rPr>
        <w:lastRenderedPageBreak/>
        <w:t xml:space="preserve">ingreso y salida de todas las áreas del 1 al 10 de enero de 2022, y de ser procedente en versión pública conforme a lo señalado por el considerando quinto del presente fallo.  </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supuesto, de actualizarse la circunstancia fáctica de que, derivado de una búsqueda exhaustiva y razonable,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consecuencia…”(Sic)</w:t>
      </w:r>
    </w:p>
    <w:p w:rsidR="0019655B" w:rsidRDefault="0019655B">
      <w:pPr>
        <w:spacing w:line="360" w:lineRule="auto"/>
        <w:jc w:val="both"/>
        <w:rPr>
          <w:rFonts w:ascii="Palatino Linotype" w:eastAsia="Palatino Linotype" w:hAnsi="Palatino Linotype" w:cs="Palatino Linotype"/>
          <w:i/>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19655B" w:rsidRDefault="0019655B">
      <w:pPr>
        <w:spacing w:line="360" w:lineRule="auto"/>
        <w:jc w:val="both"/>
        <w:rPr>
          <w:rFonts w:ascii="Palatino Linotype" w:eastAsia="Palatino Linotype" w:hAnsi="Palatino Linotype" w:cs="Palatino Linotype"/>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19655B" w:rsidRDefault="0019655B">
      <w:pPr>
        <w:ind w:left="567" w:right="567"/>
        <w:jc w:val="both"/>
        <w:rPr>
          <w:rFonts w:ascii="Palatino Linotype" w:eastAsia="Palatino Linotype" w:hAnsi="Palatino Linotype" w:cs="Palatino Linotype"/>
          <w:i/>
          <w:sz w:val="22"/>
          <w:szCs w:val="22"/>
        </w:rPr>
      </w:pPr>
    </w:p>
    <w:p w:rsidR="0019655B" w:rsidRDefault="0066199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 </w:t>
      </w:r>
    </w:p>
    <w:p w:rsidR="0019655B" w:rsidRDefault="0019655B">
      <w:pPr>
        <w:ind w:left="567" w:right="567"/>
        <w:jc w:val="both"/>
        <w:rPr>
          <w:rFonts w:ascii="Palatino Linotype" w:eastAsia="Palatino Linotype" w:hAnsi="Palatino Linotype" w:cs="Palatino Linotype"/>
        </w:rPr>
      </w:pPr>
    </w:p>
    <w:p w:rsidR="0019655B" w:rsidRDefault="0066199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rFonts w:ascii="Palatino Linotype" w:eastAsia="Palatino Linotype" w:hAnsi="Palatino Linotype" w:cs="Palatino Linotype"/>
        </w:rPr>
        <w:lastRenderedPageBreak/>
        <w:t>elementos suficientes del carácter exhaustivo de la indagación realizada, a saber, los siguientes:</w:t>
      </w:r>
    </w:p>
    <w:p w:rsidR="0019655B" w:rsidRDefault="0019655B">
      <w:pPr>
        <w:spacing w:line="360" w:lineRule="auto"/>
        <w:jc w:val="both"/>
        <w:rPr>
          <w:rFonts w:ascii="Palatino Linotype" w:eastAsia="Palatino Linotype" w:hAnsi="Palatino Linotype" w:cs="Palatino Linotype"/>
        </w:rPr>
      </w:pPr>
    </w:p>
    <w:p w:rsidR="0019655B" w:rsidRDefault="00661999">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19655B" w:rsidRDefault="00661999">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19655B" w:rsidRDefault="00661999">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19655B" w:rsidRDefault="0019655B">
      <w:pPr>
        <w:pBdr>
          <w:top w:val="nil"/>
          <w:left w:val="nil"/>
          <w:bottom w:val="nil"/>
          <w:right w:val="nil"/>
          <w:between w:val="nil"/>
        </w:pBdr>
        <w:rPr>
          <w:color w:val="000000"/>
        </w:rPr>
      </w:pPr>
    </w:p>
    <w:p w:rsidR="0019655B" w:rsidRDefault="00661999">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19655B" w:rsidRDefault="00661999">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19655B" w:rsidRDefault="00661999">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19655B" w:rsidRDefault="00661999">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19655B" w:rsidRDefault="00661999">
      <w:pPr>
        <w:numPr>
          <w:ilvl w:val="0"/>
          <w:numId w:val="1"/>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w:t>
      </w:r>
      <w:r>
        <w:rPr>
          <w:rFonts w:ascii="Palatino Linotype" w:eastAsia="Palatino Linotype" w:hAnsi="Palatino Linotype" w:cs="Palatino Linotype"/>
        </w:rPr>
        <w:lastRenderedPageBreak/>
        <w:t>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19655B" w:rsidRDefault="0019655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9655B" w:rsidRDefault="00661999">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9655B" w:rsidRDefault="00661999">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9655B" w:rsidRDefault="0019655B">
      <w:pPr>
        <w:ind w:left="993" w:right="1041"/>
        <w:jc w:val="both"/>
        <w:rPr>
          <w:rFonts w:ascii="Palatino Linotype" w:eastAsia="Palatino Linotype" w:hAnsi="Palatino Linotype" w:cs="Palatino Linotype"/>
          <w:i/>
          <w:sz w:val="22"/>
          <w:szCs w:val="22"/>
        </w:rPr>
      </w:pP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9655B" w:rsidRDefault="0019655B">
      <w:pPr>
        <w:ind w:left="993" w:right="1041"/>
        <w:jc w:val="both"/>
        <w:rPr>
          <w:rFonts w:ascii="Palatino Linotype" w:eastAsia="Palatino Linotype" w:hAnsi="Palatino Linotype" w:cs="Palatino Linotype"/>
          <w:i/>
          <w:sz w:val="22"/>
          <w:szCs w:val="22"/>
        </w:rPr>
      </w:pPr>
    </w:p>
    <w:p w:rsidR="0019655B" w:rsidRDefault="00661999">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9655B" w:rsidRDefault="0019655B">
      <w:pPr>
        <w:ind w:left="993" w:right="1041"/>
        <w:jc w:val="both"/>
        <w:rPr>
          <w:rFonts w:ascii="Palatino Linotype" w:eastAsia="Palatino Linotype" w:hAnsi="Palatino Linotype" w:cs="Palatino Linotype"/>
          <w:b/>
          <w:i/>
          <w:sz w:val="22"/>
          <w:szCs w:val="22"/>
        </w:rPr>
      </w:pP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9655B" w:rsidRDefault="00661999">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9655B" w:rsidRDefault="0019655B">
      <w:pPr>
        <w:ind w:left="993" w:right="1041"/>
        <w:jc w:val="both"/>
        <w:rPr>
          <w:rFonts w:ascii="Palatino Linotype" w:eastAsia="Palatino Linotype" w:hAnsi="Palatino Linotype" w:cs="Palatino Linotype"/>
          <w:i/>
          <w:sz w:val="22"/>
          <w:szCs w:val="22"/>
        </w:rPr>
      </w:pPr>
    </w:p>
    <w:p w:rsidR="0019655B" w:rsidRDefault="0066199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9655B" w:rsidRDefault="0019655B">
      <w:pPr>
        <w:spacing w:line="360" w:lineRule="auto"/>
        <w:ind w:right="51"/>
        <w:jc w:val="both"/>
        <w:rPr>
          <w:rFonts w:ascii="Palatino Linotype" w:eastAsia="Palatino Linotype" w:hAnsi="Palatino Linotype" w:cs="Palatino Linotype"/>
        </w:rPr>
      </w:pPr>
    </w:p>
    <w:p w:rsidR="0019655B" w:rsidRDefault="00661999">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9655B" w:rsidRDefault="0019655B">
      <w:pPr>
        <w:spacing w:line="360" w:lineRule="auto"/>
        <w:ind w:right="50"/>
        <w:jc w:val="both"/>
        <w:rPr>
          <w:rFonts w:ascii="Palatino Linotype" w:eastAsia="Palatino Linotype" w:hAnsi="Palatino Linotype" w:cs="Palatino Linotype"/>
        </w:rPr>
      </w:pPr>
    </w:p>
    <w:p w:rsidR="0019655B" w:rsidRDefault="0066199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9655B" w:rsidRDefault="0019655B">
      <w:pPr>
        <w:spacing w:line="360" w:lineRule="auto"/>
        <w:ind w:right="51"/>
        <w:jc w:val="both"/>
        <w:rPr>
          <w:rFonts w:ascii="Palatino Linotype" w:eastAsia="Palatino Linotype" w:hAnsi="Palatino Linotype" w:cs="Palatino Linotype"/>
        </w:rPr>
      </w:pP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9655B" w:rsidRDefault="0066199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19655B" w:rsidRDefault="0019655B">
      <w:pPr>
        <w:ind w:left="992" w:right="1043"/>
        <w:jc w:val="both"/>
        <w:rPr>
          <w:rFonts w:ascii="Palatino Linotype" w:eastAsia="Palatino Linotype" w:hAnsi="Palatino Linotype" w:cs="Palatino Linotype"/>
          <w:i/>
          <w:sz w:val="22"/>
          <w:szCs w:val="22"/>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9655B" w:rsidRDefault="0019655B">
      <w:pPr>
        <w:spacing w:line="360" w:lineRule="auto"/>
        <w:jc w:val="both"/>
        <w:rPr>
          <w:rFonts w:ascii="Palatino Linotype" w:eastAsia="Palatino Linotype" w:hAnsi="Palatino Linotype" w:cs="Palatino Linotype"/>
        </w:rPr>
      </w:pPr>
    </w:p>
    <w:p w:rsidR="0019655B" w:rsidRDefault="00661999">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w:t>
      </w:r>
      <w:r>
        <w:rPr>
          <w:rFonts w:ascii="Palatino Linotype" w:eastAsia="Palatino Linotype" w:hAnsi="Palatino Linotype" w:cs="Palatino Linotype"/>
          <w:i/>
          <w:sz w:val="22"/>
          <w:szCs w:val="22"/>
        </w:rPr>
        <w:lastRenderedPageBreak/>
        <w:t>la información se encuentra en alguna o algunas de las hipótesis previstas en la presente Ley.”(Sic)</w:t>
      </w:r>
    </w:p>
    <w:p w:rsidR="0019655B" w:rsidRDefault="0019655B">
      <w:pPr>
        <w:spacing w:before="240" w:after="240"/>
        <w:ind w:left="993" w:right="1041"/>
        <w:jc w:val="both"/>
        <w:rPr>
          <w:rFonts w:ascii="Palatino Linotype" w:eastAsia="Palatino Linotype" w:hAnsi="Palatino Linotype" w:cs="Palatino Linotype"/>
          <w:i/>
          <w:sz w:val="22"/>
          <w:szCs w:val="22"/>
        </w:rPr>
      </w:pPr>
    </w:p>
    <w:p w:rsidR="0019655B" w:rsidRDefault="0066199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9655B" w:rsidRDefault="0066199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la Federación en fecha quince de abril del año dos mil dieciséis, mediante Acuerdo </w:t>
      </w:r>
      <w:r>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rsidR="0019655B" w:rsidRDefault="0019655B">
      <w:pPr>
        <w:ind w:left="709" w:right="709"/>
        <w:jc w:val="both"/>
        <w:rPr>
          <w:rFonts w:ascii="Palatino Linotype" w:eastAsia="Palatino Linotype" w:hAnsi="Palatino Linotype" w:cs="Palatino Linotype"/>
          <w:b/>
          <w:i/>
          <w:sz w:val="22"/>
          <w:szCs w:val="22"/>
        </w:rPr>
      </w:pPr>
    </w:p>
    <w:p w:rsidR="0019655B" w:rsidRDefault="00661999">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CAPÍTULO VIII</w:t>
      </w:r>
    </w:p>
    <w:p w:rsidR="0019655B" w:rsidRDefault="00661999">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9655B" w:rsidRDefault="00661999">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9655B">
        <w:trPr>
          <w:jc w:val="center"/>
        </w:trPr>
        <w:tc>
          <w:tcPr>
            <w:tcW w:w="1159" w:type="dxa"/>
            <w:tcBorders>
              <w:top w:val="nil"/>
              <w:left w:val="nil"/>
              <w:bottom w:val="single" w:sz="4" w:space="0" w:color="000000"/>
              <w:right w:val="single" w:sz="4" w:space="0" w:color="000000"/>
            </w:tcBorders>
          </w:tcPr>
          <w:p w:rsidR="0019655B" w:rsidRDefault="0019655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9655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9655B" w:rsidRDefault="00661999">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 como confidencial. Si el documento fuera </w:t>
            </w:r>
            <w:r>
              <w:rPr>
                <w:rFonts w:ascii="Palatino Linotype" w:eastAsia="Palatino Linotype" w:hAnsi="Palatino Linotype" w:cs="Palatino Linotype"/>
                <w:i/>
              </w:rPr>
              <w:lastRenderedPageBreak/>
              <w:t>confidencial en su totalidad, se anotarán todas las páginas que lo conforman. Si el documento no contiene información confidencial, se tachará este apartado.</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9655B" w:rsidRDefault="00661999">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9655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655B" w:rsidRDefault="0019655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655B" w:rsidRDefault="00661999">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9655B" w:rsidRDefault="00661999">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9655B" w:rsidRDefault="0019655B">
      <w:pPr>
        <w:spacing w:before="240" w:line="360" w:lineRule="auto"/>
        <w:ind w:right="51"/>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9655B" w:rsidRDefault="0019655B">
      <w:pPr>
        <w:spacing w:line="360" w:lineRule="auto"/>
        <w:jc w:val="both"/>
        <w:rPr>
          <w:rFonts w:ascii="Palatino Linotype" w:eastAsia="Palatino Linotype" w:hAnsi="Palatino Linotype" w:cs="Palatino Linotype"/>
        </w:rPr>
      </w:pPr>
    </w:p>
    <w:p w:rsidR="0019655B" w:rsidRDefault="00661999">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eastAsia="Palatino Linotype" w:hAnsi="Palatino Linotype" w:cs="Palatino Linotype"/>
        </w:rPr>
        <w:lastRenderedPageBreak/>
        <w:t>puntual las razones de ello se estaría violentando desde un inicio el derecho de acceso a la información del solicitante, por lo que el acuerdo respectivo, deberá hacerse del conocimiento de la recurrente.</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derivado de la información que se ordena entregar, pudiera existir información de la Dirección de la Seguridad Pública del Ayuntamiento Metepec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w:t>
      </w:r>
      <w:r>
        <w:rPr>
          <w:rFonts w:ascii="Palatino Linotype" w:eastAsia="Palatino Linotype" w:hAnsi="Palatino Linotype" w:cs="Palatino Linotype"/>
        </w:rPr>
        <w:lastRenderedPageBreak/>
        <w:t>vulnerables de acuerdo al cargo de seguridad Municipal, por lo que deberá testarse de igual manera sólo el nombre de los servidores públicos de la Policía Municipal.</w:t>
      </w:r>
    </w:p>
    <w:p w:rsidR="0019655B" w:rsidRDefault="0019655B">
      <w:pPr>
        <w:spacing w:line="360" w:lineRule="auto"/>
        <w:jc w:val="both"/>
        <w:rPr>
          <w:rFonts w:ascii="Palatino Linotype" w:eastAsia="Palatino Linotype" w:hAnsi="Palatino Linotype" w:cs="Palatino Linotype"/>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importante mencionar que la causal de reserva antes señalada, puede ubicarse en los supuestos previstos por los artículos 140 fracción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este Instituto advierte lo siguiente:</w:t>
      </w:r>
    </w:p>
    <w:p w:rsidR="0019655B" w:rsidRDefault="0019655B">
      <w:pPr>
        <w:spacing w:line="360" w:lineRule="auto"/>
        <w:jc w:val="both"/>
        <w:rPr>
          <w:rFonts w:ascii="Palatino Linotype" w:eastAsia="Palatino Linotype" w:hAnsi="Palatino Linotype" w:cs="Palatino Linotype"/>
        </w:rPr>
      </w:pPr>
    </w:p>
    <w:p w:rsidR="0019655B" w:rsidRDefault="00661999">
      <w:pPr>
        <w:numPr>
          <w:ilvl w:val="1"/>
          <w:numId w:val="4"/>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19655B" w:rsidRDefault="00661999">
      <w:pPr>
        <w:numPr>
          <w:ilvl w:val="1"/>
          <w:numId w:val="4"/>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19655B" w:rsidRDefault="00661999">
      <w:pPr>
        <w:numPr>
          <w:ilvl w:val="1"/>
          <w:numId w:val="4"/>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19655B" w:rsidRDefault="0019655B">
      <w:pPr>
        <w:spacing w:line="360" w:lineRule="auto"/>
        <w:jc w:val="both"/>
        <w:rPr>
          <w:rFonts w:ascii="Palatino Linotype" w:eastAsia="Palatino Linotype" w:hAnsi="Palatino Linotype" w:cs="Palatino Linotype"/>
        </w:rPr>
      </w:pPr>
    </w:p>
    <w:p w:rsidR="0019655B" w:rsidRDefault="006619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19655B" w:rsidRDefault="0019655B">
      <w:pPr>
        <w:spacing w:line="360" w:lineRule="auto"/>
        <w:jc w:val="both"/>
        <w:rPr>
          <w:rFonts w:ascii="Palatino Linotype" w:eastAsia="Palatino Linotype" w:hAnsi="Palatino Linotype" w:cs="Palatino Linotype"/>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este respecto, de conformidad con los artículos 91 y 140, fracciones I y IV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19655B" w:rsidRDefault="0066199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9655B" w:rsidRDefault="0066199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 xml:space="preserve">El acceso a la información pública será restringido excepcionalmente, cuando por razones de interés público, ésta sea clasificada como reservada, conforme a los criterios siguientes: </w:t>
      </w:r>
    </w:p>
    <w:p w:rsidR="0019655B" w:rsidRDefault="0066199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Comprometa la seguridad pública y cuente con un propósito genuino y un efecto demostrable;</w:t>
      </w:r>
    </w:p>
    <w:p w:rsidR="0019655B" w:rsidRDefault="00661999">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655B" w:rsidRDefault="00661999">
      <w:pPr>
        <w:spacing w:before="240" w:after="240"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Ponga en riesgo la vida, la seguridad o la salud de una persona física;…” (Sic)</w:t>
      </w:r>
    </w:p>
    <w:p w:rsidR="0019655B" w:rsidRDefault="00661999">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19655B" w:rsidRDefault="00661999">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19655B" w:rsidRDefault="00661999">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w:t>
      </w:r>
      <w:r>
        <w:rPr>
          <w:rFonts w:ascii="Palatino Linotype" w:eastAsia="Palatino Linotype" w:hAnsi="Palatino Linotype" w:cs="Palatino Linotype"/>
          <w:i/>
          <w:sz w:val="22"/>
          <w:szCs w:val="22"/>
        </w:rPr>
        <w:lastRenderedPageBreak/>
        <w:t xml:space="preserve">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rsidR="0019655B" w:rsidRDefault="0019655B">
      <w:pPr>
        <w:spacing w:before="120" w:after="120"/>
        <w:ind w:left="851" w:right="760"/>
        <w:jc w:val="both"/>
        <w:rPr>
          <w:rFonts w:ascii="Palatino Linotype" w:eastAsia="Palatino Linotype" w:hAnsi="Palatino Linotype" w:cs="Palatino Linotype"/>
          <w:i/>
          <w:sz w:val="20"/>
          <w:szCs w:val="20"/>
        </w:rPr>
      </w:pPr>
    </w:p>
    <w:p w:rsidR="0019655B" w:rsidRDefault="00661999">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general.”(Sic)</w:t>
      </w:r>
    </w:p>
    <w:p w:rsidR="0019655B" w:rsidRDefault="0019655B">
      <w:pPr>
        <w:spacing w:before="120" w:line="360" w:lineRule="auto"/>
        <w:jc w:val="both"/>
        <w:rPr>
          <w:rFonts w:ascii="Palatino Linotype" w:eastAsia="Palatino Linotype" w:hAnsi="Palatino Linotype" w:cs="Palatino Linotype"/>
        </w:rPr>
      </w:pPr>
    </w:p>
    <w:p w:rsidR="0019655B" w:rsidRDefault="006619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19655B" w:rsidRDefault="00661999">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19655B" w:rsidRDefault="0066199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02159/INFOEM/IP/RR/2022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02160/INFOEM/IP/RR/2022, 02161/INFOEM/IP/RR/2022 y 02364/INFOEM/IP/RR/2022;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235A3" w:rsidRDefault="00661999" w:rsidP="00B235A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w:t>
      </w:r>
      <w:r>
        <w:rPr>
          <w:rFonts w:ascii="Palatino Linotype" w:eastAsia="Palatino Linotype" w:hAnsi="Palatino Linotype" w:cs="Palatino Linotype"/>
        </w:rPr>
        <w:t xml:space="preserve">, previa búsqueda exhaustiva y razonable </w:t>
      </w:r>
      <w:r w:rsidR="00B235A3">
        <w:rPr>
          <w:rFonts w:ascii="Palatino Linotype" w:eastAsia="Palatino Linotype" w:hAnsi="Palatino Linotype" w:cs="Palatino Linotype"/>
        </w:rPr>
        <w:t xml:space="preserve">de: </w:t>
      </w:r>
    </w:p>
    <w:p w:rsidR="0019655B" w:rsidRPr="00622135" w:rsidRDefault="00B235A3" w:rsidP="00B235A3">
      <w:pPr>
        <w:pStyle w:val="Prrafodelista"/>
        <w:numPr>
          <w:ilvl w:val="0"/>
          <w:numId w:val="6"/>
        </w:numPr>
        <w:spacing w:before="240" w:after="240" w:line="360" w:lineRule="auto"/>
        <w:ind w:right="49"/>
        <w:jc w:val="both"/>
        <w:rPr>
          <w:rFonts w:ascii="Palatino Linotype" w:eastAsia="Palatino Linotype" w:hAnsi="Palatino Linotype" w:cs="Palatino Linotype"/>
          <w:b/>
          <w:color w:val="000000"/>
        </w:rPr>
      </w:pPr>
      <w:r w:rsidRPr="00622135">
        <w:rPr>
          <w:rFonts w:ascii="Palatino Linotype" w:eastAsia="Palatino Linotype" w:hAnsi="Palatino Linotype" w:cs="Palatino Linotype"/>
          <w:b/>
        </w:rPr>
        <w:t>Documentos donde conste el registro de asistencia (</w:t>
      </w:r>
      <w:r w:rsidR="00661999" w:rsidRPr="00622135">
        <w:rPr>
          <w:rFonts w:ascii="Palatino Linotype" w:eastAsia="Palatino Linotype" w:hAnsi="Palatino Linotype" w:cs="Palatino Linotype"/>
          <w:b/>
          <w:color w:val="000000"/>
        </w:rPr>
        <w:t>ingreso y salida</w:t>
      </w:r>
      <w:r w:rsidRPr="00622135">
        <w:rPr>
          <w:rFonts w:ascii="Palatino Linotype" w:eastAsia="Palatino Linotype" w:hAnsi="Palatino Linotype" w:cs="Palatino Linotype"/>
          <w:b/>
          <w:color w:val="000000"/>
        </w:rPr>
        <w:t>)</w:t>
      </w:r>
      <w:r w:rsidR="00661999" w:rsidRPr="00622135">
        <w:rPr>
          <w:rFonts w:ascii="Palatino Linotype" w:eastAsia="Palatino Linotype" w:hAnsi="Palatino Linotype" w:cs="Palatino Linotype"/>
          <w:b/>
          <w:color w:val="000000"/>
        </w:rPr>
        <w:t xml:space="preserve"> de</w:t>
      </w:r>
      <w:r w:rsidRPr="00622135">
        <w:rPr>
          <w:rFonts w:ascii="Palatino Linotype" w:eastAsia="Palatino Linotype" w:hAnsi="Palatino Linotype" w:cs="Palatino Linotype"/>
          <w:b/>
          <w:color w:val="000000"/>
        </w:rPr>
        <w:t>l personal de</w:t>
      </w:r>
      <w:r w:rsidR="00661999" w:rsidRPr="00622135">
        <w:rPr>
          <w:rFonts w:ascii="Palatino Linotype" w:eastAsia="Palatino Linotype" w:hAnsi="Palatino Linotype" w:cs="Palatino Linotype"/>
          <w:b/>
          <w:color w:val="000000"/>
        </w:rPr>
        <w:t xml:space="preserve"> todas las áreas </w:t>
      </w:r>
      <w:r w:rsidR="00661999" w:rsidRPr="00622135">
        <w:rPr>
          <w:rFonts w:ascii="Palatino Linotype" w:eastAsia="Palatino Linotype" w:hAnsi="Palatino Linotype" w:cs="Palatino Linotype"/>
          <w:b/>
        </w:rPr>
        <w:t>del ayuntamiento, correspondientes al periodo</w:t>
      </w:r>
      <w:r w:rsidR="00661999" w:rsidRPr="00622135">
        <w:rPr>
          <w:rFonts w:ascii="Palatino Linotype" w:eastAsia="Palatino Linotype" w:hAnsi="Palatino Linotype" w:cs="Palatino Linotype"/>
          <w:b/>
          <w:color w:val="000000"/>
        </w:rPr>
        <w:t xml:space="preserve"> del 1 al 10 de enero de 2022.</w:t>
      </w:r>
    </w:p>
    <w:p w:rsidR="0019655B" w:rsidRDefault="00661999">
      <w:pPr>
        <w:ind w:right="4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19655B" w:rsidRDefault="0019655B">
      <w:pPr>
        <w:ind w:right="40"/>
        <w:jc w:val="both"/>
        <w:rPr>
          <w:rFonts w:ascii="Palatino Linotype" w:eastAsia="Palatino Linotype" w:hAnsi="Palatino Linotype" w:cs="Palatino Linotype"/>
          <w:i/>
          <w:sz w:val="22"/>
          <w:szCs w:val="22"/>
        </w:rPr>
      </w:pPr>
    </w:p>
    <w:p w:rsidR="0019655B" w:rsidRDefault="00661999">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que derivado de la búsqueda exhaustiva y razonable que se ordena, por alguna razón no se localice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la información que se ordena,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al momento de dar cumplimiento a la presente resolución.</w:t>
      </w:r>
    </w:p>
    <w:p w:rsidR="0019655B" w:rsidRDefault="00661999">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655B" w:rsidRDefault="0066199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9655B" w:rsidRDefault="0066199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9655B" w:rsidRDefault="00661999">
      <w:pPr>
        <w:spacing w:before="240" w:after="240" w:line="360" w:lineRule="auto"/>
        <w:jc w:val="both"/>
        <w:rPr>
          <w:rFonts w:ascii="Palatino Linotype" w:eastAsia="Palatino Linotype" w:hAnsi="Palatino Linotype" w:cs="Palatino Linotype"/>
        </w:rPr>
        <w:sectPr w:rsidR="0019655B">
          <w:headerReference w:type="default" r:id="rId29"/>
          <w:footerReference w:type="default" r:id="rId30"/>
          <w:headerReference w:type="first" r:id="rId31"/>
          <w:footerReference w:type="first" r:id="rId32"/>
          <w:pgSz w:w="12240" w:h="15840"/>
          <w:pgMar w:top="2041" w:right="1701" w:bottom="1701" w:left="1701" w:header="709" w:footer="709" w:gutter="0"/>
          <w:pgNumType w:start="1"/>
          <w:cols w:space="720"/>
          <w:titlePg/>
        </w:sectPr>
      </w:pPr>
      <w:bookmarkStart w:id="3" w:name="_heading=h.30j0zll" w:colFirst="0" w:colLast="0"/>
      <w:bookmarkEnd w:id="3"/>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22135">
        <w:rPr>
          <w:rFonts w:ascii="Palatino Linotype" w:eastAsia="Palatino Linotype" w:hAnsi="Palatino Linotype" w:cs="Palatino Linotype"/>
          <w:color w:val="222222"/>
          <w:highlight w:val="white"/>
        </w:rPr>
        <w:t xml:space="preserve"> EMITIENDO VOTO DISIDENTE</w:t>
      </w:r>
      <w:r>
        <w:rPr>
          <w:rFonts w:ascii="Palatino Linotype" w:eastAsia="Palatino Linotype" w:hAnsi="Palatino Linotype" w:cs="Palatino Linotype"/>
          <w:color w:val="222222"/>
          <w:highlight w:val="white"/>
        </w:rPr>
        <w:t>, LUIS GUSTAVO PARRA NORIEGA</w:t>
      </w:r>
      <w:r w:rsidR="00622135">
        <w:rPr>
          <w:rFonts w:ascii="Palatino Linotype" w:eastAsia="Palatino Linotype" w:hAnsi="Palatino Linotype" w:cs="Palatino Linotype"/>
          <w:color w:val="222222"/>
          <w:highlight w:val="white"/>
        </w:rPr>
        <w:t xml:space="preserve"> EMITIENDO VOTO PARTICULAR </w:t>
      </w:r>
      <w:r>
        <w:rPr>
          <w:rFonts w:ascii="Palatino Linotype" w:eastAsia="Palatino Linotype" w:hAnsi="Palatino Linotype" w:cs="Palatino Linotype"/>
          <w:color w:val="222222"/>
          <w:highlight w:val="white"/>
        </w:rPr>
        <w:t>Y GUADALUPE RAMÍREZ PEÑA;</w:t>
      </w:r>
      <w:bookmarkStart w:id="4" w:name="_GoBack"/>
      <w:bookmarkEnd w:id="4"/>
      <w:r>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color w:val="222222"/>
          <w:highlight w:val="white"/>
        </w:rPr>
        <w:lastRenderedPageBreak/>
        <w:t>EN LA DÉCIMA NOVENA SESIÓN ORDINARIA CELEBRADA EL VEINTICINCO</w:t>
      </w:r>
      <w:r>
        <w:rPr>
          <w:rFonts w:ascii="Palatino Linotype" w:eastAsia="Palatino Linotype" w:hAnsi="Palatino Linotype" w:cs="Palatino Linotype"/>
        </w:rPr>
        <w:t xml:space="preserve"> DE MAYO DEL DOS MIL VEINTIDÓS, ANTE EL SECRETARIO TÉCNICO DEL </w:t>
      </w:r>
      <w:r w:rsidR="00622135">
        <w:rPr>
          <w:rFonts w:ascii="Palatino Linotype" w:eastAsia="Palatino Linotype" w:hAnsi="Palatino Linotype" w:cs="Palatino Linotype"/>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25095</wp:posOffset>
                </wp:positionH>
                <wp:positionV relativeFrom="paragraph">
                  <wp:posOffset>1035823</wp:posOffset>
                </wp:positionV>
                <wp:extent cx="5565913" cy="6361044"/>
                <wp:effectExtent l="0" t="0" r="34925" b="20955"/>
                <wp:wrapNone/>
                <wp:docPr id="1" name="Conector recto 1"/>
                <wp:cNvGraphicFramePr/>
                <a:graphic xmlns:a="http://schemas.openxmlformats.org/drawingml/2006/main">
                  <a:graphicData uri="http://schemas.microsoft.com/office/word/2010/wordprocessingShape">
                    <wps:wsp>
                      <wps:cNvCnPr/>
                      <wps:spPr>
                        <a:xfrm>
                          <a:off x="0" y="0"/>
                          <a:ext cx="5565913" cy="63610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D0F10"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81.55pt" to="440.25pt,5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" strokecolor="black [3200]" strokeweight=".5pt">
                <v:stroke joinstyle="miter"/>
              </v:line>
            </w:pict>
          </mc:Fallback>
        </mc:AlternateContent>
      </w:r>
      <w:r>
        <w:rPr>
          <w:rFonts w:ascii="Palatino Linotype" w:eastAsia="Palatino Linotype" w:hAnsi="Palatino Linotype" w:cs="Palatino Linotype"/>
        </w:rPr>
        <w:t xml:space="preserve">PLENO ALEXIS TAPIA RAMÍREZ.   </w:t>
      </w:r>
    </w:p>
    <w:p w:rsidR="0019655B" w:rsidRDefault="0019655B">
      <w:pPr>
        <w:spacing w:before="240" w:after="240" w:line="360" w:lineRule="auto"/>
        <w:jc w:val="both"/>
        <w:rPr>
          <w:rFonts w:ascii="Palatino Linotype" w:eastAsia="Palatino Linotype" w:hAnsi="Palatino Linotype" w:cs="Palatino Linotype"/>
        </w:rPr>
      </w:pPr>
    </w:p>
    <w:sectPr w:rsidR="0019655B">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AA" w:rsidRDefault="002417AA">
      <w:r>
        <w:separator/>
      </w:r>
    </w:p>
  </w:endnote>
  <w:endnote w:type="continuationSeparator" w:id="0">
    <w:p w:rsidR="002417AA" w:rsidRDefault="0024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5B" w:rsidRDefault="0066199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22135">
      <w:rPr>
        <w:rFonts w:ascii="Arial" w:eastAsia="Arial" w:hAnsi="Arial" w:cs="Arial"/>
        <w:b/>
        <w:noProof/>
        <w:color w:val="000000"/>
        <w:sz w:val="20"/>
        <w:szCs w:val="20"/>
      </w:rPr>
      <w:t>15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22135">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19655B" w:rsidRDefault="0019655B">
    <w:pPr>
      <w:pBdr>
        <w:top w:val="nil"/>
        <w:left w:val="nil"/>
        <w:bottom w:val="nil"/>
        <w:right w:val="nil"/>
        <w:between w:val="nil"/>
      </w:pBdr>
      <w:tabs>
        <w:tab w:val="center" w:pos="4252"/>
        <w:tab w:val="right" w:pos="8504"/>
      </w:tabs>
      <w:rPr>
        <w:color w:val="000000"/>
      </w:rPr>
    </w:pPr>
  </w:p>
  <w:p w:rsidR="0019655B" w:rsidRDefault="0019655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5B" w:rsidRDefault="0066199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2213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22135">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rsidR="0019655B" w:rsidRDefault="0019655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AA" w:rsidRDefault="002417AA">
      <w:r>
        <w:separator/>
      </w:r>
    </w:p>
  </w:footnote>
  <w:footnote w:type="continuationSeparator" w:id="0">
    <w:p w:rsidR="002417AA" w:rsidRDefault="002417AA">
      <w:r>
        <w:continuationSeparator/>
      </w:r>
    </w:p>
  </w:footnote>
  <w:footnote w:id="1">
    <w:p w:rsidR="0019655B" w:rsidRDefault="00661999">
      <w:pPr>
        <w:tabs>
          <w:tab w:val="left" w:pos="709"/>
        </w:tabs>
        <w:ind w:right="49"/>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sz w:val="16"/>
          <w:szCs w:val="16"/>
        </w:rPr>
        <w:t>Ley de Trabajo de los Servidores Públicos del Estado de México y Municipios: A</w:t>
      </w:r>
      <w:r>
        <w:rPr>
          <w:rFonts w:ascii="Palatino Linotype" w:eastAsia="Palatino Linotype" w:hAnsi="Palatino Linotype" w:cs="Palatino Linotype"/>
          <w:i/>
          <w:sz w:val="16"/>
          <w:szCs w:val="16"/>
        </w:rPr>
        <w:t>RTÍCULO 93. Son causas de rescisión de la relación laboral, sin responsabilidad para las instituciones públicas:</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IV. Incurrir en cuatro o más faltas de asistencia a sus labores sin causa justificada, dentro de un lapso de treinta días;</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V. Abandonar las labores sin autorización previa o razón plenamente justificada, en contravención a lo establecido en las condiciones generales de trabajo…</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involuntario…(Sic)</w:t>
      </w:r>
    </w:p>
  </w:footnote>
  <w:footnote w:id="2">
    <w:p w:rsidR="0019655B" w:rsidRDefault="00661999">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Ley Federal del Trabajo:</w:t>
      </w:r>
    </w:p>
    <w:p w:rsidR="0019655B" w:rsidRDefault="00661999">
      <w:p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Artículo 804.</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El patrón tiene obligación de conservar y exhibir en juicio los documentos que a continuación se precisan:</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19655B" w:rsidRDefault="00661999">
      <w:p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III. Controles de asistencia, cuando se lleven en el centro de trabajo;</w:t>
      </w:r>
    </w:p>
    <w:p w:rsidR="0019655B" w:rsidRDefault="00661999">
      <w:p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w:t>
      </w:r>
    </w:p>
    <w:p w:rsidR="0019655B" w:rsidRDefault="00661999">
      <w:pPr>
        <w:tabs>
          <w:tab w:val="left" w:pos="709"/>
        </w:tabs>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Los documentos señalados en la fracción I deberán conservarse mientras dure la relación laboral y hasta un año después; </w:t>
      </w:r>
      <w:r>
        <w:rPr>
          <w:rFonts w:ascii="Palatino Linotype" w:eastAsia="Palatino Linotype" w:hAnsi="Palatino Linotype" w:cs="Palatino Linotype"/>
          <w:b/>
          <w:i/>
          <w:sz w:val="16"/>
          <w:szCs w:val="16"/>
        </w:rPr>
        <w:t>los señalados en las fracciones II, III y IV, durante el último año y un año después de que se extinga la relación laboral</w:t>
      </w:r>
      <w:r>
        <w:rPr>
          <w:rFonts w:ascii="Palatino Linotype" w:eastAsia="Palatino Linotype" w:hAnsi="Palatino Linotype" w:cs="Palatino Linotype"/>
          <w:i/>
          <w:sz w:val="16"/>
          <w:szCs w:val="16"/>
        </w:rPr>
        <w:t>; y los mencionados en la fracción V, conforme lo señalen las Leyes que los rijan.</w:t>
      </w:r>
    </w:p>
    <w:p w:rsidR="0019655B" w:rsidRDefault="0019655B">
      <w:pPr>
        <w:tabs>
          <w:tab w:val="left" w:pos="709"/>
        </w:tabs>
        <w:ind w:right="49"/>
        <w:jc w:val="both"/>
        <w:rPr>
          <w:rFonts w:ascii="Palatino Linotype" w:eastAsia="Palatino Linotype" w:hAnsi="Palatino Linotype" w:cs="Palatino Linotype"/>
          <w:i/>
          <w:sz w:val="16"/>
          <w:szCs w:val="16"/>
        </w:rPr>
      </w:pPr>
    </w:p>
    <w:p w:rsidR="0019655B" w:rsidRDefault="0019655B">
      <w:pPr>
        <w:pBdr>
          <w:top w:val="nil"/>
          <w:left w:val="nil"/>
          <w:bottom w:val="nil"/>
          <w:right w:val="nil"/>
          <w:between w:val="nil"/>
        </w:pBdr>
        <w:rPr>
          <w:rFonts w:ascii="Palatino Linotype" w:eastAsia="Palatino Linotype" w:hAnsi="Palatino Linotype" w:cs="Palatino Linotype"/>
          <w:i/>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5B" w:rsidRDefault="0019655B">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19655B">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9655B" w:rsidRDefault="006619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02159/INFOEM/IP/RR/2022 y acumulados.</w:t>
          </w:r>
        </w:p>
      </w:tc>
    </w:tr>
    <w:tr w:rsidR="0019655B">
      <w:trPr>
        <w:trHeight w:val="228"/>
      </w:trPr>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19655B" w:rsidRDefault="006619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9655B">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9655B" w:rsidRDefault="006619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9655B" w:rsidRDefault="0066199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n-US" w:eastAsia="en-US"/>
      </w:rPr>
      <w:drawing>
        <wp:anchor distT="0" distB="0" distL="0" distR="0" simplePos="0" relativeHeight="251658240" behindDoc="1" locked="0" layoutInCell="1" hidden="0" allowOverlap="1">
          <wp:simplePos x="0" y="0"/>
          <wp:positionH relativeFrom="column">
            <wp:posOffset>-695769</wp:posOffset>
          </wp:positionH>
          <wp:positionV relativeFrom="paragraph">
            <wp:posOffset>-1200944</wp:posOffset>
          </wp:positionV>
          <wp:extent cx="7809876" cy="10165823"/>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5B" w:rsidRDefault="0066199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n-US" w:eastAsia="en-US"/>
      </w:rPr>
      <w:drawing>
        <wp:anchor distT="0" distB="0" distL="0" distR="0" simplePos="0" relativeHeight="251659264" behindDoc="1" locked="0" layoutInCell="1" hidden="0" allowOverlap="1">
          <wp:simplePos x="0" y="0"/>
          <wp:positionH relativeFrom="column">
            <wp:posOffset>-846159</wp:posOffset>
          </wp:positionH>
          <wp:positionV relativeFrom="paragraph">
            <wp:posOffset>-171230</wp:posOffset>
          </wp:positionV>
          <wp:extent cx="7809876" cy="10165823"/>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19655B">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9655B" w:rsidRDefault="006619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02159/INFOEM/IP/RR/2022 y acumulados.</w:t>
          </w:r>
        </w:p>
      </w:tc>
    </w:tr>
    <w:tr w:rsidR="0019655B">
      <w:tc>
        <w:tcPr>
          <w:tcW w:w="2551" w:type="dxa"/>
          <w:vAlign w:val="center"/>
        </w:tcPr>
        <w:p w:rsidR="0019655B" w:rsidRDefault="0066199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9655B" w:rsidRDefault="0019655B">
          <w:pPr>
            <w:jc w:val="both"/>
            <w:rPr>
              <w:rFonts w:ascii="Palatino Linotype" w:eastAsia="Palatino Linotype" w:hAnsi="Palatino Linotype" w:cs="Palatino Linotype"/>
              <w:b/>
              <w:sz w:val="22"/>
              <w:szCs w:val="22"/>
            </w:rPr>
          </w:pPr>
        </w:p>
      </w:tc>
    </w:tr>
    <w:tr w:rsidR="0019655B">
      <w:trPr>
        <w:trHeight w:val="228"/>
      </w:trPr>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19655B" w:rsidRDefault="006619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9655B">
      <w:tc>
        <w:tcPr>
          <w:tcW w:w="2551" w:type="dxa"/>
          <w:vAlign w:val="center"/>
        </w:tcPr>
        <w:p w:rsidR="0019655B" w:rsidRDefault="006619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9655B" w:rsidRDefault="006619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9655B" w:rsidRDefault="0019655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5B" w:rsidRDefault="0019655B">
    <w:pPr>
      <w:pBdr>
        <w:top w:val="nil"/>
        <w:left w:val="nil"/>
        <w:bottom w:val="nil"/>
        <w:right w:val="nil"/>
        <w:between w:val="nil"/>
      </w:pBdr>
      <w:tabs>
        <w:tab w:val="center" w:pos="4252"/>
        <w:tab w:val="right" w:pos="8504"/>
      </w:tabs>
      <w:jc w:val="both"/>
      <w:rPr>
        <w:rFonts w:ascii="Calibri" w:eastAsia="Calibri" w:hAnsi="Calibri" w:cs="Calibri"/>
        <w:color w:val="000000"/>
      </w:rPr>
    </w:pPr>
  </w:p>
  <w:p w:rsidR="0019655B" w:rsidRDefault="0019655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30486"/>
    <w:multiLevelType w:val="multilevel"/>
    <w:tmpl w:val="63485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3E5A2B"/>
    <w:multiLevelType w:val="multilevel"/>
    <w:tmpl w:val="C10A17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4C298E"/>
    <w:multiLevelType w:val="multilevel"/>
    <w:tmpl w:val="EAFA2BE2"/>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146640"/>
    <w:multiLevelType w:val="hybridMultilevel"/>
    <w:tmpl w:val="B6008C3E"/>
    <w:lvl w:ilvl="0" w:tplc="10F04D6C">
      <w:start w:val="2252"/>
      <w:numFmt w:val="bullet"/>
      <w:lvlText w:val="-"/>
      <w:lvlJc w:val="left"/>
      <w:pPr>
        <w:ind w:left="720" w:hanging="360"/>
      </w:pPr>
      <w:rPr>
        <w:rFonts w:ascii="Palatino Linotype" w:eastAsia="Palatino Linotype" w:hAnsi="Palatino Linotype" w:cs="Palatino Linotype" w:hint="default"/>
        <w:b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D26B70"/>
    <w:multiLevelType w:val="multilevel"/>
    <w:tmpl w:val="08F2A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CC56F7"/>
    <w:multiLevelType w:val="multilevel"/>
    <w:tmpl w:val="0FD6E3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5B"/>
    <w:rsid w:val="0019655B"/>
    <w:rsid w:val="002417AA"/>
    <w:rsid w:val="00622135"/>
    <w:rsid w:val="00661999"/>
    <w:rsid w:val="009A0EB0"/>
    <w:rsid w:val="00B235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876C22C"/>
  <w15:docId w15:val="{9ADCD2C4-ACF3-4E15-996D-51E96F6D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hyperlink" Target="https://www.saimex.org.mx/saimex/solicitud/downloadAttach/1404745.page"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saimex.org.mx/saimex/solicitud/downloadAttach/1408109.pag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aimex.org.mx/saimex/solicitud/downloadAttach/1328348.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saimex.org.mx/saimex/solicitud/downloadAttach/1331580.pag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saimex.org.mx/saimex/solicitud/downloadAttach/1328346.page"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about:blank" TargetMode="External"/><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Fi8pVPD1/Q0NVkYxlVLypxeMaA==">AMUW2mVW+e8XaZ0gFm8m9+wTNJi8Om42qnMiIEksv75kVyqGOcPKr8YzI9/wLOFGApVGctPo7+CmXsuk7ozJM9kfFNetxg74NchGUVtr4mP60Ck9j+ZRvguP8jGrduiTjw7Zy5ckN3RDC31d15xjwo9TI93m87iEE/bJ1VOmpZW2gizumPbuo9I=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12267</Words>
  <Characters>69927</Characters>
  <Application>Microsoft Office Word</Application>
  <DocSecurity>0</DocSecurity>
  <Lines>582</Lines>
  <Paragraphs>164</Paragraphs>
  <ScaleCrop>false</ScaleCrop>
  <Company/>
  <LinksUpToDate>false</LinksUpToDate>
  <CharactersWithSpaces>82030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4</cp:revision>
  <dcterms:created xsi:type="dcterms:W3CDTF">2022-05-19T01:03:00Z</dcterms:created>
  <dcterms:modified xsi:type="dcterms:W3CDTF">2022-05-26T15:31:00Z</dcterms:modified>
</cp:coreProperties>
</file>