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0B042" w14:textId="6775737A" w:rsidR="007E2E80" w:rsidRDefault="007E2E80" w:rsidP="007E2E80">
      <w:pPr>
        <w:shd w:val="clear" w:color="auto" w:fill="FFFFFF"/>
        <w:spacing w:before="240" w:line="360" w:lineRule="auto"/>
        <w:jc w:val="both"/>
        <w:rPr>
          <w:rFonts w:ascii="Palatino Linotype" w:eastAsia="Times New Roman" w:hAnsi="Palatino Linotype"/>
          <w:color w:val="000000"/>
          <w:sz w:val="24"/>
          <w:szCs w:val="24"/>
          <w:lang w:eastAsia="es-MX"/>
        </w:rPr>
      </w:pPr>
      <w:r w:rsidRPr="0007011C">
        <w:rPr>
          <w:rFonts w:ascii="Palatino Linotype" w:eastAsia="Times New Roman" w:hAnsi="Palatino Linotype"/>
          <w:color w:val="000000"/>
          <w:sz w:val="24"/>
          <w:szCs w:val="24"/>
          <w:lang w:eastAsia="es-MX"/>
        </w:rPr>
        <w:t xml:space="preserve">Resolución del Pleno del </w:t>
      </w:r>
      <w:r>
        <w:rPr>
          <w:rFonts w:ascii="Palatino Linotype" w:eastAsia="Times New Roman" w:hAnsi="Palatino Linotype"/>
          <w:color w:val="000000"/>
          <w:sz w:val="24"/>
          <w:szCs w:val="24"/>
          <w:lang w:eastAsia="es-MX"/>
        </w:rPr>
        <w:t xml:space="preserve">Instituto de Transparencia, Acceso a la Información Pública y </w:t>
      </w:r>
      <w:r w:rsidRPr="00C52E1D">
        <w:rPr>
          <w:rFonts w:ascii="Palatino Linotype" w:eastAsia="Times New Roman" w:hAnsi="Palatino Linotype"/>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olor w:val="000000"/>
          <w:sz w:val="24"/>
          <w:szCs w:val="24"/>
          <w:lang w:eastAsia="es-MX"/>
        </w:rPr>
        <w:t xml:space="preserve">Metepec, Estado de </w:t>
      </w:r>
      <w:r w:rsidRPr="00D27C81">
        <w:rPr>
          <w:rFonts w:ascii="Palatino Linotype" w:eastAsia="Times New Roman" w:hAnsi="Palatino Linotype"/>
          <w:color w:val="000000"/>
          <w:sz w:val="24"/>
          <w:szCs w:val="24"/>
          <w:lang w:eastAsia="es-MX"/>
        </w:rPr>
        <w:t xml:space="preserve">México, a </w:t>
      </w:r>
      <w:r w:rsidR="00735D4D">
        <w:rPr>
          <w:rFonts w:ascii="Palatino Linotype" w:eastAsia="Times New Roman" w:hAnsi="Palatino Linotype"/>
          <w:color w:val="000000"/>
          <w:sz w:val="24"/>
          <w:szCs w:val="24"/>
          <w:lang w:eastAsia="es-MX"/>
        </w:rPr>
        <w:t>cuatro</w:t>
      </w:r>
      <w:r w:rsidR="008842C2">
        <w:rPr>
          <w:rFonts w:ascii="Palatino Linotype" w:eastAsia="Times New Roman" w:hAnsi="Palatino Linotype"/>
          <w:color w:val="000000"/>
          <w:sz w:val="24"/>
          <w:szCs w:val="24"/>
          <w:lang w:eastAsia="es-MX"/>
        </w:rPr>
        <w:t xml:space="preserve"> de febrero de dos mil veintidós</w:t>
      </w:r>
      <w:r w:rsidRPr="00D27C81">
        <w:rPr>
          <w:rFonts w:ascii="Palatino Linotype" w:eastAsia="Times New Roman" w:hAnsi="Palatino Linotype"/>
          <w:color w:val="000000"/>
          <w:sz w:val="24"/>
          <w:szCs w:val="24"/>
          <w:lang w:eastAsia="es-MX"/>
        </w:rPr>
        <w:t>.</w:t>
      </w:r>
    </w:p>
    <w:p w14:paraId="2C168954" w14:textId="77777777" w:rsidR="007E2E80" w:rsidRPr="00623604" w:rsidRDefault="007E2E80" w:rsidP="007E2E80">
      <w:pPr>
        <w:shd w:val="clear" w:color="auto" w:fill="FFFFFF"/>
        <w:spacing w:before="240" w:line="360" w:lineRule="auto"/>
        <w:jc w:val="both"/>
        <w:rPr>
          <w:rFonts w:ascii="Palatino Linotype" w:eastAsia="Times New Roman" w:hAnsi="Palatino Linotype"/>
          <w:color w:val="000000"/>
          <w:sz w:val="14"/>
          <w:szCs w:val="24"/>
          <w:lang w:eastAsia="es-MX"/>
        </w:rPr>
      </w:pPr>
    </w:p>
    <w:p w14:paraId="779F1B94" w14:textId="6EA67D26" w:rsidR="007E2E80" w:rsidRDefault="007E2E80" w:rsidP="007E2E80">
      <w:pPr>
        <w:tabs>
          <w:tab w:val="left" w:pos="1701"/>
        </w:tabs>
        <w:spacing w:before="240" w:line="360" w:lineRule="auto"/>
        <w:jc w:val="both"/>
        <w:rPr>
          <w:rFonts w:ascii="Palatino Linotype" w:hAnsi="Palatino Linotype"/>
          <w:sz w:val="24"/>
        </w:rPr>
      </w:pPr>
      <w:r>
        <w:rPr>
          <w:rFonts w:ascii="Palatino Linotype" w:hAnsi="Palatino Linotype"/>
          <w:b/>
          <w:sz w:val="24"/>
        </w:rPr>
        <w:t>VISTO</w:t>
      </w:r>
      <w:r>
        <w:rPr>
          <w:rFonts w:ascii="Palatino Linotype" w:hAnsi="Palatino Linotype"/>
          <w:sz w:val="24"/>
        </w:rPr>
        <w:t xml:space="preserve"> el expediente electrónico formado con motivo del recurso de revisión número </w:t>
      </w:r>
      <w:r w:rsidR="008842C2" w:rsidRPr="008842C2">
        <w:rPr>
          <w:rFonts w:ascii="Palatino Linotype" w:hAnsi="Palatino Linotype"/>
          <w:b/>
          <w:bCs/>
          <w:sz w:val="24"/>
        </w:rPr>
        <w:t>05800/INFOEM/IP/RR/2021</w:t>
      </w:r>
      <w:r>
        <w:rPr>
          <w:rFonts w:ascii="Palatino Linotype" w:hAnsi="Palatino Linotype"/>
          <w:sz w:val="24"/>
        </w:rPr>
        <w:t xml:space="preserve">, </w:t>
      </w:r>
      <w:r w:rsidR="008842C2" w:rsidRPr="00343910">
        <w:rPr>
          <w:rFonts w:ascii="Palatino Linotype" w:hAnsi="Palatino Linotype" w:cs="Arial"/>
          <w:sz w:val="24"/>
        </w:rPr>
        <w:t xml:space="preserve">interpuesto por una persona que no proporcionó un nombre para ser identificado, sin embargo, en lo sucesivo se le denominará </w:t>
      </w:r>
      <w:r w:rsidR="008842C2">
        <w:rPr>
          <w:rFonts w:ascii="Palatino Linotype" w:hAnsi="Palatino Linotype" w:cs="Arial"/>
          <w:sz w:val="24"/>
        </w:rPr>
        <w:t>el</w:t>
      </w:r>
      <w:r w:rsidR="008842C2" w:rsidRPr="00343910">
        <w:rPr>
          <w:rFonts w:ascii="Palatino Linotype" w:hAnsi="Palatino Linotype" w:cs="Arial"/>
          <w:sz w:val="24"/>
        </w:rPr>
        <w:t xml:space="preserve"> </w:t>
      </w:r>
      <w:r w:rsidR="008842C2" w:rsidRPr="00343910">
        <w:rPr>
          <w:rFonts w:ascii="Palatino Linotype" w:hAnsi="Palatino Linotype" w:cs="Arial"/>
          <w:b/>
          <w:bCs/>
          <w:sz w:val="24"/>
        </w:rPr>
        <w:t>Recurrente</w:t>
      </w:r>
      <w:r w:rsidRPr="00224181">
        <w:rPr>
          <w:rFonts w:ascii="Palatino Linotype" w:hAnsi="Palatino Linotype"/>
          <w:sz w:val="24"/>
        </w:rPr>
        <w:t>, en contra de la</w:t>
      </w:r>
      <w:r w:rsidR="00F66F40">
        <w:rPr>
          <w:rFonts w:ascii="Palatino Linotype" w:hAnsi="Palatino Linotype"/>
          <w:sz w:val="24"/>
        </w:rPr>
        <w:t xml:space="preserve"> </w:t>
      </w:r>
      <w:r w:rsidRPr="00224181">
        <w:rPr>
          <w:rFonts w:ascii="Palatino Linotype" w:hAnsi="Palatino Linotype"/>
          <w:sz w:val="24"/>
        </w:rPr>
        <w:t xml:space="preserve">respuesta </w:t>
      </w:r>
      <w:r>
        <w:rPr>
          <w:rFonts w:ascii="Palatino Linotype" w:hAnsi="Palatino Linotype"/>
          <w:sz w:val="24"/>
        </w:rPr>
        <w:t>del</w:t>
      </w:r>
      <w:r w:rsidRPr="0019457A">
        <w:rPr>
          <w:rFonts w:ascii="Palatino Linotype" w:hAnsi="Palatino Linotype"/>
          <w:sz w:val="24"/>
        </w:rPr>
        <w:t xml:space="preserve"> </w:t>
      </w:r>
      <w:r w:rsidR="008842C2" w:rsidRPr="008842C2">
        <w:rPr>
          <w:rFonts w:ascii="Palatino Linotype" w:hAnsi="Palatino Linotype"/>
          <w:b/>
          <w:sz w:val="24"/>
        </w:rPr>
        <w:t>Ayuntamiento de Toluca</w:t>
      </w:r>
      <w:r w:rsidRPr="0019457A">
        <w:rPr>
          <w:rFonts w:ascii="Palatino Linotype" w:hAnsi="Palatino Linotype"/>
          <w:sz w:val="24"/>
        </w:rPr>
        <w:t>, en lo subsecuente</w:t>
      </w:r>
      <w:r w:rsidR="001F595E">
        <w:rPr>
          <w:rFonts w:ascii="Palatino Linotype" w:hAnsi="Palatino Linotype"/>
          <w:b/>
          <w:sz w:val="24"/>
          <w:szCs w:val="24"/>
        </w:rPr>
        <w:t xml:space="preserve"> </w:t>
      </w:r>
      <w:r w:rsidR="001F595E" w:rsidRPr="00623604">
        <w:rPr>
          <w:rFonts w:ascii="Palatino Linotype" w:hAnsi="Palatino Linotype"/>
          <w:sz w:val="24"/>
          <w:szCs w:val="24"/>
        </w:rPr>
        <w:t>el</w:t>
      </w:r>
      <w:r w:rsidRPr="00623604">
        <w:rPr>
          <w:rFonts w:ascii="Palatino Linotype" w:hAnsi="Palatino Linotype"/>
          <w:sz w:val="24"/>
          <w:szCs w:val="24"/>
        </w:rPr>
        <w:t xml:space="preserve"> </w:t>
      </w:r>
      <w:r w:rsidRPr="00224181">
        <w:rPr>
          <w:rFonts w:ascii="Palatino Linotype" w:hAnsi="Palatino Linotype"/>
          <w:b/>
          <w:sz w:val="24"/>
          <w:szCs w:val="24"/>
        </w:rPr>
        <w:t xml:space="preserve">Sujeto Obligado, </w:t>
      </w:r>
      <w:r w:rsidRPr="00224181">
        <w:rPr>
          <w:rFonts w:ascii="Palatino Linotype" w:hAnsi="Palatino Linotype"/>
          <w:sz w:val="24"/>
          <w:szCs w:val="24"/>
        </w:rPr>
        <w:t>se procede a</w:t>
      </w:r>
      <w:r w:rsidRPr="00224181">
        <w:rPr>
          <w:rFonts w:ascii="Palatino Linotype" w:hAnsi="Palatino Linotype"/>
          <w:sz w:val="24"/>
        </w:rPr>
        <w:t xml:space="preserve"> dictar la presente resolución.</w:t>
      </w:r>
      <w:bookmarkStart w:id="0" w:name="_GoBack"/>
      <w:bookmarkEnd w:id="0"/>
    </w:p>
    <w:p w14:paraId="2DF1E238" w14:textId="77777777" w:rsidR="007E2E80" w:rsidRPr="00623604" w:rsidRDefault="007E2E80" w:rsidP="007E2E80">
      <w:pPr>
        <w:tabs>
          <w:tab w:val="left" w:pos="1701"/>
        </w:tabs>
        <w:spacing w:before="240" w:line="360" w:lineRule="auto"/>
        <w:jc w:val="both"/>
        <w:rPr>
          <w:rFonts w:ascii="Palatino Linotype" w:hAnsi="Palatino Linotype"/>
          <w:sz w:val="12"/>
        </w:rPr>
      </w:pPr>
    </w:p>
    <w:p w14:paraId="33805616" w14:textId="77777777" w:rsidR="007E2E80"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D73585E" w14:textId="77777777" w:rsidR="00F5791B" w:rsidRPr="00F5791B" w:rsidRDefault="00F5791B" w:rsidP="007E2E80">
      <w:pPr>
        <w:spacing w:before="240" w:after="240" w:line="360" w:lineRule="auto"/>
        <w:jc w:val="center"/>
        <w:rPr>
          <w:rFonts w:ascii="Palatino Linotype" w:hAnsi="Palatino Linotype"/>
          <w:b/>
          <w:sz w:val="4"/>
        </w:rPr>
      </w:pPr>
    </w:p>
    <w:p w14:paraId="2D11E7D7"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22F7E6D8" w14:textId="71C0093E"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8842C2">
        <w:rPr>
          <w:rFonts w:ascii="Palatino Linotype" w:hAnsi="Palatino Linotype" w:cs="Arial"/>
          <w:sz w:val="24"/>
          <w:szCs w:val="24"/>
        </w:rPr>
        <w:t>veintisiete de octubre</w:t>
      </w:r>
      <w:r w:rsidR="00AC071B">
        <w:rPr>
          <w:rFonts w:ascii="Palatino Linotype" w:hAnsi="Palatino Linotype" w:cs="Arial"/>
          <w:sz w:val="24"/>
          <w:szCs w:val="24"/>
        </w:rPr>
        <w:t xml:space="preserve"> de dos mil veintiuno</w:t>
      </w:r>
      <w:r w:rsidRPr="001F595E">
        <w:rPr>
          <w:rFonts w:ascii="Palatino Linotype" w:hAnsi="Palatino Linotype" w:cs="Arial"/>
          <w:sz w:val="24"/>
          <w:szCs w:val="24"/>
        </w:rPr>
        <w:t xml:space="preserve">, </w:t>
      </w:r>
      <w:r w:rsidR="00CF598D">
        <w:rPr>
          <w:rFonts w:ascii="Palatino Linotype" w:hAnsi="Palatino Linotype" w:cs="Arial"/>
          <w:sz w:val="24"/>
          <w:szCs w:val="24"/>
        </w:rPr>
        <w:t>el</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xml:space="preserve">, solicitud de acceso a la información pública, registrada bajo el número de </w:t>
      </w:r>
      <w:proofErr w:type="gramStart"/>
      <w:r w:rsidRPr="001F595E">
        <w:rPr>
          <w:rFonts w:ascii="Palatino Linotype" w:hAnsi="Palatino Linotype" w:cs="Arial"/>
          <w:sz w:val="24"/>
          <w:szCs w:val="24"/>
        </w:rPr>
        <w:t>expediente</w:t>
      </w:r>
      <w:proofErr w:type="gramEnd"/>
      <w:r w:rsidR="00B241F9">
        <w:rPr>
          <w:rFonts w:ascii="Palatino Linotype" w:hAnsi="Palatino Linotype" w:cs="Arial"/>
          <w:sz w:val="24"/>
          <w:szCs w:val="24"/>
        </w:rPr>
        <w:t xml:space="preserve"> </w:t>
      </w:r>
      <w:r w:rsidR="008842C2" w:rsidRPr="008842C2">
        <w:rPr>
          <w:rFonts w:ascii="Palatino Linotype" w:hAnsi="Palatino Linotype" w:cs="Arial"/>
          <w:b/>
          <w:sz w:val="24"/>
          <w:szCs w:val="24"/>
        </w:rPr>
        <w:t>01022/TOLUCA/IP/2021</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1B5FA7BD" w14:textId="77777777" w:rsidR="001F595E" w:rsidRPr="001F595E" w:rsidRDefault="001F595E" w:rsidP="001F595E">
      <w:pPr>
        <w:pStyle w:val="Sinespaciado"/>
        <w:jc w:val="both"/>
        <w:rPr>
          <w:rFonts w:ascii="Palatino Linotype" w:hAnsi="Palatino Linotype" w:cs="Arial"/>
          <w:sz w:val="24"/>
          <w:szCs w:val="24"/>
        </w:rPr>
      </w:pPr>
    </w:p>
    <w:p w14:paraId="4927D083" w14:textId="5E5D839E" w:rsidR="00E93059" w:rsidRPr="00F7575D" w:rsidRDefault="004260E8" w:rsidP="00F7575D">
      <w:pPr>
        <w:ind w:left="851" w:right="850"/>
        <w:jc w:val="both"/>
        <w:rPr>
          <w:rFonts w:ascii="Palatino Linotype" w:eastAsia="Times New Roman" w:hAnsi="Palatino Linotype"/>
          <w:i/>
          <w:lang w:val="es-ES_tradnl" w:eastAsia="es-ES"/>
        </w:rPr>
      </w:pPr>
      <w:r>
        <w:rPr>
          <w:rFonts w:ascii="Palatino Linotype" w:eastAsia="Times New Roman" w:hAnsi="Palatino Linotype"/>
          <w:i/>
          <w:lang w:val="es-ES_tradnl" w:eastAsia="es-ES"/>
        </w:rPr>
        <w:t>“</w:t>
      </w:r>
      <w:r w:rsidR="008842C2" w:rsidRPr="008842C2">
        <w:rPr>
          <w:rFonts w:ascii="Palatino Linotype" w:eastAsia="Times New Roman" w:hAnsi="Palatino Linotype"/>
          <w:i/>
          <w:lang w:val="es-ES_tradnl" w:eastAsia="es-ES"/>
        </w:rPr>
        <w:t xml:space="preserve">En sesión extraordinaria de cabildo, el presidente municipal de Toluca, Juan Rodolfo Sánchez Gómez, presentó a consideración del Cabildo un punto de acuerdo para solicitar autorización para enajenar, desincorporar y desafectar 10 bienes inmuebles de propiedad municipal, sobre los cuales ocultó en todo momento su valor comercial y catastral. Cuál es la ubicación y cuáles son los 10 predios que se pondrán </w:t>
      </w:r>
      <w:r w:rsidR="008842C2" w:rsidRPr="008842C2">
        <w:rPr>
          <w:rFonts w:ascii="Palatino Linotype" w:eastAsia="Times New Roman" w:hAnsi="Palatino Linotype"/>
          <w:i/>
          <w:lang w:val="es-ES_tradnl" w:eastAsia="es-ES"/>
        </w:rPr>
        <w:lastRenderedPageBreak/>
        <w:t>a la venta, cuál es el proceso para llevar a cabo esto, cuál será el monto de salida de la subasta y cuál es el monto que se espera recaudar, en que se usaría el recurso, y a quién se convocará a la subasta.</w:t>
      </w:r>
      <w:r w:rsidR="007E2E80" w:rsidRPr="00DE246E">
        <w:rPr>
          <w:rFonts w:ascii="Palatino Linotype" w:eastAsia="Times New Roman" w:hAnsi="Palatino Linotype"/>
          <w:i/>
          <w:lang w:val="es-ES_tradnl" w:eastAsia="es-ES"/>
        </w:rPr>
        <w:t>” [Sic]</w:t>
      </w:r>
    </w:p>
    <w:p w14:paraId="1777006B" w14:textId="77777777" w:rsidR="007E2E80" w:rsidRDefault="00623604" w:rsidP="007E2E80">
      <w:pPr>
        <w:spacing w:before="240" w:line="240" w:lineRule="auto"/>
        <w:ind w:right="850"/>
        <w:jc w:val="both"/>
        <w:rPr>
          <w:rFonts w:ascii="Palatino Linotype" w:eastAsia="Times New Roman" w:hAnsi="Palatino Linotype"/>
          <w:sz w:val="24"/>
          <w:szCs w:val="24"/>
          <w:lang w:val="es-ES_tradnl" w:eastAsia="es-ES"/>
        </w:rPr>
      </w:pPr>
      <w:r w:rsidRPr="00623604">
        <w:rPr>
          <w:rFonts w:ascii="Palatino Linotype" w:eastAsia="Times New Roman" w:hAnsi="Palatino Linotype"/>
          <w:b/>
          <w:sz w:val="24"/>
          <w:szCs w:val="24"/>
          <w:lang w:val="es-ES_tradnl" w:eastAsia="es-ES"/>
        </w:rPr>
        <w:t>MODALIDAD DE ENTREGA:</w:t>
      </w:r>
      <w:r w:rsidRPr="00CA1161">
        <w:rPr>
          <w:rFonts w:ascii="Palatino Linotype" w:eastAsia="Times New Roman" w:hAnsi="Palatino Linotype"/>
          <w:sz w:val="24"/>
          <w:szCs w:val="24"/>
          <w:lang w:val="es-ES_tradnl" w:eastAsia="es-ES"/>
        </w:rPr>
        <w:t xml:space="preserve"> </w:t>
      </w:r>
      <w:r w:rsidR="007E2E80">
        <w:rPr>
          <w:rFonts w:ascii="Palatino Linotype" w:eastAsia="Times New Roman" w:hAnsi="Palatino Linotype"/>
          <w:sz w:val="24"/>
          <w:szCs w:val="24"/>
          <w:lang w:val="es-ES_tradnl" w:eastAsia="es-ES"/>
        </w:rPr>
        <w:t>A través del SAIMEX.</w:t>
      </w:r>
    </w:p>
    <w:p w14:paraId="4B57BFA5" w14:textId="77777777" w:rsidR="007E2E80" w:rsidRPr="00623604" w:rsidRDefault="007E2E80" w:rsidP="007E2E80">
      <w:pPr>
        <w:spacing w:before="240" w:line="240" w:lineRule="auto"/>
        <w:ind w:right="850"/>
        <w:jc w:val="both"/>
        <w:rPr>
          <w:rFonts w:ascii="Palatino Linotype" w:eastAsia="Times New Roman" w:hAnsi="Palatino Linotype"/>
          <w:sz w:val="14"/>
          <w:szCs w:val="24"/>
          <w:lang w:val="es-ES_tradnl" w:eastAsia="es-ES"/>
        </w:rPr>
      </w:pPr>
    </w:p>
    <w:p w14:paraId="005FEE51" w14:textId="77777777" w:rsidR="00362991" w:rsidRDefault="00362991" w:rsidP="00362991">
      <w:pPr>
        <w:pStyle w:val="Sinespaciado"/>
        <w:spacing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B4656F0" w14:textId="78BCCD02" w:rsidR="00362991" w:rsidRPr="00961F97" w:rsidRDefault="00362991" w:rsidP="00362991">
      <w:pPr>
        <w:pStyle w:val="Sinespaciado"/>
        <w:spacing w:line="360" w:lineRule="auto"/>
        <w:jc w:val="both"/>
        <w:rPr>
          <w:rFonts w:ascii="Palatino Linotype" w:hAnsi="Palatino Linotype"/>
          <w:sz w:val="24"/>
        </w:rPr>
      </w:pPr>
      <w:r w:rsidRPr="00362991">
        <w:rPr>
          <w:rFonts w:ascii="Palatino Linotype" w:hAnsi="Palatino Linotype" w:cs="Arial"/>
          <w:sz w:val="24"/>
          <w:szCs w:val="24"/>
        </w:rPr>
        <w:t>En el expediente electrónico</w:t>
      </w:r>
      <w:r w:rsidR="00F711F3">
        <w:rPr>
          <w:rFonts w:ascii="Palatino Linotype" w:hAnsi="Palatino Linotype" w:cs="Arial"/>
          <w:sz w:val="24"/>
          <w:szCs w:val="24"/>
        </w:rPr>
        <w:t xml:space="preserve"> de Sistema de Acceso a la Información Mexiquense</w:t>
      </w:r>
      <w:r w:rsidRPr="00362991">
        <w:rPr>
          <w:rFonts w:ascii="Palatino Linotype" w:hAnsi="Palatino Linotype" w:cs="Arial"/>
          <w:sz w:val="24"/>
          <w:szCs w:val="24"/>
        </w:rPr>
        <w:t xml:space="preserve"> </w:t>
      </w:r>
      <w:r w:rsidR="00F711F3">
        <w:rPr>
          <w:rFonts w:ascii="Palatino Linotype" w:hAnsi="Palatino Linotype" w:cs="Arial"/>
          <w:sz w:val="24"/>
          <w:szCs w:val="24"/>
        </w:rPr>
        <w:t>(</w:t>
      </w:r>
      <w:r w:rsidRPr="00362991">
        <w:rPr>
          <w:rFonts w:ascii="Palatino Linotype" w:hAnsi="Palatino Linotype" w:cs="Arial"/>
          <w:b/>
          <w:sz w:val="24"/>
          <w:szCs w:val="24"/>
        </w:rPr>
        <w:t>SAIMEX</w:t>
      </w:r>
      <w:r w:rsidR="00F711F3">
        <w:rPr>
          <w:rFonts w:ascii="Palatino Linotype" w:hAnsi="Palatino Linotype" w:cs="Arial"/>
          <w:b/>
          <w:sz w:val="24"/>
          <w:szCs w:val="24"/>
        </w:rPr>
        <w:t>)</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 en fecha</w:t>
      </w:r>
      <w:r w:rsidR="00282969">
        <w:rPr>
          <w:rFonts w:ascii="Palatino Linotype" w:hAnsi="Palatino Linotype"/>
          <w:sz w:val="24"/>
        </w:rPr>
        <w:t xml:space="preserve"> </w:t>
      </w:r>
      <w:r w:rsidR="00F2073E">
        <w:rPr>
          <w:rFonts w:ascii="Palatino Linotype" w:hAnsi="Palatino Linotype"/>
          <w:sz w:val="24"/>
        </w:rPr>
        <w:t>diecinueve de noviembre</w:t>
      </w:r>
      <w:r w:rsidR="00AC071B">
        <w:rPr>
          <w:rFonts w:ascii="Palatino Linotype" w:hAnsi="Palatino Linotype"/>
          <w:sz w:val="24"/>
        </w:rPr>
        <w:t xml:space="preserve"> de dos mil veintiuno</w:t>
      </w:r>
      <w:r w:rsidRPr="00961F97">
        <w:rPr>
          <w:rFonts w:ascii="Palatino Linotype" w:hAnsi="Palatino Linotype"/>
          <w:sz w:val="24"/>
        </w:rPr>
        <w:t>, manifestando lo siguiente:</w:t>
      </w:r>
    </w:p>
    <w:p w14:paraId="2301F4FB" w14:textId="4342D4AA" w:rsidR="00657FE8" w:rsidRPr="00657FE8" w:rsidRDefault="00362991" w:rsidP="00657FE8">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1D201674" w14:textId="39F740B9" w:rsidR="00C8503E" w:rsidRPr="00C8503E" w:rsidRDefault="00C8503E" w:rsidP="00C8503E">
      <w:pPr>
        <w:spacing w:after="0" w:line="240" w:lineRule="auto"/>
        <w:ind w:left="567" w:right="567"/>
        <w:jc w:val="right"/>
        <w:rPr>
          <w:rFonts w:ascii="Palatino Linotype" w:hAnsi="Palatino Linotype"/>
          <w:i/>
        </w:rPr>
      </w:pPr>
    </w:p>
    <w:p w14:paraId="56F492BB" w14:textId="77777777" w:rsidR="00F2073E" w:rsidRPr="00F2073E" w:rsidRDefault="00657FE8" w:rsidP="00F2073E">
      <w:pPr>
        <w:spacing w:after="0" w:line="240" w:lineRule="auto"/>
        <w:ind w:left="567" w:right="567"/>
        <w:jc w:val="right"/>
        <w:rPr>
          <w:rFonts w:ascii="Palatino Linotype" w:hAnsi="Palatino Linotype"/>
          <w:i/>
        </w:rPr>
      </w:pPr>
      <w:r>
        <w:rPr>
          <w:rFonts w:ascii="Palatino Linotype" w:hAnsi="Palatino Linotype"/>
          <w:i/>
        </w:rPr>
        <w:t>“</w:t>
      </w:r>
      <w:r w:rsidR="00F2073E" w:rsidRPr="00F2073E">
        <w:rPr>
          <w:rFonts w:ascii="Palatino Linotype" w:hAnsi="Palatino Linotype"/>
          <w:i/>
        </w:rPr>
        <w:t>Folio de la solicitud: 01022/TOLUCA/IP/2021</w:t>
      </w:r>
    </w:p>
    <w:p w14:paraId="2E5878AB" w14:textId="77777777" w:rsidR="00F2073E" w:rsidRDefault="00F2073E" w:rsidP="00F2073E">
      <w:pPr>
        <w:spacing w:after="0" w:line="240" w:lineRule="auto"/>
        <w:ind w:left="567" w:right="567"/>
        <w:jc w:val="both"/>
        <w:rPr>
          <w:rFonts w:ascii="Palatino Linotype" w:hAnsi="Palatino Linotype"/>
          <w:i/>
        </w:rPr>
      </w:pPr>
    </w:p>
    <w:p w14:paraId="7FAE01AC" w14:textId="32D19BF3" w:rsidR="00F2073E" w:rsidRPr="00F2073E" w:rsidRDefault="00F2073E" w:rsidP="00F2073E">
      <w:pPr>
        <w:spacing w:after="0" w:line="240" w:lineRule="auto"/>
        <w:ind w:left="567" w:right="567"/>
        <w:jc w:val="both"/>
        <w:rPr>
          <w:rFonts w:ascii="Palatino Linotype" w:hAnsi="Palatino Linotype"/>
          <w:i/>
        </w:rPr>
      </w:pPr>
      <w:r w:rsidRPr="00F2073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CC82EF" w14:textId="77777777" w:rsidR="00F2073E" w:rsidRDefault="00F2073E" w:rsidP="00F2073E">
      <w:pPr>
        <w:spacing w:after="0" w:line="240" w:lineRule="auto"/>
        <w:ind w:left="567" w:right="567"/>
        <w:jc w:val="both"/>
        <w:rPr>
          <w:rFonts w:ascii="Palatino Linotype" w:hAnsi="Palatino Linotype"/>
          <w:i/>
        </w:rPr>
      </w:pPr>
    </w:p>
    <w:p w14:paraId="51831959" w14:textId="0E56F39D" w:rsidR="00F2073E" w:rsidRPr="00F2073E" w:rsidRDefault="00F2073E" w:rsidP="00F2073E">
      <w:pPr>
        <w:spacing w:after="0" w:line="240" w:lineRule="auto"/>
        <w:ind w:left="567" w:right="567"/>
        <w:jc w:val="both"/>
        <w:rPr>
          <w:rFonts w:ascii="Palatino Linotype" w:hAnsi="Palatino Linotype"/>
          <w:i/>
        </w:rPr>
      </w:pPr>
      <w:r w:rsidRPr="00F2073E">
        <w:rPr>
          <w:rFonts w:ascii="Palatino Linotype" w:hAnsi="Palatino Linotype"/>
          <w:i/>
        </w:rPr>
        <w:t>Al respecto se adjuntan respuestas.</w:t>
      </w:r>
    </w:p>
    <w:p w14:paraId="68473206" w14:textId="77777777" w:rsidR="00F2073E" w:rsidRDefault="00F2073E" w:rsidP="00F2073E">
      <w:pPr>
        <w:spacing w:after="0" w:line="240" w:lineRule="auto"/>
        <w:ind w:left="567" w:right="567"/>
        <w:jc w:val="both"/>
        <w:rPr>
          <w:rFonts w:ascii="Palatino Linotype" w:hAnsi="Palatino Linotype"/>
          <w:i/>
        </w:rPr>
      </w:pPr>
    </w:p>
    <w:p w14:paraId="2D703A88" w14:textId="131A053A" w:rsidR="00F2073E" w:rsidRPr="00F2073E" w:rsidRDefault="00F2073E" w:rsidP="00F2073E">
      <w:pPr>
        <w:spacing w:after="0" w:line="240" w:lineRule="auto"/>
        <w:ind w:left="567" w:right="567"/>
        <w:jc w:val="both"/>
        <w:rPr>
          <w:rFonts w:ascii="Palatino Linotype" w:hAnsi="Palatino Linotype"/>
          <w:i/>
        </w:rPr>
      </w:pPr>
      <w:r w:rsidRPr="00F2073E">
        <w:rPr>
          <w:rFonts w:ascii="Palatino Linotype" w:hAnsi="Palatino Linotype"/>
          <w:i/>
        </w:rPr>
        <w:t>ATENTAMENTE</w:t>
      </w:r>
    </w:p>
    <w:p w14:paraId="3C2D0A97" w14:textId="45824D05" w:rsidR="00362991" w:rsidRPr="00961F97" w:rsidRDefault="00F2073E" w:rsidP="00F2073E">
      <w:pPr>
        <w:spacing w:after="0" w:line="240" w:lineRule="auto"/>
        <w:ind w:left="567" w:right="567"/>
        <w:jc w:val="both"/>
        <w:rPr>
          <w:rFonts w:ascii="Palatino Linotype" w:hAnsi="Palatino Linotype"/>
          <w:i/>
        </w:rPr>
      </w:pPr>
      <w:r w:rsidRPr="00F2073E">
        <w:rPr>
          <w:rFonts w:ascii="Palatino Linotype" w:hAnsi="Palatino Linotype"/>
          <w:i/>
        </w:rPr>
        <w:t>MTRA. LORENA NAVARRETE CASTAÑEDA</w:t>
      </w:r>
      <w:r w:rsidR="00362991" w:rsidRPr="00961F97">
        <w:rPr>
          <w:rFonts w:ascii="Palatino Linotype" w:hAnsi="Palatino Linotype"/>
          <w:i/>
        </w:rPr>
        <w:t>” (Sic)</w:t>
      </w:r>
    </w:p>
    <w:p w14:paraId="26FC1188" w14:textId="77777777" w:rsidR="00362991" w:rsidRPr="00961F97" w:rsidRDefault="00362991" w:rsidP="00362991">
      <w:pPr>
        <w:spacing w:after="0" w:line="360" w:lineRule="auto"/>
        <w:jc w:val="both"/>
        <w:rPr>
          <w:rFonts w:ascii="Palatino Linotype" w:hAnsi="Palatino Linotype"/>
          <w:sz w:val="24"/>
        </w:rPr>
      </w:pPr>
    </w:p>
    <w:p w14:paraId="2F395D9B" w14:textId="0F1FC9BB" w:rsidR="00362991" w:rsidRPr="00961F97" w:rsidRDefault="00362991" w:rsidP="00362991">
      <w:pPr>
        <w:spacing w:after="0" w:line="360" w:lineRule="auto"/>
        <w:jc w:val="both"/>
        <w:rPr>
          <w:rFonts w:ascii="Palatino Linotype" w:hAnsi="Palatino Linotype"/>
          <w:i/>
          <w:sz w:val="24"/>
          <w:szCs w:val="24"/>
        </w:rPr>
      </w:pPr>
      <w:r>
        <w:rPr>
          <w:rFonts w:ascii="Palatino Linotype" w:hAnsi="Palatino Linotype"/>
          <w:sz w:val="24"/>
          <w:szCs w:val="24"/>
        </w:rPr>
        <w:t xml:space="preserve">A su respuesta anexó </w:t>
      </w:r>
      <w:r w:rsidR="00064788">
        <w:rPr>
          <w:rFonts w:ascii="Palatino Linotype" w:hAnsi="Palatino Linotype"/>
          <w:sz w:val="24"/>
          <w:szCs w:val="24"/>
        </w:rPr>
        <w:t>los</w:t>
      </w:r>
      <w:r>
        <w:rPr>
          <w:rFonts w:ascii="Palatino Linotype" w:hAnsi="Palatino Linotype"/>
          <w:sz w:val="24"/>
          <w:szCs w:val="24"/>
        </w:rPr>
        <w:t xml:space="preserve"> archivo</w:t>
      </w:r>
      <w:r w:rsidR="00064788">
        <w:rPr>
          <w:rFonts w:ascii="Palatino Linotype" w:hAnsi="Palatino Linotype"/>
          <w:sz w:val="24"/>
          <w:szCs w:val="24"/>
        </w:rPr>
        <w:t>s</w:t>
      </w:r>
      <w:r>
        <w:rPr>
          <w:rFonts w:ascii="Palatino Linotype" w:hAnsi="Palatino Linotype"/>
          <w:sz w:val="24"/>
          <w:szCs w:val="24"/>
        </w:rPr>
        <w:t xml:space="preserve"> electrónico</w:t>
      </w:r>
      <w:r w:rsidR="00064788">
        <w:rPr>
          <w:rFonts w:ascii="Palatino Linotype" w:hAnsi="Palatino Linotype"/>
          <w:sz w:val="24"/>
          <w:szCs w:val="24"/>
        </w:rPr>
        <w:t>s</w:t>
      </w:r>
      <w:r>
        <w:rPr>
          <w:rFonts w:ascii="Palatino Linotype" w:hAnsi="Palatino Linotype"/>
          <w:sz w:val="24"/>
          <w:szCs w:val="24"/>
        </w:rPr>
        <w:t xml:space="preserve"> denominado</w:t>
      </w:r>
      <w:r w:rsidR="00064788">
        <w:rPr>
          <w:rFonts w:ascii="Palatino Linotype" w:hAnsi="Palatino Linotype"/>
          <w:sz w:val="24"/>
          <w:szCs w:val="24"/>
        </w:rPr>
        <w:t>s</w:t>
      </w:r>
      <w:r w:rsidRPr="00961F97">
        <w:rPr>
          <w:rFonts w:ascii="Palatino Linotype" w:hAnsi="Palatino Linotype"/>
          <w:sz w:val="24"/>
          <w:szCs w:val="24"/>
        </w:rPr>
        <w:t xml:space="preserve"> </w:t>
      </w:r>
      <w:r w:rsidRPr="00C8503E">
        <w:rPr>
          <w:rFonts w:ascii="Palatino Linotype" w:hAnsi="Palatino Linotype"/>
          <w:b/>
          <w:i/>
          <w:sz w:val="24"/>
          <w:szCs w:val="24"/>
        </w:rPr>
        <w:t>“</w:t>
      </w:r>
      <w:r w:rsidR="00F2073E" w:rsidRPr="00F2073E">
        <w:rPr>
          <w:rFonts w:ascii="Palatino Linotype" w:hAnsi="Palatino Linotype"/>
          <w:b/>
          <w:i/>
          <w:sz w:val="24"/>
          <w:szCs w:val="24"/>
        </w:rPr>
        <w:t xml:space="preserve">Nota </w:t>
      </w:r>
      <w:proofErr w:type="spellStart"/>
      <w:r w:rsidR="00F2073E" w:rsidRPr="00F2073E">
        <w:rPr>
          <w:rFonts w:ascii="Palatino Linotype" w:hAnsi="Palatino Linotype"/>
          <w:b/>
          <w:i/>
          <w:sz w:val="24"/>
          <w:szCs w:val="24"/>
        </w:rPr>
        <w:t>saimex</w:t>
      </w:r>
      <w:proofErr w:type="spellEnd"/>
      <w:r w:rsidR="00F2073E" w:rsidRPr="00F2073E">
        <w:rPr>
          <w:rFonts w:ascii="Palatino Linotype" w:hAnsi="Palatino Linotype"/>
          <w:b/>
          <w:i/>
          <w:sz w:val="24"/>
          <w:szCs w:val="24"/>
        </w:rPr>
        <w:t xml:space="preserve"> 01022.pdf</w:t>
      </w:r>
      <w:r w:rsidR="00064788">
        <w:rPr>
          <w:rFonts w:ascii="Palatino Linotype" w:hAnsi="Palatino Linotype"/>
          <w:b/>
          <w:i/>
          <w:sz w:val="24"/>
          <w:szCs w:val="24"/>
        </w:rPr>
        <w:t>”</w:t>
      </w:r>
      <w:r w:rsidR="00F2073E">
        <w:rPr>
          <w:rFonts w:ascii="Palatino Linotype" w:hAnsi="Palatino Linotype"/>
          <w:b/>
          <w:i/>
          <w:sz w:val="24"/>
          <w:szCs w:val="24"/>
        </w:rPr>
        <w:t>, “</w:t>
      </w:r>
      <w:proofErr w:type="spellStart"/>
      <w:r w:rsidR="00F2073E" w:rsidRPr="00F2073E">
        <w:rPr>
          <w:rFonts w:ascii="Palatino Linotype" w:hAnsi="Palatino Linotype"/>
          <w:b/>
          <w:i/>
          <w:sz w:val="24"/>
          <w:szCs w:val="24"/>
        </w:rPr>
        <w:t>Resp</w:t>
      </w:r>
      <w:proofErr w:type="spellEnd"/>
      <w:r w:rsidR="00F2073E" w:rsidRPr="00F2073E">
        <w:rPr>
          <w:rFonts w:ascii="Palatino Linotype" w:hAnsi="Palatino Linotype"/>
          <w:b/>
          <w:i/>
          <w:sz w:val="24"/>
          <w:szCs w:val="24"/>
        </w:rPr>
        <w:t xml:space="preserve">. </w:t>
      </w:r>
      <w:proofErr w:type="spellStart"/>
      <w:r w:rsidR="00F2073E" w:rsidRPr="00F2073E">
        <w:rPr>
          <w:rFonts w:ascii="Palatino Linotype" w:hAnsi="Palatino Linotype"/>
          <w:b/>
          <w:i/>
          <w:sz w:val="24"/>
          <w:szCs w:val="24"/>
        </w:rPr>
        <w:t>Egr</w:t>
      </w:r>
      <w:proofErr w:type="spellEnd"/>
      <w:r w:rsidR="00F2073E" w:rsidRPr="00F2073E">
        <w:rPr>
          <w:rFonts w:ascii="Palatino Linotype" w:hAnsi="Palatino Linotype"/>
          <w:b/>
          <w:i/>
          <w:sz w:val="24"/>
          <w:szCs w:val="24"/>
        </w:rPr>
        <w:t xml:space="preserve">. </w:t>
      </w:r>
      <w:proofErr w:type="spellStart"/>
      <w:proofErr w:type="gramStart"/>
      <w:r w:rsidR="00F2073E" w:rsidRPr="00F2073E">
        <w:rPr>
          <w:rFonts w:ascii="Palatino Linotype" w:hAnsi="Palatino Linotype"/>
          <w:b/>
          <w:i/>
          <w:sz w:val="24"/>
          <w:szCs w:val="24"/>
        </w:rPr>
        <w:t>saimex</w:t>
      </w:r>
      <w:proofErr w:type="spellEnd"/>
      <w:proofErr w:type="gramEnd"/>
      <w:r w:rsidR="00F2073E" w:rsidRPr="00F2073E">
        <w:rPr>
          <w:rFonts w:ascii="Palatino Linotype" w:hAnsi="Palatino Linotype"/>
          <w:b/>
          <w:i/>
          <w:sz w:val="24"/>
          <w:szCs w:val="24"/>
        </w:rPr>
        <w:t xml:space="preserve"> 01022.pdf</w:t>
      </w:r>
      <w:r w:rsidR="00F2073E">
        <w:rPr>
          <w:rFonts w:ascii="Palatino Linotype" w:hAnsi="Palatino Linotype"/>
          <w:b/>
          <w:i/>
          <w:sz w:val="24"/>
          <w:szCs w:val="24"/>
        </w:rPr>
        <w:t>”, “</w:t>
      </w:r>
      <w:proofErr w:type="spellStart"/>
      <w:r w:rsidR="00F2073E" w:rsidRPr="00F2073E">
        <w:rPr>
          <w:rFonts w:ascii="Palatino Linotype" w:hAnsi="Palatino Linotype"/>
          <w:b/>
          <w:i/>
          <w:sz w:val="24"/>
          <w:szCs w:val="24"/>
        </w:rPr>
        <w:t>Resp</w:t>
      </w:r>
      <w:proofErr w:type="spellEnd"/>
      <w:r w:rsidR="00F2073E" w:rsidRPr="00F2073E">
        <w:rPr>
          <w:rFonts w:ascii="Palatino Linotype" w:hAnsi="Palatino Linotype"/>
          <w:b/>
          <w:i/>
          <w:sz w:val="24"/>
          <w:szCs w:val="24"/>
        </w:rPr>
        <w:t xml:space="preserve">. Ing. </w:t>
      </w:r>
      <w:proofErr w:type="spellStart"/>
      <w:r w:rsidR="00F2073E" w:rsidRPr="00F2073E">
        <w:rPr>
          <w:rFonts w:ascii="Palatino Linotype" w:hAnsi="Palatino Linotype"/>
          <w:b/>
          <w:i/>
          <w:sz w:val="24"/>
          <w:szCs w:val="24"/>
        </w:rPr>
        <w:t>saimex</w:t>
      </w:r>
      <w:proofErr w:type="spellEnd"/>
      <w:r w:rsidR="00F2073E" w:rsidRPr="00F2073E">
        <w:rPr>
          <w:rFonts w:ascii="Palatino Linotype" w:hAnsi="Palatino Linotype"/>
          <w:b/>
          <w:i/>
          <w:sz w:val="24"/>
          <w:szCs w:val="24"/>
        </w:rPr>
        <w:t xml:space="preserve"> 01022.pdf</w:t>
      </w:r>
      <w:r w:rsidR="00F2073E">
        <w:rPr>
          <w:rFonts w:ascii="Palatino Linotype" w:hAnsi="Palatino Linotype"/>
          <w:b/>
          <w:i/>
          <w:sz w:val="24"/>
          <w:szCs w:val="24"/>
        </w:rPr>
        <w:t>”,”</w:t>
      </w:r>
      <w:r w:rsidR="00F2073E" w:rsidRPr="00F2073E">
        <w:t xml:space="preserve"> </w:t>
      </w:r>
      <w:r w:rsidR="00F2073E" w:rsidRPr="00F2073E">
        <w:rPr>
          <w:rFonts w:ascii="Palatino Linotype" w:hAnsi="Palatino Linotype"/>
          <w:b/>
          <w:i/>
          <w:sz w:val="24"/>
          <w:szCs w:val="24"/>
        </w:rPr>
        <w:t xml:space="preserve">1022 </w:t>
      </w:r>
      <w:proofErr w:type="gramStart"/>
      <w:r w:rsidR="00F2073E" w:rsidRPr="00F2073E">
        <w:rPr>
          <w:rFonts w:ascii="Palatino Linotype" w:hAnsi="Palatino Linotype"/>
          <w:b/>
          <w:i/>
          <w:sz w:val="24"/>
          <w:szCs w:val="24"/>
        </w:rPr>
        <w:t>..pdf</w:t>
      </w:r>
      <w:proofErr w:type="gramEnd"/>
      <w:r w:rsidR="00F2073E">
        <w:rPr>
          <w:rFonts w:ascii="Palatino Linotype" w:hAnsi="Palatino Linotype"/>
          <w:b/>
          <w:i/>
          <w:sz w:val="24"/>
          <w:szCs w:val="24"/>
        </w:rPr>
        <w:t>”,</w:t>
      </w:r>
      <w:r w:rsidR="00F711F3">
        <w:rPr>
          <w:rFonts w:ascii="Palatino Linotype" w:hAnsi="Palatino Linotype"/>
          <w:b/>
          <w:i/>
          <w:sz w:val="24"/>
          <w:szCs w:val="24"/>
        </w:rPr>
        <w:t xml:space="preserve"> “</w:t>
      </w:r>
      <w:r w:rsidR="00F2073E" w:rsidRPr="00F2073E">
        <w:rPr>
          <w:rFonts w:ascii="Palatino Linotype" w:hAnsi="Palatino Linotype"/>
          <w:b/>
          <w:i/>
          <w:sz w:val="24"/>
          <w:szCs w:val="24"/>
        </w:rPr>
        <w:t>SA SAIMEX 1022.PDF</w:t>
      </w:r>
      <w:r w:rsidR="00F711F3">
        <w:rPr>
          <w:rFonts w:ascii="Palatino Linotype" w:hAnsi="Palatino Linotype"/>
          <w:b/>
          <w:i/>
          <w:sz w:val="24"/>
          <w:szCs w:val="24"/>
        </w:rPr>
        <w:t>”, y “</w:t>
      </w:r>
      <w:r w:rsidR="00F2073E" w:rsidRPr="00F2073E">
        <w:rPr>
          <w:rFonts w:ascii="Palatino Linotype" w:hAnsi="Palatino Linotype"/>
          <w:b/>
          <w:i/>
          <w:sz w:val="24"/>
          <w:szCs w:val="24"/>
        </w:rPr>
        <w:t>-Anexo Saimex 01022.pdf</w:t>
      </w:r>
      <w:r w:rsidR="00F711F3">
        <w:rPr>
          <w:rFonts w:ascii="Palatino Linotype" w:hAnsi="Palatino Linotype"/>
          <w:b/>
          <w:i/>
          <w:sz w:val="24"/>
          <w:szCs w:val="24"/>
        </w:rPr>
        <w:t>”</w:t>
      </w:r>
      <w:r w:rsidR="00F711F3">
        <w:rPr>
          <w:rFonts w:ascii="Palatino Linotype" w:hAnsi="Palatino Linotype"/>
          <w:sz w:val="24"/>
          <w:szCs w:val="24"/>
        </w:rPr>
        <w:t>, los</w:t>
      </w:r>
      <w:r>
        <w:rPr>
          <w:rFonts w:ascii="Palatino Linotype" w:hAnsi="Palatino Linotype"/>
          <w:sz w:val="24"/>
          <w:szCs w:val="24"/>
        </w:rPr>
        <w:t xml:space="preserve"> cual</w:t>
      </w:r>
      <w:r w:rsidR="00F711F3">
        <w:rPr>
          <w:rFonts w:ascii="Palatino Linotype" w:hAnsi="Palatino Linotype"/>
          <w:sz w:val="24"/>
          <w:szCs w:val="24"/>
        </w:rPr>
        <w:t>es</w:t>
      </w:r>
      <w:r>
        <w:rPr>
          <w:rFonts w:ascii="Palatino Linotype" w:hAnsi="Palatino Linotype"/>
          <w:sz w:val="24"/>
          <w:szCs w:val="24"/>
        </w:rPr>
        <w:t xml:space="preserve"> no se reproduce</w:t>
      </w:r>
      <w:r w:rsidR="00F711F3">
        <w:rPr>
          <w:rFonts w:ascii="Palatino Linotype" w:hAnsi="Palatino Linotype"/>
          <w:sz w:val="24"/>
          <w:szCs w:val="24"/>
        </w:rPr>
        <w:t>n</w:t>
      </w:r>
      <w:r w:rsidRPr="00961F97">
        <w:rPr>
          <w:rFonts w:ascii="Palatino Linotype" w:hAnsi="Palatino Linotype"/>
          <w:sz w:val="24"/>
          <w:szCs w:val="24"/>
        </w:rPr>
        <w:t xml:space="preserve"> toda vez que su contenido es del conocimiento de las partes; no obstante, se hará mérito de su contenido más adelante.</w:t>
      </w:r>
    </w:p>
    <w:p w14:paraId="46C8DCEC" w14:textId="77777777" w:rsidR="00CE1048" w:rsidRDefault="00CE1048" w:rsidP="00A2712B">
      <w:pPr>
        <w:pStyle w:val="Sinespaciado"/>
        <w:spacing w:line="360" w:lineRule="auto"/>
        <w:jc w:val="both"/>
        <w:rPr>
          <w:rFonts w:ascii="Palatino Linotype" w:hAnsi="Palatino Linotype"/>
          <w:b/>
          <w:sz w:val="28"/>
          <w:szCs w:val="24"/>
        </w:rPr>
      </w:pPr>
    </w:p>
    <w:p w14:paraId="22D02CDE" w14:textId="77777777" w:rsidR="007E2E80" w:rsidRPr="00CE1048" w:rsidRDefault="007E2E80" w:rsidP="00A2712B">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lastRenderedPageBreak/>
        <w:t>TERCERO. Del recurso de revisión.</w:t>
      </w:r>
    </w:p>
    <w:p w14:paraId="2756000A" w14:textId="372733C3" w:rsidR="007E2E80" w:rsidRPr="00A2712B"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el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w:t>
      </w:r>
      <w:r w:rsidR="00C8503E">
        <w:rPr>
          <w:rFonts w:ascii="Palatino Linotype" w:hAnsi="Palatino Linotype"/>
          <w:sz w:val="24"/>
          <w:szCs w:val="24"/>
        </w:rPr>
        <w:t xml:space="preserve"> </w:t>
      </w:r>
      <w:r w:rsidR="00F2073E">
        <w:rPr>
          <w:rFonts w:ascii="Palatino Linotype" w:hAnsi="Palatino Linotype"/>
          <w:sz w:val="24"/>
          <w:szCs w:val="24"/>
        </w:rPr>
        <w:t>veintitrés de noviembre</w:t>
      </w:r>
      <w:r w:rsidR="004F4A6C">
        <w:rPr>
          <w:rFonts w:ascii="Palatino Linotype" w:hAnsi="Palatino Linotype"/>
          <w:sz w:val="24"/>
          <w:szCs w:val="24"/>
        </w:rPr>
        <w:t xml:space="preserve"> de dos mil veintiuno</w:t>
      </w:r>
      <w:r w:rsidRPr="002076B5">
        <w:rPr>
          <w:rFonts w:ascii="Palatino Linotype" w:hAnsi="Palatino Linotype"/>
          <w:sz w:val="24"/>
          <w:szCs w:val="24"/>
        </w:rPr>
        <w:t xml:space="preserve">, en el sistema electrónico con el expediente número </w:t>
      </w:r>
      <w:r w:rsidR="00F2073E" w:rsidRPr="00F2073E">
        <w:rPr>
          <w:rFonts w:ascii="Palatino Linotype" w:hAnsi="Palatino Linotype"/>
          <w:b/>
          <w:sz w:val="24"/>
          <w:szCs w:val="24"/>
        </w:rPr>
        <w:t>05800/INFOEM/IP/RR/2021</w:t>
      </w:r>
      <w:r w:rsidRPr="002076B5">
        <w:rPr>
          <w:rFonts w:ascii="Palatino Linotype" w:hAnsi="Palatino Linotype"/>
          <w:sz w:val="24"/>
          <w:szCs w:val="24"/>
        </w:rPr>
        <w:t>, en el cual arguye las siguientes manifestaciones:</w:t>
      </w:r>
    </w:p>
    <w:p w14:paraId="294C4CBC" w14:textId="77777777" w:rsidR="007E2E80" w:rsidRPr="00800AFE" w:rsidRDefault="007E2E80" w:rsidP="00FE389E">
      <w:pPr>
        <w:pStyle w:val="Prrafodelista"/>
        <w:numPr>
          <w:ilvl w:val="0"/>
          <w:numId w:val="1"/>
        </w:numPr>
        <w:spacing w:before="240" w:after="240"/>
        <w:ind w:left="714" w:hanging="357"/>
        <w:jc w:val="both"/>
        <w:rPr>
          <w:rFonts w:ascii="Palatino Linotype" w:hAnsi="Palatino Linotype" w:cs="Arial"/>
          <w:b/>
        </w:rPr>
      </w:pPr>
      <w:r w:rsidRPr="00800AFE">
        <w:rPr>
          <w:rFonts w:ascii="Palatino Linotype" w:hAnsi="Palatino Linotype" w:cs="Arial"/>
          <w:b/>
        </w:rPr>
        <w:t>Acto Impugnado:</w:t>
      </w:r>
    </w:p>
    <w:p w14:paraId="6F289E9D" w14:textId="45886F62" w:rsidR="007E2E80" w:rsidRPr="00B15A94" w:rsidRDefault="007E2E80" w:rsidP="007E2E80">
      <w:pPr>
        <w:ind w:left="851" w:right="850"/>
        <w:jc w:val="both"/>
        <w:rPr>
          <w:rFonts w:ascii="Palatino Linotype" w:hAnsi="Palatino Linotype"/>
          <w:i/>
        </w:rPr>
      </w:pPr>
      <w:r w:rsidRPr="00B15A94">
        <w:rPr>
          <w:rFonts w:ascii="Palatino Linotype" w:hAnsi="Palatino Linotype"/>
          <w:i/>
        </w:rPr>
        <w:t>“</w:t>
      </w:r>
      <w:r w:rsidR="00F2073E" w:rsidRPr="00F2073E">
        <w:rPr>
          <w:rFonts w:ascii="Palatino Linotype" w:hAnsi="Palatino Linotype"/>
          <w:i/>
        </w:rPr>
        <w:t>A la solicitud “Cuál es la ubicación” se respondió de forma parcial ya que no colocaron la dirección completa al faltar el número del inmueble que permita identificar la ubicación. Por otro lado, no se dio respuesta a las solicitudes: Cuál será el monto de salida de la subasta, Cuál es el monto que se espera recauda, En qué se usaría el recurso, A quién se convocará a la subasta, dado que el ayuntamiento informó que aprobó la propuesta del presidente municipal, supone que se conoce lo anterior ya que será parte de la enajenación y subasta que aprobaron. Por último no se informó sobre: Cuál es el proceso para llevar a cabo esto.</w:t>
      </w:r>
      <w:r w:rsidR="005D7549" w:rsidRPr="005D7549">
        <w:rPr>
          <w:rFonts w:ascii="Palatino Linotype" w:hAnsi="Palatino Linotype"/>
          <w:i/>
        </w:rPr>
        <w:t xml:space="preserve"> </w:t>
      </w:r>
      <w:r w:rsidR="00344CFA">
        <w:rPr>
          <w:rFonts w:ascii="Palatino Linotype" w:hAnsi="Palatino Linotype"/>
          <w:i/>
        </w:rPr>
        <w:t>"(sic)</w:t>
      </w:r>
    </w:p>
    <w:p w14:paraId="0459D078" w14:textId="77777777" w:rsidR="007E2E80" w:rsidRPr="00800AFE" w:rsidRDefault="007E2E80" w:rsidP="00FE389E">
      <w:pPr>
        <w:pStyle w:val="Prrafodelista"/>
        <w:numPr>
          <w:ilvl w:val="0"/>
          <w:numId w:val="1"/>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14:paraId="049F4092" w14:textId="2F8FC375" w:rsidR="007E2E80" w:rsidRPr="0041640A" w:rsidRDefault="007E2E80" w:rsidP="007E2E80">
      <w:pPr>
        <w:ind w:left="851" w:right="850"/>
        <w:jc w:val="both"/>
        <w:rPr>
          <w:rFonts w:ascii="Palatino Linotype" w:hAnsi="Palatino Linotype"/>
          <w:i/>
        </w:rPr>
      </w:pPr>
      <w:r w:rsidRPr="0041640A">
        <w:rPr>
          <w:rFonts w:ascii="Palatino Linotype" w:hAnsi="Palatino Linotype"/>
          <w:i/>
        </w:rPr>
        <w:t>“</w:t>
      </w:r>
      <w:r w:rsidR="00F2073E" w:rsidRPr="00F2073E">
        <w:rPr>
          <w:rFonts w:ascii="Palatino Linotype" w:hAnsi="Palatino Linotype"/>
          <w:i/>
        </w:rPr>
        <w:t>A la solicitud “Cuál es la ubicación” se respondió de forma parcial ya que no colocaron la dirección completa al faltar el número del inmueble que permita identificar la ubicación. Por otro lado, no se dio respuesta a las solicitudes: Cuál será el monto de salida de la subasta, Cuál es el monto que se espera recauda, En qué se usaría el recurso, A quién se convocará a la subasta, dado que el ayuntamiento informó que aprobó la propuesta del presidente municipal, supone que se conoce lo anterior ya que será parte de la enajenación y subasta que aprobaron. Por último no se informó sobre: Cuál es el proceso para llevar a cabo esto.</w:t>
      </w:r>
      <w:r w:rsidR="00344CFA" w:rsidRPr="0041640A">
        <w:rPr>
          <w:rFonts w:ascii="Palatino Linotype" w:hAnsi="Palatino Linotype"/>
          <w:i/>
        </w:rPr>
        <w:t>” (</w:t>
      </w:r>
      <w:proofErr w:type="gramStart"/>
      <w:r w:rsidR="00344CFA" w:rsidRPr="0041640A">
        <w:rPr>
          <w:rFonts w:ascii="Palatino Linotype" w:hAnsi="Palatino Linotype"/>
          <w:i/>
        </w:rPr>
        <w:t>sic</w:t>
      </w:r>
      <w:proofErr w:type="gramEnd"/>
      <w:r w:rsidR="00344CFA" w:rsidRPr="0041640A">
        <w:rPr>
          <w:rFonts w:ascii="Palatino Linotype" w:hAnsi="Palatino Linotype"/>
          <w:i/>
        </w:rPr>
        <w:t>)</w:t>
      </w:r>
    </w:p>
    <w:p w14:paraId="6C7CE49F" w14:textId="77777777" w:rsidR="007E2E80" w:rsidRPr="00344CFA" w:rsidRDefault="007E2E80" w:rsidP="00344CFA">
      <w:pPr>
        <w:pStyle w:val="Sinespaciado"/>
        <w:spacing w:line="360" w:lineRule="auto"/>
        <w:jc w:val="both"/>
        <w:rPr>
          <w:rFonts w:ascii="Palatino Linotype" w:hAnsi="Palatino Linotype"/>
          <w:sz w:val="24"/>
          <w:szCs w:val="24"/>
        </w:rPr>
      </w:pPr>
    </w:p>
    <w:p w14:paraId="0E5BA1D3" w14:textId="77777777"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14:paraId="6C5BCB14" w14:textId="3A2DDF5C"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w:t>
      </w:r>
      <w:r w:rsidR="005D7549">
        <w:rPr>
          <w:rFonts w:ascii="Palatino Linotype" w:hAnsi="Palatino Linotype" w:cs="Arial"/>
          <w:sz w:val="24"/>
          <w:szCs w:val="24"/>
        </w:rPr>
        <w:t>l Comisionad</w:t>
      </w:r>
      <w:r w:rsidRPr="00344CFA">
        <w:rPr>
          <w:rFonts w:ascii="Palatino Linotype" w:hAnsi="Palatino Linotype" w:cs="Arial"/>
          <w:sz w:val="24"/>
          <w:szCs w:val="24"/>
        </w:rPr>
        <w:t xml:space="preserve"> </w:t>
      </w:r>
      <w:r w:rsidR="005D7549">
        <w:rPr>
          <w:rFonts w:ascii="Palatino Linotype" w:hAnsi="Palatino Linotype" w:cs="Arial"/>
          <w:b/>
          <w:sz w:val="24"/>
          <w:szCs w:val="24"/>
        </w:rPr>
        <w:t>José Martínez Vilchis</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w:t>
      </w:r>
      <w:r w:rsidRPr="00344CFA">
        <w:rPr>
          <w:rFonts w:ascii="Palatino Linotype" w:hAnsi="Palatino Linotype" w:cs="Arial"/>
          <w:sz w:val="24"/>
          <w:szCs w:val="24"/>
        </w:rPr>
        <w:lastRenderedPageBreak/>
        <w:t xml:space="preserve">del cual recayó acuerdo de admisión en fecha </w:t>
      </w:r>
      <w:r w:rsidR="00F2073E">
        <w:rPr>
          <w:rFonts w:ascii="Palatino Linotype" w:hAnsi="Palatino Linotype" w:cs="Arial"/>
          <w:sz w:val="24"/>
          <w:szCs w:val="24"/>
        </w:rPr>
        <w:t>veintinueve de noviembre</w:t>
      </w:r>
      <w:r w:rsidR="0041640A">
        <w:rPr>
          <w:rFonts w:ascii="Palatino Linotype" w:hAnsi="Palatino Linotype" w:cs="Arial"/>
          <w:sz w:val="24"/>
          <w:szCs w:val="24"/>
        </w:rPr>
        <w:t xml:space="preserve"> </w:t>
      </w:r>
      <w:r w:rsidR="009C6F75">
        <w:rPr>
          <w:rFonts w:ascii="Palatino Linotype" w:hAnsi="Palatino Linotype" w:cs="Arial"/>
          <w:sz w:val="24"/>
          <w:szCs w:val="24"/>
        </w:rPr>
        <w:t>del año en curso</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188ABDA5" w14:textId="77777777" w:rsidR="00344CFA" w:rsidRPr="00344CFA" w:rsidRDefault="00344CFA" w:rsidP="00344CFA">
      <w:pPr>
        <w:pStyle w:val="Sinespaciado"/>
        <w:spacing w:line="360" w:lineRule="auto"/>
        <w:jc w:val="both"/>
        <w:rPr>
          <w:rFonts w:ascii="Palatino Linotype" w:hAnsi="Palatino Linotype" w:cs="Arial"/>
          <w:sz w:val="24"/>
          <w:szCs w:val="24"/>
        </w:rPr>
      </w:pPr>
    </w:p>
    <w:p w14:paraId="1D9A34B1" w14:textId="77777777" w:rsidR="007E2E80" w:rsidRPr="0019697B" w:rsidRDefault="007E2E80" w:rsidP="00344CFA">
      <w:pPr>
        <w:pStyle w:val="Sinespaciado"/>
        <w:spacing w:line="360" w:lineRule="auto"/>
        <w:jc w:val="both"/>
        <w:rPr>
          <w:rFonts w:ascii="Palatino Linotype" w:hAnsi="Palatino Linotype" w:cs="Arial"/>
          <w:b/>
          <w:sz w:val="28"/>
          <w:szCs w:val="26"/>
        </w:rPr>
      </w:pPr>
      <w:r w:rsidRPr="0019697B">
        <w:rPr>
          <w:rFonts w:ascii="Palatino Linotype" w:hAnsi="Palatino Linotype" w:cs="Arial"/>
          <w:b/>
          <w:sz w:val="28"/>
          <w:szCs w:val="26"/>
        </w:rPr>
        <w:t>QUINTO. De la etapa de instrucción.</w:t>
      </w:r>
    </w:p>
    <w:p w14:paraId="703ABFE3" w14:textId="229DFAC9" w:rsidR="00064788" w:rsidRDefault="00064788" w:rsidP="00064788">
      <w:pPr>
        <w:spacing w:after="0" w:line="360" w:lineRule="auto"/>
        <w:jc w:val="both"/>
        <w:rPr>
          <w:rFonts w:ascii="Palatino Linotype" w:hAnsi="Palatino Linotype"/>
          <w:sz w:val="24"/>
          <w:szCs w:val="24"/>
        </w:rPr>
      </w:pPr>
      <w:r w:rsidRPr="00064788">
        <w:rPr>
          <w:rFonts w:ascii="Palatino Linotype" w:hAnsi="Palatino Linotype"/>
          <w:sz w:val="24"/>
          <w:szCs w:val="24"/>
        </w:rPr>
        <w:t xml:space="preserve">Así, una vez abierta la etapa de instrucción, en el sumario obra que </w:t>
      </w:r>
      <w:r w:rsidRPr="00064788">
        <w:rPr>
          <w:rFonts w:ascii="Palatino Linotype" w:hAnsi="Palatino Linotype"/>
          <w:b/>
          <w:sz w:val="24"/>
          <w:szCs w:val="24"/>
        </w:rPr>
        <w:t>El Sujeto Obligado</w:t>
      </w:r>
      <w:r w:rsidRPr="00064788">
        <w:rPr>
          <w:rFonts w:ascii="Palatino Linotype" w:hAnsi="Palatino Linotype"/>
          <w:sz w:val="24"/>
          <w:szCs w:val="24"/>
        </w:rPr>
        <w:t xml:space="preserve">, adjuntó informe justificado el día </w:t>
      </w:r>
      <w:r w:rsidR="00FF6A83">
        <w:rPr>
          <w:rFonts w:ascii="Palatino Linotype" w:hAnsi="Palatino Linotype"/>
          <w:sz w:val="24"/>
          <w:szCs w:val="24"/>
        </w:rPr>
        <w:t>cinco de diciembre</w:t>
      </w:r>
      <w:r w:rsidRPr="00064788">
        <w:rPr>
          <w:rFonts w:ascii="Palatino Linotype" w:hAnsi="Palatino Linotype"/>
          <w:sz w:val="24"/>
          <w:szCs w:val="24"/>
        </w:rPr>
        <w:t xml:space="preserve"> de dos mil veintiuno, el cual, se puso a la vista de la solicitante, para que adujera alegatos, pruebas o manifestaciones, de conformidad con la siguiente imagen:</w:t>
      </w:r>
    </w:p>
    <w:p w14:paraId="3F6BCFD1" w14:textId="26104AFC" w:rsidR="00FF6A83" w:rsidRDefault="00FF6A83" w:rsidP="00064788">
      <w:pPr>
        <w:spacing w:after="0" w:line="360" w:lineRule="auto"/>
        <w:jc w:val="both"/>
        <w:rPr>
          <w:rFonts w:ascii="Palatino Linotype" w:hAnsi="Palatino Linotype"/>
          <w:sz w:val="24"/>
          <w:szCs w:val="24"/>
        </w:rPr>
      </w:pPr>
    </w:p>
    <w:p w14:paraId="4BBF063F" w14:textId="640B79AC" w:rsidR="00064788" w:rsidRPr="00064788" w:rsidRDefault="00FF6A83" w:rsidP="00064788">
      <w:pPr>
        <w:spacing w:after="0" w:line="360" w:lineRule="auto"/>
        <w:jc w:val="both"/>
        <w:rPr>
          <w:rFonts w:ascii="Palatino Linotype" w:hAnsi="Palatino Linotype"/>
          <w:sz w:val="24"/>
          <w:szCs w:val="24"/>
        </w:rPr>
      </w:pPr>
      <w:r w:rsidRPr="00FF6A83">
        <w:rPr>
          <w:rFonts w:ascii="Palatino Linotype" w:hAnsi="Palatino Linotype"/>
          <w:noProof/>
          <w:sz w:val="24"/>
          <w:szCs w:val="24"/>
          <w:lang w:eastAsia="es-MX"/>
        </w:rPr>
        <w:drawing>
          <wp:inline distT="0" distB="0" distL="0" distR="0" wp14:anchorId="4B221CDF" wp14:editId="7307DED5">
            <wp:extent cx="5760720" cy="2634615"/>
            <wp:effectExtent l="190500" t="190500" r="182880" b="1847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634615"/>
                    </a:xfrm>
                    <a:prstGeom prst="rect">
                      <a:avLst/>
                    </a:prstGeom>
                    <a:noFill/>
                    <a:ln>
                      <a:noFill/>
                    </a:ln>
                    <a:effectLst>
                      <a:outerShdw blurRad="190500" algn="ctr" rotWithShape="0">
                        <a:prstClr val="black">
                          <a:alpha val="70000"/>
                        </a:prstClr>
                      </a:outerShdw>
                    </a:effectLst>
                  </pic:spPr>
                </pic:pic>
              </a:graphicData>
            </a:graphic>
          </wp:inline>
        </w:drawing>
      </w:r>
    </w:p>
    <w:p w14:paraId="1EC1A4A6" w14:textId="77777777" w:rsidR="00064788" w:rsidRPr="00064788" w:rsidRDefault="00064788" w:rsidP="00064788">
      <w:pPr>
        <w:spacing w:after="0" w:line="360" w:lineRule="auto"/>
        <w:jc w:val="both"/>
        <w:rPr>
          <w:rFonts w:ascii="Palatino Linotype" w:hAnsi="Palatino Linotype"/>
          <w:sz w:val="24"/>
          <w:szCs w:val="24"/>
        </w:rPr>
      </w:pPr>
    </w:p>
    <w:p w14:paraId="716F1A0A" w14:textId="77777777" w:rsidR="00064788" w:rsidRPr="00064788" w:rsidRDefault="00064788" w:rsidP="00064788">
      <w:pPr>
        <w:tabs>
          <w:tab w:val="left" w:pos="3206"/>
        </w:tabs>
        <w:spacing w:after="0" w:line="360" w:lineRule="auto"/>
        <w:jc w:val="both"/>
        <w:rPr>
          <w:rFonts w:ascii="Palatino Linotype" w:hAnsi="Palatino Linotype"/>
          <w:b/>
          <w:sz w:val="28"/>
          <w:szCs w:val="24"/>
        </w:rPr>
      </w:pPr>
      <w:r w:rsidRPr="00064788">
        <w:rPr>
          <w:rFonts w:ascii="Palatino Linotype" w:hAnsi="Palatino Linotype"/>
          <w:b/>
          <w:sz w:val="28"/>
          <w:szCs w:val="24"/>
        </w:rPr>
        <w:t>SEXTO. Del cierre de instrucción.</w:t>
      </w:r>
      <w:r w:rsidRPr="00064788">
        <w:rPr>
          <w:rFonts w:ascii="Palatino Linotype" w:hAnsi="Palatino Linotype"/>
          <w:b/>
          <w:sz w:val="28"/>
          <w:szCs w:val="24"/>
        </w:rPr>
        <w:tab/>
      </w:r>
    </w:p>
    <w:p w14:paraId="4E46DF7A" w14:textId="73E69EE4" w:rsidR="00064788" w:rsidRDefault="00064788" w:rsidP="00064788">
      <w:pPr>
        <w:spacing w:after="0" w:line="360" w:lineRule="auto"/>
        <w:jc w:val="both"/>
        <w:rPr>
          <w:rFonts w:ascii="Palatino Linotype" w:hAnsi="Palatino Linotype"/>
          <w:sz w:val="24"/>
          <w:szCs w:val="24"/>
        </w:rPr>
      </w:pPr>
      <w:r w:rsidRPr="00064788">
        <w:rPr>
          <w:rFonts w:ascii="Palatino Linotype" w:hAnsi="Palatino Linotype"/>
          <w:sz w:val="24"/>
          <w:szCs w:val="24"/>
        </w:rPr>
        <w:t xml:space="preserve">Así, una vez transcurrido el término legal, se decretó el cierre de instrucción en fecha </w:t>
      </w:r>
      <w:r w:rsidR="00FF6A83">
        <w:rPr>
          <w:rFonts w:ascii="Palatino Linotype" w:hAnsi="Palatino Linotype"/>
          <w:sz w:val="24"/>
          <w:szCs w:val="24"/>
        </w:rPr>
        <w:t>veintis</w:t>
      </w:r>
      <w:r w:rsidR="004906EB">
        <w:rPr>
          <w:rFonts w:ascii="Palatino Linotype" w:hAnsi="Palatino Linotype"/>
          <w:sz w:val="24"/>
          <w:szCs w:val="24"/>
        </w:rPr>
        <w:t>iete</w:t>
      </w:r>
      <w:r w:rsidR="00FF6A83">
        <w:rPr>
          <w:rFonts w:ascii="Palatino Linotype" w:hAnsi="Palatino Linotype"/>
          <w:sz w:val="24"/>
          <w:szCs w:val="24"/>
        </w:rPr>
        <w:t xml:space="preserve"> de enero de dos mil veintidós</w:t>
      </w:r>
      <w:r w:rsidRPr="00064788">
        <w:rPr>
          <w:rFonts w:ascii="Palatino Linotype" w:hAnsi="Palatino Linotype"/>
          <w:sz w:val="24"/>
          <w:szCs w:val="24"/>
        </w:rPr>
        <w:t xml:space="preserve">, en términos del artículo 185, Fracción VI, de </w:t>
      </w:r>
      <w:r w:rsidRPr="00064788">
        <w:rPr>
          <w:rFonts w:ascii="Palatino Linotype" w:hAnsi="Palatino Linotype"/>
          <w:sz w:val="24"/>
          <w:szCs w:val="24"/>
        </w:rPr>
        <w:lastRenderedPageBreak/>
        <w:t>la Ley de Transparencia y Acceso a la Información Pública del Estado de México y Municipios, iniciando el término legal para dictar resolución definitiva del asunto.</w:t>
      </w:r>
    </w:p>
    <w:p w14:paraId="36031694" w14:textId="2F85F50C" w:rsidR="00DC1EE3" w:rsidRDefault="00DC1EE3" w:rsidP="00064788">
      <w:pPr>
        <w:spacing w:after="0" w:line="360" w:lineRule="auto"/>
        <w:jc w:val="both"/>
        <w:rPr>
          <w:rFonts w:ascii="Palatino Linotype" w:hAnsi="Palatino Linotype"/>
          <w:sz w:val="24"/>
          <w:szCs w:val="24"/>
        </w:rPr>
      </w:pPr>
    </w:p>
    <w:p w14:paraId="1B0DF8BD" w14:textId="77777777" w:rsidR="00DC1EE3" w:rsidRPr="00DC1EE3" w:rsidRDefault="00DC1EE3" w:rsidP="00DC1EE3">
      <w:pPr>
        <w:spacing w:after="0" w:line="360" w:lineRule="auto"/>
        <w:jc w:val="both"/>
        <w:rPr>
          <w:rFonts w:ascii="Palatino Linotype" w:hAnsi="Palatino Linotype"/>
          <w:b/>
          <w:sz w:val="24"/>
          <w:szCs w:val="24"/>
          <w:lang w:val="es-ES"/>
        </w:rPr>
      </w:pPr>
      <w:r w:rsidRPr="00DC1EE3">
        <w:rPr>
          <w:rFonts w:ascii="Palatino Linotype" w:hAnsi="Palatino Linotype"/>
          <w:b/>
          <w:sz w:val="28"/>
          <w:szCs w:val="28"/>
        </w:rPr>
        <w:t>SÉPTIMO</w:t>
      </w:r>
      <w:r w:rsidRPr="00DC1EE3">
        <w:rPr>
          <w:rFonts w:ascii="Palatino Linotype" w:hAnsi="Palatino Linotype"/>
          <w:b/>
          <w:sz w:val="24"/>
          <w:szCs w:val="24"/>
          <w:lang w:val="es-ES"/>
        </w:rPr>
        <w:t>. De la ampliación del término para resolver.</w:t>
      </w:r>
    </w:p>
    <w:p w14:paraId="3614C71D" w14:textId="773F3971" w:rsidR="0019697B" w:rsidRPr="00DC1EE3" w:rsidRDefault="00DC1EE3" w:rsidP="00DC1EE3">
      <w:pPr>
        <w:spacing w:before="240" w:line="360" w:lineRule="auto"/>
        <w:jc w:val="both"/>
        <w:rPr>
          <w:rFonts w:ascii="Palatino Linotype" w:hAnsi="Palatino Linotype"/>
          <w:sz w:val="24"/>
          <w:szCs w:val="24"/>
          <w:lang w:val="es-ES"/>
        </w:rPr>
      </w:pPr>
      <w:r w:rsidRPr="00DC1EE3">
        <w:rPr>
          <w:rFonts w:ascii="Palatino Linotype" w:hAnsi="Palatino Linotype"/>
          <w:sz w:val="24"/>
          <w:szCs w:val="24"/>
          <w:lang w:val="es-ES"/>
        </w:rPr>
        <w:t xml:space="preserve">En fecha </w:t>
      </w:r>
      <w:r w:rsidR="00FF6A83">
        <w:rPr>
          <w:rFonts w:ascii="Palatino Linotype" w:hAnsi="Palatino Linotype"/>
          <w:sz w:val="24"/>
          <w:szCs w:val="24"/>
          <w:lang w:val="es-ES"/>
        </w:rPr>
        <w:t>veintiséis de enero de dos mil veintidós</w:t>
      </w:r>
      <w:r w:rsidRPr="00DC1EE3">
        <w:rPr>
          <w:rFonts w:ascii="Palatino Linotype" w:hAnsi="Palatino Linotype"/>
          <w:sz w:val="24"/>
          <w:szCs w:val="24"/>
          <w:lang w:val="es-ES"/>
        </w:rPr>
        <w:t>, se amplió el término para resolver el recurso de revisión en términos del artículo 181 párrafo tercero de la Ley de Transparencia y Acceso a la Información Pública del Estado de México y Municipios por un plazo de quince días hábiles.</w:t>
      </w:r>
    </w:p>
    <w:p w14:paraId="56276625" w14:textId="77777777" w:rsidR="00C75301" w:rsidRDefault="00C75301" w:rsidP="00C75301">
      <w:pPr>
        <w:spacing w:after="0" w:line="360" w:lineRule="auto"/>
        <w:jc w:val="both"/>
        <w:rPr>
          <w:rFonts w:ascii="Palatino Linotype" w:hAnsi="Palatino Linotype"/>
          <w:sz w:val="24"/>
          <w:szCs w:val="24"/>
        </w:rPr>
      </w:pPr>
    </w:p>
    <w:p w14:paraId="408685A3"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03C1A326" w14:textId="77777777" w:rsidR="009C6F75" w:rsidRPr="009C6F75" w:rsidRDefault="009C6F75" w:rsidP="009C6F75">
      <w:pPr>
        <w:pStyle w:val="Sinespaciado"/>
        <w:spacing w:line="360" w:lineRule="auto"/>
        <w:jc w:val="both"/>
        <w:rPr>
          <w:rFonts w:ascii="Palatino Linotype" w:hAnsi="Palatino Linotype"/>
          <w:b/>
          <w:sz w:val="24"/>
          <w:szCs w:val="24"/>
        </w:rPr>
      </w:pPr>
    </w:p>
    <w:p w14:paraId="369C8F9E"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14:paraId="3D7C6C15" w14:textId="77777777" w:rsidR="00C50B48" w:rsidRPr="00C50B48" w:rsidRDefault="00C50B48" w:rsidP="00C50B48">
      <w:pPr>
        <w:spacing w:before="240" w:line="360" w:lineRule="auto"/>
        <w:jc w:val="both"/>
        <w:rPr>
          <w:rFonts w:ascii="Palatino Linotype" w:hAnsi="Palatino Linotype"/>
          <w:b/>
          <w:color w:val="000000" w:themeColor="text1"/>
          <w:sz w:val="24"/>
          <w:szCs w:val="24"/>
        </w:rPr>
      </w:pPr>
      <w:r w:rsidRPr="00C50B48">
        <w:rPr>
          <w:rFonts w:ascii="Palatino Linotype" w:hAnsi="Palatino Linotype"/>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C50B48">
        <w:rPr>
          <w:rFonts w:ascii="Palatino Linotype" w:hAnsi="Palatino Linotype"/>
          <w:b/>
          <w:sz w:val="24"/>
          <w:szCs w:val="24"/>
          <w:lang w:val="es-ES"/>
        </w:rPr>
        <w:t xml:space="preserve">la parte recurrente </w:t>
      </w:r>
      <w:r w:rsidRPr="00C50B48">
        <w:rPr>
          <w:rFonts w:ascii="Palatino Linotype" w:hAnsi="Palatino Linotype"/>
          <w:sz w:val="24"/>
          <w:szCs w:val="24"/>
          <w:lang w:val="es-ES"/>
        </w:rPr>
        <w:t xml:space="preserve">conforme a lo dispuesto en los artículos 1, párrafos segundo y tercero, </w:t>
      </w:r>
      <w:r w:rsidRPr="00C50B48">
        <w:rPr>
          <w:rFonts w:ascii="Palatino Linotype" w:hAnsi="Palatino Linotype"/>
          <w:color w:val="000000" w:themeColor="text1"/>
          <w:sz w:val="24"/>
          <w:szCs w:val="24"/>
        </w:rPr>
        <w:t xml:space="preserve">6, apartado A, fracción IV de la </w:t>
      </w:r>
      <w:r w:rsidRPr="00C50B48">
        <w:rPr>
          <w:rFonts w:ascii="Palatino Linotype" w:hAnsi="Palatino Linotype"/>
          <w:b/>
          <w:color w:val="000000" w:themeColor="text1"/>
          <w:sz w:val="24"/>
          <w:szCs w:val="24"/>
        </w:rPr>
        <w:t>Constitución Política de los Estados Unidos Mexicanos</w:t>
      </w:r>
      <w:r w:rsidRPr="00C50B48">
        <w:rPr>
          <w:rFonts w:ascii="Palatino Linotype" w:hAnsi="Palatino Linotype"/>
          <w:color w:val="000000" w:themeColor="text1"/>
          <w:sz w:val="24"/>
          <w:szCs w:val="24"/>
        </w:rPr>
        <w:t xml:space="preserve">; 5, párrafos trigésimo, trigésimo primero y trigésimo segundo, fracciones IV y V, de la </w:t>
      </w:r>
      <w:r w:rsidRPr="00C50B48">
        <w:rPr>
          <w:rFonts w:ascii="Palatino Linotype" w:hAnsi="Palatino Linotype"/>
          <w:b/>
          <w:color w:val="000000" w:themeColor="text1"/>
          <w:sz w:val="24"/>
          <w:szCs w:val="24"/>
        </w:rPr>
        <w:t>Constitución Política del Estado Libre y Soberano de México</w:t>
      </w:r>
      <w:r w:rsidRPr="00C50B48">
        <w:rPr>
          <w:rFonts w:ascii="Palatino Linotype" w:hAnsi="Palatino Linotype"/>
          <w:color w:val="000000" w:themeColor="text1"/>
          <w:sz w:val="24"/>
          <w:szCs w:val="24"/>
        </w:rPr>
        <w:t xml:space="preserve">; artículos 1, 2 fracción II, 13, 29, 36 fracciones I y II, 176, 178, 179, 181 párrafo tercero y 185 de la </w:t>
      </w:r>
      <w:r w:rsidRPr="00C50B48">
        <w:rPr>
          <w:rFonts w:ascii="Palatino Linotype" w:hAnsi="Palatino Linotype"/>
          <w:b/>
          <w:color w:val="000000" w:themeColor="text1"/>
          <w:sz w:val="24"/>
          <w:szCs w:val="24"/>
        </w:rPr>
        <w:t>Ley de Transparencia y Acceso a la Información Pública del Estado de México y Municipios</w:t>
      </w:r>
      <w:r w:rsidRPr="00C50B48">
        <w:rPr>
          <w:rFonts w:ascii="Palatino Linotype" w:hAnsi="Palatino Linotype"/>
          <w:color w:val="000000" w:themeColor="text1"/>
          <w:sz w:val="24"/>
          <w:szCs w:val="24"/>
        </w:rPr>
        <w:t xml:space="preserve">; y 10, 7, 9 fracciones I y XXIV, y 11 del </w:t>
      </w:r>
      <w:r w:rsidRPr="00C50B48">
        <w:rPr>
          <w:rFonts w:ascii="Palatino Linotype" w:hAnsi="Palatino Linotype"/>
          <w:b/>
          <w:color w:val="000000" w:themeColor="text1"/>
          <w:sz w:val="24"/>
          <w:szCs w:val="24"/>
        </w:rPr>
        <w:lastRenderedPageBreak/>
        <w:t>Reglamento Interior del Instituto de Transparencia, Acceso a la Información Pública y Protección de Datos Personales del Estado de México y Municipios.</w:t>
      </w:r>
    </w:p>
    <w:p w14:paraId="0B6881E3" w14:textId="77777777" w:rsidR="007E2E80" w:rsidRPr="009C6F75" w:rsidRDefault="007E2E80" w:rsidP="009C6F75">
      <w:pPr>
        <w:pStyle w:val="Sinespaciado"/>
        <w:spacing w:line="360" w:lineRule="auto"/>
        <w:jc w:val="both"/>
        <w:rPr>
          <w:rFonts w:ascii="Palatino Linotype" w:hAnsi="Palatino Linotype"/>
          <w:sz w:val="24"/>
          <w:szCs w:val="24"/>
        </w:rPr>
      </w:pPr>
    </w:p>
    <w:p w14:paraId="434B96BD"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45E2B01E"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48B5879" w14:textId="77777777" w:rsidR="007E2E80" w:rsidRPr="009C6F75" w:rsidRDefault="007E2E80" w:rsidP="009C6F75">
      <w:pPr>
        <w:pStyle w:val="Sinespaciado"/>
        <w:spacing w:line="360" w:lineRule="auto"/>
        <w:jc w:val="both"/>
        <w:rPr>
          <w:rFonts w:ascii="Palatino Linotype" w:hAnsi="Palatino Linotype"/>
          <w:sz w:val="24"/>
          <w:szCs w:val="24"/>
        </w:rPr>
      </w:pPr>
    </w:p>
    <w:p w14:paraId="251ECC99" w14:textId="77777777" w:rsidR="008842C2" w:rsidRPr="008842C2" w:rsidRDefault="008842C2" w:rsidP="008842C2">
      <w:pPr>
        <w:autoSpaceDE w:val="0"/>
        <w:autoSpaceDN w:val="0"/>
        <w:adjustRightInd w:val="0"/>
        <w:spacing w:after="0" w:line="360" w:lineRule="auto"/>
        <w:jc w:val="both"/>
        <w:rPr>
          <w:rFonts w:ascii="Palatino Linotype" w:hAnsi="Palatino Linotype"/>
          <w:sz w:val="28"/>
          <w:szCs w:val="28"/>
        </w:rPr>
      </w:pPr>
      <w:r w:rsidRPr="008842C2">
        <w:rPr>
          <w:rFonts w:ascii="Palatino Linotype" w:hAnsi="Palatino Linotype"/>
          <w:b/>
          <w:sz w:val="28"/>
          <w:szCs w:val="28"/>
        </w:rPr>
        <w:t>TERCERO. Cuestiones de previo y especial pronunciamiento.</w:t>
      </w:r>
    </w:p>
    <w:p w14:paraId="299BE1ED" w14:textId="77777777" w:rsidR="008842C2" w:rsidRPr="008842C2" w:rsidRDefault="008842C2" w:rsidP="008842C2">
      <w:pPr>
        <w:autoSpaceDE w:val="0"/>
        <w:autoSpaceDN w:val="0"/>
        <w:adjustRightInd w:val="0"/>
        <w:spacing w:before="240" w:line="360" w:lineRule="auto"/>
        <w:jc w:val="both"/>
        <w:rPr>
          <w:rFonts w:ascii="Palatino Linotype" w:eastAsia="Times New Roman" w:hAnsi="Palatino Linotype"/>
          <w:sz w:val="24"/>
          <w:szCs w:val="24"/>
          <w:lang w:val="es-ES" w:eastAsia="es-ES"/>
        </w:rPr>
      </w:pPr>
      <w:r w:rsidRPr="008842C2">
        <w:rPr>
          <w:rFonts w:ascii="Palatino Linotype" w:eastAsia="Times New Roman" w:hAnsi="Palatino Linotype"/>
          <w:sz w:val="24"/>
          <w:szCs w:val="24"/>
          <w:lang w:val="es-ES" w:eastAsia="es-ES"/>
        </w:rPr>
        <w:t xml:space="preserve">El Recurso de Revisión en estudio contiene los elementos normativos de validez exigidos en la Ley de Transparencia y </w:t>
      </w:r>
      <w:r w:rsidRPr="008842C2">
        <w:rPr>
          <w:rFonts w:ascii="Palatino Linotype" w:eastAsia="Times New Roman" w:hAnsi="Palatino Linotype"/>
          <w:sz w:val="24"/>
          <w:szCs w:val="24"/>
          <w:lang w:val="es-ES_tradnl" w:eastAsia="es-ES"/>
        </w:rPr>
        <w:t>Acceso a la Información Pública del Estado de México y Municipios</w:t>
      </w:r>
      <w:r w:rsidRPr="008842C2">
        <w:rPr>
          <w:rFonts w:ascii="Palatino Linotype" w:eastAsia="Times New Roman" w:hAnsi="Palatino Linotype"/>
          <w:sz w:val="24"/>
          <w:szCs w:val="24"/>
          <w:lang w:val="es-ES" w:eastAsia="es-ES"/>
        </w:rPr>
        <w:t>, establecidos en el artículo 180 que enuncia:</w:t>
      </w:r>
    </w:p>
    <w:p w14:paraId="5C36FA7E" w14:textId="77777777" w:rsidR="008842C2" w:rsidRPr="008842C2" w:rsidRDefault="008842C2" w:rsidP="008842C2">
      <w:pPr>
        <w:autoSpaceDE w:val="0"/>
        <w:autoSpaceDN w:val="0"/>
        <w:adjustRightInd w:val="0"/>
        <w:spacing w:before="240" w:line="360" w:lineRule="auto"/>
        <w:jc w:val="both"/>
        <w:rPr>
          <w:rFonts w:ascii="Palatino Linotype" w:eastAsia="Times New Roman" w:hAnsi="Palatino Linotype"/>
          <w:sz w:val="10"/>
          <w:szCs w:val="24"/>
          <w:lang w:val="es-ES" w:eastAsia="es-ES"/>
        </w:rPr>
      </w:pPr>
    </w:p>
    <w:p w14:paraId="443492DC"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b/>
          <w:i/>
          <w:lang w:val="es-ES" w:eastAsia="es-ES"/>
        </w:rPr>
        <w:t xml:space="preserve">“Artículo 180. </w:t>
      </w:r>
      <w:r w:rsidRPr="008842C2">
        <w:rPr>
          <w:rFonts w:ascii="Palatino Linotype" w:eastAsia="Times New Roman" w:hAnsi="Palatino Linotype"/>
          <w:i/>
          <w:lang w:val="es-ES" w:eastAsia="es-ES"/>
        </w:rPr>
        <w:t>El recurso de revisión contendrá:</w:t>
      </w:r>
    </w:p>
    <w:p w14:paraId="2FF2C8A8"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i/>
          <w:lang w:val="es-ES" w:eastAsia="es-ES"/>
        </w:rPr>
        <w:t>I. El sujeto obligado ante la cual se presentó la solicitud;</w:t>
      </w:r>
    </w:p>
    <w:p w14:paraId="10089A7E"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b/>
          <w:i/>
          <w:lang w:val="es-ES" w:eastAsia="es-ES"/>
        </w:rPr>
        <w:t>II. El nombre del solicitante que recurre</w:t>
      </w:r>
      <w:r w:rsidRPr="008842C2">
        <w:rPr>
          <w:rFonts w:ascii="Palatino Linotype" w:eastAsia="Times New Roman" w:hAnsi="Palatino Linotype"/>
          <w:i/>
          <w:lang w:val="es-ES" w:eastAsia="es-ES"/>
        </w:rPr>
        <w:t xml:space="preserve"> o de su representante y, en su caso, del tercero interesado, así como la dirección o medio que señale para recibir notificaciones;</w:t>
      </w:r>
    </w:p>
    <w:p w14:paraId="351B95DC"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i/>
          <w:lang w:val="es-ES" w:eastAsia="es-ES"/>
        </w:rPr>
        <w:t>III. El número de folio de respuesta de la solicitud de acceso;</w:t>
      </w:r>
    </w:p>
    <w:p w14:paraId="7E50FAB3"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i/>
          <w:lang w:val="es-ES" w:eastAsia="es-ES"/>
        </w:rPr>
        <w:t>IV. La fecha en que fue notificada la respuesta al solicitante o tuvo conocimiento del acto reclamado, o de presentación de la solicitud, en caso de falta de respuesta;</w:t>
      </w:r>
    </w:p>
    <w:p w14:paraId="03AEA6CF"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i/>
          <w:lang w:val="es-ES" w:eastAsia="es-ES"/>
        </w:rPr>
        <w:lastRenderedPageBreak/>
        <w:t>V. El acto que se recurre;</w:t>
      </w:r>
    </w:p>
    <w:p w14:paraId="5E41F763"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i/>
          <w:lang w:val="es-ES" w:eastAsia="es-ES"/>
        </w:rPr>
        <w:t>VI. Las razones o motivos de inconformidad;</w:t>
      </w:r>
    </w:p>
    <w:p w14:paraId="23BC86E7"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i/>
          <w:lang w:val="es-ES" w:eastAsia="es-ES"/>
        </w:rPr>
        <w:t>VII. La copia de la respuesta que se impugna y, en su caso, de la notificación correspondiente, en el caso de respuesta de la solicitud; y</w:t>
      </w:r>
    </w:p>
    <w:p w14:paraId="12902204"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i/>
          <w:lang w:val="es-ES" w:eastAsia="es-ES"/>
        </w:rPr>
        <w:t>VIII. Firma del recurrente, en su caso, cuando se presente por escrito, requisito sin el cual se dará trámite al recurso.</w:t>
      </w:r>
    </w:p>
    <w:p w14:paraId="3E759B9D"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p>
    <w:p w14:paraId="40DFBDA9"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i/>
          <w:lang w:val="es-ES" w:eastAsia="es-ES"/>
        </w:rPr>
        <w:t>Adicionalmente, se podrán anexar las pruebas y demás elementos que considere procedentes someter a juicio del Instituto.</w:t>
      </w:r>
    </w:p>
    <w:p w14:paraId="627BDE40"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p>
    <w:p w14:paraId="450A1FA2"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i/>
          <w:lang w:val="es-ES" w:eastAsia="es-ES"/>
        </w:rPr>
        <w:t>En ningún caso será necesario que el particular ratifique el recurso de revisión interpuesto.</w:t>
      </w:r>
    </w:p>
    <w:p w14:paraId="306C5049"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p>
    <w:p w14:paraId="4650D078" w14:textId="77777777" w:rsidR="008842C2" w:rsidRPr="008842C2" w:rsidRDefault="008842C2" w:rsidP="008842C2">
      <w:pPr>
        <w:spacing w:after="0" w:line="240" w:lineRule="auto"/>
        <w:ind w:left="851" w:right="851"/>
        <w:jc w:val="both"/>
        <w:rPr>
          <w:rFonts w:ascii="Palatino Linotype" w:eastAsia="Times New Roman" w:hAnsi="Palatino Linotype"/>
          <w:i/>
          <w:lang w:val="es-ES" w:eastAsia="es-ES"/>
        </w:rPr>
      </w:pPr>
      <w:r w:rsidRPr="008842C2">
        <w:rPr>
          <w:rFonts w:ascii="Palatino Linotype" w:eastAsia="Times New Roman" w:hAnsi="Palatino Linotype"/>
          <w:b/>
          <w:i/>
          <w:lang w:val="es-ES" w:eastAsia="es-ES"/>
        </w:rPr>
        <w:t>En caso de que el recurso se interponga de manera electrónica no será indispensable que contengan los requisitos establecidos en las fracciones II</w:t>
      </w:r>
      <w:r w:rsidRPr="008842C2">
        <w:rPr>
          <w:rFonts w:ascii="Palatino Linotype" w:eastAsia="Times New Roman" w:hAnsi="Palatino Linotype"/>
          <w:i/>
          <w:lang w:val="es-ES" w:eastAsia="es-ES"/>
        </w:rPr>
        <w:t>, IV, VII y VIII.”</w:t>
      </w:r>
    </w:p>
    <w:p w14:paraId="255A5E2B" w14:textId="77777777" w:rsidR="008842C2" w:rsidRPr="008842C2" w:rsidRDefault="008842C2" w:rsidP="008842C2">
      <w:pPr>
        <w:spacing w:after="0" w:line="240" w:lineRule="auto"/>
        <w:ind w:left="851" w:right="851"/>
        <w:jc w:val="right"/>
        <w:rPr>
          <w:rFonts w:ascii="Palatino Linotype" w:eastAsia="Times New Roman" w:hAnsi="Palatino Linotype"/>
          <w:b/>
          <w:i/>
          <w:lang w:val="es-ES" w:eastAsia="es-ES"/>
        </w:rPr>
      </w:pPr>
      <w:r w:rsidRPr="008842C2">
        <w:rPr>
          <w:rFonts w:ascii="Palatino Linotype" w:eastAsia="Times New Roman" w:hAnsi="Palatino Linotype"/>
          <w:b/>
          <w:i/>
          <w:lang w:val="es-ES" w:eastAsia="es-ES"/>
        </w:rPr>
        <w:t>[Énfasis añadido]</w:t>
      </w:r>
    </w:p>
    <w:p w14:paraId="16DB518B" w14:textId="77777777" w:rsidR="008842C2" w:rsidRPr="008842C2" w:rsidRDefault="008842C2" w:rsidP="008842C2">
      <w:pPr>
        <w:spacing w:after="0" w:line="276" w:lineRule="auto"/>
        <w:ind w:left="851"/>
        <w:jc w:val="right"/>
        <w:rPr>
          <w:rFonts w:ascii="Palatino Linotype" w:eastAsia="Times New Roman" w:hAnsi="Palatino Linotype"/>
          <w:b/>
          <w:i/>
          <w:sz w:val="24"/>
          <w:szCs w:val="24"/>
          <w:lang w:val="es-ES" w:eastAsia="es-ES"/>
        </w:rPr>
      </w:pPr>
    </w:p>
    <w:p w14:paraId="76D404A1" w14:textId="77777777" w:rsidR="008842C2" w:rsidRPr="008842C2" w:rsidRDefault="008842C2" w:rsidP="008842C2">
      <w:pPr>
        <w:spacing w:before="240" w:after="240" w:line="360" w:lineRule="auto"/>
        <w:jc w:val="both"/>
        <w:rPr>
          <w:rFonts w:ascii="Palatino Linotype" w:hAnsi="Palatino Linotype"/>
          <w:sz w:val="24"/>
          <w:szCs w:val="24"/>
          <w:lang w:val="es-ES" w:eastAsia="es-ES"/>
        </w:rPr>
      </w:pPr>
      <w:r w:rsidRPr="008842C2">
        <w:rPr>
          <w:rFonts w:ascii="Palatino Linotype" w:hAnsi="Palatino Linotype" w:cs="Segoe UI"/>
          <w:sz w:val="24"/>
          <w:szCs w:val="24"/>
          <w:lang w:val="es-ES" w:eastAsia="es-ES"/>
        </w:rPr>
        <w:t>Cabe señalar que el</w:t>
      </w:r>
      <w:r w:rsidRPr="008842C2">
        <w:rPr>
          <w:rFonts w:ascii="Palatino Linotype" w:hAnsi="Palatino Linotype" w:cs="Segoe UI"/>
          <w:b/>
          <w:sz w:val="24"/>
          <w:szCs w:val="24"/>
          <w:lang w:val="es-ES" w:eastAsia="es-ES"/>
        </w:rPr>
        <w:t xml:space="preserve"> Recurrente</w:t>
      </w:r>
      <w:r w:rsidRPr="008842C2">
        <w:rPr>
          <w:rFonts w:ascii="Palatino Linotype" w:hAnsi="Palatino Linotype" w:cs="Segoe UI"/>
          <w:sz w:val="24"/>
          <w:szCs w:val="24"/>
          <w:lang w:val="es-ES" w:eastAsia="es-ES"/>
        </w:rPr>
        <w:t xml:space="preserve"> no proporcionó un nombre para ser identificado</w:t>
      </w:r>
      <w:r w:rsidRPr="008842C2">
        <w:rPr>
          <w:rFonts w:ascii="Palatino Linotype" w:eastAsia="Yu Mincho" w:hAnsi="Palatino Linotype"/>
          <w:sz w:val="24"/>
          <w:szCs w:val="24"/>
          <w:lang w:val="es-ES" w:eastAsia="es-ES"/>
        </w:rPr>
        <w:t>.</w:t>
      </w:r>
      <w:r w:rsidRPr="008842C2">
        <w:rPr>
          <w:rFonts w:ascii="Palatino Linotype" w:eastAsia="Yu Mincho" w:hAnsi="Palatino Linotype"/>
          <w:b/>
          <w:sz w:val="24"/>
          <w:szCs w:val="24"/>
          <w:lang w:val="es-ES" w:eastAsia="es-ES"/>
        </w:rPr>
        <w:t xml:space="preserve"> </w:t>
      </w:r>
      <w:r w:rsidRPr="008842C2">
        <w:rPr>
          <w:rFonts w:ascii="Palatino Linotype" w:hAnsi="Palatino Linotype"/>
          <w:sz w:val="24"/>
          <w:szCs w:val="24"/>
          <w:lang w:val="es-ES" w:eastAsia="es-ES"/>
        </w:rPr>
        <w:t>No obstante lo anterior, no proporcionar un nombre,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EC28B1A" w14:textId="77777777" w:rsidR="008842C2" w:rsidRPr="008842C2" w:rsidRDefault="008842C2" w:rsidP="008842C2">
      <w:pPr>
        <w:spacing w:before="240" w:after="240" w:line="360" w:lineRule="auto"/>
        <w:jc w:val="both"/>
        <w:rPr>
          <w:rFonts w:ascii="Palatino Linotype" w:hAnsi="Palatino Linotype"/>
          <w:sz w:val="10"/>
          <w:szCs w:val="24"/>
          <w:lang w:val="es-ES" w:eastAsia="es-ES"/>
        </w:rPr>
      </w:pPr>
    </w:p>
    <w:p w14:paraId="485F2C9A" w14:textId="77777777" w:rsidR="008842C2" w:rsidRPr="008842C2" w:rsidRDefault="008842C2" w:rsidP="008842C2">
      <w:pPr>
        <w:spacing w:before="240" w:after="240" w:line="240" w:lineRule="auto"/>
        <w:ind w:left="851" w:right="900"/>
        <w:jc w:val="both"/>
        <w:rPr>
          <w:rFonts w:ascii="Palatino Linotype" w:hAnsi="Palatino Linotype"/>
          <w:i/>
          <w:lang w:val="es-ES" w:eastAsia="es-ES"/>
        </w:rPr>
      </w:pPr>
      <w:r w:rsidRPr="008842C2">
        <w:rPr>
          <w:rFonts w:ascii="Palatino Linotype" w:hAnsi="Palatino Linotype"/>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063EE6B7" w14:textId="77777777" w:rsidR="008842C2" w:rsidRPr="008842C2" w:rsidRDefault="008842C2" w:rsidP="008842C2">
      <w:pPr>
        <w:spacing w:before="240" w:after="240" w:line="240" w:lineRule="auto"/>
        <w:ind w:left="851" w:right="900"/>
        <w:jc w:val="both"/>
        <w:rPr>
          <w:rFonts w:ascii="Palatino Linotype" w:hAnsi="Palatino Linotype"/>
          <w:i/>
          <w:lang w:val="es-ES" w:eastAsia="es-ES"/>
        </w:rPr>
      </w:pPr>
    </w:p>
    <w:p w14:paraId="3625BAFF" w14:textId="77777777" w:rsidR="008842C2" w:rsidRPr="008842C2" w:rsidRDefault="008842C2" w:rsidP="008842C2">
      <w:pPr>
        <w:spacing w:before="240" w:after="240" w:line="360" w:lineRule="auto"/>
        <w:jc w:val="both"/>
        <w:rPr>
          <w:rFonts w:ascii="Palatino Linotype" w:hAnsi="Palatino Linotype"/>
          <w:sz w:val="24"/>
          <w:szCs w:val="24"/>
          <w:lang w:val="es-ES" w:eastAsia="es-ES"/>
        </w:rPr>
      </w:pPr>
      <w:r w:rsidRPr="008842C2">
        <w:rPr>
          <w:rFonts w:ascii="Palatino Linotype" w:hAnsi="Palatino Linotype"/>
          <w:sz w:val="24"/>
          <w:szCs w:val="24"/>
          <w:lang w:val="es-ES" w:eastAsia="es-ES"/>
        </w:rPr>
        <w:t xml:space="preserve">Robusteciendo lo anterior se encuentra lo dispuesto en los artículos 6, Apartado A, fracciones III y IV de la Constitución Política de los Estados Unidos Mexicanos y 5 </w:t>
      </w:r>
      <w:r w:rsidRPr="008842C2">
        <w:rPr>
          <w:rFonts w:ascii="Palatino Linotype" w:hAnsi="Palatino Linotype"/>
          <w:sz w:val="24"/>
          <w:szCs w:val="24"/>
          <w:lang w:val="es-ES" w:eastAsia="es-ES"/>
        </w:rPr>
        <w:lastRenderedPageBreak/>
        <w:t>párrafos vigésimo, vigésimo primero</w:t>
      </w:r>
      <w:r w:rsidRPr="008842C2">
        <w:rPr>
          <w:rFonts w:ascii="Palatino Linotype" w:eastAsia="Times New Roman" w:hAnsi="Palatino Linotype"/>
          <w:sz w:val="24"/>
        </w:rPr>
        <w:t xml:space="preserve"> y vigésimo segundo</w:t>
      </w:r>
      <w:r w:rsidRPr="008842C2">
        <w:rPr>
          <w:rFonts w:ascii="Palatino Linotype" w:hAnsi="Palatino Linotype"/>
          <w:sz w:val="24"/>
          <w:szCs w:val="24"/>
          <w:lang w:val="es-ES" w:eastAsia="es-ES"/>
        </w:rPr>
        <w:t>, de la Constitución Política del Estado Libre y Soberano de México, se establece lo siguiente:</w:t>
      </w:r>
    </w:p>
    <w:p w14:paraId="60838B2C" w14:textId="77777777" w:rsidR="008842C2" w:rsidRPr="008842C2" w:rsidRDefault="008842C2" w:rsidP="008842C2">
      <w:pPr>
        <w:spacing w:before="120" w:after="120" w:line="240" w:lineRule="auto"/>
        <w:ind w:left="851" w:right="851"/>
        <w:jc w:val="center"/>
        <w:rPr>
          <w:rFonts w:ascii="Palatino Linotype" w:hAnsi="Palatino Linotype"/>
          <w:b/>
          <w:i/>
          <w:lang w:val="es-ES" w:eastAsia="es-ES"/>
        </w:rPr>
      </w:pPr>
      <w:r w:rsidRPr="008842C2">
        <w:rPr>
          <w:rFonts w:ascii="Palatino Linotype" w:hAnsi="Palatino Linotype"/>
          <w:b/>
          <w:i/>
          <w:lang w:val="es-ES" w:eastAsia="es-ES"/>
        </w:rPr>
        <w:t>Constitución Política de los Estados Unidos Mexicanos</w:t>
      </w:r>
    </w:p>
    <w:p w14:paraId="317EFC37"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w:t>
      </w:r>
      <w:r w:rsidRPr="008842C2">
        <w:rPr>
          <w:rFonts w:ascii="Palatino Linotype" w:hAnsi="Palatino Linotype"/>
          <w:b/>
          <w:i/>
          <w:lang w:val="es-ES" w:eastAsia="es-ES"/>
        </w:rPr>
        <w:t>Artículo 6</w:t>
      </w:r>
      <w:r w:rsidRPr="008842C2">
        <w:rPr>
          <w:rFonts w:ascii="Palatino Linotype" w:hAnsi="Palatino Linotype"/>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F9E8CAA"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w:t>
      </w:r>
    </w:p>
    <w:p w14:paraId="308748ED"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 xml:space="preserve">Para efectos de lo dispuesto en el presente artículo se observará lo siguiente: </w:t>
      </w:r>
    </w:p>
    <w:p w14:paraId="5105669E"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A. Para el ejercicio del derecho de acceso a la información, la Federación, los Estados y el Distrito Federal, en el ámbito de sus respectivas competencias, se regirán por los siguientes principios y bases:</w:t>
      </w:r>
    </w:p>
    <w:p w14:paraId="573E8FEB"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w:t>
      </w:r>
    </w:p>
    <w:p w14:paraId="16240004"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 xml:space="preserve">III. Toda persona, sin necesidad de acreditar interés alguno o justificar su utilización, tendrá acceso gratuito a la información pública, a sus datos personales o a la rectificación de éstos. </w:t>
      </w:r>
    </w:p>
    <w:p w14:paraId="7E216487"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621A8F65"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p>
    <w:p w14:paraId="2FFBF560" w14:textId="77777777" w:rsidR="008842C2" w:rsidRPr="008842C2" w:rsidRDefault="008842C2" w:rsidP="008842C2">
      <w:pPr>
        <w:spacing w:before="120" w:after="120" w:line="240" w:lineRule="auto"/>
        <w:ind w:left="851" w:right="851"/>
        <w:jc w:val="center"/>
        <w:rPr>
          <w:rFonts w:ascii="Palatino Linotype" w:hAnsi="Palatino Linotype"/>
          <w:b/>
          <w:i/>
          <w:lang w:val="es-ES" w:eastAsia="es-ES"/>
        </w:rPr>
      </w:pPr>
      <w:r w:rsidRPr="008842C2">
        <w:rPr>
          <w:rFonts w:ascii="Palatino Linotype" w:hAnsi="Palatino Linotype"/>
          <w:b/>
          <w:i/>
          <w:lang w:val="es-ES" w:eastAsia="es-ES"/>
        </w:rPr>
        <w:t>Constitución Política del Estado Libre y Soberano de México</w:t>
      </w:r>
    </w:p>
    <w:p w14:paraId="70013BFD"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w:t>
      </w:r>
      <w:r w:rsidRPr="008842C2">
        <w:rPr>
          <w:rFonts w:ascii="Palatino Linotype" w:hAnsi="Palatino Linotype"/>
          <w:b/>
          <w:i/>
          <w:lang w:val="es-ES" w:eastAsia="es-ES"/>
        </w:rPr>
        <w:t>Artículo 5</w:t>
      </w:r>
      <w:r w:rsidRPr="008842C2">
        <w:rPr>
          <w:rFonts w:ascii="Palatino Linotype" w:hAnsi="Palatino Linotype"/>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A674A20"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w:t>
      </w:r>
    </w:p>
    <w:p w14:paraId="67939925"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24671375"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 xml:space="preserve"> (…)</w:t>
      </w:r>
    </w:p>
    <w:p w14:paraId="21624260"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 xml:space="preserve">El derecho a la información será garantizado por el Estado. La ley establecerá las previsiones que permitan asegurar la protección, el respeto y la difusión de este derecho. </w:t>
      </w:r>
    </w:p>
    <w:p w14:paraId="519932AB"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D39A322"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III. Toda persona, sin necesidad de acreditar interés alguno o justificar su utilización, tendrá acceso gratuito a la información pública, a sus datos personales o a la rectificación de éstos;</w:t>
      </w:r>
    </w:p>
    <w:p w14:paraId="27344777"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IV. Se establecerán mecanismos de acceso a la información y procedimientos de revisión expeditos que se sustanciarán ante el organismo autónomo especializado e imparcial que establece esta Constitución.</w:t>
      </w:r>
    </w:p>
    <w:p w14:paraId="1BA65A4D"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w:t>
      </w:r>
    </w:p>
    <w:p w14:paraId="57E30D0B"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C784D5E" w14:textId="77777777" w:rsidR="008842C2" w:rsidRPr="008842C2" w:rsidRDefault="008842C2" w:rsidP="008842C2">
      <w:pPr>
        <w:spacing w:before="240" w:after="240" w:line="240" w:lineRule="auto"/>
        <w:ind w:left="851" w:right="900"/>
        <w:jc w:val="both"/>
        <w:rPr>
          <w:rFonts w:ascii="Palatino Linotype" w:hAnsi="Palatino Linotype"/>
          <w:i/>
          <w:lang w:val="es-ES" w:eastAsia="es-ES"/>
        </w:rPr>
      </w:pPr>
    </w:p>
    <w:p w14:paraId="6E3CD7FA" w14:textId="77777777" w:rsidR="008842C2" w:rsidRPr="008842C2" w:rsidRDefault="008842C2" w:rsidP="008842C2">
      <w:pPr>
        <w:spacing w:before="240" w:after="240" w:line="360" w:lineRule="auto"/>
        <w:jc w:val="both"/>
        <w:rPr>
          <w:rFonts w:ascii="Palatino Linotype" w:hAnsi="Palatino Linotype"/>
          <w:sz w:val="24"/>
          <w:szCs w:val="24"/>
          <w:lang w:val="es-ES" w:eastAsia="es-ES"/>
        </w:rPr>
      </w:pPr>
      <w:r w:rsidRPr="008842C2">
        <w:rPr>
          <w:rFonts w:ascii="Palatino Linotype" w:hAnsi="Palatino Linotype"/>
          <w:sz w:val="24"/>
          <w:szCs w:val="24"/>
          <w:lang w:val="es-ES" w:eastAsia="es-ES"/>
        </w:rPr>
        <w:t>Por otra parte, del contenido del artículo 1 de la Constitución Política de los Estados Unidos Mexicanos, se destaca lo siguiente:</w:t>
      </w:r>
    </w:p>
    <w:p w14:paraId="2F3680F1"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w:t>
      </w:r>
      <w:r w:rsidRPr="008842C2">
        <w:rPr>
          <w:rFonts w:ascii="Palatino Linotype" w:hAnsi="Palatino Linotype"/>
          <w:b/>
          <w:i/>
          <w:lang w:val="es-ES" w:eastAsia="es-ES"/>
        </w:rPr>
        <w:t>Artículo 1o</w:t>
      </w:r>
      <w:r w:rsidRPr="008842C2">
        <w:rPr>
          <w:rFonts w:ascii="Palatino Linotype" w:hAnsi="Palatino Linotype"/>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8842C2">
        <w:rPr>
          <w:rFonts w:ascii="Palatino Linotype" w:hAnsi="Palatino Linotype"/>
          <w:i/>
          <w:lang w:val="es-ES" w:eastAsia="es-ES"/>
        </w:rPr>
        <w:lastRenderedPageBreak/>
        <w:t>cuyo ejercicio no podrá restringirse ni suspenderse, salvo en los casos y bajo las condiciones que esta Constitución establece.</w:t>
      </w:r>
    </w:p>
    <w:p w14:paraId="58FD5F69"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B423263" w14:textId="77777777" w:rsidR="008842C2" w:rsidRPr="008842C2" w:rsidRDefault="008842C2" w:rsidP="008842C2">
      <w:pPr>
        <w:spacing w:before="120" w:after="120" w:line="240" w:lineRule="auto"/>
        <w:ind w:left="851" w:right="851"/>
        <w:jc w:val="both"/>
        <w:rPr>
          <w:rFonts w:ascii="Palatino Linotype" w:hAnsi="Palatino Linotype"/>
          <w:i/>
          <w:lang w:val="es-ES" w:eastAsia="es-ES"/>
        </w:rPr>
      </w:pPr>
      <w:r w:rsidRPr="008842C2">
        <w:rPr>
          <w:rFonts w:ascii="Palatino Linotype" w:hAnsi="Palatino Linotype"/>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93C162" w14:textId="77777777" w:rsidR="008842C2" w:rsidRPr="008842C2" w:rsidRDefault="008842C2" w:rsidP="008842C2">
      <w:pPr>
        <w:spacing w:before="240" w:after="240" w:line="240" w:lineRule="auto"/>
        <w:ind w:left="851" w:right="900"/>
        <w:jc w:val="both"/>
        <w:rPr>
          <w:rFonts w:ascii="Palatino Linotype" w:hAnsi="Palatino Linotype"/>
          <w:i/>
          <w:lang w:val="es-ES" w:eastAsia="es-ES"/>
        </w:rPr>
      </w:pPr>
    </w:p>
    <w:p w14:paraId="106E6FAC" w14:textId="77777777" w:rsidR="008842C2" w:rsidRPr="008842C2" w:rsidRDefault="008842C2" w:rsidP="008842C2">
      <w:pPr>
        <w:spacing w:after="0" w:line="360" w:lineRule="auto"/>
        <w:jc w:val="both"/>
        <w:rPr>
          <w:rFonts w:ascii="Palatino Linotype" w:hAnsi="Palatino Linotype"/>
          <w:sz w:val="24"/>
          <w:szCs w:val="24"/>
          <w:lang w:val="es-ES" w:eastAsia="es-ES"/>
        </w:rPr>
      </w:pPr>
      <w:r w:rsidRPr="008842C2">
        <w:rPr>
          <w:rFonts w:ascii="Palatino Linotype" w:hAnsi="Palatino Linotype"/>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842C2">
        <w:rPr>
          <w:rFonts w:ascii="Palatino Linotype" w:hAnsi="Palatino Linotype"/>
          <w:b/>
          <w:sz w:val="24"/>
          <w:szCs w:val="24"/>
          <w:u w:val="single"/>
          <w:lang w:val="es-ES" w:eastAsia="es-ES"/>
        </w:rPr>
        <w:t>incluso, la solicitud de acceso a la información pueda ser anónima o no contener un nombre que identifique al solicitante o que permita tener certeza sobre su identidad</w:t>
      </w:r>
      <w:r w:rsidRPr="008842C2">
        <w:rPr>
          <w:rFonts w:ascii="Palatino Linotype" w:hAnsi="Palatino Linotype"/>
          <w:sz w:val="24"/>
          <w:szCs w:val="24"/>
          <w:lang w:val="es-ES" w:eastAsia="es-ES"/>
        </w:rPr>
        <w:t>.</w:t>
      </w:r>
    </w:p>
    <w:p w14:paraId="77BECD42" w14:textId="77777777" w:rsidR="008842C2" w:rsidRPr="008842C2" w:rsidRDefault="008842C2" w:rsidP="008842C2">
      <w:pPr>
        <w:spacing w:after="0" w:line="360" w:lineRule="auto"/>
        <w:jc w:val="both"/>
        <w:rPr>
          <w:rFonts w:ascii="Palatino Linotype" w:hAnsi="Palatino Linotype"/>
          <w:sz w:val="24"/>
          <w:szCs w:val="24"/>
          <w:lang w:val="es-ES" w:eastAsia="es-ES"/>
        </w:rPr>
      </w:pPr>
    </w:p>
    <w:p w14:paraId="6DD54A85" w14:textId="77777777" w:rsidR="008842C2" w:rsidRPr="008842C2" w:rsidRDefault="008842C2" w:rsidP="008842C2">
      <w:pPr>
        <w:autoSpaceDE w:val="0"/>
        <w:autoSpaceDN w:val="0"/>
        <w:adjustRightInd w:val="0"/>
        <w:spacing w:after="0" w:line="360" w:lineRule="auto"/>
        <w:jc w:val="both"/>
        <w:rPr>
          <w:rFonts w:ascii="Palatino Linotype" w:eastAsiaTheme="minorHAnsi" w:hAnsi="Palatino Linotype"/>
          <w:sz w:val="24"/>
          <w:szCs w:val="24"/>
        </w:rPr>
      </w:pPr>
      <w:r w:rsidRPr="008842C2">
        <w:rPr>
          <w:rFonts w:ascii="Palatino Linotype" w:hAnsi="Palatino Linotype"/>
          <w:sz w:val="24"/>
          <w:szCs w:val="24"/>
          <w:lang w:val="es-ES" w:eastAsia="es-ES"/>
        </w:rPr>
        <w:t>En conclusión, se cubrieron los requisitos de procedencia y procedibilidad y conforme a las constancias que obran en el expediente.</w:t>
      </w:r>
    </w:p>
    <w:p w14:paraId="4378ECC6" w14:textId="77777777" w:rsidR="008842C2" w:rsidRDefault="008842C2" w:rsidP="009C6F75">
      <w:pPr>
        <w:pStyle w:val="Sinespaciado"/>
        <w:spacing w:line="360" w:lineRule="auto"/>
        <w:jc w:val="both"/>
        <w:rPr>
          <w:rFonts w:ascii="Palatino Linotype" w:hAnsi="Palatino Linotype"/>
          <w:b/>
          <w:sz w:val="28"/>
          <w:szCs w:val="26"/>
        </w:rPr>
      </w:pPr>
    </w:p>
    <w:p w14:paraId="1DD590C0" w14:textId="77777777" w:rsidR="008842C2" w:rsidRDefault="008842C2" w:rsidP="009C6F75">
      <w:pPr>
        <w:pStyle w:val="Sinespaciado"/>
        <w:spacing w:line="360" w:lineRule="auto"/>
        <w:jc w:val="both"/>
        <w:rPr>
          <w:rFonts w:ascii="Palatino Linotype" w:hAnsi="Palatino Linotype"/>
          <w:b/>
          <w:sz w:val="28"/>
          <w:szCs w:val="26"/>
        </w:rPr>
      </w:pPr>
    </w:p>
    <w:p w14:paraId="10CDF12D" w14:textId="5A082935" w:rsidR="007E2E80" w:rsidRPr="00800AFE" w:rsidRDefault="00FF6A83" w:rsidP="009C6F75">
      <w:pPr>
        <w:pStyle w:val="Sinespaciado"/>
        <w:spacing w:line="360" w:lineRule="auto"/>
        <w:jc w:val="both"/>
        <w:rPr>
          <w:rFonts w:ascii="Palatino Linotype" w:hAnsi="Palatino Linotype"/>
          <w:b/>
          <w:sz w:val="28"/>
          <w:szCs w:val="26"/>
        </w:rPr>
      </w:pPr>
      <w:r>
        <w:rPr>
          <w:rFonts w:ascii="Palatino Linotype" w:hAnsi="Palatino Linotype"/>
          <w:b/>
          <w:sz w:val="28"/>
          <w:szCs w:val="26"/>
        </w:rPr>
        <w:t>CUARTO</w:t>
      </w:r>
      <w:r w:rsidR="007E2E80" w:rsidRPr="00800AFE">
        <w:rPr>
          <w:rFonts w:ascii="Palatino Linotype" w:hAnsi="Palatino Linotype"/>
          <w:b/>
          <w:sz w:val="28"/>
          <w:szCs w:val="26"/>
        </w:rPr>
        <w:t>. De las causas de improcedencia.</w:t>
      </w:r>
    </w:p>
    <w:p w14:paraId="47AA0F4F"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21A19DF" w14:textId="77777777" w:rsidR="007E2E80" w:rsidRPr="009C6F75" w:rsidRDefault="007E2E80" w:rsidP="009C6F75">
      <w:pPr>
        <w:pStyle w:val="Sinespaciado"/>
        <w:spacing w:line="360" w:lineRule="auto"/>
        <w:jc w:val="both"/>
        <w:rPr>
          <w:rFonts w:ascii="Palatino Linotype" w:hAnsi="Palatino Linotype"/>
          <w:sz w:val="24"/>
          <w:szCs w:val="24"/>
        </w:rPr>
      </w:pPr>
    </w:p>
    <w:p w14:paraId="1E5F677D"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4D11FA54" w14:textId="77777777" w:rsidR="007E2E80" w:rsidRPr="009C6F75" w:rsidRDefault="007E2E80" w:rsidP="009C6F75">
      <w:pPr>
        <w:pStyle w:val="Sinespaciado"/>
        <w:spacing w:line="360" w:lineRule="auto"/>
        <w:jc w:val="both"/>
        <w:rPr>
          <w:rFonts w:ascii="Palatino Linotype" w:hAnsi="Palatino Linotype"/>
          <w:sz w:val="24"/>
          <w:szCs w:val="24"/>
        </w:rPr>
      </w:pPr>
    </w:p>
    <w:p w14:paraId="45BD5323" w14:textId="77777777"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B2B51C4" w14:textId="77777777" w:rsidR="009913F7" w:rsidRPr="009C6F75" w:rsidRDefault="009913F7" w:rsidP="009C6F75">
      <w:pPr>
        <w:pStyle w:val="Sinespaciado"/>
        <w:spacing w:line="360" w:lineRule="auto"/>
        <w:jc w:val="both"/>
        <w:rPr>
          <w:rFonts w:ascii="Palatino Linotype" w:hAnsi="Palatino Linotype"/>
          <w:sz w:val="24"/>
          <w:szCs w:val="24"/>
        </w:rPr>
      </w:pPr>
    </w:p>
    <w:p w14:paraId="17EC7CD6" w14:textId="617405CD" w:rsidR="007E2E80" w:rsidRPr="00800AFE" w:rsidRDefault="00AF0FD4" w:rsidP="009C6F75">
      <w:pPr>
        <w:pStyle w:val="Sinespaciado"/>
        <w:spacing w:line="360" w:lineRule="auto"/>
        <w:jc w:val="both"/>
        <w:rPr>
          <w:rFonts w:ascii="Palatino Linotype" w:hAnsi="Palatino Linotype"/>
          <w:sz w:val="28"/>
          <w:szCs w:val="26"/>
        </w:rPr>
      </w:pPr>
      <w:r>
        <w:rPr>
          <w:rFonts w:ascii="Palatino Linotype" w:hAnsi="Palatino Linotype"/>
          <w:b/>
          <w:sz w:val="28"/>
          <w:szCs w:val="26"/>
        </w:rPr>
        <w:t>QUINTO</w:t>
      </w:r>
      <w:r w:rsidR="007E2E80" w:rsidRPr="00800AFE">
        <w:rPr>
          <w:rFonts w:ascii="Palatino Linotype" w:hAnsi="Palatino Linotype"/>
          <w:b/>
          <w:sz w:val="28"/>
          <w:szCs w:val="26"/>
        </w:rPr>
        <w:t>.</w:t>
      </w:r>
      <w:r w:rsidR="007E2E80" w:rsidRPr="00800AFE">
        <w:rPr>
          <w:rFonts w:ascii="Palatino Linotype" w:hAnsi="Palatino Linotype"/>
          <w:sz w:val="28"/>
          <w:szCs w:val="26"/>
        </w:rPr>
        <w:t xml:space="preserve"> </w:t>
      </w:r>
      <w:r w:rsidR="007E2E80" w:rsidRPr="00800AFE">
        <w:rPr>
          <w:rFonts w:ascii="Palatino Linotype" w:hAnsi="Palatino Linotype"/>
          <w:b/>
          <w:sz w:val="28"/>
          <w:szCs w:val="26"/>
        </w:rPr>
        <w:t>Estudio y resolución del asunto.</w:t>
      </w:r>
    </w:p>
    <w:p w14:paraId="667DCCCC"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3268AA6" w14:textId="77777777" w:rsidR="00303E91" w:rsidRDefault="00303E91" w:rsidP="00FC372B">
      <w:pPr>
        <w:pStyle w:val="Sinespaciado"/>
        <w:spacing w:line="360" w:lineRule="auto"/>
        <w:jc w:val="both"/>
        <w:rPr>
          <w:rFonts w:ascii="Palatino Linotype" w:hAnsi="Palatino Linotype"/>
          <w:sz w:val="24"/>
          <w:szCs w:val="24"/>
        </w:rPr>
      </w:pPr>
    </w:p>
    <w:p w14:paraId="78A1C24A" w14:textId="77777777"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w:t>
      </w:r>
      <w:r w:rsidR="00BA3E6B">
        <w:rPr>
          <w:rFonts w:ascii="Palatino Linotype" w:hAnsi="Palatino Linotype"/>
          <w:sz w:val="24"/>
          <w:szCs w:val="24"/>
        </w:rPr>
        <w:t>o siguiente:</w:t>
      </w:r>
    </w:p>
    <w:p w14:paraId="70A795BB" w14:textId="77777777" w:rsidR="00BA3E6B" w:rsidRDefault="00BA3E6B" w:rsidP="00FC372B">
      <w:pPr>
        <w:pStyle w:val="Sinespaciado"/>
        <w:spacing w:line="360" w:lineRule="auto"/>
        <w:jc w:val="both"/>
        <w:rPr>
          <w:rFonts w:ascii="Palatino Linotype" w:hAnsi="Palatino Linotype"/>
          <w:sz w:val="24"/>
          <w:szCs w:val="24"/>
        </w:rPr>
      </w:pPr>
    </w:p>
    <w:p w14:paraId="656CD2BD" w14:textId="17C07D43" w:rsidR="00742D44" w:rsidRPr="00742D44" w:rsidRDefault="00742D44" w:rsidP="006E7781">
      <w:pPr>
        <w:pStyle w:val="Sinespaciado"/>
        <w:ind w:left="851" w:right="850"/>
        <w:jc w:val="both"/>
        <w:rPr>
          <w:rFonts w:ascii="Palatino Linotype" w:hAnsi="Palatino Linotype"/>
          <w:i/>
          <w:szCs w:val="24"/>
        </w:rPr>
      </w:pPr>
      <w:r>
        <w:rPr>
          <w:rFonts w:ascii="Palatino Linotype" w:hAnsi="Palatino Linotype"/>
          <w:i/>
          <w:szCs w:val="24"/>
        </w:rPr>
        <w:t>“</w:t>
      </w:r>
      <w:r w:rsidR="006E7781" w:rsidRPr="006E7781">
        <w:rPr>
          <w:rFonts w:ascii="Palatino Linotype" w:hAnsi="Palatino Linotype"/>
          <w:i/>
          <w:szCs w:val="24"/>
        </w:rPr>
        <w:t>En sesión extraordinaria de cabildo, el presidente municipal de Toluca, Juan Rodolfo Sánchez Gómez, presentó a consideración del Cabildo un punto de acuerdo para solicitar autorización para enajenar, desincorporar y desafectar 10 bienes inmuebles de propiedad municipal, sobre los cuales ocultó en todo momento su valor comercial y catastral. Cuál es la ubicación y cuáles son los 10 predios que se pondrán a la venta, cuál es el proceso para llevar a cabo esto, cuál será el monto de salida de la subasta y cuál es el monto que se espera recaudar, en que se usaría el recurso, y a quién se convocará a la subasta.</w:t>
      </w:r>
      <w:r>
        <w:rPr>
          <w:rFonts w:ascii="Palatino Linotype" w:hAnsi="Palatino Linotype"/>
          <w:i/>
          <w:szCs w:val="24"/>
        </w:rPr>
        <w:t>”</w:t>
      </w:r>
    </w:p>
    <w:p w14:paraId="7741F9E2" w14:textId="77777777" w:rsidR="00E43470" w:rsidRDefault="00E43470" w:rsidP="00391FD9">
      <w:pPr>
        <w:spacing w:after="240" w:line="360" w:lineRule="auto"/>
        <w:jc w:val="both"/>
        <w:rPr>
          <w:rFonts w:ascii="Palatino Linotype" w:hAnsi="Palatino Linotype"/>
          <w:sz w:val="24"/>
          <w:szCs w:val="24"/>
        </w:rPr>
      </w:pPr>
    </w:p>
    <w:p w14:paraId="221EE599" w14:textId="21B2DA24" w:rsidR="00E43470" w:rsidRDefault="00E43470" w:rsidP="00E43470">
      <w:pPr>
        <w:spacing w:after="24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Una vez analizada la solicitud de información</w:t>
      </w:r>
      <w:r w:rsidRPr="00E152F9">
        <w:rPr>
          <w:rFonts w:ascii="Palatino Linotype" w:eastAsia="Times New Roman" w:hAnsi="Palatino Linotype"/>
          <w:sz w:val="24"/>
          <w:szCs w:val="24"/>
          <w:lang w:eastAsia="es-ES"/>
        </w:rPr>
        <w:t xml:space="preserve">, podemos determinar que objetivamente el </w:t>
      </w:r>
      <w:r>
        <w:rPr>
          <w:rFonts w:ascii="Palatino Linotype" w:eastAsia="Times New Roman" w:hAnsi="Palatino Linotype"/>
          <w:sz w:val="24"/>
          <w:szCs w:val="24"/>
          <w:lang w:eastAsia="es-ES"/>
        </w:rPr>
        <w:t>R</w:t>
      </w:r>
      <w:r w:rsidR="00F7575D">
        <w:rPr>
          <w:rFonts w:ascii="Palatino Linotype" w:eastAsia="Times New Roman" w:hAnsi="Palatino Linotype"/>
          <w:sz w:val="24"/>
          <w:szCs w:val="24"/>
          <w:lang w:eastAsia="es-ES"/>
        </w:rPr>
        <w:t>ecurrente</w:t>
      </w:r>
      <w:r w:rsidRPr="00E152F9">
        <w:rPr>
          <w:rFonts w:ascii="Palatino Linotype" w:eastAsia="Times New Roman" w:hAnsi="Palatino Linotype"/>
          <w:sz w:val="24"/>
          <w:szCs w:val="24"/>
          <w:lang w:eastAsia="es-ES"/>
        </w:rPr>
        <w:t xml:space="preserve"> peticiona</w:t>
      </w:r>
      <w:r w:rsidR="006E7781">
        <w:rPr>
          <w:rFonts w:ascii="Palatino Linotype" w:eastAsia="Times New Roman" w:hAnsi="Palatino Linotype"/>
          <w:sz w:val="24"/>
          <w:szCs w:val="24"/>
          <w:lang w:eastAsia="es-ES"/>
        </w:rPr>
        <w:t xml:space="preserve"> de </w:t>
      </w:r>
      <w:bookmarkStart w:id="1" w:name="_Hlk93600889"/>
      <w:r w:rsidR="006E7781">
        <w:rPr>
          <w:rFonts w:ascii="Palatino Linotype" w:eastAsia="Times New Roman" w:hAnsi="Palatino Linotype"/>
          <w:sz w:val="24"/>
          <w:szCs w:val="24"/>
          <w:lang w:eastAsia="es-ES"/>
        </w:rPr>
        <w:t xml:space="preserve">la </w:t>
      </w:r>
      <w:r w:rsidR="006E7781" w:rsidRPr="006E7781">
        <w:rPr>
          <w:rFonts w:ascii="Palatino Linotype" w:eastAsia="Times New Roman" w:hAnsi="Palatino Linotype"/>
          <w:sz w:val="24"/>
          <w:szCs w:val="24"/>
          <w:lang w:eastAsia="es-ES"/>
        </w:rPr>
        <w:t>autorización</w:t>
      </w:r>
      <w:r w:rsidR="006E7781">
        <w:rPr>
          <w:rFonts w:ascii="Palatino Linotype" w:eastAsia="Times New Roman" w:hAnsi="Palatino Linotype"/>
          <w:sz w:val="24"/>
          <w:szCs w:val="24"/>
          <w:lang w:eastAsia="es-ES"/>
        </w:rPr>
        <w:t xml:space="preserve"> del Cabildo</w:t>
      </w:r>
      <w:r w:rsidR="006E7781" w:rsidRPr="006E7781">
        <w:rPr>
          <w:rFonts w:ascii="Palatino Linotype" w:eastAsia="Times New Roman" w:hAnsi="Palatino Linotype"/>
          <w:sz w:val="24"/>
          <w:szCs w:val="24"/>
          <w:lang w:eastAsia="es-ES"/>
        </w:rPr>
        <w:t xml:space="preserve"> para enajenar, desincorporar y desafectar 10 bienes inmuebles de propiedad municipal</w:t>
      </w:r>
      <w:r w:rsidR="006E7781">
        <w:rPr>
          <w:rFonts w:ascii="Palatino Linotype" w:eastAsia="Times New Roman" w:hAnsi="Palatino Linotype"/>
          <w:sz w:val="24"/>
          <w:szCs w:val="24"/>
          <w:lang w:eastAsia="es-ES"/>
        </w:rPr>
        <w:t>,</w:t>
      </w:r>
      <w:r w:rsidR="00C50B48">
        <w:rPr>
          <w:rFonts w:ascii="Palatino Linotype" w:eastAsia="Times New Roman" w:hAnsi="Palatino Linotype"/>
          <w:sz w:val="24"/>
          <w:szCs w:val="24"/>
          <w:lang w:eastAsia="es-ES"/>
        </w:rPr>
        <w:t xml:space="preserve"> el o los documentos en donde conste</w:t>
      </w:r>
      <w:r w:rsidRPr="00E152F9">
        <w:rPr>
          <w:rFonts w:ascii="Palatino Linotype" w:eastAsia="Times New Roman" w:hAnsi="Palatino Linotype"/>
          <w:sz w:val="24"/>
          <w:szCs w:val="24"/>
          <w:lang w:eastAsia="es-ES"/>
        </w:rPr>
        <w:t xml:space="preserve"> </w:t>
      </w:r>
      <w:r>
        <w:rPr>
          <w:rFonts w:ascii="Palatino Linotype" w:eastAsia="Times New Roman" w:hAnsi="Palatino Linotype"/>
          <w:sz w:val="24"/>
          <w:szCs w:val="24"/>
          <w:lang w:eastAsia="es-ES"/>
        </w:rPr>
        <w:t>lo siguiente</w:t>
      </w:r>
      <w:r w:rsidRPr="00E152F9">
        <w:rPr>
          <w:rFonts w:ascii="Palatino Linotype" w:eastAsia="Times New Roman" w:hAnsi="Palatino Linotype"/>
          <w:sz w:val="24"/>
          <w:szCs w:val="24"/>
          <w:lang w:eastAsia="es-ES"/>
        </w:rPr>
        <w:t>:</w:t>
      </w:r>
    </w:p>
    <w:p w14:paraId="1CB12408" w14:textId="22472C10" w:rsidR="0070040A" w:rsidRDefault="006E7781" w:rsidP="00FE389E">
      <w:pPr>
        <w:pStyle w:val="Prrafodelista"/>
        <w:numPr>
          <w:ilvl w:val="0"/>
          <w:numId w:val="4"/>
        </w:numPr>
        <w:spacing w:line="360" w:lineRule="auto"/>
        <w:jc w:val="both"/>
        <w:rPr>
          <w:rFonts w:ascii="Palatino Linotype" w:hAnsi="Palatino Linotype"/>
        </w:rPr>
      </w:pPr>
      <w:bookmarkStart w:id="2" w:name="_Hlk93606309"/>
      <w:r>
        <w:rPr>
          <w:rFonts w:ascii="Palatino Linotype" w:hAnsi="Palatino Linotype"/>
        </w:rPr>
        <w:t>Ubicación de los 10 predios</w:t>
      </w:r>
      <w:bookmarkEnd w:id="2"/>
      <w:r w:rsidR="0070040A">
        <w:rPr>
          <w:rFonts w:ascii="Palatino Linotype" w:hAnsi="Palatino Linotype"/>
        </w:rPr>
        <w:t>.</w:t>
      </w:r>
    </w:p>
    <w:p w14:paraId="4FFF58BD" w14:textId="5A3AB2BB" w:rsidR="00F7575D" w:rsidRDefault="006E7781" w:rsidP="00FE389E">
      <w:pPr>
        <w:pStyle w:val="Prrafodelista"/>
        <w:numPr>
          <w:ilvl w:val="0"/>
          <w:numId w:val="4"/>
        </w:numPr>
        <w:spacing w:line="360" w:lineRule="auto"/>
        <w:jc w:val="both"/>
        <w:rPr>
          <w:rFonts w:ascii="Palatino Linotype" w:hAnsi="Palatino Linotype"/>
        </w:rPr>
      </w:pPr>
      <w:r>
        <w:rPr>
          <w:rFonts w:ascii="Palatino Linotype" w:hAnsi="Palatino Linotype"/>
        </w:rPr>
        <w:t>E</w:t>
      </w:r>
      <w:r w:rsidRPr="006E7781">
        <w:rPr>
          <w:rFonts w:ascii="Palatino Linotype" w:hAnsi="Palatino Linotype"/>
        </w:rPr>
        <w:t xml:space="preserve">l proceso para llevar a cabo </w:t>
      </w:r>
      <w:r>
        <w:rPr>
          <w:rFonts w:ascii="Palatino Linotype" w:hAnsi="Palatino Linotype"/>
        </w:rPr>
        <w:t>la enajenación</w:t>
      </w:r>
      <w:r w:rsidR="00F7575D">
        <w:rPr>
          <w:rFonts w:ascii="Palatino Linotype" w:hAnsi="Palatino Linotype"/>
        </w:rPr>
        <w:t>.</w:t>
      </w:r>
    </w:p>
    <w:p w14:paraId="165AE4CB" w14:textId="7BEFBD25" w:rsidR="00E43470" w:rsidRDefault="006E7781" w:rsidP="00FE389E">
      <w:pPr>
        <w:pStyle w:val="Prrafodelista"/>
        <w:numPr>
          <w:ilvl w:val="0"/>
          <w:numId w:val="4"/>
        </w:numPr>
        <w:spacing w:line="360" w:lineRule="auto"/>
        <w:jc w:val="both"/>
        <w:rPr>
          <w:rFonts w:ascii="Palatino Linotype" w:hAnsi="Palatino Linotype"/>
        </w:rPr>
      </w:pPr>
      <w:r>
        <w:rPr>
          <w:rFonts w:ascii="Palatino Linotype" w:hAnsi="Palatino Linotype"/>
        </w:rPr>
        <w:t>M</w:t>
      </w:r>
      <w:r w:rsidRPr="006E7781">
        <w:rPr>
          <w:rFonts w:ascii="Palatino Linotype" w:hAnsi="Palatino Linotype"/>
        </w:rPr>
        <w:t>onto de salida de la subasta</w:t>
      </w:r>
      <w:r w:rsidR="00C50B48">
        <w:rPr>
          <w:rFonts w:ascii="Palatino Linotype" w:hAnsi="Palatino Linotype"/>
        </w:rPr>
        <w:t>.</w:t>
      </w:r>
    </w:p>
    <w:p w14:paraId="118BDB75" w14:textId="77777777" w:rsidR="006E7781" w:rsidRDefault="006E7781" w:rsidP="00FE389E">
      <w:pPr>
        <w:pStyle w:val="Prrafodelista"/>
        <w:numPr>
          <w:ilvl w:val="0"/>
          <w:numId w:val="4"/>
        </w:numPr>
        <w:spacing w:line="360" w:lineRule="auto"/>
        <w:jc w:val="both"/>
        <w:rPr>
          <w:rFonts w:ascii="Palatino Linotype" w:hAnsi="Palatino Linotype"/>
        </w:rPr>
      </w:pPr>
      <w:r>
        <w:rPr>
          <w:rFonts w:ascii="Palatino Linotype" w:hAnsi="Palatino Linotype"/>
        </w:rPr>
        <w:t>M</w:t>
      </w:r>
      <w:r w:rsidRPr="006E7781">
        <w:rPr>
          <w:rFonts w:ascii="Palatino Linotype" w:hAnsi="Palatino Linotype"/>
        </w:rPr>
        <w:t>onto que se espera recauda</w:t>
      </w:r>
      <w:r>
        <w:rPr>
          <w:rFonts w:ascii="Palatino Linotype" w:hAnsi="Palatino Linotype"/>
        </w:rPr>
        <w:t>r.</w:t>
      </w:r>
    </w:p>
    <w:p w14:paraId="37383565" w14:textId="66AACDC8" w:rsidR="006E7781" w:rsidRDefault="006E7781" w:rsidP="00FE389E">
      <w:pPr>
        <w:pStyle w:val="Prrafodelista"/>
        <w:numPr>
          <w:ilvl w:val="0"/>
          <w:numId w:val="4"/>
        </w:numPr>
        <w:spacing w:line="360" w:lineRule="auto"/>
        <w:jc w:val="both"/>
        <w:rPr>
          <w:rFonts w:ascii="Palatino Linotype" w:hAnsi="Palatino Linotype"/>
        </w:rPr>
      </w:pPr>
      <w:r>
        <w:rPr>
          <w:rFonts w:ascii="Palatino Linotype" w:hAnsi="Palatino Linotype"/>
        </w:rPr>
        <w:t>El destino del monto recaudado.</w:t>
      </w:r>
    </w:p>
    <w:p w14:paraId="41A564D2" w14:textId="513AE411" w:rsidR="006E7781" w:rsidRDefault="006E7781" w:rsidP="00FE389E">
      <w:pPr>
        <w:pStyle w:val="Prrafodelista"/>
        <w:numPr>
          <w:ilvl w:val="0"/>
          <w:numId w:val="4"/>
        </w:numPr>
        <w:spacing w:line="360" w:lineRule="auto"/>
        <w:jc w:val="both"/>
        <w:rPr>
          <w:rFonts w:ascii="Palatino Linotype" w:hAnsi="Palatino Linotype"/>
        </w:rPr>
      </w:pPr>
      <w:r>
        <w:rPr>
          <w:rFonts w:ascii="Palatino Linotype" w:hAnsi="Palatino Linotype"/>
        </w:rPr>
        <w:t>Convocados a la subasta.</w:t>
      </w:r>
    </w:p>
    <w:bookmarkEnd w:id="1"/>
    <w:p w14:paraId="6370A915" w14:textId="77777777" w:rsidR="0070040A" w:rsidRPr="0070040A" w:rsidRDefault="0070040A" w:rsidP="0070040A">
      <w:pPr>
        <w:pStyle w:val="Prrafodelista"/>
        <w:spacing w:line="360" w:lineRule="auto"/>
        <w:ind w:left="714"/>
        <w:jc w:val="both"/>
        <w:rPr>
          <w:rFonts w:ascii="Palatino Linotype" w:hAnsi="Palatino Linotype"/>
        </w:rPr>
      </w:pPr>
    </w:p>
    <w:p w14:paraId="1ADD89E8" w14:textId="4D1FA6C9" w:rsidR="00391FD9" w:rsidRDefault="00B26FB2" w:rsidP="00391FD9">
      <w:pPr>
        <w:spacing w:after="240" w:line="360" w:lineRule="auto"/>
        <w:jc w:val="both"/>
        <w:rPr>
          <w:rFonts w:ascii="Palatino Linotype" w:hAnsi="Palatino Linotype"/>
          <w:b/>
          <w:sz w:val="24"/>
          <w:szCs w:val="24"/>
        </w:rPr>
      </w:pPr>
      <w:r>
        <w:rPr>
          <w:rFonts w:ascii="Palatino Linotype" w:hAnsi="Palatino Linotype"/>
          <w:sz w:val="24"/>
          <w:szCs w:val="24"/>
        </w:rPr>
        <w:lastRenderedPageBreak/>
        <w:t>Consecuentemente, el</w:t>
      </w:r>
      <w:r w:rsidRPr="00B26FB2">
        <w:rPr>
          <w:rFonts w:ascii="Palatino Linotype" w:hAnsi="Palatino Linotype"/>
          <w:sz w:val="24"/>
          <w:szCs w:val="24"/>
        </w:rPr>
        <w:t xml:space="preserve"> </w:t>
      </w:r>
      <w:r w:rsidRPr="00B26FB2">
        <w:rPr>
          <w:rFonts w:ascii="Palatino Linotype" w:hAnsi="Palatino Linotype"/>
          <w:b/>
          <w:sz w:val="24"/>
          <w:szCs w:val="24"/>
        </w:rPr>
        <w:t>Sujeto Obligado</w:t>
      </w:r>
      <w:r w:rsidRPr="00B26FB2">
        <w:rPr>
          <w:rFonts w:ascii="Palatino Linotype" w:hAnsi="Palatino Linotype"/>
          <w:sz w:val="24"/>
          <w:szCs w:val="24"/>
        </w:rPr>
        <w:t xml:space="preserve"> emitió respuesta a la solicitud de información con número de folio </w:t>
      </w:r>
      <w:r w:rsidR="006E7781" w:rsidRPr="006E7781">
        <w:rPr>
          <w:rFonts w:ascii="Palatino Linotype" w:hAnsi="Palatino Linotype"/>
          <w:b/>
          <w:sz w:val="24"/>
          <w:szCs w:val="24"/>
        </w:rPr>
        <w:t>01022/TOLUCA/IP/2021</w:t>
      </w:r>
      <w:r w:rsidRPr="00B26FB2">
        <w:rPr>
          <w:rFonts w:ascii="Palatino Linotype" w:hAnsi="Palatino Linotype"/>
          <w:b/>
          <w:sz w:val="24"/>
          <w:szCs w:val="24"/>
        </w:rPr>
        <w:t xml:space="preserve">, </w:t>
      </w:r>
      <w:r w:rsidR="00391FD9" w:rsidRPr="00391FD9">
        <w:rPr>
          <w:rFonts w:ascii="Palatino Linotype" w:hAnsi="Palatino Linotype"/>
          <w:sz w:val="24"/>
          <w:szCs w:val="24"/>
        </w:rPr>
        <w:t xml:space="preserve">remitiendo para tal efecto </w:t>
      </w:r>
      <w:r w:rsidR="006E7781">
        <w:rPr>
          <w:rFonts w:ascii="Palatino Linotype" w:hAnsi="Palatino Linotype"/>
          <w:sz w:val="24"/>
          <w:szCs w:val="24"/>
        </w:rPr>
        <w:t>seis</w:t>
      </w:r>
      <w:r w:rsidR="00391FD9" w:rsidRPr="00391FD9">
        <w:rPr>
          <w:rFonts w:ascii="Palatino Linotype" w:hAnsi="Palatino Linotype"/>
          <w:sz w:val="24"/>
          <w:szCs w:val="24"/>
        </w:rPr>
        <w:t xml:space="preserve"> archivo</w:t>
      </w:r>
      <w:r w:rsidR="00A705C7">
        <w:rPr>
          <w:rFonts w:ascii="Palatino Linotype" w:hAnsi="Palatino Linotype"/>
          <w:sz w:val="24"/>
          <w:szCs w:val="24"/>
        </w:rPr>
        <w:t>s</w:t>
      </w:r>
      <w:r w:rsidR="00391FD9" w:rsidRPr="00391FD9">
        <w:rPr>
          <w:rFonts w:ascii="Palatino Linotype" w:hAnsi="Palatino Linotype"/>
          <w:sz w:val="24"/>
          <w:szCs w:val="24"/>
        </w:rPr>
        <w:t xml:space="preserve"> electrónico</w:t>
      </w:r>
      <w:r w:rsidR="00A705C7">
        <w:rPr>
          <w:rFonts w:ascii="Palatino Linotype" w:hAnsi="Palatino Linotype"/>
          <w:sz w:val="24"/>
          <w:szCs w:val="24"/>
        </w:rPr>
        <w:t>s</w:t>
      </w:r>
      <w:r w:rsidR="00F7575D">
        <w:rPr>
          <w:rFonts w:ascii="Palatino Linotype" w:hAnsi="Palatino Linotype"/>
          <w:sz w:val="24"/>
          <w:szCs w:val="24"/>
        </w:rPr>
        <w:t>, los cuales se describen a continuación</w:t>
      </w:r>
      <w:r w:rsidR="00391FD9">
        <w:rPr>
          <w:rFonts w:ascii="Palatino Linotype" w:hAnsi="Palatino Linotype"/>
          <w:b/>
          <w:sz w:val="24"/>
          <w:szCs w:val="24"/>
        </w:rPr>
        <w:t xml:space="preserve">: </w:t>
      </w:r>
    </w:p>
    <w:p w14:paraId="57D88CFA" w14:textId="590B26D8" w:rsidR="009B5843" w:rsidRPr="00CB6778" w:rsidRDefault="00391FD9" w:rsidP="00FE389E">
      <w:pPr>
        <w:pStyle w:val="Prrafodelista"/>
        <w:numPr>
          <w:ilvl w:val="0"/>
          <w:numId w:val="2"/>
        </w:numPr>
        <w:spacing w:line="360" w:lineRule="auto"/>
        <w:jc w:val="both"/>
        <w:rPr>
          <w:rFonts w:ascii="Palatino Linotype" w:hAnsi="Palatino Linotype" w:cs="Arial"/>
          <w:sz w:val="16"/>
        </w:rPr>
      </w:pPr>
      <w:r w:rsidRPr="007D5593">
        <w:rPr>
          <w:rFonts w:ascii="Palatino Linotype" w:eastAsia="Calibri" w:hAnsi="Palatino Linotype"/>
        </w:rPr>
        <w:t>“</w:t>
      </w:r>
      <w:r w:rsidR="006E7781" w:rsidRPr="006E7781">
        <w:rPr>
          <w:rFonts w:ascii="Palatino Linotype" w:eastAsia="Calibri" w:hAnsi="Palatino Linotype"/>
          <w:b/>
        </w:rPr>
        <w:t xml:space="preserve">Nota </w:t>
      </w:r>
      <w:proofErr w:type="spellStart"/>
      <w:r w:rsidR="006E7781" w:rsidRPr="006E7781">
        <w:rPr>
          <w:rFonts w:ascii="Palatino Linotype" w:eastAsia="Calibri" w:hAnsi="Palatino Linotype"/>
          <w:b/>
        </w:rPr>
        <w:t>saimex</w:t>
      </w:r>
      <w:proofErr w:type="spellEnd"/>
      <w:r w:rsidR="006E7781" w:rsidRPr="006E7781">
        <w:rPr>
          <w:rFonts w:ascii="Palatino Linotype" w:eastAsia="Calibri" w:hAnsi="Palatino Linotype"/>
          <w:b/>
        </w:rPr>
        <w:t xml:space="preserve"> 01022.pdf</w:t>
      </w:r>
      <w:r w:rsidRPr="007D5593">
        <w:rPr>
          <w:rFonts w:ascii="Palatino Linotype" w:eastAsia="Calibri" w:hAnsi="Palatino Linotype"/>
        </w:rPr>
        <w:t xml:space="preserve">”: Archivo electrónico que contiene </w:t>
      </w:r>
      <w:r w:rsidR="00CB6778">
        <w:rPr>
          <w:rFonts w:ascii="Palatino Linotype" w:eastAsia="Calibri" w:hAnsi="Palatino Linotype"/>
        </w:rPr>
        <w:t>la nota informativa número 0231, signada por el Tesorero Municipal, y remitida a la Titular de la Unidad de Transparencia, a través de la cual le informa que se adjunta la respuesta a la solicitud de información de mérito.</w:t>
      </w:r>
    </w:p>
    <w:p w14:paraId="1BDE2255" w14:textId="77777777" w:rsidR="00CB6778" w:rsidRPr="00CB6778" w:rsidRDefault="00CB6778" w:rsidP="00CB6778">
      <w:pPr>
        <w:pStyle w:val="Prrafodelista"/>
        <w:spacing w:line="360" w:lineRule="auto"/>
        <w:ind w:left="720"/>
        <w:jc w:val="both"/>
        <w:rPr>
          <w:rFonts w:ascii="Palatino Linotype" w:hAnsi="Palatino Linotype" w:cs="Arial"/>
          <w:sz w:val="16"/>
        </w:rPr>
      </w:pPr>
    </w:p>
    <w:p w14:paraId="4AA1C223" w14:textId="00A7126A" w:rsidR="00824B23" w:rsidRDefault="009B5843" w:rsidP="00FE389E">
      <w:pPr>
        <w:pStyle w:val="Prrafodelista"/>
        <w:numPr>
          <w:ilvl w:val="0"/>
          <w:numId w:val="5"/>
        </w:numPr>
        <w:spacing w:line="360" w:lineRule="auto"/>
        <w:jc w:val="both"/>
        <w:rPr>
          <w:rFonts w:ascii="Palatino Linotype" w:hAnsi="Palatino Linotype"/>
        </w:rPr>
      </w:pPr>
      <w:r w:rsidRPr="009B5843">
        <w:t xml:space="preserve"> </w:t>
      </w:r>
      <w:r w:rsidR="00CB6778">
        <w:t>“</w:t>
      </w:r>
      <w:r w:rsidR="00CB6778" w:rsidRPr="00CB6778">
        <w:rPr>
          <w:rFonts w:ascii="Palatino Linotype" w:hAnsi="Palatino Linotype"/>
          <w:b/>
          <w:bCs/>
          <w:noProof/>
          <w:lang w:val="es-MX" w:eastAsia="es-MX"/>
        </w:rPr>
        <w:t>Resp. Egr. saimex 01022.pdf</w:t>
      </w:r>
      <w:r w:rsidR="00CB6778">
        <w:rPr>
          <w:rFonts w:ascii="Palatino Linotype" w:hAnsi="Palatino Linotype"/>
          <w:b/>
          <w:bCs/>
          <w:noProof/>
          <w:lang w:val="es-MX" w:eastAsia="es-MX"/>
        </w:rPr>
        <w:t>”</w:t>
      </w:r>
      <w:r w:rsidR="00921077" w:rsidRPr="009B5843">
        <w:rPr>
          <w:rFonts w:ascii="Palatino Linotype" w:hAnsi="Palatino Linotype"/>
        </w:rPr>
        <w:t xml:space="preserve">: </w:t>
      </w:r>
      <w:r w:rsidR="00824B23" w:rsidRPr="009B5843">
        <w:rPr>
          <w:rFonts w:ascii="Palatino Linotype" w:hAnsi="Palatino Linotype"/>
        </w:rPr>
        <w:t>Documento electrónico que contiene</w:t>
      </w:r>
      <w:r w:rsidR="00CB6778">
        <w:rPr>
          <w:rFonts w:ascii="Palatino Linotype" w:hAnsi="Palatino Linotype"/>
        </w:rPr>
        <w:t xml:space="preserve"> el oficio No. 202014000/0993/2021, emitido por la Directora de Egresos a la Directora de Contaduría, mediante el cual, medularmente le informa que, de conformidad con las atribuciones que le fueron conferidas a la Tesorería Municipal en el artículo 3.20 del Código Reglamentario </w:t>
      </w:r>
      <w:r w:rsidR="00D978C1">
        <w:rPr>
          <w:rFonts w:ascii="Palatino Linotype" w:hAnsi="Palatino Linotype"/>
        </w:rPr>
        <w:t>M</w:t>
      </w:r>
      <w:r w:rsidR="00CB6778">
        <w:rPr>
          <w:rFonts w:ascii="Palatino Linotype" w:hAnsi="Palatino Linotype"/>
        </w:rPr>
        <w:t xml:space="preserve">unicipal </w:t>
      </w:r>
      <w:r w:rsidR="00D978C1">
        <w:rPr>
          <w:rFonts w:ascii="Palatino Linotype" w:hAnsi="Palatino Linotype"/>
        </w:rPr>
        <w:t>de Toluca, informa que el área competente no ha turnado documentación alguna por el concepto referido para poder determinar el destino del Recurso.</w:t>
      </w:r>
    </w:p>
    <w:p w14:paraId="2C652AE9" w14:textId="77777777" w:rsidR="009B5843" w:rsidRDefault="009B5843" w:rsidP="009B5843">
      <w:pPr>
        <w:pStyle w:val="Prrafodelista"/>
        <w:spacing w:line="360" w:lineRule="auto"/>
        <w:ind w:left="720"/>
        <w:jc w:val="both"/>
        <w:rPr>
          <w:rFonts w:ascii="Palatino Linotype" w:hAnsi="Palatino Linotype"/>
        </w:rPr>
      </w:pPr>
    </w:p>
    <w:p w14:paraId="7327FB46" w14:textId="3B2CF3BD" w:rsidR="000E7B72" w:rsidRDefault="00D978C1" w:rsidP="00FE389E">
      <w:pPr>
        <w:pStyle w:val="Prrafodelista"/>
        <w:numPr>
          <w:ilvl w:val="0"/>
          <w:numId w:val="5"/>
        </w:numPr>
        <w:spacing w:line="360" w:lineRule="auto"/>
        <w:jc w:val="both"/>
        <w:rPr>
          <w:rFonts w:ascii="Palatino Linotype" w:hAnsi="Palatino Linotype"/>
          <w:bCs/>
        </w:rPr>
      </w:pPr>
      <w:r>
        <w:rPr>
          <w:rFonts w:ascii="Palatino Linotype" w:hAnsi="Palatino Linotype"/>
          <w:b/>
        </w:rPr>
        <w:t>“</w:t>
      </w:r>
      <w:proofErr w:type="spellStart"/>
      <w:r w:rsidRPr="00D978C1">
        <w:rPr>
          <w:rFonts w:ascii="Palatino Linotype" w:hAnsi="Palatino Linotype"/>
          <w:b/>
        </w:rPr>
        <w:t>Resp</w:t>
      </w:r>
      <w:proofErr w:type="spellEnd"/>
      <w:r w:rsidRPr="00D978C1">
        <w:rPr>
          <w:rFonts w:ascii="Palatino Linotype" w:hAnsi="Palatino Linotype"/>
          <w:b/>
        </w:rPr>
        <w:t xml:space="preserve">. Ing. </w:t>
      </w:r>
      <w:proofErr w:type="spellStart"/>
      <w:r w:rsidRPr="00D978C1">
        <w:rPr>
          <w:rFonts w:ascii="Palatino Linotype" w:hAnsi="Palatino Linotype"/>
          <w:b/>
        </w:rPr>
        <w:t>saimex</w:t>
      </w:r>
      <w:proofErr w:type="spellEnd"/>
      <w:r w:rsidRPr="00D978C1">
        <w:rPr>
          <w:rFonts w:ascii="Palatino Linotype" w:hAnsi="Palatino Linotype"/>
          <w:b/>
        </w:rPr>
        <w:t xml:space="preserve"> 01022.pdf</w:t>
      </w:r>
      <w:r>
        <w:rPr>
          <w:rFonts w:ascii="Palatino Linotype" w:hAnsi="Palatino Linotype"/>
          <w:b/>
        </w:rPr>
        <w:t>”</w:t>
      </w:r>
      <w:r w:rsidR="009B5843">
        <w:rPr>
          <w:rFonts w:ascii="Palatino Linotype" w:hAnsi="Palatino Linotype"/>
          <w:b/>
        </w:rPr>
        <w:t xml:space="preserve">: </w:t>
      </w:r>
      <w:r w:rsidRPr="00D978C1">
        <w:rPr>
          <w:rFonts w:ascii="Palatino Linotype" w:hAnsi="Palatino Linotype"/>
          <w:bCs/>
        </w:rPr>
        <w:t>Documento electrónico que contiene el oficio No. 20201</w:t>
      </w:r>
      <w:r>
        <w:rPr>
          <w:rFonts w:ascii="Palatino Linotype" w:hAnsi="Palatino Linotype"/>
          <w:bCs/>
        </w:rPr>
        <w:t>3</w:t>
      </w:r>
      <w:r w:rsidRPr="00D978C1">
        <w:rPr>
          <w:rFonts w:ascii="Palatino Linotype" w:hAnsi="Palatino Linotype"/>
          <w:bCs/>
        </w:rPr>
        <w:t>000/0</w:t>
      </w:r>
      <w:r>
        <w:rPr>
          <w:rFonts w:ascii="Palatino Linotype" w:hAnsi="Palatino Linotype"/>
          <w:bCs/>
        </w:rPr>
        <w:t>657</w:t>
      </w:r>
      <w:r w:rsidRPr="00D978C1">
        <w:rPr>
          <w:rFonts w:ascii="Palatino Linotype" w:hAnsi="Palatino Linotype"/>
          <w:bCs/>
        </w:rPr>
        <w:t xml:space="preserve">/2021, emitido por </w:t>
      </w:r>
      <w:r>
        <w:rPr>
          <w:rFonts w:ascii="Palatino Linotype" w:hAnsi="Palatino Linotype"/>
          <w:bCs/>
        </w:rPr>
        <w:t>el</w:t>
      </w:r>
      <w:r w:rsidRPr="00D978C1">
        <w:rPr>
          <w:rFonts w:ascii="Palatino Linotype" w:hAnsi="Palatino Linotype"/>
          <w:bCs/>
        </w:rPr>
        <w:t xml:space="preserve"> Director de </w:t>
      </w:r>
      <w:r>
        <w:rPr>
          <w:rFonts w:ascii="Palatino Linotype" w:hAnsi="Palatino Linotype"/>
          <w:bCs/>
        </w:rPr>
        <w:t>In</w:t>
      </w:r>
      <w:r w:rsidRPr="00D978C1">
        <w:rPr>
          <w:rFonts w:ascii="Palatino Linotype" w:hAnsi="Palatino Linotype"/>
          <w:bCs/>
        </w:rPr>
        <w:t xml:space="preserve">gresos a la Directora de Contaduría, mediante el cual, medularmente le informa que, </w:t>
      </w:r>
      <w:r w:rsidR="00C11787">
        <w:rPr>
          <w:rFonts w:ascii="Palatino Linotype" w:hAnsi="Palatino Linotype"/>
          <w:bCs/>
        </w:rPr>
        <w:t>la información requerida no corresponde a las atribuciones de su cargo, en lo que respecta a los montos recibidos, se hace alusión que la Dirección de Ingresos no ha registrado algún ingreso por concepto de inmuebles propiedad municipal que han sido enajenados, desincorporados y desafectados para su venta y subasta.</w:t>
      </w:r>
    </w:p>
    <w:p w14:paraId="0979B9BA" w14:textId="77777777" w:rsidR="00C11787" w:rsidRPr="00C11787" w:rsidRDefault="00C11787" w:rsidP="00C11787">
      <w:pPr>
        <w:pStyle w:val="Prrafodelista"/>
        <w:rPr>
          <w:rFonts w:ascii="Palatino Linotype" w:hAnsi="Palatino Linotype"/>
          <w:bCs/>
        </w:rPr>
      </w:pPr>
    </w:p>
    <w:p w14:paraId="1B984678" w14:textId="77777777" w:rsidR="00C11787" w:rsidRDefault="00C11787" w:rsidP="00FE389E">
      <w:pPr>
        <w:pStyle w:val="Prrafodelista"/>
        <w:numPr>
          <w:ilvl w:val="0"/>
          <w:numId w:val="5"/>
        </w:numPr>
        <w:spacing w:line="360" w:lineRule="auto"/>
        <w:jc w:val="both"/>
        <w:rPr>
          <w:rFonts w:ascii="Palatino Linotype" w:hAnsi="Palatino Linotype"/>
          <w:bCs/>
        </w:rPr>
      </w:pPr>
      <w:r>
        <w:rPr>
          <w:rFonts w:ascii="Palatino Linotype" w:hAnsi="Palatino Linotype"/>
          <w:bCs/>
        </w:rPr>
        <w:lastRenderedPageBreak/>
        <w:t>“</w:t>
      </w:r>
      <w:r w:rsidRPr="00C11787">
        <w:rPr>
          <w:rFonts w:ascii="Palatino Linotype" w:hAnsi="Palatino Linotype"/>
          <w:b/>
        </w:rPr>
        <w:t xml:space="preserve">1022 </w:t>
      </w:r>
      <w:proofErr w:type="gramStart"/>
      <w:r w:rsidRPr="00C11787">
        <w:rPr>
          <w:rFonts w:ascii="Palatino Linotype" w:hAnsi="Palatino Linotype"/>
          <w:b/>
        </w:rPr>
        <w:t>..</w:t>
      </w:r>
      <w:proofErr w:type="gramEnd"/>
      <w:r w:rsidRPr="00C11787">
        <w:rPr>
          <w:rFonts w:ascii="Palatino Linotype" w:hAnsi="Palatino Linotype"/>
          <w:b/>
        </w:rPr>
        <w:t>pdf</w:t>
      </w:r>
      <w:r>
        <w:rPr>
          <w:rFonts w:ascii="Palatino Linotype" w:hAnsi="Palatino Linotype"/>
          <w:bCs/>
        </w:rPr>
        <w:t>”: Archivo electrónico que contiene el oficio No. 200010000/1911/2021, signado por el Secretario Particular de Presidencia, y remitido al solicitante de información, mediante el cual le informa que, se realizó la búsqueda correspondiente de la información solicitada, pero esta no obra en los archivos de esa Dependencia.</w:t>
      </w:r>
    </w:p>
    <w:p w14:paraId="3BD41BB9" w14:textId="77777777" w:rsidR="00C11787" w:rsidRPr="00C11787" w:rsidRDefault="00C11787" w:rsidP="00C11787">
      <w:pPr>
        <w:pStyle w:val="Prrafodelista"/>
        <w:rPr>
          <w:rFonts w:ascii="Palatino Linotype" w:hAnsi="Palatino Linotype"/>
          <w:bCs/>
        </w:rPr>
      </w:pPr>
    </w:p>
    <w:p w14:paraId="578DCBFA" w14:textId="7803C38A" w:rsidR="004E7C69" w:rsidRPr="004E7C69" w:rsidRDefault="004E7C69" w:rsidP="00FE389E">
      <w:pPr>
        <w:pStyle w:val="Prrafodelista"/>
        <w:numPr>
          <w:ilvl w:val="0"/>
          <w:numId w:val="2"/>
        </w:numPr>
        <w:spacing w:line="360" w:lineRule="auto"/>
        <w:jc w:val="both"/>
        <w:rPr>
          <w:rFonts w:ascii="Palatino Linotype" w:hAnsi="Palatino Linotype" w:cs="Arial"/>
          <w:sz w:val="16"/>
        </w:rPr>
      </w:pPr>
      <w:r>
        <w:rPr>
          <w:rFonts w:ascii="Palatino Linotype" w:hAnsi="Palatino Linotype"/>
          <w:bCs/>
        </w:rPr>
        <w:t>“</w:t>
      </w:r>
      <w:r w:rsidRPr="004E7C69">
        <w:rPr>
          <w:rFonts w:ascii="Palatino Linotype" w:hAnsi="Palatino Linotype"/>
          <w:b/>
        </w:rPr>
        <w:t>SA SAIMEX 1022.PDF</w:t>
      </w:r>
      <w:r>
        <w:rPr>
          <w:rFonts w:ascii="Palatino Linotype" w:hAnsi="Palatino Linotype"/>
          <w:bCs/>
        </w:rPr>
        <w:t xml:space="preserve">”: </w:t>
      </w:r>
      <w:r w:rsidRPr="007D5593">
        <w:rPr>
          <w:rFonts w:ascii="Palatino Linotype" w:eastAsia="Calibri" w:hAnsi="Palatino Linotype"/>
        </w:rPr>
        <w:t xml:space="preserve">Archivo electrónico que contiene </w:t>
      </w:r>
      <w:r>
        <w:rPr>
          <w:rFonts w:ascii="Palatino Linotype" w:eastAsia="Calibri" w:hAnsi="Palatino Linotype"/>
        </w:rPr>
        <w:t>la nota informativa número SA/197/2021, signada por el Secretario del Ayuntamiento de Toluca, y remitida a la Titular de la Unidad de Transparencia, a través de la cual le informa que se adjunta la respuesta emitida por la Coordinación de Apoyo a Cabildo.</w:t>
      </w:r>
    </w:p>
    <w:p w14:paraId="34E7DFC1" w14:textId="3E7FCB20" w:rsidR="004E7C69" w:rsidRPr="004E7C69" w:rsidRDefault="004E7C69" w:rsidP="004E7C69">
      <w:pPr>
        <w:pStyle w:val="Prrafodelista"/>
        <w:spacing w:line="360" w:lineRule="auto"/>
        <w:ind w:left="720"/>
        <w:jc w:val="both"/>
        <w:rPr>
          <w:rFonts w:ascii="Palatino Linotype" w:eastAsia="Calibri" w:hAnsi="Palatino Linotype"/>
        </w:rPr>
      </w:pPr>
    </w:p>
    <w:p w14:paraId="47A06690" w14:textId="4FC1B046" w:rsidR="004E7C69" w:rsidRDefault="004E7C69" w:rsidP="00FE389E">
      <w:pPr>
        <w:pStyle w:val="Prrafodelista"/>
        <w:numPr>
          <w:ilvl w:val="0"/>
          <w:numId w:val="6"/>
        </w:numPr>
        <w:spacing w:line="360" w:lineRule="auto"/>
        <w:jc w:val="both"/>
        <w:rPr>
          <w:rFonts w:ascii="Palatino Linotype" w:hAnsi="Palatino Linotype"/>
        </w:rPr>
      </w:pPr>
      <w:r w:rsidRPr="004E7C69">
        <w:rPr>
          <w:rFonts w:ascii="Palatino Linotype" w:hAnsi="Palatino Linotype"/>
        </w:rPr>
        <w:t>“-</w:t>
      </w:r>
      <w:r w:rsidRPr="004E7C69">
        <w:rPr>
          <w:rFonts w:ascii="Palatino Linotype" w:hAnsi="Palatino Linotype"/>
          <w:b/>
          <w:bCs/>
        </w:rPr>
        <w:t>Anexo Saimex 01022.pdf</w:t>
      </w:r>
      <w:r w:rsidRPr="004E7C69">
        <w:rPr>
          <w:rFonts w:ascii="Palatino Linotype" w:hAnsi="Palatino Linotype"/>
        </w:rPr>
        <w:t>”</w:t>
      </w:r>
      <w:r>
        <w:rPr>
          <w:rFonts w:ascii="Palatino Linotype" w:hAnsi="Palatino Linotype"/>
        </w:rPr>
        <w:t xml:space="preserve">: Documento electrónico que contiene la respuesta emitida por la Coordinación de Apoyo a Cabildo, mediante la cual manifiesta que, derivado de la búsqueda exhaustiva y razonable de la información en los archivos de esa Coordinación, informa lo siguiente: </w:t>
      </w:r>
    </w:p>
    <w:p w14:paraId="54943CC7" w14:textId="5E6BD77C" w:rsidR="004E7C69" w:rsidRPr="00D77785" w:rsidRDefault="004E7C69" w:rsidP="00FE389E">
      <w:pPr>
        <w:pStyle w:val="Prrafodelista"/>
        <w:numPr>
          <w:ilvl w:val="1"/>
          <w:numId w:val="6"/>
        </w:numPr>
        <w:spacing w:line="360" w:lineRule="auto"/>
        <w:jc w:val="both"/>
        <w:rPr>
          <w:rFonts w:ascii="Palatino Linotype" w:hAnsi="Palatino Linotype"/>
        </w:rPr>
      </w:pPr>
      <w:r w:rsidRPr="004E7C69">
        <w:rPr>
          <w:rFonts w:ascii="Palatino Linotype" w:hAnsi="Palatino Linotype"/>
          <w:lang w:val="es-MX"/>
        </w:rPr>
        <w:t>En el orden del día, de la Quincuagésima Tercera Sesión Extraordinaria de Cabildo de fecha veintidós de octubre del año dos mil veintiuno, se puso a consideración del Honorable Cabildo 2019-2021, el punto de acuerdo número 4 que presenta el Lic. Juan Rodolfo Sánchez Gómez, Presidente Municipal Constitucional, para someter a consideración del Cabildo, la aprobación de enajenación, desincorporación y desafectación en su caso de 10 bienes inmuebles propiedad municipal (anexo a)</w:t>
      </w:r>
      <w:r w:rsidR="00D77785">
        <w:rPr>
          <w:rFonts w:ascii="Palatino Linotype" w:hAnsi="Palatino Linotype"/>
          <w:lang w:val="es-MX"/>
        </w:rPr>
        <w:t>.</w:t>
      </w:r>
    </w:p>
    <w:p w14:paraId="6A369FFD" w14:textId="77777777" w:rsidR="00D77785" w:rsidRPr="00D77785" w:rsidRDefault="00D77785" w:rsidP="00D77785">
      <w:pPr>
        <w:pStyle w:val="Prrafodelista"/>
        <w:spacing w:line="360" w:lineRule="auto"/>
        <w:ind w:left="1440"/>
        <w:jc w:val="both"/>
        <w:rPr>
          <w:rFonts w:ascii="Palatino Linotype" w:hAnsi="Palatino Linotype"/>
        </w:rPr>
      </w:pPr>
    </w:p>
    <w:p w14:paraId="29F6454E" w14:textId="6615690C" w:rsidR="00D77785" w:rsidRPr="004E7C69" w:rsidRDefault="00D77785" w:rsidP="00FE389E">
      <w:pPr>
        <w:pStyle w:val="Prrafodelista"/>
        <w:numPr>
          <w:ilvl w:val="1"/>
          <w:numId w:val="6"/>
        </w:numPr>
        <w:spacing w:line="360" w:lineRule="auto"/>
        <w:jc w:val="both"/>
        <w:rPr>
          <w:rFonts w:ascii="Palatino Linotype" w:hAnsi="Palatino Linotype"/>
        </w:rPr>
      </w:pPr>
      <w:r w:rsidRPr="00D77785">
        <w:rPr>
          <w:rFonts w:ascii="Palatino Linotype" w:hAnsi="Palatino Linotype"/>
        </w:rPr>
        <w:t>Los 10 bienes inmuebles propiedad municipal son los siguientes</w:t>
      </w:r>
      <w:r>
        <w:rPr>
          <w:rFonts w:ascii="Palatino Linotype" w:hAnsi="Palatino Linotype"/>
        </w:rPr>
        <w:t>:</w:t>
      </w:r>
    </w:p>
    <w:p w14:paraId="5D22ED45" w14:textId="4F36ED6C" w:rsidR="00921077" w:rsidRPr="00D77785" w:rsidRDefault="00D77785" w:rsidP="00D77785">
      <w:pPr>
        <w:spacing w:line="360" w:lineRule="auto"/>
        <w:jc w:val="center"/>
        <w:rPr>
          <w:rFonts w:ascii="Palatino Linotype" w:hAnsi="Palatino Linotype"/>
          <w:bCs/>
        </w:rPr>
      </w:pPr>
      <w:r w:rsidRPr="00D77785">
        <w:rPr>
          <w:rFonts w:ascii="Palatino Linotype" w:hAnsi="Palatino Linotype"/>
          <w:bCs/>
          <w:noProof/>
          <w:lang w:eastAsia="es-MX"/>
        </w:rPr>
        <w:lastRenderedPageBreak/>
        <w:drawing>
          <wp:inline distT="0" distB="0" distL="0" distR="0" wp14:anchorId="049BB06C" wp14:editId="5E85D485">
            <wp:extent cx="4959885" cy="1439501"/>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989" r="3686" b="9228"/>
                    <a:stretch/>
                  </pic:blipFill>
                  <pic:spPr bwMode="auto">
                    <a:xfrm>
                      <a:off x="0" y="0"/>
                      <a:ext cx="5069306" cy="1471258"/>
                    </a:xfrm>
                    <a:prstGeom prst="rect">
                      <a:avLst/>
                    </a:prstGeom>
                    <a:ln>
                      <a:noFill/>
                    </a:ln>
                    <a:extLst>
                      <a:ext uri="{53640926-AAD7-44D8-BBD7-CCE9431645EC}">
                        <a14:shadowObscured xmlns:a14="http://schemas.microsoft.com/office/drawing/2010/main"/>
                      </a:ext>
                    </a:extLst>
                  </pic:spPr>
                </pic:pic>
              </a:graphicData>
            </a:graphic>
          </wp:inline>
        </w:drawing>
      </w:r>
      <w:r w:rsidRPr="00D77785">
        <w:rPr>
          <w:rFonts w:ascii="Palatino Linotype" w:hAnsi="Palatino Linotype"/>
          <w:bCs/>
          <w:noProof/>
          <w:lang w:eastAsia="es-MX"/>
        </w:rPr>
        <w:drawing>
          <wp:inline distT="0" distB="0" distL="0" distR="0" wp14:anchorId="290A1FAB" wp14:editId="79A99C44">
            <wp:extent cx="5019675" cy="588658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73" r="2180"/>
                    <a:stretch/>
                  </pic:blipFill>
                  <pic:spPr bwMode="auto">
                    <a:xfrm>
                      <a:off x="0" y="0"/>
                      <a:ext cx="5035727" cy="5905409"/>
                    </a:xfrm>
                    <a:prstGeom prst="rect">
                      <a:avLst/>
                    </a:prstGeom>
                    <a:ln>
                      <a:noFill/>
                    </a:ln>
                    <a:extLst>
                      <a:ext uri="{53640926-AAD7-44D8-BBD7-CCE9431645EC}">
                        <a14:shadowObscured xmlns:a14="http://schemas.microsoft.com/office/drawing/2010/main"/>
                      </a:ext>
                    </a:extLst>
                  </pic:spPr>
                </pic:pic>
              </a:graphicData>
            </a:graphic>
          </wp:inline>
        </w:drawing>
      </w:r>
    </w:p>
    <w:p w14:paraId="12F9ECC3" w14:textId="11D57E71" w:rsidR="00BB76CF" w:rsidRPr="00BB76CF" w:rsidRDefault="003F74B1" w:rsidP="0011302A">
      <w:pPr>
        <w:spacing w:before="120" w:after="120" w:line="360" w:lineRule="auto"/>
        <w:jc w:val="both"/>
        <w:rPr>
          <w:rFonts w:ascii="Palatino Linotype" w:eastAsiaTheme="minorHAnsi" w:hAnsi="Palatino Linotype"/>
          <w:i/>
          <w:sz w:val="24"/>
          <w:szCs w:val="24"/>
        </w:rPr>
      </w:pPr>
      <w:r w:rsidRPr="003F74B1">
        <w:rPr>
          <w:rFonts w:ascii="Palatino Linotype" w:eastAsiaTheme="minorHAnsi" w:hAnsi="Palatino Linotype"/>
          <w:sz w:val="24"/>
          <w:szCs w:val="24"/>
        </w:rPr>
        <w:lastRenderedPageBreak/>
        <w:t>Ante la respuesta emitida, el particular interpuso el presente recurso de revisión manifestando como acto impugnado</w:t>
      </w:r>
      <w:r w:rsidR="0011302A">
        <w:rPr>
          <w:rFonts w:ascii="Palatino Linotype" w:eastAsiaTheme="minorHAnsi" w:hAnsi="Palatino Linotype"/>
          <w:sz w:val="24"/>
          <w:szCs w:val="24"/>
        </w:rPr>
        <w:t xml:space="preserve"> y como razones o motivos de inconformidad lo siguiente:</w:t>
      </w:r>
      <w:r w:rsidRPr="003F74B1">
        <w:rPr>
          <w:rFonts w:ascii="Palatino Linotype" w:eastAsiaTheme="minorHAnsi" w:hAnsi="Palatino Linotype"/>
          <w:sz w:val="24"/>
          <w:szCs w:val="24"/>
        </w:rPr>
        <w:t xml:space="preserve"> “</w:t>
      </w:r>
      <w:r w:rsidR="0011302A" w:rsidRPr="0011302A">
        <w:rPr>
          <w:rFonts w:ascii="Palatino Linotype" w:eastAsiaTheme="minorHAnsi" w:hAnsi="Palatino Linotype"/>
          <w:i/>
          <w:iCs/>
          <w:sz w:val="24"/>
          <w:szCs w:val="24"/>
        </w:rPr>
        <w:t>A la solicitud “Cuál es la ubicación” se respondió de forma parcial ya que no colocaron la dirección completa al faltar el número del inmueble que permita identificar la ubicación. Por otro lado, no se dio respuesta a las solicitudes: Cuál será el monto de salida de la subasta, Cuál es el monto que se espera recauda, En qué se usaría el recurso, A quién se convocará a la subasta, dado que el ayuntamiento informó que aprobó la propuesta del presidente municipal, supone que se conoce lo anterior ya que será parte de la enajenación y subasta que aprobaron. Por último no se informó sobre: Cuál es el proceso para llevar a cabo esto.</w:t>
      </w:r>
      <w:r w:rsidRPr="003F74B1">
        <w:rPr>
          <w:rFonts w:ascii="Palatino Linotype" w:eastAsiaTheme="minorHAnsi" w:hAnsi="Palatino Linotype"/>
          <w:sz w:val="24"/>
          <w:szCs w:val="24"/>
        </w:rPr>
        <w:t>”.</w:t>
      </w:r>
      <w:r w:rsidR="00BB76CF" w:rsidRPr="00BB76CF">
        <w:t xml:space="preserve"> </w:t>
      </w:r>
    </w:p>
    <w:p w14:paraId="0B00225A" w14:textId="77777777" w:rsidR="003F74B1" w:rsidRDefault="003F74B1" w:rsidP="002D74B7">
      <w:pPr>
        <w:spacing w:line="360" w:lineRule="auto"/>
        <w:jc w:val="both"/>
        <w:rPr>
          <w:rFonts w:ascii="Palatino Linotype" w:hAnsi="Palatino Linotype"/>
          <w:sz w:val="24"/>
          <w:szCs w:val="24"/>
        </w:rPr>
      </w:pPr>
    </w:p>
    <w:p w14:paraId="7FC10509" w14:textId="51D1E557" w:rsidR="00C61595" w:rsidRDefault="003F74B1" w:rsidP="0030371F">
      <w:pPr>
        <w:spacing w:after="0" w:line="360" w:lineRule="auto"/>
        <w:jc w:val="both"/>
        <w:rPr>
          <w:rFonts w:ascii="Palatino Linotype" w:hAnsi="Palatino Linotype"/>
          <w:sz w:val="24"/>
          <w:szCs w:val="24"/>
        </w:rPr>
      </w:pPr>
      <w:r w:rsidRPr="0019382A">
        <w:rPr>
          <w:rFonts w:ascii="Palatino Linotype" w:hAnsi="Palatino Linotype"/>
          <w:sz w:val="24"/>
          <w:szCs w:val="24"/>
        </w:rPr>
        <w:t>Por su parte, el Sujeto Obligado rindió con oportunidad su Informe Justificado que fue puesto a la vista de la Recurrente y mediante el</w:t>
      </w:r>
      <w:r w:rsidR="0002320F">
        <w:rPr>
          <w:rFonts w:ascii="Palatino Linotype" w:hAnsi="Palatino Linotype"/>
          <w:sz w:val="24"/>
          <w:szCs w:val="24"/>
        </w:rPr>
        <w:t xml:space="preserve"> cual r</w:t>
      </w:r>
      <w:r w:rsidR="00A32594">
        <w:rPr>
          <w:rFonts w:ascii="Palatino Linotype" w:hAnsi="Palatino Linotype"/>
          <w:sz w:val="24"/>
          <w:szCs w:val="24"/>
        </w:rPr>
        <w:t>atificó</w:t>
      </w:r>
      <w:r w:rsidR="0002320F">
        <w:rPr>
          <w:rFonts w:ascii="Palatino Linotype" w:hAnsi="Palatino Linotype"/>
          <w:sz w:val="24"/>
          <w:szCs w:val="24"/>
        </w:rPr>
        <w:t xml:space="preserve"> su respuesta primigenia</w:t>
      </w:r>
      <w:r w:rsidR="00A32594">
        <w:rPr>
          <w:rFonts w:ascii="Palatino Linotype" w:hAnsi="Palatino Linotype"/>
          <w:sz w:val="24"/>
          <w:szCs w:val="24"/>
        </w:rPr>
        <w:t>, como se puede advertid de las imágenes que se insertan a continuación:</w:t>
      </w:r>
    </w:p>
    <w:p w14:paraId="7C581B09" w14:textId="634EFE68" w:rsidR="00A32594" w:rsidRDefault="00A32594" w:rsidP="0030371F">
      <w:pPr>
        <w:spacing w:after="0" w:line="360" w:lineRule="auto"/>
        <w:jc w:val="both"/>
        <w:rPr>
          <w:rFonts w:ascii="Palatino Linotype" w:hAnsi="Palatino Linotype"/>
          <w:sz w:val="24"/>
          <w:szCs w:val="24"/>
        </w:rPr>
      </w:pPr>
      <w:r w:rsidRPr="00A32594">
        <w:rPr>
          <w:rFonts w:ascii="Palatino Linotype" w:hAnsi="Palatino Linotype"/>
          <w:noProof/>
          <w:sz w:val="24"/>
          <w:szCs w:val="24"/>
          <w:lang w:eastAsia="es-MX"/>
        </w:rPr>
        <w:drawing>
          <wp:inline distT="0" distB="0" distL="0" distR="0" wp14:anchorId="219E0DEA" wp14:editId="274F269A">
            <wp:extent cx="5760720" cy="84709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847090"/>
                    </a:xfrm>
                    <a:prstGeom prst="rect">
                      <a:avLst/>
                    </a:prstGeom>
                  </pic:spPr>
                </pic:pic>
              </a:graphicData>
            </a:graphic>
          </wp:inline>
        </w:drawing>
      </w:r>
      <w:r w:rsidRPr="00A32594">
        <w:rPr>
          <w:rFonts w:ascii="Palatino Linotype" w:hAnsi="Palatino Linotype"/>
          <w:noProof/>
          <w:sz w:val="24"/>
          <w:szCs w:val="24"/>
          <w:lang w:eastAsia="es-MX"/>
        </w:rPr>
        <w:drawing>
          <wp:inline distT="0" distB="0" distL="0" distR="0" wp14:anchorId="246A09FD" wp14:editId="1AF12C20">
            <wp:extent cx="5760720" cy="7810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81050"/>
                    </a:xfrm>
                    <a:prstGeom prst="rect">
                      <a:avLst/>
                    </a:prstGeom>
                  </pic:spPr>
                </pic:pic>
              </a:graphicData>
            </a:graphic>
          </wp:inline>
        </w:drawing>
      </w:r>
      <w:r w:rsidRPr="00A32594">
        <w:rPr>
          <w:rFonts w:ascii="Palatino Linotype" w:hAnsi="Palatino Linotype"/>
          <w:noProof/>
          <w:sz w:val="24"/>
          <w:szCs w:val="24"/>
          <w:lang w:eastAsia="es-MX"/>
        </w:rPr>
        <w:drawing>
          <wp:inline distT="0" distB="0" distL="0" distR="0" wp14:anchorId="6882D430" wp14:editId="05D7ACEE">
            <wp:extent cx="5760720" cy="779145"/>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79145"/>
                    </a:xfrm>
                    <a:prstGeom prst="rect">
                      <a:avLst/>
                    </a:prstGeom>
                  </pic:spPr>
                </pic:pic>
              </a:graphicData>
            </a:graphic>
          </wp:inline>
        </w:drawing>
      </w:r>
    </w:p>
    <w:p w14:paraId="1EBB63AC" w14:textId="77777777" w:rsidR="00A32594" w:rsidRDefault="00A32594" w:rsidP="0030371F">
      <w:pPr>
        <w:spacing w:after="0" w:line="360" w:lineRule="auto"/>
        <w:jc w:val="both"/>
        <w:rPr>
          <w:rFonts w:ascii="Palatino Linotype" w:hAnsi="Palatino Linotype"/>
          <w:sz w:val="24"/>
          <w:szCs w:val="24"/>
        </w:rPr>
      </w:pPr>
    </w:p>
    <w:p w14:paraId="0173CE06" w14:textId="77777777" w:rsidR="00C61595" w:rsidRPr="00C61595" w:rsidRDefault="00C61595" w:rsidP="0030371F">
      <w:pPr>
        <w:tabs>
          <w:tab w:val="left" w:pos="709"/>
        </w:tabs>
        <w:spacing w:after="0" w:line="360" w:lineRule="auto"/>
        <w:ind w:right="51"/>
        <w:jc w:val="both"/>
        <w:rPr>
          <w:rFonts w:ascii="Palatino Linotype" w:eastAsiaTheme="minorHAnsi" w:hAnsi="Palatino Linotype"/>
          <w:sz w:val="24"/>
          <w:szCs w:val="24"/>
        </w:rPr>
      </w:pPr>
      <w:r w:rsidRPr="00C61595">
        <w:rPr>
          <w:rFonts w:ascii="Palatino Linotype" w:eastAsiaTheme="minorHAnsi" w:hAnsi="Palatino Linotype"/>
          <w:sz w:val="24"/>
          <w:szCs w:val="24"/>
        </w:rPr>
        <w:lastRenderedPageBreak/>
        <w:t xml:space="preserve">Bajo las premisas anteriores, se concluye que en la especie será motivo de análisis si efectivamente, la respuesta otorgada por parte del </w:t>
      </w:r>
      <w:r w:rsidRPr="00C61595">
        <w:rPr>
          <w:rFonts w:ascii="Palatino Linotype" w:eastAsiaTheme="minorHAnsi" w:hAnsi="Palatino Linotype"/>
          <w:b/>
          <w:sz w:val="24"/>
          <w:szCs w:val="24"/>
        </w:rPr>
        <w:t>Sujeto Obligado</w:t>
      </w:r>
      <w:r w:rsidRPr="00C61595">
        <w:rPr>
          <w:rFonts w:ascii="Palatino Linotype" w:eastAsiaTheme="minorHAnsi" w:hAnsi="Palatino Linotype"/>
          <w:sz w:val="24"/>
          <w:szCs w:val="24"/>
        </w:rPr>
        <w:t xml:space="preserve"> satisface los requisitos establecidos por la Ley de la materia.</w:t>
      </w:r>
    </w:p>
    <w:p w14:paraId="52B367DD" w14:textId="77777777" w:rsidR="00C61595" w:rsidRPr="00C61595" w:rsidRDefault="00C61595" w:rsidP="0030371F">
      <w:pPr>
        <w:tabs>
          <w:tab w:val="left" w:pos="709"/>
        </w:tabs>
        <w:spacing w:after="0" w:line="360" w:lineRule="auto"/>
        <w:ind w:right="51"/>
        <w:jc w:val="both"/>
        <w:rPr>
          <w:rFonts w:ascii="Palatino Linotype" w:eastAsiaTheme="minorHAnsi" w:hAnsi="Palatino Linotype"/>
          <w:sz w:val="24"/>
          <w:szCs w:val="24"/>
        </w:rPr>
      </w:pPr>
    </w:p>
    <w:p w14:paraId="47A45F27" w14:textId="77777777" w:rsidR="00C61595" w:rsidRPr="00C61595" w:rsidRDefault="00C61595" w:rsidP="0030371F">
      <w:pPr>
        <w:autoSpaceDE w:val="0"/>
        <w:autoSpaceDN w:val="0"/>
        <w:adjustRightInd w:val="0"/>
        <w:spacing w:after="0" w:line="360" w:lineRule="auto"/>
        <w:ind w:right="-91"/>
        <w:jc w:val="both"/>
        <w:rPr>
          <w:rFonts w:ascii="Palatino Linotype" w:eastAsiaTheme="minorHAnsi" w:hAnsi="Palatino Linotype"/>
          <w:color w:val="000000"/>
          <w:sz w:val="24"/>
          <w:szCs w:val="24"/>
        </w:rPr>
      </w:pPr>
      <w:r w:rsidRPr="00C61595">
        <w:rPr>
          <w:rFonts w:ascii="Palatino Linotype" w:eastAsiaTheme="minorHAnsi" w:hAnsi="Palatino Linotype"/>
          <w:color w:val="000000"/>
          <w:sz w:val="24"/>
          <w:szCs w:val="24"/>
        </w:rPr>
        <w:t>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07E3469E" w14:textId="77777777" w:rsidR="00C61595" w:rsidRPr="00C61595" w:rsidRDefault="00C61595" w:rsidP="00C61595">
      <w:pPr>
        <w:spacing w:after="240" w:line="240" w:lineRule="auto"/>
        <w:ind w:left="851" w:right="851"/>
        <w:jc w:val="both"/>
        <w:rPr>
          <w:rFonts w:ascii="Palatino Linotype" w:eastAsiaTheme="minorHAnsi" w:hAnsi="Palatino Linotype"/>
          <w:bCs/>
          <w:i/>
          <w:sz w:val="24"/>
          <w:szCs w:val="24"/>
        </w:rPr>
      </w:pPr>
      <w:r w:rsidRPr="00C61595">
        <w:rPr>
          <w:rFonts w:ascii="Palatino Linotype" w:eastAsiaTheme="minorHAnsi" w:hAnsi="Palatino Linotype"/>
          <w:bCs/>
          <w:i/>
          <w:sz w:val="24"/>
          <w:szCs w:val="24"/>
        </w:rPr>
        <w:t>“</w:t>
      </w:r>
      <w:r w:rsidRPr="00C61595">
        <w:rPr>
          <w:rFonts w:ascii="Palatino Linotype" w:eastAsiaTheme="minorHAnsi" w:hAnsi="Palatino Linotype"/>
          <w:b/>
          <w:bCs/>
          <w:i/>
          <w:sz w:val="24"/>
          <w:szCs w:val="24"/>
        </w:rPr>
        <w:t>Artículo 6</w:t>
      </w:r>
    </w:p>
    <w:p w14:paraId="3518E102" w14:textId="77777777" w:rsidR="00C61595" w:rsidRPr="00C61595" w:rsidRDefault="00C61595" w:rsidP="00C61595">
      <w:pPr>
        <w:spacing w:after="0" w:line="240" w:lineRule="auto"/>
        <w:ind w:left="851" w:right="851"/>
        <w:jc w:val="both"/>
        <w:rPr>
          <w:rFonts w:ascii="Palatino Linotype" w:eastAsiaTheme="minorHAnsi" w:hAnsi="Palatino Linotype"/>
          <w:bCs/>
          <w:i/>
          <w:sz w:val="24"/>
          <w:szCs w:val="24"/>
        </w:rPr>
      </w:pPr>
      <w:r w:rsidRPr="00C61595">
        <w:rPr>
          <w:rFonts w:ascii="Palatino Linotype" w:eastAsiaTheme="minorHAnsi" w:hAnsi="Palatino Linotype"/>
          <w:bCs/>
          <w:i/>
          <w:sz w:val="24"/>
          <w:szCs w:val="24"/>
        </w:rPr>
        <w:t>…</w:t>
      </w:r>
    </w:p>
    <w:p w14:paraId="167CD9C1" w14:textId="77777777" w:rsidR="00C61595" w:rsidRPr="00C61595" w:rsidRDefault="00C61595" w:rsidP="00C61595">
      <w:pPr>
        <w:spacing w:after="0" w:line="240" w:lineRule="auto"/>
        <w:ind w:left="851" w:right="851"/>
        <w:jc w:val="both"/>
        <w:rPr>
          <w:rFonts w:ascii="Palatino Linotype" w:eastAsiaTheme="minorHAnsi" w:hAnsi="Palatino Linotype"/>
          <w:bCs/>
          <w:i/>
          <w:sz w:val="24"/>
          <w:szCs w:val="24"/>
        </w:rPr>
      </w:pPr>
      <w:r w:rsidRPr="00C61595">
        <w:rPr>
          <w:rFonts w:ascii="Palatino Linotype" w:eastAsiaTheme="minorHAnsi" w:hAnsi="Palatino Linotype"/>
          <w:bCs/>
          <w:i/>
          <w:sz w:val="24"/>
          <w:szCs w:val="24"/>
        </w:rPr>
        <w:t>Para el ejercicio del derecho de acceso a la información, la Federación, los Estados y el Distrito Federal, en el ámbito de sus respectivas competencias, se regirán por los siguientes principios y bases:</w:t>
      </w:r>
    </w:p>
    <w:p w14:paraId="4EBA744A" w14:textId="77777777" w:rsidR="00C61595" w:rsidRPr="00C61595" w:rsidRDefault="00C61595" w:rsidP="00C61595">
      <w:pPr>
        <w:spacing w:after="0" w:line="240" w:lineRule="auto"/>
        <w:ind w:left="851" w:right="851"/>
        <w:jc w:val="both"/>
        <w:rPr>
          <w:rFonts w:ascii="Palatino Linotype" w:eastAsiaTheme="minorHAnsi" w:hAnsi="Palatino Linotype"/>
          <w:bCs/>
          <w:i/>
          <w:sz w:val="24"/>
          <w:szCs w:val="24"/>
        </w:rPr>
      </w:pPr>
    </w:p>
    <w:p w14:paraId="620C170B" w14:textId="77777777" w:rsidR="00C61595" w:rsidRPr="00C61595" w:rsidRDefault="00C61595" w:rsidP="00C61595">
      <w:pPr>
        <w:tabs>
          <w:tab w:val="left" w:pos="709"/>
        </w:tabs>
        <w:spacing w:line="240" w:lineRule="auto"/>
        <w:ind w:left="851" w:right="851"/>
        <w:jc w:val="both"/>
        <w:rPr>
          <w:rFonts w:ascii="Palatino Linotype" w:eastAsiaTheme="minorHAnsi" w:hAnsi="Palatino Linotype"/>
          <w:bCs/>
          <w:i/>
          <w:sz w:val="24"/>
          <w:szCs w:val="24"/>
        </w:rPr>
      </w:pPr>
      <w:r w:rsidRPr="00C61595">
        <w:rPr>
          <w:rFonts w:ascii="Palatino Linotype" w:eastAsiaTheme="minorHAnsi" w:hAnsi="Palatino Linotype"/>
          <w:bCs/>
          <w:i/>
          <w:sz w:val="24"/>
          <w:szCs w:val="24"/>
        </w:rPr>
        <w:t xml:space="preserve">I. </w:t>
      </w:r>
      <w:r w:rsidRPr="00C61595">
        <w:rPr>
          <w:rFonts w:ascii="Palatino Linotype" w:eastAsiaTheme="minorHAnsi" w:hAnsi="Palatino Linotype"/>
          <w:bCs/>
          <w:i/>
          <w:sz w:val="24"/>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C61595">
        <w:rPr>
          <w:rFonts w:ascii="Palatino Linotype" w:eastAsiaTheme="minorHAnsi" w:hAnsi="Palatino Linotype"/>
          <w:bCs/>
          <w:i/>
          <w:sz w:val="24"/>
          <w:szCs w:val="24"/>
        </w:rPr>
        <w:lastRenderedPageBreak/>
        <w:t>supuestos específicos bajo los cuales procederá la declaración de inexistencia de la información.</w:t>
      </w:r>
    </w:p>
    <w:p w14:paraId="04DCEAE0" w14:textId="77777777" w:rsidR="00C61595" w:rsidRPr="00C61595" w:rsidRDefault="00C61595" w:rsidP="00C61595">
      <w:pPr>
        <w:tabs>
          <w:tab w:val="left" w:pos="709"/>
        </w:tabs>
        <w:spacing w:line="480" w:lineRule="auto"/>
        <w:jc w:val="both"/>
        <w:rPr>
          <w:rFonts w:ascii="Palatino Linotype" w:eastAsiaTheme="minorHAnsi" w:hAnsi="Palatino Linotype"/>
          <w:sz w:val="24"/>
          <w:szCs w:val="24"/>
        </w:rPr>
      </w:pPr>
    </w:p>
    <w:p w14:paraId="2A2B39BD" w14:textId="77777777" w:rsidR="00C61595" w:rsidRPr="00C61595" w:rsidRDefault="00C61595" w:rsidP="00C61595">
      <w:pPr>
        <w:tabs>
          <w:tab w:val="left" w:pos="709"/>
        </w:tabs>
        <w:spacing w:line="360" w:lineRule="auto"/>
        <w:jc w:val="both"/>
        <w:rPr>
          <w:rFonts w:ascii="Palatino Linotype" w:eastAsiaTheme="minorHAnsi" w:hAnsi="Palatino Linotype"/>
          <w:sz w:val="24"/>
          <w:szCs w:val="24"/>
        </w:rPr>
      </w:pPr>
      <w:r w:rsidRPr="00C61595">
        <w:rPr>
          <w:rFonts w:ascii="Palatino Linotype" w:eastAsiaTheme="minorHAnsi" w:hAnsi="Palatino Linotype"/>
          <w:sz w:val="24"/>
          <w:szCs w:val="24"/>
        </w:rPr>
        <w:t xml:space="preserve">Ahora bien, en atención a lo dispuesto por los artículos 3, fracción XI y 12 </w:t>
      </w:r>
      <w:r w:rsidRPr="00C61595">
        <w:rPr>
          <w:rFonts w:ascii="Palatino Linotype" w:eastAsiaTheme="minorHAnsi" w:hAnsi="Palatino Linotype"/>
          <w:bCs/>
          <w:sz w:val="24"/>
          <w:szCs w:val="24"/>
        </w:rPr>
        <w:t>de la Ley de Transparencia y Acceso a la Información Pública del Estado de México y Municipios</w:t>
      </w:r>
      <w:r w:rsidRPr="00C61595">
        <w:rPr>
          <w:rFonts w:ascii="Palatino Linotype" w:eastAsiaTheme="minorHAnsi" w:hAnsi="Palatino Linotype"/>
          <w:sz w:val="24"/>
          <w:szCs w:val="24"/>
        </w:rPr>
        <w:t>, los cuales son del tenor literal siguiente:</w:t>
      </w:r>
    </w:p>
    <w:p w14:paraId="5752E180" w14:textId="77777777" w:rsidR="00C61595" w:rsidRPr="00C61595" w:rsidRDefault="00C61595" w:rsidP="00C61595">
      <w:pPr>
        <w:tabs>
          <w:tab w:val="left" w:pos="709"/>
        </w:tabs>
        <w:spacing w:line="360" w:lineRule="auto"/>
        <w:jc w:val="both"/>
        <w:rPr>
          <w:rFonts w:ascii="Palatino Linotype" w:eastAsiaTheme="minorHAnsi" w:hAnsi="Palatino Linotype"/>
          <w:sz w:val="24"/>
          <w:szCs w:val="24"/>
        </w:rPr>
      </w:pPr>
    </w:p>
    <w:p w14:paraId="21A1BD2D"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r w:rsidRPr="00C61595">
        <w:rPr>
          <w:rFonts w:ascii="Palatino Linotype" w:eastAsiaTheme="minorHAnsi" w:hAnsi="Palatino Linotype"/>
          <w:b/>
          <w:bCs/>
          <w:i/>
          <w:sz w:val="24"/>
        </w:rPr>
        <w:t xml:space="preserve">“Artículo 3.- </w:t>
      </w:r>
      <w:r w:rsidRPr="00C61595">
        <w:rPr>
          <w:rFonts w:ascii="Palatino Linotype" w:eastAsiaTheme="minorHAnsi" w:hAnsi="Palatino Linotype"/>
          <w:i/>
          <w:sz w:val="24"/>
        </w:rPr>
        <w:t>Para los efectos de la presente Ley se entenderá por:</w:t>
      </w:r>
    </w:p>
    <w:p w14:paraId="54E31A5F"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r w:rsidRPr="00C61595">
        <w:rPr>
          <w:rFonts w:ascii="Palatino Linotype" w:eastAsiaTheme="minorHAnsi" w:hAnsi="Palatino Linotype"/>
          <w:i/>
          <w:sz w:val="24"/>
        </w:rPr>
        <w:t>…</w:t>
      </w:r>
    </w:p>
    <w:p w14:paraId="2777A31A"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r w:rsidRPr="00C61595">
        <w:rPr>
          <w:rFonts w:ascii="Palatino Linotype" w:eastAsiaTheme="minorHAnsi" w:hAnsi="Palatino Linotype"/>
          <w:b/>
          <w:i/>
          <w:sz w:val="24"/>
        </w:rPr>
        <w:t>XI.</w:t>
      </w:r>
      <w:r w:rsidRPr="00C61595">
        <w:rPr>
          <w:rFonts w:ascii="Palatino Linotype" w:eastAsiaTheme="minorHAnsi" w:hAnsi="Palatino Linotype"/>
          <w:i/>
          <w:sz w:val="24"/>
        </w:rPr>
        <w:t xml:space="preserve"> </w:t>
      </w:r>
      <w:r w:rsidRPr="00C61595">
        <w:rPr>
          <w:rFonts w:ascii="Palatino Linotype" w:eastAsiaTheme="minorHAnsi" w:hAnsi="Palatino Linotype"/>
          <w:b/>
          <w:i/>
          <w:sz w:val="24"/>
        </w:rPr>
        <w:t>Documento:</w:t>
      </w:r>
      <w:r w:rsidRPr="00C61595">
        <w:rPr>
          <w:rFonts w:ascii="Palatino Linotype" w:eastAsiaTheme="minorHAnsi" w:hAnsi="Palatino Linotype"/>
          <w:i/>
          <w:sz w:val="24"/>
        </w:rPr>
        <w:t xml:space="preserve"> Los expedientes, reportes, estudios, actas, resoluciones, oficios, correspondencia, acuerdos, directivas, directrices, circulares, contratos, convenios, instructivos, notas, memorandos, estadísticas o bien, </w:t>
      </w:r>
      <w:r w:rsidRPr="00C61595">
        <w:rPr>
          <w:rFonts w:ascii="Palatino Linotype" w:eastAsiaTheme="minorHAnsi" w:hAnsi="Palatino Linotype"/>
          <w:b/>
          <w:i/>
          <w:sz w:val="24"/>
          <w:u w:val="single"/>
        </w:rPr>
        <w:t>cualquier otro registro que documente el ejercicio de las facultades, funciones y competencias de los sujetos obligados, sus servidores públicos e integrantes, sin importar su fuente o fecha de elaboración.</w:t>
      </w:r>
      <w:r w:rsidRPr="00C61595">
        <w:rPr>
          <w:rFonts w:ascii="Palatino Linotype" w:eastAsiaTheme="minorHAnsi" w:hAnsi="Palatino Linotype"/>
          <w:i/>
          <w:sz w:val="24"/>
        </w:rPr>
        <w:t xml:space="preserve"> Los documentos podrán estar en cualquier medio, sea escrito, impreso, sonoro, visual, electrónico, informático u holográfico;</w:t>
      </w:r>
    </w:p>
    <w:p w14:paraId="33B8E833"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p>
    <w:p w14:paraId="57B0B881" w14:textId="77777777" w:rsidR="00C61595" w:rsidRPr="00C61595" w:rsidRDefault="00C61595" w:rsidP="00C61595">
      <w:pPr>
        <w:autoSpaceDE w:val="0"/>
        <w:autoSpaceDN w:val="0"/>
        <w:adjustRightInd w:val="0"/>
        <w:spacing w:after="0" w:line="240" w:lineRule="auto"/>
        <w:ind w:left="851" w:right="851"/>
        <w:jc w:val="both"/>
        <w:rPr>
          <w:rFonts w:ascii="Palatino Linotype" w:eastAsiaTheme="minorHAnsi" w:hAnsi="Palatino Linotype"/>
          <w:bCs/>
          <w:i/>
          <w:sz w:val="24"/>
        </w:rPr>
      </w:pPr>
      <w:r w:rsidRPr="00C61595">
        <w:rPr>
          <w:rFonts w:ascii="Palatino Linotype" w:eastAsiaTheme="minorHAnsi" w:hAnsi="Palatino Linotype"/>
          <w:b/>
          <w:bCs/>
          <w:i/>
          <w:sz w:val="24"/>
        </w:rPr>
        <w:t>Artículo 4.</w:t>
      </w:r>
      <w:r w:rsidRPr="00C61595">
        <w:rPr>
          <w:rFonts w:ascii="Palatino Linotype" w:eastAsiaTheme="minorHAnsi" w:hAnsi="Palatino Linotype"/>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1A30DBF" w14:textId="77777777" w:rsidR="00C61595" w:rsidRPr="00C61595" w:rsidRDefault="00C61595" w:rsidP="00C61595">
      <w:pPr>
        <w:autoSpaceDE w:val="0"/>
        <w:autoSpaceDN w:val="0"/>
        <w:adjustRightInd w:val="0"/>
        <w:spacing w:after="0" w:line="240" w:lineRule="auto"/>
        <w:ind w:left="851" w:right="851"/>
        <w:jc w:val="both"/>
        <w:rPr>
          <w:rFonts w:ascii="Palatino Linotype" w:eastAsiaTheme="minorHAnsi" w:hAnsi="Palatino Linotype"/>
          <w:bCs/>
          <w:i/>
          <w:sz w:val="24"/>
        </w:rPr>
      </w:pPr>
      <w:r w:rsidRPr="00C61595">
        <w:rPr>
          <w:rFonts w:ascii="Palatino Linotype" w:eastAsiaTheme="minorHAnsi" w:hAnsi="Palatino Linotype"/>
          <w:b/>
          <w:bCs/>
          <w:i/>
          <w:sz w:val="24"/>
          <w:u w:val="single"/>
        </w:rPr>
        <w:t>Toda la información generada, obtenida, adquirida, transformada, administrada o en posesión de los sujetos obligados es pública y accesible de manera permanente a cualquier persona,</w:t>
      </w:r>
      <w:r w:rsidRPr="00C61595">
        <w:rPr>
          <w:rFonts w:ascii="Palatino Linotype" w:eastAsiaTheme="minorHAnsi" w:hAnsi="Palatino Linotype"/>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532CE8" w14:textId="77777777" w:rsidR="00C61595" w:rsidRPr="00C61595" w:rsidRDefault="00C61595" w:rsidP="00C61595">
      <w:pPr>
        <w:autoSpaceDE w:val="0"/>
        <w:autoSpaceDN w:val="0"/>
        <w:adjustRightInd w:val="0"/>
        <w:spacing w:after="0" w:line="240" w:lineRule="auto"/>
        <w:ind w:left="851" w:right="851"/>
        <w:jc w:val="both"/>
        <w:rPr>
          <w:rFonts w:ascii="Palatino Linotype" w:eastAsiaTheme="minorHAnsi" w:hAnsi="Palatino Linotype"/>
          <w:bCs/>
          <w:i/>
          <w:sz w:val="24"/>
        </w:rPr>
      </w:pPr>
      <w:r w:rsidRPr="00C61595">
        <w:rPr>
          <w:rFonts w:ascii="Palatino Linotype" w:eastAsiaTheme="minorHAnsi" w:hAnsi="Palatino Linotype"/>
          <w:bCs/>
          <w:i/>
          <w:sz w:val="24"/>
        </w:rPr>
        <w:lastRenderedPageBreak/>
        <w:t>Los sujetos obligados deben poner en práctica, políticas y programas de acceso a la información que se apeguen a criterios de publicidad, veracidad, oportunidad, precisión y suficiencia en beneficio de los solicitantes.</w:t>
      </w:r>
    </w:p>
    <w:p w14:paraId="2CEE95ED"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p>
    <w:p w14:paraId="57FA702D"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r w:rsidRPr="00C61595">
        <w:rPr>
          <w:rFonts w:ascii="Palatino Linotype" w:eastAsiaTheme="minorHAnsi" w:hAnsi="Palatino Linotype"/>
          <w:b/>
          <w:i/>
          <w:sz w:val="24"/>
        </w:rPr>
        <w:t>Artículo 12.</w:t>
      </w:r>
      <w:r w:rsidRPr="00C61595">
        <w:rPr>
          <w:rFonts w:ascii="Palatino Linotype" w:eastAsiaTheme="minorHAnsi" w:hAnsi="Palatino Linotype"/>
          <w:i/>
          <w:sz w:val="24"/>
        </w:rPr>
        <w:t xml:space="preserve"> Quienes generen, recopilen, administren, manejen, procesen, archiven o conserven información pública serán responsables de la misma en los términos de las disposiciones jurídicas aplicables.</w:t>
      </w:r>
    </w:p>
    <w:p w14:paraId="3DAE4856"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p>
    <w:p w14:paraId="6219EAD9" w14:textId="77777777" w:rsidR="00C61595" w:rsidRPr="00C61595" w:rsidRDefault="00C61595" w:rsidP="00C61595">
      <w:pPr>
        <w:spacing w:after="0" w:line="240" w:lineRule="auto"/>
        <w:ind w:left="851" w:right="851"/>
        <w:jc w:val="both"/>
        <w:rPr>
          <w:rFonts w:ascii="Palatino Linotype" w:eastAsiaTheme="minorHAnsi" w:hAnsi="Palatino Linotype"/>
          <w:i/>
          <w:sz w:val="24"/>
          <w:u w:val="single"/>
        </w:rPr>
      </w:pPr>
      <w:r w:rsidRPr="00C61595">
        <w:rPr>
          <w:rFonts w:ascii="Palatino Linotype" w:eastAsiaTheme="minorHAnsi" w:hAnsi="Palatino Linotype"/>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61595">
        <w:rPr>
          <w:rFonts w:ascii="Palatino Linotype" w:eastAsiaTheme="minorHAnsi" w:hAnsi="Palatino Linotype"/>
          <w:i/>
          <w:sz w:val="24"/>
        </w:rPr>
        <w:t>.”</w:t>
      </w:r>
    </w:p>
    <w:p w14:paraId="17537E58" w14:textId="77777777" w:rsidR="00C61595" w:rsidRPr="00C61595" w:rsidRDefault="00C61595" w:rsidP="00C61595">
      <w:pPr>
        <w:spacing w:after="0" w:line="240" w:lineRule="auto"/>
        <w:ind w:left="851" w:right="851"/>
        <w:jc w:val="right"/>
        <w:rPr>
          <w:rFonts w:ascii="Palatino Linotype" w:eastAsiaTheme="minorHAnsi" w:hAnsi="Palatino Linotype"/>
          <w:sz w:val="24"/>
        </w:rPr>
      </w:pPr>
    </w:p>
    <w:p w14:paraId="7922C4F1" w14:textId="77777777" w:rsidR="00C61595" w:rsidRPr="00C61595" w:rsidRDefault="00C61595" w:rsidP="00C61595">
      <w:pPr>
        <w:spacing w:after="0" w:line="240" w:lineRule="auto"/>
        <w:ind w:left="851" w:right="851"/>
        <w:jc w:val="right"/>
        <w:rPr>
          <w:rFonts w:ascii="Palatino Linotype" w:eastAsiaTheme="minorHAnsi" w:hAnsi="Palatino Linotype"/>
          <w:sz w:val="24"/>
        </w:rPr>
      </w:pPr>
      <w:r w:rsidRPr="00C61595">
        <w:rPr>
          <w:rFonts w:ascii="Palatino Linotype" w:eastAsiaTheme="minorHAnsi" w:hAnsi="Palatino Linotype"/>
          <w:sz w:val="24"/>
        </w:rPr>
        <w:t>[Énfasis añadido]</w:t>
      </w:r>
    </w:p>
    <w:p w14:paraId="45EA3CA0" w14:textId="77777777" w:rsidR="00C61595" w:rsidRPr="00C61595" w:rsidRDefault="00C61595" w:rsidP="00C61595">
      <w:pPr>
        <w:spacing w:after="0" w:line="240" w:lineRule="auto"/>
        <w:ind w:left="851" w:right="851"/>
        <w:jc w:val="right"/>
        <w:rPr>
          <w:rFonts w:ascii="Palatino Linotype" w:eastAsiaTheme="minorHAnsi" w:hAnsi="Palatino Linotype"/>
          <w:sz w:val="24"/>
        </w:rPr>
      </w:pPr>
    </w:p>
    <w:p w14:paraId="17931AB2" w14:textId="6244C669" w:rsidR="00C61595" w:rsidRPr="00C61595" w:rsidRDefault="00C61595" w:rsidP="009643A5">
      <w:pPr>
        <w:spacing w:after="0" w:line="360" w:lineRule="auto"/>
        <w:jc w:val="both"/>
        <w:rPr>
          <w:rFonts w:ascii="Palatino Linotype" w:eastAsiaTheme="minorHAnsi" w:hAnsi="Palatino Linotype"/>
          <w:sz w:val="24"/>
          <w:szCs w:val="24"/>
        </w:rPr>
      </w:pPr>
      <w:r w:rsidRPr="00C61595">
        <w:rPr>
          <w:rFonts w:ascii="Palatino Linotype" w:eastAsiaTheme="minorHAnsi" w:hAnsi="Palatino Linotype"/>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143B3FC" w14:textId="77777777" w:rsidR="003F74B1" w:rsidRDefault="003F74B1" w:rsidP="009643A5">
      <w:pPr>
        <w:spacing w:after="0" w:line="360" w:lineRule="auto"/>
        <w:jc w:val="both"/>
        <w:rPr>
          <w:rFonts w:ascii="Palatino Linotype" w:hAnsi="Palatino Linotype"/>
          <w:sz w:val="24"/>
          <w:szCs w:val="24"/>
        </w:rPr>
      </w:pPr>
    </w:p>
    <w:p w14:paraId="55F29A79" w14:textId="2F14FB51" w:rsidR="00324B61" w:rsidRPr="00324B61" w:rsidRDefault="00C61595" w:rsidP="00324B61">
      <w:pPr>
        <w:spacing w:after="0" w:line="360" w:lineRule="auto"/>
        <w:jc w:val="both"/>
        <w:rPr>
          <w:rFonts w:ascii="Palatino Linotype" w:eastAsiaTheme="minorHAnsi" w:hAnsi="Palatino Linotype" w:cs="Arial"/>
          <w:sz w:val="24"/>
          <w:szCs w:val="24"/>
        </w:rPr>
      </w:pPr>
      <w:r w:rsidRPr="00C61595">
        <w:rPr>
          <w:rFonts w:ascii="Palatino Linotype" w:eastAsiaTheme="minorHAnsi" w:hAnsi="Palatino Linotype" w:cstheme="minorBidi"/>
          <w:sz w:val="24"/>
          <w:szCs w:val="24"/>
        </w:rPr>
        <w:t xml:space="preserve">En este tenor, se estima que respecto de la información requerida por el particular </w:t>
      </w:r>
      <w:r w:rsidR="0006407A">
        <w:rPr>
          <w:rFonts w:ascii="Palatino Linotype" w:eastAsiaTheme="minorHAnsi" w:hAnsi="Palatino Linotype" w:cstheme="minorBidi"/>
          <w:sz w:val="24"/>
          <w:szCs w:val="24"/>
        </w:rPr>
        <w:t xml:space="preserve">en el punto </w:t>
      </w:r>
      <w:r w:rsidR="007661E4">
        <w:rPr>
          <w:rFonts w:ascii="Palatino Linotype" w:eastAsiaTheme="minorHAnsi" w:hAnsi="Palatino Linotype" w:cstheme="minorBidi"/>
          <w:sz w:val="24"/>
          <w:szCs w:val="24"/>
        </w:rPr>
        <w:t>5</w:t>
      </w:r>
      <w:r w:rsidR="0006407A">
        <w:rPr>
          <w:rFonts w:ascii="Palatino Linotype" w:eastAsiaTheme="minorHAnsi" w:hAnsi="Palatino Linotype" w:cstheme="minorBidi"/>
          <w:sz w:val="24"/>
          <w:szCs w:val="24"/>
        </w:rPr>
        <w:t xml:space="preserve"> de la solicitud de información, </w:t>
      </w:r>
      <w:r w:rsidRPr="00C61595">
        <w:rPr>
          <w:rFonts w:ascii="Palatino Linotype" w:eastAsiaTheme="minorHAnsi" w:hAnsi="Palatino Linotype" w:cstheme="minorBidi"/>
          <w:sz w:val="24"/>
          <w:szCs w:val="24"/>
        </w:rPr>
        <w:t xml:space="preserve">correspondiente </w:t>
      </w:r>
      <w:r w:rsidR="0006407A">
        <w:rPr>
          <w:rFonts w:ascii="Palatino Linotype" w:eastAsiaTheme="minorHAnsi" w:hAnsi="Palatino Linotype" w:cstheme="minorBidi"/>
          <w:sz w:val="24"/>
          <w:szCs w:val="24"/>
        </w:rPr>
        <w:t>a</w:t>
      </w:r>
      <w:r w:rsidR="007661E4">
        <w:rPr>
          <w:rFonts w:ascii="Palatino Linotype" w:eastAsiaTheme="minorHAnsi" w:hAnsi="Palatino Linotype" w:cstheme="minorBidi"/>
          <w:sz w:val="24"/>
          <w:szCs w:val="24"/>
        </w:rPr>
        <w:t>l documento en donde conste al destino recaudado por la enajenación de los 1</w:t>
      </w:r>
      <w:r w:rsidR="007661E4" w:rsidRPr="007661E4">
        <w:rPr>
          <w:rFonts w:ascii="Palatino Linotype" w:eastAsiaTheme="minorHAnsi" w:hAnsi="Palatino Linotype" w:cstheme="minorBidi"/>
          <w:sz w:val="24"/>
          <w:szCs w:val="24"/>
        </w:rPr>
        <w:t>0 bienes inmuebles propiedad municipal</w:t>
      </w:r>
      <w:r w:rsidR="007661E4">
        <w:rPr>
          <w:rFonts w:ascii="Palatino Linotype" w:eastAsiaTheme="minorHAnsi" w:hAnsi="Palatino Linotype" w:cstheme="minorBidi"/>
          <w:sz w:val="24"/>
          <w:szCs w:val="24"/>
        </w:rPr>
        <w:t xml:space="preserve"> referidos en la solicitud de información</w:t>
      </w:r>
      <w:r w:rsidR="0017445D">
        <w:rPr>
          <w:rFonts w:ascii="Palatino Linotype" w:eastAsiaTheme="minorHAnsi" w:hAnsi="Palatino Linotype" w:cstheme="minorBidi"/>
          <w:sz w:val="24"/>
          <w:szCs w:val="24"/>
        </w:rPr>
        <w:t>;</w:t>
      </w:r>
      <w:r w:rsidRPr="00C61595">
        <w:rPr>
          <w:rFonts w:ascii="Palatino Linotype" w:eastAsiaTheme="minorHAnsi" w:hAnsi="Palatino Linotype" w:cstheme="minorBidi"/>
          <w:sz w:val="24"/>
          <w:szCs w:val="24"/>
        </w:rPr>
        <w:t xml:space="preserve"> </w:t>
      </w:r>
      <w:r w:rsidRPr="00C61595">
        <w:rPr>
          <w:rFonts w:ascii="Palatino Linotype" w:eastAsiaTheme="minorHAnsi" w:hAnsi="Palatino Linotype"/>
          <w:sz w:val="24"/>
          <w:szCs w:val="24"/>
        </w:rPr>
        <w:t xml:space="preserve">se advierte que </w:t>
      </w:r>
      <w:r w:rsidR="0017445D">
        <w:rPr>
          <w:rFonts w:ascii="Palatino Linotype" w:eastAsiaTheme="minorHAnsi" w:hAnsi="Palatino Linotype"/>
          <w:b/>
          <w:sz w:val="24"/>
          <w:szCs w:val="24"/>
        </w:rPr>
        <w:t>el</w:t>
      </w:r>
      <w:r w:rsidRPr="00C61595">
        <w:rPr>
          <w:rFonts w:ascii="Palatino Linotype" w:eastAsiaTheme="minorHAnsi" w:hAnsi="Palatino Linotype"/>
          <w:b/>
          <w:sz w:val="24"/>
          <w:szCs w:val="24"/>
        </w:rPr>
        <w:t xml:space="preserve"> Sujeto Obligado</w:t>
      </w:r>
      <w:r w:rsidR="0099566A">
        <w:rPr>
          <w:rFonts w:ascii="Palatino Linotype" w:eastAsiaTheme="minorHAnsi" w:hAnsi="Palatino Linotype"/>
          <w:sz w:val="24"/>
          <w:szCs w:val="24"/>
        </w:rPr>
        <w:t xml:space="preserve"> </w:t>
      </w:r>
      <w:r w:rsidR="007661E4">
        <w:rPr>
          <w:rFonts w:ascii="Palatino Linotype" w:eastAsiaTheme="minorHAnsi" w:hAnsi="Palatino Linotype"/>
          <w:sz w:val="24"/>
          <w:szCs w:val="24"/>
        </w:rPr>
        <w:t>inform</w:t>
      </w:r>
      <w:r w:rsidR="0099566A">
        <w:rPr>
          <w:rFonts w:ascii="Palatino Linotype" w:eastAsiaTheme="minorHAnsi" w:hAnsi="Palatino Linotype"/>
          <w:sz w:val="24"/>
          <w:szCs w:val="24"/>
        </w:rPr>
        <w:t>ó</w:t>
      </w:r>
      <w:r w:rsidRPr="00C61595">
        <w:rPr>
          <w:rFonts w:ascii="Palatino Linotype" w:eastAsiaTheme="minorHAnsi" w:hAnsi="Palatino Linotype"/>
          <w:sz w:val="24"/>
          <w:szCs w:val="24"/>
        </w:rPr>
        <w:t xml:space="preserve"> mediante repuesta primigenia</w:t>
      </w:r>
      <w:r w:rsidR="007661E4">
        <w:rPr>
          <w:rFonts w:ascii="Palatino Linotype" w:eastAsiaTheme="minorHAnsi" w:hAnsi="Palatino Linotype"/>
          <w:sz w:val="24"/>
          <w:szCs w:val="24"/>
        </w:rPr>
        <w:t xml:space="preserve"> a través</w:t>
      </w:r>
      <w:r w:rsidR="008E42B9">
        <w:rPr>
          <w:rFonts w:ascii="Palatino Linotype" w:eastAsiaTheme="minorHAnsi" w:hAnsi="Palatino Linotype"/>
          <w:sz w:val="24"/>
          <w:szCs w:val="24"/>
        </w:rPr>
        <w:t xml:space="preserve"> de </w:t>
      </w:r>
      <w:r w:rsidR="008E42B9" w:rsidRPr="008E42B9">
        <w:rPr>
          <w:rFonts w:ascii="Palatino Linotype" w:eastAsiaTheme="minorHAnsi" w:hAnsi="Palatino Linotype"/>
          <w:sz w:val="24"/>
          <w:szCs w:val="24"/>
        </w:rPr>
        <w:t>la Tesorería Municipal</w:t>
      </w:r>
      <w:r w:rsidR="008E42B9">
        <w:rPr>
          <w:rFonts w:ascii="Palatino Linotype" w:eastAsiaTheme="minorHAnsi" w:hAnsi="Palatino Linotype"/>
          <w:sz w:val="24"/>
          <w:szCs w:val="24"/>
        </w:rPr>
        <w:t>,</w:t>
      </w:r>
      <w:r w:rsidR="008E42B9" w:rsidRPr="008E42B9">
        <w:rPr>
          <w:rFonts w:ascii="Palatino Linotype" w:eastAsiaTheme="minorHAnsi" w:hAnsi="Palatino Linotype"/>
          <w:sz w:val="24"/>
          <w:szCs w:val="24"/>
        </w:rPr>
        <w:t xml:space="preserve"> que el área competente no ha turnado documentación alguna por el concepto referido para poder determinar el destino del Recurso</w:t>
      </w:r>
      <w:r w:rsidR="00324B61">
        <w:rPr>
          <w:rFonts w:ascii="Palatino Linotype" w:eastAsiaTheme="minorHAnsi" w:hAnsi="Palatino Linotype"/>
          <w:sz w:val="24"/>
          <w:szCs w:val="24"/>
        </w:rPr>
        <w:t xml:space="preserve">. </w:t>
      </w:r>
      <w:r w:rsidR="00324B61" w:rsidRPr="00324B61">
        <w:rPr>
          <w:rFonts w:ascii="Palatino Linotype" w:hAnsi="Palatino Linotype"/>
          <w:sz w:val="24"/>
        </w:rPr>
        <w:t xml:space="preserve">En ese sentido, lo que manifiesta el sujeto obligado, </w:t>
      </w:r>
      <w:r w:rsidR="00324B61" w:rsidRPr="00324B61">
        <w:rPr>
          <w:rFonts w:ascii="Palatino Linotype" w:hAnsi="Palatino Linotype"/>
          <w:sz w:val="24"/>
        </w:rPr>
        <w:lastRenderedPageBreak/>
        <w:t>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571D0540" w14:textId="77777777" w:rsidR="00324B61" w:rsidRPr="00324B61" w:rsidRDefault="00324B61" w:rsidP="00324B61">
      <w:pPr>
        <w:spacing w:after="0" w:line="360" w:lineRule="auto"/>
        <w:ind w:right="51"/>
        <w:jc w:val="both"/>
        <w:rPr>
          <w:rFonts w:ascii="Palatino Linotype" w:eastAsia="Times New Roman" w:hAnsi="Palatino Linotype"/>
          <w:sz w:val="24"/>
          <w:szCs w:val="24"/>
          <w:lang w:val="es-ES" w:eastAsia="es-ES"/>
        </w:rPr>
      </w:pPr>
    </w:p>
    <w:p w14:paraId="0F5F3FC5" w14:textId="77777777" w:rsidR="00324B61" w:rsidRPr="00324B61" w:rsidRDefault="00324B61" w:rsidP="00324B61">
      <w:pPr>
        <w:autoSpaceDE w:val="0"/>
        <w:autoSpaceDN w:val="0"/>
        <w:adjustRightInd w:val="0"/>
        <w:spacing w:after="0" w:line="360" w:lineRule="auto"/>
        <w:jc w:val="both"/>
        <w:rPr>
          <w:rFonts w:ascii="Palatino Linotype" w:hAnsi="Palatino Linotype"/>
          <w:sz w:val="24"/>
        </w:rPr>
      </w:pPr>
      <w:r w:rsidRPr="00324B61">
        <w:rPr>
          <w:rFonts w:ascii="Palatino Linotype" w:hAnsi="Palatino Linotype"/>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541E2209" w14:textId="77777777" w:rsidR="00324B61" w:rsidRPr="00324B61" w:rsidRDefault="00324B61" w:rsidP="00324B61">
      <w:pPr>
        <w:spacing w:after="0" w:line="360" w:lineRule="auto"/>
        <w:ind w:right="51"/>
        <w:jc w:val="both"/>
        <w:rPr>
          <w:rFonts w:ascii="Palatino Linotype" w:eastAsia="Times New Roman" w:hAnsi="Palatino Linotype"/>
          <w:sz w:val="24"/>
          <w:szCs w:val="24"/>
          <w:lang w:val="es-ES" w:eastAsia="es-ES"/>
        </w:rPr>
      </w:pPr>
    </w:p>
    <w:p w14:paraId="230C9953" w14:textId="77777777" w:rsidR="00324B61" w:rsidRPr="00324B61" w:rsidRDefault="00324B61" w:rsidP="00324B61">
      <w:pPr>
        <w:autoSpaceDE w:val="0"/>
        <w:autoSpaceDN w:val="0"/>
        <w:adjustRightInd w:val="0"/>
        <w:spacing w:after="0" w:line="360" w:lineRule="auto"/>
        <w:jc w:val="both"/>
        <w:rPr>
          <w:rFonts w:ascii="Palatino Linotype" w:hAnsi="Palatino Linotype"/>
          <w:sz w:val="24"/>
        </w:rPr>
      </w:pPr>
      <w:r w:rsidRPr="00324B61">
        <w:rPr>
          <w:rFonts w:ascii="Palatino Linotype" w:hAnsi="Palatino Linotype"/>
          <w:sz w:val="24"/>
        </w:rPr>
        <w:t>Por lo anterior sirve de sustento la Tesis Aislada 267287, emanada por el Máximo Juzgador de la Nación, la cual refiere lo siguiente:</w:t>
      </w:r>
    </w:p>
    <w:p w14:paraId="3562C7C4" w14:textId="77777777" w:rsidR="00324B61" w:rsidRPr="00324B61" w:rsidRDefault="00324B61" w:rsidP="00324B61">
      <w:pPr>
        <w:spacing w:after="0" w:line="240" w:lineRule="auto"/>
        <w:rPr>
          <w:rFonts w:ascii="Times New Roman" w:eastAsia="Times New Roman" w:hAnsi="Times New Roman"/>
          <w:sz w:val="24"/>
          <w:szCs w:val="24"/>
          <w:lang w:eastAsia="es-ES"/>
        </w:rPr>
      </w:pPr>
    </w:p>
    <w:p w14:paraId="2996700A" w14:textId="77777777" w:rsidR="00324B61" w:rsidRPr="00324B61" w:rsidRDefault="00324B61" w:rsidP="00324B61">
      <w:pPr>
        <w:shd w:val="clear" w:color="auto" w:fill="FFFFFF"/>
        <w:spacing w:before="120" w:line="259" w:lineRule="auto"/>
        <w:ind w:left="851" w:rightChars="386" w:right="849"/>
        <w:jc w:val="both"/>
        <w:rPr>
          <w:rFonts w:ascii="Palatino Linotype" w:hAnsi="Palatino Linotype"/>
          <w:color w:val="222222"/>
        </w:rPr>
      </w:pPr>
      <w:r w:rsidRPr="00324B61">
        <w:rPr>
          <w:rFonts w:ascii="Palatino Linotype" w:hAnsi="Palatino Linotype"/>
          <w:b/>
          <w:bCs/>
          <w:i/>
          <w:iCs/>
          <w:color w:val="222222"/>
        </w:rPr>
        <w:t>HECHOS NEGATIVOS, NO SON SUSCEPTIBLES DE DEMOSTRACIÓN. ”</w:t>
      </w:r>
      <w:r w:rsidRPr="00324B61">
        <w:rPr>
          <w:rFonts w:ascii="Palatino Linotype" w:hAnsi="Palatino Linotype"/>
          <w:i/>
          <w:iCs/>
          <w:color w:val="222222"/>
        </w:rPr>
        <w:t>Tratándose de un hecho negativo, el Juez no tiene por qué invocar prueba alguna de la que se desprenda, ya que es bien sabido que esta clase de hechos no son susceptibles de demostración.</w:t>
      </w:r>
    </w:p>
    <w:p w14:paraId="0B54EE34" w14:textId="77777777" w:rsidR="00324B61" w:rsidRPr="00324B61" w:rsidRDefault="00324B61" w:rsidP="00324B61">
      <w:pPr>
        <w:shd w:val="clear" w:color="auto" w:fill="FFFFFF"/>
        <w:spacing w:line="259" w:lineRule="auto"/>
        <w:ind w:left="851" w:rightChars="386" w:right="849"/>
        <w:jc w:val="both"/>
        <w:rPr>
          <w:rFonts w:ascii="Palatino Linotype" w:hAnsi="Palatino Linotype"/>
          <w:i/>
          <w:iCs/>
          <w:color w:val="222222"/>
        </w:rPr>
      </w:pPr>
      <w:r w:rsidRPr="00324B61">
        <w:rPr>
          <w:rFonts w:ascii="Palatino Linotype" w:hAnsi="Palatino Linotype"/>
          <w:i/>
          <w:iCs/>
          <w:color w:val="222222"/>
        </w:rPr>
        <w:t>Amparo en revisión 2022/61. José García Florín (Menor). 9 de octubre de 1961. Cinco votos. Ponente: José Rivera Pérez Campos.”</w:t>
      </w:r>
    </w:p>
    <w:p w14:paraId="5442E7B4" w14:textId="77777777" w:rsidR="00324B61" w:rsidRPr="00324B61" w:rsidRDefault="00324B61" w:rsidP="00324B61">
      <w:pPr>
        <w:spacing w:after="0" w:line="240" w:lineRule="auto"/>
        <w:rPr>
          <w:rFonts w:ascii="Times New Roman" w:eastAsia="Times New Roman" w:hAnsi="Times New Roman"/>
          <w:sz w:val="14"/>
          <w:szCs w:val="24"/>
          <w:lang w:eastAsia="es-ES"/>
        </w:rPr>
      </w:pPr>
    </w:p>
    <w:p w14:paraId="25BFC1AE" w14:textId="77777777" w:rsidR="00324B61" w:rsidRPr="00324B61" w:rsidRDefault="00324B61" w:rsidP="00324B61">
      <w:pPr>
        <w:autoSpaceDE w:val="0"/>
        <w:autoSpaceDN w:val="0"/>
        <w:adjustRightInd w:val="0"/>
        <w:spacing w:before="240" w:line="360" w:lineRule="auto"/>
        <w:jc w:val="both"/>
        <w:rPr>
          <w:rFonts w:ascii="Palatino Linotype" w:hAnsi="Palatino Linotype"/>
          <w:sz w:val="24"/>
        </w:rPr>
      </w:pPr>
      <w:r w:rsidRPr="00324B61">
        <w:rPr>
          <w:rFonts w:ascii="Palatino Linotype" w:hAnsi="Palatino Linotype"/>
          <w:sz w:val="24"/>
        </w:rPr>
        <w:t>De igual forma viene a colación el Criterio 7/2017, emitido por el Instituto Nacional de Transparencia, Acceso a la Información y Protección de Datos Personales, cuyo texto se transcribe a continuación:</w:t>
      </w:r>
    </w:p>
    <w:p w14:paraId="4875E928" w14:textId="77777777" w:rsidR="00324B61" w:rsidRPr="00324B61" w:rsidRDefault="00324B61" w:rsidP="00324B61">
      <w:pPr>
        <w:tabs>
          <w:tab w:val="left" w:pos="851"/>
        </w:tabs>
        <w:spacing w:before="240" w:after="240" w:line="276" w:lineRule="auto"/>
        <w:ind w:left="851" w:right="850"/>
        <w:jc w:val="both"/>
        <w:rPr>
          <w:rFonts w:ascii="Times New Roman" w:eastAsia="Times New Roman" w:hAnsi="Times New Roman"/>
          <w:i/>
          <w:color w:val="222222"/>
          <w:lang w:val="es-ES" w:eastAsia="es-ES"/>
        </w:rPr>
      </w:pPr>
      <w:r w:rsidRPr="00324B61">
        <w:rPr>
          <w:rFonts w:ascii="Palatino Linotype" w:eastAsia="Times New Roman" w:hAnsi="Palatino Linotype"/>
          <w:b/>
          <w:i/>
          <w:color w:val="222222"/>
          <w:lang w:val="es-ES" w:eastAsia="es-ES"/>
        </w:rPr>
        <w:t>Casos en los que no es necesario que el Comité de Transparencia confirme formalmente la inexistencia de la información.</w:t>
      </w:r>
      <w:r w:rsidRPr="00324B61">
        <w:rPr>
          <w:rFonts w:ascii="Palatino Linotype" w:eastAsia="Times New Roman" w:hAnsi="Palatino Linotype"/>
          <w:i/>
          <w:color w:val="222222"/>
          <w:lang w:val="es-ES" w:eastAsia="es-ES"/>
        </w:rPr>
        <w:t xml:space="preserve"> “La Ley General de </w:t>
      </w:r>
      <w:r w:rsidRPr="00324B61">
        <w:rPr>
          <w:rFonts w:ascii="Palatino Linotype" w:eastAsia="Times New Roman" w:hAnsi="Palatino Linotype"/>
          <w:i/>
          <w:color w:val="222222"/>
          <w:lang w:val="es-ES" w:eastAsia="es-ES"/>
        </w:rPr>
        <w:lastRenderedPageBreak/>
        <w:t>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324B61">
        <w:rPr>
          <w:rFonts w:ascii="Times New Roman" w:eastAsia="Times New Roman" w:hAnsi="Times New Roman"/>
          <w:i/>
          <w:color w:val="222222"/>
          <w:lang w:val="es-ES" w:eastAsia="es-ES"/>
        </w:rPr>
        <w:t>.</w:t>
      </w:r>
    </w:p>
    <w:p w14:paraId="6E7E7F2B" w14:textId="77777777" w:rsidR="00324B61" w:rsidRPr="00324B61" w:rsidRDefault="00324B61" w:rsidP="00324B61">
      <w:pPr>
        <w:spacing w:after="0" w:line="240" w:lineRule="auto"/>
        <w:rPr>
          <w:rFonts w:ascii="Times New Roman" w:eastAsia="Times New Roman" w:hAnsi="Times New Roman"/>
          <w:sz w:val="24"/>
          <w:szCs w:val="24"/>
          <w:lang w:eastAsia="es-ES"/>
        </w:rPr>
      </w:pPr>
    </w:p>
    <w:p w14:paraId="05E17415" w14:textId="77777777" w:rsidR="00324B61" w:rsidRPr="00324B61" w:rsidRDefault="00324B61" w:rsidP="00324B61">
      <w:pPr>
        <w:autoSpaceDE w:val="0"/>
        <w:autoSpaceDN w:val="0"/>
        <w:adjustRightInd w:val="0"/>
        <w:spacing w:before="240" w:line="360" w:lineRule="auto"/>
        <w:jc w:val="both"/>
        <w:rPr>
          <w:rFonts w:ascii="Palatino Linotype" w:hAnsi="Palatino Linotype"/>
          <w:sz w:val="24"/>
        </w:rPr>
      </w:pPr>
      <w:r w:rsidRPr="00324B61">
        <w:rPr>
          <w:rFonts w:ascii="Palatino Linotype" w:hAnsi="Palatino Linotype"/>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52F0CFE" w14:textId="77777777" w:rsidR="00324B61" w:rsidRPr="00324B61" w:rsidRDefault="00324B61" w:rsidP="00324B61">
      <w:pPr>
        <w:spacing w:after="0" w:line="240" w:lineRule="auto"/>
        <w:rPr>
          <w:rFonts w:ascii="Times New Roman" w:eastAsia="Times New Roman" w:hAnsi="Times New Roman"/>
          <w:sz w:val="24"/>
          <w:szCs w:val="24"/>
          <w:lang w:eastAsia="es-ES"/>
        </w:rPr>
      </w:pPr>
    </w:p>
    <w:p w14:paraId="69122B10" w14:textId="77777777" w:rsidR="00324B61" w:rsidRPr="00324B61" w:rsidRDefault="00324B61" w:rsidP="00324B61">
      <w:pPr>
        <w:spacing w:after="0" w:line="240" w:lineRule="auto"/>
        <w:ind w:left="851" w:right="850"/>
        <w:jc w:val="both"/>
        <w:rPr>
          <w:rFonts w:ascii="Palatino Linotype" w:eastAsia="Times New Roman" w:hAnsi="Palatino Linotype"/>
          <w:i/>
          <w:lang w:eastAsia="es-ES"/>
        </w:rPr>
      </w:pPr>
      <w:r w:rsidRPr="00324B61">
        <w:rPr>
          <w:rFonts w:ascii="Palatino Linotype" w:eastAsia="Times New Roman" w:hAnsi="Palatino Linotype"/>
          <w:lang w:eastAsia="es-ES"/>
        </w:rPr>
        <w:t>“</w:t>
      </w:r>
      <w:r w:rsidRPr="00324B61">
        <w:rPr>
          <w:rFonts w:ascii="Palatino Linotype" w:eastAsia="Times New Roman" w:hAnsi="Palatino Linotype"/>
          <w:b/>
          <w:i/>
          <w:lang w:eastAsia="es-ES"/>
        </w:rPr>
        <w:t>Artículo 12.</w:t>
      </w:r>
      <w:r w:rsidRPr="00324B61">
        <w:rPr>
          <w:rFonts w:ascii="Palatino Linotype" w:eastAsia="Times New Roman" w:hAnsi="Palatino Linotype"/>
          <w:i/>
          <w:lang w:eastAsia="es-ES"/>
        </w:rPr>
        <w:t xml:space="preserve"> Quienes generen, recopilen, administren, manejen, procesen, archiven o conserven información pública serán responsables de la misma en los términos de las disposiciones jurídicas aplicables. </w:t>
      </w:r>
    </w:p>
    <w:p w14:paraId="790AE6E4" w14:textId="77777777" w:rsidR="00324B61" w:rsidRPr="00324B61" w:rsidRDefault="00324B61" w:rsidP="00324B61">
      <w:pPr>
        <w:spacing w:after="0" w:line="240" w:lineRule="auto"/>
        <w:ind w:left="851" w:right="850"/>
        <w:jc w:val="both"/>
        <w:rPr>
          <w:rFonts w:ascii="Palatino Linotype" w:eastAsia="Times New Roman" w:hAnsi="Palatino Linotype"/>
          <w:i/>
          <w:lang w:eastAsia="es-ES"/>
        </w:rPr>
      </w:pPr>
    </w:p>
    <w:p w14:paraId="3248B01D" w14:textId="77777777" w:rsidR="00324B61" w:rsidRPr="00324B61" w:rsidRDefault="00324B61" w:rsidP="00324B61">
      <w:pPr>
        <w:spacing w:after="0" w:line="240" w:lineRule="auto"/>
        <w:ind w:left="851" w:right="850"/>
        <w:jc w:val="both"/>
        <w:rPr>
          <w:rFonts w:ascii="Palatino Linotype" w:eastAsia="Times New Roman" w:hAnsi="Palatino Linotype"/>
          <w:lang w:eastAsia="es-ES"/>
        </w:rPr>
      </w:pPr>
      <w:r w:rsidRPr="00324B61">
        <w:rPr>
          <w:rFonts w:ascii="Palatino Linotype" w:eastAsia="Times New Roman" w:hAnsi="Palatino Linotype"/>
          <w:b/>
          <w:i/>
          <w:u w:val="single"/>
          <w:lang w:eastAsia="es-ES"/>
        </w:rPr>
        <w:t>Los sujetos obligados sólo proporcionarán la información pública que se les requiera y que obre en sus archivos</w:t>
      </w:r>
      <w:r w:rsidRPr="00324B61">
        <w:rPr>
          <w:rFonts w:ascii="Palatino Linotype" w:eastAsia="Times New Roman" w:hAnsi="Palatino Linotype"/>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9928F8" w14:textId="77777777" w:rsidR="00324B61" w:rsidRPr="00324B61" w:rsidRDefault="00324B61" w:rsidP="00324B61">
      <w:pPr>
        <w:autoSpaceDE w:val="0"/>
        <w:autoSpaceDN w:val="0"/>
        <w:adjustRightInd w:val="0"/>
        <w:spacing w:after="0" w:line="360" w:lineRule="auto"/>
        <w:jc w:val="both"/>
        <w:rPr>
          <w:rFonts w:ascii="Palatino Linotype" w:hAnsi="Palatino Linotype"/>
          <w:sz w:val="24"/>
        </w:rPr>
      </w:pPr>
    </w:p>
    <w:p w14:paraId="73C5832A" w14:textId="77777777" w:rsidR="00324B61" w:rsidRPr="00324B61" w:rsidRDefault="00324B61" w:rsidP="00324B61">
      <w:pPr>
        <w:spacing w:line="360" w:lineRule="auto"/>
        <w:jc w:val="both"/>
        <w:rPr>
          <w:rFonts w:ascii="Palatino Linotype" w:hAnsi="Palatino Linotype"/>
          <w:sz w:val="24"/>
          <w:szCs w:val="24"/>
          <w:lang w:val="es-ES_tradnl"/>
        </w:rPr>
      </w:pPr>
      <w:r w:rsidRPr="00324B61">
        <w:rPr>
          <w:rFonts w:ascii="Palatino Linotype" w:hAnsi="Palatino Linotype"/>
          <w:sz w:val="24"/>
          <w:szCs w:val="24"/>
          <w:lang w:val="es-ES_tradnl"/>
        </w:rPr>
        <w:t>Por todo lo anterior, conviene subrayar que, este Órgano Garante conforme al artículo 36, que otorga la Ley de la Materia, no se encuentra facultado para pronunciarse acerca de la veracidad de la información remitida por los Sujetos Obligados.</w:t>
      </w:r>
    </w:p>
    <w:p w14:paraId="7B45D0A0" w14:textId="77777777" w:rsidR="00324B61" w:rsidRPr="00324B61" w:rsidRDefault="00324B61" w:rsidP="00324B61">
      <w:pPr>
        <w:spacing w:after="0" w:line="360" w:lineRule="auto"/>
        <w:jc w:val="both"/>
        <w:rPr>
          <w:rFonts w:ascii="Palatino Linotype" w:hAnsi="Palatino Linotype"/>
          <w:sz w:val="24"/>
          <w:szCs w:val="24"/>
          <w:lang w:val="es-ES_tradnl"/>
        </w:rPr>
      </w:pPr>
    </w:p>
    <w:p w14:paraId="40617965" w14:textId="77777777" w:rsidR="00324B61" w:rsidRPr="00324B61" w:rsidRDefault="00324B61" w:rsidP="00324B61">
      <w:pPr>
        <w:spacing w:line="360" w:lineRule="auto"/>
        <w:jc w:val="both"/>
        <w:rPr>
          <w:rFonts w:ascii="Palatino Linotype" w:hAnsi="Palatino Linotype"/>
          <w:sz w:val="24"/>
          <w:szCs w:val="24"/>
          <w:lang w:val="es-ES_tradnl"/>
        </w:rPr>
      </w:pPr>
      <w:r w:rsidRPr="00324B61">
        <w:rPr>
          <w:rFonts w:ascii="Palatino Linotype" w:hAnsi="Palatino Linotype"/>
          <w:color w:val="000000"/>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767AE77D" w14:textId="77777777" w:rsidR="00324B61" w:rsidRPr="00324B61" w:rsidRDefault="00324B61" w:rsidP="00324B61">
      <w:pPr>
        <w:spacing w:line="259" w:lineRule="auto"/>
        <w:ind w:left="851" w:right="1134"/>
        <w:jc w:val="both"/>
        <w:rPr>
          <w:rFonts w:ascii="Palatino Linotype" w:hAnsi="Palatino Linotype"/>
          <w:i/>
        </w:rPr>
      </w:pPr>
      <w:r w:rsidRPr="00324B61">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324B61">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324B61">
        <w:rPr>
          <w:rFonts w:ascii="Palatino Linotype" w:hAnsi="Palatino Linotype"/>
          <w:i/>
        </w:rPr>
        <w:t>Marván</w:t>
      </w:r>
      <w:proofErr w:type="spellEnd"/>
      <w:r w:rsidRPr="00324B61">
        <w:rPr>
          <w:rFonts w:ascii="Palatino Linotype" w:hAnsi="Palatino Linotype"/>
          <w:i/>
        </w:rPr>
        <w:t xml:space="preserve"> Laborde 2395/09 Secretaría de Economía - María </w:t>
      </w:r>
      <w:proofErr w:type="spellStart"/>
      <w:r w:rsidRPr="00324B61">
        <w:rPr>
          <w:rFonts w:ascii="Palatino Linotype" w:hAnsi="Palatino Linotype"/>
          <w:i/>
        </w:rPr>
        <w:t>Marván</w:t>
      </w:r>
      <w:proofErr w:type="spellEnd"/>
      <w:r w:rsidRPr="00324B61">
        <w:rPr>
          <w:rFonts w:ascii="Palatino Linotype" w:hAnsi="Palatino Linotype"/>
          <w:i/>
        </w:rPr>
        <w:t xml:space="preserve"> Laborde 0837/10 Administración Portuaria Integral de Veracruz, S.A. de C.V. – María </w:t>
      </w:r>
      <w:proofErr w:type="spellStart"/>
      <w:r w:rsidRPr="00324B61">
        <w:rPr>
          <w:rFonts w:ascii="Palatino Linotype" w:hAnsi="Palatino Linotype"/>
          <w:i/>
        </w:rPr>
        <w:t>Marván</w:t>
      </w:r>
      <w:proofErr w:type="spellEnd"/>
      <w:r w:rsidRPr="00324B61">
        <w:rPr>
          <w:rFonts w:ascii="Palatino Linotype" w:hAnsi="Palatino Linotype"/>
          <w:i/>
        </w:rPr>
        <w:t xml:space="preserve"> Laborde </w:t>
      </w:r>
    </w:p>
    <w:p w14:paraId="640F9168" w14:textId="77777777" w:rsidR="00324B61" w:rsidRPr="00324B61" w:rsidRDefault="00324B61" w:rsidP="00324B61">
      <w:pPr>
        <w:spacing w:line="259" w:lineRule="auto"/>
        <w:ind w:left="851" w:right="1134"/>
        <w:jc w:val="both"/>
        <w:rPr>
          <w:rFonts w:ascii="Palatino Linotype" w:hAnsi="Palatino Linotype"/>
          <w:i/>
        </w:rPr>
      </w:pPr>
      <w:r w:rsidRPr="00324B61">
        <w:rPr>
          <w:rFonts w:ascii="Palatino Linotype" w:hAnsi="Palatino Linotype"/>
          <w:i/>
        </w:rPr>
        <w:t>Criterio 31/10</w:t>
      </w:r>
    </w:p>
    <w:p w14:paraId="444A2B4E" w14:textId="77777777" w:rsidR="00324B61" w:rsidRPr="00324B61" w:rsidRDefault="00324B61" w:rsidP="00324B61">
      <w:pPr>
        <w:spacing w:after="0" w:line="360" w:lineRule="auto"/>
        <w:ind w:right="51"/>
        <w:jc w:val="both"/>
        <w:rPr>
          <w:rFonts w:ascii="Palatino Linotype" w:hAnsi="Palatino Linotype"/>
          <w:sz w:val="24"/>
          <w:szCs w:val="24"/>
        </w:rPr>
      </w:pPr>
    </w:p>
    <w:p w14:paraId="6C6C3815" w14:textId="331FFB83" w:rsidR="00324B61" w:rsidRPr="00324B61" w:rsidRDefault="00324B61" w:rsidP="00324B61">
      <w:pPr>
        <w:spacing w:after="0" w:line="360" w:lineRule="auto"/>
        <w:ind w:right="51"/>
        <w:jc w:val="both"/>
        <w:rPr>
          <w:rFonts w:ascii="Palatino Linotype" w:hAnsi="Palatino Linotype"/>
          <w:sz w:val="24"/>
          <w:szCs w:val="24"/>
        </w:rPr>
      </w:pPr>
      <w:r w:rsidRPr="00324B61">
        <w:rPr>
          <w:rFonts w:ascii="Palatino Linotype" w:hAnsi="Palatino Linotype"/>
          <w:sz w:val="24"/>
          <w:szCs w:val="24"/>
        </w:rPr>
        <w:t xml:space="preserve">En ese orden de ideas, se tienen por colmada la pretensión de la hoy Recurrente respecto de las documentales que den cuenta </w:t>
      </w:r>
      <w:r>
        <w:rPr>
          <w:rFonts w:ascii="Palatino Linotype" w:hAnsi="Palatino Linotype"/>
          <w:sz w:val="24"/>
          <w:szCs w:val="24"/>
        </w:rPr>
        <w:t>del</w:t>
      </w:r>
      <w:r w:rsidRPr="00324B61">
        <w:rPr>
          <w:rFonts w:ascii="Palatino Linotype" w:hAnsi="Palatino Linotype"/>
          <w:sz w:val="24"/>
          <w:szCs w:val="24"/>
        </w:rPr>
        <w:t xml:space="preserve"> destino recaudado por la enajenación de los 10 bienes inmuebles propiedad municipal referidos en la solicitud de </w:t>
      </w:r>
      <w:r w:rsidRPr="00324B61">
        <w:rPr>
          <w:rFonts w:ascii="Palatino Linotype" w:hAnsi="Palatino Linotype"/>
          <w:sz w:val="24"/>
          <w:szCs w:val="24"/>
        </w:rPr>
        <w:lastRenderedPageBreak/>
        <w:t>información, una vez que el Sujeto Obligado ha manifestado que no ha generado la información requerida por la parte Recurrente.</w:t>
      </w:r>
    </w:p>
    <w:p w14:paraId="41AB6630" w14:textId="0CC61BA4" w:rsidR="00F0087C" w:rsidRDefault="00F0087C" w:rsidP="008E42B9">
      <w:pPr>
        <w:spacing w:after="0" w:line="360" w:lineRule="auto"/>
        <w:jc w:val="both"/>
        <w:rPr>
          <w:rFonts w:ascii="Palatino Linotype" w:eastAsiaTheme="minorHAnsi" w:hAnsi="Palatino Linotype"/>
          <w:sz w:val="24"/>
          <w:szCs w:val="24"/>
        </w:rPr>
      </w:pPr>
    </w:p>
    <w:p w14:paraId="6CC4E661" w14:textId="20BB818E" w:rsidR="006328F1" w:rsidRDefault="00324B61" w:rsidP="00C61595">
      <w:pPr>
        <w:spacing w:after="0" w:line="360" w:lineRule="auto"/>
        <w:jc w:val="both"/>
        <w:rPr>
          <w:rFonts w:ascii="Palatino Linotype" w:eastAsiaTheme="minorHAnsi" w:hAnsi="Palatino Linotype"/>
          <w:sz w:val="24"/>
          <w:szCs w:val="24"/>
        </w:rPr>
      </w:pPr>
      <w:r w:rsidRPr="00324B61">
        <w:rPr>
          <w:rFonts w:ascii="Palatino Linotype" w:eastAsiaTheme="minorHAnsi" w:hAnsi="Palatino Linotype"/>
          <w:sz w:val="24"/>
          <w:szCs w:val="24"/>
        </w:rPr>
        <w:t>Ahora bien, en relación al punto 1 de la solicitud de información correspondiente a la entrega del documento en donde conste</w:t>
      </w:r>
      <w:r>
        <w:rPr>
          <w:rFonts w:ascii="Palatino Linotype" w:eastAsiaTheme="minorHAnsi" w:hAnsi="Palatino Linotype"/>
          <w:sz w:val="24"/>
          <w:szCs w:val="24"/>
        </w:rPr>
        <w:t xml:space="preserve"> la ubicación</w:t>
      </w:r>
      <w:r w:rsidRPr="00324B61">
        <w:rPr>
          <w:rFonts w:ascii="Palatino Linotype" w:eastAsiaTheme="minorHAnsi" w:hAnsi="Palatino Linotype"/>
          <w:sz w:val="24"/>
          <w:szCs w:val="24"/>
        </w:rPr>
        <w:t xml:space="preserve"> de los 10 bienes inmuebles propiedad municipal referidos en la solicitud de información, el Sujeto Obligado respondió </w:t>
      </w:r>
      <w:r>
        <w:rPr>
          <w:rFonts w:ascii="Palatino Linotype" w:eastAsiaTheme="minorHAnsi" w:hAnsi="Palatino Linotype"/>
          <w:sz w:val="24"/>
          <w:szCs w:val="24"/>
        </w:rPr>
        <w:t>parcialmente los requerimientos formulados, ello en virtud de que no proporciono la dirección completa de los inmuebles</w:t>
      </w:r>
      <w:r w:rsidR="00D417CE">
        <w:rPr>
          <w:rFonts w:ascii="Palatino Linotype" w:eastAsiaTheme="minorHAnsi" w:hAnsi="Palatino Linotype"/>
          <w:sz w:val="24"/>
          <w:szCs w:val="24"/>
        </w:rPr>
        <w:t>,</w:t>
      </w:r>
      <w:r>
        <w:rPr>
          <w:rFonts w:ascii="Palatino Linotype" w:eastAsiaTheme="minorHAnsi" w:hAnsi="Palatino Linotype"/>
          <w:sz w:val="24"/>
          <w:szCs w:val="24"/>
        </w:rPr>
        <w:t xml:space="preserve"> </w:t>
      </w:r>
      <w:r w:rsidR="00D417CE">
        <w:rPr>
          <w:rFonts w:ascii="Palatino Linotype" w:eastAsiaTheme="minorHAnsi" w:hAnsi="Palatino Linotype"/>
          <w:sz w:val="24"/>
          <w:szCs w:val="24"/>
        </w:rPr>
        <w:t xml:space="preserve">dejando en incertidumbre al particular sobre la ubicación exacta de los mismos, </w:t>
      </w:r>
      <w:r>
        <w:rPr>
          <w:rFonts w:ascii="Palatino Linotype" w:eastAsiaTheme="minorHAnsi" w:hAnsi="Palatino Linotype"/>
          <w:sz w:val="24"/>
          <w:szCs w:val="24"/>
        </w:rPr>
        <w:t xml:space="preserve">como se advierte enseguida: </w:t>
      </w:r>
    </w:p>
    <w:p w14:paraId="3A747D4F" w14:textId="4093F9DC" w:rsidR="008E42B9" w:rsidRDefault="00324B61" w:rsidP="00D417CE">
      <w:pPr>
        <w:spacing w:after="0" w:line="360" w:lineRule="auto"/>
        <w:jc w:val="center"/>
        <w:rPr>
          <w:rFonts w:ascii="Palatino Linotype" w:eastAsiaTheme="minorHAnsi" w:hAnsi="Palatino Linotype"/>
          <w:sz w:val="24"/>
          <w:szCs w:val="24"/>
        </w:rPr>
      </w:pPr>
      <w:r w:rsidRPr="00D77785">
        <w:rPr>
          <w:rFonts w:ascii="Palatino Linotype" w:hAnsi="Palatino Linotype"/>
          <w:bCs/>
          <w:noProof/>
          <w:lang w:eastAsia="es-MX"/>
        </w:rPr>
        <w:drawing>
          <wp:inline distT="0" distB="0" distL="0" distR="0" wp14:anchorId="07E544F8" wp14:editId="01938715">
            <wp:extent cx="4959885" cy="1439501"/>
            <wp:effectExtent l="0" t="0" r="0" b="889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989" r="3686" b="9228"/>
                    <a:stretch/>
                  </pic:blipFill>
                  <pic:spPr bwMode="auto">
                    <a:xfrm>
                      <a:off x="0" y="0"/>
                      <a:ext cx="5069306" cy="1471258"/>
                    </a:xfrm>
                    <a:prstGeom prst="rect">
                      <a:avLst/>
                    </a:prstGeom>
                    <a:ln>
                      <a:noFill/>
                    </a:ln>
                    <a:extLst>
                      <a:ext uri="{53640926-AAD7-44D8-BBD7-CCE9431645EC}">
                        <a14:shadowObscured xmlns:a14="http://schemas.microsoft.com/office/drawing/2010/main"/>
                      </a:ext>
                    </a:extLst>
                  </pic:spPr>
                </pic:pic>
              </a:graphicData>
            </a:graphic>
          </wp:inline>
        </w:drawing>
      </w:r>
    </w:p>
    <w:p w14:paraId="44A84F66" w14:textId="77777777" w:rsidR="008E42B9" w:rsidRDefault="008E42B9" w:rsidP="00C61595">
      <w:pPr>
        <w:spacing w:after="0" w:line="360" w:lineRule="auto"/>
        <w:jc w:val="both"/>
        <w:rPr>
          <w:rFonts w:ascii="Palatino Linotype" w:eastAsiaTheme="minorHAnsi" w:hAnsi="Palatino Linotype"/>
          <w:sz w:val="24"/>
          <w:szCs w:val="24"/>
        </w:rPr>
      </w:pPr>
    </w:p>
    <w:p w14:paraId="25E15BEC" w14:textId="6DA5115E" w:rsidR="00D417CE" w:rsidRPr="00D417CE" w:rsidRDefault="00D417CE" w:rsidP="00D417CE">
      <w:pPr>
        <w:spacing w:line="360" w:lineRule="auto"/>
        <w:jc w:val="both"/>
        <w:rPr>
          <w:rFonts w:ascii="Palatino Linotype" w:hAnsi="Palatino Linotype"/>
          <w:sz w:val="24"/>
        </w:rPr>
      </w:pPr>
      <w:r>
        <w:rPr>
          <w:rFonts w:ascii="Palatino Linotype" w:hAnsi="Palatino Linotype"/>
          <w:sz w:val="24"/>
        </w:rPr>
        <w:t xml:space="preserve">De la imagen referida con anterioridad, podemos advertir que el Sujeto obligado fue omiso en proporcionar la dirección completa de los bienes inmuebles en comento, faltando algunos datos, de manera enunciativa el </w:t>
      </w:r>
      <w:r w:rsidRPr="00D417CE">
        <w:rPr>
          <w:rFonts w:ascii="Palatino Linotype" w:hAnsi="Palatino Linotype"/>
          <w:sz w:val="24"/>
        </w:rPr>
        <w:t>número exterior, número interior [en su caso], nombre del municipio</w:t>
      </w:r>
      <w:r>
        <w:rPr>
          <w:rFonts w:ascii="Palatino Linotype" w:hAnsi="Palatino Linotype"/>
          <w:sz w:val="24"/>
        </w:rPr>
        <w:t xml:space="preserve"> y</w:t>
      </w:r>
      <w:r w:rsidRPr="00D417CE">
        <w:rPr>
          <w:rFonts w:ascii="Palatino Linotype" w:hAnsi="Palatino Linotype"/>
          <w:sz w:val="24"/>
        </w:rPr>
        <w:t xml:space="preserve"> código postal</w:t>
      </w:r>
      <w:r w:rsidR="00E169CA">
        <w:rPr>
          <w:rFonts w:ascii="Palatino Linotype" w:hAnsi="Palatino Linotype"/>
          <w:sz w:val="24"/>
        </w:rPr>
        <w:t xml:space="preserve">, ante ello, resulta oportuno </w:t>
      </w:r>
      <w:r w:rsidRPr="00D417CE">
        <w:rPr>
          <w:rFonts w:ascii="Palatino Linotype" w:hAnsi="Palatino Linotype"/>
          <w:sz w:val="24"/>
        </w:rPr>
        <w:t xml:space="preserve">traer a contexto lo establecido en </w:t>
      </w:r>
      <w:r w:rsidRPr="00D417CE">
        <w:rPr>
          <w:rFonts w:ascii="Palatino Linotype" w:hAnsi="Palatino Linotype"/>
          <w:sz w:val="24"/>
          <w:szCs w:val="24"/>
        </w:rPr>
        <w:t xml:space="preserve">la fracción XXXVIII del artículo 92 de la Ley de Transparencia y Acceso a la Información Pública de Estado de México y Municipios; precepto que describe la información documental que el sujeto obligado debe poseer y en su caso generar, toda vez que dicha información debe ser publica y accesible de manera permanente a cualquier persona, así dicho artículo establece que el inventario </w:t>
      </w:r>
      <w:r w:rsidRPr="00D417CE">
        <w:rPr>
          <w:rFonts w:ascii="Palatino Linotype" w:hAnsi="Palatino Linotype"/>
          <w:sz w:val="24"/>
          <w:szCs w:val="24"/>
        </w:rPr>
        <w:lastRenderedPageBreak/>
        <w:t>de bienes muebles e inmuebles en posesión y propiedad de los sujetos obligados, constituye una obligación de transparencia, y por ende, estos deberán poner a disposición del público de manera permanente y actualizada de forma sencilla, precisa y entendible, en los respectivos medios electrónicos, como se advierte enseguida</w:t>
      </w:r>
      <w:r w:rsidRPr="00D417CE">
        <w:rPr>
          <w:rFonts w:ascii="Palatino Linotype" w:hAnsi="Palatino Linotype"/>
          <w:bCs/>
          <w:sz w:val="24"/>
          <w:szCs w:val="24"/>
          <w:lang w:eastAsia="es-MX"/>
        </w:rPr>
        <w:t xml:space="preserve">: </w:t>
      </w:r>
    </w:p>
    <w:p w14:paraId="519031D1" w14:textId="77777777" w:rsidR="00D417CE" w:rsidRPr="00D417CE" w:rsidRDefault="00D417CE" w:rsidP="00D417CE">
      <w:pPr>
        <w:widowControl w:val="0"/>
        <w:autoSpaceDE w:val="0"/>
        <w:autoSpaceDN w:val="0"/>
        <w:adjustRightInd w:val="0"/>
        <w:spacing w:after="0"/>
        <w:ind w:left="851" w:right="900"/>
        <w:jc w:val="both"/>
        <w:rPr>
          <w:rFonts w:ascii="Palatino Linotype" w:hAnsi="Palatino Linotype"/>
          <w:bCs/>
          <w:i/>
          <w:lang w:eastAsia="es-MX"/>
        </w:rPr>
      </w:pPr>
      <w:r w:rsidRPr="00D417CE">
        <w:rPr>
          <w:rFonts w:ascii="Palatino Linotype" w:hAnsi="Palatino Linotype"/>
          <w:bCs/>
          <w:i/>
          <w:lang w:eastAsia="es-MX"/>
        </w:rPr>
        <w:t>“</w:t>
      </w:r>
      <w:r w:rsidRPr="00D417CE">
        <w:rPr>
          <w:rFonts w:ascii="Palatino Linotype" w:hAnsi="Palatino Linotype"/>
          <w:b/>
          <w:bCs/>
          <w:i/>
          <w:lang w:eastAsia="es-MX"/>
        </w:rPr>
        <w:t>Artículo 92</w:t>
      </w:r>
      <w:r w:rsidRPr="00D417CE">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D40AE6" w14:textId="77777777" w:rsidR="00D417CE" w:rsidRPr="00D417CE" w:rsidRDefault="00D417CE" w:rsidP="00D417CE">
      <w:pPr>
        <w:widowControl w:val="0"/>
        <w:autoSpaceDE w:val="0"/>
        <w:autoSpaceDN w:val="0"/>
        <w:adjustRightInd w:val="0"/>
        <w:spacing w:after="0"/>
        <w:ind w:left="851" w:right="900"/>
        <w:jc w:val="both"/>
      </w:pPr>
      <w:r w:rsidRPr="00D417CE">
        <w:rPr>
          <w:rFonts w:ascii="Palatino Linotype" w:hAnsi="Palatino Linotype"/>
          <w:bCs/>
          <w:i/>
          <w:lang w:eastAsia="es-MX"/>
        </w:rPr>
        <w:t>(…)</w:t>
      </w:r>
      <w:r w:rsidRPr="00D417CE">
        <w:t xml:space="preserve"> </w:t>
      </w:r>
    </w:p>
    <w:p w14:paraId="18B2E995" w14:textId="77777777" w:rsidR="00D417CE" w:rsidRPr="00D417CE" w:rsidRDefault="00D417CE" w:rsidP="00D417CE">
      <w:pPr>
        <w:widowControl w:val="0"/>
        <w:autoSpaceDE w:val="0"/>
        <w:autoSpaceDN w:val="0"/>
        <w:adjustRightInd w:val="0"/>
        <w:spacing w:after="0"/>
        <w:ind w:left="851" w:right="900"/>
        <w:jc w:val="both"/>
        <w:rPr>
          <w:rFonts w:ascii="Palatino Linotype" w:hAnsi="Palatino Linotype"/>
          <w:b/>
          <w:bCs/>
          <w:i/>
          <w:lang w:eastAsia="es-MX"/>
        </w:rPr>
      </w:pPr>
      <w:r w:rsidRPr="00D417CE">
        <w:rPr>
          <w:rFonts w:ascii="Palatino Linotype" w:hAnsi="Palatino Linotype"/>
          <w:b/>
          <w:bCs/>
          <w:i/>
          <w:lang w:eastAsia="es-MX"/>
        </w:rPr>
        <w:t>XXXVIII. El inventario de bienes muebles e inmuebles en posesión y propiedad;</w:t>
      </w:r>
    </w:p>
    <w:p w14:paraId="22B7AC4F" w14:textId="77777777" w:rsidR="00D417CE" w:rsidRPr="00D417CE" w:rsidRDefault="00D417CE" w:rsidP="00D417CE">
      <w:pPr>
        <w:widowControl w:val="0"/>
        <w:autoSpaceDE w:val="0"/>
        <w:autoSpaceDN w:val="0"/>
        <w:adjustRightInd w:val="0"/>
        <w:spacing w:after="0"/>
        <w:ind w:left="851" w:right="900"/>
        <w:jc w:val="both"/>
        <w:rPr>
          <w:rFonts w:ascii="Palatino Linotype" w:hAnsi="Palatino Linotype"/>
          <w:bCs/>
          <w:i/>
          <w:lang w:eastAsia="es-MX"/>
        </w:rPr>
      </w:pPr>
      <w:r w:rsidRPr="00D417CE">
        <w:rPr>
          <w:rFonts w:ascii="Palatino Linotype" w:hAnsi="Palatino Linotype"/>
          <w:bCs/>
          <w:i/>
          <w:lang w:eastAsia="es-MX"/>
        </w:rPr>
        <w:t>(…)”</w:t>
      </w:r>
    </w:p>
    <w:p w14:paraId="7B5A087F" w14:textId="77777777" w:rsidR="00D417CE" w:rsidRPr="00D417CE" w:rsidRDefault="00D417CE" w:rsidP="00D417CE">
      <w:pPr>
        <w:widowControl w:val="0"/>
        <w:autoSpaceDE w:val="0"/>
        <w:autoSpaceDN w:val="0"/>
        <w:adjustRightInd w:val="0"/>
        <w:spacing w:after="0"/>
        <w:ind w:left="851" w:right="900"/>
        <w:jc w:val="right"/>
        <w:rPr>
          <w:rFonts w:ascii="Palatino Linotype" w:hAnsi="Palatino Linotype"/>
          <w:b/>
          <w:bCs/>
          <w:i/>
          <w:sz w:val="18"/>
          <w:lang w:eastAsia="es-MX"/>
        </w:rPr>
      </w:pPr>
      <w:r w:rsidRPr="00D417CE">
        <w:rPr>
          <w:rFonts w:ascii="Palatino Linotype" w:hAnsi="Palatino Linotype"/>
          <w:b/>
          <w:bCs/>
          <w:i/>
          <w:sz w:val="18"/>
          <w:lang w:eastAsia="es-MX"/>
        </w:rPr>
        <w:t xml:space="preserve">(Énfasis añadido) </w:t>
      </w:r>
    </w:p>
    <w:p w14:paraId="4804DA03" w14:textId="77777777" w:rsidR="00D417CE" w:rsidRPr="00D417CE" w:rsidRDefault="00D417CE" w:rsidP="00D417CE">
      <w:pPr>
        <w:spacing w:after="0" w:line="240" w:lineRule="auto"/>
        <w:rPr>
          <w:rFonts w:ascii="Times New Roman" w:eastAsia="Times New Roman" w:hAnsi="Times New Roman"/>
          <w:sz w:val="24"/>
          <w:szCs w:val="24"/>
          <w:lang w:eastAsia="es-ES"/>
        </w:rPr>
      </w:pPr>
    </w:p>
    <w:p w14:paraId="7D2C71E3" w14:textId="77777777" w:rsidR="00D417CE" w:rsidRPr="00D417CE" w:rsidRDefault="00D417CE" w:rsidP="00D417CE">
      <w:pPr>
        <w:spacing w:after="0" w:line="240" w:lineRule="auto"/>
        <w:rPr>
          <w:rFonts w:ascii="Times New Roman" w:eastAsia="Times New Roman" w:hAnsi="Times New Roman"/>
          <w:sz w:val="24"/>
          <w:szCs w:val="24"/>
          <w:lang w:eastAsia="es-ES"/>
        </w:rPr>
      </w:pPr>
    </w:p>
    <w:p w14:paraId="2D1A18A3" w14:textId="77777777" w:rsidR="00D417CE" w:rsidRPr="00D417CE" w:rsidRDefault="00D417CE" w:rsidP="00D417CE">
      <w:pPr>
        <w:spacing w:line="360" w:lineRule="auto"/>
        <w:jc w:val="both"/>
        <w:rPr>
          <w:rFonts w:ascii="Palatino Linotype" w:hAnsi="Palatino Linotype"/>
          <w:sz w:val="24"/>
        </w:rPr>
      </w:pPr>
      <w:r w:rsidRPr="00D417CE">
        <w:rPr>
          <w:rFonts w:ascii="Palatino Linotype" w:hAnsi="Palatino Linotype"/>
          <w:bCs/>
          <w:sz w:val="24"/>
          <w:lang w:eastAsia="es-MX"/>
        </w:rPr>
        <w:t xml:space="preserve">Información que deberá ser publicada en atención a los </w:t>
      </w:r>
      <w:r w:rsidRPr="00D417CE">
        <w:rPr>
          <w:rFonts w:ascii="Palatino Linotype"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D417CE">
        <w:rPr>
          <w:rFonts w:ascii="Palatino Linotype" w:hAnsi="Palatino Linotype"/>
          <w:sz w:val="24"/>
        </w:rPr>
        <w:t xml:space="preserve">, que en su </w:t>
      </w:r>
      <w:r w:rsidRPr="00D417CE">
        <w:rPr>
          <w:rFonts w:ascii="Palatino Linotype" w:hAnsi="Palatino Linotype"/>
          <w:i/>
          <w:sz w:val="24"/>
        </w:rPr>
        <w:t>“Anexo I”</w:t>
      </w:r>
      <w:r w:rsidRPr="00D417CE">
        <w:rPr>
          <w:rFonts w:ascii="Palatino Linotype" w:hAnsi="Palatino Linotype"/>
          <w:sz w:val="24"/>
        </w:rPr>
        <w:t xml:space="preserve">, relacionado con artículo 70, de la Ley General de Transparencia, de forma análoga prevé en su fracción XXXIV, el inventario de bienes muebles e inmuebles en posesión y propiedad; respecto de la cual define la forma y criterios en que deberá ser publicada por los Sujetos Obligados, que en lo que al presente estudio interesa establece en sus “Criterios sustantivos de contenido” la información siguiente: </w:t>
      </w:r>
    </w:p>
    <w:p w14:paraId="5D2FF2C4" w14:textId="77777777" w:rsidR="00D417CE" w:rsidRPr="00D417CE" w:rsidRDefault="00D417CE" w:rsidP="00D417CE">
      <w:pPr>
        <w:spacing w:after="0" w:line="240" w:lineRule="auto"/>
        <w:rPr>
          <w:rFonts w:ascii="Times New Roman" w:hAnsi="Times New Roman"/>
          <w:sz w:val="24"/>
          <w:szCs w:val="24"/>
          <w:lang w:eastAsia="es-ES"/>
        </w:rPr>
      </w:pPr>
    </w:p>
    <w:p w14:paraId="138122F8"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XXXIV</w:t>
      </w:r>
      <w:r w:rsidRPr="00D417CE">
        <w:rPr>
          <w:rFonts w:ascii="Palatino Linotype" w:hAnsi="Palatino Linotype"/>
          <w:i/>
        </w:rPr>
        <w:t xml:space="preserve">. El inventario de bienes muebles e </w:t>
      </w:r>
      <w:r w:rsidRPr="00D417CE">
        <w:rPr>
          <w:rFonts w:ascii="Palatino Linotype" w:hAnsi="Palatino Linotype"/>
          <w:b/>
          <w:bCs/>
          <w:i/>
          <w:u w:val="single"/>
        </w:rPr>
        <w:t xml:space="preserve">inmuebles en posesión y propiedad Todos los sujetos obligados publicarán el inventario de bienes muebles e </w:t>
      </w:r>
      <w:r w:rsidRPr="00D417CE">
        <w:rPr>
          <w:rFonts w:ascii="Palatino Linotype" w:hAnsi="Palatino Linotype"/>
          <w:b/>
          <w:bCs/>
          <w:i/>
          <w:u w:val="single"/>
        </w:rPr>
        <w:lastRenderedPageBreak/>
        <w:t>inmuebles que utilicen, tengan a su cargo y/o les hayan sido asignados para el ejercicio de sus funciones</w:t>
      </w:r>
      <w:r w:rsidRPr="00D417CE">
        <w:rPr>
          <w:rFonts w:ascii="Palatino Linotype" w:hAnsi="Palatino Linotype"/>
          <w:i/>
        </w:rPr>
        <w:t xml:space="preserve">; que destinen a un servicio público conforme a la normatividad aplicable o por cualquier concepto, </w:t>
      </w:r>
      <w:r w:rsidRPr="00D417CE">
        <w:rPr>
          <w:rFonts w:ascii="Palatino Linotype" w:hAnsi="Palatino Linotype"/>
          <w:b/>
          <w:bCs/>
          <w:i/>
          <w:u w:val="single"/>
        </w:rPr>
        <w:t>tanto si son propiedad del sujeto obligado como que se encuentren en posesión de éstos</w:t>
      </w:r>
      <w:r w:rsidRPr="00D417CE">
        <w:rPr>
          <w:rFonts w:ascii="Palatino Linotype" w:hAnsi="Palatino Linotype"/>
          <w:i/>
        </w:rPr>
        <w:t xml:space="preserve">. </w:t>
      </w:r>
    </w:p>
    <w:p w14:paraId="5C274ECC" w14:textId="77777777" w:rsidR="00D417CE" w:rsidRPr="00D417CE" w:rsidRDefault="00D417CE" w:rsidP="00D417CE">
      <w:pPr>
        <w:spacing w:after="0" w:line="240" w:lineRule="auto"/>
        <w:ind w:left="851" w:right="851"/>
        <w:jc w:val="both"/>
        <w:rPr>
          <w:rFonts w:ascii="Palatino Linotype" w:hAnsi="Palatino Linotype"/>
          <w:i/>
        </w:rPr>
      </w:pPr>
    </w:p>
    <w:p w14:paraId="6B06C59E"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i/>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14:paraId="7DD8329C" w14:textId="77777777" w:rsidR="00D417CE" w:rsidRPr="00D417CE" w:rsidRDefault="00D417CE" w:rsidP="00D417CE">
      <w:pPr>
        <w:spacing w:after="0" w:line="240" w:lineRule="auto"/>
        <w:ind w:left="851" w:right="851"/>
        <w:jc w:val="both"/>
        <w:rPr>
          <w:rFonts w:ascii="Palatino Linotype" w:hAnsi="Palatino Linotype"/>
          <w:i/>
        </w:rPr>
      </w:pPr>
    </w:p>
    <w:p w14:paraId="6A1A8062"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i/>
        </w:rPr>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14:paraId="15BC173B" w14:textId="77777777" w:rsidR="00D417CE" w:rsidRPr="00D417CE" w:rsidRDefault="00D417CE" w:rsidP="00D417CE">
      <w:pPr>
        <w:spacing w:after="0" w:line="240" w:lineRule="auto"/>
        <w:ind w:left="851" w:right="851"/>
        <w:jc w:val="both"/>
        <w:rPr>
          <w:rFonts w:ascii="Palatino Linotype" w:hAnsi="Palatino Linotype"/>
          <w:i/>
        </w:rPr>
      </w:pPr>
    </w:p>
    <w:p w14:paraId="6BD3EDED"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i/>
        </w:rPr>
        <w:t xml:space="preserve">También se registrarán los bienes muebles o inmuebles que, por su naturaleza sean inalienables e imprescriptibles, como pueden serlo los monumentos arqueológicos, históricos y artísticos de acuerdo con el registro auxiliar correspondiente. </w:t>
      </w:r>
    </w:p>
    <w:p w14:paraId="3C5B7F7B" w14:textId="77777777" w:rsidR="00D417CE" w:rsidRPr="00D417CE" w:rsidRDefault="00D417CE" w:rsidP="00D417CE">
      <w:pPr>
        <w:spacing w:after="0" w:line="240" w:lineRule="auto"/>
        <w:ind w:left="851" w:right="851"/>
        <w:jc w:val="both"/>
        <w:rPr>
          <w:rFonts w:ascii="Palatino Linotype" w:hAnsi="Palatino Linotype"/>
          <w:i/>
        </w:rPr>
      </w:pPr>
    </w:p>
    <w:p w14:paraId="1D365832"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i/>
        </w:rPr>
        <w:t xml:space="preserve">Se incluirá un hipervínculo al Sistema de Información Inmobiliaria Federal y Paraestatal </w:t>
      </w:r>
      <w:proofErr w:type="spellStart"/>
      <w:r w:rsidRPr="00D417CE">
        <w:rPr>
          <w:rFonts w:ascii="Palatino Linotype" w:hAnsi="Palatino Linotype"/>
          <w:i/>
        </w:rPr>
        <w:t>u</w:t>
      </w:r>
      <w:proofErr w:type="spellEnd"/>
      <w:r w:rsidRPr="00D417CE">
        <w:rPr>
          <w:rFonts w:ascii="Palatino Linotype" w:hAnsi="Palatino Linotype"/>
          <w:i/>
        </w:rPr>
        <w:t xml:space="preserve">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14:paraId="48E226B8" w14:textId="77777777" w:rsidR="00D417CE" w:rsidRPr="00D417CE" w:rsidRDefault="00D417CE" w:rsidP="00D417CE">
      <w:pPr>
        <w:spacing w:after="0" w:line="240" w:lineRule="auto"/>
        <w:ind w:left="851" w:right="851"/>
        <w:jc w:val="both"/>
        <w:rPr>
          <w:rFonts w:ascii="Palatino Linotype" w:hAnsi="Palatino Linotype"/>
          <w:i/>
        </w:rPr>
      </w:pPr>
    </w:p>
    <w:p w14:paraId="26F42F4C"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i/>
        </w:rPr>
        <w:t xml:space="preserve">Adicionalmente se incluirá un inventario de altas, bajas y donaciones de bienes muebles e inmuebles, en caso de haberlas. También se dará a conocer el nombre del servidor(a) público(a) y/o toda persona que desempeñe un empleo, cargo o comisión </w:t>
      </w:r>
      <w:r w:rsidRPr="00D417CE">
        <w:rPr>
          <w:rFonts w:ascii="Palatino Linotype" w:hAnsi="Palatino Linotype"/>
          <w:i/>
        </w:rPr>
        <w:lastRenderedPageBreak/>
        <w:t xml:space="preserve">y/o ejerza actos de autoridad, que funge como responsable inmobiliario, es decir, el encargado de la administración de los recursos materiales de las dependencias. 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14:paraId="00C730E8" w14:textId="77777777" w:rsidR="00D417CE" w:rsidRPr="00D417CE" w:rsidRDefault="00D417CE" w:rsidP="00D417CE">
      <w:pPr>
        <w:spacing w:after="0" w:line="240" w:lineRule="auto"/>
        <w:ind w:left="851" w:right="851"/>
        <w:jc w:val="both"/>
        <w:rPr>
          <w:rFonts w:ascii="Palatino Linotype" w:hAnsi="Palatino Linotype"/>
          <w:i/>
        </w:rPr>
      </w:pPr>
    </w:p>
    <w:p w14:paraId="74ABF3E4"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i/>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14:paraId="03B87A34" w14:textId="77777777" w:rsidR="00D417CE" w:rsidRPr="00D417CE" w:rsidRDefault="00D417CE" w:rsidP="00D417CE">
      <w:pPr>
        <w:spacing w:after="0" w:line="240" w:lineRule="auto"/>
        <w:ind w:left="851" w:right="851"/>
        <w:jc w:val="both"/>
        <w:rPr>
          <w:rFonts w:ascii="Palatino Linotype" w:hAnsi="Palatino Linotype"/>
          <w:i/>
        </w:rPr>
      </w:pPr>
    </w:p>
    <w:p w14:paraId="5734CC05"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Criterios sustantivos de contenido</w:t>
      </w:r>
      <w:r w:rsidRPr="00D417CE">
        <w:rPr>
          <w:rFonts w:ascii="Palatino Linotype" w:hAnsi="Palatino Linotype"/>
          <w:i/>
        </w:rPr>
        <w:t xml:space="preserve"> </w:t>
      </w:r>
    </w:p>
    <w:p w14:paraId="1F83BF53" w14:textId="77777777" w:rsidR="00D417CE" w:rsidRPr="00D417CE" w:rsidRDefault="00D417CE" w:rsidP="00D417CE">
      <w:pPr>
        <w:spacing w:after="0" w:line="240" w:lineRule="auto"/>
        <w:ind w:left="851" w:right="851"/>
        <w:jc w:val="both"/>
        <w:rPr>
          <w:rFonts w:ascii="Palatino Linotype" w:hAnsi="Palatino Linotype"/>
          <w:b/>
          <w:bCs/>
          <w:i/>
          <w:u w:val="single"/>
        </w:rPr>
      </w:pPr>
    </w:p>
    <w:p w14:paraId="1C4F8F06" w14:textId="77777777" w:rsidR="00D417CE" w:rsidRPr="00D417CE" w:rsidRDefault="00D417CE" w:rsidP="00D417CE">
      <w:pPr>
        <w:spacing w:after="0" w:line="240" w:lineRule="auto"/>
        <w:ind w:left="851" w:right="851"/>
        <w:jc w:val="both"/>
        <w:rPr>
          <w:rFonts w:ascii="Palatino Linotype" w:hAnsi="Palatino Linotype"/>
          <w:i/>
        </w:rPr>
      </w:pPr>
    </w:p>
    <w:p w14:paraId="332E91AD" w14:textId="77777777" w:rsidR="00D417CE" w:rsidRPr="00D417CE" w:rsidRDefault="00D417CE" w:rsidP="00D417CE">
      <w:pPr>
        <w:spacing w:after="0" w:line="240" w:lineRule="auto"/>
        <w:ind w:left="851" w:right="851"/>
        <w:jc w:val="both"/>
        <w:rPr>
          <w:rFonts w:ascii="Palatino Linotype" w:hAnsi="Palatino Linotype"/>
          <w:b/>
          <w:bCs/>
          <w:i/>
          <w:u w:val="single"/>
        </w:rPr>
      </w:pPr>
      <w:r w:rsidRPr="00D417CE">
        <w:rPr>
          <w:rFonts w:ascii="Palatino Linotype" w:hAnsi="Palatino Linotype"/>
          <w:b/>
          <w:bCs/>
          <w:i/>
          <w:u w:val="single"/>
        </w:rPr>
        <w:t xml:space="preserve">Los datos correspondientes a los bienes inmuebles son: </w:t>
      </w:r>
    </w:p>
    <w:p w14:paraId="1C97720A" w14:textId="77777777" w:rsidR="00D417CE" w:rsidRPr="00D417CE" w:rsidRDefault="00D417CE" w:rsidP="00D417CE">
      <w:pPr>
        <w:spacing w:after="0" w:line="240" w:lineRule="auto"/>
        <w:ind w:left="851" w:right="851"/>
        <w:jc w:val="both"/>
        <w:rPr>
          <w:rFonts w:ascii="Palatino Linotype" w:hAnsi="Palatino Linotype"/>
          <w:i/>
        </w:rPr>
      </w:pPr>
    </w:p>
    <w:p w14:paraId="78FEBB74"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Criterio 22</w:t>
      </w:r>
      <w:r w:rsidRPr="00D417CE">
        <w:rPr>
          <w:rFonts w:ascii="Palatino Linotype" w:hAnsi="Palatino Linotype"/>
          <w:i/>
        </w:rPr>
        <w:t xml:space="preserve"> Ejercicio </w:t>
      </w:r>
    </w:p>
    <w:p w14:paraId="5F6A3877" w14:textId="77777777" w:rsidR="00D417CE" w:rsidRPr="00D417CE" w:rsidRDefault="00D417CE" w:rsidP="00D417CE">
      <w:pPr>
        <w:spacing w:after="0" w:line="240" w:lineRule="auto"/>
        <w:ind w:left="851" w:right="851"/>
        <w:jc w:val="both"/>
        <w:rPr>
          <w:rFonts w:ascii="Palatino Linotype" w:hAnsi="Palatino Linotype"/>
          <w:i/>
        </w:rPr>
      </w:pPr>
    </w:p>
    <w:p w14:paraId="090519A8"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Criterio 23</w:t>
      </w:r>
      <w:r w:rsidRPr="00D417CE">
        <w:rPr>
          <w:rFonts w:ascii="Palatino Linotype" w:hAnsi="Palatino Linotype"/>
          <w:i/>
        </w:rPr>
        <w:t xml:space="preserve"> Periodo que se informa (fecha de inicio y fecha de término con el formato día/mes/año) </w:t>
      </w:r>
    </w:p>
    <w:p w14:paraId="23B5EF24" w14:textId="77777777" w:rsidR="00D417CE" w:rsidRPr="00D417CE" w:rsidRDefault="00D417CE" w:rsidP="00D417CE">
      <w:pPr>
        <w:spacing w:after="0" w:line="240" w:lineRule="auto"/>
        <w:ind w:left="851" w:right="851"/>
        <w:jc w:val="both"/>
        <w:rPr>
          <w:rFonts w:ascii="Palatino Linotype" w:hAnsi="Palatino Linotype"/>
          <w:i/>
        </w:rPr>
      </w:pPr>
    </w:p>
    <w:p w14:paraId="15A3F8E5"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Criterio 24</w:t>
      </w:r>
      <w:r w:rsidRPr="00D417CE">
        <w:rPr>
          <w:rFonts w:ascii="Palatino Linotype" w:hAnsi="Palatino Linotype"/>
          <w:i/>
        </w:rPr>
        <w:t xml:space="preserve"> </w:t>
      </w:r>
      <w:r w:rsidRPr="00D417CE">
        <w:rPr>
          <w:rFonts w:ascii="Palatino Linotype" w:hAnsi="Palatino Linotype"/>
          <w:b/>
          <w:bCs/>
          <w:i/>
        </w:rPr>
        <w:t>Denominación del inmueble, en su caso</w:t>
      </w:r>
      <w:r w:rsidRPr="00D417CE">
        <w:rPr>
          <w:rFonts w:ascii="Palatino Linotype" w:hAnsi="Palatino Linotype"/>
          <w:i/>
        </w:rPr>
        <w:t xml:space="preserve"> </w:t>
      </w:r>
    </w:p>
    <w:p w14:paraId="4E90213D" w14:textId="77777777" w:rsidR="00D417CE" w:rsidRPr="00D417CE" w:rsidRDefault="00D417CE" w:rsidP="00D417CE">
      <w:pPr>
        <w:spacing w:after="0" w:line="240" w:lineRule="auto"/>
        <w:ind w:left="851" w:right="851"/>
        <w:jc w:val="both"/>
        <w:rPr>
          <w:rFonts w:ascii="Palatino Linotype" w:hAnsi="Palatino Linotype"/>
          <w:i/>
        </w:rPr>
      </w:pPr>
    </w:p>
    <w:p w14:paraId="0A57F5E8" w14:textId="77777777" w:rsidR="00D417CE" w:rsidRPr="00D417CE" w:rsidRDefault="00D417CE" w:rsidP="00D417CE">
      <w:pPr>
        <w:spacing w:after="0" w:line="240" w:lineRule="auto"/>
        <w:ind w:left="851" w:right="851"/>
        <w:jc w:val="both"/>
        <w:rPr>
          <w:rFonts w:ascii="Palatino Linotype" w:hAnsi="Palatino Linotype"/>
          <w:b/>
          <w:bCs/>
          <w:i/>
          <w:u w:val="single"/>
        </w:rPr>
      </w:pPr>
      <w:r w:rsidRPr="00D417CE">
        <w:rPr>
          <w:rFonts w:ascii="Palatino Linotype" w:hAnsi="Palatino Linotype"/>
          <w:b/>
          <w:bCs/>
          <w:i/>
          <w:u w:val="single"/>
        </w:rPr>
        <w:t xml:space="preserve">Criterio 25 Institución a cargo del inmueble </w:t>
      </w:r>
    </w:p>
    <w:p w14:paraId="6B818977" w14:textId="77777777" w:rsidR="00D417CE" w:rsidRPr="00D417CE" w:rsidRDefault="00D417CE" w:rsidP="00D417CE">
      <w:pPr>
        <w:spacing w:after="0" w:line="240" w:lineRule="auto"/>
        <w:ind w:left="851" w:right="851"/>
        <w:jc w:val="both"/>
        <w:rPr>
          <w:rFonts w:ascii="Palatino Linotype" w:hAnsi="Palatino Linotype"/>
          <w:i/>
        </w:rPr>
      </w:pPr>
    </w:p>
    <w:p w14:paraId="63837F4F" w14:textId="77777777" w:rsidR="00D417CE" w:rsidRPr="00D417CE" w:rsidRDefault="00D417CE" w:rsidP="00D417CE">
      <w:pPr>
        <w:spacing w:after="0" w:line="240" w:lineRule="auto"/>
        <w:ind w:left="851" w:right="851"/>
        <w:jc w:val="both"/>
        <w:rPr>
          <w:rFonts w:ascii="Palatino Linotype" w:hAnsi="Palatino Linotype"/>
          <w:b/>
          <w:bCs/>
          <w:i/>
        </w:rPr>
      </w:pPr>
      <w:r w:rsidRPr="00D417CE">
        <w:rPr>
          <w:rFonts w:ascii="Palatino Linotype" w:hAnsi="Palatino Linotype"/>
          <w:b/>
          <w:bCs/>
          <w:i/>
        </w:rPr>
        <w:t xml:space="preserve">Criterio 26 </w:t>
      </w:r>
      <w:bookmarkStart w:id="3" w:name="_Hlk93599877"/>
      <w:r w:rsidRPr="00D417CE">
        <w:rPr>
          <w:rFonts w:ascii="Palatino Linotype" w:hAnsi="Palatino Linotype"/>
          <w:b/>
          <w:bCs/>
          <w:i/>
          <w:u w:val="single"/>
        </w:rPr>
        <w:t>Domicilio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bookmarkEnd w:id="3"/>
      <w:r w:rsidRPr="00D417CE">
        <w:rPr>
          <w:rFonts w:ascii="Palatino Linotype" w:hAnsi="Palatino Linotype"/>
          <w:b/>
          <w:bCs/>
          <w:i/>
        </w:rPr>
        <w:t xml:space="preserve">) </w:t>
      </w:r>
    </w:p>
    <w:p w14:paraId="46B7D4E3" w14:textId="77777777" w:rsidR="00D417CE" w:rsidRPr="00D417CE" w:rsidRDefault="00D417CE" w:rsidP="00D417CE">
      <w:pPr>
        <w:spacing w:after="0" w:line="240" w:lineRule="auto"/>
        <w:ind w:left="851" w:right="851"/>
        <w:jc w:val="both"/>
        <w:rPr>
          <w:rFonts w:ascii="Palatino Linotype" w:hAnsi="Palatino Linotype"/>
          <w:i/>
        </w:rPr>
      </w:pPr>
    </w:p>
    <w:p w14:paraId="156EE47B"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lastRenderedPageBreak/>
        <w:t>Criterio 27</w:t>
      </w:r>
      <w:r w:rsidRPr="00D417CE">
        <w:rPr>
          <w:rFonts w:ascii="Palatino Linotype" w:hAnsi="Palatino Linotype"/>
          <w:i/>
        </w:rPr>
        <w:t xml:space="preserve"> Domicilio en el extranjero. En caso de que el inmueble se ubique en otro país, se deberá incluir el domicilio el cual deberá incluir por lo menos: país, ciudad, calle y número </w:t>
      </w:r>
    </w:p>
    <w:p w14:paraId="5A3FF842" w14:textId="77777777" w:rsidR="00D417CE" w:rsidRPr="00D417CE" w:rsidRDefault="00D417CE" w:rsidP="00D417CE">
      <w:pPr>
        <w:spacing w:after="0" w:line="240" w:lineRule="auto"/>
        <w:ind w:left="851" w:right="851"/>
        <w:jc w:val="both"/>
        <w:rPr>
          <w:rFonts w:ascii="Palatino Linotype" w:hAnsi="Palatino Linotype"/>
          <w:i/>
        </w:rPr>
      </w:pPr>
    </w:p>
    <w:p w14:paraId="6323D0F2"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Criterio 2</w:t>
      </w:r>
      <w:r w:rsidRPr="00D417CE">
        <w:rPr>
          <w:rFonts w:ascii="Palatino Linotype" w:hAnsi="Palatino Linotype"/>
          <w:i/>
        </w:rPr>
        <w:t xml:space="preserve">8 Naturaleza del inmueble (catálogo): Urbana/Rústica (de conformidad con el artículo 66, fracción IV, del Reglamento del Registro Público de la Propiedad Federal) </w:t>
      </w:r>
    </w:p>
    <w:p w14:paraId="7013AD00" w14:textId="77777777" w:rsidR="00D417CE" w:rsidRPr="00D417CE" w:rsidRDefault="00D417CE" w:rsidP="00D417CE">
      <w:pPr>
        <w:spacing w:after="0" w:line="240" w:lineRule="auto"/>
        <w:ind w:left="851" w:right="851"/>
        <w:jc w:val="both"/>
        <w:rPr>
          <w:rFonts w:ascii="Palatino Linotype" w:hAnsi="Palatino Linotype"/>
          <w:i/>
        </w:rPr>
      </w:pPr>
    </w:p>
    <w:p w14:paraId="3DE0D814"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Criterio 29</w:t>
      </w:r>
      <w:r w:rsidRPr="00D417CE">
        <w:rPr>
          <w:rFonts w:ascii="Palatino Linotype" w:hAnsi="Palatino Linotype"/>
          <w:i/>
        </w:rPr>
        <w:t xml:space="preserve"> Carácter del monumento (catálogo): Arqueológico/Histórico/Artístico (para el caso de inmuebles que hayan sido declarados monumentos arqueológicos, históricos o artísticos </w:t>
      </w:r>
    </w:p>
    <w:p w14:paraId="75CE5380" w14:textId="77777777" w:rsidR="00D417CE" w:rsidRPr="00D417CE" w:rsidRDefault="00D417CE" w:rsidP="00D417CE">
      <w:pPr>
        <w:spacing w:after="0" w:line="240" w:lineRule="auto"/>
        <w:ind w:left="851" w:right="851"/>
        <w:jc w:val="both"/>
        <w:rPr>
          <w:rFonts w:ascii="Palatino Linotype" w:hAnsi="Palatino Linotype"/>
          <w:i/>
        </w:rPr>
      </w:pPr>
    </w:p>
    <w:p w14:paraId="07664659"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Criterio 30</w:t>
      </w:r>
      <w:r w:rsidRPr="00D417CE">
        <w:rPr>
          <w:rFonts w:ascii="Palatino Linotype" w:hAnsi="Palatino Linotype"/>
          <w:i/>
        </w:rPr>
        <w:t xml:space="preserve"> </w:t>
      </w:r>
      <w:r w:rsidRPr="00D417CE">
        <w:rPr>
          <w:rFonts w:ascii="Palatino Linotype" w:hAnsi="Palatino Linotype"/>
          <w:b/>
          <w:bCs/>
          <w:i/>
        </w:rPr>
        <w:t>Tipo de inmueble</w:t>
      </w:r>
      <w:r w:rsidRPr="00D417CE">
        <w:rPr>
          <w:rFonts w:ascii="Palatino Linotype" w:hAnsi="Palatino Linotype"/>
          <w:i/>
        </w:rPr>
        <w:t xml:space="preserve"> (catálogo): edificación/terreno/mixto </w:t>
      </w:r>
    </w:p>
    <w:p w14:paraId="79A566B9" w14:textId="77777777" w:rsidR="00D417CE" w:rsidRPr="00D417CE" w:rsidRDefault="00D417CE" w:rsidP="00D417CE">
      <w:pPr>
        <w:spacing w:after="0" w:line="240" w:lineRule="auto"/>
        <w:ind w:left="851" w:right="851"/>
        <w:jc w:val="both"/>
        <w:rPr>
          <w:rFonts w:ascii="Palatino Linotype" w:hAnsi="Palatino Linotype"/>
          <w:i/>
        </w:rPr>
      </w:pPr>
    </w:p>
    <w:p w14:paraId="5962AF5B"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Criterio 31</w:t>
      </w:r>
      <w:r w:rsidRPr="00D417CE">
        <w:rPr>
          <w:rFonts w:ascii="Palatino Linotype" w:hAnsi="Palatino Linotype"/>
          <w:i/>
        </w:rPr>
        <w:t xml:space="preserve"> </w:t>
      </w:r>
      <w:r w:rsidRPr="00D417CE">
        <w:rPr>
          <w:rFonts w:ascii="Palatino Linotype" w:hAnsi="Palatino Linotype"/>
          <w:i/>
          <w:u w:val="single"/>
        </w:rPr>
        <w:t>Uso del inmueble</w:t>
      </w:r>
      <w:r w:rsidRPr="00D417CE">
        <w:rPr>
          <w:rFonts w:ascii="Palatino Linotype" w:hAnsi="Palatino Linotype"/>
          <w:i/>
        </w:rPr>
        <w:t xml:space="preserve"> </w:t>
      </w:r>
    </w:p>
    <w:p w14:paraId="39EE227B" w14:textId="77777777" w:rsidR="00D417CE" w:rsidRPr="00D417CE" w:rsidRDefault="00D417CE" w:rsidP="00D417CE">
      <w:pPr>
        <w:spacing w:after="0" w:line="240" w:lineRule="auto"/>
        <w:ind w:left="851" w:right="851"/>
        <w:jc w:val="both"/>
        <w:rPr>
          <w:rFonts w:ascii="Palatino Linotype" w:hAnsi="Palatino Linotype"/>
          <w:i/>
        </w:rPr>
      </w:pPr>
    </w:p>
    <w:p w14:paraId="7FAD9C26"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Criterio 32</w:t>
      </w:r>
      <w:r w:rsidRPr="00D417CE">
        <w:rPr>
          <w:rFonts w:ascii="Palatino Linotype" w:hAnsi="Palatino Linotype"/>
          <w:i/>
        </w:rPr>
        <w:t xml:space="preserve"> Operación que da origen a la propiedad o posesión del inmueble</w:t>
      </w:r>
      <w:r w:rsidRPr="00D417CE">
        <w:rPr>
          <w:rFonts w:ascii="Palatino Linotype" w:hAnsi="Palatino Linotype"/>
          <w:b/>
          <w:bCs/>
          <w:i/>
          <w:u w:val="single"/>
        </w:rPr>
        <w:t xml:space="preserve"> </w:t>
      </w:r>
    </w:p>
    <w:p w14:paraId="424C6B58" w14:textId="77777777" w:rsidR="00D417CE" w:rsidRPr="00D417CE" w:rsidRDefault="00D417CE" w:rsidP="00D417CE">
      <w:pPr>
        <w:spacing w:after="0" w:line="240" w:lineRule="auto"/>
        <w:ind w:left="851" w:right="851"/>
        <w:jc w:val="both"/>
        <w:rPr>
          <w:rFonts w:ascii="Palatino Linotype" w:hAnsi="Palatino Linotype"/>
          <w:i/>
        </w:rPr>
      </w:pPr>
    </w:p>
    <w:p w14:paraId="08BEED75"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Criterio 33</w:t>
      </w:r>
      <w:r w:rsidRPr="00D417CE">
        <w:rPr>
          <w:rFonts w:ascii="Palatino Linotype" w:hAnsi="Palatino Linotype"/>
          <w:i/>
        </w:rPr>
        <w:t xml:space="preserve"> Valor catastral o último avalúo del inmueble </w:t>
      </w:r>
    </w:p>
    <w:p w14:paraId="1FA856DB" w14:textId="77777777" w:rsidR="00D417CE" w:rsidRPr="00D417CE" w:rsidRDefault="00D417CE" w:rsidP="00D417CE">
      <w:pPr>
        <w:spacing w:after="0" w:line="240" w:lineRule="auto"/>
        <w:ind w:left="851" w:right="851"/>
        <w:jc w:val="both"/>
        <w:rPr>
          <w:rFonts w:ascii="Palatino Linotype" w:hAnsi="Palatino Linotype"/>
          <w:i/>
        </w:rPr>
      </w:pPr>
    </w:p>
    <w:p w14:paraId="1818CFA0"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b/>
          <w:bCs/>
          <w:i/>
        </w:rPr>
        <w:t>Criterio 34</w:t>
      </w:r>
      <w:r w:rsidRPr="00D417CE">
        <w:rPr>
          <w:rFonts w:ascii="Palatino Linotype" w:hAnsi="Palatino Linotype"/>
          <w:i/>
        </w:rPr>
        <w:t xml:space="preserve"> Título por el cual se acredite la propiedad o posesión del inmueble por parte del Gobierno Federal, las entidades federativas o los municipios, a la fecha de actualización de la información </w:t>
      </w:r>
    </w:p>
    <w:p w14:paraId="0AE1EC38" w14:textId="77777777" w:rsidR="00D417CE" w:rsidRPr="00D417CE" w:rsidRDefault="00D417CE" w:rsidP="00D417CE">
      <w:pPr>
        <w:spacing w:after="0" w:line="240" w:lineRule="auto"/>
        <w:ind w:left="851" w:right="851"/>
        <w:jc w:val="both"/>
        <w:rPr>
          <w:rFonts w:ascii="Palatino Linotype" w:hAnsi="Palatino Linotype"/>
          <w:i/>
        </w:rPr>
      </w:pPr>
    </w:p>
    <w:p w14:paraId="182FD193"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i/>
        </w:rPr>
        <w:t xml:space="preserve">Criterio 35 Hipervínculo al Sistema de Información Inmobiliaria Federal y Paraestatal </w:t>
      </w:r>
      <w:proofErr w:type="spellStart"/>
      <w:r w:rsidRPr="00D417CE">
        <w:rPr>
          <w:rFonts w:ascii="Palatino Linotype" w:hAnsi="Palatino Linotype"/>
          <w:i/>
        </w:rPr>
        <w:t>u</w:t>
      </w:r>
      <w:proofErr w:type="spellEnd"/>
      <w:r w:rsidRPr="00D417CE">
        <w:rPr>
          <w:rFonts w:ascii="Palatino Linotype" w:hAnsi="Palatino Linotype"/>
          <w:i/>
        </w:rPr>
        <w:t xml:space="preserve"> homólogo de cada entidad federativa </w:t>
      </w:r>
    </w:p>
    <w:p w14:paraId="7D87B4D6" w14:textId="77777777" w:rsidR="00D417CE" w:rsidRPr="00D417CE" w:rsidRDefault="00D417CE" w:rsidP="00D417CE">
      <w:pPr>
        <w:spacing w:after="0" w:line="240" w:lineRule="auto"/>
        <w:ind w:left="851" w:right="851"/>
        <w:jc w:val="both"/>
        <w:rPr>
          <w:rFonts w:ascii="Palatino Linotype" w:hAnsi="Palatino Linotype"/>
          <w:i/>
        </w:rPr>
      </w:pPr>
    </w:p>
    <w:p w14:paraId="5A317E09" w14:textId="77777777" w:rsidR="00D417CE" w:rsidRPr="00D417CE" w:rsidRDefault="00D417CE" w:rsidP="00D417CE">
      <w:pPr>
        <w:spacing w:after="0" w:line="240" w:lineRule="auto"/>
        <w:ind w:left="851" w:right="851"/>
        <w:jc w:val="both"/>
        <w:rPr>
          <w:rFonts w:ascii="Palatino Linotype" w:hAnsi="Palatino Linotype"/>
          <w:i/>
        </w:rPr>
      </w:pPr>
      <w:r w:rsidRPr="00D417CE">
        <w:rPr>
          <w:rFonts w:ascii="Palatino Linotype" w:hAnsi="Palatino Linotype"/>
          <w:i/>
        </w:rPr>
        <w:t xml:space="preserve">Criterio 36 Área de adscripción del servidor público /o toda persona que desempeñe un empleo, cargo o comisión y/o ejerza actos de autoridad (de acuerdo con el catálogo de áreas o puestos que funge como responsable inmobiliario) </w:t>
      </w:r>
    </w:p>
    <w:p w14:paraId="37BD08B2" w14:textId="77777777" w:rsidR="00D417CE" w:rsidRPr="00D417CE" w:rsidRDefault="00D417CE" w:rsidP="00D417CE">
      <w:pPr>
        <w:spacing w:after="0" w:line="240" w:lineRule="auto"/>
        <w:ind w:left="851" w:right="851"/>
        <w:jc w:val="both"/>
        <w:rPr>
          <w:rFonts w:ascii="Palatino Linotype" w:hAnsi="Palatino Linotype"/>
          <w:i/>
        </w:rPr>
      </w:pPr>
    </w:p>
    <w:p w14:paraId="023EEC05" w14:textId="7598B977" w:rsidR="00D417CE" w:rsidRPr="00D417CE" w:rsidRDefault="00E951A2" w:rsidP="00D417CE">
      <w:pPr>
        <w:spacing w:after="0" w:line="240" w:lineRule="auto"/>
        <w:ind w:left="1985" w:right="900" w:hanging="1134"/>
        <w:jc w:val="both"/>
        <w:rPr>
          <w:rFonts w:ascii="Palatino Linotype" w:hAnsi="Palatino Linotype"/>
          <w:i/>
        </w:rPr>
      </w:pPr>
      <w:r>
        <w:rPr>
          <w:rFonts w:ascii="Palatino Linotype" w:hAnsi="Palatino Linotype"/>
          <w:b/>
          <w:bCs/>
          <w:i/>
          <w:u w:val="single"/>
        </w:rPr>
        <w:t>(…)</w:t>
      </w:r>
    </w:p>
    <w:p w14:paraId="42F12268" w14:textId="77777777" w:rsidR="00D417CE" w:rsidRPr="00D417CE" w:rsidRDefault="00D417CE" w:rsidP="00D417CE">
      <w:pPr>
        <w:spacing w:after="0" w:line="240" w:lineRule="auto"/>
        <w:ind w:left="1985" w:right="900" w:hanging="1134"/>
        <w:jc w:val="both"/>
        <w:rPr>
          <w:rFonts w:ascii="Palatino Linotype" w:hAnsi="Palatino Linotype"/>
          <w:i/>
        </w:rPr>
      </w:pPr>
    </w:p>
    <w:p w14:paraId="37C1B82A" w14:textId="77777777" w:rsidR="00D417CE" w:rsidRPr="00D417CE" w:rsidRDefault="00D417CE" w:rsidP="00D417CE">
      <w:pPr>
        <w:spacing w:after="0" w:line="240" w:lineRule="auto"/>
        <w:ind w:left="1985" w:right="900" w:hanging="1134"/>
        <w:jc w:val="both"/>
        <w:rPr>
          <w:rFonts w:ascii="Palatino Linotype" w:hAnsi="Palatino Linotype"/>
          <w:i/>
        </w:rPr>
      </w:pPr>
    </w:p>
    <w:p w14:paraId="1DC2FF92" w14:textId="77777777" w:rsidR="00D417CE" w:rsidRPr="00D417CE" w:rsidRDefault="00D417CE" w:rsidP="00D417CE">
      <w:pPr>
        <w:spacing w:after="0" w:line="240" w:lineRule="auto"/>
        <w:rPr>
          <w:rFonts w:ascii="Times New Roman" w:eastAsia="Times New Roman" w:hAnsi="Times New Roman"/>
          <w:sz w:val="24"/>
          <w:szCs w:val="24"/>
          <w:lang w:eastAsia="es-ES"/>
        </w:rPr>
      </w:pPr>
    </w:p>
    <w:p w14:paraId="5CD3557C" w14:textId="5FDF7EEB" w:rsidR="00D417CE" w:rsidRPr="00D417CE" w:rsidRDefault="00D417CE" w:rsidP="0017459D">
      <w:pPr>
        <w:spacing w:after="0" w:line="360" w:lineRule="auto"/>
        <w:jc w:val="both"/>
        <w:rPr>
          <w:rFonts w:ascii="Palatino Linotype" w:eastAsiaTheme="minorHAnsi" w:hAnsi="Palatino Linotype"/>
          <w:i/>
          <w:iCs/>
        </w:rPr>
      </w:pPr>
      <w:r w:rsidRPr="00D417CE">
        <w:rPr>
          <w:rFonts w:ascii="Palatino Linotype" w:hAnsi="Palatino Linotype"/>
          <w:sz w:val="24"/>
        </w:rPr>
        <w:t xml:space="preserve">De los preceptos referidos con anterioridad, podemos advertir de la existencia de documentos específicos que pudieran colmar las pretensiones del Recurrente, ya que los sujetos obligados deberán publicar el inventario de bienes inmuebles que utilicen, </w:t>
      </w:r>
      <w:r w:rsidRPr="00D417CE">
        <w:rPr>
          <w:rFonts w:ascii="Palatino Linotype" w:hAnsi="Palatino Linotype"/>
          <w:sz w:val="24"/>
        </w:rPr>
        <w:lastRenderedPageBreak/>
        <w:t>tengan a su cargo y/o les hayan sido asignados para el ejercicio de sus funciones, en dicho inventario se deberá incluir</w:t>
      </w:r>
      <w:r w:rsidR="003556E4">
        <w:rPr>
          <w:rFonts w:ascii="Palatino Linotype" w:hAnsi="Palatino Linotype"/>
          <w:sz w:val="24"/>
        </w:rPr>
        <w:t xml:space="preserve"> el domicilio</w:t>
      </w:r>
      <w:r w:rsidR="003556E4" w:rsidRPr="003556E4">
        <w:rPr>
          <w:rFonts w:ascii="Palatino Linotype" w:hAnsi="Palatino Linotype"/>
          <w:sz w:val="24"/>
        </w:rPr>
        <w:t xml:space="preserve"> del inmueble</w:t>
      </w:r>
      <w:r w:rsidR="003556E4">
        <w:rPr>
          <w:rFonts w:ascii="Palatino Linotype" w:hAnsi="Palatino Linotype"/>
          <w:sz w:val="24"/>
        </w:rPr>
        <w:t xml:space="preserve">, mismo que deberá contener por lo menos: </w:t>
      </w:r>
      <w:r w:rsidR="003556E4" w:rsidRPr="003556E4">
        <w:rPr>
          <w:rFonts w:ascii="Palatino Linotype" w:hAnsi="Palatino Linotype"/>
          <w:sz w:val="24"/>
        </w:rPr>
        <w:t xml:space="preserve"> </w:t>
      </w:r>
      <w:r w:rsidR="003556E4" w:rsidRPr="003556E4">
        <w:rPr>
          <w:rFonts w:ascii="Palatino Linotype" w:hAnsi="Palatino Linotype"/>
          <w:i/>
          <w:iCs/>
          <w:sz w:val="24"/>
        </w:rPr>
        <w:t>(tipo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Pr="00D417CE">
        <w:rPr>
          <w:rFonts w:ascii="Palatino Linotype" w:hAnsi="Palatino Linotype"/>
          <w:sz w:val="24"/>
        </w:rPr>
        <w:t>, en virtud de ello, se colige  que el Sujeto Obligado, cuenta con la información a la cual pretende acceder el particular, por lo que deberá poner a disposición del solicitante, dichas documentales.</w:t>
      </w:r>
    </w:p>
    <w:p w14:paraId="328360E5" w14:textId="77777777" w:rsidR="00D417CE" w:rsidRPr="00D417CE" w:rsidRDefault="00D417CE" w:rsidP="0017459D">
      <w:pPr>
        <w:spacing w:after="0" w:line="360" w:lineRule="auto"/>
        <w:jc w:val="both"/>
        <w:rPr>
          <w:rFonts w:ascii="Palatino Linotype" w:hAnsi="Palatino Linotype"/>
          <w:sz w:val="24"/>
        </w:rPr>
      </w:pPr>
    </w:p>
    <w:p w14:paraId="75290BC7" w14:textId="0D13157D" w:rsidR="00D417CE" w:rsidRDefault="00D417CE" w:rsidP="0017459D">
      <w:pPr>
        <w:spacing w:after="0" w:line="360" w:lineRule="auto"/>
        <w:jc w:val="both"/>
        <w:rPr>
          <w:rFonts w:ascii="Palatino Linotype" w:hAnsi="Palatino Linotype"/>
          <w:sz w:val="24"/>
        </w:rPr>
      </w:pPr>
      <w:r w:rsidRPr="00D417CE">
        <w:rPr>
          <w:rFonts w:ascii="Palatino Linotype" w:hAnsi="Palatino Linotype"/>
          <w:sz w:val="24"/>
        </w:rPr>
        <w:t xml:space="preserve">En ese tenor, resulta dable ordenar al Sujeto Obligado, el o los documentos de los cuales se pueda advertir </w:t>
      </w:r>
      <w:r w:rsidR="003556E4">
        <w:rPr>
          <w:rFonts w:ascii="Palatino Linotype" w:hAnsi="Palatino Linotype"/>
          <w:sz w:val="24"/>
        </w:rPr>
        <w:t>l</w:t>
      </w:r>
      <w:r w:rsidR="003556E4" w:rsidRPr="003556E4">
        <w:rPr>
          <w:rFonts w:ascii="Palatino Linotype" w:hAnsi="Palatino Linotype"/>
          <w:sz w:val="24"/>
        </w:rPr>
        <w:t>a ubicación de los 10 bienes inmuebles propiedad municipal referidos en la solicitud de información</w:t>
      </w:r>
      <w:r w:rsidR="003556E4">
        <w:rPr>
          <w:rFonts w:ascii="Palatino Linotype" w:hAnsi="Palatino Linotype"/>
          <w:sz w:val="24"/>
        </w:rPr>
        <w:t>.</w:t>
      </w:r>
    </w:p>
    <w:p w14:paraId="29867210" w14:textId="25D2AB74" w:rsidR="00C73EAC" w:rsidRDefault="00C73EAC" w:rsidP="0017459D">
      <w:pPr>
        <w:spacing w:after="0" w:line="360" w:lineRule="auto"/>
        <w:jc w:val="both"/>
        <w:rPr>
          <w:rFonts w:ascii="Palatino Linotype" w:eastAsia="Times New Roman" w:hAnsi="Palatino Linotype"/>
          <w:sz w:val="24"/>
          <w:szCs w:val="24"/>
          <w:lang w:eastAsia="es-ES"/>
        </w:rPr>
      </w:pPr>
    </w:p>
    <w:p w14:paraId="7DE40255" w14:textId="0A16951D" w:rsidR="00886EBA" w:rsidRPr="00886EBA" w:rsidRDefault="00C73EAC" w:rsidP="0017459D">
      <w:pPr>
        <w:spacing w:after="0" w:line="360" w:lineRule="auto"/>
        <w:jc w:val="both"/>
        <w:rPr>
          <w:rFonts w:ascii="Palatino Linotype" w:hAnsi="Palatino Linotype"/>
          <w:sz w:val="24"/>
          <w:szCs w:val="24"/>
        </w:rPr>
      </w:pPr>
      <w:r>
        <w:rPr>
          <w:rFonts w:ascii="Palatino Linotype" w:eastAsia="Times New Roman" w:hAnsi="Palatino Linotype"/>
          <w:sz w:val="24"/>
          <w:szCs w:val="24"/>
          <w:lang w:eastAsia="es-ES"/>
        </w:rPr>
        <w:t xml:space="preserve">Por otro lado, </w:t>
      </w:r>
      <w:r w:rsidR="00753246">
        <w:rPr>
          <w:rFonts w:ascii="Palatino Linotype" w:eastAsia="Times New Roman" w:hAnsi="Palatino Linotype"/>
          <w:sz w:val="24"/>
          <w:szCs w:val="24"/>
          <w:lang w:eastAsia="es-ES"/>
        </w:rPr>
        <w:t>respecto</w:t>
      </w:r>
      <w:r w:rsidR="00523868">
        <w:rPr>
          <w:rFonts w:ascii="Palatino Linotype" w:eastAsia="Times New Roman" w:hAnsi="Palatino Linotype"/>
          <w:sz w:val="24"/>
          <w:szCs w:val="24"/>
          <w:lang w:eastAsia="es-ES"/>
        </w:rPr>
        <w:t xml:space="preserve"> de los puntos petitorios identificados con los numerales </w:t>
      </w:r>
      <w:r w:rsidR="00FE389E">
        <w:rPr>
          <w:rFonts w:ascii="Palatino Linotype" w:eastAsia="Times New Roman" w:hAnsi="Palatino Linotype"/>
          <w:sz w:val="24"/>
          <w:szCs w:val="24"/>
          <w:lang w:eastAsia="es-ES"/>
        </w:rPr>
        <w:t>2, 3, 4 y 6, correspondiente a los documentos en donde conste el proceso para llevar a cabo la enajenación;</w:t>
      </w:r>
      <w:r w:rsidR="00753246">
        <w:rPr>
          <w:rFonts w:ascii="Palatino Linotype" w:eastAsia="Times New Roman" w:hAnsi="Palatino Linotype"/>
          <w:sz w:val="24"/>
          <w:szCs w:val="24"/>
          <w:lang w:eastAsia="es-ES"/>
        </w:rPr>
        <w:t xml:space="preserve"> </w:t>
      </w:r>
      <w:r w:rsidR="00FE389E">
        <w:rPr>
          <w:rFonts w:ascii="Palatino Linotype" w:eastAsia="Times New Roman" w:hAnsi="Palatino Linotype"/>
          <w:sz w:val="24"/>
          <w:szCs w:val="24"/>
          <w:lang w:eastAsia="es-ES"/>
        </w:rPr>
        <w:t>monto de salida de la subasta; monto que se espera recaudar y los convocados a la subasta de</w:t>
      </w:r>
      <w:r w:rsidR="00FE389E" w:rsidRPr="00FE389E">
        <w:rPr>
          <w:rFonts w:ascii="Palatino Linotype" w:eastAsia="Times New Roman" w:hAnsi="Palatino Linotype"/>
          <w:sz w:val="24"/>
          <w:szCs w:val="24"/>
          <w:lang w:eastAsia="es-ES"/>
        </w:rPr>
        <w:t xml:space="preserve"> los 10 bienes inmuebles propiedad municipal referidos en la solicitud de información</w:t>
      </w:r>
      <w:r w:rsidR="009643A5">
        <w:rPr>
          <w:rFonts w:ascii="Palatino Linotype" w:eastAsia="Times New Roman" w:hAnsi="Palatino Linotype"/>
          <w:sz w:val="24"/>
          <w:szCs w:val="24"/>
          <w:lang w:eastAsia="es-ES"/>
        </w:rPr>
        <w:t xml:space="preserve">; el Sujeto Obligado informó mediante respuesta a la solicitud de información de mérito que </w:t>
      </w:r>
      <w:r w:rsidR="009643A5" w:rsidRPr="009643A5">
        <w:rPr>
          <w:rFonts w:ascii="Palatino Linotype" w:eastAsia="Times New Roman" w:hAnsi="Palatino Linotype"/>
          <w:sz w:val="24"/>
          <w:szCs w:val="24"/>
          <w:lang w:eastAsia="es-ES"/>
        </w:rPr>
        <w:t xml:space="preserve">en los archivos que obran en la </w:t>
      </w:r>
      <w:r w:rsidR="00886EBA">
        <w:rPr>
          <w:rFonts w:ascii="Palatino Linotype" w:eastAsia="Times New Roman" w:hAnsi="Palatino Linotype"/>
          <w:sz w:val="24"/>
          <w:szCs w:val="24"/>
          <w:lang w:eastAsia="es-ES"/>
        </w:rPr>
        <w:t>Secretaría del Ayuntamiento, Secretaría Particular de Presidencia y Tesorería Municipal que, después de realizar una búsqueda en la información en sus archivos, no se encontró la información solicitada</w:t>
      </w:r>
      <w:r w:rsidR="00F7575D">
        <w:rPr>
          <w:rFonts w:ascii="Palatino Linotype" w:eastAsia="Times New Roman" w:hAnsi="Palatino Linotype"/>
          <w:sz w:val="24"/>
          <w:szCs w:val="24"/>
          <w:lang w:eastAsia="es-ES"/>
        </w:rPr>
        <w:t>. A</w:t>
      </w:r>
      <w:r w:rsidR="00A57A1E">
        <w:rPr>
          <w:rFonts w:ascii="Palatino Linotype" w:eastAsia="Times New Roman" w:hAnsi="Palatino Linotype"/>
          <w:sz w:val="24"/>
          <w:szCs w:val="24"/>
          <w:lang w:eastAsia="es-ES"/>
        </w:rPr>
        <w:t>nte ello, resulta oportuno citar el contenido</w:t>
      </w:r>
      <w:r w:rsidR="00886EBA">
        <w:rPr>
          <w:rFonts w:ascii="Palatino Linotype" w:eastAsia="Times New Roman" w:hAnsi="Palatino Linotype"/>
          <w:sz w:val="24"/>
          <w:szCs w:val="24"/>
          <w:lang w:eastAsia="es-ES"/>
        </w:rPr>
        <w:t xml:space="preserve"> de</w:t>
      </w:r>
      <w:r w:rsidR="00A57A1E">
        <w:rPr>
          <w:rFonts w:ascii="Palatino Linotype" w:eastAsia="Times New Roman" w:hAnsi="Palatino Linotype"/>
          <w:sz w:val="24"/>
          <w:szCs w:val="24"/>
          <w:lang w:eastAsia="es-ES"/>
        </w:rPr>
        <w:t xml:space="preserve"> </w:t>
      </w:r>
      <w:r w:rsidR="00886EBA" w:rsidRPr="00886EBA">
        <w:rPr>
          <w:rFonts w:ascii="Palatino Linotype" w:hAnsi="Palatino Linotype"/>
          <w:sz w:val="24"/>
          <w:szCs w:val="24"/>
        </w:rPr>
        <w:t xml:space="preserve">la Ley de Contratación Pública del Estado de México y Municipios </w:t>
      </w:r>
      <w:r w:rsidR="00886EBA">
        <w:rPr>
          <w:rFonts w:ascii="Palatino Linotype" w:hAnsi="Palatino Linotype"/>
          <w:sz w:val="24"/>
          <w:szCs w:val="24"/>
        </w:rPr>
        <w:t>que establece</w:t>
      </w:r>
      <w:r w:rsidR="00886EBA" w:rsidRPr="00886EBA">
        <w:rPr>
          <w:rFonts w:ascii="Palatino Linotype" w:hAnsi="Palatino Linotype"/>
          <w:sz w:val="24"/>
          <w:szCs w:val="24"/>
        </w:rPr>
        <w:t xml:space="preserve"> lo siguiente:</w:t>
      </w:r>
    </w:p>
    <w:p w14:paraId="26C49AFC" w14:textId="45B511F0" w:rsidR="00886EBA" w:rsidRDefault="00886EBA"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i/>
          <w:sz w:val="24"/>
          <w:szCs w:val="24"/>
          <w:lang w:eastAsia="es-ES"/>
        </w:rPr>
      </w:pPr>
      <w:r w:rsidRPr="00886EBA">
        <w:rPr>
          <w:rFonts w:ascii="Palatino Linotype" w:eastAsia="Times New Roman" w:hAnsi="Palatino Linotype"/>
          <w:i/>
          <w:sz w:val="24"/>
          <w:szCs w:val="24"/>
          <w:lang w:val="es-ES" w:eastAsia="es-ES"/>
        </w:rPr>
        <w:lastRenderedPageBreak/>
        <w:t>“</w:t>
      </w:r>
      <w:r w:rsidRPr="00886EBA">
        <w:rPr>
          <w:rFonts w:ascii="Palatino Linotype" w:eastAsia="Times New Roman" w:hAnsi="Palatino Linotype"/>
          <w:b/>
          <w:bCs/>
          <w:i/>
          <w:sz w:val="24"/>
          <w:szCs w:val="24"/>
          <w:lang w:eastAsia="es-ES"/>
        </w:rPr>
        <w:t>Artículo 1.</w:t>
      </w:r>
      <w:r w:rsidRPr="00886EBA">
        <w:rPr>
          <w:rFonts w:ascii="Palatino Linotype" w:eastAsia="Times New Roman" w:hAnsi="Palatino Linotype"/>
          <w:i/>
          <w:sz w:val="24"/>
          <w:szCs w:val="24"/>
          <w:lang w:eastAsia="es-ES"/>
        </w:rPr>
        <w:t xml:space="preserve">- Esta Ley tiene por objeto regular los actos relativos a la planeación, programación, presupuestación, ejecución y control de la adquisición, enajenación y arrendamiento de bienes, y la contratación de servicios de cualquier naturaleza, que realicen: </w:t>
      </w:r>
    </w:p>
    <w:p w14:paraId="4E7E1148" w14:textId="77777777" w:rsidR="00886EBA" w:rsidRDefault="00886EBA"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i/>
          <w:sz w:val="24"/>
          <w:szCs w:val="24"/>
          <w:lang w:eastAsia="es-ES"/>
        </w:rPr>
      </w:pPr>
    </w:p>
    <w:p w14:paraId="7A09EF96" w14:textId="77777777" w:rsidR="00886EBA" w:rsidRDefault="00886EBA"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i/>
          <w:sz w:val="24"/>
          <w:szCs w:val="24"/>
          <w:lang w:eastAsia="es-ES"/>
        </w:rPr>
      </w:pPr>
      <w:r w:rsidRPr="00886EBA">
        <w:rPr>
          <w:rFonts w:ascii="Palatino Linotype" w:eastAsia="Times New Roman" w:hAnsi="Palatino Linotype"/>
          <w:i/>
          <w:sz w:val="24"/>
          <w:szCs w:val="24"/>
          <w:lang w:eastAsia="es-ES"/>
        </w:rPr>
        <w:t xml:space="preserve">I. Las secretarías y las unidades administrativas del Poder Ejecutivo del Estado. </w:t>
      </w:r>
    </w:p>
    <w:p w14:paraId="3F0AF194" w14:textId="77777777" w:rsidR="00886EBA" w:rsidRDefault="00886EBA"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i/>
          <w:sz w:val="24"/>
          <w:szCs w:val="24"/>
          <w:lang w:eastAsia="es-ES"/>
        </w:rPr>
      </w:pPr>
      <w:r w:rsidRPr="00886EBA">
        <w:rPr>
          <w:rFonts w:ascii="Palatino Linotype" w:eastAsia="Times New Roman" w:hAnsi="Palatino Linotype"/>
          <w:i/>
          <w:sz w:val="24"/>
          <w:szCs w:val="24"/>
          <w:lang w:eastAsia="es-ES"/>
        </w:rPr>
        <w:t xml:space="preserve">II. La Procuraduría General de Justicia. </w:t>
      </w:r>
    </w:p>
    <w:p w14:paraId="0AA5A46B" w14:textId="77777777" w:rsidR="00886EBA" w:rsidRPr="00886EBA" w:rsidRDefault="00886EBA"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
          <w:bCs/>
          <w:i/>
          <w:sz w:val="24"/>
          <w:szCs w:val="24"/>
          <w:lang w:eastAsia="es-ES"/>
        </w:rPr>
      </w:pPr>
      <w:r w:rsidRPr="00886EBA">
        <w:rPr>
          <w:rFonts w:ascii="Palatino Linotype" w:eastAsia="Times New Roman" w:hAnsi="Palatino Linotype"/>
          <w:b/>
          <w:bCs/>
          <w:i/>
          <w:sz w:val="24"/>
          <w:szCs w:val="24"/>
          <w:lang w:eastAsia="es-ES"/>
        </w:rPr>
        <w:t xml:space="preserve">III. Los ayuntamientos de los municipios del Estado. </w:t>
      </w:r>
    </w:p>
    <w:p w14:paraId="3A5ABA97" w14:textId="77777777" w:rsidR="00886EBA" w:rsidRDefault="00886EBA"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i/>
          <w:sz w:val="24"/>
          <w:szCs w:val="24"/>
          <w:lang w:eastAsia="es-ES"/>
        </w:rPr>
      </w:pPr>
      <w:r w:rsidRPr="00886EBA">
        <w:rPr>
          <w:rFonts w:ascii="Palatino Linotype" w:eastAsia="Times New Roman" w:hAnsi="Palatino Linotype"/>
          <w:i/>
          <w:sz w:val="24"/>
          <w:szCs w:val="24"/>
          <w:lang w:eastAsia="es-ES"/>
        </w:rPr>
        <w:t xml:space="preserve">IV. Los organismos auxiliares y fideicomisos públicos, de carácter estatal o municipal. </w:t>
      </w:r>
    </w:p>
    <w:p w14:paraId="39DCA81C" w14:textId="0FA14EDA" w:rsidR="00886EBA" w:rsidRDefault="00886EBA"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i/>
          <w:sz w:val="24"/>
          <w:szCs w:val="24"/>
          <w:lang w:val="es-ES" w:eastAsia="es-ES"/>
        </w:rPr>
      </w:pPr>
      <w:r w:rsidRPr="00886EBA">
        <w:rPr>
          <w:rFonts w:ascii="Palatino Linotype" w:eastAsia="Times New Roman" w:hAnsi="Palatino Linotype"/>
          <w:i/>
          <w:sz w:val="24"/>
          <w:szCs w:val="24"/>
          <w:lang w:eastAsia="es-ES"/>
        </w:rPr>
        <w:t>V. Los tribunales administrativos.</w:t>
      </w:r>
    </w:p>
    <w:p w14:paraId="23E76471" w14:textId="77777777" w:rsidR="00886EBA" w:rsidRDefault="00886EBA"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i/>
          <w:sz w:val="24"/>
          <w:szCs w:val="24"/>
          <w:lang w:val="es-ES" w:eastAsia="es-ES"/>
        </w:rPr>
      </w:pPr>
    </w:p>
    <w:p w14:paraId="34353D7A" w14:textId="77777777"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r w:rsidRPr="00F851FD">
        <w:rPr>
          <w:rFonts w:ascii="Palatino Linotype" w:eastAsia="Times New Roman" w:hAnsi="Palatino Linotype"/>
          <w:b/>
          <w:i/>
          <w:sz w:val="24"/>
          <w:szCs w:val="24"/>
          <w:lang w:eastAsia="es-ES"/>
        </w:rPr>
        <w:t xml:space="preserve">Artículo 22.- </w:t>
      </w:r>
      <w:r w:rsidRPr="00F851FD">
        <w:rPr>
          <w:rFonts w:ascii="Palatino Linotype" w:eastAsia="Times New Roman" w:hAnsi="Palatino Linotype"/>
          <w:bCs/>
          <w:i/>
          <w:sz w:val="24"/>
          <w:szCs w:val="24"/>
          <w:lang w:eastAsia="es-ES"/>
        </w:rPr>
        <w:t xml:space="preserve">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60C05289" w14:textId="77777777"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p>
    <w:p w14:paraId="0C854DBA" w14:textId="77777777"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r w:rsidRPr="00F851FD">
        <w:rPr>
          <w:rFonts w:ascii="Palatino Linotype" w:eastAsia="Times New Roman" w:hAnsi="Palatino Linotype"/>
          <w:bCs/>
          <w:i/>
          <w:sz w:val="24"/>
          <w:szCs w:val="24"/>
          <w:lang w:eastAsia="es-ES"/>
        </w:rPr>
        <w:t xml:space="preserve">En la Secretaría, en cada entidad, tribunal administrativo y ayuntamiento se constituirá un comité de adquisiciones y servicios. </w:t>
      </w:r>
    </w:p>
    <w:p w14:paraId="3003BB53" w14:textId="77777777"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p>
    <w:p w14:paraId="26958AC3" w14:textId="1A363B64"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
          <w:i/>
          <w:sz w:val="24"/>
          <w:szCs w:val="24"/>
          <w:lang w:eastAsia="es-ES"/>
        </w:rPr>
      </w:pPr>
      <w:r w:rsidRPr="00F851FD">
        <w:rPr>
          <w:rFonts w:ascii="Palatino Linotype" w:eastAsia="Times New Roman" w:hAnsi="Palatino Linotype"/>
          <w:bCs/>
          <w:i/>
          <w:sz w:val="24"/>
          <w:szCs w:val="24"/>
          <w:lang w:eastAsia="es-ES"/>
        </w:rPr>
        <w:t xml:space="preserve">La Secretaría, las entidades, los tribunales administrativos y </w:t>
      </w:r>
      <w:r w:rsidRPr="00F851FD">
        <w:rPr>
          <w:rFonts w:ascii="Palatino Linotype" w:eastAsia="Times New Roman" w:hAnsi="Palatino Linotype"/>
          <w:b/>
          <w:i/>
          <w:sz w:val="24"/>
          <w:szCs w:val="24"/>
          <w:lang w:eastAsia="es-ES"/>
        </w:rPr>
        <w:t>los ayuntamientos se auxiliarán de un comité de arrendamientos, adquisiciones de inmuebles y enajenaciones.</w:t>
      </w:r>
    </w:p>
    <w:p w14:paraId="2D9135CF" w14:textId="36CA0ECE"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
          <w:i/>
          <w:sz w:val="24"/>
          <w:szCs w:val="24"/>
          <w:lang w:eastAsia="es-ES"/>
        </w:rPr>
      </w:pPr>
    </w:p>
    <w:p w14:paraId="72ABF3F6" w14:textId="77777777" w:rsidR="00910DB6"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r w:rsidRPr="00F851FD">
        <w:rPr>
          <w:rFonts w:ascii="Palatino Linotype" w:eastAsia="Times New Roman" w:hAnsi="Palatino Linotype"/>
          <w:b/>
          <w:i/>
          <w:sz w:val="24"/>
          <w:szCs w:val="24"/>
          <w:lang w:eastAsia="es-ES"/>
        </w:rPr>
        <w:t xml:space="preserve">Artículo 24.- </w:t>
      </w:r>
      <w:r w:rsidRPr="00F851FD">
        <w:rPr>
          <w:rFonts w:ascii="Palatino Linotype" w:eastAsia="Times New Roman" w:hAnsi="Palatino Linotype"/>
          <w:bCs/>
          <w:i/>
          <w:sz w:val="24"/>
          <w:szCs w:val="24"/>
          <w:lang w:eastAsia="es-ES"/>
        </w:rPr>
        <w:t xml:space="preserve">El comité de arrendamientos, adquisiciones de inmuebles y enajenaciones tendrá las funciones siguientes: </w:t>
      </w:r>
    </w:p>
    <w:p w14:paraId="2B5733AD" w14:textId="77777777" w:rsidR="00910DB6" w:rsidRDefault="00910DB6"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p>
    <w:p w14:paraId="00A6CF0E" w14:textId="49BB23BF" w:rsidR="00F851FD" w:rsidRP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r w:rsidRPr="00F851FD">
        <w:rPr>
          <w:rFonts w:ascii="Palatino Linotype" w:eastAsia="Times New Roman" w:hAnsi="Palatino Linotype"/>
          <w:bCs/>
          <w:i/>
          <w:sz w:val="24"/>
          <w:szCs w:val="24"/>
          <w:lang w:eastAsia="es-ES"/>
        </w:rPr>
        <w:t>I. Dictaminar sobre la procedencia de los casos de excepción al procedimiento de licitación pública, tratándose de adquisición de inmuebles y arrendamientos.</w:t>
      </w:r>
    </w:p>
    <w:p w14:paraId="3D38738B" w14:textId="39B57CD4" w:rsidR="00F851FD" w:rsidRP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p>
    <w:p w14:paraId="699676C8" w14:textId="77777777"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r w:rsidRPr="00F851FD">
        <w:rPr>
          <w:rFonts w:ascii="Palatino Linotype" w:eastAsia="Times New Roman" w:hAnsi="Palatino Linotype"/>
          <w:bCs/>
          <w:i/>
          <w:sz w:val="24"/>
          <w:szCs w:val="24"/>
          <w:lang w:eastAsia="es-ES"/>
        </w:rPr>
        <w:t xml:space="preserve">II. Participar en los procedimientos de licitación, invitación restringida y adjudicación directa, hasta dejarlos en estado de dictar el fallo correspondiente, tratándose de adquisición de inmuebles y arrendamientos. </w:t>
      </w:r>
    </w:p>
    <w:p w14:paraId="60B80925" w14:textId="77777777"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r w:rsidRPr="00F851FD">
        <w:rPr>
          <w:rFonts w:ascii="Palatino Linotype" w:eastAsia="Times New Roman" w:hAnsi="Palatino Linotype"/>
          <w:bCs/>
          <w:i/>
          <w:sz w:val="24"/>
          <w:szCs w:val="24"/>
          <w:lang w:eastAsia="es-ES"/>
        </w:rPr>
        <w:t xml:space="preserve">III. Emitir los dictámenes de adjudicación, tratándose de adquisiciones de inmuebles y arrendamientos. </w:t>
      </w:r>
    </w:p>
    <w:p w14:paraId="33808B77" w14:textId="77777777"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r w:rsidRPr="00F851FD">
        <w:rPr>
          <w:rFonts w:ascii="Palatino Linotype" w:eastAsia="Times New Roman" w:hAnsi="Palatino Linotype"/>
          <w:bCs/>
          <w:i/>
          <w:sz w:val="24"/>
          <w:szCs w:val="24"/>
          <w:lang w:eastAsia="es-ES"/>
        </w:rPr>
        <w:t xml:space="preserve">IV. Participar en los procedimientos de subasta pública, hasta dejarlos en estado de </w:t>
      </w:r>
      <w:r w:rsidRPr="00F851FD">
        <w:rPr>
          <w:rFonts w:ascii="Palatino Linotype" w:eastAsia="Times New Roman" w:hAnsi="Palatino Linotype"/>
          <w:bCs/>
          <w:i/>
          <w:sz w:val="24"/>
          <w:szCs w:val="24"/>
          <w:lang w:eastAsia="es-ES"/>
        </w:rPr>
        <w:lastRenderedPageBreak/>
        <w:t xml:space="preserve">dictar el fallo de adjudicación. </w:t>
      </w:r>
    </w:p>
    <w:p w14:paraId="0D344BCD" w14:textId="77777777"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r w:rsidRPr="00F851FD">
        <w:rPr>
          <w:rFonts w:ascii="Palatino Linotype" w:eastAsia="Times New Roman" w:hAnsi="Palatino Linotype"/>
          <w:bCs/>
          <w:i/>
          <w:sz w:val="24"/>
          <w:szCs w:val="24"/>
          <w:lang w:eastAsia="es-ES"/>
        </w:rPr>
        <w:t xml:space="preserve">V. Las demás que establezca el reglamento de esta Ley. </w:t>
      </w:r>
    </w:p>
    <w:p w14:paraId="5DB69660" w14:textId="77777777"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lang w:eastAsia="es-ES"/>
        </w:rPr>
      </w:pPr>
    </w:p>
    <w:p w14:paraId="6E8D032E" w14:textId="1365B95D" w:rsidR="00F851FD" w:rsidRPr="00F851FD" w:rsidRDefault="00F851FD" w:rsidP="00F851FD">
      <w:pPr>
        <w:widowControl w:val="0"/>
        <w:tabs>
          <w:tab w:val="left" w:pos="1276"/>
        </w:tabs>
        <w:autoSpaceDE w:val="0"/>
        <w:autoSpaceDN w:val="0"/>
        <w:adjustRightInd w:val="0"/>
        <w:spacing w:after="0" w:line="240" w:lineRule="auto"/>
        <w:ind w:left="567" w:right="539"/>
        <w:jc w:val="center"/>
        <w:rPr>
          <w:rFonts w:ascii="Palatino Linotype" w:eastAsia="Times New Roman" w:hAnsi="Palatino Linotype"/>
          <w:b/>
          <w:i/>
          <w:sz w:val="24"/>
          <w:szCs w:val="24"/>
          <w:lang w:eastAsia="es-ES"/>
        </w:rPr>
      </w:pPr>
      <w:r w:rsidRPr="00F851FD">
        <w:rPr>
          <w:rFonts w:ascii="Palatino Linotype" w:eastAsia="Times New Roman" w:hAnsi="Palatino Linotype"/>
          <w:b/>
          <w:i/>
          <w:sz w:val="24"/>
          <w:szCs w:val="24"/>
          <w:lang w:eastAsia="es-ES"/>
        </w:rPr>
        <w:t>DE LAS ENAJENACIONES</w:t>
      </w:r>
    </w:p>
    <w:p w14:paraId="5CC652A7" w14:textId="4084F209"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u w:val="single"/>
          <w:lang w:eastAsia="es-ES"/>
        </w:rPr>
      </w:pPr>
      <w:r w:rsidRPr="00F851FD">
        <w:rPr>
          <w:rFonts w:ascii="Palatino Linotype" w:eastAsia="Times New Roman" w:hAnsi="Palatino Linotype"/>
          <w:bCs/>
          <w:i/>
          <w:sz w:val="24"/>
          <w:szCs w:val="24"/>
          <w:lang w:eastAsia="es-ES"/>
        </w:rPr>
        <w:t xml:space="preserve">Artículo 54.- </w:t>
      </w:r>
      <w:r w:rsidRPr="00F851FD">
        <w:rPr>
          <w:rFonts w:ascii="Palatino Linotype" w:eastAsia="Times New Roman" w:hAnsi="Palatino Linotype"/>
          <w:bCs/>
          <w:i/>
          <w:sz w:val="24"/>
          <w:szCs w:val="24"/>
          <w:u w:val="single"/>
          <w:lang w:eastAsia="es-ES"/>
        </w:rPr>
        <w:t>Las enajenaciones de bienes muebles e inmuebles del Estado y de los municipios se realizarán a través de subasta pública.</w:t>
      </w:r>
    </w:p>
    <w:p w14:paraId="47462786" w14:textId="69671ADD" w:rsidR="00F851FD" w:rsidRDefault="00F851FD" w:rsidP="00886EBA">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bCs/>
          <w:i/>
          <w:sz w:val="24"/>
          <w:szCs w:val="24"/>
          <w:u w:val="single"/>
          <w:lang w:eastAsia="es-ES"/>
        </w:rPr>
      </w:pPr>
    </w:p>
    <w:p w14:paraId="3623D3CD" w14:textId="77777777" w:rsidR="00F851FD" w:rsidRDefault="00F851FD" w:rsidP="00F851FD">
      <w:pPr>
        <w:widowControl w:val="0"/>
        <w:tabs>
          <w:tab w:val="left" w:pos="1276"/>
        </w:tabs>
        <w:autoSpaceDE w:val="0"/>
        <w:autoSpaceDN w:val="0"/>
        <w:adjustRightInd w:val="0"/>
        <w:spacing w:after="0" w:line="240" w:lineRule="auto"/>
        <w:ind w:left="567" w:right="539"/>
        <w:jc w:val="center"/>
        <w:rPr>
          <w:rFonts w:ascii="Palatino Linotype" w:eastAsia="Times New Roman" w:hAnsi="Palatino Linotype"/>
          <w:b/>
          <w:i/>
          <w:sz w:val="24"/>
          <w:szCs w:val="24"/>
          <w:lang w:eastAsia="es-ES"/>
        </w:rPr>
      </w:pPr>
    </w:p>
    <w:p w14:paraId="337E92A9" w14:textId="321A4DB5" w:rsidR="00F851FD" w:rsidRPr="00F851FD" w:rsidRDefault="00F851FD" w:rsidP="00F851FD">
      <w:pPr>
        <w:widowControl w:val="0"/>
        <w:tabs>
          <w:tab w:val="left" w:pos="1276"/>
        </w:tabs>
        <w:autoSpaceDE w:val="0"/>
        <w:autoSpaceDN w:val="0"/>
        <w:adjustRightInd w:val="0"/>
        <w:spacing w:after="0" w:line="240" w:lineRule="auto"/>
        <w:ind w:left="567" w:right="539"/>
        <w:jc w:val="center"/>
        <w:rPr>
          <w:rFonts w:ascii="Palatino Linotype" w:eastAsia="Times New Roman" w:hAnsi="Palatino Linotype"/>
          <w:b/>
          <w:i/>
          <w:sz w:val="24"/>
          <w:szCs w:val="24"/>
          <w:lang w:val="es-ES" w:eastAsia="es-ES"/>
        </w:rPr>
      </w:pPr>
      <w:r w:rsidRPr="00F851FD">
        <w:rPr>
          <w:rFonts w:ascii="Palatino Linotype" w:eastAsia="Times New Roman" w:hAnsi="Palatino Linotype"/>
          <w:b/>
          <w:i/>
          <w:sz w:val="24"/>
          <w:szCs w:val="24"/>
          <w:lang w:eastAsia="es-ES"/>
        </w:rPr>
        <w:t>DE LA SUBASTA PÚBLICA</w:t>
      </w:r>
    </w:p>
    <w:p w14:paraId="333DAC56" w14:textId="77777777" w:rsidR="00B027BA" w:rsidRDefault="00F851FD" w:rsidP="00886EBA">
      <w:pPr>
        <w:spacing w:line="360" w:lineRule="auto"/>
        <w:ind w:left="567" w:right="539"/>
        <w:jc w:val="both"/>
        <w:rPr>
          <w:rFonts w:ascii="Palatino Linotype" w:hAnsi="Palatino Linotype"/>
          <w:bCs/>
          <w:i/>
        </w:rPr>
      </w:pPr>
      <w:r w:rsidRPr="00F851FD">
        <w:rPr>
          <w:rFonts w:ascii="Palatino Linotype" w:hAnsi="Palatino Linotype"/>
          <w:b/>
          <w:i/>
        </w:rPr>
        <w:t xml:space="preserve">Artículo 56.- </w:t>
      </w:r>
      <w:r w:rsidRPr="00B027BA">
        <w:rPr>
          <w:rFonts w:ascii="Palatino Linotype" w:hAnsi="Palatino Linotype"/>
          <w:bCs/>
          <w:i/>
        </w:rPr>
        <w:t xml:space="preserve">En el procedimiento de subasta pública de bienes muebles e inmuebles deberán establecerse los mismos requisitos y condiciones para todos los participantes. </w:t>
      </w:r>
    </w:p>
    <w:p w14:paraId="35390511"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Toda persona que satisfaga los requisitos de la convocatoria y de las bases de la subasta pública tendrá derecho a presentar posturas. La Secretaría, las entidades, los tribunales administrativos y los ayuntamientos proporcionarán a los interesados igual acceso a la información relacionada con la subasta. </w:t>
      </w:r>
    </w:p>
    <w:p w14:paraId="55147393"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Artículo 57.- La Secretaría, las entidades, los tribunales administrativos y los ayuntamientos tendrán a su cargo el trámite de los procedimientos de subasta pública. </w:t>
      </w:r>
    </w:p>
    <w:p w14:paraId="5808D997"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Artículo 58.- Las convocatorias públicas podrán referirse a la celebración de una o más subastas públicas, se publicarán por una sola vez, cuando menos en uno de los diarios de mayor circulación en la capital del Estado y en uno de los diarios de mayor circulación nacional, así como a través del COMPRAMEX y contendrán: </w:t>
      </w:r>
    </w:p>
    <w:p w14:paraId="4A56A570"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I. El </w:t>
      </w:r>
      <w:bookmarkStart w:id="4" w:name="_Hlk93604986"/>
      <w:r w:rsidRPr="00B027BA">
        <w:rPr>
          <w:rFonts w:ascii="Palatino Linotype" w:hAnsi="Palatino Linotype"/>
          <w:bCs/>
          <w:i/>
        </w:rPr>
        <w:t>nombre de la convocante</w:t>
      </w:r>
      <w:bookmarkEnd w:id="4"/>
      <w:r w:rsidRPr="00B027BA">
        <w:rPr>
          <w:rFonts w:ascii="Palatino Linotype" w:hAnsi="Palatino Linotype"/>
          <w:bCs/>
          <w:i/>
        </w:rPr>
        <w:t xml:space="preserve">. </w:t>
      </w:r>
    </w:p>
    <w:p w14:paraId="3CC7F8BA"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II. La descripción genérica de los bienes muebles e inmuebles. </w:t>
      </w:r>
    </w:p>
    <w:p w14:paraId="65F64C25"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III. El valor de los bienes que servirá de base para la subasta. </w:t>
      </w:r>
    </w:p>
    <w:p w14:paraId="46755F7B"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IV. La indicación de los lugares, fechas, horarios y medios electrónicos en los que los interesados podrán obtener las bases de subasta pública, así como su costo y forma de pago. </w:t>
      </w:r>
    </w:p>
    <w:p w14:paraId="7416E9BF"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lastRenderedPageBreak/>
        <w:t xml:space="preserve">V. La fecha, hora y lugar para la celebración de la visita de inspección y de la junta aclaratoria. </w:t>
      </w:r>
    </w:p>
    <w:p w14:paraId="0BCD3E67"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VI. La fecha, hora y lugar de celebración del acto de subasta. </w:t>
      </w:r>
    </w:p>
    <w:p w14:paraId="2E004F22"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VII. La indicación de las personas que estén impedidas a participar, conforme a las disposiciones de esta Ley. </w:t>
      </w:r>
    </w:p>
    <w:p w14:paraId="61671961"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VIII. La garantía que deberá otorgarse para asegurar la seriedad de la postura. </w:t>
      </w:r>
    </w:p>
    <w:p w14:paraId="46EADD19"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Los demás requisitos generales que deberán cumplir los interesados, según las características de los bienes. </w:t>
      </w:r>
    </w:p>
    <w:p w14:paraId="21DD68CE"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Artículo 59.- Las bases de la subasta pública contendrán los requisitos que se establezcan en el reglamento de esta Ley, y se pondrán a la venta a partir del día hábil siguiente al de la última publicación de la convocatoria y hasta un día hábil anterior a la fecha de la visita de inspección de los bienes. </w:t>
      </w:r>
    </w:p>
    <w:p w14:paraId="1A732FFB" w14:textId="77777777" w:rsidR="00B027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Artículo 60.- Para determinar el valor de los inmuebles que servirá de base para la subasta, se tomará en cuenta el avalúo que emita el Instituto de Información e Investigación Geográfica, Estadística y Catastral del Estado de México. </w:t>
      </w:r>
    </w:p>
    <w:p w14:paraId="317F32E1" w14:textId="50047677" w:rsidR="00886EBA" w:rsidRDefault="00F851FD" w:rsidP="00886EBA">
      <w:pPr>
        <w:spacing w:line="360" w:lineRule="auto"/>
        <w:ind w:left="567" w:right="539"/>
        <w:jc w:val="both"/>
        <w:rPr>
          <w:rFonts w:ascii="Palatino Linotype" w:hAnsi="Palatino Linotype"/>
          <w:bCs/>
          <w:i/>
        </w:rPr>
      </w:pPr>
      <w:r w:rsidRPr="00B027BA">
        <w:rPr>
          <w:rFonts w:ascii="Palatino Linotype" w:hAnsi="Palatino Linotype"/>
          <w:bCs/>
          <w:i/>
        </w:rPr>
        <w:t>El valor de los muebles que servirá de base para la subasta se determinará conforme al avalúo que apruebe la convocante, en términos del reglamento de esta Ley</w:t>
      </w:r>
    </w:p>
    <w:p w14:paraId="203CD8CC" w14:textId="1C6FD1E5" w:rsidR="00B027BA" w:rsidRDefault="00B027BA" w:rsidP="00886EBA">
      <w:pPr>
        <w:spacing w:line="360" w:lineRule="auto"/>
        <w:ind w:left="567" w:right="539"/>
        <w:jc w:val="both"/>
        <w:rPr>
          <w:rFonts w:ascii="Palatino Linotype" w:hAnsi="Palatino Linotype"/>
          <w:bCs/>
          <w:i/>
        </w:rPr>
      </w:pPr>
      <w:r w:rsidRPr="00B027BA">
        <w:rPr>
          <w:rFonts w:ascii="Palatino Linotype" w:hAnsi="Palatino Linotype"/>
          <w:bCs/>
          <w:i/>
        </w:rPr>
        <w:t>Artículo 61.- En el procedimiento de subasta pública se observará lo siguiente:</w:t>
      </w:r>
    </w:p>
    <w:p w14:paraId="316B63E2" w14:textId="77777777" w:rsidR="00B027BA" w:rsidRDefault="00B027BA"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I. La presentación, apertura y evaluación de posturas, emisión del dictamen y fallo de adjudicación se realizará en un solo acto. </w:t>
      </w:r>
    </w:p>
    <w:p w14:paraId="7436D914" w14:textId="77777777" w:rsidR="00B027BA" w:rsidRDefault="00B027BA"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II. El comité de arrendamientos, adquisiciones de inmuebles y enajenaciones se declarará en sesión permanente a partir del inicio del acto, hasta comunicar a los interesados el fallo de adjudicación. </w:t>
      </w:r>
    </w:p>
    <w:p w14:paraId="6FEC00EE" w14:textId="77777777" w:rsidR="00B027BA" w:rsidRDefault="00B027BA" w:rsidP="00886EBA">
      <w:pPr>
        <w:spacing w:line="360" w:lineRule="auto"/>
        <w:ind w:left="567" w:right="539"/>
        <w:jc w:val="both"/>
        <w:rPr>
          <w:rFonts w:ascii="Palatino Linotype" w:hAnsi="Palatino Linotype"/>
          <w:bCs/>
          <w:i/>
        </w:rPr>
      </w:pPr>
      <w:r w:rsidRPr="00B027BA">
        <w:rPr>
          <w:rFonts w:ascii="Palatino Linotype" w:hAnsi="Palatino Linotype"/>
          <w:bCs/>
          <w:i/>
        </w:rPr>
        <w:lastRenderedPageBreak/>
        <w:t xml:space="preserve">III. El acto de presentación, apertura y evaluación de posturas, dictamen y fallo, se celebrará dentro del plazo de quince días hábiles siguientes a la última publicación de la convocatoria. </w:t>
      </w:r>
    </w:p>
    <w:p w14:paraId="4FA72129" w14:textId="77777777" w:rsidR="00B027BA" w:rsidRDefault="00B027BA"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IV. Los interesados deberán registrarse el día y la hora fijados para el acto de presentación, apertura y evaluación de posturas, dictamen y fallo. Tratándose de bienes muebles, el registro se realizará simultáneamente con la venta de las bases de la subasta. </w:t>
      </w:r>
    </w:p>
    <w:p w14:paraId="52362BFD" w14:textId="77777777" w:rsidR="00B027BA" w:rsidRDefault="00B027BA"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V. Los participantes, al inicio del acto de presentación, apertura y evaluación de posturas, dictamen y fallo, entregarán a la convocante en sobre cerrado sus posturas. </w:t>
      </w:r>
    </w:p>
    <w:p w14:paraId="283FE9FB" w14:textId="77777777" w:rsidR="00B027BA" w:rsidRDefault="00B027BA"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VI. Las posturas se abrirán y se desecharán las que no cubran los requisitos establecidos en las bases de la subasta pública. </w:t>
      </w:r>
    </w:p>
    <w:p w14:paraId="15CACE33" w14:textId="77777777" w:rsidR="00B027BA" w:rsidRDefault="00B027BA" w:rsidP="00886EBA">
      <w:pPr>
        <w:spacing w:line="360" w:lineRule="auto"/>
        <w:ind w:left="567" w:right="539"/>
        <w:jc w:val="both"/>
        <w:rPr>
          <w:rFonts w:ascii="Palatino Linotype" w:hAnsi="Palatino Linotype"/>
          <w:bCs/>
          <w:i/>
        </w:rPr>
      </w:pPr>
      <w:r w:rsidRPr="00B027BA">
        <w:rPr>
          <w:rFonts w:ascii="Palatino Linotype" w:hAnsi="Palatino Linotype"/>
          <w:bCs/>
          <w:i/>
        </w:rPr>
        <w:t xml:space="preserve">VII. La convocante pasará lista de las personas que hubieren presentado posturas, haciendo saber a los asistentes las que fueron calificadas como legales, así como cuál es la mejor, concediendo plazos sucesivos hasta que la última postura no sea mejorada. </w:t>
      </w:r>
    </w:p>
    <w:p w14:paraId="08D3F771" w14:textId="36FFFE48" w:rsidR="00B027BA" w:rsidRPr="00886EBA" w:rsidRDefault="00B027BA" w:rsidP="00886EBA">
      <w:pPr>
        <w:spacing w:line="360" w:lineRule="auto"/>
        <w:ind w:left="567" w:right="539"/>
        <w:jc w:val="both"/>
        <w:rPr>
          <w:rFonts w:ascii="Palatino Linotype" w:hAnsi="Palatino Linotype"/>
          <w:bCs/>
          <w:i/>
        </w:rPr>
      </w:pPr>
      <w:r w:rsidRPr="00B027BA">
        <w:rPr>
          <w:rFonts w:ascii="Palatino Linotype" w:hAnsi="Palatino Linotype"/>
          <w:bCs/>
          <w:i/>
        </w:rPr>
        <w:t>VIII. La convocante fincará el remate, a favor de quien hubiera hecho la mejor postura.</w:t>
      </w:r>
    </w:p>
    <w:p w14:paraId="5AAD0B9E" w14:textId="77777777" w:rsidR="00B027BA" w:rsidRDefault="00B027BA" w:rsidP="00886EBA">
      <w:pPr>
        <w:spacing w:line="360" w:lineRule="auto"/>
        <w:ind w:right="-28"/>
        <w:jc w:val="both"/>
        <w:rPr>
          <w:rFonts w:ascii="Palatino Linotype" w:hAnsi="Palatino Linotype"/>
          <w:sz w:val="24"/>
        </w:rPr>
      </w:pPr>
    </w:p>
    <w:p w14:paraId="77CFB6A1" w14:textId="08F81F6E" w:rsidR="00886EBA" w:rsidRPr="00886EBA" w:rsidRDefault="00886EBA" w:rsidP="00886EBA">
      <w:pPr>
        <w:spacing w:line="360" w:lineRule="auto"/>
        <w:ind w:right="-28"/>
        <w:jc w:val="both"/>
        <w:rPr>
          <w:rFonts w:ascii="Palatino Linotype" w:hAnsi="Palatino Linotype"/>
          <w:sz w:val="24"/>
        </w:rPr>
      </w:pPr>
      <w:r w:rsidRPr="00886EBA">
        <w:rPr>
          <w:rFonts w:ascii="Palatino Linotype" w:hAnsi="Palatino Linotype"/>
          <w:sz w:val="24"/>
        </w:rPr>
        <w:t xml:space="preserve">Aunado al o anterior, </w:t>
      </w:r>
      <w:r w:rsidR="00B027BA">
        <w:rPr>
          <w:rFonts w:ascii="Palatino Linotype" w:hAnsi="Palatino Linotype"/>
          <w:sz w:val="24"/>
        </w:rPr>
        <w:t>el</w:t>
      </w:r>
      <w:r w:rsidRPr="00886EBA">
        <w:rPr>
          <w:rFonts w:ascii="Palatino Linotype" w:hAnsi="Palatino Linotype"/>
          <w:sz w:val="24"/>
        </w:rPr>
        <w:t xml:space="preserve"> Código Reglamentario </w:t>
      </w:r>
      <w:r w:rsidR="00BB0E34">
        <w:rPr>
          <w:rFonts w:ascii="Palatino Linotype" w:hAnsi="Palatino Linotype"/>
          <w:sz w:val="24"/>
        </w:rPr>
        <w:t>Municipal de Toluca</w:t>
      </w:r>
      <w:r w:rsidRPr="00886EBA">
        <w:rPr>
          <w:rFonts w:ascii="Palatino Linotype" w:hAnsi="Palatino Linotype"/>
          <w:sz w:val="24"/>
        </w:rPr>
        <w:t>, Estado de México, contempla lo siguiente:</w:t>
      </w:r>
    </w:p>
    <w:p w14:paraId="769E36F8" w14:textId="77777777" w:rsidR="00886EBA" w:rsidRPr="00886EBA" w:rsidRDefault="00886EBA" w:rsidP="00886EBA">
      <w:pPr>
        <w:spacing w:line="360" w:lineRule="auto"/>
        <w:ind w:right="-28"/>
        <w:jc w:val="both"/>
        <w:rPr>
          <w:rFonts w:ascii="Palatino Linotype" w:hAnsi="Palatino Linotype"/>
        </w:rPr>
      </w:pPr>
    </w:p>
    <w:p w14:paraId="6C70580A" w14:textId="1F674203" w:rsidR="00886EBA" w:rsidRPr="00886EBA" w:rsidRDefault="00886EBA" w:rsidP="00BB0E34">
      <w:pPr>
        <w:widowControl w:val="0"/>
        <w:tabs>
          <w:tab w:val="left" w:pos="1276"/>
        </w:tabs>
        <w:autoSpaceDE w:val="0"/>
        <w:autoSpaceDN w:val="0"/>
        <w:adjustRightInd w:val="0"/>
        <w:spacing w:after="0" w:line="240" w:lineRule="auto"/>
        <w:ind w:left="567" w:right="539"/>
        <w:jc w:val="center"/>
        <w:rPr>
          <w:rFonts w:ascii="Palatino Linotype" w:eastAsia="Times New Roman" w:hAnsi="Palatino Linotype"/>
          <w:b/>
          <w:i/>
          <w:sz w:val="24"/>
          <w:szCs w:val="24"/>
          <w:lang w:val="es-ES" w:eastAsia="es-ES"/>
        </w:rPr>
      </w:pPr>
      <w:r w:rsidRPr="00886EBA">
        <w:rPr>
          <w:rFonts w:ascii="Palatino Linotype" w:eastAsia="Times New Roman" w:hAnsi="Palatino Linotype"/>
          <w:i/>
          <w:sz w:val="24"/>
          <w:szCs w:val="24"/>
          <w:lang w:val="es-ES" w:eastAsia="es-ES"/>
        </w:rPr>
        <w:t>“</w:t>
      </w:r>
      <w:r w:rsidR="00BB0E34" w:rsidRPr="00BB0E34">
        <w:rPr>
          <w:rFonts w:ascii="Palatino Linotype" w:eastAsia="Times New Roman" w:hAnsi="Palatino Linotype"/>
          <w:b/>
          <w:i/>
          <w:sz w:val="24"/>
          <w:szCs w:val="24"/>
          <w:lang w:eastAsia="es-ES"/>
        </w:rPr>
        <w:t>DE LA DIRECCIÓN GENERAL DE ADMINISTRACIÓN</w:t>
      </w:r>
    </w:p>
    <w:p w14:paraId="2CEE7716" w14:textId="77777777" w:rsidR="00886EBA" w:rsidRPr="00886EBA" w:rsidRDefault="00886EBA" w:rsidP="00886EBA">
      <w:pPr>
        <w:widowControl w:val="0"/>
        <w:tabs>
          <w:tab w:val="left" w:pos="1276"/>
        </w:tabs>
        <w:autoSpaceDE w:val="0"/>
        <w:autoSpaceDN w:val="0"/>
        <w:adjustRightInd w:val="0"/>
        <w:spacing w:after="0" w:line="240" w:lineRule="auto"/>
        <w:ind w:left="567" w:right="539"/>
        <w:jc w:val="center"/>
        <w:rPr>
          <w:rFonts w:ascii="Palatino Linotype" w:eastAsia="Times New Roman" w:hAnsi="Palatino Linotype"/>
          <w:b/>
          <w:i/>
          <w:sz w:val="24"/>
          <w:szCs w:val="24"/>
          <w:lang w:val="es-ES" w:eastAsia="es-ES"/>
        </w:rPr>
      </w:pPr>
    </w:p>
    <w:p w14:paraId="409500C3" w14:textId="637B74B4" w:rsidR="005770B3" w:rsidRDefault="00BB0E34" w:rsidP="00BB0E34">
      <w:pPr>
        <w:pStyle w:val="Sinespaciado"/>
        <w:spacing w:line="360" w:lineRule="auto"/>
        <w:ind w:left="851" w:right="851"/>
        <w:jc w:val="both"/>
        <w:rPr>
          <w:rFonts w:ascii="Palatino Linotype" w:eastAsia="Calibri" w:hAnsi="Palatino Linotype" w:cs="Times New Roman"/>
          <w:bCs/>
          <w:i/>
        </w:rPr>
      </w:pPr>
      <w:r w:rsidRPr="00BB0E34">
        <w:rPr>
          <w:rFonts w:ascii="Palatino Linotype" w:eastAsia="Calibri" w:hAnsi="Palatino Linotype" w:cs="Times New Roman"/>
          <w:b/>
          <w:i/>
        </w:rPr>
        <w:t xml:space="preserve">Artículo 3.43 </w:t>
      </w:r>
      <w:r w:rsidRPr="00BB0E34">
        <w:rPr>
          <w:rFonts w:ascii="Palatino Linotype" w:eastAsia="Calibri" w:hAnsi="Palatino Linotype" w:cs="Times New Roman"/>
          <w:bCs/>
          <w:i/>
        </w:rPr>
        <w:t>La o el titular de la Dirección General de Administración, tiene las siguientes atribuciones:</w:t>
      </w:r>
    </w:p>
    <w:p w14:paraId="1238FDE7" w14:textId="74450344" w:rsidR="00BB0E34" w:rsidRDefault="00BB0E34" w:rsidP="00BB0E34">
      <w:pPr>
        <w:pStyle w:val="Sinespaciado"/>
        <w:spacing w:line="360" w:lineRule="auto"/>
        <w:ind w:left="851" w:right="851"/>
        <w:jc w:val="both"/>
        <w:rPr>
          <w:rFonts w:ascii="Palatino Linotype" w:eastAsia="Calibri" w:hAnsi="Palatino Linotype" w:cs="Times New Roman"/>
          <w:bCs/>
          <w:i/>
        </w:rPr>
      </w:pPr>
      <w:r>
        <w:rPr>
          <w:rFonts w:ascii="Palatino Linotype" w:eastAsia="Calibri" w:hAnsi="Palatino Linotype" w:cs="Times New Roman"/>
          <w:bCs/>
          <w:i/>
        </w:rPr>
        <w:t>(…)</w:t>
      </w:r>
    </w:p>
    <w:p w14:paraId="169B2DAF" w14:textId="1EFB4CC7" w:rsidR="00BB0E34" w:rsidRDefault="00BB0E34" w:rsidP="00BB0E34">
      <w:pPr>
        <w:pStyle w:val="Sinespaciado"/>
        <w:spacing w:line="360" w:lineRule="auto"/>
        <w:ind w:left="851" w:right="851"/>
        <w:jc w:val="both"/>
        <w:rPr>
          <w:rFonts w:ascii="Palatino Linotype" w:eastAsia="Calibri" w:hAnsi="Palatino Linotype" w:cs="Times New Roman"/>
          <w:bCs/>
          <w:i/>
        </w:rPr>
      </w:pPr>
      <w:r w:rsidRPr="00BB0E34">
        <w:rPr>
          <w:rFonts w:ascii="Palatino Linotype" w:eastAsia="Calibri" w:hAnsi="Palatino Linotype" w:cs="Times New Roman"/>
          <w:bCs/>
          <w:i/>
        </w:rPr>
        <w:lastRenderedPageBreak/>
        <w:t>XIII. Presidir los comités de adquisiciones y servicios y de arrendamientos, adquisición de inmuebles y enajenación de bienes, convocar a sus integrantes y desahogar los asuntos que se sometan a consideración del mismo, así como llevar a cabo las funciones que se establecen en la ley y reglamento respectivo;</w:t>
      </w:r>
    </w:p>
    <w:p w14:paraId="29BD3567" w14:textId="4A0E4838" w:rsidR="00BB0E34" w:rsidRDefault="00BB0E34" w:rsidP="00BB0E34">
      <w:pPr>
        <w:pStyle w:val="Sinespaciado"/>
        <w:spacing w:line="360" w:lineRule="auto"/>
        <w:ind w:left="851" w:right="851"/>
        <w:jc w:val="both"/>
        <w:rPr>
          <w:rFonts w:ascii="Palatino Linotype" w:eastAsia="Calibri" w:hAnsi="Palatino Linotype" w:cs="Times New Roman"/>
          <w:bCs/>
          <w:i/>
        </w:rPr>
      </w:pPr>
      <w:r>
        <w:rPr>
          <w:rFonts w:ascii="Palatino Linotype" w:eastAsia="Calibri" w:hAnsi="Palatino Linotype" w:cs="Times New Roman"/>
          <w:bCs/>
          <w:i/>
        </w:rPr>
        <w:t>(…)</w:t>
      </w:r>
    </w:p>
    <w:p w14:paraId="20F57851" w14:textId="75C2CAED" w:rsidR="00BB0E34" w:rsidRDefault="00BB0E34" w:rsidP="00BB0E34">
      <w:pPr>
        <w:pStyle w:val="Sinespaciado"/>
        <w:spacing w:line="360" w:lineRule="auto"/>
        <w:ind w:left="851" w:right="851"/>
        <w:jc w:val="both"/>
        <w:rPr>
          <w:rFonts w:ascii="Palatino Linotype" w:eastAsia="Calibri" w:hAnsi="Palatino Linotype" w:cs="Times New Roman"/>
          <w:bCs/>
          <w:i/>
        </w:rPr>
      </w:pPr>
      <w:r w:rsidRPr="00BB0E34">
        <w:rPr>
          <w:rFonts w:ascii="Palatino Linotype" w:eastAsia="Calibri" w:hAnsi="Palatino Linotype" w:cs="Times New Roman"/>
          <w:bCs/>
          <w:i/>
        </w:rPr>
        <w:t>XV. Establecer los mecanismos necesarios para el control de la administración de los bienes inmuebles propiedad del Ayuntamiento, mantener constantemente actualizados los listados de los inmuebles propiedad del Ayuntamiento, así como los contratos de arrendamiento que se suscriban con particulares. Actualizar los montos en cuestión de rentas de acuerdo a los lineamientos que dictamine la Secretaría de Hacienda;</w:t>
      </w:r>
    </w:p>
    <w:p w14:paraId="70198B20" w14:textId="69EC8269" w:rsidR="00BB0E34" w:rsidRDefault="00BB0E34" w:rsidP="00BB0E34">
      <w:pPr>
        <w:pStyle w:val="Sinespaciado"/>
        <w:spacing w:line="360" w:lineRule="auto"/>
        <w:ind w:left="851" w:right="851"/>
        <w:jc w:val="both"/>
        <w:rPr>
          <w:rFonts w:ascii="Palatino Linotype" w:eastAsia="Calibri" w:hAnsi="Palatino Linotype" w:cs="Times New Roman"/>
          <w:bCs/>
          <w:i/>
        </w:rPr>
      </w:pPr>
    </w:p>
    <w:p w14:paraId="3153F347" w14:textId="60220F13" w:rsidR="00BB0E34" w:rsidRPr="00BB0E34" w:rsidRDefault="00BB0E34" w:rsidP="00BB0E34">
      <w:pPr>
        <w:pStyle w:val="Sinespaciado"/>
        <w:spacing w:line="360" w:lineRule="auto"/>
        <w:ind w:left="851" w:right="851"/>
        <w:jc w:val="center"/>
        <w:rPr>
          <w:rFonts w:ascii="Palatino Linotype" w:eastAsia="Calibri" w:hAnsi="Palatino Linotype" w:cs="Times New Roman"/>
          <w:b/>
          <w:i/>
        </w:rPr>
      </w:pPr>
      <w:r w:rsidRPr="00BB0E34">
        <w:rPr>
          <w:rFonts w:ascii="Palatino Linotype" w:eastAsia="Calibri" w:hAnsi="Palatino Linotype" w:cs="Times New Roman"/>
          <w:b/>
          <w:i/>
        </w:rPr>
        <w:t>DIRECCIÓN DE RECURSOS MATERIALES</w:t>
      </w:r>
    </w:p>
    <w:p w14:paraId="66E916B9" w14:textId="77777777" w:rsidR="00BB0E34" w:rsidRDefault="00BB0E34" w:rsidP="00BB0E34">
      <w:pPr>
        <w:pStyle w:val="Sinespaciado"/>
        <w:spacing w:line="360" w:lineRule="auto"/>
        <w:ind w:left="851" w:right="851"/>
        <w:jc w:val="both"/>
        <w:rPr>
          <w:rFonts w:ascii="Palatino Linotype" w:eastAsia="Calibri" w:hAnsi="Palatino Linotype" w:cs="Times New Roman"/>
          <w:bCs/>
          <w:i/>
        </w:rPr>
      </w:pPr>
      <w:r w:rsidRPr="00BB0E34">
        <w:rPr>
          <w:rFonts w:ascii="Palatino Linotype" w:eastAsia="Calibri" w:hAnsi="Palatino Linotype" w:cs="Times New Roman"/>
          <w:bCs/>
          <w:i/>
        </w:rPr>
        <w:t xml:space="preserve">Artículo 3.46. La o el titular de la Dirección de Recursos Materiales cuenta con las siguientes atribuciones: </w:t>
      </w:r>
    </w:p>
    <w:p w14:paraId="15A9413E" w14:textId="03AEF1B5" w:rsidR="00BB0E34" w:rsidRDefault="00BB0E34" w:rsidP="00BB0E34">
      <w:pPr>
        <w:pStyle w:val="Sinespaciado"/>
        <w:spacing w:line="360" w:lineRule="auto"/>
        <w:ind w:left="851" w:right="851"/>
        <w:jc w:val="both"/>
        <w:rPr>
          <w:rFonts w:ascii="Palatino Linotype" w:eastAsia="Calibri" w:hAnsi="Palatino Linotype" w:cs="Times New Roman"/>
          <w:bCs/>
          <w:i/>
        </w:rPr>
      </w:pPr>
      <w:r w:rsidRPr="00BB0E34">
        <w:rPr>
          <w:rFonts w:ascii="Palatino Linotype" w:eastAsia="Calibri" w:hAnsi="Palatino Linotype" w:cs="Times New Roman"/>
          <w:bCs/>
          <w:i/>
        </w:rPr>
        <w:t>I. Llevar a cabo los procedimientos para la adquisición de los bienes y servicios y el arrendamiento, adquisición y enajenación de inmuebles en estricto apego a las disposiciones legales aplicables;</w:t>
      </w:r>
    </w:p>
    <w:p w14:paraId="697B592F" w14:textId="053D9069" w:rsidR="0025296C" w:rsidRDefault="0025296C" w:rsidP="00BB0E34">
      <w:pPr>
        <w:pStyle w:val="Sinespaciado"/>
        <w:spacing w:line="360" w:lineRule="auto"/>
        <w:ind w:left="851" w:right="851"/>
        <w:jc w:val="both"/>
        <w:rPr>
          <w:rFonts w:ascii="Palatino Linotype" w:eastAsia="Calibri" w:hAnsi="Palatino Linotype" w:cs="Times New Roman"/>
          <w:bCs/>
          <w:i/>
        </w:rPr>
      </w:pPr>
      <w:r>
        <w:rPr>
          <w:rFonts w:ascii="Palatino Linotype" w:eastAsia="Calibri" w:hAnsi="Palatino Linotype" w:cs="Times New Roman"/>
          <w:bCs/>
          <w:i/>
        </w:rPr>
        <w:t>(…)</w:t>
      </w:r>
    </w:p>
    <w:p w14:paraId="25D9AEB0" w14:textId="202618A1" w:rsidR="0025296C" w:rsidRDefault="0025296C" w:rsidP="00BB0E34">
      <w:pPr>
        <w:pStyle w:val="Sinespaciado"/>
        <w:spacing w:line="360" w:lineRule="auto"/>
        <w:ind w:left="851" w:right="851"/>
        <w:jc w:val="both"/>
        <w:rPr>
          <w:rFonts w:ascii="Palatino Linotype" w:eastAsia="Calibri" w:hAnsi="Palatino Linotype" w:cs="Times New Roman"/>
          <w:bCs/>
          <w:i/>
        </w:rPr>
      </w:pPr>
      <w:r w:rsidRPr="0025296C">
        <w:rPr>
          <w:rFonts w:ascii="Palatino Linotype" w:eastAsia="Calibri" w:hAnsi="Palatino Linotype" w:cs="Times New Roman"/>
          <w:bCs/>
          <w:i/>
        </w:rPr>
        <w:t>III. Elaborar los contratos de adquisición de los bienes y servicios y de arrendamiento, adquisición y enajenación de inmuebles de competencia municipal;</w:t>
      </w:r>
    </w:p>
    <w:p w14:paraId="708BAE47" w14:textId="1BF8522C" w:rsidR="0025296C" w:rsidRDefault="0025296C" w:rsidP="00BB0E34">
      <w:pPr>
        <w:pStyle w:val="Sinespaciado"/>
        <w:spacing w:line="360" w:lineRule="auto"/>
        <w:ind w:left="851" w:right="851"/>
        <w:jc w:val="both"/>
        <w:rPr>
          <w:rFonts w:ascii="Palatino Linotype" w:eastAsia="Calibri" w:hAnsi="Palatino Linotype" w:cs="Times New Roman"/>
          <w:bCs/>
          <w:i/>
        </w:rPr>
      </w:pPr>
      <w:r>
        <w:rPr>
          <w:rFonts w:ascii="Palatino Linotype" w:eastAsia="Calibri" w:hAnsi="Palatino Linotype" w:cs="Times New Roman"/>
          <w:bCs/>
          <w:i/>
        </w:rPr>
        <w:t>(…)</w:t>
      </w:r>
    </w:p>
    <w:p w14:paraId="20752619" w14:textId="6E2AA866" w:rsidR="0025296C" w:rsidRDefault="0025296C" w:rsidP="00BB0E34">
      <w:pPr>
        <w:pStyle w:val="Sinespaciado"/>
        <w:spacing w:line="360" w:lineRule="auto"/>
        <w:ind w:left="851" w:right="851"/>
        <w:jc w:val="both"/>
        <w:rPr>
          <w:rFonts w:ascii="Palatino Linotype" w:eastAsia="Calibri" w:hAnsi="Palatino Linotype" w:cs="Times New Roman"/>
          <w:bCs/>
          <w:i/>
        </w:rPr>
      </w:pPr>
      <w:r w:rsidRPr="0025296C">
        <w:rPr>
          <w:rFonts w:ascii="Palatino Linotype" w:eastAsia="Calibri" w:hAnsi="Palatino Linotype" w:cs="Times New Roman"/>
          <w:bCs/>
          <w:i/>
        </w:rPr>
        <w:t>VI. Solicitar las cotizaciones necesarias para realizar los precios de referencia y estudios de mercado, conforme la normatividad respectiva;</w:t>
      </w:r>
    </w:p>
    <w:p w14:paraId="758B3947" w14:textId="79214C1B" w:rsidR="0025296C" w:rsidRDefault="0025296C" w:rsidP="00BB0E34">
      <w:pPr>
        <w:pStyle w:val="Sinespaciado"/>
        <w:spacing w:line="360" w:lineRule="auto"/>
        <w:ind w:left="851" w:right="851"/>
        <w:jc w:val="both"/>
        <w:rPr>
          <w:rFonts w:ascii="Palatino Linotype" w:eastAsia="Calibri" w:hAnsi="Palatino Linotype" w:cs="Times New Roman"/>
          <w:bCs/>
          <w:i/>
        </w:rPr>
      </w:pPr>
    </w:p>
    <w:p w14:paraId="0D7196A2" w14:textId="516F0662" w:rsidR="0025296C" w:rsidRDefault="0025296C" w:rsidP="00BB0E34">
      <w:pPr>
        <w:pStyle w:val="Sinespaciado"/>
        <w:spacing w:line="360" w:lineRule="auto"/>
        <w:ind w:left="851" w:right="851"/>
        <w:jc w:val="both"/>
        <w:rPr>
          <w:rFonts w:ascii="Palatino Linotype" w:eastAsia="Calibri" w:hAnsi="Palatino Linotype" w:cs="Times New Roman"/>
          <w:bCs/>
          <w:i/>
        </w:rPr>
      </w:pPr>
      <w:r w:rsidRPr="0025296C">
        <w:rPr>
          <w:rFonts w:ascii="Palatino Linotype" w:eastAsia="Calibri" w:hAnsi="Palatino Linotype" w:cs="Times New Roman"/>
          <w:bCs/>
          <w:i/>
        </w:rPr>
        <w:lastRenderedPageBreak/>
        <w:t>Artículo 5.18. Se integrarán e instalarán, de manera enunciativa, más no limitativa, los siguientes órganos colegiados:</w:t>
      </w:r>
    </w:p>
    <w:p w14:paraId="2B54B93E" w14:textId="6E1B0611" w:rsidR="0025296C" w:rsidRDefault="0025296C" w:rsidP="00BB0E34">
      <w:pPr>
        <w:pStyle w:val="Sinespaciado"/>
        <w:spacing w:line="360" w:lineRule="auto"/>
        <w:ind w:left="851" w:right="851"/>
        <w:jc w:val="both"/>
        <w:rPr>
          <w:rFonts w:ascii="Palatino Linotype" w:eastAsia="Calibri" w:hAnsi="Palatino Linotype" w:cs="Times New Roman"/>
          <w:bCs/>
          <w:i/>
        </w:rPr>
      </w:pPr>
      <w:r>
        <w:rPr>
          <w:rFonts w:ascii="Palatino Linotype" w:eastAsia="Calibri" w:hAnsi="Palatino Linotype" w:cs="Times New Roman"/>
          <w:bCs/>
          <w:i/>
        </w:rPr>
        <w:t>(…)</w:t>
      </w:r>
    </w:p>
    <w:p w14:paraId="2E3442EE" w14:textId="1807A8EE" w:rsidR="00BB0E34" w:rsidRDefault="0025296C" w:rsidP="00BB0E34">
      <w:pPr>
        <w:pStyle w:val="Sinespaciado"/>
        <w:spacing w:line="360" w:lineRule="auto"/>
        <w:ind w:left="851" w:right="851"/>
        <w:jc w:val="both"/>
        <w:rPr>
          <w:rFonts w:ascii="Palatino Linotype" w:eastAsia="Calibri" w:hAnsi="Palatino Linotype" w:cs="Times New Roman"/>
          <w:bCs/>
          <w:i/>
        </w:rPr>
      </w:pPr>
      <w:r w:rsidRPr="0025296C">
        <w:rPr>
          <w:rFonts w:ascii="Palatino Linotype" w:eastAsia="Calibri" w:hAnsi="Palatino Linotype" w:cs="Times New Roman"/>
          <w:bCs/>
          <w:i/>
        </w:rPr>
        <w:t>VIII. Comité de Arrendamientos y Adquisiciones de Inmuebles y Enajenaciones del Municipio de Toluca;</w:t>
      </w:r>
    </w:p>
    <w:p w14:paraId="78E86AA7" w14:textId="0896ADC8" w:rsidR="0025296C" w:rsidRDefault="0025296C" w:rsidP="00BB0E34">
      <w:pPr>
        <w:pStyle w:val="Sinespaciado"/>
        <w:spacing w:line="360" w:lineRule="auto"/>
        <w:ind w:left="851" w:right="851"/>
        <w:jc w:val="both"/>
        <w:rPr>
          <w:rFonts w:ascii="Palatino Linotype" w:eastAsia="Calibri" w:hAnsi="Palatino Linotype" w:cs="Times New Roman"/>
          <w:bCs/>
          <w:i/>
        </w:rPr>
      </w:pPr>
      <w:r>
        <w:rPr>
          <w:rFonts w:ascii="Palatino Linotype" w:eastAsia="Calibri" w:hAnsi="Palatino Linotype" w:cs="Times New Roman"/>
          <w:bCs/>
          <w:i/>
        </w:rPr>
        <w:t>(…)</w:t>
      </w:r>
    </w:p>
    <w:p w14:paraId="179599BD" w14:textId="023CCA4E" w:rsidR="0025296C" w:rsidRDefault="0025296C" w:rsidP="00BB0E34">
      <w:pPr>
        <w:pStyle w:val="Sinespaciado"/>
        <w:spacing w:line="360" w:lineRule="auto"/>
        <w:ind w:left="851" w:right="851"/>
        <w:jc w:val="both"/>
        <w:rPr>
          <w:rFonts w:ascii="Palatino Linotype" w:eastAsia="Calibri" w:hAnsi="Palatino Linotype" w:cs="Times New Roman"/>
          <w:bCs/>
          <w:i/>
        </w:rPr>
      </w:pPr>
      <w:r w:rsidRPr="0025296C">
        <w:rPr>
          <w:rFonts w:ascii="Palatino Linotype" w:eastAsia="Calibri" w:hAnsi="Palatino Linotype" w:cs="Times New Roman"/>
          <w:bCs/>
          <w:i/>
        </w:rPr>
        <w:t>XI. Comité de Bienes Muebles e Inmuebles; y</w:t>
      </w:r>
    </w:p>
    <w:p w14:paraId="75171E81" w14:textId="77777777" w:rsidR="0025296C" w:rsidRDefault="0025296C" w:rsidP="00BB0E34">
      <w:pPr>
        <w:pStyle w:val="Sinespaciado"/>
        <w:spacing w:line="360" w:lineRule="auto"/>
        <w:ind w:left="851" w:right="851"/>
        <w:jc w:val="both"/>
        <w:rPr>
          <w:rFonts w:ascii="Palatino Linotype" w:eastAsia="Calibri" w:hAnsi="Palatino Linotype" w:cs="Times New Roman"/>
          <w:bCs/>
          <w:i/>
        </w:rPr>
      </w:pPr>
    </w:p>
    <w:p w14:paraId="4C993E7C" w14:textId="3F603BB1" w:rsidR="00910DB6" w:rsidRDefault="00523868" w:rsidP="00523868">
      <w:pPr>
        <w:spacing w:after="0" w:line="360" w:lineRule="auto"/>
        <w:jc w:val="both"/>
        <w:rPr>
          <w:rFonts w:ascii="Palatino Linotype" w:hAnsi="Palatino Linotype"/>
          <w:sz w:val="24"/>
        </w:rPr>
      </w:pPr>
      <w:r w:rsidRPr="00523868">
        <w:rPr>
          <w:rFonts w:ascii="Palatino Linotype" w:hAnsi="Palatino Linotype"/>
          <w:sz w:val="24"/>
        </w:rPr>
        <w:t>De los anteriores preceptos legales, advertimos que</w:t>
      </w:r>
      <w:r w:rsidR="00910DB6">
        <w:rPr>
          <w:rFonts w:ascii="Palatino Linotype" w:hAnsi="Palatino Linotype"/>
          <w:sz w:val="24"/>
        </w:rPr>
        <w:t xml:space="preserve"> la Ley de </w:t>
      </w:r>
      <w:r w:rsidR="00910DB6" w:rsidRPr="00910DB6">
        <w:rPr>
          <w:rFonts w:ascii="Palatino Linotype" w:hAnsi="Palatino Linotype"/>
          <w:sz w:val="24"/>
        </w:rPr>
        <w:t>Contratación Pública del Estado de México y Municipios</w:t>
      </w:r>
      <w:r w:rsidR="00910DB6">
        <w:rPr>
          <w:rFonts w:ascii="Palatino Linotype" w:hAnsi="Palatino Linotype"/>
          <w:sz w:val="24"/>
        </w:rPr>
        <w:t xml:space="preserve"> </w:t>
      </w:r>
      <w:r w:rsidR="00910DB6" w:rsidRPr="00910DB6">
        <w:rPr>
          <w:rFonts w:ascii="Palatino Linotype" w:hAnsi="Palatino Linotype"/>
          <w:sz w:val="24"/>
        </w:rPr>
        <w:t>tiene por objeto regular los actos relativos a la planeación, programación, presupuestación, ejecución y control de la adquisición, enajenación y arrendamiento de bienes, y la contratación de servicios de cualquier naturaleza, que realicen</w:t>
      </w:r>
      <w:r w:rsidR="00910DB6">
        <w:rPr>
          <w:rFonts w:ascii="Palatino Linotype" w:hAnsi="Palatino Linotype"/>
          <w:sz w:val="24"/>
        </w:rPr>
        <w:t xml:space="preserve"> los Ayuntamientos de los Municipios del Estado de México, en ese sentido, cada Ayuntamiento </w:t>
      </w:r>
      <w:r w:rsidR="00910DB6" w:rsidRPr="00910DB6">
        <w:rPr>
          <w:rFonts w:ascii="Palatino Linotype" w:hAnsi="Palatino Linotype"/>
          <w:sz w:val="24"/>
        </w:rPr>
        <w:t>se auxiliarán de un comité de arrendamientos, adquisiciones de inmuebles y enajenaciones</w:t>
      </w:r>
      <w:r w:rsidR="00910DB6">
        <w:rPr>
          <w:rFonts w:ascii="Palatino Linotype" w:hAnsi="Palatino Linotype"/>
          <w:sz w:val="24"/>
        </w:rPr>
        <w:t xml:space="preserve"> que, entre sus funciones se encuentra el p</w:t>
      </w:r>
      <w:r w:rsidR="00910DB6" w:rsidRPr="00910DB6">
        <w:rPr>
          <w:rFonts w:ascii="Palatino Linotype" w:hAnsi="Palatino Linotype"/>
          <w:sz w:val="24"/>
        </w:rPr>
        <w:t>articipar en los procedimientos de subasta pública, hasta dejarlos en estado de dictar el fallo de adjudicación</w:t>
      </w:r>
      <w:r w:rsidR="004C56D0">
        <w:rPr>
          <w:rFonts w:ascii="Palatino Linotype" w:hAnsi="Palatino Linotype"/>
          <w:sz w:val="24"/>
        </w:rPr>
        <w:t xml:space="preserve">, ya que las enajenaciones </w:t>
      </w:r>
      <w:r w:rsidR="004C56D0" w:rsidRPr="004C56D0">
        <w:rPr>
          <w:rFonts w:ascii="Palatino Linotype" w:hAnsi="Palatino Linotype"/>
          <w:sz w:val="24"/>
        </w:rPr>
        <w:t>de bienes inmuebles del Estado y de los municipios se realizarán a través de subasta pública</w:t>
      </w:r>
      <w:r w:rsidR="004C56D0">
        <w:rPr>
          <w:rFonts w:ascii="Palatino Linotype" w:hAnsi="Palatino Linotype"/>
          <w:sz w:val="24"/>
        </w:rPr>
        <w:t>.</w:t>
      </w:r>
    </w:p>
    <w:p w14:paraId="69DEC805" w14:textId="22AC560A" w:rsidR="004C56D0" w:rsidRDefault="004C56D0" w:rsidP="00523868">
      <w:pPr>
        <w:spacing w:after="0" w:line="360" w:lineRule="auto"/>
        <w:jc w:val="both"/>
        <w:rPr>
          <w:rFonts w:ascii="Palatino Linotype" w:hAnsi="Palatino Linotype"/>
          <w:sz w:val="24"/>
        </w:rPr>
      </w:pPr>
    </w:p>
    <w:p w14:paraId="486D7887" w14:textId="3F589F26" w:rsidR="004C56D0" w:rsidRDefault="004C56D0" w:rsidP="00523868">
      <w:pPr>
        <w:spacing w:after="0" w:line="360" w:lineRule="auto"/>
        <w:jc w:val="both"/>
        <w:rPr>
          <w:rFonts w:ascii="Palatino Linotype" w:hAnsi="Palatino Linotype"/>
          <w:sz w:val="24"/>
        </w:rPr>
      </w:pPr>
      <w:r>
        <w:rPr>
          <w:rFonts w:ascii="Palatino Linotype" w:hAnsi="Palatino Linotype"/>
          <w:sz w:val="24"/>
        </w:rPr>
        <w:t>En ese orden de ideas, se establece que para el caso de enajenación de bienes inmuebles por subasta pública</w:t>
      </w:r>
      <w:r w:rsidR="002F32A1">
        <w:rPr>
          <w:rFonts w:ascii="Palatino Linotype" w:hAnsi="Palatino Linotype"/>
          <w:sz w:val="24"/>
        </w:rPr>
        <w:t>, será abierta a t</w:t>
      </w:r>
      <w:r w:rsidR="002F32A1" w:rsidRPr="002F32A1">
        <w:rPr>
          <w:rFonts w:ascii="Palatino Linotype" w:hAnsi="Palatino Linotype"/>
          <w:sz w:val="24"/>
        </w:rPr>
        <w:t>oda persona que satisfaga los requisitos de la convocatoria y de las bases</w:t>
      </w:r>
      <w:r w:rsidR="002F32A1">
        <w:rPr>
          <w:rFonts w:ascii="Palatino Linotype" w:hAnsi="Palatino Linotype"/>
          <w:sz w:val="24"/>
        </w:rPr>
        <w:t xml:space="preserve"> que serán publicadas en  l</w:t>
      </w:r>
      <w:r w:rsidR="002F32A1" w:rsidRPr="002F32A1">
        <w:rPr>
          <w:rFonts w:ascii="Palatino Linotype" w:hAnsi="Palatino Linotype"/>
          <w:sz w:val="24"/>
        </w:rPr>
        <w:t xml:space="preserve">as convocatorias </w:t>
      </w:r>
      <w:r w:rsidR="002F32A1">
        <w:rPr>
          <w:rFonts w:ascii="Palatino Linotype" w:hAnsi="Palatino Linotype"/>
          <w:sz w:val="24"/>
        </w:rPr>
        <w:t>correspondientes</w:t>
      </w:r>
      <w:r w:rsidR="002F32A1" w:rsidRPr="002F32A1">
        <w:rPr>
          <w:rFonts w:ascii="Palatino Linotype" w:hAnsi="Palatino Linotype"/>
          <w:sz w:val="24"/>
        </w:rPr>
        <w:t>, cuando menos en uno de los diarios de mayor circulación en la capital del Estado y en uno de los diarios de mayor circulación nacional, así como a través del COMPRAMEX</w:t>
      </w:r>
      <w:r w:rsidR="002F32A1">
        <w:rPr>
          <w:rFonts w:ascii="Palatino Linotype" w:hAnsi="Palatino Linotype"/>
          <w:sz w:val="24"/>
        </w:rPr>
        <w:t xml:space="preserve">, misma que contendrán el </w:t>
      </w:r>
      <w:r w:rsidR="002F32A1" w:rsidRPr="002F32A1">
        <w:rPr>
          <w:rFonts w:ascii="Palatino Linotype" w:hAnsi="Palatino Linotype"/>
          <w:sz w:val="24"/>
        </w:rPr>
        <w:t>nombre de la convocante</w:t>
      </w:r>
      <w:r w:rsidR="002F32A1">
        <w:rPr>
          <w:rFonts w:ascii="Palatino Linotype" w:hAnsi="Palatino Linotype"/>
          <w:sz w:val="24"/>
        </w:rPr>
        <w:t>; l</w:t>
      </w:r>
      <w:r w:rsidR="002F32A1" w:rsidRPr="002F32A1">
        <w:rPr>
          <w:rFonts w:ascii="Palatino Linotype" w:hAnsi="Palatino Linotype"/>
          <w:sz w:val="24"/>
        </w:rPr>
        <w:t xml:space="preserve">a </w:t>
      </w:r>
      <w:r w:rsidR="002F32A1" w:rsidRPr="002F32A1">
        <w:rPr>
          <w:rFonts w:ascii="Palatino Linotype" w:hAnsi="Palatino Linotype"/>
          <w:sz w:val="24"/>
        </w:rPr>
        <w:lastRenderedPageBreak/>
        <w:t>descripción genérica de los bienes muebles e inmuebles</w:t>
      </w:r>
      <w:r w:rsidR="002F32A1">
        <w:rPr>
          <w:rFonts w:ascii="Palatino Linotype" w:hAnsi="Palatino Linotype"/>
          <w:sz w:val="24"/>
        </w:rPr>
        <w:t xml:space="preserve"> y e</w:t>
      </w:r>
      <w:r w:rsidR="002F32A1" w:rsidRPr="002F32A1">
        <w:rPr>
          <w:rFonts w:ascii="Palatino Linotype" w:hAnsi="Palatino Linotype"/>
          <w:sz w:val="24"/>
        </w:rPr>
        <w:t>l valor de los bienes que servirá de base para la subasta</w:t>
      </w:r>
      <w:r w:rsidR="002F32A1">
        <w:rPr>
          <w:rFonts w:ascii="Palatino Linotype" w:hAnsi="Palatino Linotype"/>
          <w:sz w:val="24"/>
        </w:rPr>
        <w:t>.</w:t>
      </w:r>
    </w:p>
    <w:p w14:paraId="45DE56F6" w14:textId="7DBAF341" w:rsidR="002F32A1" w:rsidRDefault="002F32A1" w:rsidP="00523868">
      <w:pPr>
        <w:spacing w:after="0" w:line="360" w:lineRule="auto"/>
        <w:jc w:val="both"/>
        <w:rPr>
          <w:rFonts w:ascii="Palatino Linotype" w:hAnsi="Palatino Linotype"/>
          <w:sz w:val="24"/>
        </w:rPr>
      </w:pPr>
    </w:p>
    <w:p w14:paraId="0813074B" w14:textId="30EE5837" w:rsidR="002F32A1" w:rsidRDefault="002F32A1" w:rsidP="00523868">
      <w:pPr>
        <w:spacing w:after="0" w:line="360" w:lineRule="auto"/>
        <w:jc w:val="both"/>
        <w:rPr>
          <w:rFonts w:ascii="Palatino Linotype" w:hAnsi="Palatino Linotype"/>
          <w:sz w:val="24"/>
        </w:rPr>
      </w:pPr>
      <w:r>
        <w:rPr>
          <w:rFonts w:ascii="Palatino Linotype" w:hAnsi="Palatino Linotype"/>
          <w:sz w:val="24"/>
        </w:rPr>
        <w:t>Asimismo, se establece que p</w:t>
      </w:r>
      <w:r w:rsidRPr="002F32A1">
        <w:rPr>
          <w:rFonts w:ascii="Palatino Linotype" w:hAnsi="Palatino Linotype"/>
          <w:sz w:val="24"/>
        </w:rPr>
        <w:t>ara determinar el valor de los inmuebles que servirá de base para la subasta, se tomará en cuenta el avalúo que emita el Instituto de Información e Investigación Geográfica, Estadística y Catastral del Estado de México</w:t>
      </w:r>
    </w:p>
    <w:p w14:paraId="27508DCC" w14:textId="77777777" w:rsidR="00910DB6" w:rsidRDefault="00910DB6" w:rsidP="00523868">
      <w:pPr>
        <w:spacing w:after="0" w:line="360" w:lineRule="auto"/>
        <w:jc w:val="both"/>
        <w:rPr>
          <w:rFonts w:ascii="Palatino Linotype" w:hAnsi="Palatino Linotype"/>
          <w:sz w:val="24"/>
        </w:rPr>
      </w:pPr>
    </w:p>
    <w:p w14:paraId="368ADCA9" w14:textId="54A0A54B" w:rsidR="00523868" w:rsidRDefault="002F32A1" w:rsidP="00523868">
      <w:pPr>
        <w:spacing w:after="0" w:line="360" w:lineRule="auto"/>
        <w:jc w:val="both"/>
        <w:rPr>
          <w:rFonts w:ascii="Palatino Linotype" w:hAnsi="Palatino Linotype"/>
          <w:sz w:val="24"/>
        </w:rPr>
      </w:pPr>
      <w:r>
        <w:rPr>
          <w:rFonts w:ascii="Palatino Linotype" w:hAnsi="Palatino Linotype"/>
          <w:sz w:val="24"/>
        </w:rPr>
        <w:t>Continuando con el análisis de los preceptos referidos, advertimos que,</w:t>
      </w:r>
      <w:r w:rsidR="00523868" w:rsidRPr="00523868">
        <w:rPr>
          <w:rFonts w:ascii="Palatino Linotype" w:hAnsi="Palatino Linotype"/>
          <w:sz w:val="24"/>
        </w:rPr>
        <w:t xml:space="preserve"> dentro de la estructura del </w:t>
      </w:r>
      <w:r w:rsidR="00523868" w:rsidRPr="00523868">
        <w:rPr>
          <w:rFonts w:ascii="Palatino Linotype" w:hAnsi="Palatino Linotype"/>
          <w:b/>
          <w:sz w:val="24"/>
        </w:rPr>
        <w:t>Sujeto Obligado</w:t>
      </w:r>
      <w:r w:rsidR="00523868" w:rsidRPr="00523868">
        <w:rPr>
          <w:rFonts w:ascii="Palatino Linotype" w:hAnsi="Palatino Linotype"/>
          <w:sz w:val="24"/>
        </w:rPr>
        <w:t xml:space="preserve">, se encuentra una </w:t>
      </w:r>
      <w:r>
        <w:rPr>
          <w:rFonts w:ascii="Palatino Linotype" w:hAnsi="Palatino Linotype"/>
          <w:sz w:val="24"/>
        </w:rPr>
        <w:t>Dirección General de Administración</w:t>
      </w:r>
      <w:r w:rsidR="00523868" w:rsidRPr="00523868">
        <w:rPr>
          <w:rFonts w:ascii="Palatino Linotype" w:hAnsi="Palatino Linotype"/>
          <w:sz w:val="24"/>
        </w:rPr>
        <w:t xml:space="preserve">, que entre su función principal se señala el </w:t>
      </w:r>
      <w:r w:rsidR="00393FAB">
        <w:rPr>
          <w:rFonts w:ascii="Palatino Linotype" w:hAnsi="Palatino Linotype"/>
          <w:sz w:val="24"/>
        </w:rPr>
        <w:t>p</w:t>
      </w:r>
      <w:r w:rsidR="00393FAB" w:rsidRPr="00393FAB">
        <w:rPr>
          <w:rFonts w:ascii="Palatino Linotype" w:hAnsi="Palatino Linotype"/>
          <w:sz w:val="24"/>
        </w:rPr>
        <w:t>residir los comités de adquisiciones y servicios y de arrendamientos, adquisición de inmuebles y enajenación de bienes</w:t>
      </w:r>
      <w:r w:rsidR="00523868" w:rsidRPr="00523868">
        <w:rPr>
          <w:rFonts w:ascii="Palatino Linotype" w:hAnsi="Palatino Linotype"/>
          <w:sz w:val="24"/>
        </w:rPr>
        <w:t xml:space="preserve">, así como el </w:t>
      </w:r>
      <w:r w:rsidR="00393FAB">
        <w:rPr>
          <w:rFonts w:ascii="Palatino Linotype" w:hAnsi="Palatino Linotype"/>
          <w:sz w:val="24"/>
        </w:rPr>
        <w:t>e</w:t>
      </w:r>
      <w:r w:rsidR="00393FAB" w:rsidRPr="00393FAB">
        <w:rPr>
          <w:rFonts w:ascii="Palatino Linotype" w:hAnsi="Palatino Linotype"/>
          <w:sz w:val="24"/>
        </w:rPr>
        <w:t>stablecer los mecanismos necesarios para el control de la administración de los bienes inmuebles propiedad del Ayuntamiento</w:t>
      </w:r>
      <w:r w:rsidR="00523868" w:rsidRPr="00523868">
        <w:rPr>
          <w:rFonts w:ascii="Palatino Linotype" w:hAnsi="Palatino Linotype"/>
          <w:sz w:val="24"/>
        </w:rPr>
        <w:t>.</w:t>
      </w:r>
    </w:p>
    <w:p w14:paraId="31F21280" w14:textId="2EBC93B0" w:rsidR="00393FAB" w:rsidRDefault="00393FAB" w:rsidP="00523868">
      <w:pPr>
        <w:spacing w:after="0" w:line="360" w:lineRule="auto"/>
        <w:jc w:val="both"/>
        <w:rPr>
          <w:rFonts w:ascii="Palatino Linotype" w:hAnsi="Palatino Linotype"/>
          <w:sz w:val="24"/>
        </w:rPr>
      </w:pPr>
    </w:p>
    <w:p w14:paraId="137AA2F4" w14:textId="74B9D4AB" w:rsidR="00393FAB" w:rsidRPr="00523868" w:rsidRDefault="00393FAB" w:rsidP="00523868">
      <w:pPr>
        <w:spacing w:after="0" w:line="360" w:lineRule="auto"/>
        <w:jc w:val="both"/>
        <w:rPr>
          <w:rFonts w:ascii="Palatino Linotype" w:hAnsi="Palatino Linotype"/>
          <w:sz w:val="24"/>
        </w:rPr>
      </w:pPr>
      <w:r>
        <w:rPr>
          <w:rFonts w:ascii="Palatino Linotype" w:hAnsi="Palatino Linotype"/>
          <w:sz w:val="24"/>
        </w:rPr>
        <w:t>Aunado a lo anterior, se establece que el Sujeto obligado cuenta con una Dirección de Recursos Materiales, quien deberá l</w:t>
      </w:r>
      <w:r w:rsidRPr="00393FAB">
        <w:rPr>
          <w:rFonts w:ascii="Palatino Linotype" w:hAnsi="Palatino Linotype"/>
          <w:sz w:val="24"/>
        </w:rPr>
        <w:t>levar a cabo los procedimientos para la enajenación de inmuebles en estricto apego a las disposiciones legales aplicables</w:t>
      </w:r>
      <w:r>
        <w:rPr>
          <w:rFonts w:ascii="Palatino Linotype" w:hAnsi="Palatino Linotype"/>
          <w:sz w:val="24"/>
        </w:rPr>
        <w:t xml:space="preserve"> y es la Unidad Administrativa encargada de </w:t>
      </w:r>
      <w:r>
        <w:t>s</w:t>
      </w:r>
      <w:r w:rsidRPr="00393FAB">
        <w:rPr>
          <w:rFonts w:ascii="Palatino Linotype" w:hAnsi="Palatino Linotype"/>
          <w:sz w:val="24"/>
        </w:rPr>
        <w:t>olicitar las cotizaciones necesarias para realizar los precios de referencia y estudios de mercado</w:t>
      </w:r>
      <w:r>
        <w:rPr>
          <w:rFonts w:ascii="Palatino Linotype" w:hAnsi="Palatino Linotype"/>
          <w:sz w:val="24"/>
        </w:rPr>
        <w:t>.</w:t>
      </w:r>
    </w:p>
    <w:p w14:paraId="2BD7497E" w14:textId="77777777" w:rsidR="00523868" w:rsidRPr="00523868" w:rsidRDefault="00523868" w:rsidP="00523868">
      <w:pPr>
        <w:spacing w:after="0" w:line="360" w:lineRule="auto"/>
        <w:ind w:right="-93"/>
        <w:jc w:val="both"/>
        <w:rPr>
          <w:rFonts w:ascii="Palatino Linotype" w:hAnsi="Palatino Linotype" w:cs="Tahoma"/>
          <w:bCs/>
          <w:sz w:val="24"/>
          <w:szCs w:val="24"/>
        </w:rPr>
      </w:pPr>
    </w:p>
    <w:p w14:paraId="7D2B3B24" w14:textId="4FB90719" w:rsidR="00523868" w:rsidRPr="00523868" w:rsidRDefault="00523868" w:rsidP="00523868">
      <w:pPr>
        <w:spacing w:after="0" w:line="360" w:lineRule="auto"/>
        <w:ind w:right="-93"/>
        <w:jc w:val="both"/>
        <w:rPr>
          <w:rFonts w:ascii="Palatino Linotype" w:hAnsi="Palatino Linotype" w:cs="Tahoma"/>
          <w:bCs/>
          <w:sz w:val="24"/>
          <w:szCs w:val="24"/>
        </w:rPr>
      </w:pPr>
      <w:r w:rsidRPr="00523868">
        <w:rPr>
          <w:rFonts w:ascii="Palatino Linotype" w:hAnsi="Palatino Linotype" w:cs="Tahoma"/>
          <w:bCs/>
          <w:sz w:val="24"/>
          <w:szCs w:val="24"/>
        </w:rPr>
        <w:t>Así,</w:t>
      </w:r>
      <w:r w:rsidR="000B5654">
        <w:rPr>
          <w:rFonts w:ascii="Palatino Linotype" w:hAnsi="Palatino Linotype" w:cs="Tahoma"/>
          <w:bCs/>
          <w:sz w:val="24"/>
          <w:szCs w:val="24"/>
        </w:rPr>
        <w:t xml:space="preserve"> una vez delimitadas las Dependencias del Sujeto Obligado competentes para conocer de la solicitud de información de mérito,</w:t>
      </w:r>
      <w:r w:rsidRPr="00523868">
        <w:rPr>
          <w:rFonts w:ascii="Palatino Linotype" w:hAnsi="Palatino Linotype" w:cs="Tahoma"/>
          <w:bCs/>
          <w:sz w:val="24"/>
          <w:szCs w:val="24"/>
        </w:rPr>
        <w:t xml:space="preserve"> se considera que los agravios vertidos por el hoy </w:t>
      </w:r>
      <w:r w:rsidRPr="00523868">
        <w:rPr>
          <w:rFonts w:ascii="Palatino Linotype" w:hAnsi="Palatino Linotype" w:cs="Tahoma"/>
          <w:b/>
          <w:bCs/>
          <w:sz w:val="24"/>
          <w:szCs w:val="24"/>
        </w:rPr>
        <w:t>Recurrente</w:t>
      </w:r>
      <w:r w:rsidRPr="00523868">
        <w:rPr>
          <w:rFonts w:ascii="Palatino Linotype" w:hAnsi="Palatino Linotype" w:cs="Tahoma"/>
          <w:bCs/>
          <w:sz w:val="24"/>
          <w:szCs w:val="24"/>
        </w:rPr>
        <w:t xml:space="preserve"> resultan fundados, ya que no se advierte que la búsqueda de información se haya realizado de manera exhaustiva y razonable en los archivos de</w:t>
      </w:r>
      <w:r w:rsidR="000B5654">
        <w:rPr>
          <w:rFonts w:ascii="Palatino Linotype" w:hAnsi="Palatino Linotype" w:cs="Tahoma"/>
          <w:bCs/>
          <w:sz w:val="24"/>
          <w:szCs w:val="24"/>
        </w:rPr>
        <w:t xml:space="preserve"> </w:t>
      </w:r>
      <w:r w:rsidR="000B5654">
        <w:rPr>
          <w:rFonts w:ascii="Palatino Linotype" w:hAnsi="Palatino Linotype" w:cs="Tahoma"/>
          <w:bCs/>
          <w:sz w:val="24"/>
          <w:szCs w:val="24"/>
        </w:rPr>
        <w:lastRenderedPageBreak/>
        <w:t>dichas</w:t>
      </w:r>
      <w:r w:rsidRPr="00523868">
        <w:rPr>
          <w:rFonts w:ascii="Palatino Linotype" w:hAnsi="Palatino Linotype" w:cs="Tahoma"/>
          <w:bCs/>
          <w:sz w:val="24"/>
          <w:szCs w:val="24"/>
        </w:rPr>
        <w:t xml:space="preserve"> área</w:t>
      </w:r>
      <w:r w:rsidR="000B5654">
        <w:rPr>
          <w:rFonts w:ascii="Palatino Linotype" w:hAnsi="Palatino Linotype" w:cs="Tahoma"/>
          <w:bCs/>
          <w:sz w:val="24"/>
          <w:szCs w:val="24"/>
        </w:rPr>
        <w:t>s</w:t>
      </w:r>
      <w:r w:rsidRPr="00523868">
        <w:rPr>
          <w:rFonts w:ascii="Palatino Linotype" w:hAnsi="Palatino Linotype" w:cs="Tahoma"/>
          <w:bCs/>
          <w:sz w:val="24"/>
          <w:szCs w:val="24"/>
        </w:rPr>
        <w:t xml:space="preserve"> competente</w:t>
      </w:r>
      <w:r w:rsidR="000B5654">
        <w:rPr>
          <w:rFonts w:ascii="Palatino Linotype" w:hAnsi="Palatino Linotype" w:cs="Tahoma"/>
          <w:bCs/>
          <w:sz w:val="24"/>
          <w:szCs w:val="24"/>
        </w:rPr>
        <w:t>s</w:t>
      </w:r>
      <w:r w:rsidRPr="00523868">
        <w:rPr>
          <w:rFonts w:ascii="Palatino Linotype" w:hAnsi="Palatino Linotype" w:cs="Tahoma"/>
          <w:bCs/>
          <w:sz w:val="24"/>
          <w:szCs w:val="24"/>
        </w:rPr>
        <w:t xml:space="preserve"> y, por lo tanto, no se tiene la certeza de que el Sujeto Obligado cuente con la información solicitada.</w:t>
      </w:r>
    </w:p>
    <w:p w14:paraId="7E88C225" w14:textId="77777777" w:rsidR="00523868" w:rsidRPr="00523868" w:rsidRDefault="00523868" w:rsidP="00523868">
      <w:pPr>
        <w:spacing w:after="0" w:line="360" w:lineRule="auto"/>
        <w:ind w:right="-93"/>
        <w:jc w:val="both"/>
        <w:rPr>
          <w:rFonts w:ascii="Palatino Linotype" w:hAnsi="Palatino Linotype" w:cs="Tahoma"/>
          <w:bCs/>
          <w:sz w:val="24"/>
          <w:szCs w:val="24"/>
        </w:rPr>
      </w:pPr>
    </w:p>
    <w:p w14:paraId="5F8CFF33" w14:textId="063D8A5A" w:rsidR="00523868" w:rsidRPr="00523868" w:rsidRDefault="00523868" w:rsidP="00523868">
      <w:pPr>
        <w:spacing w:after="0" w:line="360" w:lineRule="auto"/>
        <w:ind w:right="-93"/>
        <w:jc w:val="both"/>
        <w:rPr>
          <w:rFonts w:ascii="Palatino Linotype" w:hAnsi="Palatino Linotype" w:cs="Tahoma"/>
          <w:bCs/>
          <w:sz w:val="24"/>
          <w:szCs w:val="24"/>
        </w:rPr>
      </w:pPr>
      <w:r w:rsidRPr="00523868">
        <w:rPr>
          <w:rFonts w:ascii="Palatino Linotype" w:hAnsi="Palatino Linotype" w:cs="Tahoma"/>
          <w:bCs/>
          <w:sz w:val="24"/>
          <w:szCs w:val="24"/>
        </w:rPr>
        <w:t>Por lo tanto, para dar atención al requerimiento de información, el Sujeto Obligado deberá realizar una nueva búsqueda exhaustiva y razonable en sus archivos, con el fin de entregar la información requerida por el particular correspondiente</w:t>
      </w:r>
      <w:r w:rsidR="0017459D">
        <w:rPr>
          <w:rFonts w:ascii="Palatino Linotype" w:hAnsi="Palatino Linotype" w:cs="Tahoma"/>
          <w:bCs/>
          <w:sz w:val="24"/>
          <w:szCs w:val="24"/>
        </w:rPr>
        <w:t xml:space="preserve"> a</w:t>
      </w:r>
      <w:r w:rsidRPr="00523868">
        <w:rPr>
          <w:rFonts w:ascii="Palatino Linotype" w:hAnsi="Palatino Linotype" w:cs="Tahoma"/>
          <w:bCs/>
          <w:sz w:val="24"/>
          <w:szCs w:val="24"/>
        </w:rPr>
        <w:t xml:space="preserve"> </w:t>
      </w:r>
      <w:r w:rsidR="0017459D" w:rsidRPr="0017459D">
        <w:rPr>
          <w:rFonts w:ascii="Palatino Linotype" w:hAnsi="Palatino Linotype" w:cs="Tahoma"/>
          <w:bCs/>
          <w:sz w:val="24"/>
          <w:szCs w:val="24"/>
        </w:rPr>
        <w:t>los documentos en donde conste el proceso para llevar a cabo la enajenación; monto de salida de la subasta; monto que se espera recaudar y los convocados a la subasta de los 10 bienes inmuebles propiedad municipal referidos en la solicitud de información</w:t>
      </w:r>
      <w:r w:rsidRPr="00523868">
        <w:rPr>
          <w:rFonts w:ascii="Palatino Linotype" w:hAnsi="Palatino Linotype" w:cs="Tahoma"/>
          <w:bCs/>
          <w:sz w:val="24"/>
          <w:szCs w:val="24"/>
        </w:rPr>
        <w:t>.</w:t>
      </w:r>
    </w:p>
    <w:p w14:paraId="3F2727D0" w14:textId="77777777" w:rsidR="00523868" w:rsidRPr="00523868" w:rsidRDefault="00523868" w:rsidP="00523868">
      <w:pPr>
        <w:spacing w:after="0" w:line="360" w:lineRule="auto"/>
        <w:jc w:val="both"/>
        <w:rPr>
          <w:rFonts w:ascii="Palatino Linotype" w:eastAsia="Times New Roman" w:hAnsi="Palatino Linotype" w:cs="Tahoma"/>
          <w:lang w:eastAsia="es-ES"/>
        </w:rPr>
      </w:pPr>
    </w:p>
    <w:p w14:paraId="5C2F19B2" w14:textId="77777777" w:rsidR="00523868" w:rsidRPr="00523868" w:rsidRDefault="00523868" w:rsidP="00523868">
      <w:pPr>
        <w:spacing w:after="0" w:line="360" w:lineRule="auto"/>
        <w:jc w:val="both"/>
        <w:rPr>
          <w:rFonts w:ascii="Palatino Linotype" w:eastAsia="Times New Roman" w:hAnsi="Palatino Linotype" w:cs="Tahoma"/>
          <w:sz w:val="24"/>
          <w:szCs w:val="24"/>
          <w:lang w:eastAsia="es-ES"/>
        </w:rPr>
      </w:pPr>
      <w:r w:rsidRPr="00523868">
        <w:rPr>
          <w:rFonts w:ascii="Palatino Linotype" w:eastAsia="Times New Roman" w:hAnsi="Palatino Linotype" w:cs="Tahoma"/>
          <w:sz w:val="24"/>
          <w:szCs w:val="24"/>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523868">
        <w:rPr>
          <w:rFonts w:ascii="Palatino Linotype" w:eastAsia="Times New Roman" w:hAnsi="Palatino Linotype" w:cs="Tahoma"/>
          <w:sz w:val="24"/>
          <w:szCs w:val="24"/>
          <w:lang w:eastAsia="es-ES"/>
        </w:rPr>
        <w:tab/>
      </w:r>
    </w:p>
    <w:p w14:paraId="15F9B847" w14:textId="77777777" w:rsidR="00523868" w:rsidRPr="00523868" w:rsidRDefault="00523868" w:rsidP="00523868">
      <w:pPr>
        <w:spacing w:after="0" w:line="360" w:lineRule="auto"/>
        <w:jc w:val="both"/>
        <w:rPr>
          <w:rFonts w:ascii="Palatino Linotype" w:hAnsi="Palatino Linotype" w:cs="Tahoma"/>
          <w:bCs/>
        </w:rPr>
      </w:pPr>
    </w:p>
    <w:p w14:paraId="281F43E0" w14:textId="7F702991" w:rsidR="00523868" w:rsidRPr="00523868" w:rsidRDefault="00523868" w:rsidP="00523868">
      <w:pPr>
        <w:spacing w:after="0" w:line="360" w:lineRule="auto"/>
        <w:jc w:val="both"/>
        <w:rPr>
          <w:rFonts w:ascii="Palatino Linotype" w:hAnsi="Palatino Linotype"/>
          <w:sz w:val="24"/>
          <w:szCs w:val="24"/>
        </w:rPr>
      </w:pPr>
      <w:r w:rsidRPr="00523868">
        <w:rPr>
          <w:rFonts w:ascii="Palatino Linotype" w:hAnsi="Palatino Linotype"/>
          <w:sz w:val="24"/>
          <w:szCs w:val="24"/>
          <w:lang w:eastAsia="es-MX"/>
        </w:rPr>
        <w:t xml:space="preserve">Relacionado a lo anterior, debemos destacar que, si bien es cierto, el sujeto Obligado se pronunció mediante respuesta primigenia, a través de </w:t>
      </w:r>
      <w:r w:rsidR="002B3EEA" w:rsidRPr="002B3EEA">
        <w:rPr>
          <w:rFonts w:ascii="Palatino Linotype" w:hAnsi="Palatino Linotype"/>
          <w:sz w:val="24"/>
          <w:szCs w:val="24"/>
          <w:lang w:eastAsia="es-MX"/>
        </w:rPr>
        <w:t>la Secretaría del Ayuntamiento, Secretaría Particular de Presidencia y Tesorería Municipal</w:t>
      </w:r>
      <w:r w:rsidR="002B3EEA">
        <w:rPr>
          <w:rFonts w:ascii="Palatino Linotype" w:hAnsi="Palatino Linotype"/>
          <w:sz w:val="24"/>
          <w:szCs w:val="24"/>
          <w:lang w:eastAsia="es-MX"/>
        </w:rPr>
        <w:t>,</w:t>
      </w:r>
      <w:r w:rsidRPr="00523868">
        <w:rPr>
          <w:rFonts w:ascii="Palatino Linotype" w:eastAsia="Times New Roman" w:hAnsi="Palatino Linotype"/>
          <w:sz w:val="24"/>
          <w:szCs w:val="24"/>
          <w:lang w:eastAsia="es-ES"/>
        </w:rPr>
        <w:t xml:space="preserve"> también lo es que, no existió pronunciamiento de todas las áreas competentes, </w:t>
      </w:r>
      <w:r w:rsidRPr="00523868">
        <w:rPr>
          <w:rFonts w:ascii="Palatino Linotype" w:hAnsi="Palatino Linotype"/>
          <w:sz w:val="24"/>
          <w:szCs w:val="24"/>
        </w:rPr>
        <w:t>ya que se advierte que no existió pronunciamiento alguno de</w:t>
      </w:r>
      <w:r w:rsidR="00D1311E">
        <w:rPr>
          <w:rFonts w:ascii="Palatino Linotype" w:hAnsi="Palatino Linotype"/>
          <w:sz w:val="24"/>
          <w:szCs w:val="24"/>
        </w:rPr>
        <w:t xml:space="preserve"> la</w:t>
      </w:r>
      <w:r w:rsidRPr="00523868">
        <w:rPr>
          <w:rFonts w:ascii="Palatino Linotype" w:hAnsi="Palatino Linotype"/>
          <w:sz w:val="24"/>
          <w:szCs w:val="24"/>
        </w:rPr>
        <w:t xml:space="preserve"> </w:t>
      </w:r>
      <w:r w:rsidR="00D1311E" w:rsidRPr="00D1311E">
        <w:rPr>
          <w:rFonts w:ascii="Palatino Linotype" w:hAnsi="Palatino Linotype"/>
          <w:sz w:val="24"/>
          <w:szCs w:val="24"/>
        </w:rPr>
        <w:t>Dirección General de Administración</w:t>
      </w:r>
      <w:r w:rsidR="00D1311E">
        <w:rPr>
          <w:rFonts w:ascii="Palatino Linotype" w:hAnsi="Palatino Linotype"/>
          <w:sz w:val="24"/>
          <w:szCs w:val="24"/>
        </w:rPr>
        <w:t xml:space="preserve"> ( </w:t>
      </w:r>
      <w:r w:rsidR="00D1311E" w:rsidRPr="00D1311E">
        <w:rPr>
          <w:rFonts w:ascii="Palatino Linotype" w:hAnsi="Palatino Linotype"/>
          <w:i/>
          <w:iCs/>
          <w:sz w:val="24"/>
          <w:szCs w:val="24"/>
        </w:rPr>
        <w:t>quien preside a través de su Titular el comité de adquisiciones y servicios y de arrendamientos, adquisición de inmuebles y enajenación de bienes</w:t>
      </w:r>
      <w:r w:rsidR="00D1311E">
        <w:rPr>
          <w:rFonts w:ascii="Palatino Linotype" w:hAnsi="Palatino Linotype"/>
          <w:sz w:val="24"/>
          <w:szCs w:val="24"/>
        </w:rPr>
        <w:t>)</w:t>
      </w:r>
      <w:r w:rsidRPr="00523868">
        <w:rPr>
          <w:rFonts w:ascii="Palatino Linotype" w:hAnsi="Palatino Linotype"/>
          <w:sz w:val="24"/>
          <w:szCs w:val="24"/>
        </w:rPr>
        <w:t xml:space="preserve">, </w:t>
      </w:r>
      <w:r w:rsidR="00D1311E">
        <w:rPr>
          <w:rFonts w:ascii="Palatino Linotype" w:hAnsi="Palatino Linotype"/>
          <w:sz w:val="24"/>
          <w:szCs w:val="24"/>
        </w:rPr>
        <w:t xml:space="preserve">y </w:t>
      </w:r>
      <w:r w:rsidR="00D1311E" w:rsidRPr="00D1311E">
        <w:rPr>
          <w:rFonts w:ascii="Palatino Linotype" w:hAnsi="Palatino Linotype"/>
          <w:b/>
          <w:bCs/>
          <w:sz w:val="24"/>
          <w:szCs w:val="24"/>
        </w:rPr>
        <w:t>Dirección de Recursos Materiales</w:t>
      </w:r>
      <w:r w:rsidRPr="00523868">
        <w:rPr>
          <w:rFonts w:ascii="Palatino Linotype" w:hAnsi="Palatino Linotype"/>
          <w:sz w:val="24"/>
          <w:szCs w:val="24"/>
        </w:rPr>
        <w:t xml:space="preserve">, por ello, es de precisar que, aunque la solicitud de información y la respuesta estén </w:t>
      </w:r>
      <w:r w:rsidRPr="00523868">
        <w:rPr>
          <w:rFonts w:ascii="Palatino Linotype" w:hAnsi="Palatino Linotype"/>
          <w:sz w:val="24"/>
          <w:szCs w:val="24"/>
        </w:rPr>
        <w:lastRenderedPageBreak/>
        <w:t xml:space="preserve">dirigidas y atendidas por un </w:t>
      </w:r>
      <w:r w:rsidRPr="00523868">
        <w:rPr>
          <w:rFonts w:ascii="Palatino Linotype" w:hAnsi="Palatino Linotype"/>
          <w:b/>
          <w:sz w:val="24"/>
          <w:szCs w:val="24"/>
        </w:rPr>
        <w:t>Sujeto Obligado</w:t>
      </w:r>
      <w:r w:rsidRPr="00523868">
        <w:rPr>
          <w:rFonts w:ascii="Palatino Linotype" w:hAnsi="Palatino Linotype"/>
          <w:sz w:val="24"/>
          <w:szCs w:val="24"/>
        </w:rPr>
        <w:t xml:space="preserve">, lo cierto es que también tienen diversas Unidades Administrativas y cada área cuenta con un </w:t>
      </w:r>
      <w:r w:rsidRPr="00523868">
        <w:rPr>
          <w:rFonts w:ascii="Palatino Linotype" w:hAnsi="Palatino Linotype"/>
          <w:b/>
          <w:sz w:val="24"/>
          <w:szCs w:val="24"/>
        </w:rPr>
        <w:t>Servidor Público Habilitado</w:t>
      </w:r>
      <w:r w:rsidRPr="00523868">
        <w:rPr>
          <w:rFonts w:ascii="Palatino Linotype" w:hAnsi="Palatino Linotype"/>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27BB82C" w14:textId="77777777" w:rsidR="00523868" w:rsidRPr="00523868" w:rsidRDefault="00523868" w:rsidP="00523868">
      <w:pPr>
        <w:spacing w:after="0" w:line="240" w:lineRule="auto"/>
        <w:rPr>
          <w:rFonts w:ascii="Times New Roman" w:eastAsia="Times New Roman" w:hAnsi="Times New Roman"/>
          <w:sz w:val="24"/>
          <w:szCs w:val="24"/>
          <w:lang w:eastAsia="es-ES"/>
        </w:rPr>
      </w:pPr>
    </w:p>
    <w:p w14:paraId="6F555AFB"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b/>
          <w:i/>
          <w:szCs w:val="24"/>
        </w:rPr>
        <w:t>Artículo 3.</w:t>
      </w:r>
      <w:r w:rsidRPr="00523868">
        <w:rPr>
          <w:rFonts w:ascii="Palatino Linotype" w:hAnsi="Palatino Linotype"/>
          <w:i/>
          <w:szCs w:val="24"/>
        </w:rPr>
        <w:t xml:space="preserve"> Para los efectos de la presente Ley se entenderá por:</w:t>
      </w:r>
    </w:p>
    <w:p w14:paraId="389037B6"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i/>
          <w:szCs w:val="24"/>
        </w:rPr>
        <w:t>(…)</w:t>
      </w:r>
    </w:p>
    <w:p w14:paraId="0FB60395"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b/>
          <w:i/>
          <w:szCs w:val="24"/>
        </w:rPr>
        <w:t xml:space="preserve">XXXIX. Servidor público habilitado: </w:t>
      </w:r>
      <w:r w:rsidRPr="00523868">
        <w:rPr>
          <w:rFonts w:ascii="Palatino Linotype" w:hAnsi="Palatino Linotype"/>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4B42306"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i/>
          <w:szCs w:val="24"/>
        </w:rPr>
        <w:t>(…)</w:t>
      </w:r>
    </w:p>
    <w:p w14:paraId="1DB08A5A" w14:textId="77777777" w:rsidR="00523868" w:rsidRPr="00523868" w:rsidRDefault="00523868" w:rsidP="00523868">
      <w:pPr>
        <w:spacing w:after="0" w:line="240" w:lineRule="auto"/>
        <w:ind w:left="851" w:right="851"/>
        <w:rPr>
          <w:rFonts w:ascii="Times New Roman" w:eastAsia="Times New Roman" w:hAnsi="Times New Roman"/>
          <w:sz w:val="24"/>
          <w:szCs w:val="24"/>
          <w:lang w:eastAsia="es-ES"/>
        </w:rPr>
      </w:pPr>
    </w:p>
    <w:p w14:paraId="18B86B20"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b/>
          <w:i/>
          <w:szCs w:val="24"/>
        </w:rPr>
        <w:t>Artículo 58.</w:t>
      </w:r>
      <w:r w:rsidRPr="00523868">
        <w:rPr>
          <w:rFonts w:ascii="Palatino Linotype" w:hAnsi="Palatino Linotype"/>
          <w:i/>
          <w:szCs w:val="24"/>
        </w:rPr>
        <w:t xml:space="preserve"> Los servidores públicos habilitados serán designados por el titular del sujeto obligado a propuesta del responsable de la Unidad de Transparencia.</w:t>
      </w:r>
    </w:p>
    <w:p w14:paraId="75F26896"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p>
    <w:p w14:paraId="6FA34B02"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b/>
          <w:i/>
          <w:szCs w:val="24"/>
        </w:rPr>
        <w:t>Artículo 59.</w:t>
      </w:r>
      <w:r w:rsidRPr="00523868">
        <w:rPr>
          <w:rFonts w:ascii="Palatino Linotype" w:hAnsi="Palatino Linotype"/>
          <w:i/>
          <w:szCs w:val="24"/>
        </w:rPr>
        <w:t xml:space="preserve"> </w:t>
      </w:r>
      <w:r w:rsidRPr="00523868">
        <w:rPr>
          <w:rFonts w:ascii="Palatino Linotype" w:hAnsi="Palatino Linotype"/>
          <w:b/>
          <w:i/>
          <w:szCs w:val="24"/>
          <w:u w:val="single"/>
        </w:rPr>
        <w:t>Los servidores públicos habilitados</w:t>
      </w:r>
      <w:r w:rsidRPr="00523868">
        <w:rPr>
          <w:rFonts w:ascii="Palatino Linotype" w:hAnsi="Palatino Linotype"/>
          <w:i/>
          <w:szCs w:val="24"/>
        </w:rPr>
        <w:t xml:space="preserve"> tendrán las funciones siguientes:</w:t>
      </w:r>
    </w:p>
    <w:p w14:paraId="66818A21" w14:textId="77777777" w:rsidR="00523868" w:rsidRPr="00523868" w:rsidRDefault="00523868" w:rsidP="00523868">
      <w:pPr>
        <w:spacing w:after="0" w:line="240" w:lineRule="auto"/>
        <w:ind w:left="851" w:right="851"/>
        <w:rPr>
          <w:rFonts w:ascii="Times New Roman" w:eastAsia="Times New Roman" w:hAnsi="Times New Roman"/>
          <w:sz w:val="24"/>
          <w:szCs w:val="24"/>
          <w:lang w:eastAsia="es-ES"/>
        </w:rPr>
      </w:pPr>
    </w:p>
    <w:p w14:paraId="129CFE51"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i/>
          <w:szCs w:val="24"/>
        </w:rPr>
        <w:t xml:space="preserve">I. </w:t>
      </w:r>
      <w:r w:rsidRPr="00523868">
        <w:rPr>
          <w:rFonts w:ascii="Palatino Linotype" w:hAnsi="Palatino Linotype"/>
          <w:b/>
          <w:i/>
          <w:szCs w:val="24"/>
          <w:u w:val="single"/>
        </w:rPr>
        <w:t>Localizar la información que le solicite la Unidad de Transparencia</w:t>
      </w:r>
      <w:r w:rsidRPr="00523868">
        <w:rPr>
          <w:rFonts w:ascii="Palatino Linotype" w:hAnsi="Palatino Linotype"/>
          <w:i/>
          <w:szCs w:val="24"/>
        </w:rPr>
        <w:t>;</w:t>
      </w:r>
    </w:p>
    <w:p w14:paraId="2BD5133D"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i/>
          <w:szCs w:val="24"/>
        </w:rPr>
        <w:t xml:space="preserve">II. </w:t>
      </w:r>
      <w:r w:rsidRPr="00523868">
        <w:rPr>
          <w:rFonts w:ascii="Palatino Linotype" w:hAnsi="Palatino Linotype"/>
          <w:b/>
          <w:i/>
          <w:szCs w:val="24"/>
          <w:u w:val="single"/>
        </w:rPr>
        <w:t>Proporcionar la información que obre en los archivos y que le sea solicitada por la Unidad de Transparencia</w:t>
      </w:r>
      <w:r w:rsidRPr="00523868">
        <w:rPr>
          <w:rFonts w:ascii="Palatino Linotype" w:hAnsi="Palatino Linotype"/>
          <w:i/>
          <w:szCs w:val="24"/>
        </w:rPr>
        <w:t>;</w:t>
      </w:r>
    </w:p>
    <w:p w14:paraId="284FCC46"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i/>
          <w:szCs w:val="24"/>
        </w:rPr>
        <w:t>III. Apoyar a la Unidad de Transparencia en lo que esta le solicite para el cumplimiento de sus funciones;</w:t>
      </w:r>
    </w:p>
    <w:p w14:paraId="185C6D5A"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i/>
          <w:szCs w:val="24"/>
        </w:rPr>
        <w:t>IV. Proporcionar a la Unidad de Transparencia, las modificaciones a la información pública de oficio que obre en su poder;</w:t>
      </w:r>
    </w:p>
    <w:p w14:paraId="2CDBD9F5"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14:paraId="094551B1"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i/>
          <w:szCs w:val="24"/>
        </w:rPr>
        <w:lastRenderedPageBreak/>
        <w:t>VI. Verificar, una vez analizado el contenido de la información, que no se encuentre en los supuestos de información clasificada; y</w:t>
      </w:r>
    </w:p>
    <w:p w14:paraId="435BA3EE" w14:textId="77777777" w:rsidR="00523868" w:rsidRPr="00523868" w:rsidRDefault="00523868" w:rsidP="00523868">
      <w:pPr>
        <w:autoSpaceDE w:val="0"/>
        <w:autoSpaceDN w:val="0"/>
        <w:adjustRightInd w:val="0"/>
        <w:spacing w:after="0" w:line="240" w:lineRule="auto"/>
        <w:ind w:left="851" w:right="851"/>
        <w:jc w:val="both"/>
        <w:rPr>
          <w:rFonts w:ascii="Palatino Linotype" w:hAnsi="Palatino Linotype"/>
          <w:i/>
          <w:szCs w:val="24"/>
        </w:rPr>
      </w:pPr>
      <w:r w:rsidRPr="00523868">
        <w:rPr>
          <w:rFonts w:ascii="Palatino Linotype" w:hAnsi="Palatino Linotype"/>
          <w:i/>
          <w:szCs w:val="24"/>
        </w:rPr>
        <w:t>VII. Dar cuenta a la Unidad de Transparencia del vencimiento de los plazos de reserva.</w:t>
      </w:r>
    </w:p>
    <w:p w14:paraId="2DACB6E1" w14:textId="77777777" w:rsidR="00523868" w:rsidRPr="00523868" w:rsidRDefault="00523868" w:rsidP="00523868">
      <w:pPr>
        <w:spacing w:before="240" w:after="240" w:line="240" w:lineRule="auto"/>
        <w:ind w:left="851" w:right="851"/>
        <w:jc w:val="both"/>
        <w:rPr>
          <w:rFonts w:ascii="Palatino Linotype" w:eastAsia="Times New Roman" w:hAnsi="Palatino Linotype"/>
          <w:sz w:val="24"/>
          <w:lang w:eastAsia="es-MX"/>
        </w:rPr>
      </w:pPr>
    </w:p>
    <w:p w14:paraId="55F0B246" w14:textId="77777777" w:rsidR="00523868" w:rsidRPr="00523868" w:rsidRDefault="00523868" w:rsidP="00523868">
      <w:pPr>
        <w:spacing w:before="240" w:after="240" w:line="360" w:lineRule="auto"/>
        <w:jc w:val="both"/>
        <w:rPr>
          <w:rFonts w:ascii="Palatino Linotype" w:eastAsia="Times New Roman" w:hAnsi="Palatino Linotype"/>
          <w:sz w:val="24"/>
          <w:lang w:eastAsia="es-MX"/>
        </w:rPr>
      </w:pPr>
      <w:r w:rsidRPr="00523868">
        <w:rPr>
          <w:rFonts w:ascii="Palatino Linotype" w:eastAsia="Times New Roman" w:hAnsi="Palatino Linotype"/>
          <w:sz w:val="24"/>
          <w:lang w:eastAsia="es-MX"/>
        </w:rPr>
        <w:t>En otras palabras, cumplió parcialmente con lo que, para tal efecto, dispone el artículo 162 de la Ley de Transparencia y Acceso a la Información Pública del Estado de México y Municipios, que índica:</w:t>
      </w:r>
    </w:p>
    <w:p w14:paraId="0DF40DC9" w14:textId="77777777" w:rsidR="00523868" w:rsidRPr="00523868" w:rsidRDefault="00523868" w:rsidP="00523868">
      <w:pPr>
        <w:spacing w:after="0" w:line="240" w:lineRule="auto"/>
        <w:rPr>
          <w:rFonts w:ascii="Times New Roman" w:eastAsia="Times New Roman" w:hAnsi="Times New Roman"/>
          <w:sz w:val="24"/>
          <w:szCs w:val="24"/>
          <w:lang w:eastAsia="es-ES"/>
        </w:rPr>
      </w:pPr>
    </w:p>
    <w:p w14:paraId="66C19024" w14:textId="77777777" w:rsidR="00523868" w:rsidRPr="00523868" w:rsidRDefault="00523868" w:rsidP="00523868">
      <w:pPr>
        <w:spacing w:after="0" w:line="240" w:lineRule="auto"/>
        <w:ind w:left="851" w:right="851"/>
        <w:jc w:val="both"/>
        <w:rPr>
          <w:rFonts w:ascii="Palatino Linotype" w:eastAsia="Times New Roman" w:hAnsi="Palatino Linotype"/>
          <w:i/>
          <w:lang w:eastAsia="es-MX"/>
        </w:rPr>
      </w:pPr>
      <w:r w:rsidRPr="00523868">
        <w:rPr>
          <w:rFonts w:ascii="Palatino Linotype" w:eastAsia="Times New Roman" w:hAnsi="Palatino Linotype"/>
          <w:i/>
          <w:lang w:eastAsia="es-MX"/>
        </w:rPr>
        <w:t>“</w:t>
      </w:r>
      <w:r w:rsidRPr="00523868">
        <w:rPr>
          <w:rFonts w:ascii="Palatino Linotype" w:eastAsia="Times New Roman" w:hAnsi="Palatino Linotype"/>
          <w:b/>
          <w:bCs/>
          <w:i/>
          <w:lang w:eastAsia="es-MX"/>
        </w:rPr>
        <w:t xml:space="preserve">Artículo 162. </w:t>
      </w:r>
      <w:r w:rsidRPr="00523868">
        <w:rPr>
          <w:rFonts w:ascii="Palatino Linotype" w:eastAsia="Times New Roman" w:hAnsi="Palatino Linotype"/>
          <w:i/>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23868">
        <w:rPr>
          <w:rFonts w:ascii="Palatino Linotype" w:eastAsia="Times New Roman" w:hAnsi="Palatino Linotype"/>
          <w:i/>
          <w:lang w:eastAsia="es-MX"/>
        </w:rPr>
        <w:t>”</w:t>
      </w:r>
    </w:p>
    <w:p w14:paraId="2AC390CB" w14:textId="77777777" w:rsidR="00523868" w:rsidRPr="00523868" w:rsidRDefault="00523868" w:rsidP="00523868">
      <w:pPr>
        <w:spacing w:before="240" w:after="240" w:line="240" w:lineRule="auto"/>
        <w:ind w:left="851" w:right="851"/>
        <w:jc w:val="right"/>
        <w:rPr>
          <w:rFonts w:ascii="Palatino Linotype" w:eastAsia="Times New Roman" w:hAnsi="Palatino Linotype"/>
          <w:b/>
          <w:i/>
          <w:lang w:eastAsia="es-MX"/>
        </w:rPr>
      </w:pPr>
      <w:r w:rsidRPr="00523868">
        <w:rPr>
          <w:rFonts w:ascii="Palatino Linotype" w:eastAsia="Times New Roman" w:hAnsi="Palatino Linotype"/>
          <w:b/>
          <w:i/>
          <w:lang w:eastAsia="es-MX"/>
        </w:rPr>
        <w:t xml:space="preserve"> [Énfasis añadido]</w:t>
      </w:r>
    </w:p>
    <w:p w14:paraId="2B967BD0" w14:textId="77777777" w:rsidR="00523868" w:rsidRPr="00523868" w:rsidRDefault="00523868" w:rsidP="00523868">
      <w:pPr>
        <w:spacing w:after="0" w:line="240" w:lineRule="auto"/>
        <w:rPr>
          <w:rFonts w:ascii="Times New Roman" w:eastAsia="Times New Roman" w:hAnsi="Times New Roman"/>
          <w:sz w:val="24"/>
          <w:szCs w:val="24"/>
          <w:lang w:eastAsia="es-ES"/>
        </w:rPr>
      </w:pPr>
    </w:p>
    <w:p w14:paraId="471899A7" w14:textId="77777777" w:rsidR="00523868" w:rsidRPr="00523868" w:rsidRDefault="00523868" w:rsidP="00523868">
      <w:pPr>
        <w:spacing w:after="0" w:line="360" w:lineRule="auto"/>
        <w:jc w:val="both"/>
        <w:rPr>
          <w:rFonts w:ascii="Palatino Linotype" w:hAnsi="Palatino Linotype"/>
          <w:bCs/>
          <w:sz w:val="24"/>
          <w:szCs w:val="24"/>
        </w:rPr>
      </w:pPr>
      <w:r w:rsidRPr="00523868">
        <w:rPr>
          <w:rFonts w:ascii="Palatino Linotype" w:hAnsi="Palatino Linotype"/>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15CB7343" w14:textId="77777777" w:rsidR="00523868" w:rsidRPr="00523868" w:rsidRDefault="00523868" w:rsidP="00523868">
      <w:pPr>
        <w:spacing w:after="0" w:line="360" w:lineRule="auto"/>
        <w:jc w:val="both"/>
        <w:rPr>
          <w:rFonts w:ascii="Palatino Linotype" w:hAnsi="Palatino Linotype"/>
          <w:bCs/>
          <w:sz w:val="24"/>
          <w:szCs w:val="24"/>
        </w:rPr>
      </w:pPr>
    </w:p>
    <w:p w14:paraId="391191C7" w14:textId="67B946F6" w:rsidR="00523868" w:rsidRPr="00523868" w:rsidRDefault="00523868" w:rsidP="00523868">
      <w:pPr>
        <w:spacing w:after="0" w:line="360" w:lineRule="auto"/>
        <w:jc w:val="both"/>
        <w:rPr>
          <w:rFonts w:ascii="Palatino Linotype" w:hAnsi="Palatino Linotype"/>
          <w:bCs/>
          <w:sz w:val="24"/>
          <w:szCs w:val="24"/>
        </w:rPr>
      </w:pPr>
      <w:r w:rsidRPr="00523868">
        <w:rPr>
          <w:rFonts w:ascii="Palatino Linotype" w:hAnsi="Palatino Linotype"/>
          <w:bCs/>
          <w:sz w:val="24"/>
          <w:szCs w:val="24"/>
        </w:rPr>
        <w:t xml:space="preserve">Cabe precisar que </w:t>
      </w:r>
      <w:r w:rsidRPr="00523868">
        <w:rPr>
          <w:rFonts w:ascii="Palatino Linotype" w:hAnsi="Palatino Linotype"/>
          <w:bCs/>
          <w:sz w:val="24"/>
          <w:szCs w:val="24"/>
          <w:u w:val="single"/>
        </w:rPr>
        <w:t xml:space="preserve">no basta con que </w:t>
      </w:r>
      <w:r w:rsidRPr="00523868">
        <w:rPr>
          <w:rFonts w:ascii="Palatino Linotype" w:hAnsi="Palatino Linotype"/>
          <w:b/>
          <w:bCs/>
          <w:sz w:val="24"/>
          <w:szCs w:val="24"/>
          <w:u w:val="single"/>
        </w:rPr>
        <w:t>el Sujeto Obligado</w:t>
      </w:r>
      <w:r w:rsidRPr="00523868">
        <w:rPr>
          <w:rFonts w:ascii="Palatino Linotype" w:hAnsi="Palatino Linotype"/>
          <w:bCs/>
          <w:sz w:val="24"/>
          <w:szCs w:val="24"/>
          <w:u w:val="single"/>
        </w:rPr>
        <w:t xml:space="preserve"> únicamente remita la respuesta formulada por cada servidor público habilitado,</w:t>
      </w:r>
      <w:r w:rsidRPr="00523868">
        <w:rPr>
          <w:rFonts w:ascii="Palatino Linotype" w:hAnsi="Palatino Linotype"/>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Pr="00523868">
        <w:rPr>
          <w:rFonts w:ascii="Palatino Linotype" w:hAnsi="Palatino Linotype"/>
          <w:b/>
          <w:bCs/>
          <w:sz w:val="24"/>
          <w:szCs w:val="24"/>
        </w:rPr>
        <w:t>el Sujeto Obligado</w:t>
      </w:r>
      <w:r w:rsidRPr="00523868">
        <w:rPr>
          <w:rFonts w:ascii="Palatino Linotype" w:hAnsi="Palatino Linotype"/>
          <w:bCs/>
          <w:sz w:val="24"/>
          <w:szCs w:val="24"/>
        </w:rPr>
        <w:t xml:space="preserve"> en el presente asunto es </w:t>
      </w:r>
      <w:r w:rsidR="00C20C19">
        <w:rPr>
          <w:rFonts w:ascii="Palatino Linotype" w:hAnsi="Palatino Linotype"/>
          <w:bCs/>
          <w:sz w:val="24"/>
          <w:szCs w:val="24"/>
        </w:rPr>
        <w:t>el Ayuntamiento de Toluca</w:t>
      </w:r>
      <w:r w:rsidRPr="00523868">
        <w:rPr>
          <w:rFonts w:ascii="Palatino Linotype" w:hAnsi="Palatino Linotype"/>
          <w:bCs/>
          <w:sz w:val="24"/>
          <w:szCs w:val="24"/>
        </w:rPr>
        <w:t xml:space="preserve"> </w:t>
      </w:r>
      <w:r w:rsidRPr="00523868">
        <w:rPr>
          <w:rFonts w:ascii="Palatino Linotype" w:hAnsi="Palatino Linotype"/>
          <w:bCs/>
          <w:sz w:val="24"/>
          <w:szCs w:val="24"/>
        </w:rPr>
        <w:lastRenderedPageBreak/>
        <w:t xml:space="preserve">en su conjunto, incluyendo </w:t>
      </w:r>
      <w:r w:rsidRPr="00523868">
        <w:rPr>
          <w:rFonts w:ascii="Palatino Linotype" w:hAnsi="Palatino Linotype"/>
          <w:b/>
          <w:bCs/>
          <w:sz w:val="24"/>
          <w:szCs w:val="24"/>
          <w:u w:val="single"/>
        </w:rPr>
        <w:t>todas y cada una de las áreas que lo conforman</w:t>
      </w:r>
      <w:r w:rsidRPr="00523868">
        <w:rPr>
          <w:rFonts w:ascii="Palatino Linotype" w:hAnsi="Palatino Linotype"/>
          <w:bCs/>
          <w:sz w:val="24"/>
          <w:szCs w:val="24"/>
        </w:rPr>
        <w:t xml:space="preserve"> y por supuesto en donde pudiera obrar la información que se solicita.</w:t>
      </w:r>
    </w:p>
    <w:p w14:paraId="72126139" w14:textId="77777777" w:rsidR="00523868" w:rsidRPr="00523868" w:rsidRDefault="00523868" w:rsidP="00523868"/>
    <w:p w14:paraId="4628B10E" w14:textId="77777777" w:rsidR="00523868" w:rsidRPr="00523868" w:rsidRDefault="00523868" w:rsidP="00523868">
      <w:pPr>
        <w:spacing w:after="0" w:line="360" w:lineRule="auto"/>
        <w:jc w:val="both"/>
        <w:rPr>
          <w:rFonts w:ascii="Palatino Linotype" w:hAnsi="Palatino Linotype"/>
          <w:sz w:val="24"/>
          <w:szCs w:val="24"/>
        </w:rPr>
      </w:pPr>
      <w:r w:rsidRPr="00523868">
        <w:rPr>
          <w:rFonts w:ascii="Palatino Linotype" w:hAnsi="Palatino Linotype"/>
          <w:bCs/>
          <w:sz w:val="24"/>
          <w:szCs w:val="24"/>
        </w:rPr>
        <w:t xml:space="preserve">Por lo que una vez hecha la búsqueda exhaustiva y razonable de la información en todas y cada una de las áreas que pudieran poseer la información, deberá informar al </w:t>
      </w:r>
      <w:r w:rsidRPr="00523868">
        <w:rPr>
          <w:rFonts w:ascii="Palatino Linotype" w:hAnsi="Palatino Linotype"/>
          <w:b/>
          <w:bCs/>
          <w:sz w:val="24"/>
          <w:szCs w:val="24"/>
        </w:rPr>
        <w:t xml:space="preserve">Recurrente </w:t>
      </w:r>
      <w:r w:rsidRPr="00523868">
        <w:rPr>
          <w:rFonts w:ascii="Palatino Linotype" w:hAnsi="Palatino Linotype"/>
          <w:bCs/>
          <w:sz w:val="24"/>
          <w:szCs w:val="24"/>
        </w:rPr>
        <w:t>el resultado de la misma, junto con las constancias que acrediten la búsqueda precisada.</w:t>
      </w:r>
    </w:p>
    <w:p w14:paraId="221D4EEA" w14:textId="77777777" w:rsidR="00523868" w:rsidRPr="00523868" w:rsidRDefault="00523868" w:rsidP="00523868">
      <w:pPr>
        <w:tabs>
          <w:tab w:val="left" w:pos="7938"/>
        </w:tabs>
        <w:spacing w:after="0" w:line="360" w:lineRule="auto"/>
        <w:jc w:val="both"/>
        <w:rPr>
          <w:rFonts w:ascii="Palatino Linotype" w:eastAsia="Times New Roman" w:hAnsi="Palatino Linotype"/>
          <w:sz w:val="24"/>
          <w:szCs w:val="24"/>
          <w:lang w:val="es-ES" w:eastAsia="es-ES"/>
        </w:rPr>
      </w:pPr>
    </w:p>
    <w:p w14:paraId="59691EE7" w14:textId="77777777" w:rsidR="00523868" w:rsidRPr="00523868" w:rsidRDefault="00523868" w:rsidP="00523868">
      <w:pPr>
        <w:tabs>
          <w:tab w:val="left" w:pos="7938"/>
        </w:tabs>
        <w:spacing w:after="0" w:line="360" w:lineRule="auto"/>
        <w:jc w:val="both"/>
        <w:rPr>
          <w:rFonts w:ascii="Palatino Linotype" w:eastAsia="Times New Roman" w:hAnsi="Palatino Linotype"/>
          <w:sz w:val="24"/>
          <w:szCs w:val="24"/>
          <w:lang w:val="es-ES" w:eastAsia="es-ES"/>
        </w:rPr>
      </w:pPr>
      <w:r w:rsidRPr="00523868">
        <w:rPr>
          <w:rFonts w:ascii="Palatino Linotype" w:eastAsia="Times New Roman" w:hAnsi="Palatino Linotype"/>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028B6951" w14:textId="77777777" w:rsidR="00523868" w:rsidRPr="00523868" w:rsidRDefault="00523868" w:rsidP="00523868">
      <w:pPr>
        <w:spacing w:after="0" w:line="360" w:lineRule="auto"/>
        <w:jc w:val="both"/>
        <w:rPr>
          <w:rFonts w:ascii="Palatino Linotype" w:hAnsi="Palatino Linotype"/>
        </w:rPr>
      </w:pPr>
    </w:p>
    <w:p w14:paraId="3953F635" w14:textId="77777777" w:rsidR="00523868" w:rsidRPr="00523868" w:rsidRDefault="00523868" w:rsidP="00523868">
      <w:pPr>
        <w:spacing w:after="0" w:line="360" w:lineRule="auto"/>
        <w:jc w:val="both"/>
        <w:rPr>
          <w:rFonts w:ascii="Palatino Linotype" w:eastAsia="Times New Roman" w:hAnsi="Palatino Linotype"/>
          <w:sz w:val="24"/>
          <w:szCs w:val="24"/>
          <w:lang w:eastAsia="es-ES"/>
        </w:rPr>
      </w:pPr>
      <w:r w:rsidRPr="00523868">
        <w:rPr>
          <w:rFonts w:ascii="Palatino Linotype" w:eastAsia="Times New Roman" w:hAnsi="Palatino Linotype"/>
          <w:sz w:val="24"/>
          <w:szCs w:val="24"/>
          <w:lang w:eastAsia="es-ES"/>
        </w:rPr>
        <w:t xml:space="preserve">Con base en lo anteriormente expuesto, se acredita de manera fehaciente que </w:t>
      </w:r>
      <w:r w:rsidRPr="00523868">
        <w:rPr>
          <w:rFonts w:ascii="Palatino Linotype" w:eastAsia="Times New Roman" w:hAnsi="Palatino Linotype"/>
          <w:b/>
          <w:sz w:val="24"/>
          <w:szCs w:val="24"/>
          <w:lang w:eastAsia="es-ES"/>
        </w:rPr>
        <w:t xml:space="preserve">el Sujeto Obligado </w:t>
      </w:r>
      <w:r w:rsidRPr="00523868">
        <w:rPr>
          <w:rFonts w:ascii="Palatino Linotype" w:eastAsia="Times New Roman" w:hAnsi="Palatino Linotype"/>
          <w:sz w:val="24"/>
          <w:szCs w:val="24"/>
          <w:lang w:eastAsia="es-ES"/>
        </w:rPr>
        <w:t>no colmó el derecho de acceso a la información pública. Consecuentemente resulta procedente realizar una búsqueda exhaustiva y razonable, a fin de ordenar la entrega, en versión pública de ser procedente, de la siguiente información:</w:t>
      </w:r>
    </w:p>
    <w:p w14:paraId="6519286B" w14:textId="77777777" w:rsidR="00523868" w:rsidRPr="00523868" w:rsidRDefault="00523868" w:rsidP="00523868">
      <w:pPr>
        <w:spacing w:after="0" w:line="360" w:lineRule="auto"/>
        <w:jc w:val="both"/>
        <w:rPr>
          <w:rFonts w:ascii="Palatino Linotype" w:eastAsia="Times New Roman" w:hAnsi="Palatino Linotype"/>
          <w:sz w:val="24"/>
          <w:szCs w:val="24"/>
          <w:lang w:eastAsia="es-ES"/>
        </w:rPr>
      </w:pPr>
    </w:p>
    <w:p w14:paraId="11308790" w14:textId="28020885" w:rsidR="00523868" w:rsidRPr="00523868" w:rsidRDefault="00523868" w:rsidP="00FE389E">
      <w:pPr>
        <w:numPr>
          <w:ilvl w:val="0"/>
          <w:numId w:val="8"/>
        </w:numPr>
        <w:spacing w:after="0" w:line="360" w:lineRule="auto"/>
        <w:jc w:val="both"/>
        <w:rPr>
          <w:rFonts w:ascii="Palatino Linotype" w:eastAsia="Times New Roman" w:hAnsi="Palatino Linotype"/>
          <w:b/>
          <w:i/>
          <w:sz w:val="24"/>
          <w:szCs w:val="24"/>
          <w:lang w:eastAsia="es-ES"/>
        </w:rPr>
      </w:pPr>
      <w:bookmarkStart w:id="5" w:name="_Hlk64557603"/>
      <w:bookmarkStart w:id="6" w:name="_Hlk93606645"/>
      <w:r w:rsidRPr="00523868">
        <w:rPr>
          <w:rFonts w:ascii="Palatino Linotype" w:eastAsia="Times New Roman" w:hAnsi="Palatino Linotype"/>
          <w:b/>
          <w:i/>
          <w:sz w:val="24"/>
          <w:szCs w:val="24"/>
          <w:lang w:eastAsia="es-ES"/>
        </w:rPr>
        <w:t>De</w:t>
      </w:r>
      <w:r w:rsidR="00C35DCC">
        <w:rPr>
          <w:rFonts w:ascii="Palatino Linotype" w:eastAsia="Times New Roman" w:hAnsi="Palatino Linotype"/>
          <w:b/>
          <w:i/>
          <w:sz w:val="24"/>
          <w:szCs w:val="24"/>
          <w:lang w:eastAsia="es-ES"/>
        </w:rPr>
        <w:t xml:space="preserve"> los 10 bienes inmuebles referidos en la solicitud de acceso a la información pública con número de folio</w:t>
      </w:r>
      <w:r w:rsidR="00C35DCC" w:rsidRPr="00C35DCC">
        <w:t xml:space="preserve"> </w:t>
      </w:r>
      <w:r w:rsidR="00C35DCC" w:rsidRPr="00C35DCC">
        <w:rPr>
          <w:rFonts w:ascii="Palatino Linotype" w:eastAsia="Times New Roman" w:hAnsi="Palatino Linotype"/>
          <w:b/>
          <w:i/>
          <w:sz w:val="24"/>
          <w:szCs w:val="24"/>
          <w:lang w:eastAsia="es-ES"/>
        </w:rPr>
        <w:t>01022/TOLUCA/IP/2021</w:t>
      </w:r>
      <w:r w:rsidR="00C35DCC">
        <w:rPr>
          <w:rFonts w:ascii="Palatino Linotype" w:eastAsia="Times New Roman" w:hAnsi="Palatino Linotype"/>
          <w:b/>
          <w:i/>
          <w:sz w:val="24"/>
          <w:szCs w:val="24"/>
          <w:lang w:eastAsia="es-ES"/>
        </w:rPr>
        <w:t xml:space="preserve"> lo siguiente</w:t>
      </w:r>
      <w:r w:rsidRPr="00523868">
        <w:rPr>
          <w:rFonts w:ascii="Palatino Linotype" w:eastAsia="Times New Roman" w:hAnsi="Palatino Linotype"/>
          <w:b/>
          <w:i/>
          <w:sz w:val="24"/>
          <w:szCs w:val="24"/>
          <w:lang w:eastAsia="es-ES"/>
        </w:rPr>
        <w:t xml:space="preserve">: </w:t>
      </w:r>
      <w:bookmarkStart w:id="7" w:name="_Hlk63877495"/>
    </w:p>
    <w:p w14:paraId="0DCD4801" w14:textId="65657753" w:rsidR="00523868" w:rsidRPr="00523868" w:rsidRDefault="00C35DCC" w:rsidP="00FE389E">
      <w:pPr>
        <w:numPr>
          <w:ilvl w:val="1"/>
          <w:numId w:val="8"/>
        </w:numPr>
        <w:spacing w:after="0" w:line="360" w:lineRule="auto"/>
        <w:jc w:val="both"/>
        <w:rPr>
          <w:rFonts w:ascii="Palatino Linotype" w:eastAsia="Times New Roman" w:hAnsi="Palatino Linotype"/>
          <w:b/>
          <w:i/>
          <w:sz w:val="24"/>
          <w:szCs w:val="24"/>
          <w:lang w:eastAsia="es-ES"/>
        </w:rPr>
      </w:pPr>
      <w:r w:rsidRPr="00C35DCC">
        <w:rPr>
          <w:rFonts w:ascii="Palatino Linotype" w:eastAsia="Times New Roman" w:hAnsi="Palatino Linotype"/>
          <w:i/>
          <w:sz w:val="24"/>
          <w:szCs w:val="24"/>
          <w:lang w:eastAsia="es-ES"/>
        </w:rPr>
        <w:t>Ubicación de los 10 predios</w:t>
      </w:r>
      <w:r w:rsidR="00523868" w:rsidRPr="00523868">
        <w:rPr>
          <w:rFonts w:ascii="Palatino Linotype" w:eastAsia="Times New Roman" w:hAnsi="Palatino Linotype"/>
          <w:i/>
          <w:sz w:val="24"/>
          <w:szCs w:val="24"/>
          <w:lang w:eastAsia="es-ES"/>
        </w:rPr>
        <w:t>.</w:t>
      </w:r>
    </w:p>
    <w:p w14:paraId="174FF3AE" w14:textId="576627EA" w:rsidR="00523868" w:rsidRPr="00523868" w:rsidRDefault="00C35DCC" w:rsidP="00FE389E">
      <w:pPr>
        <w:numPr>
          <w:ilvl w:val="1"/>
          <w:numId w:val="8"/>
        </w:numPr>
        <w:spacing w:after="0" w:line="360" w:lineRule="auto"/>
        <w:jc w:val="both"/>
        <w:rPr>
          <w:rFonts w:ascii="Palatino Linotype" w:eastAsia="Times New Roman" w:hAnsi="Palatino Linotype"/>
          <w:b/>
          <w:i/>
          <w:sz w:val="24"/>
          <w:szCs w:val="24"/>
          <w:lang w:eastAsia="es-ES"/>
        </w:rPr>
      </w:pPr>
      <w:r w:rsidRPr="00C35DCC">
        <w:rPr>
          <w:rFonts w:ascii="Palatino Linotype" w:eastAsia="Times New Roman" w:hAnsi="Palatino Linotype"/>
          <w:i/>
          <w:sz w:val="24"/>
          <w:szCs w:val="24"/>
          <w:lang w:eastAsia="es-ES"/>
        </w:rPr>
        <w:t>El pro</w:t>
      </w:r>
      <w:r>
        <w:rPr>
          <w:rFonts w:ascii="Palatino Linotype" w:eastAsia="Times New Roman" w:hAnsi="Palatino Linotype"/>
          <w:i/>
          <w:sz w:val="24"/>
          <w:szCs w:val="24"/>
          <w:lang w:eastAsia="es-ES"/>
        </w:rPr>
        <w:t>cedimiento</w:t>
      </w:r>
      <w:r w:rsidRPr="00C35DCC">
        <w:rPr>
          <w:rFonts w:ascii="Palatino Linotype" w:eastAsia="Times New Roman" w:hAnsi="Palatino Linotype"/>
          <w:i/>
          <w:sz w:val="24"/>
          <w:szCs w:val="24"/>
          <w:lang w:eastAsia="es-ES"/>
        </w:rPr>
        <w:t xml:space="preserve"> para llevar a cabo la enajenación</w:t>
      </w:r>
      <w:r w:rsidR="00523868" w:rsidRPr="00523868">
        <w:rPr>
          <w:rFonts w:ascii="Palatino Linotype" w:eastAsia="Times New Roman" w:hAnsi="Palatino Linotype"/>
          <w:i/>
          <w:sz w:val="24"/>
          <w:szCs w:val="24"/>
          <w:lang w:eastAsia="es-ES"/>
        </w:rPr>
        <w:t>.</w:t>
      </w:r>
    </w:p>
    <w:p w14:paraId="71441F38" w14:textId="71AA5708" w:rsidR="00523868" w:rsidRPr="00523868" w:rsidRDefault="00C35DCC" w:rsidP="00FE389E">
      <w:pPr>
        <w:numPr>
          <w:ilvl w:val="1"/>
          <w:numId w:val="8"/>
        </w:numPr>
        <w:spacing w:after="0" w:line="360" w:lineRule="auto"/>
        <w:jc w:val="both"/>
        <w:rPr>
          <w:rFonts w:ascii="Palatino Linotype" w:eastAsia="Times New Roman" w:hAnsi="Palatino Linotype"/>
          <w:b/>
          <w:i/>
          <w:sz w:val="24"/>
          <w:szCs w:val="24"/>
          <w:lang w:eastAsia="es-ES"/>
        </w:rPr>
      </w:pPr>
      <w:r>
        <w:rPr>
          <w:rFonts w:ascii="Palatino Linotype" w:eastAsia="Times New Roman" w:hAnsi="Palatino Linotype"/>
          <w:i/>
          <w:sz w:val="24"/>
          <w:szCs w:val="24"/>
          <w:lang w:eastAsia="es-ES"/>
        </w:rPr>
        <w:t>Monto de salida de subasta</w:t>
      </w:r>
      <w:r w:rsidR="00523868" w:rsidRPr="00523868">
        <w:rPr>
          <w:rFonts w:ascii="Palatino Linotype" w:eastAsia="Times New Roman" w:hAnsi="Palatino Linotype"/>
          <w:i/>
          <w:sz w:val="24"/>
          <w:szCs w:val="24"/>
          <w:lang w:eastAsia="es-ES"/>
        </w:rPr>
        <w:t>.</w:t>
      </w:r>
    </w:p>
    <w:p w14:paraId="5D6E8C58" w14:textId="2A7A14CE" w:rsidR="00523868" w:rsidRPr="00523868" w:rsidRDefault="00C35DCC" w:rsidP="00FE389E">
      <w:pPr>
        <w:numPr>
          <w:ilvl w:val="1"/>
          <w:numId w:val="8"/>
        </w:numPr>
        <w:spacing w:after="0" w:line="360" w:lineRule="auto"/>
        <w:jc w:val="both"/>
        <w:rPr>
          <w:rFonts w:ascii="Palatino Linotype" w:eastAsia="Times New Roman" w:hAnsi="Palatino Linotype"/>
          <w:b/>
          <w:i/>
          <w:sz w:val="24"/>
          <w:szCs w:val="24"/>
          <w:lang w:eastAsia="es-ES"/>
        </w:rPr>
      </w:pPr>
      <w:r w:rsidRPr="00C35DCC">
        <w:rPr>
          <w:rFonts w:ascii="Palatino Linotype" w:eastAsia="Times New Roman" w:hAnsi="Palatino Linotype"/>
          <w:i/>
          <w:sz w:val="24"/>
          <w:szCs w:val="24"/>
          <w:lang w:eastAsia="es-ES"/>
        </w:rPr>
        <w:lastRenderedPageBreak/>
        <w:t>Monto que se espera recaudar</w:t>
      </w:r>
      <w:r w:rsidR="00523868" w:rsidRPr="00523868">
        <w:rPr>
          <w:rFonts w:ascii="Palatino Linotype" w:eastAsia="Times New Roman" w:hAnsi="Palatino Linotype"/>
          <w:i/>
          <w:sz w:val="24"/>
          <w:szCs w:val="24"/>
          <w:lang w:eastAsia="es-ES"/>
        </w:rPr>
        <w:t>.</w:t>
      </w:r>
    </w:p>
    <w:p w14:paraId="2F4B0BDD" w14:textId="6734F18F" w:rsidR="005770B3" w:rsidRPr="00C35DCC" w:rsidRDefault="00C35DCC" w:rsidP="005770B3">
      <w:pPr>
        <w:numPr>
          <w:ilvl w:val="1"/>
          <w:numId w:val="8"/>
        </w:numPr>
        <w:spacing w:after="0" w:line="360" w:lineRule="auto"/>
        <w:jc w:val="both"/>
        <w:rPr>
          <w:rFonts w:ascii="Palatino Linotype" w:eastAsia="Times New Roman" w:hAnsi="Palatino Linotype"/>
          <w:b/>
          <w:i/>
          <w:sz w:val="24"/>
          <w:szCs w:val="24"/>
          <w:lang w:eastAsia="es-ES"/>
        </w:rPr>
      </w:pPr>
      <w:r w:rsidRPr="00C35DCC">
        <w:rPr>
          <w:rFonts w:ascii="Palatino Linotype" w:eastAsia="Times New Roman" w:hAnsi="Palatino Linotype"/>
          <w:i/>
          <w:sz w:val="24"/>
          <w:szCs w:val="24"/>
          <w:lang w:eastAsia="es-ES"/>
        </w:rPr>
        <w:t>Convocados a la subasta</w:t>
      </w:r>
      <w:r w:rsidR="00523868" w:rsidRPr="00523868">
        <w:rPr>
          <w:rFonts w:ascii="Palatino Linotype" w:eastAsia="Times New Roman" w:hAnsi="Palatino Linotype"/>
          <w:i/>
          <w:sz w:val="24"/>
          <w:szCs w:val="24"/>
          <w:lang w:eastAsia="es-ES"/>
        </w:rPr>
        <w:t>.</w:t>
      </w:r>
      <w:bookmarkEnd w:id="7"/>
      <w:bookmarkEnd w:id="5"/>
    </w:p>
    <w:bookmarkEnd w:id="6"/>
    <w:p w14:paraId="59CE8206" w14:textId="77777777" w:rsidR="00AB0934" w:rsidRPr="00AB0934" w:rsidRDefault="00AB0934" w:rsidP="00AB0934">
      <w:pPr>
        <w:spacing w:after="0" w:line="360" w:lineRule="auto"/>
        <w:jc w:val="both"/>
        <w:rPr>
          <w:rFonts w:ascii="Palatino Linotype" w:hAnsi="Palatino Linotype"/>
          <w:sz w:val="24"/>
          <w:szCs w:val="24"/>
        </w:rPr>
      </w:pPr>
    </w:p>
    <w:p w14:paraId="625F06C1" w14:textId="77777777" w:rsidR="00AB0934" w:rsidRPr="00AB0934" w:rsidRDefault="00AB0934" w:rsidP="00AB0934">
      <w:pPr>
        <w:tabs>
          <w:tab w:val="left" w:pos="2130"/>
        </w:tabs>
        <w:spacing w:after="0" w:line="360" w:lineRule="auto"/>
        <w:jc w:val="both"/>
        <w:rPr>
          <w:rFonts w:ascii="Palatino Linotype" w:hAnsi="Palatino Linotype" w:cs="Tahoma"/>
          <w:bCs/>
          <w:sz w:val="24"/>
        </w:rPr>
      </w:pPr>
      <w:r w:rsidRPr="00FA4FF6">
        <w:rPr>
          <w:rFonts w:ascii="Palatino Linotype" w:hAnsi="Palatino Linotype" w:cs="Tahoma"/>
          <w:bCs/>
          <w:sz w:val="24"/>
        </w:rPr>
        <w:t>Finalmente,</w:t>
      </w:r>
      <w:r w:rsidRPr="00AB0934">
        <w:rPr>
          <w:rFonts w:ascii="Palatino Linotype" w:hAnsi="Palatino Linotype" w:cs="Tahoma"/>
          <w:bCs/>
          <w:sz w:val="24"/>
        </w:rPr>
        <w:t xml:space="preserve"> la información requerida</w:t>
      </w:r>
      <w:r w:rsidRPr="00AB0934">
        <w:rPr>
          <w:rFonts w:ascii="Palatino Linotype" w:hAnsi="Palatino Linotype" w:cs="Tahoma"/>
          <w:b/>
          <w:bCs/>
          <w:sz w:val="24"/>
        </w:rPr>
        <w:t xml:space="preserve">, </w:t>
      </w:r>
      <w:r w:rsidRPr="00AB0934">
        <w:rPr>
          <w:rFonts w:ascii="Palatino Linotype"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6B2F55F0" w14:textId="77777777" w:rsidR="00C73EAC" w:rsidRPr="00347D2A" w:rsidRDefault="00C73EAC" w:rsidP="00347D2A">
      <w:pPr>
        <w:spacing w:after="0" w:line="360" w:lineRule="auto"/>
        <w:jc w:val="both"/>
        <w:rPr>
          <w:rFonts w:ascii="Palatino Linotype" w:eastAsia="Times New Roman" w:hAnsi="Palatino Linotype"/>
          <w:sz w:val="24"/>
          <w:szCs w:val="24"/>
          <w:lang w:eastAsia="es-ES"/>
        </w:rPr>
      </w:pPr>
    </w:p>
    <w:p w14:paraId="6F8A5CA8" w14:textId="77777777" w:rsidR="00CD43B7" w:rsidRPr="00CD43B7" w:rsidRDefault="00CD43B7" w:rsidP="00CD43B7">
      <w:pPr>
        <w:spacing w:after="240" w:line="360" w:lineRule="auto"/>
        <w:jc w:val="both"/>
        <w:rPr>
          <w:rFonts w:ascii="Palatino Linotype" w:hAnsi="Palatino Linotype"/>
          <w:b/>
          <w:i/>
          <w:sz w:val="26"/>
          <w:szCs w:val="26"/>
        </w:rPr>
      </w:pPr>
      <w:r w:rsidRPr="00CD43B7">
        <w:rPr>
          <w:rFonts w:ascii="Palatino Linotype" w:hAnsi="Palatino Linotype"/>
          <w:b/>
          <w:i/>
          <w:sz w:val="26"/>
          <w:szCs w:val="26"/>
        </w:rPr>
        <w:t>DE LA VERSIÓN PÚBLICA</w:t>
      </w:r>
    </w:p>
    <w:p w14:paraId="2A119603" w14:textId="77777777" w:rsidR="00CD43B7" w:rsidRPr="00CD43B7" w:rsidRDefault="00CD43B7" w:rsidP="00CD43B7">
      <w:pPr>
        <w:spacing w:before="240" w:after="0" w:line="360" w:lineRule="auto"/>
        <w:jc w:val="both"/>
        <w:rPr>
          <w:rFonts w:ascii="Palatino Linotype" w:hAnsi="Palatino Linotype"/>
          <w:sz w:val="24"/>
          <w:szCs w:val="24"/>
        </w:rPr>
      </w:pPr>
      <w:r w:rsidRPr="00CD43B7">
        <w:rPr>
          <w:rFonts w:ascii="Palatino Linotype" w:hAnsi="Palatino Linotype"/>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7FB4CA07" w14:textId="77777777" w:rsidR="00CD43B7" w:rsidRPr="00CD43B7" w:rsidRDefault="00CD43B7" w:rsidP="00CD43B7">
      <w:pPr>
        <w:spacing w:after="0" w:line="360" w:lineRule="auto"/>
        <w:jc w:val="both"/>
        <w:rPr>
          <w:rFonts w:ascii="Palatino Linotype" w:hAnsi="Palatino Linotype"/>
          <w:sz w:val="24"/>
          <w:szCs w:val="24"/>
        </w:rPr>
      </w:pPr>
    </w:p>
    <w:p w14:paraId="55B75FAF" w14:textId="77777777" w:rsidR="00CD43B7" w:rsidRPr="00CD43B7" w:rsidRDefault="00CD43B7" w:rsidP="00CD43B7">
      <w:pPr>
        <w:spacing w:after="0" w:line="360" w:lineRule="auto"/>
        <w:jc w:val="both"/>
        <w:rPr>
          <w:rFonts w:ascii="Palatino Linotype" w:hAnsi="Palatino Linotype"/>
          <w:sz w:val="24"/>
          <w:szCs w:val="24"/>
        </w:rPr>
      </w:pPr>
      <w:r w:rsidRPr="00CD43B7">
        <w:rPr>
          <w:rFonts w:ascii="Palatino Linotype" w:hAnsi="Palatino Linotype"/>
          <w:sz w:val="24"/>
          <w:szCs w:val="24"/>
        </w:rPr>
        <w:t xml:space="preserve">Para tales efectos se deberá observar lo dispuesto por los artículos 3 fracciones IX, XX, XXI y XLV, 91, 132 fracciones II y III, y 143 </w:t>
      </w:r>
      <w:proofErr w:type="gramStart"/>
      <w:r w:rsidRPr="00CD43B7">
        <w:rPr>
          <w:rFonts w:ascii="Palatino Linotype" w:hAnsi="Palatino Linotype"/>
          <w:sz w:val="24"/>
          <w:szCs w:val="24"/>
        </w:rPr>
        <w:t>fracción</w:t>
      </w:r>
      <w:proofErr w:type="gramEnd"/>
      <w:r w:rsidRPr="00CD43B7">
        <w:rPr>
          <w:rFonts w:ascii="Palatino Linotype" w:hAnsi="Palatino Linotype"/>
          <w:sz w:val="24"/>
          <w:szCs w:val="24"/>
        </w:rPr>
        <w:t xml:space="preserve"> I de la Ley de Transparencia y Acceso a la Información Pública del Estado de México y Municipios que establecen:</w:t>
      </w:r>
    </w:p>
    <w:p w14:paraId="76DEA133" w14:textId="77777777" w:rsidR="00CD43B7" w:rsidRPr="00CD43B7" w:rsidRDefault="00CD43B7" w:rsidP="00CD43B7">
      <w:pPr>
        <w:spacing w:before="240" w:after="240" w:line="360" w:lineRule="auto"/>
        <w:jc w:val="both"/>
        <w:rPr>
          <w:rFonts w:ascii="Palatino Linotype" w:hAnsi="Palatino Linotype"/>
          <w:sz w:val="24"/>
          <w:szCs w:val="24"/>
        </w:rPr>
      </w:pPr>
    </w:p>
    <w:p w14:paraId="55DB1F8E" w14:textId="77777777" w:rsidR="00CD43B7" w:rsidRPr="00CD43B7" w:rsidRDefault="00CD43B7" w:rsidP="00CD43B7">
      <w:pPr>
        <w:spacing w:after="0" w:line="240" w:lineRule="auto"/>
        <w:ind w:left="794" w:right="851"/>
        <w:jc w:val="both"/>
        <w:rPr>
          <w:rFonts w:ascii="Palatino Linotype" w:hAnsi="Palatino Linotype"/>
          <w:i/>
        </w:rPr>
      </w:pPr>
      <w:r w:rsidRPr="00CD43B7">
        <w:rPr>
          <w:rFonts w:ascii="Palatino Linotype" w:hAnsi="Palatino Linotype"/>
          <w:b/>
          <w:i/>
        </w:rPr>
        <w:t>Artículo 3.</w:t>
      </w:r>
      <w:r w:rsidRPr="00CD43B7">
        <w:rPr>
          <w:rFonts w:ascii="Palatino Linotype" w:hAnsi="Palatino Linotype"/>
          <w:i/>
        </w:rPr>
        <w:t xml:space="preserve"> Para los efectos de la presente Ley se entenderá por:</w:t>
      </w:r>
    </w:p>
    <w:p w14:paraId="52567881" w14:textId="77777777" w:rsidR="00CD43B7" w:rsidRPr="00CD43B7" w:rsidRDefault="00CD43B7" w:rsidP="00CD43B7">
      <w:pPr>
        <w:spacing w:after="0" w:line="240" w:lineRule="auto"/>
        <w:ind w:left="794" w:right="851"/>
        <w:jc w:val="both"/>
        <w:rPr>
          <w:rFonts w:ascii="Palatino Linotype" w:hAnsi="Palatino Linotype"/>
          <w:i/>
        </w:rPr>
      </w:pPr>
    </w:p>
    <w:p w14:paraId="5A59D89C" w14:textId="77777777" w:rsidR="00CD43B7" w:rsidRPr="00CD43B7" w:rsidRDefault="00CD43B7" w:rsidP="00CD43B7">
      <w:pPr>
        <w:spacing w:after="0" w:line="240" w:lineRule="auto"/>
        <w:ind w:left="794" w:right="851"/>
        <w:jc w:val="both"/>
        <w:rPr>
          <w:rFonts w:ascii="Palatino Linotype" w:hAnsi="Palatino Linotype"/>
          <w:i/>
        </w:rPr>
      </w:pPr>
      <w:r w:rsidRPr="00CD43B7">
        <w:rPr>
          <w:rFonts w:ascii="Palatino Linotype" w:hAnsi="Palatino Linotype"/>
          <w:i/>
        </w:rPr>
        <w:lastRenderedPageBreak/>
        <w:t>[…]</w:t>
      </w:r>
    </w:p>
    <w:p w14:paraId="43D7BA27" w14:textId="77777777" w:rsidR="00CD43B7" w:rsidRPr="00CD43B7" w:rsidRDefault="00CD43B7" w:rsidP="00CD43B7">
      <w:pPr>
        <w:spacing w:after="0" w:line="240" w:lineRule="auto"/>
        <w:ind w:left="794" w:right="851"/>
        <w:jc w:val="both"/>
        <w:rPr>
          <w:rFonts w:ascii="Palatino Linotype" w:hAnsi="Palatino Linotype"/>
          <w:i/>
        </w:rPr>
      </w:pPr>
    </w:p>
    <w:p w14:paraId="460D5012" w14:textId="77777777" w:rsidR="00CD43B7" w:rsidRPr="00CD43B7" w:rsidRDefault="00CD43B7" w:rsidP="00CD43B7">
      <w:pPr>
        <w:spacing w:after="240" w:line="240" w:lineRule="auto"/>
        <w:ind w:left="794" w:right="851"/>
        <w:jc w:val="both"/>
        <w:rPr>
          <w:rFonts w:ascii="Palatino Linotype" w:hAnsi="Palatino Linotype"/>
          <w:i/>
        </w:rPr>
      </w:pPr>
      <w:r w:rsidRPr="00CD43B7">
        <w:rPr>
          <w:rFonts w:ascii="Palatino Linotype" w:hAnsi="Palatino Linotype"/>
          <w:b/>
          <w:i/>
        </w:rPr>
        <w:t>IX. Datos personales:</w:t>
      </w:r>
      <w:r w:rsidRPr="00CD43B7">
        <w:rPr>
          <w:rFonts w:ascii="Palatino Linotype" w:hAnsi="Palatino Linotype"/>
          <w:i/>
        </w:rPr>
        <w:t xml:space="preserve"> La información concerniente a una persona, identificada o identificable según lo dispuesto por la Ley de Protección de Datos Personales del Estado de México; </w:t>
      </w:r>
    </w:p>
    <w:p w14:paraId="07C59D95" w14:textId="77777777" w:rsidR="00CD43B7" w:rsidRPr="00CD43B7" w:rsidRDefault="00CD43B7" w:rsidP="00CD43B7">
      <w:pPr>
        <w:spacing w:after="240" w:line="240" w:lineRule="auto"/>
        <w:ind w:left="794" w:right="851"/>
        <w:jc w:val="both"/>
        <w:rPr>
          <w:rFonts w:ascii="Palatino Linotype" w:hAnsi="Palatino Linotype"/>
          <w:i/>
        </w:rPr>
      </w:pPr>
      <w:r w:rsidRPr="00CD43B7">
        <w:rPr>
          <w:rFonts w:ascii="Palatino Linotype" w:hAnsi="Palatino Linotype"/>
          <w:b/>
          <w:i/>
        </w:rPr>
        <w:t>XX. Información clasificada:</w:t>
      </w:r>
      <w:r w:rsidRPr="00CD43B7">
        <w:rPr>
          <w:rFonts w:ascii="Palatino Linotype" w:hAnsi="Palatino Linotype"/>
          <w:i/>
        </w:rPr>
        <w:t xml:space="preserve"> Aquella considerada por la presente Ley como reservada o confidencial;</w:t>
      </w:r>
    </w:p>
    <w:p w14:paraId="433B04D7" w14:textId="77777777" w:rsidR="00CD43B7" w:rsidRPr="00CD43B7" w:rsidRDefault="00CD43B7" w:rsidP="00CD43B7">
      <w:pPr>
        <w:spacing w:after="240" w:line="240" w:lineRule="auto"/>
        <w:ind w:left="794" w:right="851"/>
        <w:jc w:val="both"/>
        <w:rPr>
          <w:rFonts w:ascii="Palatino Linotype" w:hAnsi="Palatino Linotype"/>
          <w:i/>
        </w:rPr>
      </w:pPr>
      <w:r w:rsidRPr="00CD43B7">
        <w:rPr>
          <w:rFonts w:ascii="Palatino Linotype" w:hAnsi="Palatino Linotype"/>
          <w:b/>
          <w:i/>
        </w:rPr>
        <w:t>XXI. Información confidencial:</w:t>
      </w:r>
      <w:r w:rsidRPr="00CD43B7">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A359049" w14:textId="77777777" w:rsidR="00CD43B7" w:rsidRPr="00CD43B7" w:rsidRDefault="00CD43B7" w:rsidP="00CD43B7">
      <w:pPr>
        <w:spacing w:after="240" w:line="240" w:lineRule="auto"/>
        <w:ind w:left="794" w:right="851"/>
        <w:jc w:val="both"/>
        <w:rPr>
          <w:rFonts w:ascii="Palatino Linotype" w:hAnsi="Palatino Linotype"/>
          <w:i/>
        </w:rPr>
      </w:pPr>
      <w:r w:rsidRPr="00CD43B7">
        <w:rPr>
          <w:rFonts w:ascii="Palatino Linotype" w:hAnsi="Palatino Linotype"/>
          <w:b/>
          <w:i/>
        </w:rPr>
        <w:t>XLV. Versión pública:</w:t>
      </w:r>
      <w:r w:rsidRPr="00CD43B7">
        <w:rPr>
          <w:rFonts w:ascii="Palatino Linotype" w:hAnsi="Palatino Linotype"/>
          <w:i/>
        </w:rPr>
        <w:t xml:space="preserve"> Documento en el que se elimine, suprime o borra la información clasificada como reservada o confidencial para permitir su acceso.</w:t>
      </w:r>
    </w:p>
    <w:p w14:paraId="03ED14BE" w14:textId="77777777" w:rsidR="00CD43B7" w:rsidRPr="00CD43B7" w:rsidRDefault="00CD43B7" w:rsidP="00CD43B7">
      <w:pPr>
        <w:spacing w:after="240" w:line="240" w:lineRule="auto"/>
        <w:ind w:left="794" w:right="851"/>
        <w:jc w:val="both"/>
        <w:rPr>
          <w:rFonts w:ascii="Palatino Linotype" w:hAnsi="Palatino Linotype"/>
          <w:i/>
        </w:rPr>
      </w:pPr>
      <w:r w:rsidRPr="00CD43B7">
        <w:rPr>
          <w:rFonts w:ascii="Palatino Linotype" w:hAnsi="Palatino Linotype"/>
          <w:i/>
        </w:rPr>
        <w:t>[…]</w:t>
      </w:r>
    </w:p>
    <w:p w14:paraId="394176CB" w14:textId="77777777" w:rsidR="00CD43B7" w:rsidRPr="00CD43B7" w:rsidRDefault="00CD43B7" w:rsidP="00CD43B7">
      <w:pPr>
        <w:spacing w:after="0" w:line="240" w:lineRule="auto"/>
        <w:ind w:left="794" w:right="851"/>
        <w:jc w:val="both"/>
        <w:rPr>
          <w:rFonts w:ascii="Palatino Linotype" w:hAnsi="Palatino Linotype"/>
          <w:i/>
        </w:rPr>
      </w:pPr>
      <w:r w:rsidRPr="00CD43B7">
        <w:rPr>
          <w:rFonts w:ascii="Palatino Linotype" w:hAnsi="Palatino Linotype"/>
          <w:b/>
          <w:i/>
        </w:rPr>
        <w:t>Artículo 91.</w:t>
      </w:r>
      <w:r w:rsidRPr="00CD43B7">
        <w:rPr>
          <w:rFonts w:ascii="Palatino Linotype" w:hAnsi="Palatino Linotype"/>
          <w:i/>
        </w:rPr>
        <w:t xml:space="preserve"> El acceso a la información pública será restringido excepcionalmente, cuando ésta sea clasificada como reservada o confidencial.</w:t>
      </w:r>
    </w:p>
    <w:p w14:paraId="1F772550" w14:textId="77777777" w:rsidR="00CD43B7" w:rsidRPr="00CD43B7" w:rsidRDefault="00CD43B7" w:rsidP="00CD43B7">
      <w:pPr>
        <w:spacing w:after="0" w:line="240" w:lineRule="auto"/>
        <w:ind w:left="794" w:right="851"/>
        <w:jc w:val="both"/>
        <w:rPr>
          <w:rFonts w:ascii="Palatino Linotype" w:hAnsi="Palatino Linotype"/>
          <w:i/>
        </w:rPr>
      </w:pPr>
    </w:p>
    <w:p w14:paraId="38DF2031" w14:textId="77777777" w:rsidR="00CD43B7" w:rsidRPr="00CD43B7" w:rsidRDefault="00CD43B7" w:rsidP="00CD43B7">
      <w:pPr>
        <w:spacing w:after="120" w:line="240" w:lineRule="auto"/>
        <w:ind w:left="794" w:right="851"/>
        <w:jc w:val="both"/>
        <w:rPr>
          <w:rFonts w:ascii="Palatino Linotype" w:hAnsi="Palatino Linotype"/>
          <w:i/>
        </w:rPr>
      </w:pPr>
      <w:r w:rsidRPr="00CD43B7">
        <w:rPr>
          <w:rFonts w:ascii="Palatino Linotype" w:hAnsi="Palatino Linotype"/>
          <w:b/>
          <w:i/>
        </w:rPr>
        <w:t>Artículo 132.</w:t>
      </w:r>
      <w:r w:rsidRPr="00CD43B7">
        <w:rPr>
          <w:rFonts w:ascii="Palatino Linotype" w:hAnsi="Palatino Linotype"/>
          <w:i/>
        </w:rPr>
        <w:t xml:space="preserve"> La clasificación de la información se llevará a cabo en el momento en que:</w:t>
      </w:r>
    </w:p>
    <w:p w14:paraId="62E2BF21" w14:textId="77777777" w:rsidR="00CD43B7" w:rsidRPr="00CD43B7" w:rsidRDefault="00CD43B7" w:rsidP="00CD43B7">
      <w:pPr>
        <w:spacing w:after="120" w:line="240" w:lineRule="auto"/>
        <w:ind w:left="794" w:right="851"/>
        <w:jc w:val="both"/>
        <w:rPr>
          <w:rFonts w:ascii="Palatino Linotype" w:hAnsi="Palatino Linotype"/>
          <w:i/>
        </w:rPr>
      </w:pPr>
      <w:r w:rsidRPr="00CD43B7">
        <w:rPr>
          <w:rFonts w:ascii="Palatino Linotype" w:hAnsi="Palatino Linotype"/>
          <w:b/>
          <w:i/>
        </w:rPr>
        <w:t>I</w:t>
      </w:r>
      <w:r w:rsidRPr="00CD43B7">
        <w:rPr>
          <w:rFonts w:ascii="Palatino Linotype" w:hAnsi="Palatino Linotype"/>
          <w:i/>
        </w:rPr>
        <w:t>. Se reciba una solicitud de acceso a la información;</w:t>
      </w:r>
    </w:p>
    <w:p w14:paraId="2FCB5232" w14:textId="77777777" w:rsidR="00CD43B7" w:rsidRPr="00CD43B7" w:rsidRDefault="00CD43B7" w:rsidP="00CD43B7">
      <w:pPr>
        <w:spacing w:after="120" w:line="240" w:lineRule="auto"/>
        <w:ind w:left="794" w:right="851"/>
        <w:jc w:val="both"/>
        <w:rPr>
          <w:rFonts w:ascii="Palatino Linotype" w:hAnsi="Palatino Linotype"/>
          <w:i/>
        </w:rPr>
      </w:pPr>
      <w:r w:rsidRPr="00CD43B7">
        <w:rPr>
          <w:rFonts w:ascii="Palatino Linotype" w:hAnsi="Palatino Linotype"/>
          <w:b/>
          <w:i/>
        </w:rPr>
        <w:t>II.</w:t>
      </w:r>
      <w:r w:rsidRPr="00CD43B7">
        <w:rPr>
          <w:rFonts w:ascii="Palatino Linotype" w:hAnsi="Palatino Linotype"/>
          <w:i/>
        </w:rPr>
        <w:t xml:space="preserve"> Se determine mediante resolución de autoridad competente; o</w:t>
      </w:r>
    </w:p>
    <w:p w14:paraId="261D0FA6" w14:textId="77777777" w:rsidR="00CD43B7" w:rsidRPr="00CD43B7" w:rsidRDefault="00CD43B7" w:rsidP="00CD43B7">
      <w:pPr>
        <w:spacing w:after="120" w:line="240" w:lineRule="auto"/>
        <w:ind w:left="794" w:right="851"/>
        <w:jc w:val="both"/>
        <w:rPr>
          <w:rFonts w:ascii="Palatino Linotype" w:hAnsi="Palatino Linotype"/>
          <w:i/>
        </w:rPr>
      </w:pPr>
      <w:r w:rsidRPr="00CD43B7">
        <w:rPr>
          <w:rFonts w:ascii="Palatino Linotype" w:hAnsi="Palatino Linotype"/>
          <w:b/>
          <w:i/>
        </w:rPr>
        <w:t>III.</w:t>
      </w:r>
      <w:r w:rsidRPr="00CD43B7">
        <w:rPr>
          <w:rFonts w:ascii="Palatino Linotype" w:hAnsi="Palatino Linotype"/>
          <w:i/>
        </w:rPr>
        <w:t xml:space="preserve"> Se generen versiones públicas para dar cumplimiento a las obligaciones de transparencia previstas en esta Ley.</w:t>
      </w:r>
    </w:p>
    <w:p w14:paraId="43EE11B8" w14:textId="77777777" w:rsidR="00CD43B7" w:rsidRPr="00CD43B7" w:rsidRDefault="00CD43B7" w:rsidP="00CD43B7">
      <w:pPr>
        <w:spacing w:after="120" w:line="240" w:lineRule="auto"/>
        <w:ind w:left="794" w:right="851"/>
        <w:jc w:val="both"/>
        <w:rPr>
          <w:rFonts w:ascii="Palatino Linotype" w:hAnsi="Palatino Linotype"/>
          <w:i/>
        </w:rPr>
      </w:pPr>
    </w:p>
    <w:p w14:paraId="1F2AA573" w14:textId="77777777" w:rsidR="00CD43B7" w:rsidRPr="00CD43B7" w:rsidRDefault="00CD43B7" w:rsidP="00CD43B7">
      <w:pPr>
        <w:spacing w:after="0" w:line="240" w:lineRule="auto"/>
        <w:ind w:left="794" w:right="851"/>
        <w:jc w:val="both"/>
        <w:rPr>
          <w:rFonts w:ascii="Palatino Linotype" w:hAnsi="Palatino Linotype"/>
          <w:i/>
        </w:rPr>
      </w:pPr>
      <w:r w:rsidRPr="00CD43B7">
        <w:rPr>
          <w:rFonts w:ascii="Palatino Linotype" w:hAnsi="Palatino Linotype"/>
          <w:i/>
        </w:rPr>
        <w:t>[…]</w:t>
      </w:r>
    </w:p>
    <w:p w14:paraId="4219EBF1" w14:textId="77777777" w:rsidR="00CD43B7" w:rsidRPr="00CD43B7" w:rsidRDefault="00CD43B7" w:rsidP="00CD43B7">
      <w:pPr>
        <w:spacing w:after="0" w:line="240" w:lineRule="auto"/>
        <w:ind w:left="794" w:right="851"/>
        <w:jc w:val="both"/>
        <w:rPr>
          <w:rFonts w:ascii="Palatino Linotype" w:hAnsi="Palatino Linotype"/>
          <w:i/>
        </w:rPr>
      </w:pPr>
    </w:p>
    <w:p w14:paraId="777D5B1B" w14:textId="77777777" w:rsidR="00CD43B7" w:rsidRPr="00CD43B7" w:rsidRDefault="00CD43B7" w:rsidP="00CD43B7">
      <w:pPr>
        <w:spacing w:after="240" w:line="240" w:lineRule="auto"/>
        <w:ind w:left="794" w:right="851"/>
        <w:jc w:val="both"/>
        <w:rPr>
          <w:rFonts w:ascii="Palatino Linotype" w:hAnsi="Palatino Linotype"/>
          <w:i/>
        </w:rPr>
      </w:pPr>
      <w:r w:rsidRPr="00CD43B7">
        <w:rPr>
          <w:rFonts w:ascii="Palatino Linotype" w:hAnsi="Palatino Linotype"/>
          <w:b/>
          <w:i/>
        </w:rPr>
        <w:t>Artículo 143.</w:t>
      </w:r>
      <w:r w:rsidRPr="00CD43B7">
        <w:rPr>
          <w:rFonts w:ascii="Palatino Linotype" w:hAnsi="Palatino Linotype"/>
          <w:i/>
        </w:rPr>
        <w:t xml:space="preserve"> Para los efectos de esta Ley se considera información confidencial, la clasificada como tal, de manera permanente, por su naturaleza, cuando:</w:t>
      </w:r>
    </w:p>
    <w:p w14:paraId="1F1D23DB" w14:textId="77777777" w:rsidR="00CD43B7" w:rsidRPr="00CD43B7" w:rsidRDefault="00CD43B7" w:rsidP="00CD43B7">
      <w:pPr>
        <w:spacing w:after="240" w:line="240" w:lineRule="auto"/>
        <w:ind w:left="794" w:right="851"/>
        <w:jc w:val="both"/>
        <w:rPr>
          <w:rFonts w:ascii="Palatino Linotype" w:hAnsi="Palatino Linotype"/>
          <w:i/>
        </w:rPr>
      </w:pPr>
      <w:r w:rsidRPr="00CD43B7">
        <w:rPr>
          <w:rFonts w:ascii="Palatino Linotype" w:hAnsi="Palatino Linotype"/>
          <w:b/>
          <w:i/>
        </w:rPr>
        <w:t>I.</w:t>
      </w:r>
      <w:r w:rsidRPr="00CD43B7">
        <w:rPr>
          <w:rFonts w:ascii="Palatino Linotype" w:hAnsi="Palatino Linotype"/>
          <w:i/>
        </w:rPr>
        <w:t xml:space="preserve"> Se refiera a la información privada y los datos personales concernientes a una persona física o </w:t>
      </w:r>
      <w:proofErr w:type="gramStart"/>
      <w:r w:rsidRPr="00CD43B7">
        <w:rPr>
          <w:rFonts w:ascii="Palatino Linotype" w:hAnsi="Palatino Linotype"/>
          <w:i/>
        </w:rPr>
        <w:t>jurídico</w:t>
      </w:r>
      <w:proofErr w:type="gramEnd"/>
      <w:r w:rsidRPr="00CD43B7">
        <w:rPr>
          <w:rFonts w:ascii="Palatino Linotype" w:hAnsi="Palatino Linotype"/>
          <w:i/>
        </w:rPr>
        <w:t xml:space="preserve"> colectiva identificada o identificable;</w:t>
      </w:r>
    </w:p>
    <w:p w14:paraId="3BF54494" w14:textId="77777777" w:rsidR="00CD43B7" w:rsidRPr="00CD43B7" w:rsidRDefault="00CD43B7" w:rsidP="00CD43B7">
      <w:pPr>
        <w:spacing w:after="240" w:line="240" w:lineRule="auto"/>
        <w:ind w:left="794" w:right="851"/>
        <w:jc w:val="both"/>
        <w:rPr>
          <w:rFonts w:ascii="Palatino Linotype" w:hAnsi="Palatino Linotype"/>
          <w:i/>
        </w:rPr>
      </w:pPr>
      <w:r w:rsidRPr="00CD43B7">
        <w:rPr>
          <w:rFonts w:ascii="Palatino Linotype" w:hAnsi="Palatino Linotype"/>
          <w:b/>
          <w:i/>
        </w:rPr>
        <w:lastRenderedPageBreak/>
        <w:t>II.</w:t>
      </w:r>
      <w:r w:rsidRPr="00CD43B7">
        <w:rPr>
          <w:rFonts w:ascii="Palatino Linotype" w:hAnsi="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B54A833" w14:textId="77777777" w:rsidR="00CD43B7" w:rsidRPr="00CD43B7" w:rsidRDefault="00CD43B7" w:rsidP="00CD43B7">
      <w:pPr>
        <w:spacing w:after="240" w:line="240" w:lineRule="auto"/>
        <w:ind w:left="794" w:right="851"/>
        <w:jc w:val="both"/>
        <w:rPr>
          <w:rFonts w:ascii="Palatino Linotype" w:hAnsi="Palatino Linotype"/>
          <w:i/>
        </w:rPr>
      </w:pPr>
      <w:r w:rsidRPr="00CD43B7">
        <w:rPr>
          <w:rFonts w:ascii="Palatino Linotype" w:hAnsi="Palatino Linotype"/>
          <w:b/>
          <w:i/>
        </w:rPr>
        <w:t>III.</w:t>
      </w:r>
      <w:r w:rsidRPr="00CD43B7">
        <w:rPr>
          <w:rFonts w:ascii="Palatino Linotype" w:hAnsi="Palatino Linotype"/>
          <w:i/>
        </w:rPr>
        <w:t xml:space="preserve"> La que presenten los particulares a los sujetos obligados, de conformidad con lo dispuesto por las leyes o los tratados internacionales.</w:t>
      </w:r>
    </w:p>
    <w:p w14:paraId="09C57C7B" w14:textId="77777777" w:rsidR="00CD43B7" w:rsidRPr="00CD43B7" w:rsidRDefault="00CD43B7" w:rsidP="00CD43B7">
      <w:pPr>
        <w:spacing w:after="240" w:line="240" w:lineRule="auto"/>
        <w:ind w:left="794" w:right="851"/>
        <w:jc w:val="both"/>
        <w:rPr>
          <w:rFonts w:ascii="Palatino Linotype" w:hAnsi="Palatino Linotype"/>
          <w:i/>
        </w:rPr>
      </w:pPr>
      <w:r w:rsidRPr="00CD43B7">
        <w:rPr>
          <w:rFonts w:ascii="Palatino Linotype" w:hAnsi="Palatino Linotype"/>
          <w:i/>
        </w:rPr>
        <w:t>La información confidencial no estará sujeta a temporalidad alguna y sólo podrán tener acceso a ella los titulares de la misma, sus representantes y los servidores públicos facultados para ello.</w:t>
      </w:r>
    </w:p>
    <w:p w14:paraId="784526E3" w14:textId="77777777" w:rsidR="00CD43B7" w:rsidRPr="00CD43B7" w:rsidRDefault="00CD43B7" w:rsidP="00CD43B7">
      <w:pPr>
        <w:spacing w:after="240" w:line="240" w:lineRule="auto"/>
        <w:ind w:left="794" w:right="851"/>
        <w:jc w:val="both"/>
        <w:rPr>
          <w:rFonts w:ascii="Palatino Linotype" w:hAnsi="Palatino Linotype"/>
          <w:sz w:val="24"/>
          <w:szCs w:val="24"/>
        </w:rPr>
      </w:pPr>
      <w:r w:rsidRPr="00CD43B7">
        <w:rPr>
          <w:rFonts w:ascii="Palatino Linotype" w:hAnsi="Palatino Linotype"/>
          <w:i/>
        </w:rPr>
        <w:t>No se considerará confidencial la información que se encuentre en los registros públicos o en fuentes de acceso público, ni tampoco la que sea considerada por la presente ley como información pública. [Sic]</w:t>
      </w:r>
    </w:p>
    <w:p w14:paraId="0FF1D91D" w14:textId="77777777" w:rsidR="00CD43B7" w:rsidRPr="00CD43B7" w:rsidRDefault="00CD43B7" w:rsidP="00CD43B7">
      <w:pPr>
        <w:spacing w:after="240" w:line="360" w:lineRule="auto"/>
        <w:jc w:val="both"/>
        <w:rPr>
          <w:rFonts w:ascii="Palatino Linotype" w:hAnsi="Palatino Linotype"/>
          <w:sz w:val="24"/>
          <w:szCs w:val="24"/>
        </w:rPr>
      </w:pPr>
    </w:p>
    <w:p w14:paraId="4C22F0BF" w14:textId="77777777" w:rsidR="00CD43B7" w:rsidRPr="00CD43B7" w:rsidRDefault="00CD43B7" w:rsidP="00CD43B7">
      <w:pPr>
        <w:spacing w:after="0" w:line="360" w:lineRule="auto"/>
        <w:jc w:val="both"/>
        <w:rPr>
          <w:rFonts w:ascii="Palatino Linotype" w:hAnsi="Palatino Linotype"/>
          <w:sz w:val="24"/>
          <w:szCs w:val="24"/>
        </w:rPr>
      </w:pPr>
      <w:r w:rsidRPr="00CD43B7">
        <w:rPr>
          <w:rFonts w:ascii="Palatino Linotype" w:hAnsi="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7AA69A" w14:textId="77777777" w:rsidR="00CD43B7" w:rsidRPr="00CD43B7" w:rsidRDefault="00CD43B7" w:rsidP="00CD43B7">
      <w:pPr>
        <w:spacing w:after="120" w:line="360" w:lineRule="auto"/>
        <w:jc w:val="both"/>
        <w:rPr>
          <w:rFonts w:ascii="Palatino Linotype" w:hAnsi="Palatino Linotype"/>
          <w:sz w:val="24"/>
          <w:szCs w:val="24"/>
        </w:rPr>
      </w:pPr>
    </w:p>
    <w:p w14:paraId="43564C45" w14:textId="77777777" w:rsidR="00CD43B7" w:rsidRPr="00CD43B7" w:rsidRDefault="00CD43B7" w:rsidP="00CD43B7">
      <w:pPr>
        <w:spacing w:after="0" w:line="360" w:lineRule="auto"/>
        <w:jc w:val="both"/>
        <w:rPr>
          <w:rFonts w:ascii="Palatino Linotype" w:hAnsi="Palatino Linotype"/>
          <w:sz w:val="24"/>
          <w:szCs w:val="24"/>
        </w:rPr>
      </w:pPr>
      <w:r w:rsidRPr="00CD43B7">
        <w:rPr>
          <w:rFonts w:ascii="Palatino Linotype" w:hAnsi="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CD43B7">
        <w:rPr>
          <w:rFonts w:ascii="Palatino Linotype" w:hAnsi="Palatino Linotype"/>
          <w:sz w:val="24"/>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0FFF1C0"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05EA22A1" w14:textId="77777777" w:rsidR="00347D2A" w:rsidRPr="00347D2A" w:rsidRDefault="00347D2A" w:rsidP="00347D2A">
      <w:pPr>
        <w:spacing w:after="0" w:line="360" w:lineRule="auto"/>
        <w:jc w:val="both"/>
        <w:rPr>
          <w:rFonts w:ascii="Palatino Linotype" w:eastAsia="Times New Roman" w:hAnsi="Palatino Linotype"/>
          <w:bCs/>
          <w:sz w:val="24"/>
          <w:szCs w:val="24"/>
          <w:lang w:eastAsia="es-ES"/>
        </w:rPr>
      </w:pPr>
      <w:r w:rsidRPr="00347D2A">
        <w:rPr>
          <w:rFonts w:ascii="Palatino Linotype" w:eastAsia="Times New Roman" w:hAnsi="Palatino Linotype"/>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bCs/>
          <w:sz w:val="24"/>
          <w:szCs w:val="24"/>
          <w:lang w:eastAsia="es-ES"/>
        </w:rPr>
        <w:t>a efecto de salvaguardar el derecho de acceso a la información pública consignado a favor del Recurrente.</w:t>
      </w:r>
    </w:p>
    <w:p w14:paraId="023F1FBB"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4AB106F9" w14:textId="0659B953" w:rsidR="000F5B7E" w:rsidRPr="000F5B7E" w:rsidRDefault="000F5B7E" w:rsidP="000F5B7E">
      <w:pPr>
        <w:spacing w:after="0" w:line="360" w:lineRule="auto"/>
        <w:jc w:val="both"/>
        <w:rPr>
          <w:rFonts w:ascii="Palatino Linotype" w:eastAsia="Times New Roman" w:hAnsi="Palatino Linotype"/>
          <w:sz w:val="24"/>
          <w:szCs w:val="24"/>
          <w:lang w:eastAsia="es-ES"/>
        </w:rPr>
      </w:pPr>
      <w:r w:rsidRPr="000F5B7E">
        <w:rPr>
          <w:rFonts w:ascii="Palatino Linotype" w:eastAsia="Times New Roman" w:hAnsi="Palatino Linotype"/>
          <w:sz w:val="24"/>
          <w:szCs w:val="24"/>
          <w:lang w:eastAsia="es-ES"/>
        </w:rPr>
        <w:t>En mérito de lo expuesto en líneas anteriores, resultan</w:t>
      </w:r>
      <w:r w:rsidR="00111EDA">
        <w:rPr>
          <w:rFonts w:ascii="Palatino Linotype" w:eastAsia="Times New Roman" w:hAnsi="Palatino Linotype"/>
          <w:sz w:val="24"/>
          <w:szCs w:val="24"/>
          <w:lang w:eastAsia="es-ES"/>
        </w:rPr>
        <w:t xml:space="preserve"> parcialmente </w:t>
      </w:r>
      <w:r w:rsidRPr="000F5B7E">
        <w:rPr>
          <w:rFonts w:ascii="Palatino Linotype" w:eastAsia="Times New Roman" w:hAnsi="Palatino Linotype"/>
          <w:sz w:val="24"/>
          <w:szCs w:val="24"/>
          <w:lang w:eastAsia="es-ES"/>
        </w:rPr>
        <w:t>fundados los motivos de inconformidad que arguye el</w:t>
      </w:r>
      <w:r w:rsidRPr="000F5B7E">
        <w:rPr>
          <w:rFonts w:ascii="Palatino Linotype" w:eastAsia="Times New Roman" w:hAnsi="Palatino Linotype"/>
          <w:b/>
          <w:sz w:val="24"/>
          <w:szCs w:val="24"/>
          <w:lang w:eastAsia="es-ES"/>
        </w:rPr>
        <w:t xml:space="preserve"> Recurrente</w:t>
      </w:r>
      <w:r w:rsidRPr="000F5B7E">
        <w:rPr>
          <w:rFonts w:ascii="Palatino Linotype" w:eastAsia="Times New Roman" w:hAnsi="Palatino Linotype"/>
          <w:sz w:val="24"/>
          <w:szCs w:val="24"/>
          <w:lang w:eastAsia="es-ES"/>
        </w:rPr>
        <w:t xml:space="preserve"> en su medio de impugnación que fue materia de estudio, por ello con fundamento en la</w:t>
      </w:r>
      <w:r w:rsidRPr="000F5B7E">
        <w:rPr>
          <w:rFonts w:ascii="Palatino Linotype" w:eastAsia="Times New Roman" w:hAnsi="Palatino Linotype"/>
          <w:b/>
          <w:sz w:val="24"/>
          <w:szCs w:val="24"/>
          <w:lang w:eastAsia="es-ES"/>
        </w:rPr>
        <w:t xml:space="preserve"> </w:t>
      </w:r>
      <w:r w:rsidR="00111EDA">
        <w:rPr>
          <w:rFonts w:ascii="Palatino Linotype" w:eastAsia="Times New Roman" w:hAnsi="Palatino Linotype"/>
          <w:i/>
          <w:sz w:val="24"/>
          <w:szCs w:val="24"/>
          <w:lang w:eastAsia="es-ES"/>
        </w:rPr>
        <w:t>segunda</w:t>
      </w:r>
      <w:r w:rsidRPr="000F5B7E">
        <w:rPr>
          <w:rFonts w:ascii="Palatino Linotype" w:eastAsia="Times New Roman" w:hAnsi="Palatino Linotype"/>
          <w:i/>
          <w:sz w:val="24"/>
          <w:szCs w:val="24"/>
          <w:lang w:eastAsia="es-ES"/>
        </w:rPr>
        <w:t xml:space="preserve"> hipótesis</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de la fracción</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III, del artículo 186,</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 xml:space="preserve">de la Ley de Transparencia y Acceso a la Información Pública del Estado de México y Municipios, se </w:t>
      </w:r>
      <w:r w:rsidR="00111EDA">
        <w:rPr>
          <w:rFonts w:ascii="Palatino Linotype" w:eastAsia="Times New Roman" w:hAnsi="Palatino Linotype"/>
          <w:b/>
          <w:sz w:val="24"/>
          <w:szCs w:val="24"/>
          <w:lang w:eastAsia="es-ES"/>
        </w:rPr>
        <w:t>MODIFICA</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la respuesta a la solicitud de información número</w:t>
      </w:r>
      <w:r w:rsidRPr="000F5B7E">
        <w:rPr>
          <w:rFonts w:ascii="Palatino Linotype" w:eastAsia="Times New Roman" w:hAnsi="Palatino Linotype"/>
          <w:b/>
          <w:sz w:val="24"/>
          <w:szCs w:val="24"/>
          <w:lang w:eastAsia="es-ES"/>
        </w:rPr>
        <w:t xml:space="preserve"> </w:t>
      </w:r>
      <w:r w:rsidR="00FA4FF6" w:rsidRPr="00FA4FF6">
        <w:rPr>
          <w:rFonts w:ascii="Palatino Linotype" w:hAnsi="Palatino Linotype"/>
          <w:b/>
          <w:sz w:val="24"/>
          <w:szCs w:val="24"/>
        </w:rPr>
        <w:t>01022/TOLUCA/IP/2021</w:t>
      </w:r>
      <w:r w:rsidR="00E373E9">
        <w:rPr>
          <w:rFonts w:ascii="Palatino Linotype" w:hAnsi="Palatino Linotype"/>
          <w:b/>
          <w:sz w:val="24"/>
          <w:szCs w:val="24"/>
        </w:rPr>
        <w:t>,</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que ha sido materia del presente fallo.</w:t>
      </w:r>
    </w:p>
    <w:p w14:paraId="04656796" w14:textId="77777777" w:rsidR="000F5B7E" w:rsidRPr="000F5B7E" w:rsidRDefault="000F5B7E" w:rsidP="000F5B7E">
      <w:pPr>
        <w:spacing w:after="0" w:line="360" w:lineRule="auto"/>
        <w:jc w:val="both"/>
        <w:rPr>
          <w:rFonts w:ascii="Palatino Linotype" w:eastAsia="Times New Roman" w:hAnsi="Palatino Linotype"/>
          <w:sz w:val="24"/>
          <w:szCs w:val="24"/>
          <w:lang w:eastAsia="es-ES"/>
        </w:rPr>
      </w:pPr>
    </w:p>
    <w:p w14:paraId="7331440B" w14:textId="77777777" w:rsidR="00DE4FAB" w:rsidRDefault="00DE4FAB" w:rsidP="000F5B7E">
      <w:pPr>
        <w:spacing w:after="0" w:line="360" w:lineRule="auto"/>
        <w:jc w:val="both"/>
        <w:rPr>
          <w:rFonts w:ascii="Palatino Linotype" w:eastAsia="Times New Roman" w:hAnsi="Palatino Linotype"/>
          <w:sz w:val="24"/>
          <w:szCs w:val="24"/>
          <w:lang w:eastAsia="es-ES"/>
        </w:rPr>
      </w:pPr>
    </w:p>
    <w:p w14:paraId="4143A9E7" w14:textId="0EC6943B" w:rsidR="000F5B7E" w:rsidRDefault="000F5B7E" w:rsidP="000F5B7E">
      <w:pPr>
        <w:spacing w:after="0" w:line="360" w:lineRule="auto"/>
        <w:jc w:val="both"/>
        <w:rPr>
          <w:rFonts w:ascii="Palatino Linotype" w:eastAsia="Times New Roman" w:hAnsi="Palatino Linotype"/>
          <w:sz w:val="24"/>
          <w:szCs w:val="24"/>
          <w:lang w:eastAsia="es-ES"/>
        </w:rPr>
      </w:pPr>
      <w:r w:rsidRPr="000F5B7E">
        <w:rPr>
          <w:rFonts w:ascii="Palatino Linotype" w:eastAsia="Times New Roman" w:hAnsi="Palatino Linotype"/>
          <w:sz w:val="24"/>
          <w:szCs w:val="24"/>
          <w:lang w:eastAsia="es-ES"/>
        </w:rPr>
        <w:t>Por lo antes expuesto y fundado es de resolverse y,</w:t>
      </w:r>
    </w:p>
    <w:p w14:paraId="0EC3F625" w14:textId="77777777" w:rsidR="00DE4FAB" w:rsidRDefault="00DE4FAB" w:rsidP="000F5B7E">
      <w:pPr>
        <w:spacing w:after="0" w:line="360" w:lineRule="auto"/>
        <w:jc w:val="both"/>
        <w:rPr>
          <w:rFonts w:ascii="Palatino Linotype" w:eastAsia="Times New Roman" w:hAnsi="Palatino Linotype"/>
          <w:sz w:val="24"/>
          <w:szCs w:val="24"/>
          <w:lang w:eastAsia="es-ES"/>
        </w:rPr>
      </w:pPr>
    </w:p>
    <w:p w14:paraId="5BD9D689" w14:textId="77777777" w:rsidR="000F5B7E" w:rsidRPr="000F5B7E" w:rsidRDefault="000F5B7E" w:rsidP="000F5B7E">
      <w:pPr>
        <w:spacing w:after="0" w:line="360" w:lineRule="auto"/>
        <w:jc w:val="center"/>
        <w:rPr>
          <w:rFonts w:ascii="Palatino Linotype" w:eastAsia="Times New Roman" w:hAnsi="Palatino Linotype"/>
          <w:b/>
          <w:bCs/>
          <w:spacing w:val="60"/>
          <w:sz w:val="24"/>
          <w:szCs w:val="24"/>
          <w:lang w:eastAsia="es-ES"/>
        </w:rPr>
      </w:pPr>
    </w:p>
    <w:p w14:paraId="4F083AE2" w14:textId="77777777" w:rsidR="000F5B7E" w:rsidRPr="000F5B7E" w:rsidRDefault="000F5B7E" w:rsidP="000F5B7E">
      <w:pPr>
        <w:spacing w:after="0" w:line="360" w:lineRule="auto"/>
        <w:jc w:val="center"/>
        <w:rPr>
          <w:rFonts w:ascii="Palatino Linotype" w:eastAsia="Times New Roman" w:hAnsi="Palatino Linotype"/>
          <w:b/>
          <w:bCs/>
          <w:spacing w:val="60"/>
          <w:sz w:val="28"/>
          <w:szCs w:val="28"/>
          <w:lang w:eastAsia="es-ES"/>
        </w:rPr>
      </w:pPr>
      <w:r w:rsidRPr="000F5B7E">
        <w:rPr>
          <w:rFonts w:ascii="Palatino Linotype" w:eastAsia="Times New Roman" w:hAnsi="Palatino Linotype"/>
          <w:b/>
          <w:bCs/>
          <w:spacing w:val="60"/>
          <w:sz w:val="28"/>
          <w:szCs w:val="28"/>
          <w:lang w:eastAsia="es-ES"/>
        </w:rPr>
        <w:lastRenderedPageBreak/>
        <w:t>SE    RESUELVE</w:t>
      </w:r>
    </w:p>
    <w:p w14:paraId="09C7C646" w14:textId="77777777" w:rsidR="000F5B7E" w:rsidRPr="000F5B7E" w:rsidRDefault="000F5B7E" w:rsidP="000F5B7E">
      <w:pPr>
        <w:spacing w:after="0" w:line="360" w:lineRule="auto"/>
        <w:jc w:val="center"/>
        <w:rPr>
          <w:rFonts w:ascii="Palatino Linotype" w:eastAsia="Times New Roman" w:hAnsi="Palatino Linotype"/>
          <w:b/>
          <w:bCs/>
          <w:spacing w:val="60"/>
          <w:sz w:val="12"/>
          <w:szCs w:val="24"/>
        </w:rPr>
      </w:pPr>
    </w:p>
    <w:p w14:paraId="500E1A8F" w14:textId="2D34D953" w:rsidR="000F5B7E" w:rsidRPr="000F5B7E" w:rsidRDefault="000F5B7E" w:rsidP="000F5B7E">
      <w:pPr>
        <w:spacing w:after="0" w:line="360" w:lineRule="auto"/>
        <w:jc w:val="both"/>
        <w:rPr>
          <w:rFonts w:ascii="Palatino Linotype" w:eastAsia="Times New Roman" w:hAnsi="Palatino Linotype"/>
          <w:sz w:val="24"/>
          <w:szCs w:val="24"/>
          <w:lang w:eastAsia="es-ES"/>
        </w:rPr>
      </w:pPr>
      <w:r w:rsidRPr="000F5B7E">
        <w:rPr>
          <w:rFonts w:ascii="Palatino Linotype" w:eastAsia="Times New Roman" w:hAnsi="Palatino Linotype"/>
          <w:b/>
          <w:sz w:val="26"/>
          <w:szCs w:val="26"/>
          <w:lang w:eastAsia="es-ES"/>
        </w:rPr>
        <w:t>PRIMERO.</w:t>
      </w:r>
      <w:r w:rsidRPr="000F5B7E">
        <w:rPr>
          <w:rFonts w:ascii="Palatino Linotype" w:eastAsia="Times New Roman" w:hAnsi="Palatino Linotype"/>
          <w:sz w:val="24"/>
          <w:szCs w:val="24"/>
          <w:lang w:eastAsia="es-ES"/>
        </w:rPr>
        <w:t xml:space="preserve"> Se </w:t>
      </w:r>
      <w:r w:rsidR="00111EDA">
        <w:rPr>
          <w:rFonts w:ascii="Palatino Linotype" w:eastAsia="Times New Roman" w:hAnsi="Palatino Linotype"/>
          <w:b/>
          <w:sz w:val="24"/>
          <w:szCs w:val="24"/>
          <w:lang w:eastAsia="es-ES"/>
        </w:rPr>
        <w:t>MODIFICA</w:t>
      </w:r>
      <w:r w:rsidRPr="000F5B7E">
        <w:rPr>
          <w:rFonts w:ascii="Palatino Linotype" w:eastAsia="Times New Roman" w:hAnsi="Palatino Linotype"/>
          <w:sz w:val="24"/>
          <w:szCs w:val="24"/>
          <w:lang w:eastAsia="es-ES"/>
        </w:rPr>
        <w:t xml:space="preserve"> </w:t>
      </w:r>
      <w:r>
        <w:rPr>
          <w:rFonts w:ascii="Palatino Linotype" w:eastAsia="Arial Unicode MS" w:hAnsi="Palatino Linotype"/>
          <w:sz w:val="24"/>
          <w:szCs w:val="24"/>
          <w:lang w:eastAsia="es-ES"/>
        </w:rPr>
        <w:t>la respuesta entregada por el</w:t>
      </w:r>
      <w:r w:rsidRPr="000F5B7E">
        <w:rPr>
          <w:rFonts w:ascii="Palatino Linotype" w:eastAsia="Arial Unicode MS" w:hAnsi="Palatino Linotype"/>
          <w:b/>
          <w:sz w:val="24"/>
          <w:szCs w:val="24"/>
          <w:lang w:eastAsia="es-ES"/>
        </w:rPr>
        <w:t xml:space="preserve"> Sujeto Obligado </w:t>
      </w:r>
      <w:r w:rsidRPr="000F5B7E">
        <w:rPr>
          <w:rFonts w:ascii="Palatino Linotype" w:eastAsia="Arial Unicode MS" w:hAnsi="Palatino Linotype"/>
          <w:sz w:val="24"/>
          <w:szCs w:val="24"/>
          <w:lang w:eastAsia="es-ES"/>
        </w:rPr>
        <w:t xml:space="preserve">a la solicitud de información número </w:t>
      </w:r>
      <w:r w:rsidR="00FA4FF6" w:rsidRPr="00FA4FF6">
        <w:rPr>
          <w:rFonts w:ascii="Palatino Linotype" w:hAnsi="Palatino Linotype"/>
          <w:b/>
          <w:sz w:val="24"/>
          <w:szCs w:val="24"/>
        </w:rPr>
        <w:t>01022/TOLUCA/IP/2021</w:t>
      </w:r>
      <w:r w:rsidRPr="000F5B7E">
        <w:rPr>
          <w:rFonts w:ascii="Palatino Linotype" w:eastAsia="Arial Unicode MS" w:hAnsi="Palatino Linotype"/>
          <w:sz w:val="24"/>
          <w:szCs w:val="24"/>
          <w:lang w:eastAsia="es-ES"/>
        </w:rPr>
        <w:t>, por resultar fundados los motivos de inconformidad que arguye el</w:t>
      </w:r>
      <w:r w:rsidRPr="000F5B7E">
        <w:rPr>
          <w:rFonts w:ascii="Palatino Linotype" w:eastAsia="Arial Unicode MS" w:hAnsi="Palatino Linotype"/>
          <w:b/>
          <w:sz w:val="24"/>
          <w:szCs w:val="24"/>
          <w:lang w:eastAsia="es-ES"/>
        </w:rPr>
        <w:t xml:space="preserve"> Recurrente</w:t>
      </w:r>
      <w:r w:rsidRPr="000F5B7E">
        <w:rPr>
          <w:rFonts w:ascii="Palatino Linotype" w:eastAsia="Arial Unicode MS" w:hAnsi="Palatino Linotype"/>
          <w:sz w:val="24"/>
          <w:szCs w:val="24"/>
          <w:lang w:eastAsia="es-ES"/>
        </w:rPr>
        <w:t>, en términos del</w:t>
      </w:r>
      <w:r w:rsidRPr="000F5B7E">
        <w:rPr>
          <w:rFonts w:ascii="Palatino Linotype" w:eastAsia="Arial Unicode MS" w:hAnsi="Palatino Linotype"/>
          <w:b/>
          <w:sz w:val="24"/>
          <w:szCs w:val="24"/>
          <w:lang w:eastAsia="es-ES"/>
        </w:rPr>
        <w:t xml:space="preserve"> </w:t>
      </w:r>
      <w:r w:rsidRPr="000F5B7E">
        <w:rPr>
          <w:rFonts w:ascii="Palatino Linotype" w:eastAsia="Times New Roman" w:hAnsi="Palatino Linotype"/>
          <w:sz w:val="24"/>
          <w:szCs w:val="24"/>
          <w:lang w:eastAsia="es-ES"/>
        </w:rPr>
        <w:t>Considerando</w:t>
      </w:r>
      <w:r w:rsidRPr="000F5B7E">
        <w:rPr>
          <w:rFonts w:ascii="Palatino Linotype" w:eastAsia="Times New Roman" w:hAnsi="Palatino Linotype"/>
          <w:b/>
          <w:sz w:val="24"/>
          <w:szCs w:val="24"/>
          <w:lang w:eastAsia="es-ES"/>
        </w:rPr>
        <w:t xml:space="preserve"> </w:t>
      </w:r>
      <w:r w:rsidR="00FA4FF6">
        <w:rPr>
          <w:rFonts w:ascii="Palatino Linotype" w:eastAsia="Times New Roman" w:hAnsi="Palatino Linotype"/>
          <w:b/>
          <w:sz w:val="24"/>
          <w:szCs w:val="24"/>
          <w:lang w:eastAsia="es-ES"/>
        </w:rPr>
        <w:t>QUINTO</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de la presente resolución.</w:t>
      </w:r>
    </w:p>
    <w:p w14:paraId="481DC374" w14:textId="77777777" w:rsidR="000F5B7E" w:rsidRPr="000F5B7E" w:rsidRDefault="000F5B7E" w:rsidP="000F5B7E">
      <w:pPr>
        <w:spacing w:after="0" w:line="360" w:lineRule="auto"/>
        <w:jc w:val="both"/>
        <w:rPr>
          <w:rFonts w:ascii="Palatino Linotype" w:eastAsia="Times New Roman" w:hAnsi="Palatino Linotype"/>
          <w:sz w:val="24"/>
          <w:szCs w:val="24"/>
          <w:lang w:eastAsia="es-ES"/>
        </w:rPr>
      </w:pPr>
    </w:p>
    <w:p w14:paraId="38E01B5F" w14:textId="00D41793" w:rsidR="000F5B7E" w:rsidRPr="000F5B7E" w:rsidRDefault="000F5B7E" w:rsidP="000F5B7E">
      <w:pPr>
        <w:autoSpaceDE w:val="0"/>
        <w:autoSpaceDN w:val="0"/>
        <w:adjustRightInd w:val="0"/>
        <w:spacing w:after="0" w:line="360" w:lineRule="auto"/>
        <w:ind w:right="49"/>
        <w:jc w:val="both"/>
        <w:rPr>
          <w:rFonts w:ascii="Palatino Linotype" w:hAnsi="Palatino Linotype"/>
          <w:sz w:val="24"/>
          <w:szCs w:val="24"/>
        </w:rPr>
      </w:pPr>
      <w:r w:rsidRPr="000F5B7E">
        <w:rPr>
          <w:rFonts w:ascii="Palatino Linotype" w:hAnsi="Palatino Linotype"/>
          <w:b/>
          <w:sz w:val="26"/>
          <w:szCs w:val="26"/>
        </w:rPr>
        <w:t>SEGUNDO.</w:t>
      </w:r>
      <w:r w:rsidRPr="000F5B7E">
        <w:rPr>
          <w:rFonts w:ascii="Palatino Linotype" w:hAnsi="Palatino Linotype"/>
        </w:rPr>
        <w:t xml:space="preserve"> </w:t>
      </w:r>
      <w:r w:rsidRPr="000F5B7E">
        <w:rPr>
          <w:rFonts w:ascii="Palatino Linotype" w:hAnsi="Palatino Linotype"/>
          <w:sz w:val="24"/>
          <w:szCs w:val="24"/>
        </w:rPr>
        <w:t xml:space="preserve">Se </w:t>
      </w:r>
      <w:r w:rsidRPr="000F5B7E">
        <w:rPr>
          <w:rFonts w:ascii="Palatino Linotype" w:hAnsi="Palatino Linotype"/>
          <w:b/>
          <w:sz w:val="24"/>
          <w:szCs w:val="24"/>
        </w:rPr>
        <w:t>ORDENA</w:t>
      </w:r>
      <w:r w:rsidRPr="000F5B7E">
        <w:rPr>
          <w:rFonts w:ascii="Palatino Linotype" w:hAnsi="Palatino Linotype"/>
          <w:sz w:val="24"/>
          <w:szCs w:val="24"/>
        </w:rPr>
        <w:t xml:space="preserve"> al </w:t>
      </w:r>
      <w:r w:rsidRPr="000F5B7E">
        <w:rPr>
          <w:rFonts w:ascii="Palatino Linotype" w:hAnsi="Palatino Linotype"/>
          <w:b/>
          <w:sz w:val="24"/>
          <w:szCs w:val="24"/>
        </w:rPr>
        <w:t>Sujeto Obligado</w:t>
      </w:r>
      <w:r w:rsidRPr="000F5B7E">
        <w:rPr>
          <w:rFonts w:ascii="Palatino Linotype" w:hAnsi="Palatino Linotype"/>
          <w:sz w:val="24"/>
          <w:szCs w:val="24"/>
        </w:rPr>
        <w:t xml:space="preserve"> </w:t>
      </w:r>
      <w:r w:rsidR="00FA4FF6" w:rsidRPr="00CD7B2B">
        <w:rPr>
          <w:rFonts w:ascii="Palatino Linotype" w:hAnsi="Palatino Linotype" w:cs="Arial"/>
          <w:sz w:val="24"/>
          <w:szCs w:val="24"/>
        </w:rPr>
        <w:t xml:space="preserve">realizar una búsqueda exhaustiva y razonable a fin de entregar al </w:t>
      </w:r>
      <w:r w:rsidR="00FA4FF6" w:rsidRPr="00CD7B2B">
        <w:rPr>
          <w:rFonts w:ascii="Palatino Linotype" w:hAnsi="Palatino Linotype" w:cs="Arial"/>
          <w:b/>
          <w:sz w:val="24"/>
          <w:szCs w:val="24"/>
        </w:rPr>
        <w:t>Recurrente</w:t>
      </w:r>
      <w:r w:rsidRPr="000F5B7E">
        <w:rPr>
          <w:rFonts w:ascii="Palatino Linotype" w:hAnsi="Palatino Linotype"/>
          <w:sz w:val="24"/>
          <w:szCs w:val="24"/>
        </w:rPr>
        <w:t xml:space="preserve">, en términos del Considerando </w:t>
      </w:r>
      <w:r w:rsidR="00FA4FF6">
        <w:rPr>
          <w:rFonts w:ascii="Palatino Linotype" w:hAnsi="Palatino Linotype"/>
          <w:b/>
          <w:sz w:val="24"/>
          <w:szCs w:val="24"/>
        </w:rPr>
        <w:t>QUINTO</w:t>
      </w:r>
      <w:r w:rsidRPr="000F5B7E">
        <w:rPr>
          <w:rFonts w:ascii="Palatino Linotype" w:hAnsi="Palatino Linotype"/>
          <w:b/>
          <w:sz w:val="24"/>
          <w:szCs w:val="24"/>
        </w:rPr>
        <w:t xml:space="preserve"> </w:t>
      </w:r>
      <w:r w:rsidRPr="000F5B7E">
        <w:rPr>
          <w:rFonts w:ascii="Palatino Linotype" w:hAnsi="Palatino Linotype"/>
          <w:sz w:val="24"/>
          <w:szCs w:val="24"/>
        </w:rPr>
        <w:t xml:space="preserve">de esta resolución, vía </w:t>
      </w:r>
      <w:r w:rsidR="00CD43B7">
        <w:rPr>
          <w:rFonts w:ascii="Palatino Linotype" w:hAnsi="Palatino Linotype"/>
          <w:sz w:val="24"/>
          <w:szCs w:val="24"/>
        </w:rPr>
        <w:t>Sistema de Acceso a la Información Mexiquense (</w:t>
      </w:r>
      <w:r w:rsidRPr="00CD43B7">
        <w:rPr>
          <w:rFonts w:ascii="Palatino Linotype" w:hAnsi="Palatino Linotype"/>
          <w:b/>
          <w:bCs/>
          <w:sz w:val="24"/>
          <w:szCs w:val="24"/>
        </w:rPr>
        <w:t>SAIMEX</w:t>
      </w:r>
      <w:r w:rsidR="00CD43B7">
        <w:rPr>
          <w:rFonts w:ascii="Palatino Linotype" w:hAnsi="Palatino Linotype"/>
          <w:sz w:val="24"/>
          <w:szCs w:val="24"/>
        </w:rPr>
        <w:t>)</w:t>
      </w:r>
      <w:r w:rsidRPr="000F5B7E">
        <w:rPr>
          <w:rFonts w:ascii="Palatino Linotype" w:hAnsi="Palatino Linotype"/>
          <w:sz w:val="24"/>
          <w:szCs w:val="24"/>
        </w:rPr>
        <w:t>,</w:t>
      </w:r>
      <w:r w:rsidRPr="000F5B7E">
        <w:t xml:space="preserve"> </w:t>
      </w:r>
      <w:r w:rsidRPr="000F5B7E">
        <w:rPr>
          <w:rFonts w:ascii="Palatino Linotype" w:hAnsi="Palatino Linotype"/>
          <w:sz w:val="24"/>
          <w:szCs w:val="24"/>
        </w:rPr>
        <w:t>en versión pública</w:t>
      </w:r>
      <w:r w:rsidR="00CD43B7">
        <w:rPr>
          <w:rFonts w:ascii="Palatino Linotype" w:hAnsi="Palatino Linotype"/>
          <w:sz w:val="24"/>
          <w:szCs w:val="24"/>
        </w:rPr>
        <w:t xml:space="preserve"> de ser procedente</w:t>
      </w:r>
      <w:r w:rsidRPr="000F5B7E">
        <w:rPr>
          <w:rFonts w:ascii="Palatino Linotype" w:hAnsi="Palatino Linotype"/>
          <w:sz w:val="24"/>
          <w:szCs w:val="24"/>
        </w:rPr>
        <w:t>,</w:t>
      </w:r>
      <w:r>
        <w:rPr>
          <w:rFonts w:ascii="Palatino Linotype" w:eastAsia="Times New Roman" w:hAnsi="Palatino Linotype"/>
          <w:sz w:val="24"/>
          <w:szCs w:val="24"/>
          <w:lang w:eastAsia="es-MX"/>
        </w:rPr>
        <w:t xml:space="preserve"> </w:t>
      </w:r>
      <w:r w:rsidRPr="000F5B7E">
        <w:rPr>
          <w:rFonts w:ascii="Palatino Linotype" w:eastAsia="Times New Roman" w:hAnsi="Palatino Linotype"/>
          <w:sz w:val="24"/>
          <w:szCs w:val="24"/>
          <w:lang w:eastAsia="es-MX"/>
        </w:rPr>
        <w:t>lo siguiente</w:t>
      </w:r>
      <w:r w:rsidRPr="000F5B7E">
        <w:rPr>
          <w:rFonts w:ascii="Palatino Linotype" w:hAnsi="Palatino Linotype"/>
          <w:sz w:val="24"/>
          <w:szCs w:val="24"/>
        </w:rPr>
        <w:t xml:space="preserve">: </w:t>
      </w:r>
    </w:p>
    <w:p w14:paraId="0886EA60" w14:textId="77777777" w:rsidR="000F5B7E" w:rsidRPr="000F5B7E" w:rsidRDefault="000F5B7E" w:rsidP="000F5B7E">
      <w:pPr>
        <w:autoSpaceDE w:val="0"/>
        <w:autoSpaceDN w:val="0"/>
        <w:adjustRightInd w:val="0"/>
        <w:spacing w:after="0" w:line="360" w:lineRule="auto"/>
        <w:ind w:right="49"/>
        <w:jc w:val="both"/>
        <w:rPr>
          <w:rFonts w:ascii="Palatino Linotype" w:hAnsi="Palatino Linotype"/>
          <w:sz w:val="24"/>
          <w:szCs w:val="24"/>
        </w:rPr>
      </w:pPr>
    </w:p>
    <w:p w14:paraId="1C2CAB48" w14:textId="77777777" w:rsidR="00FA4FF6" w:rsidRPr="00523868" w:rsidRDefault="00FA4FF6" w:rsidP="00FA4FF6">
      <w:pPr>
        <w:numPr>
          <w:ilvl w:val="0"/>
          <w:numId w:val="11"/>
        </w:numPr>
        <w:spacing w:after="0" w:line="360" w:lineRule="auto"/>
        <w:jc w:val="both"/>
        <w:rPr>
          <w:rFonts w:ascii="Palatino Linotype" w:eastAsia="Times New Roman" w:hAnsi="Palatino Linotype"/>
          <w:bCs/>
          <w:i/>
          <w:sz w:val="24"/>
          <w:szCs w:val="24"/>
          <w:lang w:eastAsia="es-ES"/>
        </w:rPr>
      </w:pPr>
      <w:r w:rsidRPr="00523868">
        <w:rPr>
          <w:rFonts w:ascii="Palatino Linotype" w:eastAsia="Times New Roman" w:hAnsi="Palatino Linotype"/>
          <w:bCs/>
          <w:i/>
          <w:sz w:val="24"/>
          <w:szCs w:val="24"/>
          <w:lang w:eastAsia="es-ES"/>
        </w:rPr>
        <w:t>De</w:t>
      </w:r>
      <w:r w:rsidRPr="00FA4FF6">
        <w:rPr>
          <w:rFonts w:ascii="Palatino Linotype" w:eastAsia="Times New Roman" w:hAnsi="Palatino Linotype"/>
          <w:bCs/>
          <w:i/>
          <w:sz w:val="24"/>
          <w:szCs w:val="24"/>
          <w:lang w:eastAsia="es-ES"/>
        </w:rPr>
        <w:t xml:space="preserve"> los 10 bienes inmuebles referidos en la solicitud de acceso a la información pública con número de folio</w:t>
      </w:r>
      <w:r w:rsidRPr="00FA4FF6">
        <w:rPr>
          <w:bCs/>
        </w:rPr>
        <w:t xml:space="preserve"> </w:t>
      </w:r>
      <w:r w:rsidRPr="00FA4FF6">
        <w:rPr>
          <w:rFonts w:ascii="Palatino Linotype" w:eastAsia="Times New Roman" w:hAnsi="Palatino Linotype"/>
          <w:bCs/>
          <w:i/>
          <w:sz w:val="24"/>
          <w:szCs w:val="24"/>
          <w:lang w:eastAsia="es-ES"/>
        </w:rPr>
        <w:t>01022/TOLUCA/IP/2021 lo siguiente</w:t>
      </w:r>
      <w:r w:rsidRPr="00523868">
        <w:rPr>
          <w:rFonts w:ascii="Palatino Linotype" w:eastAsia="Times New Roman" w:hAnsi="Palatino Linotype"/>
          <w:bCs/>
          <w:i/>
          <w:sz w:val="24"/>
          <w:szCs w:val="24"/>
          <w:lang w:eastAsia="es-ES"/>
        </w:rPr>
        <w:t xml:space="preserve">: </w:t>
      </w:r>
    </w:p>
    <w:p w14:paraId="78B3AF49" w14:textId="77777777" w:rsidR="00FA4FF6" w:rsidRPr="00523868" w:rsidRDefault="00FA4FF6" w:rsidP="00FA4FF6">
      <w:pPr>
        <w:numPr>
          <w:ilvl w:val="1"/>
          <w:numId w:val="11"/>
        </w:numPr>
        <w:spacing w:after="0" w:line="360" w:lineRule="auto"/>
        <w:jc w:val="both"/>
        <w:rPr>
          <w:rFonts w:ascii="Palatino Linotype" w:eastAsia="Times New Roman" w:hAnsi="Palatino Linotype"/>
          <w:b/>
          <w:i/>
          <w:sz w:val="24"/>
          <w:szCs w:val="24"/>
          <w:lang w:eastAsia="es-ES"/>
        </w:rPr>
      </w:pPr>
      <w:r w:rsidRPr="00C35DCC">
        <w:rPr>
          <w:rFonts w:ascii="Palatino Linotype" w:eastAsia="Times New Roman" w:hAnsi="Palatino Linotype"/>
          <w:i/>
          <w:sz w:val="24"/>
          <w:szCs w:val="24"/>
          <w:lang w:eastAsia="es-ES"/>
        </w:rPr>
        <w:t>Ubicación de los 10 predios</w:t>
      </w:r>
      <w:r w:rsidRPr="00523868">
        <w:rPr>
          <w:rFonts w:ascii="Palatino Linotype" w:eastAsia="Times New Roman" w:hAnsi="Palatino Linotype"/>
          <w:i/>
          <w:sz w:val="24"/>
          <w:szCs w:val="24"/>
          <w:lang w:eastAsia="es-ES"/>
        </w:rPr>
        <w:t>.</w:t>
      </w:r>
    </w:p>
    <w:p w14:paraId="20588453" w14:textId="77777777" w:rsidR="00FA4FF6" w:rsidRPr="00523868" w:rsidRDefault="00FA4FF6" w:rsidP="00FA4FF6">
      <w:pPr>
        <w:numPr>
          <w:ilvl w:val="1"/>
          <w:numId w:val="11"/>
        </w:numPr>
        <w:spacing w:after="0" w:line="360" w:lineRule="auto"/>
        <w:jc w:val="both"/>
        <w:rPr>
          <w:rFonts w:ascii="Palatino Linotype" w:eastAsia="Times New Roman" w:hAnsi="Palatino Linotype"/>
          <w:b/>
          <w:i/>
          <w:sz w:val="24"/>
          <w:szCs w:val="24"/>
          <w:lang w:eastAsia="es-ES"/>
        </w:rPr>
      </w:pPr>
      <w:r w:rsidRPr="00C35DCC">
        <w:rPr>
          <w:rFonts w:ascii="Palatino Linotype" w:eastAsia="Times New Roman" w:hAnsi="Palatino Linotype"/>
          <w:i/>
          <w:sz w:val="24"/>
          <w:szCs w:val="24"/>
          <w:lang w:eastAsia="es-ES"/>
        </w:rPr>
        <w:t>El pro</w:t>
      </w:r>
      <w:r>
        <w:rPr>
          <w:rFonts w:ascii="Palatino Linotype" w:eastAsia="Times New Roman" w:hAnsi="Palatino Linotype"/>
          <w:i/>
          <w:sz w:val="24"/>
          <w:szCs w:val="24"/>
          <w:lang w:eastAsia="es-ES"/>
        </w:rPr>
        <w:t>cedimiento</w:t>
      </w:r>
      <w:r w:rsidRPr="00C35DCC">
        <w:rPr>
          <w:rFonts w:ascii="Palatino Linotype" w:eastAsia="Times New Roman" w:hAnsi="Palatino Linotype"/>
          <w:i/>
          <w:sz w:val="24"/>
          <w:szCs w:val="24"/>
          <w:lang w:eastAsia="es-ES"/>
        </w:rPr>
        <w:t xml:space="preserve"> para llevar a cabo la enajenación</w:t>
      </w:r>
      <w:r w:rsidRPr="00523868">
        <w:rPr>
          <w:rFonts w:ascii="Palatino Linotype" w:eastAsia="Times New Roman" w:hAnsi="Palatino Linotype"/>
          <w:i/>
          <w:sz w:val="24"/>
          <w:szCs w:val="24"/>
          <w:lang w:eastAsia="es-ES"/>
        </w:rPr>
        <w:t>.</w:t>
      </w:r>
    </w:p>
    <w:p w14:paraId="7ED920EA" w14:textId="77777777" w:rsidR="00FA4FF6" w:rsidRPr="00523868" w:rsidRDefault="00FA4FF6" w:rsidP="00FA4FF6">
      <w:pPr>
        <w:numPr>
          <w:ilvl w:val="1"/>
          <w:numId w:val="11"/>
        </w:numPr>
        <w:spacing w:after="0" w:line="360" w:lineRule="auto"/>
        <w:jc w:val="both"/>
        <w:rPr>
          <w:rFonts w:ascii="Palatino Linotype" w:eastAsia="Times New Roman" w:hAnsi="Palatino Linotype"/>
          <w:b/>
          <w:i/>
          <w:sz w:val="24"/>
          <w:szCs w:val="24"/>
          <w:lang w:eastAsia="es-ES"/>
        </w:rPr>
      </w:pPr>
      <w:r>
        <w:rPr>
          <w:rFonts w:ascii="Palatino Linotype" w:eastAsia="Times New Roman" w:hAnsi="Palatino Linotype"/>
          <w:i/>
          <w:sz w:val="24"/>
          <w:szCs w:val="24"/>
          <w:lang w:eastAsia="es-ES"/>
        </w:rPr>
        <w:t>Monto de salida de subasta</w:t>
      </w:r>
      <w:r w:rsidRPr="00523868">
        <w:rPr>
          <w:rFonts w:ascii="Palatino Linotype" w:eastAsia="Times New Roman" w:hAnsi="Palatino Linotype"/>
          <w:i/>
          <w:sz w:val="24"/>
          <w:szCs w:val="24"/>
          <w:lang w:eastAsia="es-ES"/>
        </w:rPr>
        <w:t>.</w:t>
      </w:r>
    </w:p>
    <w:p w14:paraId="6AD0BD1F" w14:textId="77777777" w:rsidR="00FA4FF6" w:rsidRPr="00523868" w:rsidRDefault="00FA4FF6" w:rsidP="00FA4FF6">
      <w:pPr>
        <w:numPr>
          <w:ilvl w:val="1"/>
          <w:numId w:val="11"/>
        </w:numPr>
        <w:spacing w:after="0" w:line="360" w:lineRule="auto"/>
        <w:jc w:val="both"/>
        <w:rPr>
          <w:rFonts w:ascii="Palatino Linotype" w:eastAsia="Times New Roman" w:hAnsi="Palatino Linotype"/>
          <w:b/>
          <w:i/>
          <w:sz w:val="24"/>
          <w:szCs w:val="24"/>
          <w:lang w:eastAsia="es-ES"/>
        </w:rPr>
      </w:pPr>
      <w:r w:rsidRPr="00C35DCC">
        <w:rPr>
          <w:rFonts w:ascii="Palatino Linotype" w:eastAsia="Times New Roman" w:hAnsi="Palatino Linotype"/>
          <w:i/>
          <w:sz w:val="24"/>
          <w:szCs w:val="24"/>
          <w:lang w:eastAsia="es-ES"/>
        </w:rPr>
        <w:t>Monto que se espera recaudar</w:t>
      </w:r>
      <w:r w:rsidRPr="00523868">
        <w:rPr>
          <w:rFonts w:ascii="Palatino Linotype" w:eastAsia="Times New Roman" w:hAnsi="Palatino Linotype"/>
          <w:i/>
          <w:sz w:val="24"/>
          <w:szCs w:val="24"/>
          <w:lang w:eastAsia="es-ES"/>
        </w:rPr>
        <w:t>.</w:t>
      </w:r>
    </w:p>
    <w:p w14:paraId="64F441E0" w14:textId="77777777" w:rsidR="00FA4FF6" w:rsidRPr="00C35DCC" w:rsidRDefault="00FA4FF6" w:rsidP="00FA4FF6">
      <w:pPr>
        <w:numPr>
          <w:ilvl w:val="1"/>
          <w:numId w:val="11"/>
        </w:numPr>
        <w:spacing w:after="0" w:line="360" w:lineRule="auto"/>
        <w:jc w:val="both"/>
        <w:rPr>
          <w:rFonts w:ascii="Palatino Linotype" w:eastAsia="Times New Roman" w:hAnsi="Palatino Linotype"/>
          <w:b/>
          <w:i/>
          <w:sz w:val="24"/>
          <w:szCs w:val="24"/>
          <w:lang w:eastAsia="es-ES"/>
        </w:rPr>
      </w:pPr>
      <w:r w:rsidRPr="00C35DCC">
        <w:rPr>
          <w:rFonts w:ascii="Palatino Linotype" w:eastAsia="Times New Roman" w:hAnsi="Palatino Linotype"/>
          <w:i/>
          <w:sz w:val="24"/>
          <w:szCs w:val="24"/>
          <w:lang w:eastAsia="es-ES"/>
        </w:rPr>
        <w:t>Convocados a la subasta</w:t>
      </w:r>
      <w:r w:rsidRPr="00523868">
        <w:rPr>
          <w:rFonts w:ascii="Palatino Linotype" w:eastAsia="Times New Roman" w:hAnsi="Palatino Linotype"/>
          <w:i/>
          <w:sz w:val="24"/>
          <w:szCs w:val="24"/>
          <w:lang w:eastAsia="es-ES"/>
        </w:rPr>
        <w:t>.</w:t>
      </w:r>
    </w:p>
    <w:p w14:paraId="12FD3B86" w14:textId="77777777" w:rsidR="00FA4FF6" w:rsidRDefault="00FA4FF6" w:rsidP="00435A05">
      <w:pPr>
        <w:spacing w:after="0" w:line="276" w:lineRule="auto"/>
        <w:ind w:left="426" w:right="425"/>
        <w:jc w:val="both"/>
        <w:rPr>
          <w:rFonts w:ascii="Palatino Linotype" w:eastAsia="Times New Roman" w:hAnsi="Palatino Linotype"/>
          <w:bCs/>
          <w:i/>
          <w:szCs w:val="24"/>
          <w:shd w:val="clear" w:color="auto" w:fill="FFFFFF"/>
          <w:lang w:eastAsia="es-ES"/>
        </w:rPr>
      </w:pPr>
    </w:p>
    <w:p w14:paraId="3E5532DA" w14:textId="4FCCF30C" w:rsidR="00FA4FF6" w:rsidRPr="00FA4FF6" w:rsidRDefault="00FA4FF6" w:rsidP="00FA4FF6">
      <w:pPr>
        <w:spacing w:after="0" w:line="276" w:lineRule="auto"/>
        <w:ind w:left="426" w:right="425"/>
        <w:jc w:val="both"/>
        <w:rPr>
          <w:rFonts w:ascii="Palatino Linotype" w:eastAsia="Times New Roman" w:hAnsi="Palatino Linotype"/>
          <w:bCs/>
          <w:i/>
          <w:szCs w:val="24"/>
          <w:shd w:val="clear" w:color="auto" w:fill="FFFFFF"/>
          <w:lang w:eastAsia="es-ES"/>
        </w:rPr>
      </w:pPr>
      <w:r w:rsidRPr="00FA4FF6">
        <w:rPr>
          <w:rFonts w:ascii="Palatino Linotype" w:eastAsia="Times New Roman" w:hAnsi="Palatino Linotype"/>
          <w:bCs/>
          <w:i/>
          <w:szCs w:val="24"/>
          <w:shd w:val="clear" w:color="auto" w:fill="FFFFFF"/>
          <w:lang w:eastAsia="es-ES"/>
        </w:rPr>
        <w:t>En el supuesto de que la información respecto de la que se ordena la entrega en el punto 1 del presente Resolutivo contenga datos susceptibles de clasificar, se deberá generar y entregar la versión pública correspondiente acompañada del acuerdo de clasificación, en términos de lo señalado en el Considerando</w:t>
      </w:r>
      <w:r>
        <w:rPr>
          <w:rFonts w:ascii="Palatino Linotype" w:eastAsia="Times New Roman" w:hAnsi="Palatino Linotype"/>
          <w:bCs/>
          <w:i/>
          <w:szCs w:val="24"/>
          <w:shd w:val="clear" w:color="auto" w:fill="FFFFFF"/>
          <w:lang w:eastAsia="es-ES"/>
        </w:rPr>
        <w:t xml:space="preserve"> QUINTO</w:t>
      </w:r>
      <w:r w:rsidRPr="00FA4FF6">
        <w:rPr>
          <w:rFonts w:ascii="Palatino Linotype" w:eastAsia="Times New Roman" w:hAnsi="Palatino Linotype"/>
          <w:bCs/>
          <w:i/>
          <w:szCs w:val="24"/>
          <w:shd w:val="clear" w:color="auto" w:fill="FFFFFF"/>
          <w:lang w:eastAsia="es-ES"/>
        </w:rPr>
        <w:t xml:space="preserve"> y en los artículos 49 fracción VIII, 132 fracción II de la Ley de Transparencia y Acceso a la Información Pública del Estado de México y Municipios y demás normatividad aplicable.</w:t>
      </w:r>
    </w:p>
    <w:p w14:paraId="7F790C9F" w14:textId="77777777" w:rsidR="00111EDA" w:rsidRDefault="00111EDA" w:rsidP="00435A05">
      <w:pPr>
        <w:spacing w:after="0" w:line="276" w:lineRule="auto"/>
        <w:ind w:left="426" w:right="425"/>
        <w:jc w:val="both"/>
        <w:rPr>
          <w:rFonts w:ascii="Palatino Linotype" w:eastAsia="Times New Roman" w:hAnsi="Palatino Linotype"/>
          <w:bCs/>
          <w:i/>
          <w:szCs w:val="24"/>
          <w:shd w:val="clear" w:color="auto" w:fill="FFFFFF"/>
          <w:lang w:eastAsia="es-ES"/>
        </w:rPr>
      </w:pPr>
    </w:p>
    <w:p w14:paraId="64DC567E" w14:textId="6AB0BB1D" w:rsidR="00111EDA" w:rsidRDefault="00FA4FF6" w:rsidP="00111EDA">
      <w:pPr>
        <w:spacing w:after="0" w:line="276" w:lineRule="auto"/>
        <w:ind w:left="426" w:right="425"/>
        <w:jc w:val="both"/>
        <w:rPr>
          <w:rFonts w:ascii="Palatino Linotype" w:eastAsia="Times New Roman" w:hAnsi="Palatino Linotype"/>
          <w:bCs/>
          <w:i/>
          <w:szCs w:val="24"/>
          <w:shd w:val="clear" w:color="auto" w:fill="FFFFFF"/>
          <w:lang w:eastAsia="es-ES"/>
        </w:rPr>
      </w:pPr>
      <w:r w:rsidRPr="00A559C5">
        <w:rPr>
          <w:rFonts w:ascii="Palatino Linotype" w:eastAsia="Times New Roman" w:hAnsi="Palatino Linotype"/>
          <w:bCs/>
          <w:i/>
          <w:szCs w:val="24"/>
          <w:shd w:val="clear" w:color="auto" w:fill="FFFFFF"/>
          <w:lang w:eastAsia="es-ES"/>
        </w:rPr>
        <w:t xml:space="preserve">Para el caso de que una vez realizada una búsqueda exhaustiva y razonable, el sujeto obligado no cuente con la información que se ordena su entrega en los incisos c), d) y e) del presente resolutivo, </w:t>
      </w:r>
      <w:r w:rsidR="005A17D3" w:rsidRPr="00A559C5">
        <w:rPr>
          <w:rFonts w:ascii="Palatino Linotype" w:eastAsia="Times New Roman" w:hAnsi="Palatino Linotype"/>
          <w:bCs/>
          <w:i/>
          <w:szCs w:val="24"/>
          <w:shd w:val="clear" w:color="auto" w:fill="FFFFFF"/>
          <w:lang w:eastAsia="es-ES"/>
        </w:rPr>
        <w:t>bastará con que lo haga del conocimiento de la Recurrente al momento de dar cumplimiento a la presente resolución.</w:t>
      </w:r>
    </w:p>
    <w:p w14:paraId="62B2256E" w14:textId="77777777" w:rsidR="00F310FB" w:rsidRPr="00435A05" w:rsidRDefault="00F310FB" w:rsidP="008864EF">
      <w:pPr>
        <w:spacing w:after="0" w:line="276" w:lineRule="auto"/>
        <w:ind w:right="425"/>
        <w:jc w:val="both"/>
        <w:rPr>
          <w:rFonts w:ascii="Palatino Linotype" w:eastAsia="Times New Roman" w:hAnsi="Palatino Linotype"/>
          <w:bCs/>
          <w:i/>
          <w:szCs w:val="24"/>
          <w:shd w:val="clear" w:color="auto" w:fill="FFFFFF"/>
          <w:lang w:eastAsia="es-ES"/>
        </w:rPr>
      </w:pPr>
    </w:p>
    <w:p w14:paraId="611520E5" w14:textId="77777777" w:rsidR="000F5B7E" w:rsidRPr="000F5B7E" w:rsidRDefault="000F5B7E" w:rsidP="000F5B7E">
      <w:pPr>
        <w:spacing w:after="0" w:line="360" w:lineRule="auto"/>
        <w:jc w:val="both"/>
        <w:rPr>
          <w:rFonts w:ascii="Palatino Linotype" w:eastAsia="Times New Roman" w:hAnsi="Palatino Linotype"/>
          <w:sz w:val="24"/>
          <w:szCs w:val="24"/>
          <w:lang w:eastAsia="es-ES"/>
        </w:rPr>
      </w:pPr>
    </w:p>
    <w:p w14:paraId="72AB3F20" w14:textId="77777777" w:rsidR="00435A05" w:rsidRPr="00435A05" w:rsidRDefault="00435A05" w:rsidP="00435A05">
      <w:pPr>
        <w:spacing w:after="0" w:line="360" w:lineRule="auto"/>
        <w:jc w:val="both"/>
        <w:rPr>
          <w:rFonts w:ascii="Palatino Linotype" w:eastAsia="Times New Roman" w:hAnsi="Palatino Linotype"/>
          <w:sz w:val="24"/>
          <w:szCs w:val="24"/>
          <w:lang w:eastAsia="es-ES"/>
        </w:rPr>
      </w:pPr>
      <w:r w:rsidRPr="00435A05">
        <w:rPr>
          <w:rFonts w:ascii="Palatino Linotype" w:eastAsia="Times New Roman" w:hAnsi="Palatino Linotype"/>
          <w:b/>
          <w:sz w:val="24"/>
          <w:szCs w:val="24"/>
          <w:lang w:eastAsia="es-ES"/>
        </w:rPr>
        <w:t>TERCERO. Notifíquese</w:t>
      </w:r>
      <w:r w:rsidRPr="00435A05">
        <w:rPr>
          <w:rFonts w:ascii="Palatino Linotype" w:eastAsia="Times New Roman" w:hAnsi="Palatino Linotype"/>
          <w:b/>
          <w:i/>
          <w:sz w:val="24"/>
          <w:szCs w:val="24"/>
          <w:lang w:eastAsia="es-ES"/>
        </w:rPr>
        <w:t xml:space="preserve"> </w:t>
      </w:r>
      <w:r w:rsidRPr="00435A05">
        <w:rPr>
          <w:rFonts w:ascii="Palatino Linotype" w:eastAsia="Times New Roman" w:hAnsi="Palatino Linotype"/>
          <w:sz w:val="24"/>
          <w:szCs w:val="24"/>
          <w:lang w:eastAsia="es-ES"/>
        </w:rPr>
        <w:t>al Titular de la Unidad de Transparencia del</w:t>
      </w:r>
      <w:r w:rsidRPr="00435A05">
        <w:rPr>
          <w:rFonts w:ascii="Palatino Linotype" w:eastAsia="Times New Roman" w:hAnsi="Palatino Linotype"/>
          <w:b/>
          <w:sz w:val="24"/>
          <w:szCs w:val="24"/>
          <w:lang w:eastAsia="es-ES"/>
        </w:rPr>
        <w:t xml:space="preserve"> </w:t>
      </w:r>
      <w:r w:rsidRPr="00435A05">
        <w:rPr>
          <w:rFonts w:ascii="Palatino Linotype" w:eastAsia="Times New Roman" w:hAnsi="Palatino Linotype"/>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A1AA42" w14:textId="77777777" w:rsidR="00435A05" w:rsidRPr="00435A05" w:rsidRDefault="00435A05" w:rsidP="00435A05">
      <w:pPr>
        <w:spacing w:after="0" w:line="360" w:lineRule="auto"/>
        <w:jc w:val="both"/>
        <w:rPr>
          <w:rFonts w:ascii="Palatino Linotype" w:eastAsia="Times New Roman" w:hAnsi="Palatino Linotype"/>
          <w:sz w:val="24"/>
          <w:szCs w:val="24"/>
          <w:lang w:eastAsia="es-ES"/>
        </w:rPr>
      </w:pPr>
    </w:p>
    <w:p w14:paraId="0B0D74BB" w14:textId="77777777" w:rsidR="00435A05" w:rsidRPr="00435A05" w:rsidRDefault="00435A05" w:rsidP="00435A05">
      <w:pPr>
        <w:autoSpaceDE w:val="0"/>
        <w:autoSpaceDN w:val="0"/>
        <w:adjustRightInd w:val="0"/>
        <w:spacing w:after="0" w:line="360" w:lineRule="auto"/>
        <w:jc w:val="both"/>
        <w:rPr>
          <w:rFonts w:ascii="Palatino Linotype" w:hAnsi="Palatino Linotype"/>
          <w:sz w:val="24"/>
          <w:szCs w:val="24"/>
        </w:rPr>
      </w:pPr>
      <w:r w:rsidRPr="00435A05">
        <w:rPr>
          <w:rFonts w:ascii="Palatino Linotype" w:hAnsi="Palatino Linotype"/>
          <w:b/>
          <w:sz w:val="24"/>
        </w:rPr>
        <w:t xml:space="preserve">CUARTO. </w:t>
      </w:r>
      <w:r w:rsidRPr="00435A05">
        <w:rPr>
          <w:rFonts w:ascii="Palatino Linotype" w:hAnsi="Palatino Linotype"/>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b/>
          <w:sz w:val="24"/>
          <w:szCs w:val="24"/>
        </w:rPr>
        <w:t>Sujeto Obligado</w:t>
      </w:r>
      <w:r w:rsidRPr="00435A05">
        <w:rPr>
          <w:rFonts w:ascii="Palatino Linotype" w:hAnsi="Palatino Linotype"/>
          <w:sz w:val="24"/>
          <w:szCs w:val="24"/>
        </w:rPr>
        <w:t xml:space="preserve"> de manera fundada y motivada, podrá solicitar una ampliación de plazo para el cumplimiento de la presente resolución.</w:t>
      </w:r>
    </w:p>
    <w:p w14:paraId="1E43D9BD" w14:textId="77777777" w:rsidR="00435A05" w:rsidRPr="00435A05" w:rsidRDefault="00435A05" w:rsidP="00435A05">
      <w:pPr>
        <w:spacing w:after="0" w:line="360" w:lineRule="auto"/>
        <w:jc w:val="both"/>
        <w:rPr>
          <w:rFonts w:ascii="Palatino Linotype" w:eastAsia="Times New Roman" w:hAnsi="Palatino Linotype"/>
          <w:sz w:val="24"/>
          <w:szCs w:val="24"/>
          <w:lang w:eastAsia="es-ES"/>
        </w:rPr>
      </w:pPr>
    </w:p>
    <w:p w14:paraId="2C04FD28" w14:textId="5086F69D" w:rsidR="00435A05" w:rsidRDefault="00435A05" w:rsidP="00435A05">
      <w:pPr>
        <w:autoSpaceDE w:val="0"/>
        <w:autoSpaceDN w:val="0"/>
        <w:adjustRightInd w:val="0"/>
        <w:spacing w:after="0" w:line="360" w:lineRule="auto"/>
        <w:jc w:val="both"/>
        <w:rPr>
          <w:rFonts w:ascii="Palatino Linotype" w:hAnsi="Palatino Linotype"/>
          <w:sz w:val="24"/>
          <w:szCs w:val="24"/>
        </w:rPr>
      </w:pPr>
      <w:r w:rsidRPr="00435A05">
        <w:rPr>
          <w:rFonts w:ascii="Palatino Linotype" w:hAnsi="Palatino Linotype"/>
          <w:b/>
          <w:sz w:val="24"/>
          <w:szCs w:val="24"/>
        </w:rPr>
        <w:t xml:space="preserve">QUINTO. Notifíquese </w:t>
      </w:r>
      <w:r w:rsidRPr="00435A05">
        <w:rPr>
          <w:rFonts w:ascii="Palatino Linotype" w:hAnsi="Palatino Linotype"/>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D075D4B" w14:textId="77777777" w:rsidR="00B673C0" w:rsidRPr="00435A05" w:rsidRDefault="00B673C0" w:rsidP="00435A05">
      <w:pPr>
        <w:autoSpaceDE w:val="0"/>
        <w:autoSpaceDN w:val="0"/>
        <w:adjustRightInd w:val="0"/>
        <w:spacing w:after="0" w:line="360" w:lineRule="auto"/>
        <w:jc w:val="both"/>
        <w:rPr>
          <w:rFonts w:ascii="Palatino Linotype" w:hAnsi="Palatino Linotype"/>
          <w:sz w:val="24"/>
          <w:szCs w:val="24"/>
        </w:rPr>
      </w:pPr>
    </w:p>
    <w:p w14:paraId="5D7029EA" w14:textId="77777777" w:rsidR="00160F0C" w:rsidRDefault="00160F0C" w:rsidP="007A527A">
      <w:pPr>
        <w:pStyle w:val="Sinespaciado"/>
        <w:spacing w:line="360" w:lineRule="auto"/>
        <w:jc w:val="both"/>
        <w:rPr>
          <w:rFonts w:ascii="Palatino Linotype" w:hAnsi="Palatino Linotype" w:cs="Arial"/>
          <w:sz w:val="24"/>
          <w:szCs w:val="24"/>
        </w:rPr>
      </w:pPr>
    </w:p>
    <w:p w14:paraId="0CAA205E" w14:textId="3B957A5E" w:rsidR="005A17D3" w:rsidRPr="005A17D3" w:rsidRDefault="005A17D3" w:rsidP="005A17D3">
      <w:pPr>
        <w:spacing w:after="0" w:line="360" w:lineRule="auto"/>
        <w:jc w:val="both"/>
        <w:rPr>
          <w:rFonts w:ascii="Palatino Linotype" w:eastAsiaTheme="minorHAnsi" w:hAnsi="Palatino Linotype" w:cs="Arial"/>
          <w:sz w:val="16"/>
          <w:szCs w:val="20"/>
        </w:rPr>
      </w:pPr>
      <w:r w:rsidRPr="005A17D3">
        <w:rPr>
          <w:rFonts w:ascii="Palatino Linotype" w:eastAsia="Times New Roman" w:hAnsi="Palatino Linotype"/>
          <w:sz w:val="24"/>
          <w:szCs w:val="24"/>
          <w:lang w:eastAsia="es-ES"/>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w:t>
      </w:r>
      <w:r w:rsidR="00735D4D">
        <w:rPr>
          <w:rFonts w:ascii="Palatino Linotype" w:eastAsia="Times New Roman" w:hAnsi="Palatino Linotype"/>
          <w:sz w:val="24"/>
          <w:szCs w:val="24"/>
          <w:lang w:eastAsia="es-ES"/>
        </w:rPr>
        <w:t>CUATRO</w:t>
      </w:r>
      <w:r w:rsidRPr="005A17D3">
        <w:rPr>
          <w:rFonts w:ascii="Palatino Linotype" w:eastAsia="Times New Roman" w:hAnsi="Palatino Linotype"/>
          <w:sz w:val="24"/>
          <w:szCs w:val="24"/>
          <w:lang w:eastAsia="es-ES"/>
        </w:rPr>
        <w:t xml:space="preserve"> DE FEBRERO DE DOS MIL VEINTIDÓS, ANTE EL SECRETARIO TÉCNICO DEL PLENO, ALEXIS TAPIA RAMÍREZ</w:t>
      </w:r>
      <w:r w:rsidRPr="005A17D3">
        <w:rPr>
          <w:rFonts w:ascii="Palatino Linotype" w:eastAsiaTheme="minorHAnsi" w:hAnsi="Palatino Linotype" w:cs="Arial"/>
          <w:sz w:val="24"/>
          <w:szCs w:val="24"/>
        </w:rPr>
        <w:t>.----------------------------------------------------------------------------------------------------------------------</w:t>
      </w:r>
      <w:r>
        <w:rPr>
          <w:rFonts w:ascii="Palatino Linotype" w:eastAsiaTheme="minorHAnsi" w:hAnsi="Palatino Linotype" w:cs="Arial"/>
          <w:sz w:val="24"/>
          <w:szCs w:val="24"/>
        </w:rPr>
        <w:t>-----------------------------------------------------------------------------------------------------------------------------------------------------------------------------------------------------------------------------------------------------------------------------------------------------------------------------------------------------------------------------------------------------------------------------------------------------------------------------------------------------------------------------------------------------------------------------------------------------------------------------------------------------------------------------------------------------------------------------------------------------------------------------------------------------------------------------------------------------------------------------------------------------------------------------------------------------------------------------------------------------------------------------------------------------------------------------------------------------------------------------------------------------------------------------------------------------------------------------------------------------------------------------------------------------------------------------------------------------------------------------------------------------------------------------------------------------------------------------------------------------------------------------</w:t>
      </w:r>
      <w:r w:rsidRPr="005A17D3">
        <w:rPr>
          <w:rFonts w:ascii="Palatino Linotype" w:eastAsiaTheme="minorHAnsi" w:hAnsi="Palatino Linotype" w:cs="Arial"/>
          <w:sz w:val="24"/>
          <w:szCs w:val="24"/>
        </w:rPr>
        <w:t>------------------------------------------------------------</w:t>
      </w:r>
    </w:p>
    <w:p w14:paraId="75A8656D" w14:textId="77777777" w:rsidR="005A17D3" w:rsidRPr="005A17D3" w:rsidRDefault="005A17D3" w:rsidP="005A17D3">
      <w:pPr>
        <w:spacing w:after="0" w:line="240" w:lineRule="auto"/>
        <w:rPr>
          <w:rFonts w:ascii="Palatino Linotype" w:eastAsiaTheme="minorHAnsi" w:hAnsi="Palatino Linotype" w:cstheme="minorBidi"/>
          <w:sz w:val="14"/>
          <w:szCs w:val="20"/>
        </w:rPr>
      </w:pPr>
      <w:r w:rsidRPr="005A17D3">
        <w:rPr>
          <w:rFonts w:ascii="Palatino Linotype" w:eastAsiaTheme="minorHAnsi" w:hAnsi="Palatino Linotype" w:cstheme="minorBidi"/>
          <w:sz w:val="14"/>
          <w:szCs w:val="20"/>
        </w:rPr>
        <w:t>JMV/CCR/EJDG</w:t>
      </w:r>
    </w:p>
    <w:p w14:paraId="02CA20CF" w14:textId="07BA0BC5" w:rsidR="00DD13E2" w:rsidRDefault="00DD13E2" w:rsidP="00CD43B7">
      <w:pPr>
        <w:spacing w:after="0" w:line="360" w:lineRule="auto"/>
        <w:jc w:val="both"/>
      </w:pPr>
    </w:p>
    <w:p w14:paraId="07624994" w14:textId="77777777" w:rsidR="00553857" w:rsidRDefault="00553857" w:rsidP="00CD43B7">
      <w:pPr>
        <w:spacing w:after="0" w:line="360" w:lineRule="auto"/>
        <w:jc w:val="both"/>
      </w:pPr>
    </w:p>
    <w:sectPr w:rsidR="00553857" w:rsidSect="003346DC">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7E2D1" w14:textId="77777777" w:rsidR="00903253" w:rsidRDefault="00903253" w:rsidP="007E2E80">
      <w:pPr>
        <w:spacing w:after="0" w:line="240" w:lineRule="auto"/>
      </w:pPr>
      <w:r>
        <w:separator/>
      </w:r>
    </w:p>
  </w:endnote>
  <w:endnote w:type="continuationSeparator" w:id="0">
    <w:p w14:paraId="0A57FB78" w14:textId="77777777" w:rsidR="00903253" w:rsidRDefault="0090325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880E" w14:textId="77777777" w:rsidR="00903253" w:rsidRPr="000B69FA" w:rsidRDefault="0090325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52B6">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52B6">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3B74" w14:textId="77777777" w:rsidR="00903253" w:rsidRPr="000B69FA" w:rsidRDefault="0090325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52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52B6">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AF72E" w14:textId="77777777" w:rsidR="00903253" w:rsidRDefault="00903253" w:rsidP="007E2E80">
      <w:pPr>
        <w:spacing w:after="0" w:line="240" w:lineRule="auto"/>
      </w:pPr>
      <w:r>
        <w:separator/>
      </w:r>
    </w:p>
  </w:footnote>
  <w:footnote w:type="continuationSeparator" w:id="0">
    <w:p w14:paraId="611D8FAB" w14:textId="77777777" w:rsidR="00903253" w:rsidRDefault="00903253" w:rsidP="007E2E80">
      <w:pPr>
        <w:spacing w:after="0" w:line="240" w:lineRule="auto"/>
      </w:pPr>
      <w:r>
        <w:continuationSeparator/>
      </w:r>
    </w:p>
  </w:footnote>
  <w:footnote w:id="1">
    <w:p w14:paraId="7605422E" w14:textId="77777777" w:rsidR="00903253" w:rsidRPr="00615B4B" w:rsidRDefault="00903253"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2C8E6DB" w14:textId="77777777" w:rsidR="00903253" w:rsidRPr="00615B4B" w:rsidRDefault="00903253"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C4A6" w14:textId="34F0DD93" w:rsidR="00903253" w:rsidRDefault="0090325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721986B" wp14:editId="6E673FBF">
          <wp:simplePos x="0" y="0"/>
          <wp:positionH relativeFrom="page">
            <wp:align>left</wp:align>
          </wp:positionH>
          <wp:positionV relativeFrom="page">
            <wp:posOffset>12217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9923" w:type="dxa"/>
      <w:tblInd w:w="-851" w:type="dxa"/>
      <w:tblCellMar>
        <w:left w:w="70" w:type="dxa"/>
        <w:right w:w="70" w:type="dxa"/>
      </w:tblCellMar>
      <w:tblLook w:val="04A0" w:firstRow="1" w:lastRow="0" w:firstColumn="1" w:lastColumn="0" w:noHBand="0" w:noVBand="1"/>
    </w:tblPr>
    <w:tblGrid>
      <w:gridCol w:w="4679"/>
      <w:gridCol w:w="5244"/>
    </w:tblGrid>
    <w:tr w:rsidR="00903253" w14:paraId="0D237027" w14:textId="77777777" w:rsidTr="00064788">
      <w:trPr>
        <w:trHeight w:val="227"/>
      </w:trPr>
      <w:tc>
        <w:tcPr>
          <w:tcW w:w="4679" w:type="dxa"/>
          <w:hideMark/>
        </w:tcPr>
        <w:p w14:paraId="173DFC62" w14:textId="6916DFA1" w:rsidR="00903253" w:rsidRDefault="00903253" w:rsidP="00050A9C">
          <w:pPr>
            <w:spacing w:after="120"/>
            <w:ind w:right="204"/>
            <w:jc w:val="right"/>
            <w:rPr>
              <w:rFonts w:ascii="Palatino Linotype" w:hAnsi="Palatino Linotype"/>
              <w:b/>
              <w:szCs w:val="20"/>
            </w:rPr>
          </w:pPr>
          <w:r>
            <w:rPr>
              <w:rFonts w:ascii="Palatino Linotype" w:hAnsi="Palatino Linotype"/>
              <w:b/>
              <w:szCs w:val="20"/>
            </w:rPr>
            <w:t>Recurso de Revisión N°:</w:t>
          </w:r>
        </w:p>
      </w:tc>
      <w:tc>
        <w:tcPr>
          <w:tcW w:w="5244" w:type="dxa"/>
          <w:hideMark/>
        </w:tcPr>
        <w:p w14:paraId="4007FA8B" w14:textId="5431CED6" w:rsidR="00903253" w:rsidRDefault="008842C2" w:rsidP="00064788">
          <w:pPr>
            <w:spacing w:after="120"/>
            <w:ind w:left="-778" w:firstLine="1585"/>
            <w:jc w:val="right"/>
            <w:rPr>
              <w:rFonts w:ascii="Palatino Linotype" w:hAnsi="Palatino Linotype"/>
              <w:szCs w:val="20"/>
            </w:rPr>
          </w:pPr>
          <w:r w:rsidRPr="008842C2">
            <w:rPr>
              <w:rFonts w:ascii="Palatino Linotype" w:hAnsi="Palatino Linotype"/>
              <w:bCs/>
              <w:sz w:val="24"/>
              <w:lang w:eastAsia="es-MX"/>
            </w:rPr>
            <w:t>05800/INFOEM/IP/RR/2021</w:t>
          </w:r>
        </w:p>
      </w:tc>
    </w:tr>
    <w:tr w:rsidR="00903253" w14:paraId="5AA0417B" w14:textId="77777777" w:rsidTr="00064788">
      <w:trPr>
        <w:trHeight w:val="242"/>
      </w:trPr>
      <w:tc>
        <w:tcPr>
          <w:tcW w:w="4679" w:type="dxa"/>
          <w:hideMark/>
        </w:tcPr>
        <w:p w14:paraId="239250DA" w14:textId="13FAFD33" w:rsidR="00903253" w:rsidRDefault="00903253" w:rsidP="00050A9C">
          <w:pPr>
            <w:spacing w:after="120"/>
            <w:ind w:right="204"/>
            <w:jc w:val="right"/>
            <w:rPr>
              <w:rFonts w:ascii="Palatino Linotype" w:hAnsi="Palatino Linotype"/>
              <w:b/>
              <w:szCs w:val="20"/>
            </w:rPr>
          </w:pPr>
          <w:r>
            <w:rPr>
              <w:rFonts w:ascii="Palatino Linotype" w:hAnsi="Palatino Linotype"/>
              <w:b/>
              <w:szCs w:val="20"/>
            </w:rPr>
            <w:t>Sujeto Obligado:</w:t>
          </w:r>
        </w:p>
      </w:tc>
      <w:tc>
        <w:tcPr>
          <w:tcW w:w="5244" w:type="dxa"/>
          <w:hideMark/>
        </w:tcPr>
        <w:p w14:paraId="3F347604" w14:textId="4A05AB28" w:rsidR="00903253" w:rsidRDefault="008842C2" w:rsidP="00064788">
          <w:pPr>
            <w:spacing w:after="120"/>
            <w:ind w:left="-486" w:firstLine="284"/>
            <w:jc w:val="right"/>
            <w:rPr>
              <w:rFonts w:ascii="Palatino Linotype" w:hAnsi="Palatino Linotype"/>
              <w:szCs w:val="20"/>
            </w:rPr>
          </w:pPr>
          <w:r w:rsidRPr="008842C2">
            <w:rPr>
              <w:rFonts w:ascii="Palatino Linotype" w:hAnsi="Palatino Linotype"/>
              <w:szCs w:val="20"/>
            </w:rPr>
            <w:t>Ayuntamiento de Toluca</w:t>
          </w:r>
        </w:p>
      </w:tc>
    </w:tr>
    <w:tr w:rsidR="00903253" w14:paraId="27BC4F48" w14:textId="77777777" w:rsidTr="00064788">
      <w:trPr>
        <w:trHeight w:val="342"/>
      </w:trPr>
      <w:tc>
        <w:tcPr>
          <w:tcW w:w="4679" w:type="dxa"/>
          <w:hideMark/>
        </w:tcPr>
        <w:p w14:paraId="50FCF734" w14:textId="59109889" w:rsidR="00903253" w:rsidRDefault="00903253" w:rsidP="00050A9C">
          <w:pPr>
            <w:tabs>
              <w:tab w:val="left" w:pos="4892"/>
            </w:tabs>
            <w:spacing w:after="120"/>
            <w:ind w:right="204"/>
            <w:jc w:val="right"/>
            <w:rPr>
              <w:rFonts w:ascii="Palatino Linotype" w:hAnsi="Palatino Linotype"/>
              <w:b/>
              <w:szCs w:val="20"/>
            </w:rPr>
          </w:pPr>
          <w:r>
            <w:rPr>
              <w:rFonts w:ascii="Palatino Linotype" w:hAnsi="Palatino Linotype"/>
              <w:b/>
              <w:szCs w:val="20"/>
            </w:rPr>
            <w:t>Comisionado Ponente:</w:t>
          </w:r>
        </w:p>
      </w:tc>
      <w:tc>
        <w:tcPr>
          <w:tcW w:w="5244" w:type="dxa"/>
          <w:hideMark/>
        </w:tcPr>
        <w:p w14:paraId="13A478D5" w14:textId="447E6768" w:rsidR="00903253" w:rsidRDefault="00903253" w:rsidP="00064788">
          <w:pPr>
            <w:spacing w:after="120"/>
            <w:ind w:left="-486" w:firstLine="567"/>
            <w:jc w:val="right"/>
            <w:rPr>
              <w:rFonts w:ascii="Palatino Linotype" w:hAnsi="Palatino Linotype"/>
              <w:szCs w:val="20"/>
            </w:rPr>
          </w:pPr>
          <w:r w:rsidRPr="00FC2C00">
            <w:rPr>
              <w:rFonts w:ascii="Palatino Linotype" w:hAnsi="Palatino Linotype"/>
              <w:szCs w:val="20"/>
            </w:rPr>
            <w:t>José Martínez Vilchis</w:t>
          </w:r>
        </w:p>
      </w:tc>
    </w:tr>
  </w:tbl>
  <w:p w14:paraId="7E3A5711" w14:textId="2DEE95AD" w:rsidR="00903253" w:rsidRDefault="009032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246"/>
      <w:gridCol w:w="4677"/>
    </w:tblGrid>
    <w:tr w:rsidR="00903253" w14:paraId="4E654EAC" w14:textId="77777777" w:rsidTr="00064788">
      <w:trPr>
        <w:trHeight w:val="227"/>
      </w:trPr>
      <w:tc>
        <w:tcPr>
          <w:tcW w:w="5246" w:type="dxa"/>
          <w:hideMark/>
        </w:tcPr>
        <w:p w14:paraId="633D2F24" w14:textId="5F8F5999" w:rsidR="00903253" w:rsidRDefault="00903253" w:rsidP="00050A9C">
          <w:pPr>
            <w:spacing w:after="120"/>
            <w:ind w:right="204"/>
            <w:jc w:val="right"/>
            <w:rPr>
              <w:rFonts w:ascii="Palatino Linotype" w:hAnsi="Palatino Linotype"/>
              <w:b/>
              <w:szCs w:val="20"/>
            </w:rPr>
          </w:pPr>
          <w:r>
            <w:rPr>
              <w:rFonts w:ascii="Palatino Linotype" w:hAnsi="Palatino Linotype"/>
              <w:b/>
              <w:szCs w:val="20"/>
            </w:rPr>
            <w:t>Recurso de Revisión N°:</w:t>
          </w:r>
        </w:p>
      </w:tc>
      <w:tc>
        <w:tcPr>
          <w:tcW w:w="4677" w:type="dxa"/>
          <w:hideMark/>
        </w:tcPr>
        <w:p w14:paraId="3D465630" w14:textId="2A46919A" w:rsidR="00903253" w:rsidRPr="00B4142F" w:rsidRDefault="008842C2" w:rsidP="00064788">
          <w:pPr>
            <w:spacing w:after="120"/>
            <w:ind w:left="-486" w:right="-64" w:firstLine="1408"/>
            <w:jc w:val="right"/>
            <w:rPr>
              <w:rFonts w:ascii="Palatino Linotype" w:hAnsi="Palatino Linotype"/>
              <w:szCs w:val="20"/>
            </w:rPr>
          </w:pPr>
          <w:r w:rsidRPr="008842C2">
            <w:rPr>
              <w:rFonts w:ascii="Palatino Linotype" w:hAnsi="Palatino Linotype"/>
              <w:bCs/>
              <w:sz w:val="24"/>
              <w:lang w:eastAsia="es-MX"/>
            </w:rPr>
            <w:t>05800/INFOEM/IP/RR/2021</w:t>
          </w:r>
        </w:p>
      </w:tc>
    </w:tr>
    <w:tr w:rsidR="00903253" w14:paraId="2662B097" w14:textId="77777777" w:rsidTr="00064788">
      <w:trPr>
        <w:trHeight w:val="196"/>
      </w:trPr>
      <w:tc>
        <w:tcPr>
          <w:tcW w:w="5246" w:type="dxa"/>
          <w:hideMark/>
        </w:tcPr>
        <w:p w14:paraId="1F87F128" w14:textId="249F299B" w:rsidR="00903253" w:rsidRDefault="00903253" w:rsidP="00050A9C">
          <w:pPr>
            <w:spacing w:after="120"/>
            <w:ind w:right="204"/>
            <w:jc w:val="right"/>
            <w:rPr>
              <w:rFonts w:ascii="Palatino Linotype" w:hAnsi="Palatino Linotype"/>
              <w:b/>
              <w:szCs w:val="20"/>
            </w:rPr>
          </w:pPr>
          <w:r>
            <w:rPr>
              <w:rFonts w:ascii="Palatino Linotype" w:hAnsi="Palatino Linotype"/>
              <w:b/>
              <w:szCs w:val="20"/>
            </w:rPr>
            <w:t>Recurrente:</w:t>
          </w:r>
        </w:p>
      </w:tc>
      <w:tc>
        <w:tcPr>
          <w:tcW w:w="4677" w:type="dxa"/>
          <w:hideMark/>
        </w:tcPr>
        <w:p w14:paraId="3D3B48C0" w14:textId="6F98DFCC" w:rsidR="00903253" w:rsidRPr="00F06FED" w:rsidRDefault="00E752B6" w:rsidP="00FC2C00">
          <w:pPr>
            <w:spacing w:after="120"/>
            <w:ind w:left="-486" w:right="-64" w:firstLine="567"/>
            <w:jc w:val="right"/>
            <w:rPr>
              <w:rFonts w:ascii="Palatino Linotype" w:hAnsi="Palatino Linotype"/>
            </w:rPr>
          </w:pPr>
          <w:proofErr w:type="spellStart"/>
          <w:r>
            <w:rPr>
              <w:rFonts w:ascii="Palatino Linotype" w:hAnsi="Palatino Linotype"/>
            </w:rPr>
            <w:t>xxxx</w:t>
          </w:r>
          <w:proofErr w:type="spellEnd"/>
        </w:p>
      </w:tc>
    </w:tr>
    <w:tr w:rsidR="00903253" w14:paraId="62F9EB4C" w14:textId="77777777" w:rsidTr="00064788">
      <w:trPr>
        <w:trHeight w:val="242"/>
      </w:trPr>
      <w:tc>
        <w:tcPr>
          <w:tcW w:w="5246" w:type="dxa"/>
          <w:hideMark/>
        </w:tcPr>
        <w:p w14:paraId="331D453B" w14:textId="599FD408" w:rsidR="00903253" w:rsidRDefault="00903253" w:rsidP="00050A9C">
          <w:pPr>
            <w:spacing w:after="120"/>
            <w:ind w:right="204"/>
            <w:jc w:val="right"/>
            <w:rPr>
              <w:rFonts w:ascii="Palatino Linotype" w:hAnsi="Palatino Linotype"/>
              <w:b/>
              <w:szCs w:val="20"/>
            </w:rPr>
          </w:pPr>
          <w:r>
            <w:rPr>
              <w:rFonts w:ascii="Palatino Linotype" w:hAnsi="Palatino Linotype"/>
              <w:b/>
              <w:szCs w:val="20"/>
            </w:rPr>
            <w:t>Sujeto Obligado:</w:t>
          </w:r>
        </w:p>
      </w:tc>
      <w:tc>
        <w:tcPr>
          <w:tcW w:w="4677" w:type="dxa"/>
          <w:hideMark/>
        </w:tcPr>
        <w:p w14:paraId="04F5C101" w14:textId="1A9F803B" w:rsidR="00903253" w:rsidRDefault="008842C2" w:rsidP="00064788">
          <w:pPr>
            <w:spacing w:after="120"/>
            <w:ind w:left="-495" w:right="-64" w:firstLine="567"/>
            <w:jc w:val="right"/>
            <w:rPr>
              <w:rFonts w:ascii="Palatino Linotype" w:hAnsi="Palatino Linotype"/>
              <w:szCs w:val="20"/>
            </w:rPr>
          </w:pPr>
          <w:r w:rsidRPr="008842C2">
            <w:rPr>
              <w:rFonts w:ascii="Palatino Linotype" w:hAnsi="Palatino Linotype"/>
              <w:szCs w:val="20"/>
            </w:rPr>
            <w:t>Ayuntamiento de Toluca</w:t>
          </w:r>
        </w:p>
      </w:tc>
    </w:tr>
    <w:tr w:rsidR="00903253" w14:paraId="1933C693" w14:textId="77777777" w:rsidTr="00064788">
      <w:trPr>
        <w:trHeight w:val="342"/>
      </w:trPr>
      <w:tc>
        <w:tcPr>
          <w:tcW w:w="5246" w:type="dxa"/>
          <w:hideMark/>
        </w:tcPr>
        <w:p w14:paraId="28C4BBB2" w14:textId="056CB2AA" w:rsidR="00903253" w:rsidRDefault="00903253" w:rsidP="00050A9C">
          <w:pPr>
            <w:tabs>
              <w:tab w:val="left" w:pos="4892"/>
            </w:tabs>
            <w:spacing w:after="120"/>
            <w:ind w:right="204"/>
            <w:jc w:val="right"/>
            <w:rPr>
              <w:rFonts w:ascii="Palatino Linotype" w:hAnsi="Palatino Linotype"/>
              <w:b/>
              <w:szCs w:val="20"/>
            </w:rPr>
          </w:pPr>
          <w:r>
            <w:rPr>
              <w:rFonts w:ascii="Palatino Linotype" w:hAnsi="Palatino Linotype"/>
              <w:b/>
              <w:szCs w:val="20"/>
            </w:rPr>
            <w:t>Comisionado Ponente:</w:t>
          </w:r>
        </w:p>
      </w:tc>
      <w:tc>
        <w:tcPr>
          <w:tcW w:w="4677" w:type="dxa"/>
          <w:hideMark/>
        </w:tcPr>
        <w:p w14:paraId="1E616386" w14:textId="776B5111" w:rsidR="00903253" w:rsidRDefault="00903253" w:rsidP="00064788">
          <w:pPr>
            <w:spacing w:after="120"/>
            <w:ind w:left="-486" w:right="-64" w:firstLine="567"/>
            <w:jc w:val="right"/>
            <w:rPr>
              <w:rFonts w:ascii="Palatino Linotype" w:hAnsi="Palatino Linotype"/>
              <w:szCs w:val="20"/>
            </w:rPr>
          </w:pPr>
          <w:r>
            <w:rPr>
              <w:rFonts w:ascii="Palatino Linotype" w:hAnsi="Palatino Linotype"/>
              <w:szCs w:val="20"/>
            </w:rPr>
            <w:t>José Martínez Vilchis</w:t>
          </w:r>
        </w:p>
      </w:tc>
    </w:tr>
  </w:tbl>
  <w:p w14:paraId="7255C666" w14:textId="5983D1D1" w:rsidR="00903253" w:rsidRDefault="0090325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AEF26D0" wp14:editId="71497F92">
          <wp:simplePos x="0" y="0"/>
          <wp:positionH relativeFrom="page">
            <wp:align>left</wp:align>
          </wp:positionH>
          <wp:positionV relativeFrom="page">
            <wp:posOffset>17931</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7729"/>
    <w:multiLevelType w:val="hybridMultilevel"/>
    <w:tmpl w:val="724C63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F52411"/>
    <w:multiLevelType w:val="hybridMultilevel"/>
    <w:tmpl w:val="C73CCF1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nsid w:val="251B296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8696D83"/>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430A7A"/>
    <w:multiLevelType w:val="hybridMultilevel"/>
    <w:tmpl w:val="36B878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nsid w:val="30863378"/>
    <w:multiLevelType w:val="hybridMultilevel"/>
    <w:tmpl w:val="724C63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FCC26F0"/>
    <w:multiLevelType w:val="hybridMultilevel"/>
    <w:tmpl w:val="D474F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1"/>
  </w:num>
  <w:num w:numId="5">
    <w:abstractNumId w:val="3"/>
  </w:num>
  <w:num w:numId="6">
    <w:abstractNumId w:val="6"/>
  </w:num>
  <w:num w:numId="7">
    <w:abstractNumId w:val="2"/>
  </w:num>
  <w:num w:numId="8">
    <w:abstractNumId w:val="5"/>
  </w:num>
  <w:num w:numId="9">
    <w:abstractNumId w:val="4"/>
  </w:num>
  <w:num w:numId="10">
    <w:abstractNumId w:val="0"/>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146A2"/>
    <w:rsid w:val="00015A5D"/>
    <w:rsid w:val="000166E9"/>
    <w:rsid w:val="00020E81"/>
    <w:rsid w:val="0002320F"/>
    <w:rsid w:val="00026C7C"/>
    <w:rsid w:val="000276E0"/>
    <w:rsid w:val="00031C5D"/>
    <w:rsid w:val="00032DBD"/>
    <w:rsid w:val="00033949"/>
    <w:rsid w:val="00044E78"/>
    <w:rsid w:val="00050A9C"/>
    <w:rsid w:val="00053C9B"/>
    <w:rsid w:val="00057570"/>
    <w:rsid w:val="00062491"/>
    <w:rsid w:val="0006407A"/>
    <w:rsid w:val="00064788"/>
    <w:rsid w:val="00083885"/>
    <w:rsid w:val="00083B4E"/>
    <w:rsid w:val="00083C50"/>
    <w:rsid w:val="00085ABB"/>
    <w:rsid w:val="0008795C"/>
    <w:rsid w:val="00093C4E"/>
    <w:rsid w:val="000A1313"/>
    <w:rsid w:val="000B4129"/>
    <w:rsid w:val="000B5654"/>
    <w:rsid w:val="000C4AB8"/>
    <w:rsid w:val="000D6982"/>
    <w:rsid w:val="000D756B"/>
    <w:rsid w:val="000E362E"/>
    <w:rsid w:val="000E68A4"/>
    <w:rsid w:val="000E7B72"/>
    <w:rsid w:val="000F5B7E"/>
    <w:rsid w:val="000F743F"/>
    <w:rsid w:val="000F7D29"/>
    <w:rsid w:val="00103E93"/>
    <w:rsid w:val="00103E97"/>
    <w:rsid w:val="001053FA"/>
    <w:rsid w:val="00107E8E"/>
    <w:rsid w:val="00111EDA"/>
    <w:rsid w:val="00112702"/>
    <w:rsid w:val="0011302A"/>
    <w:rsid w:val="0011313B"/>
    <w:rsid w:val="001149B5"/>
    <w:rsid w:val="00114C3C"/>
    <w:rsid w:val="0012508A"/>
    <w:rsid w:val="0013215E"/>
    <w:rsid w:val="00132E9F"/>
    <w:rsid w:val="0014063C"/>
    <w:rsid w:val="00140AE4"/>
    <w:rsid w:val="001510E8"/>
    <w:rsid w:val="001514A4"/>
    <w:rsid w:val="00155A24"/>
    <w:rsid w:val="00160F0C"/>
    <w:rsid w:val="001637B7"/>
    <w:rsid w:val="00166046"/>
    <w:rsid w:val="00166FB7"/>
    <w:rsid w:val="0017445D"/>
    <w:rsid w:val="0017459D"/>
    <w:rsid w:val="00192FA5"/>
    <w:rsid w:val="00193FB8"/>
    <w:rsid w:val="00195CDF"/>
    <w:rsid w:val="0019697B"/>
    <w:rsid w:val="001A1F5C"/>
    <w:rsid w:val="001B0D4E"/>
    <w:rsid w:val="001D0979"/>
    <w:rsid w:val="001E60B7"/>
    <w:rsid w:val="001F595E"/>
    <w:rsid w:val="002045AF"/>
    <w:rsid w:val="00205277"/>
    <w:rsid w:val="002076B5"/>
    <w:rsid w:val="00211473"/>
    <w:rsid w:val="00213211"/>
    <w:rsid w:val="00216466"/>
    <w:rsid w:val="0021781B"/>
    <w:rsid w:val="002252AD"/>
    <w:rsid w:val="0023003C"/>
    <w:rsid w:val="00232E1C"/>
    <w:rsid w:val="00237527"/>
    <w:rsid w:val="00244438"/>
    <w:rsid w:val="00247AF1"/>
    <w:rsid w:val="00251D21"/>
    <w:rsid w:val="00252163"/>
    <w:rsid w:val="0025296C"/>
    <w:rsid w:val="00254B55"/>
    <w:rsid w:val="002572CF"/>
    <w:rsid w:val="002614A3"/>
    <w:rsid w:val="0026191D"/>
    <w:rsid w:val="00264617"/>
    <w:rsid w:val="00265A4B"/>
    <w:rsid w:val="002809BA"/>
    <w:rsid w:val="00282969"/>
    <w:rsid w:val="00286CEC"/>
    <w:rsid w:val="002960BE"/>
    <w:rsid w:val="002B009E"/>
    <w:rsid w:val="002B1213"/>
    <w:rsid w:val="002B3EEA"/>
    <w:rsid w:val="002C54D9"/>
    <w:rsid w:val="002D3AA3"/>
    <w:rsid w:val="002D6110"/>
    <w:rsid w:val="002D74B7"/>
    <w:rsid w:val="002E17B2"/>
    <w:rsid w:val="002E717A"/>
    <w:rsid w:val="002F044A"/>
    <w:rsid w:val="002F160B"/>
    <w:rsid w:val="002F32A1"/>
    <w:rsid w:val="00301A01"/>
    <w:rsid w:val="0030371F"/>
    <w:rsid w:val="00303E91"/>
    <w:rsid w:val="003054C0"/>
    <w:rsid w:val="00311191"/>
    <w:rsid w:val="00322E37"/>
    <w:rsid w:val="00324B61"/>
    <w:rsid w:val="00327C70"/>
    <w:rsid w:val="003306E7"/>
    <w:rsid w:val="003346DC"/>
    <w:rsid w:val="00344CFA"/>
    <w:rsid w:val="00347D2A"/>
    <w:rsid w:val="003556E4"/>
    <w:rsid w:val="00362991"/>
    <w:rsid w:val="00363B95"/>
    <w:rsid w:val="00374450"/>
    <w:rsid w:val="00376159"/>
    <w:rsid w:val="0038172A"/>
    <w:rsid w:val="0038385D"/>
    <w:rsid w:val="00387907"/>
    <w:rsid w:val="00391F66"/>
    <w:rsid w:val="00391FD9"/>
    <w:rsid w:val="003923C6"/>
    <w:rsid w:val="00393FAB"/>
    <w:rsid w:val="0039656E"/>
    <w:rsid w:val="003A0651"/>
    <w:rsid w:val="003B18FC"/>
    <w:rsid w:val="003C1814"/>
    <w:rsid w:val="003C1F00"/>
    <w:rsid w:val="003D14FE"/>
    <w:rsid w:val="003E697F"/>
    <w:rsid w:val="003F27BE"/>
    <w:rsid w:val="003F5394"/>
    <w:rsid w:val="003F74B1"/>
    <w:rsid w:val="0040307F"/>
    <w:rsid w:val="00404F9D"/>
    <w:rsid w:val="00406D94"/>
    <w:rsid w:val="00413FD1"/>
    <w:rsid w:val="0041640A"/>
    <w:rsid w:val="004260E8"/>
    <w:rsid w:val="00435A05"/>
    <w:rsid w:val="0045163D"/>
    <w:rsid w:val="00452CE5"/>
    <w:rsid w:val="004537C7"/>
    <w:rsid w:val="00460288"/>
    <w:rsid w:val="00460556"/>
    <w:rsid w:val="004617C7"/>
    <w:rsid w:val="0046459B"/>
    <w:rsid w:val="00465EE9"/>
    <w:rsid w:val="00477313"/>
    <w:rsid w:val="00477F00"/>
    <w:rsid w:val="00484E47"/>
    <w:rsid w:val="00485D10"/>
    <w:rsid w:val="004906EB"/>
    <w:rsid w:val="004915D8"/>
    <w:rsid w:val="004A50A7"/>
    <w:rsid w:val="004A645F"/>
    <w:rsid w:val="004C35EE"/>
    <w:rsid w:val="004C4DCC"/>
    <w:rsid w:val="004C56D0"/>
    <w:rsid w:val="004C5B8F"/>
    <w:rsid w:val="004D058B"/>
    <w:rsid w:val="004E7C69"/>
    <w:rsid w:val="004F09BF"/>
    <w:rsid w:val="004F372A"/>
    <w:rsid w:val="004F483E"/>
    <w:rsid w:val="004F4A6C"/>
    <w:rsid w:val="00506278"/>
    <w:rsid w:val="00523868"/>
    <w:rsid w:val="005252B2"/>
    <w:rsid w:val="00530152"/>
    <w:rsid w:val="0054151E"/>
    <w:rsid w:val="00543114"/>
    <w:rsid w:val="005448FA"/>
    <w:rsid w:val="00550984"/>
    <w:rsid w:val="00553857"/>
    <w:rsid w:val="005564DB"/>
    <w:rsid w:val="005733EB"/>
    <w:rsid w:val="00574E4D"/>
    <w:rsid w:val="005770B3"/>
    <w:rsid w:val="00586423"/>
    <w:rsid w:val="005907D6"/>
    <w:rsid w:val="00590866"/>
    <w:rsid w:val="005A17D3"/>
    <w:rsid w:val="005A3779"/>
    <w:rsid w:val="005B2A31"/>
    <w:rsid w:val="005B412E"/>
    <w:rsid w:val="005B64BB"/>
    <w:rsid w:val="005D005B"/>
    <w:rsid w:val="005D1389"/>
    <w:rsid w:val="005D310F"/>
    <w:rsid w:val="005D45EB"/>
    <w:rsid w:val="005D7549"/>
    <w:rsid w:val="005D7E8B"/>
    <w:rsid w:val="005E31BD"/>
    <w:rsid w:val="005E3423"/>
    <w:rsid w:val="005E6F11"/>
    <w:rsid w:val="005F69DD"/>
    <w:rsid w:val="005F6FB6"/>
    <w:rsid w:val="00600225"/>
    <w:rsid w:val="00604573"/>
    <w:rsid w:val="0060633A"/>
    <w:rsid w:val="00620CF0"/>
    <w:rsid w:val="00621890"/>
    <w:rsid w:val="0062255A"/>
    <w:rsid w:val="00623604"/>
    <w:rsid w:val="006328F1"/>
    <w:rsid w:val="006374D0"/>
    <w:rsid w:val="00641A03"/>
    <w:rsid w:val="00644195"/>
    <w:rsid w:val="006549E8"/>
    <w:rsid w:val="00657FE8"/>
    <w:rsid w:val="00661204"/>
    <w:rsid w:val="00661C82"/>
    <w:rsid w:val="00662F47"/>
    <w:rsid w:val="00664DAE"/>
    <w:rsid w:val="0066610F"/>
    <w:rsid w:val="00673D7C"/>
    <w:rsid w:val="00686046"/>
    <w:rsid w:val="00687A6C"/>
    <w:rsid w:val="00691A08"/>
    <w:rsid w:val="00691A42"/>
    <w:rsid w:val="006A30F0"/>
    <w:rsid w:val="006A561E"/>
    <w:rsid w:val="006D6527"/>
    <w:rsid w:val="006E0601"/>
    <w:rsid w:val="006E08C4"/>
    <w:rsid w:val="006E16B1"/>
    <w:rsid w:val="006E3756"/>
    <w:rsid w:val="006E7781"/>
    <w:rsid w:val="006F34F8"/>
    <w:rsid w:val="006F7E3E"/>
    <w:rsid w:val="0070040A"/>
    <w:rsid w:val="00703319"/>
    <w:rsid w:val="007037D7"/>
    <w:rsid w:val="00703F76"/>
    <w:rsid w:val="00716FCF"/>
    <w:rsid w:val="00735D4D"/>
    <w:rsid w:val="007363FF"/>
    <w:rsid w:val="00742D44"/>
    <w:rsid w:val="007477B6"/>
    <w:rsid w:val="007519B2"/>
    <w:rsid w:val="00753246"/>
    <w:rsid w:val="00765CFE"/>
    <w:rsid w:val="007661E4"/>
    <w:rsid w:val="00786497"/>
    <w:rsid w:val="0078727F"/>
    <w:rsid w:val="0079010A"/>
    <w:rsid w:val="00790742"/>
    <w:rsid w:val="007939BE"/>
    <w:rsid w:val="007A0571"/>
    <w:rsid w:val="007A223B"/>
    <w:rsid w:val="007A253B"/>
    <w:rsid w:val="007A527A"/>
    <w:rsid w:val="007B167F"/>
    <w:rsid w:val="007B3EFC"/>
    <w:rsid w:val="007B640F"/>
    <w:rsid w:val="007C0799"/>
    <w:rsid w:val="007C167D"/>
    <w:rsid w:val="007D0CFF"/>
    <w:rsid w:val="007D4E1A"/>
    <w:rsid w:val="007D5593"/>
    <w:rsid w:val="007D6C0D"/>
    <w:rsid w:val="007E2E80"/>
    <w:rsid w:val="007F13FD"/>
    <w:rsid w:val="007F3485"/>
    <w:rsid w:val="00800AFE"/>
    <w:rsid w:val="008011DC"/>
    <w:rsid w:val="00810FE3"/>
    <w:rsid w:val="008213C3"/>
    <w:rsid w:val="008213D1"/>
    <w:rsid w:val="00821487"/>
    <w:rsid w:val="00824B23"/>
    <w:rsid w:val="008279DC"/>
    <w:rsid w:val="00842FDC"/>
    <w:rsid w:val="00853CC3"/>
    <w:rsid w:val="00857945"/>
    <w:rsid w:val="00870B3F"/>
    <w:rsid w:val="00871182"/>
    <w:rsid w:val="008801AE"/>
    <w:rsid w:val="008815A6"/>
    <w:rsid w:val="00883E54"/>
    <w:rsid w:val="008842C2"/>
    <w:rsid w:val="00884653"/>
    <w:rsid w:val="00884967"/>
    <w:rsid w:val="008864EF"/>
    <w:rsid w:val="00886EBA"/>
    <w:rsid w:val="00892543"/>
    <w:rsid w:val="008B2171"/>
    <w:rsid w:val="008B52AB"/>
    <w:rsid w:val="008B53E7"/>
    <w:rsid w:val="008C1057"/>
    <w:rsid w:val="008C651F"/>
    <w:rsid w:val="008C6E2C"/>
    <w:rsid w:val="008C7CEB"/>
    <w:rsid w:val="008D3EFF"/>
    <w:rsid w:val="008D68BF"/>
    <w:rsid w:val="008E42B9"/>
    <w:rsid w:val="008F1A3E"/>
    <w:rsid w:val="00903253"/>
    <w:rsid w:val="00910DB6"/>
    <w:rsid w:val="0092009F"/>
    <w:rsid w:val="00921077"/>
    <w:rsid w:val="009215ED"/>
    <w:rsid w:val="009272C6"/>
    <w:rsid w:val="00927F0F"/>
    <w:rsid w:val="00930F68"/>
    <w:rsid w:val="009328FD"/>
    <w:rsid w:val="00942349"/>
    <w:rsid w:val="00944325"/>
    <w:rsid w:val="00951562"/>
    <w:rsid w:val="00954DC1"/>
    <w:rsid w:val="00957811"/>
    <w:rsid w:val="009617A5"/>
    <w:rsid w:val="009643A5"/>
    <w:rsid w:val="0097416D"/>
    <w:rsid w:val="009754A9"/>
    <w:rsid w:val="00977F77"/>
    <w:rsid w:val="009913F7"/>
    <w:rsid w:val="00994FE7"/>
    <w:rsid w:val="0099566A"/>
    <w:rsid w:val="00995CDC"/>
    <w:rsid w:val="009B5843"/>
    <w:rsid w:val="009C1B32"/>
    <w:rsid w:val="009C2011"/>
    <w:rsid w:val="009C6F75"/>
    <w:rsid w:val="009D28C8"/>
    <w:rsid w:val="009D5C8B"/>
    <w:rsid w:val="009D6365"/>
    <w:rsid w:val="009E1A55"/>
    <w:rsid w:val="009E396D"/>
    <w:rsid w:val="009E5432"/>
    <w:rsid w:val="009E65AF"/>
    <w:rsid w:val="009F7B22"/>
    <w:rsid w:val="00A00D5E"/>
    <w:rsid w:val="00A06551"/>
    <w:rsid w:val="00A067B8"/>
    <w:rsid w:val="00A10105"/>
    <w:rsid w:val="00A10775"/>
    <w:rsid w:val="00A10B3C"/>
    <w:rsid w:val="00A112EB"/>
    <w:rsid w:val="00A1246A"/>
    <w:rsid w:val="00A137CB"/>
    <w:rsid w:val="00A13A7C"/>
    <w:rsid w:val="00A14512"/>
    <w:rsid w:val="00A1701A"/>
    <w:rsid w:val="00A21EC0"/>
    <w:rsid w:val="00A2712B"/>
    <w:rsid w:val="00A32594"/>
    <w:rsid w:val="00A33B3A"/>
    <w:rsid w:val="00A42686"/>
    <w:rsid w:val="00A42AF6"/>
    <w:rsid w:val="00A44512"/>
    <w:rsid w:val="00A559C5"/>
    <w:rsid w:val="00A57A1E"/>
    <w:rsid w:val="00A57C89"/>
    <w:rsid w:val="00A62727"/>
    <w:rsid w:val="00A705C7"/>
    <w:rsid w:val="00A9142B"/>
    <w:rsid w:val="00A948FC"/>
    <w:rsid w:val="00AA0F85"/>
    <w:rsid w:val="00AA3048"/>
    <w:rsid w:val="00AB0934"/>
    <w:rsid w:val="00AB1AF3"/>
    <w:rsid w:val="00AB2C69"/>
    <w:rsid w:val="00AB310A"/>
    <w:rsid w:val="00AB5B18"/>
    <w:rsid w:val="00AC071B"/>
    <w:rsid w:val="00AD5105"/>
    <w:rsid w:val="00AD6069"/>
    <w:rsid w:val="00AE658B"/>
    <w:rsid w:val="00AF095F"/>
    <w:rsid w:val="00AF0FD4"/>
    <w:rsid w:val="00B027BA"/>
    <w:rsid w:val="00B02EA0"/>
    <w:rsid w:val="00B07592"/>
    <w:rsid w:val="00B22CB3"/>
    <w:rsid w:val="00B241F9"/>
    <w:rsid w:val="00B250A7"/>
    <w:rsid w:val="00B262B6"/>
    <w:rsid w:val="00B26FB2"/>
    <w:rsid w:val="00B30580"/>
    <w:rsid w:val="00B549E1"/>
    <w:rsid w:val="00B57102"/>
    <w:rsid w:val="00B673C0"/>
    <w:rsid w:val="00B724A6"/>
    <w:rsid w:val="00B728D4"/>
    <w:rsid w:val="00B72ED7"/>
    <w:rsid w:val="00B8116A"/>
    <w:rsid w:val="00B83314"/>
    <w:rsid w:val="00B83B94"/>
    <w:rsid w:val="00B83DF6"/>
    <w:rsid w:val="00B929B9"/>
    <w:rsid w:val="00B93C5C"/>
    <w:rsid w:val="00BA3E6B"/>
    <w:rsid w:val="00BB0E34"/>
    <w:rsid w:val="00BB1F38"/>
    <w:rsid w:val="00BB48C5"/>
    <w:rsid w:val="00BB4FB4"/>
    <w:rsid w:val="00BB76CF"/>
    <w:rsid w:val="00BC13A9"/>
    <w:rsid w:val="00BC1D88"/>
    <w:rsid w:val="00BD2E09"/>
    <w:rsid w:val="00BD2EDB"/>
    <w:rsid w:val="00BD3080"/>
    <w:rsid w:val="00BD39B9"/>
    <w:rsid w:val="00BD658F"/>
    <w:rsid w:val="00BE59B9"/>
    <w:rsid w:val="00BF123D"/>
    <w:rsid w:val="00BF3765"/>
    <w:rsid w:val="00BF5EE2"/>
    <w:rsid w:val="00BF7A4D"/>
    <w:rsid w:val="00C0775B"/>
    <w:rsid w:val="00C11787"/>
    <w:rsid w:val="00C20C19"/>
    <w:rsid w:val="00C2508D"/>
    <w:rsid w:val="00C25822"/>
    <w:rsid w:val="00C306F3"/>
    <w:rsid w:val="00C337DD"/>
    <w:rsid w:val="00C34B47"/>
    <w:rsid w:val="00C35DCC"/>
    <w:rsid w:val="00C43E96"/>
    <w:rsid w:val="00C502C3"/>
    <w:rsid w:val="00C50B48"/>
    <w:rsid w:val="00C60984"/>
    <w:rsid w:val="00C61595"/>
    <w:rsid w:val="00C61AFF"/>
    <w:rsid w:val="00C703A8"/>
    <w:rsid w:val="00C715FD"/>
    <w:rsid w:val="00C71799"/>
    <w:rsid w:val="00C73EAC"/>
    <w:rsid w:val="00C75301"/>
    <w:rsid w:val="00C753C2"/>
    <w:rsid w:val="00C76BA5"/>
    <w:rsid w:val="00C826DC"/>
    <w:rsid w:val="00C8503E"/>
    <w:rsid w:val="00CA09FA"/>
    <w:rsid w:val="00CA2ED9"/>
    <w:rsid w:val="00CA3DD3"/>
    <w:rsid w:val="00CA652B"/>
    <w:rsid w:val="00CB0A5D"/>
    <w:rsid w:val="00CB6778"/>
    <w:rsid w:val="00CC0149"/>
    <w:rsid w:val="00CC43D2"/>
    <w:rsid w:val="00CD43B7"/>
    <w:rsid w:val="00CD6704"/>
    <w:rsid w:val="00CE1048"/>
    <w:rsid w:val="00CE5C0E"/>
    <w:rsid w:val="00CF598D"/>
    <w:rsid w:val="00CF7BDB"/>
    <w:rsid w:val="00D042D3"/>
    <w:rsid w:val="00D1311E"/>
    <w:rsid w:val="00D14D51"/>
    <w:rsid w:val="00D2440F"/>
    <w:rsid w:val="00D26C74"/>
    <w:rsid w:val="00D27427"/>
    <w:rsid w:val="00D27C81"/>
    <w:rsid w:val="00D32DB1"/>
    <w:rsid w:val="00D349C2"/>
    <w:rsid w:val="00D3510C"/>
    <w:rsid w:val="00D417CE"/>
    <w:rsid w:val="00D41C13"/>
    <w:rsid w:val="00D43229"/>
    <w:rsid w:val="00D510FB"/>
    <w:rsid w:val="00D51FBF"/>
    <w:rsid w:val="00D5329C"/>
    <w:rsid w:val="00D54C20"/>
    <w:rsid w:val="00D75B2B"/>
    <w:rsid w:val="00D77785"/>
    <w:rsid w:val="00D80864"/>
    <w:rsid w:val="00D80A59"/>
    <w:rsid w:val="00D82BD1"/>
    <w:rsid w:val="00D8585A"/>
    <w:rsid w:val="00D95FFE"/>
    <w:rsid w:val="00D96A07"/>
    <w:rsid w:val="00D978C1"/>
    <w:rsid w:val="00DA0E70"/>
    <w:rsid w:val="00DA2027"/>
    <w:rsid w:val="00DA3183"/>
    <w:rsid w:val="00DA4BAB"/>
    <w:rsid w:val="00DB5FF7"/>
    <w:rsid w:val="00DC1EE3"/>
    <w:rsid w:val="00DC2D3C"/>
    <w:rsid w:val="00DD13E2"/>
    <w:rsid w:val="00DD63B8"/>
    <w:rsid w:val="00DE21FF"/>
    <w:rsid w:val="00DE26B6"/>
    <w:rsid w:val="00DE4FAB"/>
    <w:rsid w:val="00DF34A1"/>
    <w:rsid w:val="00DF51C8"/>
    <w:rsid w:val="00E014FE"/>
    <w:rsid w:val="00E02834"/>
    <w:rsid w:val="00E0584D"/>
    <w:rsid w:val="00E16617"/>
    <w:rsid w:val="00E169CA"/>
    <w:rsid w:val="00E23E06"/>
    <w:rsid w:val="00E24FFC"/>
    <w:rsid w:val="00E25C26"/>
    <w:rsid w:val="00E269CC"/>
    <w:rsid w:val="00E27DAB"/>
    <w:rsid w:val="00E3332A"/>
    <w:rsid w:val="00E373E9"/>
    <w:rsid w:val="00E37A62"/>
    <w:rsid w:val="00E43470"/>
    <w:rsid w:val="00E50EFF"/>
    <w:rsid w:val="00E5530F"/>
    <w:rsid w:val="00E5620D"/>
    <w:rsid w:val="00E574B5"/>
    <w:rsid w:val="00E655F5"/>
    <w:rsid w:val="00E70CAE"/>
    <w:rsid w:val="00E73E44"/>
    <w:rsid w:val="00E752B6"/>
    <w:rsid w:val="00E8506C"/>
    <w:rsid w:val="00E87C9A"/>
    <w:rsid w:val="00E93059"/>
    <w:rsid w:val="00E951A2"/>
    <w:rsid w:val="00E9642D"/>
    <w:rsid w:val="00EA3217"/>
    <w:rsid w:val="00EA6B35"/>
    <w:rsid w:val="00EB0D89"/>
    <w:rsid w:val="00EB1F4C"/>
    <w:rsid w:val="00EC73FA"/>
    <w:rsid w:val="00ED4829"/>
    <w:rsid w:val="00ED60C2"/>
    <w:rsid w:val="00ED78F3"/>
    <w:rsid w:val="00EE2A35"/>
    <w:rsid w:val="00EE6516"/>
    <w:rsid w:val="00F0087C"/>
    <w:rsid w:val="00F07DC2"/>
    <w:rsid w:val="00F2073E"/>
    <w:rsid w:val="00F231A2"/>
    <w:rsid w:val="00F27C28"/>
    <w:rsid w:val="00F310FB"/>
    <w:rsid w:val="00F33588"/>
    <w:rsid w:val="00F42685"/>
    <w:rsid w:val="00F50CD1"/>
    <w:rsid w:val="00F50D44"/>
    <w:rsid w:val="00F513A4"/>
    <w:rsid w:val="00F53832"/>
    <w:rsid w:val="00F53B53"/>
    <w:rsid w:val="00F5641C"/>
    <w:rsid w:val="00F5791B"/>
    <w:rsid w:val="00F63934"/>
    <w:rsid w:val="00F664DC"/>
    <w:rsid w:val="00F66A72"/>
    <w:rsid w:val="00F66F40"/>
    <w:rsid w:val="00F711F3"/>
    <w:rsid w:val="00F7575D"/>
    <w:rsid w:val="00F7783E"/>
    <w:rsid w:val="00F851FD"/>
    <w:rsid w:val="00FA4FF6"/>
    <w:rsid w:val="00FA71AB"/>
    <w:rsid w:val="00FB55E9"/>
    <w:rsid w:val="00FB5D79"/>
    <w:rsid w:val="00FC2C00"/>
    <w:rsid w:val="00FC372B"/>
    <w:rsid w:val="00FC392D"/>
    <w:rsid w:val="00FD0A53"/>
    <w:rsid w:val="00FD0DD9"/>
    <w:rsid w:val="00FD1A5C"/>
    <w:rsid w:val="00FD3A3C"/>
    <w:rsid w:val="00FD5988"/>
    <w:rsid w:val="00FE160B"/>
    <w:rsid w:val="00FE389E"/>
    <w:rsid w:val="00FF6A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27EF0D"/>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EBA"/>
    <w:pPr>
      <w:spacing w:line="256" w:lineRule="auto"/>
    </w:pPr>
    <w:rPr>
      <w:rFonts w:ascii="Calibri" w:eastAsia="Calibri" w:hAnsi="Calibri" w:cs="Times New Roman"/>
    </w:rPr>
  </w:style>
  <w:style w:type="paragraph" w:styleId="Ttulo1">
    <w:name w:val="heading 1"/>
    <w:basedOn w:val="Normal"/>
    <w:next w:val="Normal"/>
    <w:link w:val="Ttulo1Car"/>
    <w:uiPriority w:val="9"/>
    <w:qFormat/>
    <w:rsid w:val="0052386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8F1A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b/>
      <w:bCs/>
      <w:sz w:val="27"/>
      <w:szCs w:val="27"/>
      <w:lang w:eastAsia="es-MX"/>
    </w:rPr>
  </w:style>
  <w:style w:type="paragraph" w:styleId="Ttulo4">
    <w:name w:val="heading 4"/>
    <w:basedOn w:val="Normal"/>
    <w:link w:val="Ttulo4Car"/>
    <w:uiPriority w:val="9"/>
    <w:qFormat/>
    <w:rsid w:val="00523868"/>
    <w:pPr>
      <w:spacing w:before="100" w:beforeAutospacing="1" w:after="100" w:afterAutospacing="1" w:line="240" w:lineRule="auto"/>
      <w:outlineLvl w:val="3"/>
    </w:pPr>
    <w:rPr>
      <w:rFonts w:ascii="Times New Roman" w:eastAsia="Times New Roman" w:hAnsi="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INAI"/>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F1A3E"/>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523868"/>
    <w:rPr>
      <w:rFonts w:asciiTheme="majorHAnsi" w:eastAsiaTheme="majorEastAsia" w:hAnsiTheme="majorHAnsi" w:cstheme="majorBidi"/>
      <w:color w:val="2E74B5" w:themeColor="accent1" w:themeShade="BF"/>
      <w:sz w:val="32"/>
      <w:szCs w:val="32"/>
      <w:lang w:val="es-ES" w:eastAsia="es-ES"/>
    </w:rPr>
  </w:style>
  <w:style w:type="character" w:customStyle="1" w:styleId="Ttulo4Car">
    <w:name w:val="Título 4 Car"/>
    <w:basedOn w:val="Fuentedeprrafopredeter"/>
    <w:link w:val="Ttulo4"/>
    <w:uiPriority w:val="9"/>
    <w:rsid w:val="00523868"/>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523868"/>
  </w:style>
  <w:style w:type="paragraph" w:customStyle="1" w:styleId="Default">
    <w:name w:val="Default"/>
    <w:rsid w:val="00523868"/>
    <w:pPr>
      <w:autoSpaceDE w:val="0"/>
      <w:autoSpaceDN w:val="0"/>
      <w:adjustRightInd w:val="0"/>
      <w:spacing w:after="0" w:line="240" w:lineRule="auto"/>
    </w:pPr>
    <w:rPr>
      <w:rFonts w:ascii="Arial" w:hAnsi="Arial" w:cs="Arial"/>
      <w:color w:val="000000"/>
      <w:sz w:val="24"/>
      <w:szCs w:val="24"/>
    </w:rPr>
  </w:style>
  <w:style w:type="paragraph" w:customStyle="1" w:styleId="n2">
    <w:name w:val="n2"/>
    <w:basedOn w:val="Normal"/>
    <w:rsid w:val="00523868"/>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523868"/>
    <w:rPr>
      <w:i/>
      <w:iCs/>
    </w:rPr>
  </w:style>
  <w:style w:type="paragraph" w:customStyle="1" w:styleId="j">
    <w:name w:val="j"/>
    <w:basedOn w:val="Normal"/>
    <w:rsid w:val="00523868"/>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acep">
    <w:name w:val="n_acep"/>
    <w:basedOn w:val="Fuentedeprrafopredeter"/>
    <w:rsid w:val="00523868"/>
  </w:style>
  <w:style w:type="character" w:customStyle="1" w:styleId="notranslate">
    <w:name w:val="notranslate"/>
    <w:basedOn w:val="Fuentedeprrafopredeter"/>
    <w:rsid w:val="00523868"/>
  </w:style>
  <w:style w:type="character" w:styleId="Hipervnculovisitado">
    <w:name w:val="FollowedHyperlink"/>
    <w:basedOn w:val="Fuentedeprrafopredeter"/>
    <w:uiPriority w:val="99"/>
    <w:semiHidden/>
    <w:unhideWhenUsed/>
    <w:rsid w:val="00523868"/>
    <w:rPr>
      <w:color w:val="954F72" w:themeColor="followedHyperlink"/>
      <w:u w:val="single"/>
    </w:rPr>
  </w:style>
  <w:style w:type="character" w:styleId="Refdecomentario">
    <w:name w:val="annotation reference"/>
    <w:basedOn w:val="Fuentedeprrafopredeter"/>
    <w:uiPriority w:val="99"/>
    <w:semiHidden/>
    <w:unhideWhenUsed/>
    <w:rsid w:val="00523868"/>
    <w:rPr>
      <w:sz w:val="16"/>
      <w:szCs w:val="16"/>
    </w:rPr>
  </w:style>
  <w:style w:type="paragraph" w:styleId="Textocomentario">
    <w:name w:val="annotation text"/>
    <w:basedOn w:val="Normal"/>
    <w:link w:val="TextocomentarioCar"/>
    <w:uiPriority w:val="99"/>
    <w:semiHidden/>
    <w:unhideWhenUsed/>
    <w:rsid w:val="005238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86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23868"/>
    <w:rPr>
      <w:b/>
      <w:bCs/>
    </w:rPr>
  </w:style>
  <w:style w:type="character" w:customStyle="1" w:styleId="AsuntodelcomentarioCar">
    <w:name w:val="Asunto del comentario Car"/>
    <w:basedOn w:val="TextocomentarioCar"/>
    <w:link w:val="Asuntodelcomentario"/>
    <w:uiPriority w:val="99"/>
    <w:semiHidden/>
    <w:rsid w:val="00523868"/>
    <w:rPr>
      <w:rFonts w:ascii="Calibri" w:eastAsia="Calibri" w:hAnsi="Calibri" w:cs="Times New Roman"/>
      <w:b/>
      <w:bCs/>
      <w:sz w:val="20"/>
      <w:szCs w:val="20"/>
    </w:rPr>
  </w:style>
  <w:style w:type="paragraph" w:customStyle="1" w:styleId="paragraph">
    <w:name w:val="paragraph"/>
    <w:basedOn w:val="Normal"/>
    <w:rsid w:val="00523868"/>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basedOn w:val="Fuentedeprrafopredeter"/>
    <w:rsid w:val="0052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6865">
      <w:bodyDiv w:val="1"/>
      <w:marLeft w:val="0"/>
      <w:marRight w:val="0"/>
      <w:marTop w:val="0"/>
      <w:marBottom w:val="0"/>
      <w:divBdr>
        <w:top w:val="none" w:sz="0" w:space="0" w:color="auto"/>
        <w:left w:val="none" w:sz="0" w:space="0" w:color="auto"/>
        <w:bottom w:val="none" w:sz="0" w:space="0" w:color="auto"/>
        <w:right w:val="none" w:sz="0" w:space="0" w:color="auto"/>
      </w:divBdr>
    </w:div>
    <w:div w:id="170683665">
      <w:bodyDiv w:val="1"/>
      <w:marLeft w:val="0"/>
      <w:marRight w:val="0"/>
      <w:marTop w:val="0"/>
      <w:marBottom w:val="0"/>
      <w:divBdr>
        <w:top w:val="none" w:sz="0" w:space="0" w:color="auto"/>
        <w:left w:val="none" w:sz="0" w:space="0" w:color="auto"/>
        <w:bottom w:val="none" w:sz="0" w:space="0" w:color="auto"/>
        <w:right w:val="none" w:sz="0" w:space="0" w:color="auto"/>
      </w:divBdr>
      <w:divsChild>
        <w:div w:id="79840604">
          <w:marLeft w:val="0"/>
          <w:marRight w:val="0"/>
          <w:marTop w:val="0"/>
          <w:marBottom w:val="0"/>
          <w:divBdr>
            <w:top w:val="none" w:sz="0" w:space="0" w:color="auto"/>
            <w:left w:val="none" w:sz="0" w:space="0" w:color="auto"/>
            <w:bottom w:val="none" w:sz="0" w:space="0" w:color="auto"/>
            <w:right w:val="none" w:sz="0" w:space="0" w:color="auto"/>
          </w:divBdr>
          <w:divsChild>
            <w:div w:id="1399356455">
              <w:marLeft w:val="0"/>
              <w:marRight w:val="0"/>
              <w:marTop w:val="0"/>
              <w:marBottom w:val="0"/>
              <w:divBdr>
                <w:top w:val="none" w:sz="0" w:space="0" w:color="auto"/>
                <w:left w:val="none" w:sz="0" w:space="0" w:color="auto"/>
                <w:bottom w:val="none" w:sz="0" w:space="0" w:color="auto"/>
                <w:right w:val="none" w:sz="0" w:space="0" w:color="auto"/>
              </w:divBdr>
              <w:divsChild>
                <w:div w:id="185220306">
                  <w:marLeft w:val="0"/>
                  <w:marRight w:val="0"/>
                  <w:marTop w:val="0"/>
                  <w:marBottom w:val="0"/>
                  <w:divBdr>
                    <w:top w:val="none" w:sz="0" w:space="0" w:color="auto"/>
                    <w:left w:val="none" w:sz="0" w:space="0" w:color="auto"/>
                    <w:bottom w:val="none" w:sz="0" w:space="0" w:color="auto"/>
                    <w:right w:val="none" w:sz="0" w:space="0" w:color="auto"/>
                  </w:divBdr>
                  <w:divsChild>
                    <w:div w:id="1827355522">
                      <w:marLeft w:val="0"/>
                      <w:marRight w:val="0"/>
                      <w:marTop w:val="0"/>
                      <w:marBottom w:val="0"/>
                      <w:divBdr>
                        <w:top w:val="none" w:sz="0" w:space="0" w:color="auto"/>
                        <w:left w:val="none" w:sz="0" w:space="0" w:color="auto"/>
                        <w:bottom w:val="none" w:sz="0" w:space="0" w:color="auto"/>
                        <w:right w:val="none" w:sz="0" w:space="0" w:color="auto"/>
                      </w:divBdr>
                      <w:divsChild>
                        <w:div w:id="1710446240">
                          <w:marLeft w:val="0"/>
                          <w:marRight w:val="0"/>
                          <w:marTop w:val="0"/>
                          <w:marBottom w:val="0"/>
                          <w:divBdr>
                            <w:top w:val="none" w:sz="0" w:space="0" w:color="auto"/>
                            <w:left w:val="none" w:sz="0" w:space="0" w:color="auto"/>
                            <w:bottom w:val="none" w:sz="0" w:space="0" w:color="auto"/>
                            <w:right w:val="none" w:sz="0" w:space="0" w:color="auto"/>
                          </w:divBdr>
                          <w:divsChild>
                            <w:div w:id="889997720">
                              <w:marLeft w:val="0"/>
                              <w:marRight w:val="0"/>
                              <w:marTop w:val="0"/>
                              <w:marBottom w:val="0"/>
                              <w:divBdr>
                                <w:top w:val="none" w:sz="0" w:space="0" w:color="auto"/>
                                <w:left w:val="none" w:sz="0" w:space="0" w:color="auto"/>
                                <w:bottom w:val="none" w:sz="0" w:space="0" w:color="auto"/>
                                <w:right w:val="none" w:sz="0" w:space="0" w:color="auto"/>
                              </w:divBdr>
                              <w:divsChild>
                                <w:div w:id="1877306584">
                                  <w:marLeft w:val="75"/>
                                  <w:marRight w:val="75"/>
                                  <w:marTop w:val="75"/>
                                  <w:marBottom w:val="75"/>
                                  <w:divBdr>
                                    <w:top w:val="none" w:sz="0" w:space="0" w:color="auto"/>
                                    <w:left w:val="none" w:sz="0" w:space="0" w:color="auto"/>
                                    <w:bottom w:val="none" w:sz="0" w:space="0" w:color="auto"/>
                                    <w:right w:val="none" w:sz="0" w:space="0" w:color="auto"/>
                                  </w:divBdr>
                                  <w:divsChild>
                                    <w:div w:id="1651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303389600">
      <w:bodyDiv w:val="1"/>
      <w:marLeft w:val="0"/>
      <w:marRight w:val="0"/>
      <w:marTop w:val="0"/>
      <w:marBottom w:val="0"/>
      <w:divBdr>
        <w:top w:val="none" w:sz="0" w:space="0" w:color="auto"/>
        <w:left w:val="none" w:sz="0" w:space="0" w:color="auto"/>
        <w:bottom w:val="none" w:sz="0" w:space="0" w:color="auto"/>
        <w:right w:val="none" w:sz="0" w:space="0" w:color="auto"/>
      </w:divBdr>
    </w:div>
    <w:div w:id="518590598">
      <w:bodyDiv w:val="1"/>
      <w:marLeft w:val="0"/>
      <w:marRight w:val="0"/>
      <w:marTop w:val="0"/>
      <w:marBottom w:val="0"/>
      <w:divBdr>
        <w:top w:val="none" w:sz="0" w:space="0" w:color="auto"/>
        <w:left w:val="none" w:sz="0" w:space="0" w:color="auto"/>
        <w:bottom w:val="none" w:sz="0" w:space="0" w:color="auto"/>
        <w:right w:val="none" w:sz="0" w:space="0" w:color="auto"/>
      </w:divBdr>
    </w:div>
    <w:div w:id="96156931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53512513">
      <w:bodyDiv w:val="1"/>
      <w:marLeft w:val="0"/>
      <w:marRight w:val="0"/>
      <w:marTop w:val="0"/>
      <w:marBottom w:val="0"/>
      <w:divBdr>
        <w:top w:val="none" w:sz="0" w:space="0" w:color="auto"/>
        <w:left w:val="none" w:sz="0" w:space="0" w:color="auto"/>
        <w:bottom w:val="none" w:sz="0" w:space="0" w:color="auto"/>
        <w:right w:val="none" w:sz="0" w:space="0" w:color="auto"/>
      </w:divBdr>
    </w:div>
    <w:div w:id="1675379546">
      <w:bodyDiv w:val="1"/>
      <w:marLeft w:val="0"/>
      <w:marRight w:val="0"/>
      <w:marTop w:val="0"/>
      <w:marBottom w:val="0"/>
      <w:divBdr>
        <w:top w:val="none" w:sz="0" w:space="0" w:color="auto"/>
        <w:left w:val="none" w:sz="0" w:space="0" w:color="auto"/>
        <w:bottom w:val="none" w:sz="0" w:space="0" w:color="auto"/>
        <w:right w:val="none" w:sz="0" w:space="0" w:color="auto"/>
      </w:divBdr>
    </w:div>
    <w:div w:id="1870141293">
      <w:bodyDiv w:val="1"/>
      <w:marLeft w:val="0"/>
      <w:marRight w:val="0"/>
      <w:marTop w:val="0"/>
      <w:marBottom w:val="0"/>
      <w:divBdr>
        <w:top w:val="none" w:sz="0" w:space="0" w:color="auto"/>
        <w:left w:val="none" w:sz="0" w:space="0" w:color="auto"/>
        <w:bottom w:val="none" w:sz="0" w:space="0" w:color="auto"/>
        <w:right w:val="none" w:sz="0" w:space="0" w:color="auto"/>
      </w:divBdr>
    </w:div>
    <w:div w:id="1928343541">
      <w:bodyDiv w:val="1"/>
      <w:marLeft w:val="0"/>
      <w:marRight w:val="0"/>
      <w:marTop w:val="0"/>
      <w:marBottom w:val="0"/>
      <w:divBdr>
        <w:top w:val="none" w:sz="0" w:space="0" w:color="auto"/>
        <w:left w:val="none" w:sz="0" w:space="0" w:color="auto"/>
        <w:bottom w:val="none" w:sz="0" w:space="0" w:color="auto"/>
        <w:right w:val="none" w:sz="0" w:space="0" w:color="auto"/>
      </w:divBdr>
    </w:div>
    <w:div w:id="21193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48F7-FA46-4D21-A428-EED19F5F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48</Pages>
  <Words>11346</Words>
  <Characters>62407</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2018-11-30T20:53:00Z</cp:lastPrinted>
  <dcterms:created xsi:type="dcterms:W3CDTF">2022-01-21T00:23:00Z</dcterms:created>
  <dcterms:modified xsi:type="dcterms:W3CDTF">2022-03-04T04:38:00Z</dcterms:modified>
</cp:coreProperties>
</file>