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9DC3CCF" w:rsidR="00662C69" w:rsidRPr="00B843B7" w:rsidRDefault="009B11D6" w:rsidP="00B31E90">
      <w:pPr>
        <w:tabs>
          <w:tab w:val="left" w:pos="3465"/>
        </w:tabs>
        <w:spacing w:line="360" w:lineRule="auto"/>
        <w:jc w:val="both"/>
        <w:rPr>
          <w:rFonts w:ascii="Palatino Linotype" w:hAnsi="Palatino Linotype"/>
          <w:color w:val="000000" w:themeColor="text1"/>
        </w:rPr>
      </w:pPr>
      <w:r w:rsidRPr="00B843B7">
        <w:rPr>
          <w:rFonts w:ascii="Palatino Linotype" w:hAnsi="Palatino Linotype"/>
          <w:color w:val="000000" w:themeColor="text1"/>
        </w:rPr>
        <w:t>R</w:t>
      </w:r>
      <w:r w:rsidR="00662C69" w:rsidRPr="00B843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B843B7">
        <w:rPr>
          <w:rFonts w:ascii="Palatino Linotype" w:hAnsi="Palatino Linotype"/>
          <w:color w:val="000000" w:themeColor="text1"/>
        </w:rPr>
        <w:t>icipios, con</w:t>
      </w:r>
      <w:r w:rsidR="00662C69" w:rsidRPr="00B843B7">
        <w:rPr>
          <w:rFonts w:ascii="Palatino Linotype" w:hAnsi="Palatino Linotype"/>
          <w:color w:val="000000" w:themeColor="text1"/>
        </w:rPr>
        <w:t xml:space="preserve"> </w:t>
      </w:r>
      <w:r w:rsidR="00485DB6" w:rsidRPr="00B843B7">
        <w:rPr>
          <w:rFonts w:ascii="Palatino Linotype" w:hAnsi="Palatino Linotype"/>
          <w:color w:val="000000" w:themeColor="text1"/>
        </w:rPr>
        <w:t xml:space="preserve">domicilio </w:t>
      </w:r>
      <w:r w:rsidR="00662C69" w:rsidRPr="00B843B7">
        <w:rPr>
          <w:rFonts w:ascii="Palatino Linotype" w:hAnsi="Palatino Linotype"/>
          <w:color w:val="000000" w:themeColor="text1"/>
        </w:rPr>
        <w:t xml:space="preserve">en Metepec, Estado de México; de </w:t>
      </w:r>
      <w:r w:rsidR="00197E9B" w:rsidRPr="00B843B7">
        <w:rPr>
          <w:rFonts w:ascii="Palatino Linotype" w:hAnsi="Palatino Linotype"/>
        </w:rPr>
        <w:t xml:space="preserve">treinta (30) de noviembre </w:t>
      </w:r>
      <w:r w:rsidR="00C83C79" w:rsidRPr="00B843B7">
        <w:rPr>
          <w:rFonts w:ascii="Palatino Linotype" w:hAnsi="Palatino Linotype"/>
          <w:color w:val="000000" w:themeColor="text1"/>
        </w:rPr>
        <w:t>de dos mil veintidós</w:t>
      </w:r>
      <w:r w:rsidR="00662C69" w:rsidRPr="00B843B7">
        <w:rPr>
          <w:rFonts w:ascii="Palatino Linotype" w:hAnsi="Palatino Linotype"/>
          <w:color w:val="000000" w:themeColor="text1"/>
        </w:rPr>
        <w:t>.</w:t>
      </w:r>
    </w:p>
    <w:p w14:paraId="1181C59D" w14:textId="77777777" w:rsidR="00B31E90" w:rsidRPr="00B843B7" w:rsidRDefault="00B31E90" w:rsidP="00B31E90">
      <w:pPr>
        <w:tabs>
          <w:tab w:val="left" w:pos="3465"/>
        </w:tabs>
        <w:spacing w:line="360" w:lineRule="auto"/>
        <w:jc w:val="both"/>
        <w:rPr>
          <w:rFonts w:ascii="Palatino Linotype" w:hAnsi="Palatino Linotype"/>
          <w:color w:val="000000" w:themeColor="text1"/>
        </w:rPr>
      </w:pPr>
    </w:p>
    <w:p w14:paraId="04F87235" w14:textId="54BDE1B6" w:rsidR="005F0007" w:rsidRPr="00B843B7" w:rsidRDefault="00662C69" w:rsidP="00B31E90">
      <w:pPr>
        <w:spacing w:line="360" w:lineRule="auto"/>
        <w:jc w:val="both"/>
        <w:rPr>
          <w:rFonts w:ascii="Palatino Linotype" w:eastAsia="Times New Roman" w:hAnsi="Palatino Linotype" w:cs="Times New Roman"/>
          <w:color w:val="000000" w:themeColor="text1"/>
        </w:rPr>
      </w:pPr>
      <w:r w:rsidRPr="00B843B7">
        <w:rPr>
          <w:rFonts w:ascii="Palatino Linotype" w:hAnsi="Palatino Linotype"/>
          <w:b/>
          <w:color w:val="000000" w:themeColor="text1"/>
        </w:rPr>
        <w:t>VISTO</w:t>
      </w:r>
      <w:r w:rsidRPr="00B843B7">
        <w:rPr>
          <w:rFonts w:ascii="Palatino Linotype" w:hAnsi="Palatino Linotype"/>
          <w:color w:val="000000" w:themeColor="text1"/>
        </w:rPr>
        <w:t xml:space="preserve"> </w:t>
      </w:r>
      <w:r w:rsidR="00F25B61" w:rsidRPr="00B843B7">
        <w:rPr>
          <w:rFonts w:ascii="Palatino Linotype" w:hAnsi="Palatino Linotype"/>
          <w:color w:val="000000" w:themeColor="text1"/>
        </w:rPr>
        <w:t>el</w:t>
      </w:r>
      <w:r w:rsidRPr="00B843B7">
        <w:rPr>
          <w:rFonts w:ascii="Palatino Linotype" w:hAnsi="Palatino Linotype"/>
          <w:color w:val="000000" w:themeColor="text1"/>
        </w:rPr>
        <w:t xml:space="preserve"> expediente electrónico for</w:t>
      </w:r>
      <w:r w:rsidR="00D37494" w:rsidRPr="00B843B7">
        <w:rPr>
          <w:rFonts w:ascii="Palatino Linotype" w:hAnsi="Palatino Linotype"/>
          <w:color w:val="000000" w:themeColor="text1"/>
        </w:rPr>
        <w:t>mado con motivo del</w:t>
      </w:r>
      <w:r w:rsidRPr="00B843B7">
        <w:rPr>
          <w:rFonts w:ascii="Palatino Linotype" w:hAnsi="Palatino Linotype"/>
          <w:color w:val="000000" w:themeColor="text1"/>
        </w:rPr>
        <w:t xml:space="preserve"> recurso de revisión </w:t>
      </w:r>
      <w:r w:rsidR="00E70180" w:rsidRPr="00B843B7">
        <w:rPr>
          <w:rFonts w:ascii="Palatino Linotype" w:hAnsi="Palatino Linotype"/>
          <w:b/>
          <w:bCs/>
          <w:color w:val="000000" w:themeColor="text1"/>
        </w:rPr>
        <w:t>06268/INFOEM/IP/RR/2022</w:t>
      </w:r>
      <w:r w:rsidR="005F1362" w:rsidRPr="00B843B7">
        <w:rPr>
          <w:rFonts w:ascii="Palatino Linotype" w:eastAsia="Times New Roman" w:hAnsi="Palatino Linotype" w:cs="Arial"/>
          <w:bCs/>
          <w:color w:val="000000" w:themeColor="text1"/>
        </w:rPr>
        <w:t xml:space="preserve">, </w:t>
      </w:r>
      <w:r w:rsidR="006B31E7" w:rsidRPr="00B843B7">
        <w:rPr>
          <w:rFonts w:ascii="Palatino Linotype" w:eastAsia="Times New Roman" w:hAnsi="Palatino Linotype" w:cs="Times New Roman"/>
          <w:color w:val="000000" w:themeColor="text1"/>
        </w:rPr>
        <w:t>interpuesto por</w:t>
      </w:r>
      <w:r w:rsidR="00E70180" w:rsidRPr="00B843B7">
        <w:rPr>
          <w:rFonts w:ascii="Palatino Linotype" w:eastAsia="Times New Roman" w:hAnsi="Palatino Linotype" w:cs="Times New Roman"/>
          <w:color w:val="000000" w:themeColor="text1"/>
        </w:rPr>
        <w:t xml:space="preserve"> </w:t>
      </w:r>
      <w:r w:rsidR="00B843B7" w:rsidRPr="00B843B7">
        <w:rPr>
          <w:rFonts w:ascii="Palatino Linotype" w:eastAsia="Times New Roman" w:hAnsi="Palatino Linotype" w:cs="Times New Roman"/>
          <w:b/>
          <w:color w:val="000000" w:themeColor="text1"/>
        </w:rPr>
        <w:t>XXXX XXXX XXXX</w:t>
      </w:r>
      <w:r w:rsidR="00E70180" w:rsidRPr="00B843B7">
        <w:rPr>
          <w:rFonts w:ascii="Palatino Linotype" w:eastAsia="Times New Roman" w:hAnsi="Palatino Linotype" w:cs="Times New Roman"/>
          <w:color w:val="000000" w:themeColor="text1"/>
        </w:rPr>
        <w:t>, en lo sucesivo, el</w:t>
      </w:r>
      <w:r w:rsidR="0078249C" w:rsidRPr="00B843B7">
        <w:rPr>
          <w:rFonts w:ascii="Palatino Linotype" w:eastAsia="Times New Roman" w:hAnsi="Palatino Linotype" w:cs="Times New Roman"/>
          <w:color w:val="000000" w:themeColor="text1"/>
        </w:rPr>
        <w:t xml:space="preserve"> </w:t>
      </w:r>
      <w:r w:rsidR="006B31E7" w:rsidRPr="00B843B7">
        <w:rPr>
          <w:rFonts w:ascii="Palatino Linotype" w:eastAsia="Times New Roman" w:hAnsi="Palatino Linotype" w:cs="Times New Roman"/>
          <w:b/>
          <w:bCs/>
          <w:color w:val="000000" w:themeColor="text1"/>
        </w:rPr>
        <w:t>RECURRENTE</w:t>
      </w:r>
      <w:r w:rsidR="00E647FF" w:rsidRPr="00B843B7">
        <w:rPr>
          <w:rFonts w:ascii="Palatino Linotype" w:eastAsia="Times New Roman" w:hAnsi="Palatino Linotype" w:cs="Arial"/>
          <w:color w:val="000000" w:themeColor="text1"/>
        </w:rPr>
        <w:t>;</w:t>
      </w:r>
      <w:r w:rsidR="005F1362" w:rsidRPr="00B843B7">
        <w:rPr>
          <w:rFonts w:ascii="Palatino Linotype" w:eastAsia="Times New Roman" w:hAnsi="Palatino Linotype" w:cs="Arial"/>
          <w:color w:val="000000" w:themeColor="text1"/>
        </w:rPr>
        <w:t xml:space="preserve"> en contra de la respuesta del</w:t>
      </w:r>
      <w:r w:rsidR="002C1007" w:rsidRPr="00B843B7">
        <w:rPr>
          <w:rFonts w:ascii="Palatino Linotype" w:eastAsia="Times New Roman" w:hAnsi="Palatino Linotype" w:cs="Arial"/>
          <w:color w:val="000000" w:themeColor="text1"/>
        </w:rPr>
        <w:t xml:space="preserve"> </w:t>
      </w:r>
      <w:r w:rsidR="00E70180" w:rsidRPr="00B843B7">
        <w:rPr>
          <w:rFonts w:ascii="Palatino Linotype" w:eastAsia="Times New Roman" w:hAnsi="Palatino Linotype" w:cs="Arial"/>
          <w:b/>
          <w:color w:val="000000" w:themeColor="text1"/>
        </w:rPr>
        <w:t>Ayuntamiento de Temoaya</w:t>
      </w:r>
      <w:r w:rsidR="009572EE" w:rsidRPr="00B843B7">
        <w:rPr>
          <w:rFonts w:ascii="Palatino Linotype" w:eastAsia="Calibri" w:hAnsi="Palatino Linotype" w:cs="Arial"/>
          <w:color w:val="000000" w:themeColor="text1"/>
          <w:lang w:val="es-ES"/>
        </w:rPr>
        <w:t>,</w:t>
      </w:r>
      <w:r w:rsidR="005F1362" w:rsidRPr="00B843B7">
        <w:rPr>
          <w:rFonts w:ascii="Palatino Linotype" w:eastAsia="Calibri" w:hAnsi="Palatino Linotype" w:cs="Arial"/>
          <w:color w:val="000000" w:themeColor="text1"/>
          <w:lang w:val="es-ES"/>
        </w:rPr>
        <w:t xml:space="preserve"> </w:t>
      </w:r>
      <w:r w:rsidR="00F17EFA" w:rsidRPr="00B843B7">
        <w:rPr>
          <w:rFonts w:ascii="Palatino Linotype" w:eastAsia="Calibri" w:hAnsi="Palatino Linotype" w:cs="Arial"/>
          <w:color w:val="000000" w:themeColor="text1"/>
          <w:lang w:val="es-ES"/>
        </w:rPr>
        <w:t>en adelante,</w:t>
      </w:r>
      <w:r w:rsidR="00F17EFA" w:rsidRPr="00B843B7">
        <w:rPr>
          <w:rFonts w:ascii="Palatino Linotype" w:eastAsia="Times New Roman" w:hAnsi="Palatino Linotype" w:cs="Times New Roman"/>
          <w:color w:val="000000" w:themeColor="text1"/>
        </w:rPr>
        <w:t xml:space="preserve"> </w:t>
      </w:r>
      <w:r w:rsidR="005F1362" w:rsidRPr="00B843B7">
        <w:rPr>
          <w:rFonts w:ascii="Palatino Linotype" w:eastAsia="Times New Roman" w:hAnsi="Palatino Linotype" w:cs="Times New Roman"/>
          <w:color w:val="000000" w:themeColor="text1"/>
        </w:rPr>
        <w:t>el</w:t>
      </w:r>
      <w:r w:rsidR="005F1362" w:rsidRPr="00B843B7">
        <w:rPr>
          <w:rFonts w:ascii="Palatino Linotype" w:eastAsia="Times New Roman" w:hAnsi="Palatino Linotype" w:cs="Times New Roman"/>
          <w:b/>
          <w:color w:val="000000" w:themeColor="text1"/>
        </w:rPr>
        <w:t xml:space="preserve"> SUJETO OBLIGADO</w:t>
      </w:r>
      <w:r w:rsidR="005F1362" w:rsidRPr="00B843B7">
        <w:rPr>
          <w:rFonts w:ascii="Palatino Linotype" w:eastAsia="Times New Roman" w:hAnsi="Palatino Linotype" w:cs="Times New Roman"/>
          <w:color w:val="000000" w:themeColor="text1"/>
        </w:rPr>
        <w:t>,</w:t>
      </w:r>
      <w:r w:rsidR="005F1362" w:rsidRPr="00B843B7">
        <w:rPr>
          <w:rFonts w:ascii="Palatino Linotype" w:eastAsia="Times New Roman" w:hAnsi="Palatino Linotype" w:cs="Times New Roman"/>
          <w:b/>
          <w:color w:val="000000" w:themeColor="text1"/>
        </w:rPr>
        <w:t xml:space="preserve"> </w:t>
      </w:r>
      <w:r w:rsidR="005F1362" w:rsidRPr="00B843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B843B7" w:rsidRDefault="009A593A" w:rsidP="00B31E90">
      <w:pPr>
        <w:spacing w:line="360" w:lineRule="auto"/>
        <w:jc w:val="both"/>
        <w:rPr>
          <w:rFonts w:ascii="Palatino Linotype" w:hAnsi="Palatino Linotype"/>
          <w:b/>
          <w:color w:val="000000" w:themeColor="text1"/>
        </w:rPr>
      </w:pPr>
    </w:p>
    <w:p w14:paraId="769E1410" w14:textId="395F5B5E" w:rsidR="00587366" w:rsidRPr="00B843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B843B7">
        <w:rPr>
          <w:b/>
          <w:color w:val="000000" w:themeColor="text1"/>
        </w:rPr>
        <w:t>ANTECEDENTES</w:t>
      </w:r>
      <w:bookmarkEnd w:id="0"/>
      <w:bookmarkEnd w:id="1"/>
      <w:bookmarkEnd w:id="2"/>
    </w:p>
    <w:p w14:paraId="5672105D" w14:textId="77777777" w:rsidR="00B31E90" w:rsidRPr="00B843B7"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28F84520" w:rsidR="00D9392E" w:rsidRPr="00B843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843B7">
        <w:rPr>
          <w:rFonts w:ascii="Palatino Linotype" w:eastAsia="Calibri" w:hAnsi="Palatino Linotype" w:cs="Arial"/>
          <w:color w:val="000000" w:themeColor="text1"/>
          <w:lang w:val="es-ES"/>
        </w:rPr>
        <w:t>El</w:t>
      </w:r>
      <w:r w:rsidR="00D9392E" w:rsidRPr="00B843B7">
        <w:rPr>
          <w:rFonts w:ascii="Palatino Linotype" w:eastAsia="Calibri" w:hAnsi="Palatino Linotype" w:cs="Arial"/>
          <w:color w:val="000000" w:themeColor="text1"/>
          <w:lang w:val="es-ES"/>
        </w:rPr>
        <w:t xml:space="preserve"> </w:t>
      </w:r>
      <w:r w:rsidR="00E771B8" w:rsidRPr="00B843B7">
        <w:rPr>
          <w:rFonts w:ascii="Palatino Linotype" w:eastAsia="Calibri" w:hAnsi="Palatino Linotype" w:cs="Arial"/>
          <w:color w:val="000000" w:themeColor="text1"/>
          <w:lang w:val="es-ES"/>
        </w:rPr>
        <w:t xml:space="preserve">veintidós (22) de marzo </w:t>
      </w:r>
      <w:r w:rsidR="00FE159E" w:rsidRPr="00B843B7">
        <w:rPr>
          <w:rFonts w:ascii="Palatino Linotype" w:eastAsia="Calibri" w:hAnsi="Palatino Linotype" w:cs="Arial"/>
          <w:color w:val="000000" w:themeColor="text1"/>
          <w:lang w:val="es-ES"/>
        </w:rPr>
        <w:t>de dos mil veintidós</w:t>
      </w:r>
      <w:r w:rsidR="005F1362" w:rsidRPr="00B843B7">
        <w:rPr>
          <w:rFonts w:ascii="Palatino Linotype" w:eastAsia="Calibri" w:hAnsi="Palatino Linotype" w:cs="Arial"/>
          <w:color w:val="000000" w:themeColor="text1"/>
          <w:lang w:val="es-ES"/>
        </w:rPr>
        <w:t xml:space="preserve">, </w:t>
      </w:r>
      <w:r w:rsidR="00FE159E" w:rsidRPr="00B843B7">
        <w:rPr>
          <w:rFonts w:ascii="Palatino Linotype" w:eastAsia="Calibri" w:hAnsi="Palatino Linotype" w:cs="Arial"/>
          <w:color w:val="000000" w:themeColor="text1"/>
          <w:lang w:val="es-ES"/>
        </w:rPr>
        <w:t>el particular</w:t>
      </w:r>
      <w:r w:rsidR="005F1362" w:rsidRPr="00B843B7">
        <w:rPr>
          <w:rFonts w:ascii="Palatino Linotype" w:hAnsi="Palatino Linotype"/>
          <w:color w:val="000000" w:themeColor="text1"/>
        </w:rPr>
        <w:t xml:space="preserve"> presentó</w:t>
      </w:r>
      <w:r w:rsidR="005F1362" w:rsidRPr="00B843B7">
        <w:rPr>
          <w:rFonts w:ascii="Palatino Linotype" w:hAnsi="Palatino Linotype"/>
          <w:b/>
          <w:color w:val="000000" w:themeColor="text1"/>
        </w:rPr>
        <w:t xml:space="preserve"> </w:t>
      </w:r>
      <w:r w:rsidR="00127E68" w:rsidRPr="00B843B7">
        <w:rPr>
          <w:rFonts w:ascii="Palatino Linotype" w:hAnsi="Palatino Linotype"/>
          <w:bCs/>
          <w:color w:val="000000" w:themeColor="text1"/>
        </w:rPr>
        <w:t xml:space="preserve">a través </w:t>
      </w:r>
      <w:r w:rsidR="009E58CA" w:rsidRPr="00B843B7">
        <w:rPr>
          <w:rFonts w:ascii="Palatino Linotype" w:hAnsi="Palatino Linotype"/>
          <w:bCs/>
          <w:color w:val="000000" w:themeColor="text1"/>
        </w:rPr>
        <w:t>del</w:t>
      </w:r>
      <w:r w:rsidR="00DE4F75" w:rsidRPr="00B843B7">
        <w:rPr>
          <w:rFonts w:ascii="Palatino Linotype" w:hAnsi="Palatino Linotype"/>
          <w:bCs/>
          <w:color w:val="000000" w:themeColor="text1"/>
        </w:rPr>
        <w:t xml:space="preserve"> </w:t>
      </w:r>
      <w:r w:rsidR="00FE159E" w:rsidRPr="00B843B7">
        <w:rPr>
          <w:rFonts w:ascii="Palatino Linotype" w:eastAsia="Calibri" w:hAnsi="Palatino Linotype" w:cs="Arial"/>
          <w:color w:val="000000" w:themeColor="text1"/>
          <w:lang w:val="es-ES"/>
        </w:rPr>
        <w:t>SAIMEX</w:t>
      </w:r>
      <w:r w:rsidR="005F1362" w:rsidRPr="00B843B7">
        <w:rPr>
          <w:rFonts w:ascii="Palatino Linotype" w:eastAsia="Calibri" w:hAnsi="Palatino Linotype" w:cs="Arial"/>
          <w:color w:val="000000" w:themeColor="text1"/>
          <w:lang w:val="es-ES"/>
        </w:rPr>
        <w:t>, la solicitud de información pública registrada</w:t>
      </w:r>
      <w:r w:rsidR="00772245" w:rsidRPr="00B843B7">
        <w:rPr>
          <w:rFonts w:ascii="Palatino Linotype" w:eastAsia="Calibri" w:hAnsi="Palatino Linotype" w:cs="Arial"/>
          <w:color w:val="000000" w:themeColor="text1"/>
          <w:lang w:val="es-ES"/>
        </w:rPr>
        <w:t xml:space="preserve"> con </w:t>
      </w:r>
      <w:r w:rsidR="00F25B61" w:rsidRPr="00B843B7">
        <w:rPr>
          <w:rFonts w:ascii="Palatino Linotype" w:eastAsia="Calibri" w:hAnsi="Palatino Linotype" w:cs="Arial"/>
          <w:color w:val="000000" w:themeColor="text1"/>
          <w:lang w:val="es-ES"/>
        </w:rPr>
        <w:t>el</w:t>
      </w:r>
      <w:r w:rsidR="005F1362" w:rsidRPr="00B843B7">
        <w:rPr>
          <w:rFonts w:ascii="Palatino Linotype" w:eastAsia="Calibri" w:hAnsi="Palatino Linotype" w:cs="Arial"/>
          <w:color w:val="000000" w:themeColor="text1"/>
          <w:lang w:val="es-ES"/>
        </w:rPr>
        <w:t xml:space="preserve"> número</w:t>
      </w:r>
      <w:r w:rsidR="00772245" w:rsidRPr="00B843B7">
        <w:rPr>
          <w:rFonts w:ascii="Palatino Linotype" w:eastAsia="Calibri" w:hAnsi="Palatino Linotype" w:cs="Arial"/>
          <w:color w:val="000000" w:themeColor="text1"/>
          <w:lang w:val="es-ES"/>
        </w:rPr>
        <w:t xml:space="preserve"> </w:t>
      </w:r>
      <w:r w:rsidR="00E70180" w:rsidRPr="00B843B7">
        <w:rPr>
          <w:rFonts w:ascii="Palatino Linotype" w:eastAsia="Calibri" w:hAnsi="Palatino Linotype" w:cs="Arial"/>
          <w:b/>
          <w:color w:val="000000" w:themeColor="text1"/>
          <w:lang w:val="es-ES"/>
        </w:rPr>
        <w:t>00050/TEMOAYA/IP/2022</w:t>
      </w:r>
      <w:r w:rsidR="005F1362" w:rsidRPr="00B843B7">
        <w:rPr>
          <w:rFonts w:ascii="Palatino Linotype" w:hAnsi="Palatino Linotype"/>
          <w:b/>
          <w:bCs/>
          <w:color w:val="000000" w:themeColor="text1"/>
        </w:rPr>
        <w:t>,</w:t>
      </w:r>
      <w:r w:rsidR="00F25B61" w:rsidRPr="00B843B7">
        <w:rPr>
          <w:rFonts w:ascii="Palatino Linotype" w:eastAsia="Calibri" w:hAnsi="Palatino Linotype" w:cs="Arial"/>
          <w:color w:val="000000" w:themeColor="text1"/>
          <w:lang w:val="es-ES"/>
        </w:rPr>
        <w:t xml:space="preserve"> mediante la</w:t>
      </w:r>
      <w:r w:rsidR="00772245" w:rsidRPr="00B843B7">
        <w:rPr>
          <w:rFonts w:ascii="Palatino Linotype" w:eastAsia="Calibri" w:hAnsi="Palatino Linotype" w:cs="Arial"/>
          <w:color w:val="000000" w:themeColor="text1"/>
          <w:lang w:val="es-ES"/>
        </w:rPr>
        <w:t xml:space="preserve"> que </w:t>
      </w:r>
      <w:r w:rsidR="005F1362" w:rsidRPr="00B843B7">
        <w:rPr>
          <w:rFonts w:ascii="Palatino Linotype" w:eastAsia="Calibri" w:hAnsi="Palatino Linotype" w:cs="Arial"/>
          <w:color w:val="000000" w:themeColor="text1"/>
          <w:lang w:val="es-ES"/>
        </w:rPr>
        <w:t>requirió</w:t>
      </w:r>
      <w:r w:rsidR="00022D89" w:rsidRPr="00B843B7">
        <w:rPr>
          <w:rFonts w:ascii="Palatino Linotype" w:eastAsia="Calibri" w:hAnsi="Palatino Linotype" w:cs="Arial"/>
          <w:color w:val="000000" w:themeColor="text1"/>
          <w:lang w:val="es-ES"/>
        </w:rPr>
        <w:t xml:space="preserve"> lo siguiente</w:t>
      </w:r>
      <w:r w:rsidR="005F1362" w:rsidRPr="00B843B7">
        <w:rPr>
          <w:rFonts w:ascii="Palatino Linotype" w:eastAsia="Calibri" w:hAnsi="Palatino Linotype" w:cs="Arial"/>
          <w:color w:val="000000" w:themeColor="text1"/>
          <w:lang w:val="es-ES"/>
        </w:rPr>
        <w:t>:</w:t>
      </w:r>
    </w:p>
    <w:p w14:paraId="76EB7490" w14:textId="77777777" w:rsidR="00B31E90" w:rsidRPr="00B843B7"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1A4D23B0" w:rsidR="0097210F" w:rsidRPr="00B843B7" w:rsidRDefault="00F25B61" w:rsidP="00B31E90">
      <w:pPr>
        <w:pStyle w:val="Prrafodelista"/>
        <w:spacing w:line="276" w:lineRule="auto"/>
        <w:ind w:left="567" w:right="567"/>
        <w:jc w:val="both"/>
        <w:rPr>
          <w:rFonts w:ascii="Palatino Linotype" w:hAnsi="Palatino Linotype"/>
          <w:color w:val="000000" w:themeColor="text1"/>
          <w:sz w:val="22"/>
          <w:szCs w:val="22"/>
        </w:rPr>
      </w:pPr>
      <w:r w:rsidRPr="00B843B7">
        <w:rPr>
          <w:rFonts w:ascii="Palatino Linotype" w:hAnsi="Palatino Linotype"/>
          <w:i/>
          <w:color w:val="000000" w:themeColor="text1"/>
          <w:sz w:val="22"/>
          <w:szCs w:val="22"/>
        </w:rPr>
        <w:t xml:space="preserve"> </w:t>
      </w:r>
      <w:r w:rsidR="005F1362" w:rsidRPr="00B843B7">
        <w:rPr>
          <w:rFonts w:ascii="Palatino Linotype" w:hAnsi="Palatino Linotype"/>
          <w:i/>
          <w:color w:val="000000" w:themeColor="text1"/>
          <w:sz w:val="22"/>
          <w:szCs w:val="22"/>
        </w:rPr>
        <w:t>“</w:t>
      </w:r>
      <w:r w:rsidR="00E70180" w:rsidRPr="00B843B7">
        <w:rPr>
          <w:rFonts w:ascii="Palatino Linotype" w:hAnsi="Palatino Linotype"/>
          <w:i/>
          <w:iCs/>
          <w:color w:val="000000" w:themeColor="text1"/>
          <w:sz w:val="22"/>
          <w:szCs w:val="22"/>
        </w:rPr>
        <w:t xml:space="preserve">Solciito en las lenguas indígenas que pertenezcan las familias lingüísticas otomí, los avisos deprivacidad publicados en su pagina institucional ya que Las personas de los pueblos originarios, como cualquier otra persona, tienen el derecho de estar informados en su idioma como reconocimiento de que su idioma forma parte de la cultura y como medio para allegarse de información que necesitan conocer;aunado a que este ayuntamiento le paga el sueldo a una representante indigena que debe velar por ese precepto ya que recibe sueldo asi como el area de asuntos o dirección indigena todo lo anterior con fundamento ya que la ley de trasparencia dice Ley en la materia establece en sus artículos 11, fracción XIII y 61, la obligación de todos y cada uno de los sujetos obligados de promover acuerdos con instituciones públicas especializadas que pudieran auxiliarles para entregar las respuestas a solicitudes de información en lengua indígena, braille o cualquier otro ajuste razonable con el formato accesible correspondiente, lo cual, será facultad del responsable de la Unidad de Transparencia; asi mismo lo dice el en sus </w:t>
      </w:r>
      <w:r w:rsidR="00E70180" w:rsidRPr="00B843B7">
        <w:rPr>
          <w:rFonts w:ascii="Palatino Linotype" w:hAnsi="Palatino Linotype"/>
          <w:i/>
          <w:iCs/>
          <w:color w:val="000000" w:themeColor="text1"/>
          <w:sz w:val="22"/>
          <w:szCs w:val="22"/>
        </w:rPr>
        <w:lastRenderedPageBreak/>
        <w:t>artículos 15 y 61, la Ley “establece la obligación de atender las necesidades del derecho de acceso a la información de toda persona, procurando su accesibilidad y traducción en lenguas indígenas: por lo que solicito se me hagan lllegar dichos documentos en mi lengua materna.</w:t>
      </w:r>
      <w:r w:rsidR="005F1362" w:rsidRPr="00B843B7">
        <w:rPr>
          <w:rFonts w:ascii="Palatino Linotype" w:hAnsi="Palatino Linotype"/>
          <w:i/>
          <w:color w:val="000000" w:themeColor="text1"/>
          <w:sz w:val="22"/>
          <w:szCs w:val="22"/>
        </w:rPr>
        <w:t xml:space="preserve">” </w:t>
      </w:r>
      <w:r w:rsidR="005F1362" w:rsidRPr="00B843B7">
        <w:rPr>
          <w:rFonts w:ascii="Palatino Linotype" w:hAnsi="Palatino Linotype"/>
          <w:color w:val="000000" w:themeColor="text1"/>
          <w:sz w:val="22"/>
          <w:szCs w:val="22"/>
        </w:rPr>
        <w:t>(Sic).</w:t>
      </w:r>
    </w:p>
    <w:p w14:paraId="65A03C8D" w14:textId="77777777" w:rsidR="005F1362" w:rsidRPr="00B843B7" w:rsidRDefault="005F1362" w:rsidP="00B31E90">
      <w:pPr>
        <w:spacing w:line="360" w:lineRule="auto"/>
        <w:ind w:right="333"/>
        <w:jc w:val="both"/>
        <w:rPr>
          <w:rFonts w:ascii="Palatino Linotype" w:hAnsi="Palatino Linotype"/>
          <w:color w:val="000000" w:themeColor="text1"/>
        </w:rPr>
      </w:pPr>
    </w:p>
    <w:p w14:paraId="49C21E77" w14:textId="42FF0B56" w:rsidR="0039142B" w:rsidRPr="00B843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843B7">
        <w:rPr>
          <w:rFonts w:ascii="Palatino Linotype" w:hAnsi="Palatino Linotype" w:cs="Arial"/>
          <w:color w:val="000000" w:themeColor="text1"/>
        </w:rPr>
        <w:t xml:space="preserve">Se hace constar que </w:t>
      </w:r>
      <w:r w:rsidR="00025127" w:rsidRPr="00B843B7">
        <w:rPr>
          <w:rFonts w:ascii="Palatino Linotype" w:eastAsia="Times New Roman" w:hAnsi="Palatino Linotype" w:cs="Arial"/>
          <w:color w:val="000000" w:themeColor="text1"/>
          <w:lang w:val="es-ES"/>
        </w:rPr>
        <w:t>el entonces</w:t>
      </w:r>
      <w:r w:rsidR="00FD7996" w:rsidRPr="00B843B7">
        <w:rPr>
          <w:rFonts w:ascii="Palatino Linotype" w:eastAsia="Times New Roman" w:hAnsi="Palatino Linotype" w:cs="Arial"/>
          <w:color w:val="000000" w:themeColor="text1"/>
          <w:lang w:val="es-ES"/>
        </w:rPr>
        <w:t xml:space="preserve"> </w:t>
      </w:r>
      <w:r w:rsidR="00FD7996" w:rsidRPr="00B843B7">
        <w:rPr>
          <w:rFonts w:ascii="Palatino Linotype" w:eastAsia="Times New Roman" w:hAnsi="Palatino Linotype" w:cs="Arial"/>
          <w:b/>
          <w:color w:val="000000" w:themeColor="text1"/>
          <w:lang w:val="es-ES"/>
        </w:rPr>
        <w:t>SOLICITANTE</w:t>
      </w:r>
      <w:r w:rsidRPr="00B843B7">
        <w:rPr>
          <w:rFonts w:ascii="Palatino Linotype" w:eastAsia="Times New Roman" w:hAnsi="Palatino Linotype" w:cs="Arial"/>
          <w:color w:val="000000" w:themeColor="text1"/>
          <w:lang w:val="es-ES"/>
        </w:rPr>
        <w:t xml:space="preserve"> señaló como modalidad de entrega de la información</w:t>
      </w:r>
      <w:r w:rsidRPr="00B843B7">
        <w:rPr>
          <w:rFonts w:ascii="Palatino Linotype" w:eastAsia="Times New Roman" w:hAnsi="Palatino Linotype" w:cs="Arial"/>
          <w:bCs/>
          <w:color w:val="000000" w:themeColor="text1"/>
          <w:lang w:val="es-ES"/>
        </w:rPr>
        <w:t>:</w:t>
      </w:r>
      <w:r w:rsidR="001E4152" w:rsidRPr="00B843B7">
        <w:rPr>
          <w:rFonts w:ascii="Palatino Linotype" w:eastAsia="Times New Roman" w:hAnsi="Palatino Linotype" w:cs="Arial"/>
          <w:b/>
          <w:color w:val="000000" w:themeColor="text1"/>
          <w:lang w:val="es-ES"/>
        </w:rPr>
        <w:t xml:space="preserve"> </w:t>
      </w:r>
      <w:r w:rsidR="001E4152" w:rsidRPr="00B843B7">
        <w:rPr>
          <w:rFonts w:ascii="Palatino Linotype" w:eastAsia="Times New Roman" w:hAnsi="Palatino Linotype" w:cs="Arial"/>
          <w:b/>
          <w:i/>
          <w:iCs/>
          <w:color w:val="000000" w:themeColor="text1"/>
          <w:lang w:val="es-ES"/>
        </w:rPr>
        <w:t>A través del SAIMEX</w:t>
      </w:r>
      <w:r w:rsidR="005B4B08" w:rsidRPr="00B843B7">
        <w:rPr>
          <w:rFonts w:ascii="Palatino Linotype" w:eastAsia="Calibri" w:hAnsi="Palatino Linotype" w:cs="Arial"/>
          <w:color w:val="000000" w:themeColor="text1"/>
          <w:lang w:val="es-ES"/>
        </w:rPr>
        <w:t>.</w:t>
      </w:r>
    </w:p>
    <w:p w14:paraId="35BA18A9" w14:textId="77777777" w:rsidR="0039142B" w:rsidRPr="00B843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2851765F" w:rsidR="0022448D" w:rsidRPr="00B843B7" w:rsidRDefault="00014F51"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B843B7">
        <w:rPr>
          <w:rFonts w:ascii="Palatino Linotype" w:eastAsia="MS Mincho" w:hAnsi="Palatino Linotype" w:cs="Times New Roman"/>
          <w:color w:val="000000" w:themeColor="text1"/>
        </w:rPr>
        <w:t>E</w:t>
      </w:r>
      <w:r w:rsidR="00B31E90" w:rsidRPr="00B843B7">
        <w:rPr>
          <w:rFonts w:ascii="Palatino Linotype" w:eastAsia="MS Mincho" w:hAnsi="Palatino Linotype" w:cs="Times New Roman"/>
          <w:color w:val="000000" w:themeColor="text1"/>
        </w:rPr>
        <w:t xml:space="preserve">l </w:t>
      </w:r>
      <w:r w:rsidR="00E70180" w:rsidRPr="00B843B7">
        <w:rPr>
          <w:rFonts w:ascii="Palatino Linotype" w:eastAsia="MS Mincho" w:hAnsi="Palatino Linotype" w:cs="Times New Roman"/>
          <w:color w:val="000000" w:themeColor="text1"/>
        </w:rPr>
        <w:t>diecinueve (19</w:t>
      </w:r>
      <w:r w:rsidR="00E771B8" w:rsidRPr="00B843B7">
        <w:rPr>
          <w:rFonts w:ascii="Palatino Linotype" w:eastAsia="MS Mincho" w:hAnsi="Palatino Linotype" w:cs="Times New Roman"/>
          <w:color w:val="000000" w:themeColor="text1"/>
        </w:rPr>
        <w:t xml:space="preserve">) de abril </w:t>
      </w:r>
      <w:r w:rsidR="00FE159E" w:rsidRPr="00B843B7">
        <w:rPr>
          <w:rFonts w:ascii="Palatino Linotype" w:eastAsia="MS Mincho" w:hAnsi="Palatino Linotype" w:cs="Times New Roman"/>
          <w:color w:val="000000" w:themeColor="text1"/>
        </w:rPr>
        <w:t xml:space="preserve">de dos mil </w:t>
      </w:r>
      <w:r w:rsidR="00392FF3" w:rsidRPr="00B843B7">
        <w:rPr>
          <w:rFonts w:ascii="Palatino Linotype" w:eastAsia="MS Mincho" w:hAnsi="Palatino Linotype" w:cs="Times New Roman"/>
          <w:color w:val="000000" w:themeColor="text1"/>
        </w:rPr>
        <w:t>veintidós</w:t>
      </w:r>
      <w:r w:rsidR="000411E2" w:rsidRPr="00B843B7">
        <w:rPr>
          <w:rFonts w:ascii="Palatino Linotype" w:eastAsia="MS Mincho" w:hAnsi="Palatino Linotype" w:cs="Times New Roman"/>
          <w:color w:val="000000" w:themeColor="text1"/>
        </w:rPr>
        <w:t xml:space="preserve">, </w:t>
      </w:r>
      <w:r w:rsidR="000411E2" w:rsidRPr="00B843B7">
        <w:rPr>
          <w:rFonts w:ascii="Palatino Linotype" w:hAnsi="Palatino Linotype"/>
          <w:color w:val="000000" w:themeColor="text1"/>
          <w:szCs w:val="14"/>
        </w:rPr>
        <w:t xml:space="preserve">el </w:t>
      </w:r>
      <w:r w:rsidR="000411E2" w:rsidRPr="00B843B7">
        <w:rPr>
          <w:rFonts w:ascii="Palatino Linotype" w:hAnsi="Palatino Linotype"/>
          <w:b/>
          <w:color w:val="000000" w:themeColor="text1"/>
          <w:szCs w:val="14"/>
        </w:rPr>
        <w:t>SUJETO OBLIGADO</w:t>
      </w:r>
      <w:r w:rsidR="000411E2" w:rsidRPr="00B843B7">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B843B7" w:rsidRDefault="009A593A" w:rsidP="00B31E90">
      <w:pPr>
        <w:pStyle w:val="Sinespaciado"/>
        <w:ind w:left="567" w:right="567"/>
        <w:jc w:val="right"/>
        <w:rPr>
          <w:rFonts w:ascii="Palatino Linotype" w:hAnsi="Palatino Linotype"/>
          <w:i/>
          <w:noProof/>
          <w:color w:val="000000" w:themeColor="text1"/>
          <w:lang w:eastAsia="es-MX"/>
        </w:rPr>
      </w:pPr>
    </w:p>
    <w:p w14:paraId="067E0BC4" w14:textId="77777777" w:rsidR="00E70180" w:rsidRPr="00B843B7" w:rsidRDefault="00F25B61" w:rsidP="00E7018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843B7">
        <w:rPr>
          <w:rFonts w:ascii="Palatino Linotype" w:hAnsi="Palatino Linotype"/>
          <w:i/>
          <w:noProof/>
          <w:color w:val="000000" w:themeColor="text1"/>
          <w:sz w:val="22"/>
          <w:szCs w:val="22"/>
          <w:lang w:val="es-MX" w:eastAsia="es-MX"/>
        </w:rPr>
        <w:t xml:space="preserve"> </w:t>
      </w:r>
      <w:r w:rsidR="005F1362" w:rsidRPr="00B843B7">
        <w:rPr>
          <w:rFonts w:ascii="Palatino Linotype" w:hAnsi="Palatino Linotype"/>
          <w:i/>
          <w:noProof/>
          <w:color w:val="000000" w:themeColor="text1"/>
          <w:sz w:val="22"/>
          <w:szCs w:val="22"/>
          <w:lang w:val="es-MX" w:eastAsia="es-MX"/>
        </w:rPr>
        <w:t>“</w:t>
      </w:r>
      <w:r w:rsidR="00E70180" w:rsidRPr="00B843B7">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E01F93" w14:textId="77777777" w:rsidR="00E70180" w:rsidRPr="00B843B7" w:rsidRDefault="00E70180" w:rsidP="00E7018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C961BDF" w14:textId="77777777" w:rsidR="00E70180" w:rsidRPr="00B843B7" w:rsidRDefault="00E70180" w:rsidP="00E7018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843B7">
        <w:rPr>
          <w:rFonts w:ascii="Palatino Linotype" w:hAnsi="Palatino Linotype"/>
          <w:i/>
          <w:noProof/>
          <w:color w:val="000000" w:themeColor="text1"/>
          <w:sz w:val="22"/>
          <w:szCs w:val="22"/>
          <w:lang w:val="es-MX" w:eastAsia="es-MX"/>
        </w:rPr>
        <w:t>Se anexa en formatos pdf, la respuesta a su solicitud de información registrada bajo el folio 00050/TEMOAYA/IP/2022.</w:t>
      </w:r>
    </w:p>
    <w:p w14:paraId="4A2829F0" w14:textId="77777777" w:rsidR="00E70180" w:rsidRPr="00B843B7" w:rsidRDefault="00E70180" w:rsidP="00E70180">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15B8004C" w14:textId="77777777" w:rsidR="00E70180" w:rsidRPr="00B843B7" w:rsidRDefault="00E70180" w:rsidP="00E70180">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B843B7">
        <w:rPr>
          <w:rFonts w:ascii="Palatino Linotype" w:hAnsi="Palatino Linotype"/>
          <w:i/>
          <w:noProof/>
          <w:color w:val="000000" w:themeColor="text1"/>
          <w:sz w:val="22"/>
          <w:szCs w:val="22"/>
          <w:lang w:val="es-MX" w:eastAsia="es-MX"/>
        </w:rPr>
        <w:t>ATENTAMENTE</w:t>
      </w:r>
    </w:p>
    <w:p w14:paraId="35A36DE0" w14:textId="4EF0259F" w:rsidR="0039142B" w:rsidRPr="00B843B7" w:rsidRDefault="00E70180" w:rsidP="00E70180">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B843B7">
        <w:rPr>
          <w:rFonts w:ascii="Palatino Linotype" w:hAnsi="Palatino Linotype"/>
          <w:i/>
          <w:noProof/>
          <w:color w:val="000000" w:themeColor="text1"/>
          <w:sz w:val="22"/>
          <w:szCs w:val="22"/>
          <w:lang w:val="es-MX" w:eastAsia="es-MX"/>
        </w:rPr>
        <w:t>C. JUAN ANGEL CONZUELO CELIS</w:t>
      </w:r>
      <w:r w:rsidR="005F1362" w:rsidRPr="00B843B7">
        <w:rPr>
          <w:rFonts w:ascii="Palatino Linotype" w:hAnsi="Palatino Linotype"/>
          <w:i/>
          <w:noProof/>
          <w:color w:val="000000" w:themeColor="text1"/>
          <w:sz w:val="22"/>
          <w:szCs w:val="22"/>
          <w:lang w:val="es-MX" w:eastAsia="es-MX"/>
        </w:rPr>
        <w:t>”</w:t>
      </w:r>
      <w:r w:rsidR="00EB3DF7" w:rsidRPr="00B843B7">
        <w:rPr>
          <w:rFonts w:ascii="Palatino Linotype" w:hAnsi="Palatino Linotype"/>
          <w:noProof/>
          <w:color w:val="000000" w:themeColor="text1"/>
          <w:sz w:val="22"/>
          <w:szCs w:val="22"/>
          <w:lang w:val="es-MX" w:eastAsia="es-MX"/>
        </w:rPr>
        <w:t xml:space="preserve"> (Sic.)</w:t>
      </w:r>
    </w:p>
    <w:p w14:paraId="2D68519B" w14:textId="77777777" w:rsidR="0097210F" w:rsidRPr="00B843B7" w:rsidRDefault="0097210F" w:rsidP="009A593A">
      <w:pPr>
        <w:pStyle w:val="Sinespaciado"/>
        <w:ind w:right="567"/>
        <w:jc w:val="both"/>
        <w:rPr>
          <w:rFonts w:ascii="Palatino Linotype" w:hAnsi="Palatino Linotype"/>
          <w:noProof/>
          <w:color w:val="000000" w:themeColor="text1"/>
          <w:lang w:val="es-MX" w:eastAsia="es-MX"/>
        </w:rPr>
      </w:pPr>
    </w:p>
    <w:p w14:paraId="170BD45E" w14:textId="09522232" w:rsidR="00022D89" w:rsidRPr="00B843B7"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B843B7">
        <w:rPr>
          <w:rFonts w:ascii="Palatino Linotype" w:hAnsi="Palatino Linotype"/>
          <w:color w:val="000000" w:themeColor="text1"/>
          <w:szCs w:val="22"/>
        </w:rPr>
        <w:t xml:space="preserve">Adjunto </w:t>
      </w:r>
      <w:r w:rsidR="00E85FF3" w:rsidRPr="00B843B7">
        <w:rPr>
          <w:rFonts w:ascii="Palatino Linotype" w:hAnsi="Palatino Linotype"/>
          <w:color w:val="000000" w:themeColor="text1"/>
          <w:szCs w:val="22"/>
        </w:rPr>
        <w:t>al acuse de respuesta</w:t>
      </w:r>
      <w:r w:rsidRPr="00B843B7">
        <w:rPr>
          <w:rFonts w:ascii="Palatino Linotype" w:hAnsi="Palatino Linotype"/>
          <w:color w:val="000000" w:themeColor="text1"/>
          <w:szCs w:val="22"/>
        </w:rPr>
        <w:t xml:space="preserve">, el </w:t>
      </w:r>
      <w:r w:rsidRPr="00B843B7">
        <w:rPr>
          <w:rFonts w:ascii="Palatino Linotype" w:hAnsi="Palatino Linotype"/>
          <w:b/>
          <w:bCs/>
          <w:color w:val="000000" w:themeColor="text1"/>
          <w:szCs w:val="22"/>
        </w:rPr>
        <w:t>SUJETO OBLIGADO</w:t>
      </w:r>
      <w:r w:rsidRPr="00B843B7">
        <w:rPr>
          <w:rFonts w:ascii="Palatino Linotype" w:hAnsi="Palatino Linotype"/>
          <w:color w:val="000000" w:themeColor="text1"/>
          <w:szCs w:val="22"/>
        </w:rPr>
        <w:t xml:space="preserve"> entregó al particular </w:t>
      </w:r>
      <w:r w:rsidR="00E771B8" w:rsidRPr="00B843B7">
        <w:rPr>
          <w:rFonts w:ascii="Palatino Linotype" w:hAnsi="Palatino Linotype"/>
          <w:color w:val="000000" w:themeColor="text1"/>
          <w:szCs w:val="22"/>
        </w:rPr>
        <w:t>los</w:t>
      </w:r>
      <w:r w:rsidRPr="00B843B7">
        <w:rPr>
          <w:rFonts w:ascii="Palatino Linotype" w:hAnsi="Palatino Linotype"/>
          <w:color w:val="000000" w:themeColor="text1"/>
          <w:szCs w:val="22"/>
        </w:rPr>
        <w:t xml:space="preserve"> documento</w:t>
      </w:r>
      <w:r w:rsidR="00E771B8" w:rsidRPr="00B843B7">
        <w:rPr>
          <w:rFonts w:ascii="Palatino Linotype" w:hAnsi="Palatino Linotype"/>
          <w:color w:val="000000" w:themeColor="text1"/>
          <w:szCs w:val="22"/>
        </w:rPr>
        <w:t>s</w:t>
      </w:r>
      <w:r w:rsidR="00B67B60" w:rsidRPr="00B843B7">
        <w:rPr>
          <w:rFonts w:ascii="Palatino Linotype" w:hAnsi="Palatino Linotype"/>
          <w:color w:val="000000" w:themeColor="text1"/>
          <w:szCs w:val="22"/>
        </w:rPr>
        <w:t xml:space="preserve"> cuyo contenido</w:t>
      </w:r>
      <w:r w:rsidRPr="00B843B7">
        <w:rPr>
          <w:rFonts w:ascii="Palatino Linotype" w:hAnsi="Palatino Linotype"/>
          <w:color w:val="000000" w:themeColor="text1"/>
          <w:szCs w:val="22"/>
        </w:rPr>
        <w:t xml:space="preserve"> se describe a continuación:</w:t>
      </w:r>
    </w:p>
    <w:p w14:paraId="5A95DE3F" w14:textId="73C6AE19" w:rsidR="00395355" w:rsidRPr="00B843B7" w:rsidRDefault="00F25B61" w:rsidP="00395355">
      <w:pPr>
        <w:pStyle w:val="Prrafodelista"/>
        <w:numPr>
          <w:ilvl w:val="1"/>
          <w:numId w:val="40"/>
        </w:numPr>
        <w:tabs>
          <w:tab w:val="left" w:pos="284"/>
          <w:tab w:val="left" w:pos="426"/>
        </w:tabs>
        <w:spacing w:line="360" w:lineRule="auto"/>
        <w:ind w:left="1134"/>
        <w:jc w:val="both"/>
        <w:rPr>
          <w:rFonts w:ascii="Palatino Linotype" w:hAnsi="Palatino Linotype"/>
          <w:b/>
          <w:i/>
          <w:color w:val="000000" w:themeColor="text1"/>
          <w:szCs w:val="22"/>
        </w:rPr>
      </w:pPr>
      <w:r w:rsidRPr="00B843B7">
        <w:rPr>
          <w:rFonts w:ascii="Palatino Linotype" w:hAnsi="Palatino Linotype"/>
          <w:b/>
          <w:i/>
          <w:color w:val="000000" w:themeColor="text1"/>
          <w:szCs w:val="22"/>
        </w:rPr>
        <w:t>“</w:t>
      </w:r>
      <w:r w:rsidR="00E70180" w:rsidRPr="00B843B7">
        <w:rPr>
          <w:rFonts w:ascii="Palatino Linotype" w:hAnsi="Palatino Linotype"/>
          <w:b/>
          <w:i/>
          <w:color w:val="000000" w:themeColor="text1"/>
          <w:szCs w:val="22"/>
        </w:rPr>
        <w:t>MX-M314N_20220328_145435</w:t>
      </w:r>
      <w:r w:rsidR="00CF24AD" w:rsidRPr="00B843B7">
        <w:rPr>
          <w:rFonts w:ascii="Palatino Linotype" w:hAnsi="Palatino Linotype"/>
          <w:b/>
          <w:i/>
          <w:color w:val="000000" w:themeColor="text1"/>
          <w:szCs w:val="22"/>
        </w:rPr>
        <w:t>.pdf</w:t>
      </w:r>
      <w:r w:rsidRPr="00B843B7">
        <w:rPr>
          <w:rFonts w:ascii="Palatino Linotype" w:hAnsi="Palatino Linotype"/>
          <w:b/>
          <w:i/>
          <w:color w:val="000000" w:themeColor="text1"/>
          <w:szCs w:val="22"/>
        </w:rPr>
        <w:t>”</w:t>
      </w:r>
      <w:r w:rsidRPr="00B843B7">
        <w:rPr>
          <w:rFonts w:ascii="Palatino Linotype" w:hAnsi="Palatino Linotype"/>
          <w:color w:val="000000" w:themeColor="text1"/>
          <w:szCs w:val="22"/>
        </w:rPr>
        <w:t xml:space="preserve">: Documento </w:t>
      </w:r>
      <w:r w:rsidR="00E771B8" w:rsidRPr="00B843B7">
        <w:rPr>
          <w:rFonts w:ascii="Palatino Linotype" w:hAnsi="Palatino Linotype"/>
          <w:color w:val="000000" w:themeColor="text1"/>
          <w:szCs w:val="22"/>
        </w:rPr>
        <w:t xml:space="preserve">de </w:t>
      </w:r>
      <w:r w:rsidR="00E70180" w:rsidRPr="00B843B7">
        <w:rPr>
          <w:rFonts w:ascii="Palatino Linotype" w:hAnsi="Palatino Linotype"/>
          <w:color w:val="000000" w:themeColor="text1"/>
          <w:szCs w:val="22"/>
        </w:rPr>
        <w:t xml:space="preserve">una foja  consistente en la copia digitalizada del oficio número DPCO/208/2022, de veintiocho (28) de marzo de dos mil veintidós, emitido por la Directora de Promoción de la Cultura Otomí, y dirigido al Encargado de la Unidad de Transparencia, </w:t>
      </w:r>
      <w:r w:rsidR="00395355" w:rsidRPr="00B843B7">
        <w:rPr>
          <w:rFonts w:ascii="Palatino Linotype" w:hAnsi="Palatino Linotype"/>
          <w:color w:val="000000" w:themeColor="text1"/>
          <w:szCs w:val="22"/>
        </w:rPr>
        <w:t xml:space="preserve">por el que informa que los Avisos de Privacidad se encuentran publicados en la página oficial del Ayuntamiento de </w:t>
      </w:r>
      <w:r w:rsidR="00395355" w:rsidRPr="00B843B7">
        <w:rPr>
          <w:rFonts w:ascii="Palatino Linotype" w:hAnsi="Palatino Linotype"/>
          <w:color w:val="000000" w:themeColor="text1"/>
          <w:szCs w:val="22"/>
        </w:rPr>
        <w:lastRenderedPageBreak/>
        <w:t>Temoaya, asimismo, manifiesta que la Dirección a su cargo no cuenta con personal auxiliar para traducir la información requerida.</w:t>
      </w:r>
    </w:p>
    <w:p w14:paraId="18538835" w14:textId="6E92146A" w:rsidR="00FE159E" w:rsidRPr="00B843B7" w:rsidRDefault="00E70180" w:rsidP="00076DDA">
      <w:pPr>
        <w:pStyle w:val="Prrafodelista"/>
        <w:numPr>
          <w:ilvl w:val="1"/>
          <w:numId w:val="40"/>
        </w:numPr>
        <w:tabs>
          <w:tab w:val="left" w:pos="284"/>
          <w:tab w:val="left" w:pos="426"/>
        </w:tabs>
        <w:spacing w:line="360" w:lineRule="auto"/>
        <w:ind w:left="1134"/>
        <w:jc w:val="both"/>
        <w:rPr>
          <w:rFonts w:ascii="Palatino Linotype" w:hAnsi="Palatino Linotype" w:cs="Arial"/>
        </w:rPr>
      </w:pPr>
      <w:r w:rsidRPr="00B843B7">
        <w:rPr>
          <w:rFonts w:ascii="Palatino Linotype" w:hAnsi="Palatino Linotype"/>
          <w:b/>
          <w:i/>
          <w:color w:val="000000" w:themeColor="text1"/>
          <w:szCs w:val="22"/>
        </w:rPr>
        <w:t xml:space="preserve"> </w:t>
      </w:r>
      <w:r w:rsidR="00E771B8" w:rsidRPr="00B843B7">
        <w:rPr>
          <w:rFonts w:ascii="Palatino Linotype" w:hAnsi="Palatino Linotype"/>
          <w:b/>
          <w:i/>
          <w:color w:val="000000" w:themeColor="text1"/>
          <w:szCs w:val="22"/>
        </w:rPr>
        <w:t>“</w:t>
      </w:r>
      <w:r w:rsidRPr="00B843B7">
        <w:rPr>
          <w:rFonts w:ascii="Palatino Linotype" w:hAnsi="Palatino Linotype"/>
          <w:b/>
          <w:i/>
          <w:color w:val="000000" w:themeColor="text1"/>
          <w:szCs w:val="22"/>
        </w:rPr>
        <w:t>REPRESENTANTE INDIGENA</w:t>
      </w:r>
      <w:r w:rsidR="00E771B8" w:rsidRPr="00B843B7">
        <w:rPr>
          <w:rFonts w:ascii="Palatino Linotype" w:hAnsi="Palatino Linotype"/>
          <w:b/>
          <w:i/>
          <w:color w:val="000000" w:themeColor="text1"/>
          <w:szCs w:val="22"/>
        </w:rPr>
        <w:t>.pdf”</w:t>
      </w:r>
      <w:r w:rsidR="00E771B8" w:rsidRPr="00B843B7">
        <w:rPr>
          <w:rFonts w:ascii="Palatino Linotype" w:hAnsi="Palatino Linotype"/>
          <w:color w:val="000000" w:themeColor="text1"/>
          <w:szCs w:val="22"/>
        </w:rPr>
        <w:t xml:space="preserve">: Documento de una foja consistente en la copia digitalizada del oficio </w:t>
      </w:r>
      <w:r w:rsidR="00395355" w:rsidRPr="00B843B7">
        <w:rPr>
          <w:rFonts w:ascii="Palatino Linotype" w:hAnsi="Palatino Linotype"/>
          <w:color w:val="000000" w:themeColor="text1"/>
          <w:szCs w:val="22"/>
        </w:rPr>
        <w:t>número 010/RPI/2022, de veintitrés (23) de marzo de dos mil veintidós, emitido por el Representante Indígena ante el Ayuntamiento de Temoaya, y dirigido al Encargado de la Unidad de Transparencia, por el que se manifiesta a la orden para apoyar como intérprete traductor, y señala un domicilio de atención ciudadana.</w:t>
      </w:r>
    </w:p>
    <w:p w14:paraId="7E0E060D" w14:textId="77777777" w:rsidR="00395355" w:rsidRPr="00B843B7" w:rsidRDefault="00395355" w:rsidP="00395355">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145A2513" w:rsidR="000D5A1D" w:rsidRPr="00B843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B843B7">
        <w:rPr>
          <w:rFonts w:ascii="Palatino Linotype" w:eastAsia="Times New Roman" w:hAnsi="Palatino Linotype" w:cs="Arial"/>
          <w:color w:val="000000" w:themeColor="text1"/>
          <w:lang w:val="es-ES"/>
        </w:rPr>
        <w:t>D</w:t>
      </w:r>
      <w:r w:rsidR="00561ED1" w:rsidRPr="00B843B7">
        <w:rPr>
          <w:rFonts w:ascii="Palatino Linotype" w:eastAsia="Times New Roman" w:hAnsi="Palatino Linotype" w:cs="Arial"/>
          <w:color w:val="000000" w:themeColor="text1"/>
          <w:lang w:val="es-ES"/>
        </w:rPr>
        <w:t xml:space="preserve">erivado de la respuesta emitida por el </w:t>
      </w:r>
      <w:r w:rsidR="00561ED1" w:rsidRPr="00B843B7">
        <w:rPr>
          <w:rFonts w:ascii="Palatino Linotype" w:eastAsia="Times New Roman" w:hAnsi="Palatino Linotype" w:cs="Arial"/>
          <w:b/>
          <w:color w:val="000000" w:themeColor="text1"/>
          <w:lang w:val="es-ES"/>
        </w:rPr>
        <w:t>SUJETO OBLIGADO</w:t>
      </w:r>
      <w:r w:rsidR="00561ED1" w:rsidRPr="00B843B7">
        <w:rPr>
          <w:rFonts w:ascii="Palatino Linotype" w:eastAsia="Times New Roman" w:hAnsi="Palatino Linotype" w:cs="Arial"/>
          <w:color w:val="000000" w:themeColor="text1"/>
          <w:lang w:val="es-ES"/>
        </w:rPr>
        <w:t>, e</w:t>
      </w:r>
      <w:r w:rsidR="00DB4BEF" w:rsidRPr="00B843B7">
        <w:rPr>
          <w:rFonts w:ascii="Palatino Linotype" w:eastAsia="Times New Roman" w:hAnsi="Palatino Linotype" w:cs="Arial"/>
          <w:color w:val="000000" w:themeColor="text1"/>
          <w:lang w:val="es-ES"/>
        </w:rPr>
        <w:t xml:space="preserve">l </w:t>
      </w:r>
      <w:r w:rsidR="00AE3CE5" w:rsidRPr="00B843B7">
        <w:rPr>
          <w:rFonts w:ascii="Palatino Linotype" w:eastAsia="Times New Roman" w:hAnsi="Palatino Linotype" w:cs="Arial"/>
          <w:color w:val="000000" w:themeColor="text1"/>
          <w:lang w:val="es-ES"/>
        </w:rPr>
        <w:t xml:space="preserve"> veinte</w:t>
      </w:r>
      <w:r w:rsidR="00395355" w:rsidRPr="00B843B7">
        <w:rPr>
          <w:rFonts w:ascii="Palatino Linotype" w:eastAsia="Times New Roman" w:hAnsi="Palatino Linotype" w:cs="Arial"/>
          <w:color w:val="000000" w:themeColor="text1"/>
          <w:lang w:val="es-ES"/>
        </w:rPr>
        <w:t xml:space="preserve"> (20) de abril </w:t>
      </w:r>
      <w:r w:rsidR="00864EBB" w:rsidRPr="00B843B7">
        <w:rPr>
          <w:rFonts w:ascii="Palatino Linotype" w:eastAsia="Times New Roman" w:hAnsi="Palatino Linotype" w:cs="Arial"/>
          <w:color w:val="000000" w:themeColor="text1"/>
          <w:lang w:val="es-ES"/>
        </w:rPr>
        <w:t>de dos mil veintidós</w:t>
      </w:r>
      <w:r w:rsidR="00FE49E3" w:rsidRPr="00B843B7">
        <w:rPr>
          <w:rFonts w:ascii="Palatino Linotype" w:eastAsia="Times New Roman" w:hAnsi="Palatino Linotype" w:cs="Arial"/>
          <w:color w:val="000000" w:themeColor="text1"/>
          <w:lang w:val="es-ES"/>
        </w:rPr>
        <w:t xml:space="preserve">, </w:t>
      </w:r>
      <w:r w:rsidR="001468E9" w:rsidRPr="00B843B7">
        <w:rPr>
          <w:rFonts w:ascii="Palatino Linotype" w:eastAsia="Times New Roman" w:hAnsi="Palatino Linotype" w:cs="Arial"/>
          <w:color w:val="000000" w:themeColor="text1"/>
          <w:lang w:val="es-ES"/>
        </w:rPr>
        <w:t>el</w:t>
      </w:r>
      <w:r w:rsidR="005F1362" w:rsidRPr="00B843B7">
        <w:rPr>
          <w:rFonts w:ascii="Palatino Linotype" w:eastAsia="Times New Roman" w:hAnsi="Palatino Linotype" w:cs="Arial"/>
          <w:color w:val="000000" w:themeColor="text1"/>
          <w:lang w:val="es-ES"/>
        </w:rPr>
        <w:t xml:space="preserve"> particular</w:t>
      </w:r>
      <w:r w:rsidR="00DB4BEF" w:rsidRPr="00B843B7">
        <w:rPr>
          <w:rFonts w:ascii="Palatino Linotype" w:eastAsia="Times New Roman" w:hAnsi="Palatino Linotype" w:cs="Arial"/>
          <w:color w:val="000000" w:themeColor="text1"/>
          <w:lang w:val="es-ES"/>
        </w:rPr>
        <w:t xml:space="preserve"> interpuso</w:t>
      </w:r>
      <w:r w:rsidR="009316E9" w:rsidRPr="00B843B7">
        <w:rPr>
          <w:rFonts w:ascii="Palatino Linotype" w:eastAsia="Times New Roman" w:hAnsi="Palatino Linotype" w:cs="Arial"/>
          <w:color w:val="000000" w:themeColor="text1"/>
          <w:lang w:val="es-ES"/>
        </w:rPr>
        <w:t xml:space="preserve"> </w:t>
      </w:r>
      <w:r w:rsidR="00F25B61" w:rsidRPr="00B843B7">
        <w:rPr>
          <w:rFonts w:ascii="Palatino Linotype" w:eastAsia="Times New Roman" w:hAnsi="Palatino Linotype" w:cs="Arial"/>
          <w:color w:val="000000" w:themeColor="text1"/>
          <w:lang w:val="es-ES"/>
        </w:rPr>
        <w:t>el</w:t>
      </w:r>
      <w:r w:rsidR="004D68F8" w:rsidRPr="00B843B7">
        <w:rPr>
          <w:rFonts w:ascii="Palatino Linotype" w:eastAsia="Times New Roman" w:hAnsi="Palatino Linotype" w:cs="Arial"/>
          <w:color w:val="000000" w:themeColor="text1"/>
          <w:lang w:val="es-ES"/>
        </w:rPr>
        <w:t xml:space="preserve"> recurso de revisión </w:t>
      </w:r>
      <w:r w:rsidR="00E70180" w:rsidRPr="00B843B7">
        <w:rPr>
          <w:rFonts w:ascii="Palatino Linotype" w:eastAsia="Calibri" w:hAnsi="Palatino Linotype" w:cs="Arial"/>
          <w:b/>
          <w:color w:val="000000" w:themeColor="text1"/>
          <w:lang w:val="es-ES"/>
        </w:rPr>
        <w:t>06268/INFOEM/IP/RR/2022</w:t>
      </w:r>
      <w:r w:rsidR="009A0461" w:rsidRPr="00B843B7">
        <w:rPr>
          <w:rFonts w:ascii="Palatino Linotype" w:eastAsia="Calibri" w:hAnsi="Palatino Linotype" w:cs="Arial"/>
          <w:color w:val="000000" w:themeColor="text1"/>
          <w:lang w:val="es-ES"/>
        </w:rPr>
        <w:t>;</w:t>
      </w:r>
      <w:r w:rsidR="00102D65" w:rsidRPr="00B843B7">
        <w:rPr>
          <w:rFonts w:ascii="Palatino Linotype" w:eastAsia="Times New Roman" w:hAnsi="Palatino Linotype" w:cs="Arial"/>
          <w:color w:val="000000" w:themeColor="text1"/>
          <w:lang w:val="es-ES"/>
        </w:rPr>
        <w:t xml:space="preserve"> </w:t>
      </w:r>
      <w:r w:rsidR="00F25B61" w:rsidRPr="00B843B7">
        <w:rPr>
          <w:rFonts w:ascii="Palatino Linotype" w:eastAsia="Times New Roman" w:hAnsi="Palatino Linotype" w:cs="Arial"/>
          <w:color w:val="000000" w:themeColor="text1"/>
          <w:lang w:val="es-ES"/>
        </w:rPr>
        <w:t>impugnación</w:t>
      </w:r>
      <w:r w:rsidR="004D68F8" w:rsidRPr="00B843B7">
        <w:rPr>
          <w:rFonts w:ascii="Palatino Linotype" w:eastAsia="Times New Roman" w:hAnsi="Palatino Linotype" w:cs="Arial"/>
          <w:color w:val="000000" w:themeColor="text1"/>
          <w:lang w:val="es-ES"/>
        </w:rPr>
        <w:t xml:space="preserve"> </w:t>
      </w:r>
      <w:r w:rsidR="00A45546" w:rsidRPr="00B843B7">
        <w:rPr>
          <w:rFonts w:ascii="Palatino Linotype" w:eastAsia="Times New Roman" w:hAnsi="Palatino Linotype" w:cs="Arial"/>
          <w:color w:val="000000" w:themeColor="text1"/>
          <w:lang w:val="es-ES"/>
        </w:rPr>
        <w:t xml:space="preserve">en </w:t>
      </w:r>
      <w:r w:rsidR="00977D37" w:rsidRPr="00B843B7">
        <w:rPr>
          <w:rFonts w:ascii="Palatino Linotype" w:eastAsia="Times New Roman" w:hAnsi="Palatino Linotype" w:cs="Arial"/>
          <w:color w:val="000000" w:themeColor="text1"/>
          <w:lang w:val="es-ES"/>
        </w:rPr>
        <w:t>la</w:t>
      </w:r>
      <w:r w:rsidR="00A45546" w:rsidRPr="00B843B7">
        <w:rPr>
          <w:rFonts w:ascii="Palatino Linotype" w:eastAsia="Times New Roman" w:hAnsi="Palatino Linotype" w:cs="Arial"/>
          <w:color w:val="000000" w:themeColor="text1"/>
          <w:lang w:val="es-ES"/>
        </w:rPr>
        <w:t xml:space="preserve"> que refirió </w:t>
      </w:r>
      <w:r w:rsidR="004D68F8" w:rsidRPr="00B843B7">
        <w:rPr>
          <w:rFonts w:ascii="Palatino Linotype" w:eastAsia="Times New Roman" w:hAnsi="Palatino Linotype" w:cs="Arial"/>
          <w:color w:val="000000" w:themeColor="text1"/>
          <w:lang w:val="es-ES"/>
        </w:rPr>
        <w:t>lo siguiente:</w:t>
      </w:r>
    </w:p>
    <w:p w14:paraId="054906C6" w14:textId="77777777" w:rsidR="00E34622" w:rsidRPr="00B843B7"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FC992C9" w:rsidR="00E34622" w:rsidRPr="00B843B7"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B843B7">
        <w:rPr>
          <w:rFonts w:ascii="Palatino Linotype" w:eastAsia="Times New Roman" w:hAnsi="Palatino Linotype" w:cs="Arial"/>
          <w:b/>
          <w:color w:val="000000" w:themeColor="text1"/>
          <w:sz w:val="22"/>
          <w:lang w:val="es-ES"/>
        </w:rPr>
        <w:t>Acto impugnado:</w:t>
      </w:r>
      <w:r w:rsidRPr="00B843B7">
        <w:rPr>
          <w:rFonts w:ascii="Palatino Linotype" w:eastAsia="Times New Roman" w:hAnsi="Palatino Linotype" w:cs="Arial"/>
          <w:color w:val="000000" w:themeColor="text1"/>
          <w:sz w:val="22"/>
          <w:lang w:val="es-ES"/>
        </w:rPr>
        <w:t xml:space="preserve"> “</w:t>
      </w:r>
      <w:r w:rsidR="00395355" w:rsidRPr="00B843B7">
        <w:rPr>
          <w:rFonts w:ascii="Palatino Linotype" w:eastAsia="Times New Roman" w:hAnsi="Palatino Linotype" w:cs="Arial"/>
          <w:i/>
          <w:color w:val="000000" w:themeColor="text1"/>
          <w:sz w:val="22"/>
        </w:rPr>
        <w:t>no se me dio la información</w:t>
      </w:r>
      <w:r w:rsidRPr="00B843B7">
        <w:rPr>
          <w:rFonts w:ascii="Palatino Linotype" w:eastAsia="Times New Roman" w:hAnsi="Palatino Linotype" w:cs="Arial"/>
          <w:i/>
          <w:color w:val="000000" w:themeColor="text1"/>
          <w:sz w:val="22"/>
          <w:lang w:val="es-ES"/>
        </w:rPr>
        <w:t>”</w:t>
      </w:r>
      <w:r w:rsidRPr="00B843B7">
        <w:rPr>
          <w:rFonts w:ascii="Palatino Linotype" w:eastAsia="Times New Roman" w:hAnsi="Palatino Linotype" w:cs="Arial"/>
          <w:color w:val="000000" w:themeColor="text1"/>
          <w:sz w:val="22"/>
          <w:lang w:val="es-ES"/>
        </w:rPr>
        <w:t xml:space="preserve"> (Sic).</w:t>
      </w:r>
    </w:p>
    <w:p w14:paraId="25E44FB6" w14:textId="77777777" w:rsidR="00F25B61" w:rsidRPr="00B843B7" w:rsidRDefault="00F25B61" w:rsidP="00F25B61">
      <w:pPr>
        <w:pStyle w:val="Prrafodelista"/>
        <w:tabs>
          <w:tab w:val="left" w:pos="993"/>
        </w:tabs>
        <w:spacing w:line="276" w:lineRule="auto"/>
        <w:ind w:left="993" w:right="567"/>
        <w:jc w:val="both"/>
        <w:rPr>
          <w:rFonts w:ascii="Palatino Linotype" w:eastAsia="Times New Roman" w:hAnsi="Palatino Linotype" w:cs="Arial"/>
          <w:color w:val="000000" w:themeColor="text1"/>
          <w:sz w:val="22"/>
          <w:lang w:val="es-ES"/>
        </w:rPr>
      </w:pPr>
    </w:p>
    <w:p w14:paraId="7DB0260F" w14:textId="7C1E5EF8" w:rsidR="000E096F" w:rsidRPr="00B843B7" w:rsidRDefault="00E34622" w:rsidP="00864EBB">
      <w:pPr>
        <w:pStyle w:val="Prrafodelista"/>
        <w:numPr>
          <w:ilvl w:val="0"/>
          <w:numId w:val="19"/>
        </w:numPr>
        <w:tabs>
          <w:tab w:val="left" w:pos="993"/>
        </w:tabs>
        <w:spacing w:line="276" w:lineRule="auto"/>
        <w:ind w:left="993" w:right="567"/>
        <w:jc w:val="both"/>
        <w:rPr>
          <w:rFonts w:ascii="Palatino Linotype" w:eastAsia="Times New Roman" w:hAnsi="Palatino Linotype" w:cs="Arial"/>
          <w:color w:val="000000" w:themeColor="text1"/>
          <w:sz w:val="22"/>
          <w:lang w:val="es-ES"/>
        </w:rPr>
      </w:pPr>
      <w:r w:rsidRPr="00B843B7">
        <w:rPr>
          <w:rFonts w:ascii="Palatino Linotype" w:eastAsia="Times New Roman" w:hAnsi="Palatino Linotype" w:cs="Arial"/>
          <w:b/>
          <w:color w:val="000000" w:themeColor="text1"/>
          <w:sz w:val="22"/>
          <w:lang w:val="es-ES"/>
        </w:rPr>
        <w:t>Razones o motivos de inconformidad:</w:t>
      </w:r>
      <w:r w:rsidRPr="00B843B7">
        <w:rPr>
          <w:rFonts w:ascii="Palatino Linotype" w:eastAsia="Times New Roman" w:hAnsi="Palatino Linotype" w:cs="Arial"/>
          <w:color w:val="000000" w:themeColor="text1"/>
          <w:sz w:val="22"/>
          <w:lang w:val="es-ES"/>
        </w:rPr>
        <w:t xml:space="preserve"> “</w:t>
      </w:r>
      <w:r w:rsidR="00395355" w:rsidRPr="00B843B7">
        <w:rPr>
          <w:rFonts w:ascii="Palatino Linotype" w:hAnsi="Palatino Linotype"/>
          <w:i/>
          <w:iCs/>
          <w:color w:val="000000"/>
          <w:sz w:val="22"/>
        </w:rPr>
        <w:t>se reconose que se tiene la documentación, pero no se me otorga la documentación solicitada; pido que me den la información.</w:t>
      </w:r>
      <w:r w:rsidRPr="00B843B7">
        <w:rPr>
          <w:rFonts w:ascii="Palatino Linotype" w:eastAsia="Times New Roman" w:hAnsi="Palatino Linotype" w:cs="Arial"/>
          <w:i/>
          <w:color w:val="000000" w:themeColor="text1"/>
          <w:sz w:val="22"/>
          <w:lang w:val="es-ES"/>
        </w:rPr>
        <w:t>”</w:t>
      </w:r>
      <w:r w:rsidRPr="00B843B7">
        <w:rPr>
          <w:rFonts w:ascii="Palatino Linotype" w:eastAsia="Times New Roman" w:hAnsi="Palatino Linotype" w:cs="Arial"/>
          <w:color w:val="000000" w:themeColor="text1"/>
          <w:sz w:val="22"/>
          <w:lang w:val="es-ES"/>
        </w:rPr>
        <w:t xml:space="preserve"> (Sic).</w:t>
      </w:r>
    </w:p>
    <w:p w14:paraId="189AC489" w14:textId="77777777" w:rsidR="00655505" w:rsidRPr="00B843B7" w:rsidRDefault="00655505" w:rsidP="006555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F0AFD31" w14:textId="561EFFA9" w:rsidR="005C7898" w:rsidRPr="00B843B7" w:rsidRDefault="00655505"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843B7">
        <w:rPr>
          <w:rFonts w:ascii="Palatino Linotype" w:eastAsia="Calibri" w:hAnsi="Palatino Linotype" w:cs="Arial"/>
          <w:color w:val="000000" w:themeColor="text1"/>
          <w:lang w:val="es-ES"/>
        </w:rPr>
        <w:t xml:space="preserve">Se </w:t>
      </w:r>
      <w:r w:rsidR="00F25B61" w:rsidRPr="00B843B7">
        <w:rPr>
          <w:rFonts w:ascii="Palatino Linotype" w:eastAsia="Times New Roman" w:hAnsi="Palatino Linotype" w:cs="Arial"/>
          <w:color w:val="000000" w:themeColor="text1"/>
          <w:lang w:val="es-ES"/>
        </w:rPr>
        <w:t>registró</w:t>
      </w:r>
      <w:r w:rsidR="005C7898" w:rsidRPr="00B843B7">
        <w:rPr>
          <w:rFonts w:ascii="Palatino Linotype" w:eastAsia="Times New Roman" w:hAnsi="Palatino Linotype" w:cs="Arial"/>
          <w:color w:val="000000" w:themeColor="text1"/>
          <w:lang w:val="es-ES"/>
        </w:rPr>
        <w:t xml:space="preserve"> </w:t>
      </w:r>
      <w:r w:rsidR="00F25B61" w:rsidRPr="00B843B7">
        <w:rPr>
          <w:rFonts w:ascii="Palatino Linotype" w:eastAsia="Times New Roman" w:hAnsi="Palatino Linotype" w:cs="Arial"/>
          <w:color w:val="000000" w:themeColor="text1"/>
          <w:lang w:val="es-ES"/>
        </w:rPr>
        <w:t>el</w:t>
      </w:r>
      <w:r w:rsidR="005C7898" w:rsidRPr="00B843B7">
        <w:rPr>
          <w:rFonts w:ascii="Palatino Linotype" w:eastAsia="Times New Roman" w:hAnsi="Palatino Linotype" w:cs="Arial"/>
          <w:color w:val="000000" w:themeColor="text1"/>
          <w:lang w:val="es-ES"/>
        </w:rPr>
        <w:t xml:space="preserve"> recurso de revisión bajo </w:t>
      </w:r>
      <w:r w:rsidR="00F25B61" w:rsidRPr="00B843B7">
        <w:rPr>
          <w:rFonts w:ascii="Palatino Linotype" w:eastAsia="Times New Roman" w:hAnsi="Palatino Linotype" w:cs="Arial"/>
          <w:color w:val="000000" w:themeColor="text1"/>
          <w:lang w:val="es-ES"/>
        </w:rPr>
        <w:t>el</w:t>
      </w:r>
      <w:r w:rsidR="005C7898" w:rsidRPr="00B843B7">
        <w:rPr>
          <w:rFonts w:ascii="Palatino Linotype" w:eastAsia="Times New Roman" w:hAnsi="Palatino Linotype" w:cs="Arial"/>
          <w:color w:val="000000" w:themeColor="text1"/>
          <w:lang w:val="es-ES"/>
        </w:rPr>
        <w:t xml:space="preserve"> número de expediente </w:t>
      </w:r>
      <w:r w:rsidR="00E70180" w:rsidRPr="00B843B7">
        <w:rPr>
          <w:rFonts w:ascii="Palatino Linotype" w:eastAsia="Times New Roman" w:hAnsi="Palatino Linotype" w:cs="Arial"/>
          <w:b/>
          <w:color w:val="000000" w:themeColor="text1"/>
          <w:lang w:val="es-ES"/>
        </w:rPr>
        <w:t>06268/INFOEM/IP/RR/2022</w:t>
      </w:r>
      <w:r w:rsidR="005C7898" w:rsidRPr="00B843B7">
        <w:rPr>
          <w:rFonts w:ascii="Palatino Linotype" w:hAnsi="Palatino Linotype" w:cs="Arial"/>
          <w:bCs/>
          <w:color w:val="000000" w:themeColor="text1"/>
        </w:rPr>
        <w:t xml:space="preserve">; asimismo, con fundamento en lo dispuesto por el </w:t>
      </w:r>
      <w:r w:rsidR="005C7898" w:rsidRPr="00B843B7">
        <w:rPr>
          <w:rFonts w:ascii="Palatino Linotype" w:eastAsia="Calibri" w:hAnsi="Palatino Linotype" w:cs="Arial"/>
          <w:bCs/>
          <w:color w:val="000000" w:themeColor="text1"/>
          <w:lang w:val="es-ES"/>
        </w:rPr>
        <w:t>artículo 185</w:t>
      </w:r>
      <w:r w:rsidR="00AE1CCB" w:rsidRPr="00B843B7">
        <w:rPr>
          <w:rFonts w:ascii="Palatino Linotype" w:eastAsia="Calibri" w:hAnsi="Palatino Linotype" w:cs="Arial"/>
          <w:bCs/>
          <w:color w:val="000000" w:themeColor="text1"/>
          <w:lang w:val="es-ES"/>
        </w:rPr>
        <w:t>,</w:t>
      </w:r>
      <w:r w:rsidR="005C7898" w:rsidRPr="00B843B7">
        <w:rPr>
          <w:rFonts w:ascii="Palatino Linotype" w:eastAsia="Calibri" w:hAnsi="Palatino Linotype" w:cs="Arial"/>
          <w:bCs/>
          <w:color w:val="000000" w:themeColor="text1"/>
          <w:lang w:val="es-ES"/>
        </w:rPr>
        <w:t xml:space="preserve"> fracción I</w:t>
      </w:r>
      <w:r w:rsidR="00AE1CCB" w:rsidRPr="00B843B7">
        <w:rPr>
          <w:rFonts w:ascii="Palatino Linotype" w:eastAsia="Calibri" w:hAnsi="Palatino Linotype" w:cs="Arial"/>
          <w:bCs/>
          <w:color w:val="000000" w:themeColor="text1"/>
          <w:lang w:val="es-ES"/>
        </w:rPr>
        <w:t>,</w:t>
      </w:r>
      <w:r w:rsidR="005C7898" w:rsidRPr="00B843B7">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005C7898" w:rsidRPr="00B843B7">
        <w:rPr>
          <w:rFonts w:ascii="Palatino Linotype" w:eastAsia="Times New Roman" w:hAnsi="Palatino Linotype" w:cs="Arial"/>
          <w:bCs/>
          <w:color w:val="000000" w:themeColor="text1"/>
          <w:lang w:val="es-ES"/>
        </w:rPr>
        <w:t xml:space="preserve">se </w:t>
      </w:r>
      <w:r w:rsidR="00F25B61" w:rsidRPr="00B843B7">
        <w:rPr>
          <w:rFonts w:ascii="Palatino Linotype" w:eastAsia="Times New Roman" w:hAnsi="Palatino Linotype" w:cs="Arial"/>
          <w:bCs/>
          <w:color w:val="000000" w:themeColor="text1"/>
          <w:lang w:val="es-ES"/>
        </w:rPr>
        <w:t>turnó</w:t>
      </w:r>
      <w:r w:rsidR="005C7898" w:rsidRPr="00B843B7">
        <w:rPr>
          <w:rFonts w:ascii="Palatino Linotype" w:eastAsia="Times New Roman" w:hAnsi="Palatino Linotype" w:cs="Arial"/>
          <w:bCs/>
          <w:color w:val="000000" w:themeColor="text1"/>
          <w:lang w:val="es-ES"/>
        </w:rPr>
        <w:t xml:space="preserve"> a l</w:t>
      </w:r>
      <w:r w:rsidR="00F25B61" w:rsidRPr="00B843B7">
        <w:rPr>
          <w:rFonts w:ascii="Palatino Linotype" w:eastAsia="Times New Roman" w:hAnsi="Palatino Linotype" w:cs="Arial"/>
          <w:bCs/>
          <w:color w:val="000000" w:themeColor="text1"/>
          <w:lang w:val="es-ES"/>
        </w:rPr>
        <w:t>a</w:t>
      </w:r>
      <w:r w:rsidR="005C7898" w:rsidRPr="00B843B7">
        <w:rPr>
          <w:rFonts w:ascii="Palatino Linotype" w:eastAsia="Times New Roman" w:hAnsi="Palatino Linotype" w:cs="Arial"/>
          <w:bCs/>
          <w:color w:val="000000" w:themeColor="text1"/>
          <w:lang w:val="es-ES"/>
        </w:rPr>
        <w:t xml:space="preserve"> </w:t>
      </w:r>
      <w:r w:rsidR="005C7898" w:rsidRPr="00B843B7">
        <w:rPr>
          <w:rFonts w:ascii="Palatino Linotype" w:eastAsia="Times New Roman" w:hAnsi="Palatino Linotype" w:cs="Arial"/>
          <w:b/>
          <w:bCs/>
          <w:color w:val="000000" w:themeColor="text1"/>
          <w:lang w:val="es-ES"/>
        </w:rPr>
        <w:t>Comisionad</w:t>
      </w:r>
      <w:r w:rsidR="00F25B61" w:rsidRPr="00B843B7">
        <w:rPr>
          <w:rFonts w:ascii="Palatino Linotype" w:eastAsia="Times New Roman" w:hAnsi="Palatino Linotype" w:cs="Arial"/>
          <w:b/>
          <w:bCs/>
          <w:color w:val="000000" w:themeColor="text1"/>
          <w:lang w:val="es-ES"/>
        </w:rPr>
        <w:t>a</w:t>
      </w:r>
      <w:r w:rsidR="005C7898" w:rsidRPr="00B843B7">
        <w:rPr>
          <w:rFonts w:ascii="Palatino Linotype" w:eastAsia="Times New Roman" w:hAnsi="Palatino Linotype" w:cs="Arial"/>
          <w:b/>
          <w:bCs/>
          <w:color w:val="000000" w:themeColor="text1"/>
          <w:lang w:val="es-ES"/>
        </w:rPr>
        <w:t xml:space="preserve"> María del Rosario Mejía Ayala</w:t>
      </w:r>
      <w:r w:rsidR="00F25B61" w:rsidRPr="00B843B7">
        <w:rPr>
          <w:rFonts w:ascii="Palatino Linotype" w:eastAsia="Times New Roman" w:hAnsi="Palatino Linotype" w:cs="Arial"/>
          <w:bCs/>
          <w:color w:val="000000" w:themeColor="text1"/>
          <w:lang w:val="es-ES"/>
        </w:rPr>
        <w:t>,</w:t>
      </w:r>
      <w:r w:rsidR="005C7898" w:rsidRPr="00B843B7">
        <w:rPr>
          <w:rFonts w:ascii="Palatino Linotype" w:eastAsia="Times New Roman" w:hAnsi="Palatino Linotype" w:cs="Arial"/>
          <w:bCs/>
          <w:color w:val="000000" w:themeColor="text1"/>
          <w:lang w:val="es-ES"/>
        </w:rPr>
        <w:t xml:space="preserve"> con el objeto de </w:t>
      </w:r>
      <w:r w:rsidR="005C7898" w:rsidRPr="00B843B7">
        <w:rPr>
          <w:rFonts w:ascii="Palatino Linotype" w:eastAsia="Times New Roman" w:hAnsi="Palatino Linotype" w:cs="Arial"/>
          <w:bCs/>
          <w:color w:val="000000" w:themeColor="text1"/>
        </w:rPr>
        <w:t>su análisis.</w:t>
      </w:r>
    </w:p>
    <w:p w14:paraId="23A01433" w14:textId="77777777" w:rsidR="005C7898" w:rsidRPr="00B843B7"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77B75AB3" w:rsidR="00473F11" w:rsidRPr="00B843B7"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sidRPr="00B843B7">
        <w:rPr>
          <w:rFonts w:ascii="Palatino Linotype" w:eastAsia="Times New Roman" w:hAnsi="Palatino Linotype" w:cs="Arial"/>
          <w:color w:val="000000" w:themeColor="text1"/>
          <w:lang w:val="es-ES"/>
        </w:rPr>
        <w:lastRenderedPageBreak/>
        <w:t>La Comisionada Ponente</w:t>
      </w:r>
      <w:r w:rsidR="00473F11" w:rsidRPr="00B843B7">
        <w:rPr>
          <w:rFonts w:ascii="Palatino Linotype" w:eastAsia="Calibri" w:hAnsi="Palatino Linotype" w:cs="Arial"/>
          <w:color w:val="000000" w:themeColor="text1"/>
          <w:lang w:val="es-ES"/>
        </w:rPr>
        <w:t>, con fundamento en lo dispuesto por el artículo 185</w:t>
      </w:r>
      <w:r w:rsidR="00F638B9" w:rsidRPr="00B843B7">
        <w:rPr>
          <w:rFonts w:ascii="Palatino Linotype" w:eastAsia="Calibri" w:hAnsi="Palatino Linotype" w:cs="Arial"/>
          <w:color w:val="000000" w:themeColor="text1"/>
          <w:lang w:val="es-ES"/>
        </w:rPr>
        <w:t>,</w:t>
      </w:r>
      <w:r w:rsidR="00473F11" w:rsidRPr="00B843B7">
        <w:rPr>
          <w:rFonts w:ascii="Palatino Linotype" w:eastAsia="Calibri" w:hAnsi="Palatino Linotype" w:cs="Arial"/>
          <w:color w:val="000000" w:themeColor="text1"/>
          <w:lang w:val="es-ES"/>
        </w:rPr>
        <w:t xml:space="preserve"> fracción II</w:t>
      </w:r>
      <w:r w:rsidR="00F638B9" w:rsidRPr="00B843B7">
        <w:rPr>
          <w:rFonts w:ascii="Palatino Linotype" w:eastAsia="Calibri" w:hAnsi="Palatino Linotype" w:cs="Arial"/>
          <w:color w:val="000000" w:themeColor="text1"/>
          <w:lang w:val="es-ES"/>
        </w:rPr>
        <w:t>,</w:t>
      </w:r>
      <w:r w:rsidR="00473F11" w:rsidRPr="00B843B7">
        <w:rPr>
          <w:rFonts w:ascii="Palatino Linotype" w:eastAsia="Calibri" w:hAnsi="Palatino Linotype" w:cs="Arial"/>
          <w:color w:val="000000" w:themeColor="text1"/>
          <w:lang w:val="es-ES"/>
        </w:rPr>
        <w:t xml:space="preserve"> de la </w:t>
      </w:r>
      <w:r w:rsidRPr="00B843B7">
        <w:rPr>
          <w:rFonts w:ascii="Palatino Linotype" w:eastAsia="Calibri" w:hAnsi="Palatino Linotype" w:cs="Arial"/>
          <w:color w:val="000000" w:themeColor="text1"/>
          <w:lang w:val="es-ES"/>
        </w:rPr>
        <w:t xml:space="preserve">Ley </w:t>
      </w:r>
      <w:r w:rsidR="00473F11" w:rsidRPr="00B843B7">
        <w:rPr>
          <w:rFonts w:ascii="Palatino Linotype" w:eastAsia="Calibri" w:hAnsi="Palatino Linotype" w:cs="Arial"/>
          <w:color w:val="000000" w:themeColor="text1"/>
          <w:lang w:val="es-ES"/>
        </w:rPr>
        <w:t>de la materia, a través del acuerdo de admisión de</w:t>
      </w:r>
      <w:r w:rsidR="007E5A30" w:rsidRPr="00B843B7">
        <w:rPr>
          <w:rFonts w:ascii="Palatino Linotype" w:eastAsia="Calibri" w:hAnsi="Palatino Linotype" w:cs="Arial"/>
          <w:color w:val="000000" w:themeColor="text1"/>
          <w:lang w:val="es-ES"/>
        </w:rPr>
        <w:t xml:space="preserve"> </w:t>
      </w:r>
      <w:r w:rsidR="00395355" w:rsidRPr="00B843B7">
        <w:rPr>
          <w:rFonts w:ascii="Palatino Linotype" w:eastAsia="Calibri" w:hAnsi="Palatino Linotype" w:cs="Arial"/>
          <w:color w:val="000000" w:themeColor="text1"/>
          <w:lang w:val="es-ES"/>
        </w:rPr>
        <w:t xml:space="preserve">veinticinco (25) de abril </w:t>
      </w:r>
      <w:r w:rsidR="00AE1CCB" w:rsidRPr="00B843B7">
        <w:rPr>
          <w:rFonts w:ascii="Palatino Linotype" w:eastAsia="Calibri" w:hAnsi="Palatino Linotype" w:cs="Arial"/>
          <w:color w:val="000000" w:themeColor="text1"/>
          <w:lang w:val="es-ES"/>
        </w:rPr>
        <w:t>de dos mil veintidós</w:t>
      </w:r>
      <w:r w:rsidR="00473F11" w:rsidRPr="00B843B7">
        <w:rPr>
          <w:rFonts w:ascii="Palatino Linotype" w:eastAsia="Calibri" w:hAnsi="Palatino Linotype" w:cs="Arial"/>
          <w:color w:val="000000" w:themeColor="text1"/>
          <w:lang w:val="es-ES"/>
        </w:rPr>
        <w:t xml:space="preserve">, </w:t>
      </w:r>
      <w:r w:rsidRPr="00B843B7">
        <w:rPr>
          <w:rFonts w:ascii="Palatino Linotype" w:eastAsia="Calibri" w:hAnsi="Palatino Linotype" w:cs="Arial"/>
          <w:color w:val="000000" w:themeColor="text1"/>
          <w:lang w:val="es-ES"/>
        </w:rPr>
        <w:t>puso</w:t>
      </w:r>
      <w:r w:rsidR="00473F11" w:rsidRPr="00B843B7">
        <w:rPr>
          <w:rFonts w:ascii="Palatino Linotype" w:eastAsia="Calibri" w:hAnsi="Palatino Linotype" w:cs="Arial"/>
          <w:color w:val="000000" w:themeColor="text1"/>
          <w:lang w:val="es-ES"/>
        </w:rPr>
        <w:t xml:space="preserve"> a disposición de las partes </w:t>
      </w:r>
      <w:r w:rsidRPr="00B843B7">
        <w:rPr>
          <w:rFonts w:ascii="Palatino Linotype" w:eastAsia="Calibri" w:hAnsi="Palatino Linotype" w:cs="Arial"/>
          <w:color w:val="000000" w:themeColor="text1"/>
          <w:lang w:val="es-ES"/>
        </w:rPr>
        <w:t>el expediente electrónico</w:t>
      </w:r>
      <w:r w:rsidR="00473F11" w:rsidRPr="00B843B7">
        <w:rPr>
          <w:rFonts w:ascii="Palatino Linotype" w:eastAsia="Calibri" w:hAnsi="Palatino Linotype" w:cs="Arial"/>
          <w:color w:val="000000" w:themeColor="text1"/>
          <w:lang w:val="es-ES"/>
        </w:rPr>
        <w:t xml:space="preserve"> </w:t>
      </w:r>
      <w:r w:rsidR="00473F11" w:rsidRPr="00B843B7">
        <w:rPr>
          <w:rFonts w:ascii="Palatino Linotype" w:eastAsia="Calibri" w:hAnsi="Palatino Linotype" w:cs="Arial"/>
          <w:color w:val="000000" w:themeColor="text1"/>
        </w:rPr>
        <w:t xml:space="preserve">vía </w:t>
      </w:r>
      <w:r w:rsidR="00E85FF3" w:rsidRPr="00B843B7">
        <w:rPr>
          <w:rFonts w:ascii="Palatino Linotype" w:eastAsia="Calibri" w:hAnsi="Palatino Linotype" w:cs="Arial"/>
          <w:color w:val="000000" w:themeColor="text1"/>
          <w:lang w:val="es-ES"/>
        </w:rPr>
        <w:t xml:space="preserve">SAIMEX, </w:t>
      </w:r>
      <w:r w:rsidR="00473F11" w:rsidRPr="00B843B7">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B843B7">
        <w:rPr>
          <w:rFonts w:ascii="Palatino Linotype" w:eastAsia="Calibri" w:hAnsi="Palatino Linotype" w:cs="Arial"/>
          <w:b/>
          <w:color w:val="000000" w:themeColor="text1"/>
          <w:lang w:val="es-ES"/>
        </w:rPr>
        <w:t>SUJETO OBLIGADO</w:t>
      </w:r>
      <w:r w:rsidR="00473F11" w:rsidRPr="00B843B7">
        <w:rPr>
          <w:rFonts w:ascii="Palatino Linotype" w:eastAsia="Calibri" w:hAnsi="Palatino Linotype" w:cs="Arial"/>
          <w:color w:val="000000" w:themeColor="text1"/>
          <w:lang w:val="es-ES"/>
        </w:rPr>
        <w:t xml:space="preserve"> presentara los Informes Justificados procedentes</w:t>
      </w:r>
      <w:bookmarkEnd w:id="3"/>
      <w:r w:rsidR="00AE1CCB" w:rsidRPr="00B843B7">
        <w:rPr>
          <w:rFonts w:ascii="Palatino Linotype" w:eastAsia="Calibri" w:hAnsi="Palatino Linotype" w:cs="Arial"/>
          <w:color w:val="000000" w:themeColor="text1"/>
          <w:lang w:val="es-ES"/>
        </w:rPr>
        <w:t>.</w:t>
      </w:r>
    </w:p>
    <w:p w14:paraId="3B111B77" w14:textId="77777777" w:rsidR="00395355" w:rsidRPr="00B843B7" w:rsidRDefault="00395355" w:rsidP="0039535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0D50F58" w14:textId="6DEB4EBE" w:rsidR="00395355" w:rsidRPr="00B843B7" w:rsidRDefault="00395355" w:rsidP="00395355">
      <w:pPr>
        <w:pStyle w:val="Prrafodelista"/>
        <w:numPr>
          <w:ilvl w:val="0"/>
          <w:numId w:val="1"/>
        </w:numPr>
        <w:tabs>
          <w:tab w:val="left" w:pos="426"/>
        </w:tabs>
        <w:spacing w:line="360" w:lineRule="auto"/>
        <w:jc w:val="both"/>
        <w:rPr>
          <w:rFonts w:ascii="Palatino Linotype" w:hAnsi="Palatino Linotype"/>
          <w:color w:val="000000" w:themeColor="text1"/>
        </w:rPr>
      </w:pPr>
      <w:r w:rsidRPr="00B843B7">
        <w:rPr>
          <w:rFonts w:ascii="Palatino Linotype" w:eastAsia="Calibri" w:hAnsi="Palatino Linotype" w:cs="Arial"/>
          <w:color w:val="000000" w:themeColor="text1"/>
          <w:lang w:val="es-ES"/>
        </w:rPr>
        <w:t xml:space="preserve">El tres (03) de mayo de dos mil veintidós, el </w:t>
      </w:r>
      <w:r w:rsidRPr="00B843B7">
        <w:rPr>
          <w:rFonts w:ascii="Palatino Linotype" w:eastAsia="Calibri" w:hAnsi="Palatino Linotype" w:cs="Arial"/>
          <w:b/>
          <w:bCs/>
          <w:color w:val="000000" w:themeColor="text1"/>
          <w:lang w:val="es-ES"/>
        </w:rPr>
        <w:t>SUJETO OBLIGADO</w:t>
      </w:r>
      <w:r w:rsidRPr="00B843B7">
        <w:rPr>
          <w:rFonts w:ascii="Palatino Linotype" w:eastAsia="Calibri" w:hAnsi="Palatino Linotype" w:cs="Arial"/>
          <w:color w:val="000000" w:themeColor="text1"/>
          <w:lang w:val="es-ES"/>
        </w:rPr>
        <w:t xml:space="preserve"> presentó, en vía de informe justificado, dentro del apartado de </w:t>
      </w:r>
      <w:r w:rsidRPr="00B843B7">
        <w:rPr>
          <w:rFonts w:ascii="Palatino Linotype" w:eastAsia="Calibri" w:hAnsi="Palatino Linotype" w:cs="Arial"/>
          <w:i/>
          <w:iCs/>
          <w:color w:val="000000" w:themeColor="text1"/>
          <w:lang w:val="es-ES"/>
        </w:rPr>
        <w:t>Manifestaciones</w:t>
      </w:r>
      <w:r w:rsidRPr="00B843B7">
        <w:rPr>
          <w:rFonts w:ascii="Palatino Linotype" w:eastAsia="Calibri" w:hAnsi="Palatino Linotype" w:cs="Arial"/>
          <w:color w:val="000000" w:themeColor="text1"/>
          <w:lang w:val="es-ES"/>
        </w:rPr>
        <w:t xml:space="preserve"> del SAIMEX, el documento cuyo contenido se resume a continuación:</w:t>
      </w:r>
    </w:p>
    <w:p w14:paraId="18BA92B1" w14:textId="46D58724" w:rsidR="00395355" w:rsidRPr="00B843B7" w:rsidRDefault="00395355" w:rsidP="00395355">
      <w:pPr>
        <w:pStyle w:val="Prrafodelista"/>
        <w:numPr>
          <w:ilvl w:val="1"/>
          <w:numId w:val="47"/>
        </w:numPr>
        <w:tabs>
          <w:tab w:val="left" w:pos="426"/>
        </w:tabs>
        <w:spacing w:line="360" w:lineRule="auto"/>
        <w:ind w:left="1134"/>
        <w:jc w:val="both"/>
        <w:rPr>
          <w:rFonts w:ascii="Palatino Linotype" w:hAnsi="Palatino Linotype"/>
          <w:b/>
          <w:bCs/>
          <w:i/>
          <w:iCs/>
          <w:color w:val="000000" w:themeColor="text1"/>
        </w:rPr>
      </w:pPr>
      <w:r w:rsidRPr="00B843B7">
        <w:rPr>
          <w:rFonts w:ascii="Palatino Linotype" w:eastAsia="Calibri" w:hAnsi="Palatino Linotype" w:cs="Arial"/>
          <w:b/>
          <w:bCs/>
          <w:i/>
          <w:iCs/>
          <w:color w:val="000000" w:themeColor="text1"/>
          <w:lang w:val="es-ES"/>
        </w:rPr>
        <w:t>“INFORME DE JUSTIFICACIÓN 06268.pdf”</w:t>
      </w:r>
      <w:r w:rsidRPr="00B843B7">
        <w:rPr>
          <w:rFonts w:ascii="Palatino Linotype" w:eastAsia="Calibri" w:hAnsi="Palatino Linotype" w:cs="Arial"/>
          <w:color w:val="000000" w:themeColor="text1"/>
          <w:lang w:val="es-ES"/>
        </w:rPr>
        <w:t>: Documento de siete fojas consistente en la copia digitalizada del informe justificado de tres (03) de mayo de dos mil veintidós, presentado por el Titular de la Unidad de Transparencia, por el que profundiza en la justificación de su respuesta.</w:t>
      </w:r>
    </w:p>
    <w:p w14:paraId="489A3D1C" w14:textId="77777777" w:rsidR="00395355" w:rsidRPr="00B843B7" w:rsidRDefault="00395355" w:rsidP="00395355">
      <w:pPr>
        <w:pStyle w:val="Prrafodelista"/>
        <w:tabs>
          <w:tab w:val="left" w:pos="426"/>
        </w:tabs>
        <w:spacing w:line="360" w:lineRule="auto"/>
        <w:ind w:left="0"/>
        <w:jc w:val="both"/>
        <w:rPr>
          <w:rFonts w:ascii="Palatino Linotype" w:hAnsi="Palatino Linotype"/>
          <w:color w:val="000000" w:themeColor="text1"/>
        </w:rPr>
      </w:pPr>
    </w:p>
    <w:p w14:paraId="501F7E30" w14:textId="42E5E277" w:rsidR="00395355" w:rsidRPr="00B843B7" w:rsidRDefault="00395355" w:rsidP="0039535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843B7">
        <w:rPr>
          <w:rFonts w:ascii="Palatino Linotype" w:eastAsia="Calibri" w:hAnsi="Palatino Linotype" w:cs="Arial"/>
          <w:color w:val="000000" w:themeColor="text1"/>
          <w:lang w:val="es-ES"/>
        </w:rPr>
        <w:t xml:space="preserve">El veintitrés (23) de junio de dos mil veintidós, </w:t>
      </w:r>
      <w:r w:rsidRPr="00B843B7">
        <w:rPr>
          <w:rFonts w:ascii="Palatino Linotype" w:eastAsia="Calibri" w:hAnsi="Palatino Linotype" w:cs="Arial"/>
          <w:color w:val="000000"/>
        </w:rPr>
        <w:t xml:space="preserve">la Ponencia Resolutora puso a la vista del </w:t>
      </w:r>
      <w:r w:rsidRPr="00B843B7">
        <w:rPr>
          <w:rFonts w:ascii="Palatino Linotype" w:eastAsia="Calibri" w:hAnsi="Palatino Linotype" w:cs="Arial"/>
          <w:b/>
          <w:color w:val="000000"/>
        </w:rPr>
        <w:t>RECURRENTE</w:t>
      </w:r>
      <w:r w:rsidRPr="00B843B7">
        <w:rPr>
          <w:rFonts w:ascii="Palatino Linotype" w:eastAsia="Calibri" w:hAnsi="Palatino Linotype" w:cs="Arial"/>
          <w:color w:val="000000"/>
        </w:rPr>
        <w:t xml:space="preserve"> el documento referido </w:t>
      </w:r>
      <w:r w:rsidRPr="00B843B7">
        <w:rPr>
          <w:rFonts w:ascii="Palatino Linotype" w:eastAsia="Calibri" w:hAnsi="Palatino Linotype" w:cs="Arial"/>
          <w:i/>
          <w:color w:val="000000"/>
        </w:rPr>
        <w:t>supra</w:t>
      </w:r>
      <w:r w:rsidRPr="00B843B7">
        <w:rPr>
          <w:rFonts w:ascii="Palatino Linotype" w:eastAsia="Calibri" w:hAnsi="Palatino Linotype" w:cs="Arial"/>
          <w:color w:val="000000"/>
        </w:rPr>
        <w:t>, concediéndole un plazo de tres días para que manifestara lo que a su derecho conviniera, de conformidad con el artículo 185, fracción III, de la Ley de Transparencia y Acceso a la Información Pública del Estado de México y Municipios; empero, se hace constar que el particular no ejerció su derecho de réplica sobre los nuevos contenidos.</w:t>
      </w:r>
    </w:p>
    <w:p w14:paraId="095A11D4" w14:textId="77777777" w:rsidR="00AE1CCB" w:rsidRPr="00B843B7" w:rsidRDefault="00AE1CCB" w:rsidP="00AE1CCB">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8B04BD4" w14:textId="2A3213DC" w:rsidR="00F638B9" w:rsidRPr="00B843B7" w:rsidRDefault="00F638B9" w:rsidP="005917A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4" w:name="_Toc461555889"/>
      <w:bookmarkStart w:id="5" w:name="_Toc466371858"/>
      <w:r w:rsidRPr="00B843B7">
        <w:rPr>
          <w:rFonts w:ascii="Palatino Linotype" w:eastAsia="Times New Roman" w:hAnsi="Palatino Linotype" w:cs="Arial"/>
          <w:color w:val="000000" w:themeColor="text1"/>
        </w:rPr>
        <w:t>E</w:t>
      </w:r>
      <w:r w:rsidR="001E0672" w:rsidRPr="00B843B7">
        <w:rPr>
          <w:rFonts w:ascii="Palatino Linotype" w:eastAsia="Times New Roman" w:hAnsi="Palatino Linotype" w:cs="Arial"/>
          <w:color w:val="000000" w:themeColor="text1"/>
        </w:rPr>
        <w:t xml:space="preserve">l </w:t>
      </w:r>
      <w:r w:rsidR="00655505" w:rsidRPr="00B843B7">
        <w:rPr>
          <w:rFonts w:ascii="Palatino Linotype" w:eastAsia="Times New Roman" w:hAnsi="Palatino Linotype" w:cs="Arial"/>
          <w:color w:val="000000" w:themeColor="text1"/>
        </w:rPr>
        <w:t>diecisiete (17) de noviembre</w:t>
      </w:r>
      <w:r w:rsidR="00AE1CCB" w:rsidRPr="00B843B7">
        <w:rPr>
          <w:rFonts w:ascii="Palatino Linotype" w:eastAsia="Times New Roman" w:hAnsi="Palatino Linotype" w:cs="Arial"/>
          <w:color w:val="000000" w:themeColor="text1"/>
        </w:rPr>
        <w:t xml:space="preserve"> de dos mil veintidós</w:t>
      </w:r>
      <w:r w:rsidR="001E0672" w:rsidRPr="00B843B7">
        <w:rPr>
          <w:rFonts w:ascii="Palatino Linotype" w:eastAsia="Times New Roman" w:hAnsi="Palatino Linotype" w:cs="Arial"/>
          <w:color w:val="000000" w:themeColor="text1"/>
        </w:rPr>
        <w:t xml:space="preserve">, </w:t>
      </w:r>
      <w:r w:rsidR="00AE1CCB" w:rsidRPr="00B843B7">
        <w:rPr>
          <w:rFonts w:ascii="Palatino Linotype" w:hAnsi="Palatino Linotype" w:cs="Arial"/>
          <w:color w:val="000000" w:themeColor="text1"/>
        </w:rPr>
        <w:t xml:space="preserve">la Comisionada Ponente decretó el cierre del periodo de instrucción, por lo que ordenó turnar </w:t>
      </w:r>
      <w:r w:rsidR="008A7F1F" w:rsidRPr="00B843B7">
        <w:rPr>
          <w:rFonts w:ascii="Palatino Linotype" w:hAnsi="Palatino Linotype" w:cs="Arial"/>
          <w:color w:val="000000" w:themeColor="text1"/>
        </w:rPr>
        <w:t>el expediente</w:t>
      </w:r>
      <w:r w:rsidR="004D5BA4" w:rsidRPr="00B843B7">
        <w:rPr>
          <w:rFonts w:ascii="Palatino Linotype" w:hAnsi="Palatino Linotype" w:cs="Arial"/>
          <w:color w:val="000000" w:themeColor="text1"/>
        </w:rPr>
        <w:t xml:space="preserve"> </w:t>
      </w:r>
      <w:r w:rsidR="00AE1CCB" w:rsidRPr="00B843B7">
        <w:rPr>
          <w:rFonts w:ascii="Palatino Linotype" w:hAnsi="Palatino Linotype" w:cs="Arial"/>
          <w:color w:val="000000" w:themeColor="text1"/>
        </w:rPr>
        <w:lastRenderedPageBreak/>
        <w:t>para su resolución, misma que ahora se pronuncia</w:t>
      </w:r>
      <w:r w:rsidR="00103B71" w:rsidRPr="00B843B7">
        <w:rPr>
          <w:rFonts w:ascii="Palatino Linotype" w:hAnsi="Palatino Linotype" w:cs="Arial"/>
          <w:color w:val="000000" w:themeColor="text1"/>
        </w:rPr>
        <w:t xml:space="preserve">; y, en misma fecha, </w:t>
      </w:r>
      <w:r w:rsidRPr="00B843B7">
        <w:rPr>
          <w:rFonts w:ascii="Palatino Linotype" w:hAnsi="Palatino Linotype" w:cs="Arial"/>
          <w:color w:val="000000" w:themeColor="text1"/>
          <w:lang w:val="es-ES"/>
        </w:rPr>
        <w:t>con fundamento en el artículo 181</w:t>
      </w:r>
      <w:r w:rsidR="00802B28" w:rsidRPr="00B843B7">
        <w:rPr>
          <w:rFonts w:ascii="Palatino Linotype" w:hAnsi="Palatino Linotype" w:cs="Arial"/>
          <w:color w:val="000000" w:themeColor="text1"/>
          <w:lang w:val="es-ES"/>
        </w:rPr>
        <w:t>,</w:t>
      </w:r>
      <w:r w:rsidRPr="00B843B7">
        <w:rPr>
          <w:rFonts w:ascii="Palatino Linotype" w:hAnsi="Palatino Linotype" w:cs="Arial"/>
          <w:color w:val="000000" w:themeColor="text1"/>
          <w:lang w:val="es-ES"/>
        </w:rPr>
        <w:t xml:space="preserve"> tercer párrafo</w:t>
      </w:r>
      <w:r w:rsidR="00802B28" w:rsidRPr="00B843B7">
        <w:rPr>
          <w:rFonts w:ascii="Palatino Linotype" w:hAnsi="Palatino Linotype" w:cs="Arial"/>
          <w:color w:val="000000" w:themeColor="text1"/>
          <w:lang w:val="es-ES"/>
        </w:rPr>
        <w:t>,</w:t>
      </w:r>
      <w:r w:rsidRPr="00B843B7">
        <w:rPr>
          <w:rFonts w:ascii="Palatino Linotype" w:hAnsi="Palatino Linotype" w:cs="Arial"/>
          <w:color w:val="000000" w:themeColor="text1"/>
          <w:lang w:val="es-ES"/>
        </w:rPr>
        <w:t xml:space="preserve"> de la Ley de Transparencia y Acceso a la Información Pública del Estado de México y Municipios</w:t>
      </w:r>
      <w:r w:rsidRPr="00B843B7">
        <w:rPr>
          <w:rFonts w:ascii="Palatino Linotype" w:hAnsi="Palatino Linotype" w:cs="Arial"/>
          <w:bCs/>
          <w:color w:val="000000" w:themeColor="text1"/>
          <w:lang w:val="es-ES"/>
        </w:rPr>
        <w:t xml:space="preserve"> </w:t>
      </w:r>
      <w:r w:rsidRPr="00B843B7">
        <w:rPr>
          <w:rFonts w:ascii="Palatino Linotype" w:hAnsi="Palatino Linotype" w:cs="Arial"/>
          <w:color w:val="000000" w:themeColor="text1"/>
          <w:lang w:val="es-ES"/>
        </w:rPr>
        <w:t xml:space="preserve">se notificó que el plazo de treinta (30) días para resolver </w:t>
      </w:r>
      <w:r w:rsidR="008A7F1F" w:rsidRPr="00B843B7">
        <w:rPr>
          <w:rFonts w:ascii="Palatino Linotype" w:hAnsi="Palatino Linotype" w:cs="Arial"/>
          <w:color w:val="000000" w:themeColor="text1"/>
          <w:lang w:val="es-ES"/>
        </w:rPr>
        <w:t>el</w:t>
      </w:r>
      <w:r w:rsidRPr="00B843B7">
        <w:rPr>
          <w:rFonts w:ascii="Palatino Linotype" w:hAnsi="Palatino Linotype" w:cs="Arial"/>
          <w:color w:val="000000" w:themeColor="text1"/>
          <w:lang w:val="es-ES"/>
        </w:rPr>
        <w:t xml:space="preserve"> recurso de revisión sería ampliado por un periodo de </w:t>
      </w:r>
      <w:r w:rsidR="008A7F1F" w:rsidRPr="00B843B7">
        <w:rPr>
          <w:rFonts w:ascii="Palatino Linotype" w:hAnsi="Palatino Linotype" w:cs="Arial"/>
          <w:color w:val="000000" w:themeColor="text1"/>
          <w:lang w:val="es-ES"/>
        </w:rPr>
        <w:t>15</w:t>
      </w:r>
      <w:r w:rsidRPr="00B843B7">
        <w:rPr>
          <w:rFonts w:ascii="Palatino Linotype" w:hAnsi="Palatino Linotype" w:cs="Arial"/>
          <w:color w:val="000000" w:themeColor="text1"/>
          <w:lang w:val="es-ES"/>
        </w:rPr>
        <w:t xml:space="preserve"> días hábiles adicionales</w:t>
      </w:r>
      <w:r w:rsidR="00655505" w:rsidRPr="00B843B7">
        <w:rPr>
          <w:rFonts w:ascii="Palatino Linotype" w:hAnsi="Palatino Linotype" w:cs="Arial"/>
          <w:color w:val="000000" w:themeColor="text1"/>
          <w:lang w:val="es-ES"/>
        </w:rPr>
        <w:t>.</w:t>
      </w:r>
    </w:p>
    <w:p w14:paraId="5E309F35" w14:textId="77777777" w:rsidR="00655505" w:rsidRPr="00B843B7" w:rsidRDefault="00655505" w:rsidP="00655505">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79E1373"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hAnsi="Palatino Linotype" w:cs="Arial"/>
          <w:color w:val="000000" w:themeColor="text1"/>
          <w:lang w:val="es-ES"/>
        </w:rPr>
        <w:t xml:space="preserve">Este </w:t>
      </w:r>
      <w:r w:rsidRPr="00B843B7">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065D23E2"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3E364761" w14:textId="77777777" w:rsidR="00655505" w:rsidRPr="00B843B7" w:rsidRDefault="00655505" w:rsidP="00655505">
      <w:pPr>
        <w:pStyle w:val="Prrafodelista"/>
        <w:numPr>
          <w:ilvl w:val="0"/>
          <w:numId w:val="1"/>
        </w:numPr>
        <w:tabs>
          <w:tab w:val="left" w:pos="426"/>
        </w:tabs>
        <w:spacing w:line="360" w:lineRule="auto"/>
        <w:jc w:val="both"/>
        <w:rPr>
          <w:rFonts w:ascii="Palatino Linotype" w:hAnsi="Palatino Linotype"/>
          <w:color w:val="000000" w:themeColor="text1"/>
        </w:rPr>
      </w:pPr>
      <w:r w:rsidRPr="00B843B7">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35D2982" w14:textId="77777777" w:rsidR="00655505" w:rsidRPr="00B843B7"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680E2ED3"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eastAsia="Calibri" w:hAnsi="Palatino Linotype" w:cs="Arial"/>
          <w:color w:val="000000" w:themeColor="text1"/>
        </w:rPr>
        <w:t xml:space="preserve">Así, </w:t>
      </w:r>
      <w:r w:rsidRPr="00B843B7">
        <w:rPr>
          <w:rFonts w:ascii="Palatino Linotype" w:hAnsi="Palatino Linotype"/>
        </w:rPr>
        <w:t xml:space="preserve">en términos de lo que establecen los artículos 8.1 y 25 de la Convención Americana sobre Derechos Humanos, los recursos deben ser sencillos y resolverse </w:t>
      </w:r>
      <w:r w:rsidRPr="00B843B7">
        <w:rPr>
          <w:rFonts w:ascii="Palatino Linotype" w:hAnsi="Palatino Linotype"/>
        </w:rPr>
        <w:lastRenderedPageBreak/>
        <w:t>en el menor tiempo posible, tomando en consideración la dilación total del procedimiento; esto es, en un plazo razonable.</w:t>
      </w:r>
    </w:p>
    <w:p w14:paraId="03274340"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144BA5A0"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eastAsia="Calibri" w:hAnsi="Palatino Linotype" w:cs="Arial"/>
        </w:rPr>
        <w:t xml:space="preserve">En </w:t>
      </w:r>
      <w:r w:rsidRPr="00B843B7">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51DA785"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4DB0733B" w14:textId="77777777" w:rsidR="00655505" w:rsidRPr="00B843B7" w:rsidRDefault="00655505" w:rsidP="00655505">
      <w:pPr>
        <w:pStyle w:val="Prrafodelista"/>
        <w:numPr>
          <w:ilvl w:val="0"/>
          <w:numId w:val="1"/>
        </w:numPr>
        <w:tabs>
          <w:tab w:val="left" w:pos="426"/>
        </w:tabs>
        <w:spacing w:line="360" w:lineRule="auto"/>
        <w:jc w:val="both"/>
        <w:rPr>
          <w:rFonts w:ascii="Palatino Linotype" w:hAnsi="Palatino Linotype"/>
          <w:color w:val="000000" w:themeColor="text1"/>
        </w:rPr>
      </w:pPr>
      <w:r w:rsidRPr="00B843B7">
        <w:rPr>
          <w:rFonts w:ascii="Palatino Linotype" w:eastAsia="Calibri" w:hAnsi="Palatino Linotype" w:cs="Arial"/>
        </w:rPr>
        <w:t xml:space="preserve">Por </w:t>
      </w:r>
      <w:r w:rsidRPr="00B843B7">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05417714" w14:textId="77777777" w:rsidR="00655505" w:rsidRPr="00B843B7" w:rsidRDefault="00655505" w:rsidP="00655505">
      <w:pPr>
        <w:pStyle w:val="Prrafodelista"/>
        <w:numPr>
          <w:ilvl w:val="1"/>
          <w:numId w:val="43"/>
        </w:numPr>
        <w:tabs>
          <w:tab w:val="left" w:pos="426"/>
        </w:tabs>
        <w:spacing w:line="360" w:lineRule="auto"/>
        <w:ind w:left="1134"/>
        <w:jc w:val="both"/>
        <w:rPr>
          <w:rFonts w:ascii="Palatino Linotype" w:eastAsia="Calibri" w:hAnsi="Palatino Linotype" w:cs="Arial"/>
        </w:rPr>
      </w:pPr>
      <w:r w:rsidRPr="00B843B7">
        <w:rPr>
          <w:rFonts w:ascii="Palatino Linotype" w:eastAsia="Calibri" w:hAnsi="Palatino Linotype" w:cs="Arial"/>
          <w:b/>
          <w:bCs/>
        </w:rPr>
        <w:t>Complejidad del Asunto:</w:t>
      </w:r>
      <w:r w:rsidRPr="00B843B7">
        <w:rPr>
          <w:rFonts w:ascii="Palatino Linotype" w:eastAsia="Calibri" w:hAnsi="Palatino Linotype" w:cs="Arial"/>
        </w:rPr>
        <w:t xml:space="preserve"> La complejidad de la prueba, la pluralidad de sujetos procesales, el tiempo transcurrido, las características y contexto del recurso.</w:t>
      </w:r>
    </w:p>
    <w:p w14:paraId="3B81E92C" w14:textId="77777777" w:rsidR="00655505" w:rsidRPr="00B843B7" w:rsidRDefault="00655505" w:rsidP="00655505">
      <w:pPr>
        <w:pStyle w:val="Prrafodelista"/>
        <w:numPr>
          <w:ilvl w:val="1"/>
          <w:numId w:val="43"/>
        </w:numPr>
        <w:tabs>
          <w:tab w:val="left" w:pos="426"/>
        </w:tabs>
        <w:spacing w:line="360" w:lineRule="auto"/>
        <w:ind w:left="1134"/>
        <w:jc w:val="both"/>
        <w:rPr>
          <w:rFonts w:ascii="Palatino Linotype" w:eastAsia="Calibri" w:hAnsi="Palatino Linotype" w:cs="Arial"/>
        </w:rPr>
      </w:pPr>
      <w:r w:rsidRPr="00B843B7">
        <w:rPr>
          <w:rFonts w:ascii="Palatino Linotype" w:eastAsia="Calibri" w:hAnsi="Palatino Linotype" w:cs="Arial"/>
          <w:b/>
          <w:bCs/>
        </w:rPr>
        <w:t>Actividad Procesal del interesado:</w:t>
      </w:r>
      <w:r w:rsidRPr="00B843B7">
        <w:rPr>
          <w:rFonts w:ascii="Palatino Linotype" w:eastAsia="Calibri" w:hAnsi="Palatino Linotype" w:cs="Arial"/>
        </w:rPr>
        <w:t xml:space="preserve"> Acciones u omisiones del interesado.</w:t>
      </w:r>
    </w:p>
    <w:p w14:paraId="01DB0B97" w14:textId="77777777" w:rsidR="00655505" w:rsidRPr="00B843B7" w:rsidRDefault="00655505" w:rsidP="00655505">
      <w:pPr>
        <w:pStyle w:val="Prrafodelista"/>
        <w:numPr>
          <w:ilvl w:val="1"/>
          <w:numId w:val="43"/>
        </w:numPr>
        <w:tabs>
          <w:tab w:val="left" w:pos="426"/>
        </w:tabs>
        <w:spacing w:line="360" w:lineRule="auto"/>
        <w:ind w:left="1134"/>
        <w:jc w:val="both"/>
        <w:rPr>
          <w:rFonts w:ascii="Palatino Linotype" w:eastAsia="Calibri" w:hAnsi="Palatino Linotype" w:cs="Arial"/>
        </w:rPr>
      </w:pPr>
      <w:r w:rsidRPr="00B843B7">
        <w:rPr>
          <w:rFonts w:ascii="Palatino Linotype" w:eastAsia="Calibri" w:hAnsi="Palatino Linotype" w:cs="Arial"/>
          <w:b/>
          <w:bCs/>
        </w:rPr>
        <w:t>Conducta de la Autoridad:</w:t>
      </w:r>
      <w:r w:rsidRPr="00B843B7">
        <w:rPr>
          <w:rFonts w:ascii="Palatino Linotype" w:eastAsia="Calibri" w:hAnsi="Palatino Linotype" w:cs="Arial"/>
        </w:rPr>
        <w:t xml:space="preserve"> Las Acciones u omisiones realizadas en el procedimiento. Así como si la autoridad actuó con la debida diligencia.</w:t>
      </w:r>
    </w:p>
    <w:p w14:paraId="4B5841B9" w14:textId="77777777" w:rsidR="00655505" w:rsidRPr="00B843B7" w:rsidRDefault="00655505" w:rsidP="00655505">
      <w:pPr>
        <w:pStyle w:val="Prrafodelista"/>
        <w:numPr>
          <w:ilvl w:val="1"/>
          <w:numId w:val="43"/>
        </w:numPr>
        <w:tabs>
          <w:tab w:val="left" w:pos="426"/>
        </w:tabs>
        <w:spacing w:line="360" w:lineRule="auto"/>
        <w:ind w:left="1134"/>
        <w:jc w:val="both"/>
        <w:rPr>
          <w:rFonts w:ascii="Palatino Linotype" w:hAnsi="Palatino Linotype"/>
          <w:color w:val="000000" w:themeColor="text1"/>
        </w:rPr>
      </w:pPr>
      <w:r w:rsidRPr="00B843B7">
        <w:rPr>
          <w:rFonts w:ascii="Palatino Linotype" w:eastAsia="Calibri" w:hAnsi="Palatino Linotype" w:cs="Arial"/>
          <w:b/>
          <w:bCs/>
        </w:rPr>
        <w:t xml:space="preserve">La afectación generada en la situación jurídica de la persona involucrada en el proceso: </w:t>
      </w:r>
      <w:r w:rsidRPr="00B843B7">
        <w:rPr>
          <w:rFonts w:ascii="Palatino Linotype" w:eastAsia="Calibri" w:hAnsi="Palatino Linotype" w:cs="Arial"/>
        </w:rPr>
        <w:t>Violación a sus derechos humanos.</w:t>
      </w:r>
    </w:p>
    <w:p w14:paraId="13DE33F3" w14:textId="77777777" w:rsidR="00655505" w:rsidRPr="00B843B7"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4E7B9E4F"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eastAsia="Calibri" w:hAnsi="Palatino Linotype" w:cs="Arial"/>
          <w:color w:val="000000" w:themeColor="text1"/>
        </w:rPr>
        <w:t xml:space="preserve">De </w:t>
      </w:r>
      <w:r w:rsidRPr="00B843B7">
        <w:rPr>
          <w:rFonts w:ascii="Palatino Linotype" w:hAnsi="Palatino Linotype"/>
        </w:rPr>
        <w:t xml:space="preserve">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843B7">
        <w:rPr>
          <w:rFonts w:ascii="Palatino Linotype" w:hAnsi="Palatino Linotype"/>
        </w:rPr>
        <w:lastRenderedPageBreak/>
        <w:t>relación con la actuación del funcionario, como ha acontecido en el caso que nos ocupa.</w:t>
      </w:r>
    </w:p>
    <w:p w14:paraId="77751CE7"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62E2D2CF"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eastAsia="Calibri" w:hAnsi="Palatino Linotype" w:cs="Arial"/>
        </w:rPr>
        <w:t xml:space="preserve">Argumento </w:t>
      </w:r>
      <w:r w:rsidRPr="00B843B7">
        <w:rPr>
          <w:rFonts w:ascii="Palatino Linotype" w:hAnsi="Palatino Linotype"/>
        </w:rPr>
        <w:t xml:space="preserve">que encuentra sustento en la jurisprudencia P./J. 32/92 emitida por el Pleno de la Suprema Corte de Justicia de la Nación de rubro </w:t>
      </w:r>
      <w:r w:rsidRPr="00B843B7">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B843B7">
        <w:rPr>
          <w:rStyle w:val="Refdenotaalpie"/>
          <w:rFonts w:ascii="Palatino Linotype" w:hAnsi="Palatino Linotype"/>
          <w:i/>
        </w:rPr>
        <w:footnoteReference w:id="1"/>
      </w:r>
      <w:r w:rsidRPr="00B843B7">
        <w:rPr>
          <w:rFonts w:ascii="Palatino Linotype" w:hAnsi="Palatino Linotype"/>
        </w:rPr>
        <w:t>, visible en la Gaceta del Seminario Judicial de la Federación con el registro digital 205635.</w:t>
      </w:r>
    </w:p>
    <w:p w14:paraId="32BE4A02"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4929FD67"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eastAsia="Calibri" w:hAnsi="Palatino Linotype" w:cs="Arial"/>
        </w:rPr>
        <w:lastRenderedPageBreak/>
        <w:t xml:space="preserve">Razones </w:t>
      </w:r>
      <w:r w:rsidRPr="00B843B7">
        <w:rPr>
          <w:rFonts w:ascii="Palatino Linotype" w:hAnsi="Palatino Linotype"/>
        </w:rPr>
        <w:t>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EB279D"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5A5BB203" w14:textId="77777777" w:rsidR="00655505" w:rsidRPr="00B843B7" w:rsidRDefault="00655505" w:rsidP="00655505">
      <w:pPr>
        <w:pStyle w:val="Prrafodelista"/>
        <w:numPr>
          <w:ilvl w:val="0"/>
          <w:numId w:val="1"/>
        </w:numPr>
        <w:tabs>
          <w:tab w:val="left" w:pos="426"/>
        </w:tabs>
        <w:spacing w:before="240" w:after="240" w:line="360" w:lineRule="auto"/>
        <w:jc w:val="both"/>
        <w:rPr>
          <w:rFonts w:ascii="Palatino Linotype" w:hAnsi="Palatino Linotype"/>
        </w:rPr>
      </w:pPr>
      <w:r w:rsidRPr="00B843B7">
        <w:rPr>
          <w:rFonts w:ascii="Palatino Linotype" w:eastAsia="Calibri" w:hAnsi="Palatino Linotype" w:cs="Arial"/>
        </w:rPr>
        <w:t xml:space="preserve">Por </w:t>
      </w:r>
      <w:r w:rsidRPr="00B843B7">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0AC90039" w14:textId="77777777" w:rsidR="00655505" w:rsidRPr="00B843B7" w:rsidRDefault="00655505" w:rsidP="00655505">
      <w:pPr>
        <w:pStyle w:val="Prrafodelista"/>
        <w:tabs>
          <w:tab w:val="left" w:pos="426"/>
        </w:tabs>
        <w:spacing w:before="240" w:after="240" w:line="360" w:lineRule="auto"/>
        <w:ind w:left="0"/>
        <w:jc w:val="both"/>
        <w:rPr>
          <w:rFonts w:ascii="Palatino Linotype" w:hAnsi="Palatino Linotype"/>
        </w:rPr>
      </w:pPr>
    </w:p>
    <w:p w14:paraId="5C1A4A18" w14:textId="77777777" w:rsidR="00655505" w:rsidRPr="00B843B7" w:rsidRDefault="00655505" w:rsidP="00655505">
      <w:pPr>
        <w:pStyle w:val="Prrafodelista"/>
        <w:numPr>
          <w:ilvl w:val="0"/>
          <w:numId w:val="1"/>
        </w:numPr>
        <w:tabs>
          <w:tab w:val="left" w:pos="426"/>
        </w:tabs>
        <w:spacing w:line="360" w:lineRule="auto"/>
        <w:jc w:val="both"/>
        <w:rPr>
          <w:rFonts w:ascii="Palatino Linotype" w:hAnsi="Palatino Linotype"/>
          <w:color w:val="000000" w:themeColor="text1"/>
        </w:rPr>
      </w:pPr>
      <w:r w:rsidRPr="00B843B7">
        <w:rPr>
          <w:rFonts w:ascii="Palatino Linotype" w:eastAsia="Calibri" w:hAnsi="Palatino Linotype" w:cs="Arial"/>
        </w:rPr>
        <w:t xml:space="preserve">Al </w:t>
      </w:r>
      <w:r w:rsidRPr="00B843B7">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77996E2E" w14:textId="77777777" w:rsidR="00655505" w:rsidRPr="00B843B7"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5424D764" w14:textId="77777777" w:rsidR="00655505" w:rsidRPr="00B843B7" w:rsidRDefault="00655505" w:rsidP="00655505">
      <w:pPr>
        <w:pStyle w:val="Prrafodelista"/>
        <w:spacing w:line="276" w:lineRule="auto"/>
        <w:ind w:left="567" w:right="567"/>
        <w:jc w:val="both"/>
        <w:rPr>
          <w:rFonts w:ascii="Palatino Linotype" w:hAnsi="Palatino Linotype"/>
          <w:i/>
          <w:sz w:val="22"/>
        </w:rPr>
      </w:pPr>
      <w:r w:rsidRPr="00B843B7">
        <w:rPr>
          <w:rFonts w:ascii="Palatino Linotype" w:hAnsi="Palatino Linotype"/>
          <w:b/>
          <w:i/>
          <w:sz w:val="22"/>
        </w:rPr>
        <w:t>PLAZO RAZONABLE PARA RESOLVER. DIMENSIÓN Y EFECTOS DE ESTE CONCEPTO CUANDO SE ADUCE EXCESIVA CARGA DE TRABAJO.</w:t>
      </w:r>
      <w:r w:rsidRPr="00B843B7">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w:t>
      </w:r>
      <w:r w:rsidRPr="00B843B7">
        <w:rPr>
          <w:rFonts w:ascii="Palatino Linotype" w:hAnsi="Palatino Linotype"/>
          <w:i/>
          <w:sz w:val="22"/>
        </w:rPr>
        <w:lastRenderedPageBreak/>
        <w:t>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B843B7">
        <w:rPr>
          <w:rStyle w:val="Refdenotaalpie"/>
          <w:rFonts w:ascii="Palatino Linotype" w:hAnsi="Palatino Linotype"/>
          <w:i/>
          <w:sz w:val="22"/>
        </w:rPr>
        <w:footnoteReference w:id="2"/>
      </w:r>
    </w:p>
    <w:p w14:paraId="2467FAC3" w14:textId="77777777" w:rsidR="00655505" w:rsidRPr="00B843B7" w:rsidRDefault="00655505" w:rsidP="00655505">
      <w:pPr>
        <w:pStyle w:val="Prrafodelista"/>
        <w:spacing w:line="276" w:lineRule="auto"/>
        <w:ind w:left="567" w:right="567"/>
        <w:jc w:val="both"/>
        <w:rPr>
          <w:rFonts w:ascii="Palatino Linotype" w:hAnsi="Palatino Linotype"/>
          <w:i/>
          <w:sz w:val="22"/>
        </w:rPr>
      </w:pPr>
    </w:p>
    <w:p w14:paraId="440BBFBD" w14:textId="77777777" w:rsidR="00655505" w:rsidRPr="00B843B7" w:rsidRDefault="00655505" w:rsidP="00655505">
      <w:pPr>
        <w:pStyle w:val="Prrafodelista"/>
        <w:spacing w:line="276" w:lineRule="auto"/>
        <w:ind w:left="567" w:right="567"/>
        <w:jc w:val="both"/>
        <w:rPr>
          <w:rFonts w:ascii="Palatino Linotype" w:hAnsi="Palatino Linotype"/>
          <w:i/>
          <w:sz w:val="22"/>
        </w:rPr>
      </w:pPr>
      <w:r w:rsidRPr="00B843B7">
        <w:rPr>
          <w:rFonts w:ascii="Palatino Linotype" w:hAnsi="Palatino Linotype"/>
          <w:b/>
          <w:i/>
          <w:sz w:val="22"/>
        </w:rPr>
        <w:t>PLAZO RAZONABLE PARA RESOLVER. CONCEPTO Y ELEMENTOS QUE LO INTEGRAN A LA LUZ DEL DERECHO INTERNACIONAL DE LOS DERECHOS HUMANOS.</w:t>
      </w:r>
      <w:r w:rsidRPr="00B843B7">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w:t>
      </w:r>
      <w:r w:rsidRPr="00B843B7">
        <w:rPr>
          <w:rFonts w:ascii="Palatino Linotype" w:hAnsi="Palatino Linotype"/>
          <w:i/>
          <w:sz w:val="22"/>
        </w:rPr>
        <w:lastRenderedPageBreak/>
        <w:t>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B843B7">
        <w:rPr>
          <w:rStyle w:val="Refdenotaalpie"/>
          <w:rFonts w:ascii="Palatino Linotype" w:hAnsi="Palatino Linotype"/>
          <w:i/>
          <w:sz w:val="22"/>
        </w:rPr>
        <w:footnoteReference w:id="3"/>
      </w:r>
    </w:p>
    <w:p w14:paraId="11C798A5" w14:textId="77777777" w:rsidR="00655505" w:rsidRPr="00B843B7" w:rsidRDefault="00655505" w:rsidP="00655505">
      <w:pPr>
        <w:pStyle w:val="Prrafodelista"/>
        <w:tabs>
          <w:tab w:val="left" w:pos="426"/>
        </w:tabs>
        <w:spacing w:line="360" w:lineRule="auto"/>
        <w:ind w:left="0"/>
        <w:jc w:val="both"/>
        <w:rPr>
          <w:rFonts w:ascii="Palatino Linotype" w:hAnsi="Palatino Linotype"/>
          <w:color w:val="000000" w:themeColor="text1"/>
        </w:rPr>
      </w:pPr>
    </w:p>
    <w:p w14:paraId="79E85533" w14:textId="08AE395D" w:rsidR="00655505" w:rsidRPr="00B843B7" w:rsidRDefault="00655505" w:rsidP="00655505">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B843B7">
        <w:rPr>
          <w:rFonts w:ascii="Palatino Linotype" w:eastAsia="Calibri" w:hAnsi="Palatino Linotype" w:cs="Arial"/>
          <w:color w:val="000000" w:themeColor="text1"/>
        </w:rPr>
        <w:t xml:space="preserve">Por </w:t>
      </w:r>
      <w:r w:rsidRPr="00B843B7">
        <w:rPr>
          <w:rFonts w:ascii="Palatino Linotype" w:hAnsi="Palatino Linotype"/>
        </w:rPr>
        <w:t>ello, este Organismo Garante, comprometido con la tutela de los derechos humanos confiados, señala que este exceso del plazo legal para resolver el presente asunto, resulta de carácter excepcional.</w:t>
      </w:r>
      <w:r w:rsidR="00395355" w:rsidRPr="00B843B7">
        <w:rPr>
          <w:rFonts w:ascii="Palatino Linotype" w:hAnsi="Palatino Linotype"/>
        </w:rPr>
        <w:t xml:space="preserve"> ----------------------------------------------------------</w:t>
      </w:r>
    </w:p>
    <w:p w14:paraId="1F1CC116" w14:textId="58624801" w:rsidR="008A74F2" w:rsidRPr="00B843B7" w:rsidRDefault="00395355" w:rsidP="00B31E90">
      <w:pPr>
        <w:pStyle w:val="Prrafodelista"/>
        <w:tabs>
          <w:tab w:val="left" w:pos="426"/>
        </w:tabs>
        <w:spacing w:line="360" w:lineRule="auto"/>
        <w:ind w:left="0"/>
        <w:jc w:val="both"/>
        <w:rPr>
          <w:rFonts w:ascii="Palatino Linotype" w:hAnsi="Palatino Linotype"/>
          <w:color w:val="000000" w:themeColor="text1"/>
        </w:rPr>
      </w:pPr>
      <w:r w:rsidRPr="00B843B7">
        <w:rPr>
          <w:rFonts w:ascii="Palatino Linotype" w:hAnsi="Palatino Linotype"/>
          <w:noProof/>
          <w:color w:val="000000" w:themeColor="text1"/>
          <w:lang w:eastAsia="es-MX"/>
        </w:rPr>
        <mc:AlternateContent>
          <mc:Choice Requires="wps">
            <w:drawing>
              <wp:anchor distT="0" distB="0" distL="114300" distR="114300" simplePos="0" relativeHeight="251663360" behindDoc="0" locked="0" layoutInCell="1" allowOverlap="1" wp14:anchorId="4D71353D" wp14:editId="2DA84F1E">
                <wp:simplePos x="0" y="0"/>
                <wp:positionH relativeFrom="margin">
                  <wp:align>right</wp:align>
                </wp:positionH>
                <wp:positionV relativeFrom="paragraph">
                  <wp:posOffset>46410</wp:posOffset>
                </wp:positionV>
                <wp:extent cx="5510254" cy="1271988"/>
                <wp:effectExtent l="38100" t="38100" r="71755" b="80645"/>
                <wp:wrapNone/>
                <wp:docPr id="7" name="Conector recto 7"/>
                <wp:cNvGraphicFramePr/>
                <a:graphic xmlns:a="http://schemas.openxmlformats.org/drawingml/2006/main">
                  <a:graphicData uri="http://schemas.microsoft.com/office/word/2010/wordprocessingShape">
                    <wps:wsp>
                      <wps:cNvCnPr/>
                      <wps:spPr>
                        <a:xfrm flipV="1">
                          <a:off x="0" y="0"/>
                          <a:ext cx="5510254" cy="1271988"/>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A19D8D" id="Conector recto 7" o:spid="_x0000_s1026" style="position:absolute;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7pt,3.65pt" to="816.6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" strokecolor="black [3200]" strokeweight="1pt">
                <v:shadow on="t" color="black" opacity="24903f" origin=",.5" offset="0,.55556mm"/>
                <w10:wrap anchorx="margin"/>
              </v:line>
            </w:pict>
          </mc:Fallback>
        </mc:AlternateContent>
      </w:r>
    </w:p>
    <w:p w14:paraId="1EDB4AA0" w14:textId="77777777" w:rsidR="00395355" w:rsidRPr="00B843B7" w:rsidRDefault="00395355" w:rsidP="00B31E90">
      <w:pPr>
        <w:pStyle w:val="Prrafodelista"/>
        <w:tabs>
          <w:tab w:val="left" w:pos="426"/>
        </w:tabs>
        <w:spacing w:line="360" w:lineRule="auto"/>
        <w:ind w:left="0"/>
        <w:jc w:val="both"/>
        <w:rPr>
          <w:rFonts w:ascii="Palatino Linotype" w:hAnsi="Palatino Linotype"/>
          <w:color w:val="000000" w:themeColor="text1"/>
        </w:rPr>
      </w:pPr>
    </w:p>
    <w:p w14:paraId="5DCAAB8C" w14:textId="77777777" w:rsidR="00395355" w:rsidRPr="00B843B7" w:rsidRDefault="00395355" w:rsidP="00B31E90">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B843B7"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0D508B51" w:rsidR="00C33279" w:rsidRPr="00B843B7" w:rsidRDefault="007C0013" w:rsidP="00B31E90">
      <w:pPr>
        <w:pStyle w:val="Ttulo1"/>
        <w:spacing w:before="0"/>
        <w:jc w:val="center"/>
        <w:rPr>
          <w:b/>
          <w:color w:val="000000" w:themeColor="text1"/>
        </w:rPr>
      </w:pPr>
      <w:bookmarkStart w:id="6" w:name="_Toc88071777"/>
      <w:r w:rsidRPr="00B843B7">
        <w:rPr>
          <w:b/>
          <w:color w:val="000000" w:themeColor="text1"/>
        </w:rPr>
        <w:lastRenderedPageBreak/>
        <w:t>CONSIDERANDO</w:t>
      </w:r>
      <w:bookmarkEnd w:id="4"/>
      <w:bookmarkEnd w:id="5"/>
      <w:bookmarkEnd w:id="6"/>
    </w:p>
    <w:p w14:paraId="435CF9A4" w14:textId="77777777" w:rsidR="00FC1DA7" w:rsidRPr="00B843B7" w:rsidRDefault="00FC1DA7" w:rsidP="00B31E90">
      <w:pPr>
        <w:rPr>
          <w:color w:val="000000" w:themeColor="text1"/>
          <w:lang w:eastAsia="en-US"/>
        </w:rPr>
      </w:pPr>
    </w:p>
    <w:p w14:paraId="629A5BE2" w14:textId="1FC05436" w:rsidR="007C0013" w:rsidRPr="00B843B7"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B843B7">
        <w:rPr>
          <w:rFonts w:ascii="Palatino Linotype" w:hAnsi="Palatino Linotype"/>
          <w:b/>
          <w:color w:val="000000" w:themeColor="text1"/>
          <w:sz w:val="24"/>
        </w:rPr>
        <w:t>PRIMERO. De la competencia</w:t>
      </w:r>
      <w:bookmarkEnd w:id="7"/>
      <w:bookmarkEnd w:id="8"/>
      <w:bookmarkEnd w:id="9"/>
    </w:p>
    <w:p w14:paraId="60FBD8C7" w14:textId="77777777" w:rsidR="00FC1DA7" w:rsidRPr="00B843B7" w:rsidRDefault="00FC1DA7" w:rsidP="00B31E90">
      <w:pPr>
        <w:rPr>
          <w:rFonts w:ascii="Palatino Linotype" w:hAnsi="Palatino Linotype"/>
          <w:color w:val="000000" w:themeColor="text1"/>
          <w:lang w:eastAsia="en-US"/>
        </w:rPr>
      </w:pPr>
    </w:p>
    <w:p w14:paraId="0BF52B18" w14:textId="2D570B6F" w:rsidR="005A228F" w:rsidRPr="00B843B7"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B843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B843B7">
        <w:rPr>
          <w:rFonts w:ascii="Palatino Linotype" w:eastAsia="Calibri" w:hAnsi="Palatino Linotype" w:cs="Times New Roman"/>
          <w:color w:val="000000" w:themeColor="text1"/>
          <w:lang w:val="es-ES"/>
        </w:rPr>
        <w:t xml:space="preserve">etente para conocer y resolver </w:t>
      </w:r>
      <w:r w:rsidR="005C7898" w:rsidRPr="00B843B7">
        <w:rPr>
          <w:rFonts w:ascii="Palatino Linotype" w:eastAsia="Calibri" w:hAnsi="Palatino Linotype" w:cs="Times New Roman"/>
          <w:color w:val="000000" w:themeColor="text1"/>
          <w:lang w:val="es-ES"/>
        </w:rPr>
        <w:t>los</w:t>
      </w:r>
      <w:r w:rsidRPr="00B843B7">
        <w:rPr>
          <w:rFonts w:ascii="Palatino Linotype" w:eastAsia="Calibri" w:hAnsi="Palatino Linotype" w:cs="Times New Roman"/>
          <w:color w:val="000000" w:themeColor="text1"/>
          <w:lang w:val="es-ES"/>
        </w:rPr>
        <w:t xml:space="preserve"> presente</w:t>
      </w:r>
      <w:r w:rsidR="005C7898" w:rsidRPr="00B843B7">
        <w:rPr>
          <w:rFonts w:ascii="Palatino Linotype" w:eastAsia="Calibri" w:hAnsi="Palatino Linotype" w:cs="Times New Roman"/>
          <w:color w:val="000000" w:themeColor="text1"/>
          <w:lang w:val="es-ES"/>
        </w:rPr>
        <w:t>s</w:t>
      </w:r>
      <w:r w:rsidRPr="00B843B7">
        <w:rPr>
          <w:rFonts w:ascii="Palatino Linotype" w:eastAsia="Calibri" w:hAnsi="Palatino Linotype" w:cs="Times New Roman"/>
          <w:color w:val="000000" w:themeColor="text1"/>
          <w:lang w:val="es-ES"/>
        </w:rPr>
        <w:t xml:space="preserve"> recurso</w:t>
      </w:r>
      <w:r w:rsidR="005C7898" w:rsidRPr="00B843B7">
        <w:rPr>
          <w:rFonts w:ascii="Palatino Linotype" w:eastAsia="Calibri" w:hAnsi="Palatino Linotype" w:cs="Times New Roman"/>
          <w:color w:val="000000" w:themeColor="text1"/>
          <w:lang w:val="es-ES"/>
        </w:rPr>
        <w:t>s</w:t>
      </w:r>
      <w:r w:rsidRPr="00B843B7">
        <w:rPr>
          <w:rFonts w:ascii="Palatino Linotype" w:eastAsia="Calibri" w:hAnsi="Palatino Linotype" w:cs="Times New Roman"/>
          <w:color w:val="000000" w:themeColor="text1"/>
          <w:lang w:val="es-ES"/>
        </w:rPr>
        <w:t xml:space="preserve"> de conformidad con el artículo: 6, apartado A, fracción IV de la </w:t>
      </w:r>
      <w:r w:rsidRPr="00B843B7">
        <w:rPr>
          <w:rFonts w:ascii="Palatino Linotype" w:eastAsia="Calibri" w:hAnsi="Palatino Linotype" w:cs="Times New Roman"/>
          <w:b/>
          <w:color w:val="000000" w:themeColor="text1"/>
          <w:lang w:val="es-ES"/>
        </w:rPr>
        <w:t>Constitución Política de los Estados Unidos Mexicanos</w:t>
      </w:r>
      <w:r w:rsidRPr="00B843B7">
        <w:rPr>
          <w:rFonts w:ascii="Palatino Linotype" w:eastAsia="Calibri" w:hAnsi="Palatino Linotype" w:cs="Times New Roman"/>
          <w:color w:val="000000" w:themeColor="text1"/>
          <w:lang w:val="es-ES"/>
        </w:rPr>
        <w:t xml:space="preserve">; 5, párrafos </w:t>
      </w:r>
      <w:r w:rsidR="000B7C4F" w:rsidRPr="00B843B7">
        <w:rPr>
          <w:rFonts w:ascii="Palatino Linotype" w:eastAsia="Calibri" w:hAnsi="Palatino Linotype" w:cs="Times New Roman"/>
          <w:color w:val="000000" w:themeColor="text1"/>
          <w:lang w:val="es-ES"/>
        </w:rPr>
        <w:t>trigésimo, trigésimo primero y trigésimo segundo</w:t>
      </w:r>
      <w:r w:rsidR="004F785F" w:rsidRPr="00B843B7">
        <w:rPr>
          <w:rFonts w:ascii="Palatino Linotype" w:eastAsia="Calibri" w:hAnsi="Palatino Linotype" w:cs="Times New Roman"/>
          <w:color w:val="000000" w:themeColor="text1"/>
          <w:lang w:val="es-ES"/>
        </w:rPr>
        <w:t>,</w:t>
      </w:r>
      <w:r w:rsidRPr="00B843B7">
        <w:rPr>
          <w:rFonts w:ascii="Palatino Linotype" w:eastAsia="Calibri" w:hAnsi="Palatino Linotype" w:cs="Times New Roman"/>
          <w:color w:val="000000" w:themeColor="text1"/>
          <w:lang w:val="es-ES"/>
        </w:rPr>
        <w:t xml:space="preserve"> fracciones IV y V</w:t>
      </w:r>
      <w:r w:rsidR="004F785F" w:rsidRPr="00B843B7">
        <w:rPr>
          <w:rFonts w:ascii="Palatino Linotype" w:eastAsia="Calibri" w:hAnsi="Palatino Linotype" w:cs="Times New Roman"/>
          <w:color w:val="000000" w:themeColor="text1"/>
          <w:lang w:val="es-ES"/>
        </w:rPr>
        <w:t>,</w:t>
      </w:r>
      <w:r w:rsidRPr="00B843B7">
        <w:rPr>
          <w:rFonts w:ascii="Palatino Linotype" w:eastAsia="Calibri" w:hAnsi="Palatino Linotype" w:cs="Times New Roman"/>
          <w:color w:val="000000" w:themeColor="text1"/>
          <w:lang w:val="es-ES"/>
        </w:rPr>
        <w:t xml:space="preserve"> de la </w:t>
      </w:r>
      <w:r w:rsidRPr="00B843B7">
        <w:rPr>
          <w:rFonts w:ascii="Palatino Linotype" w:eastAsia="Calibri" w:hAnsi="Palatino Linotype" w:cs="Times New Roman"/>
          <w:b/>
          <w:color w:val="000000" w:themeColor="text1"/>
          <w:lang w:val="es-ES"/>
        </w:rPr>
        <w:t>Constitución Política del Estado Libre y Soberano de México</w:t>
      </w:r>
      <w:r w:rsidRPr="00B843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B843B7">
        <w:rPr>
          <w:rFonts w:ascii="Palatino Linotype" w:eastAsia="Calibri" w:hAnsi="Palatino Linotype" w:cs="Arial"/>
          <w:color w:val="000000" w:themeColor="text1"/>
          <w:lang w:val="es-ES"/>
        </w:rPr>
        <w:t xml:space="preserve">de la </w:t>
      </w:r>
      <w:r w:rsidRPr="00B843B7">
        <w:rPr>
          <w:rFonts w:ascii="Palatino Linotype" w:eastAsia="Calibri" w:hAnsi="Palatino Linotype" w:cs="Arial"/>
          <w:b/>
          <w:color w:val="000000" w:themeColor="text1"/>
          <w:lang w:val="es-ES"/>
        </w:rPr>
        <w:t>Ley de Transparencia y Acceso a la Información Pública del Estado de México y Municipios</w:t>
      </w:r>
      <w:r w:rsidRPr="00B843B7">
        <w:rPr>
          <w:rFonts w:ascii="Palatino Linotype" w:eastAsia="Calibri" w:hAnsi="Palatino Linotype" w:cs="Arial"/>
          <w:color w:val="000000" w:themeColor="text1"/>
          <w:lang w:val="es-ES"/>
        </w:rPr>
        <w:t xml:space="preserve">; y 10, 7, 9 fracciones I y XXIV, y 11 del </w:t>
      </w:r>
      <w:r w:rsidRPr="00B843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B843B7"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B843B7"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B843B7">
        <w:rPr>
          <w:rFonts w:ascii="Palatino Linotype" w:hAnsi="Palatino Linotype"/>
          <w:b/>
          <w:color w:val="000000" w:themeColor="text1"/>
          <w:sz w:val="24"/>
        </w:rPr>
        <w:t>SEGUNDO. De la oportunidad y proced</w:t>
      </w:r>
      <w:r w:rsidR="00F35C44" w:rsidRPr="00B843B7">
        <w:rPr>
          <w:rFonts w:ascii="Palatino Linotype" w:hAnsi="Palatino Linotype"/>
          <w:b/>
          <w:color w:val="000000" w:themeColor="text1"/>
          <w:sz w:val="24"/>
        </w:rPr>
        <w:t>encia</w:t>
      </w:r>
      <w:r w:rsidRPr="00B843B7">
        <w:rPr>
          <w:rFonts w:ascii="Palatino Linotype" w:hAnsi="Palatino Linotype"/>
          <w:b/>
          <w:color w:val="000000" w:themeColor="text1"/>
          <w:sz w:val="24"/>
        </w:rPr>
        <w:t>.</w:t>
      </w:r>
      <w:bookmarkEnd w:id="10"/>
      <w:bookmarkEnd w:id="11"/>
      <w:bookmarkEnd w:id="12"/>
    </w:p>
    <w:p w14:paraId="18E22450" w14:textId="77777777" w:rsidR="00C6440A" w:rsidRPr="00B843B7" w:rsidRDefault="00C6440A" w:rsidP="00B31E90">
      <w:pPr>
        <w:rPr>
          <w:color w:val="000000" w:themeColor="text1"/>
          <w:lang w:eastAsia="en-US"/>
        </w:rPr>
      </w:pPr>
    </w:p>
    <w:p w14:paraId="1DAE4B2B" w14:textId="1C4F04BD" w:rsidR="008A7F1F" w:rsidRPr="00B843B7" w:rsidRDefault="008A7F1F" w:rsidP="00103B71">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sidRPr="00B843B7">
        <w:rPr>
          <w:rFonts w:ascii="Palatino Linotype" w:eastAsia="Calibri" w:hAnsi="Palatino Linotype" w:cs="Arial"/>
          <w:color w:val="000000" w:themeColor="text1"/>
        </w:rPr>
        <w:t>El</w:t>
      </w:r>
      <w:r w:rsidR="003E6D0F" w:rsidRPr="00B843B7">
        <w:rPr>
          <w:rFonts w:ascii="Palatino Linotype" w:eastAsia="Calibri" w:hAnsi="Palatino Linotype" w:cs="Arial"/>
          <w:color w:val="000000" w:themeColor="text1"/>
        </w:rPr>
        <w:t xml:space="preserve"> </w:t>
      </w:r>
      <w:r w:rsidRPr="00B843B7">
        <w:rPr>
          <w:rFonts w:ascii="Palatino Linotype" w:eastAsia="Calibri" w:hAnsi="Palatino Linotype" w:cs="Arial"/>
          <w:lang w:val="es-ES_tradnl"/>
        </w:rPr>
        <w:t>medio de impugnación fue presentado a través del SAIMEX</w:t>
      </w:r>
      <w:r w:rsidRPr="00B843B7">
        <w:rPr>
          <w:rFonts w:ascii="Palatino Linotype" w:eastAsia="Calibri" w:hAnsi="Palatino Linotype" w:cs="Arial"/>
          <w:b/>
          <w:lang w:val="es-ES_tradnl"/>
        </w:rPr>
        <w:t>,</w:t>
      </w:r>
      <w:r w:rsidRPr="00B843B7">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B843B7">
        <w:rPr>
          <w:rFonts w:ascii="Palatino Linotype" w:eastAsia="Calibri" w:hAnsi="Palatino Linotype" w:cs="Arial"/>
          <w:b/>
          <w:lang w:val="es-ES_tradnl"/>
        </w:rPr>
        <w:t>SUJETO OBLIGADO</w:t>
      </w:r>
      <w:r w:rsidRPr="00B843B7">
        <w:rPr>
          <w:rFonts w:ascii="Palatino Linotype" w:eastAsia="Calibri" w:hAnsi="Palatino Linotype" w:cs="Arial"/>
          <w:lang w:val="es-ES_tradnl"/>
        </w:rPr>
        <w:t xml:space="preserve"> entregó respuesta el </w:t>
      </w:r>
      <w:r w:rsidR="00395355" w:rsidRPr="00B843B7">
        <w:rPr>
          <w:rFonts w:ascii="Palatino Linotype" w:eastAsia="Calibri" w:hAnsi="Palatino Linotype" w:cs="Arial"/>
          <w:lang w:val="es-ES_tradnl"/>
        </w:rPr>
        <w:t>diecinueve (19)</w:t>
      </w:r>
      <w:r w:rsidR="00655505" w:rsidRPr="00B843B7">
        <w:rPr>
          <w:rFonts w:ascii="Palatino Linotype" w:eastAsia="Calibri" w:hAnsi="Palatino Linotype" w:cs="Arial"/>
          <w:lang w:val="es-ES_tradnl"/>
        </w:rPr>
        <w:t xml:space="preserve"> de abril</w:t>
      </w:r>
      <w:r w:rsidRPr="00B843B7">
        <w:rPr>
          <w:rFonts w:ascii="Palatino Linotype" w:eastAsia="Calibri" w:hAnsi="Palatino Linotype" w:cs="Arial"/>
          <w:lang w:val="es-ES_tradnl"/>
        </w:rPr>
        <w:t xml:space="preserve"> de dos mil veintidós</w:t>
      </w:r>
      <w:r w:rsidRPr="00B843B7">
        <w:rPr>
          <w:rFonts w:ascii="Palatino Linotype" w:eastAsia="Calibri" w:hAnsi="Palatino Linotype" w:cs="Arial"/>
        </w:rPr>
        <w:t xml:space="preserve">, el plazo para interponer el recurso de revisión trascurrió del </w:t>
      </w:r>
      <w:r w:rsidR="00395355" w:rsidRPr="00B843B7">
        <w:rPr>
          <w:rFonts w:ascii="Palatino Linotype" w:eastAsia="Calibri" w:hAnsi="Palatino Linotype" w:cs="Arial"/>
        </w:rPr>
        <w:t xml:space="preserve">veinte (20) de abril al once (11) de mayo </w:t>
      </w:r>
      <w:r w:rsidRPr="00B843B7">
        <w:rPr>
          <w:rFonts w:ascii="Palatino Linotype" w:eastAsia="Calibri" w:hAnsi="Palatino Linotype" w:cs="Arial"/>
        </w:rPr>
        <w:t>de dos mil veintidós; sin contemplar en el cómputo los sábados</w:t>
      </w:r>
      <w:r w:rsidR="00655505" w:rsidRPr="00B843B7">
        <w:rPr>
          <w:rFonts w:ascii="Palatino Linotype" w:eastAsia="Calibri" w:hAnsi="Palatino Linotype" w:cs="Arial"/>
        </w:rPr>
        <w:t>,</w:t>
      </w:r>
      <w:r w:rsidRPr="00B843B7">
        <w:rPr>
          <w:rFonts w:ascii="Palatino Linotype" w:eastAsia="Calibri" w:hAnsi="Palatino Linotype" w:cs="Arial"/>
        </w:rPr>
        <w:t xml:space="preserve"> domingos</w:t>
      </w:r>
      <w:r w:rsidR="00655505" w:rsidRPr="00B843B7">
        <w:rPr>
          <w:rFonts w:ascii="Palatino Linotype" w:eastAsia="Calibri" w:hAnsi="Palatino Linotype" w:cs="Arial"/>
        </w:rPr>
        <w:t xml:space="preserve"> e inhábiles</w:t>
      </w:r>
      <w:r w:rsidRPr="00B843B7">
        <w:rPr>
          <w:rFonts w:ascii="Palatino Linotype" w:eastAsia="Calibri" w:hAnsi="Palatino Linotype" w:cs="Arial"/>
        </w:rPr>
        <w:t>, en términos del artículo 3, fracción X, de la Ley de Transparencia y Acceso a la Información Pública del Estado de México y Municipios.</w:t>
      </w:r>
    </w:p>
    <w:p w14:paraId="42866E96" w14:textId="77777777" w:rsidR="008A7F1F" w:rsidRPr="00B843B7" w:rsidRDefault="008A7F1F" w:rsidP="008A7F1F">
      <w:pPr>
        <w:tabs>
          <w:tab w:val="left" w:pos="426"/>
        </w:tabs>
        <w:spacing w:line="360" w:lineRule="auto"/>
        <w:ind w:right="49"/>
        <w:contextualSpacing/>
        <w:jc w:val="both"/>
        <w:rPr>
          <w:rFonts w:ascii="Palatino Linotype" w:eastAsia="Times New Roman" w:hAnsi="Palatino Linotype" w:cs="Times New Roman"/>
          <w:lang w:val="es-ES_tradnl"/>
        </w:rPr>
      </w:pPr>
    </w:p>
    <w:p w14:paraId="2666509F" w14:textId="4D65DB7D" w:rsidR="00740BA4" w:rsidRPr="00B843B7" w:rsidRDefault="008A7F1F" w:rsidP="008A7F1F">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843B7">
        <w:rPr>
          <w:rFonts w:ascii="Palatino Linotype" w:eastAsia="Calibri" w:hAnsi="Palatino Linotype" w:cs="Arial"/>
        </w:rPr>
        <w:lastRenderedPageBreak/>
        <w:t xml:space="preserve">Luego entonces, si el presente recurso de revisión fue interpuesto el </w:t>
      </w:r>
      <w:r w:rsidR="00127406" w:rsidRPr="00B843B7">
        <w:rPr>
          <w:rFonts w:ascii="Palatino Linotype" w:eastAsia="Calibri" w:hAnsi="Palatino Linotype" w:cs="Arial"/>
        </w:rPr>
        <w:t>veinte (20) de abril</w:t>
      </w:r>
      <w:r w:rsidRPr="00B843B7">
        <w:rPr>
          <w:rFonts w:ascii="Palatino Linotype" w:eastAsia="Calibri" w:hAnsi="Palatino Linotype" w:cs="Arial"/>
        </w:rPr>
        <w:t xml:space="preserve"> de dos mil veintidós, éste se encuentra dentro de los márgenes temporales previstos en el artículo 178 de la Ley de Transparencia y Acceso a la Información Pública del Estado de México y Municipios</w:t>
      </w:r>
      <w:r w:rsidRPr="00B843B7">
        <w:rPr>
          <w:rFonts w:ascii="Palatino Linotype" w:eastAsia="Calibri" w:hAnsi="Palatino Linotype" w:cs="Arial"/>
          <w:b/>
        </w:rPr>
        <w:t xml:space="preserve"> </w:t>
      </w:r>
      <w:r w:rsidRPr="00B843B7">
        <w:rPr>
          <w:rFonts w:ascii="Palatino Linotype" w:eastAsia="Calibri" w:hAnsi="Palatino Linotype" w:cs="Arial"/>
        </w:rPr>
        <w:t>vigente.</w:t>
      </w:r>
    </w:p>
    <w:p w14:paraId="02C2E378" w14:textId="77777777" w:rsidR="009F0467" w:rsidRPr="00B843B7" w:rsidRDefault="009F0467" w:rsidP="009F0467">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B843B7"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B843B7">
        <w:rPr>
          <w:rFonts w:ascii="Palatino Linotype" w:eastAsia="Calibri" w:hAnsi="Palatino Linotype" w:cs="Arial"/>
          <w:color w:val="000000" w:themeColor="text1"/>
        </w:rPr>
        <w:t xml:space="preserve">Consecuencia de lo anterior, </w:t>
      </w:r>
      <w:r w:rsidR="00566BC5" w:rsidRPr="00B843B7">
        <w:rPr>
          <w:rFonts w:ascii="Palatino Linotype" w:eastAsia="Calibri" w:hAnsi="Palatino Linotype" w:cs="Arial"/>
          <w:color w:val="000000" w:themeColor="text1"/>
        </w:rPr>
        <w:t>este Órgano Garante</w:t>
      </w:r>
      <w:r w:rsidRPr="00B843B7">
        <w:rPr>
          <w:rFonts w:ascii="Palatino Linotype" w:eastAsia="Calibri" w:hAnsi="Palatino Linotype" w:cs="Arial"/>
          <w:color w:val="000000" w:themeColor="text1"/>
        </w:rPr>
        <w:t xml:space="preserve"> advierte que </w:t>
      </w:r>
      <w:r w:rsidR="00FB2EE1" w:rsidRPr="00B843B7">
        <w:rPr>
          <w:rFonts w:ascii="Palatino Linotype" w:eastAsia="Calibri" w:hAnsi="Palatino Linotype" w:cs="Arial"/>
          <w:color w:val="000000" w:themeColor="text1"/>
        </w:rPr>
        <w:t>el</w:t>
      </w:r>
      <w:r w:rsidR="00540208" w:rsidRPr="00B843B7">
        <w:rPr>
          <w:rFonts w:ascii="Palatino Linotype" w:eastAsia="Calibri" w:hAnsi="Palatino Linotype" w:cs="Arial"/>
          <w:color w:val="000000" w:themeColor="text1"/>
        </w:rPr>
        <w:t xml:space="preserve"> </w:t>
      </w:r>
      <w:r w:rsidR="00FB2EE1" w:rsidRPr="00B843B7">
        <w:rPr>
          <w:rFonts w:ascii="Palatino Linotype" w:eastAsia="Calibri" w:hAnsi="Palatino Linotype" w:cs="Arial"/>
          <w:color w:val="000000" w:themeColor="text1"/>
        </w:rPr>
        <w:t xml:space="preserve">escrito </w:t>
      </w:r>
      <w:r w:rsidR="00540208" w:rsidRPr="00B843B7">
        <w:rPr>
          <w:rFonts w:ascii="Palatino Linotype" w:eastAsia="Calibri" w:hAnsi="Palatino Linotype" w:cs="Arial"/>
          <w:color w:val="000000" w:themeColor="text1"/>
        </w:rPr>
        <w:t>contiene las formalidades previstas por el artículo 180</w:t>
      </w:r>
      <w:r w:rsidR="00FB2EE1" w:rsidRPr="00B843B7">
        <w:rPr>
          <w:rFonts w:ascii="Palatino Linotype" w:eastAsia="Calibri" w:hAnsi="Palatino Linotype" w:cs="Arial"/>
          <w:color w:val="000000" w:themeColor="text1"/>
        </w:rPr>
        <w:t>,</w:t>
      </w:r>
      <w:r w:rsidR="00540208" w:rsidRPr="00B843B7">
        <w:rPr>
          <w:rFonts w:ascii="Palatino Linotype" w:eastAsia="Calibri" w:hAnsi="Palatino Linotype" w:cs="Arial"/>
          <w:color w:val="000000" w:themeColor="text1"/>
        </w:rPr>
        <w:t xml:space="preserve"> último párrafo</w:t>
      </w:r>
      <w:r w:rsidR="00FB2EE1" w:rsidRPr="00B843B7">
        <w:rPr>
          <w:rFonts w:ascii="Palatino Linotype" w:eastAsia="Calibri" w:hAnsi="Palatino Linotype" w:cs="Arial"/>
          <w:color w:val="000000" w:themeColor="text1"/>
        </w:rPr>
        <w:t>,</w:t>
      </w:r>
      <w:r w:rsidR="00540208" w:rsidRPr="00B843B7">
        <w:rPr>
          <w:rFonts w:ascii="Palatino Linotype" w:eastAsia="Calibri" w:hAnsi="Palatino Linotype" w:cs="Arial"/>
          <w:color w:val="000000" w:themeColor="text1"/>
        </w:rPr>
        <w:t xml:space="preserve"> de la Ley </w:t>
      </w:r>
      <w:r w:rsidR="004911B6" w:rsidRPr="00B843B7">
        <w:rPr>
          <w:rFonts w:ascii="Palatino Linotype" w:eastAsia="Calibri" w:hAnsi="Palatino Linotype" w:cs="Arial"/>
          <w:color w:val="000000" w:themeColor="text1"/>
        </w:rPr>
        <w:t>de Transparencia y Acceso a la Información Pública del Estado de México y Municipios</w:t>
      </w:r>
      <w:r w:rsidR="00540208" w:rsidRPr="00B843B7">
        <w:rPr>
          <w:rFonts w:ascii="Palatino Linotype" w:eastAsia="Calibri" w:hAnsi="Palatino Linotype" w:cs="Arial"/>
          <w:color w:val="000000" w:themeColor="text1"/>
        </w:rPr>
        <w:t xml:space="preserve">, por lo que es procedente que </w:t>
      </w:r>
      <w:r w:rsidR="004911B6" w:rsidRPr="00B843B7">
        <w:rPr>
          <w:rFonts w:ascii="Palatino Linotype" w:eastAsia="Calibri" w:hAnsi="Palatino Linotype" w:cs="Arial"/>
          <w:color w:val="000000" w:themeColor="text1"/>
        </w:rPr>
        <w:t>e</w:t>
      </w:r>
      <w:r w:rsidR="00540208" w:rsidRPr="00B843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B843B7">
        <w:rPr>
          <w:rFonts w:ascii="Palatino Linotype" w:eastAsia="Calibri" w:hAnsi="Palatino Linotype" w:cs="Arial"/>
          <w:color w:val="000000" w:themeColor="text1"/>
        </w:rPr>
        <w:t xml:space="preserve">Municipios, conozca y resuelva </w:t>
      </w:r>
      <w:r w:rsidR="00FB2EE1" w:rsidRPr="00B843B7">
        <w:rPr>
          <w:rFonts w:ascii="Palatino Linotype" w:eastAsia="Calibri" w:hAnsi="Palatino Linotype" w:cs="Arial"/>
          <w:color w:val="000000" w:themeColor="text1"/>
        </w:rPr>
        <w:t>el</w:t>
      </w:r>
      <w:r w:rsidR="00540208" w:rsidRPr="00B843B7">
        <w:rPr>
          <w:rFonts w:ascii="Palatino Linotype" w:eastAsia="Calibri" w:hAnsi="Palatino Linotype" w:cs="Arial"/>
          <w:color w:val="000000" w:themeColor="text1"/>
        </w:rPr>
        <w:t xml:space="preserve"> presente recurso.</w:t>
      </w:r>
    </w:p>
    <w:p w14:paraId="316CB621" w14:textId="77777777" w:rsidR="00710B50" w:rsidRPr="00B843B7"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B843B7"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B843B7">
        <w:rPr>
          <w:rFonts w:ascii="Palatino Linotype" w:hAnsi="Palatino Linotype"/>
          <w:b/>
          <w:color w:val="000000" w:themeColor="text1"/>
        </w:rPr>
        <w:t xml:space="preserve">TERCERO. </w:t>
      </w:r>
      <w:r w:rsidR="00D5750C" w:rsidRPr="00B843B7">
        <w:rPr>
          <w:rFonts w:ascii="Palatino Linotype" w:hAnsi="Palatino Linotype"/>
          <w:b/>
          <w:color w:val="000000" w:themeColor="text1"/>
        </w:rPr>
        <w:t xml:space="preserve">Del planteamiento de la </w:t>
      </w:r>
      <w:r w:rsidR="00D5750C" w:rsidRPr="00B843B7">
        <w:rPr>
          <w:rFonts w:ascii="Palatino Linotype" w:hAnsi="Palatino Linotype"/>
          <w:b/>
          <w:i/>
          <w:color w:val="000000" w:themeColor="text1"/>
        </w:rPr>
        <w:t>Litis</w:t>
      </w:r>
      <w:r w:rsidRPr="00B843B7">
        <w:rPr>
          <w:rFonts w:ascii="Palatino Linotype" w:hAnsi="Palatino Linotype"/>
          <w:b/>
          <w:color w:val="000000" w:themeColor="text1"/>
        </w:rPr>
        <w:t>.</w:t>
      </w:r>
      <w:bookmarkEnd w:id="13"/>
    </w:p>
    <w:p w14:paraId="4FB84CAD" w14:textId="77777777" w:rsidR="00CA62D4" w:rsidRPr="00B843B7"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029672E4" w14:textId="2CDD9AB0" w:rsidR="003428FA" w:rsidRPr="00B843B7" w:rsidRDefault="006D57BE" w:rsidP="00E70180">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B843B7">
        <w:rPr>
          <w:rFonts w:ascii="Palatino Linotype" w:hAnsi="Palatino Linotype" w:cs="Arial"/>
          <w:color w:val="000000" w:themeColor="text1"/>
        </w:rPr>
        <w:t xml:space="preserve">Se </w:t>
      </w:r>
      <w:r w:rsidR="003428FA" w:rsidRPr="00B843B7">
        <w:rPr>
          <w:rFonts w:ascii="Palatino Linotype" w:hAnsi="Palatino Linotype" w:cs="Arial"/>
          <w:color w:val="000000" w:themeColor="text1"/>
        </w:rPr>
        <w:t>requirió</w:t>
      </w:r>
      <w:r w:rsidR="00127406" w:rsidRPr="00B843B7">
        <w:rPr>
          <w:rFonts w:ascii="Palatino Linotype" w:hAnsi="Palatino Linotype" w:cs="Arial"/>
          <w:color w:val="000000" w:themeColor="text1"/>
        </w:rPr>
        <w:t>, en las lenguas indígenas que pertenezcan las familias lingüísticas otomí, los Avisos de Privacidad publicados en la página oficial del Ayuntamiento de Temoaya</w:t>
      </w:r>
      <w:r w:rsidR="003428FA" w:rsidRPr="00B843B7">
        <w:rPr>
          <w:rFonts w:ascii="Palatino Linotype" w:hAnsi="Palatino Linotype" w:cs="Arial"/>
          <w:color w:val="000000" w:themeColor="text1"/>
        </w:rPr>
        <w:t xml:space="preserve">. </w:t>
      </w:r>
      <w:r w:rsidRPr="00B843B7">
        <w:rPr>
          <w:rFonts w:ascii="Palatino Linotype" w:hAnsi="Palatino Linotype" w:cs="Arial"/>
          <w:color w:val="000000" w:themeColor="text1"/>
        </w:rPr>
        <w:t>E</w:t>
      </w:r>
      <w:r w:rsidR="00E50385" w:rsidRPr="00B843B7">
        <w:rPr>
          <w:rFonts w:ascii="Palatino Linotype" w:hAnsi="Palatino Linotype" w:cs="Arial"/>
          <w:color w:val="000000" w:themeColor="text1"/>
        </w:rPr>
        <w:t xml:space="preserve">l </w:t>
      </w:r>
      <w:r w:rsidR="00E50385" w:rsidRPr="00B843B7">
        <w:rPr>
          <w:rFonts w:ascii="Palatino Linotype" w:hAnsi="Palatino Linotype" w:cs="Arial"/>
          <w:b/>
          <w:color w:val="000000" w:themeColor="text1"/>
        </w:rPr>
        <w:t>SUJETO OBLIGADO</w:t>
      </w:r>
      <w:r w:rsidR="00127406" w:rsidRPr="00B843B7">
        <w:rPr>
          <w:rFonts w:ascii="Palatino Linotype" w:hAnsi="Palatino Linotype" w:cs="Arial"/>
          <w:color w:val="000000" w:themeColor="text1"/>
        </w:rPr>
        <w:t>, a través del Representante Indígena ante el Ayuntamiento de Temoaya, señaló un domicilio para que el particular pueda ser auxiliado en la traducción de las diferentes plataformas digitales de acceso a la información.</w:t>
      </w:r>
    </w:p>
    <w:p w14:paraId="1A2B7531" w14:textId="77777777" w:rsidR="003428FA" w:rsidRPr="00B843B7" w:rsidRDefault="003428FA" w:rsidP="003428FA">
      <w:pPr>
        <w:pStyle w:val="Prrafodelista"/>
        <w:tabs>
          <w:tab w:val="left" w:pos="426"/>
        </w:tabs>
        <w:spacing w:line="360" w:lineRule="auto"/>
        <w:ind w:left="0" w:right="49"/>
        <w:jc w:val="both"/>
        <w:rPr>
          <w:rFonts w:ascii="Palatino Linotype" w:hAnsi="Palatino Linotype" w:cs="Arial"/>
          <w:color w:val="000000" w:themeColor="text1"/>
        </w:rPr>
      </w:pPr>
    </w:p>
    <w:p w14:paraId="26137E4C" w14:textId="75E0C272" w:rsidR="0056788F" w:rsidRPr="00B843B7" w:rsidRDefault="001025C6" w:rsidP="00E70180">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843B7">
        <w:rPr>
          <w:rFonts w:ascii="Palatino Linotype" w:hAnsi="Palatino Linotype" w:cs="Arial"/>
          <w:color w:val="000000" w:themeColor="text1"/>
        </w:rPr>
        <w:t>El</w:t>
      </w:r>
      <w:r w:rsidR="007758D3" w:rsidRPr="00B843B7">
        <w:rPr>
          <w:rFonts w:ascii="Palatino Linotype" w:hAnsi="Palatino Linotype" w:cs="Arial"/>
          <w:color w:val="000000" w:themeColor="text1"/>
        </w:rPr>
        <w:t xml:space="preserve"> particular impugnó la respuesta del </w:t>
      </w:r>
      <w:r w:rsidR="007758D3" w:rsidRPr="00B843B7">
        <w:rPr>
          <w:rFonts w:ascii="Palatino Linotype" w:hAnsi="Palatino Linotype" w:cs="Arial"/>
          <w:b/>
          <w:color w:val="000000" w:themeColor="text1"/>
        </w:rPr>
        <w:t>SUJETO OBLIGADO</w:t>
      </w:r>
      <w:r w:rsidRPr="00B843B7">
        <w:rPr>
          <w:rFonts w:ascii="Palatino Linotype" w:hAnsi="Palatino Linotype" w:cs="Arial"/>
          <w:bCs/>
          <w:color w:val="000000" w:themeColor="text1"/>
        </w:rPr>
        <w:t>,</w:t>
      </w:r>
      <w:r w:rsidR="007758D3" w:rsidRPr="00B843B7">
        <w:rPr>
          <w:rFonts w:ascii="Palatino Linotype" w:hAnsi="Palatino Linotype" w:cs="Arial"/>
          <w:color w:val="000000" w:themeColor="text1"/>
        </w:rPr>
        <w:t xml:space="preserve"> mediante recurso de revisión</w:t>
      </w:r>
      <w:r w:rsidRPr="00B843B7">
        <w:rPr>
          <w:rFonts w:ascii="Palatino Linotype" w:hAnsi="Palatino Linotype" w:cs="Arial"/>
          <w:color w:val="000000" w:themeColor="text1"/>
        </w:rPr>
        <w:t>,</w:t>
      </w:r>
      <w:r w:rsidR="007758D3" w:rsidRPr="00B843B7">
        <w:rPr>
          <w:rFonts w:ascii="Palatino Linotype" w:hAnsi="Palatino Linotype" w:cs="Arial"/>
          <w:color w:val="000000" w:themeColor="text1"/>
        </w:rPr>
        <w:t xml:space="preserve"> </w:t>
      </w:r>
      <w:r w:rsidRPr="00B843B7">
        <w:rPr>
          <w:rFonts w:ascii="Palatino Linotype" w:hAnsi="Palatino Linotype" w:cs="Arial"/>
          <w:color w:val="000000" w:themeColor="text1"/>
        </w:rPr>
        <w:t xml:space="preserve">y </w:t>
      </w:r>
      <w:r w:rsidR="007758D3" w:rsidRPr="00B843B7">
        <w:rPr>
          <w:rFonts w:ascii="Palatino Linotype" w:hAnsi="Palatino Linotype" w:cs="Arial"/>
          <w:color w:val="000000" w:themeColor="text1"/>
        </w:rPr>
        <w:t xml:space="preserve">en </w:t>
      </w:r>
      <w:r w:rsidR="006D57BE" w:rsidRPr="00B843B7">
        <w:rPr>
          <w:rFonts w:ascii="Palatino Linotype" w:hAnsi="Palatino Linotype" w:cs="Arial"/>
          <w:color w:val="000000" w:themeColor="text1"/>
        </w:rPr>
        <w:t>el</w:t>
      </w:r>
      <w:r w:rsidR="006015F0" w:rsidRPr="00B843B7">
        <w:rPr>
          <w:rFonts w:ascii="Palatino Linotype" w:hAnsi="Palatino Linotype" w:cs="Arial"/>
          <w:color w:val="000000" w:themeColor="text1"/>
        </w:rPr>
        <w:t xml:space="preserve"> que señaló por agravios, </w:t>
      </w:r>
      <w:r w:rsidRPr="00B843B7">
        <w:rPr>
          <w:rFonts w:ascii="Palatino Linotype" w:hAnsi="Palatino Linotype" w:cs="Arial"/>
          <w:color w:val="000000" w:themeColor="text1"/>
        </w:rPr>
        <w:t xml:space="preserve">esencialmente, </w:t>
      </w:r>
      <w:r w:rsidR="003428FA" w:rsidRPr="00B843B7">
        <w:rPr>
          <w:rFonts w:ascii="Palatino Linotype" w:hAnsi="Palatino Linotype" w:cs="Arial"/>
          <w:color w:val="000000" w:themeColor="text1"/>
        </w:rPr>
        <w:t>la negativa a la información solicitada.</w:t>
      </w:r>
    </w:p>
    <w:p w14:paraId="52493E42" w14:textId="77777777" w:rsidR="0056788F" w:rsidRPr="00B843B7"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57FAAC2" w:rsidR="001A032D" w:rsidRPr="00B843B7"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843B7">
        <w:rPr>
          <w:rFonts w:ascii="Palatino Linotype" w:hAnsi="Palatino Linotype" w:cs="Arial"/>
          <w:color w:val="000000" w:themeColor="text1"/>
        </w:rPr>
        <w:lastRenderedPageBreak/>
        <w:t xml:space="preserve">En ese sentido, </w:t>
      </w:r>
      <w:r w:rsidR="00566BC5" w:rsidRPr="00B843B7">
        <w:rPr>
          <w:rFonts w:ascii="Palatino Linotype" w:hAnsi="Palatino Linotype" w:cs="Arial"/>
          <w:color w:val="000000" w:themeColor="text1"/>
        </w:rPr>
        <w:t>este Órgano Garante</w:t>
      </w:r>
      <w:r w:rsidR="002E160F" w:rsidRPr="00B843B7">
        <w:rPr>
          <w:rFonts w:ascii="Palatino Linotype" w:hAnsi="Palatino Linotype" w:cs="Arial"/>
          <w:color w:val="000000" w:themeColor="text1"/>
        </w:rPr>
        <w:t xml:space="preserve"> advierte que las razones o motivos de inconformidad manifestados por el </w:t>
      </w:r>
      <w:r w:rsidRPr="00B843B7">
        <w:rPr>
          <w:rFonts w:ascii="Palatino Linotype" w:hAnsi="Palatino Linotype" w:cs="Arial"/>
          <w:b/>
          <w:bCs/>
          <w:color w:val="000000" w:themeColor="text1"/>
        </w:rPr>
        <w:t>RECURRENTE</w:t>
      </w:r>
      <w:r w:rsidRPr="00B843B7">
        <w:rPr>
          <w:rFonts w:ascii="Palatino Linotype" w:hAnsi="Palatino Linotype" w:cs="Arial"/>
          <w:color w:val="000000" w:themeColor="text1"/>
        </w:rPr>
        <w:t xml:space="preserve"> </w:t>
      </w:r>
      <w:r w:rsidR="002E160F" w:rsidRPr="00B843B7">
        <w:rPr>
          <w:rFonts w:ascii="Palatino Linotype" w:hAnsi="Palatino Linotype" w:cs="Arial"/>
          <w:color w:val="000000" w:themeColor="text1"/>
        </w:rPr>
        <w:t>sugieren que la respuesta proporcionada</w:t>
      </w:r>
      <w:r w:rsidR="00B855AA" w:rsidRPr="00B843B7">
        <w:rPr>
          <w:rFonts w:ascii="Palatino Linotype" w:hAnsi="Palatino Linotype" w:cs="Arial"/>
          <w:color w:val="000000" w:themeColor="text1"/>
        </w:rPr>
        <w:t xml:space="preserve"> por el </w:t>
      </w:r>
      <w:r w:rsidR="00B855AA" w:rsidRPr="00B843B7">
        <w:rPr>
          <w:rFonts w:ascii="Palatino Linotype" w:hAnsi="Palatino Linotype" w:cs="Arial"/>
          <w:b/>
          <w:bCs/>
          <w:color w:val="000000" w:themeColor="text1"/>
        </w:rPr>
        <w:t>SUJETO OBLIGADO</w:t>
      </w:r>
      <w:r w:rsidR="007409D8" w:rsidRPr="00B843B7">
        <w:rPr>
          <w:rFonts w:ascii="Palatino Linotype" w:hAnsi="Palatino Linotype" w:cs="Arial"/>
          <w:color w:val="000000" w:themeColor="text1"/>
        </w:rPr>
        <w:t xml:space="preserve"> no </w:t>
      </w:r>
      <w:r w:rsidR="006D57BE" w:rsidRPr="00B843B7">
        <w:rPr>
          <w:rFonts w:ascii="Palatino Linotype" w:hAnsi="Palatino Linotype" w:cs="Arial"/>
          <w:color w:val="000000" w:themeColor="text1"/>
        </w:rPr>
        <w:t>cumplió</w:t>
      </w:r>
      <w:r w:rsidR="00B855AA" w:rsidRPr="00B843B7">
        <w:rPr>
          <w:rFonts w:ascii="Palatino Linotype" w:hAnsi="Palatino Linotype" w:cs="Arial"/>
          <w:color w:val="000000" w:themeColor="text1"/>
        </w:rPr>
        <w:t xml:space="preserve"> con </w:t>
      </w:r>
      <w:r w:rsidR="008F7752" w:rsidRPr="00B843B7">
        <w:rPr>
          <w:rFonts w:ascii="Palatino Linotype" w:hAnsi="Palatino Linotype" w:cs="Arial"/>
          <w:color w:val="000000" w:themeColor="text1"/>
        </w:rPr>
        <w:t>los</w:t>
      </w:r>
      <w:r w:rsidR="00B855AA" w:rsidRPr="00B843B7">
        <w:rPr>
          <w:rFonts w:ascii="Palatino Linotype" w:hAnsi="Palatino Linotype" w:cs="Arial"/>
          <w:color w:val="000000" w:themeColor="text1"/>
        </w:rPr>
        <w:t xml:space="preserve"> principio</w:t>
      </w:r>
      <w:r w:rsidR="008F7752" w:rsidRPr="00B843B7">
        <w:rPr>
          <w:rFonts w:ascii="Palatino Linotype" w:hAnsi="Palatino Linotype" w:cs="Arial"/>
          <w:color w:val="000000" w:themeColor="text1"/>
        </w:rPr>
        <w:t>s</w:t>
      </w:r>
      <w:r w:rsidR="00B855AA" w:rsidRPr="00B843B7">
        <w:rPr>
          <w:rFonts w:ascii="Palatino Linotype" w:hAnsi="Palatino Linotype" w:cs="Arial"/>
          <w:color w:val="000000" w:themeColor="text1"/>
        </w:rPr>
        <w:t xml:space="preserve"> contendido</w:t>
      </w:r>
      <w:r w:rsidR="008F7752" w:rsidRPr="00B843B7">
        <w:rPr>
          <w:rFonts w:ascii="Palatino Linotype" w:hAnsi="Palatino Linotype" w:cs="Arial"/>
          <w:color w:val="000000" w:themeColor="text1"/>
        </w:rPr>
        <w:t>s</w:t>
      </w:r>
      <w:r w:rsidR="00B855AA" w:rsidRPr="00B843B7">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B843B7">
        <w:rPr>
          <w:rFonts w:ascii="Palatino Linotype" w:hAnsi="Palatino Linotype" w:cs="Arial"/>
          <w:color w:val="000000" w:themeColor="text1"/>
        </w:rPr>
        <w:t>os</w:t>
      </w:r>
      <w:r w:rsidR="00B855AA" w:rsidRPr="00B843B7">
        <w:rPr>
          <w:rFonts w:ascii="Palatino Linotype" w:hAnsi="Palatino Linotype" w:cs="Arial"/>
          <w:color w:val="000000" w:themeColor="text1"/>
        </w:rPr>
        <w:t xml:space="preserve"> cual</w:t>
      </w:r>
      <w:r w:rsidR="008F7752" w:rsidRPr="00B843B7">
        <w:rPr>
          <w:rFonts w:ascii="Palatino Linotype" w:hAnsi="Palatino Linotype" w:cs="Arial"/>
          <w:color w:val="000000" w:themeColor="text1"/>
        </w:rPr>
        <w:t>es</w:t>
      </w:r>
      <w:r w:rsidR="00B855AA" w:rsidRPr="00B843B7">
        <w:rPr>
          <w:rFonts w:ascii="Palatino Linotype" w:hAnsi="Palatino Linotype" w:cs="Arial"/>
          <w:color w:val="000000" w:themeColor="text1"/>
        </w:rPr>
        <w:t xml:space="preserve"> señala</w:t>
      </w:r>
      <w:r w:rsidR="008F7752" w:rsidRPr="00B843B7">
        <w:rPr>
          <w:rFonts w:ascii="Palatino Linotype" w:hAnsi="Palatino Linotype" w:cs="Arial"/>
          <w:color w:val="000000" w:themeColor="text1"/>
        </w:rPr>
        <w:t>n</w:t>
      </w:r>
      <w:r w:rsidR="00B855AA" w:rsidRPr="00B843B7">
        <w:rPr>
          <w:rFonts w:ascii="Palatino Linotype" w:hAnsi="Palatino Linotype" w:cs="Arial"/>
          <w:color w:val="000000" w:themeColor="text1"/>
        </w:rPr>
        <w:t xml:space="preserve"> que en la generación, publicación y entrega de información se deberá garantizar que ésta </w:t>
      </w:r>
      <w:r w:rsidR="00C51671" w:rsidRPr="00B843B7">
        <w:rPr>
          <w:rFonts w:ascii="Palatino Linotype" w:hAnsi="Palatino Linotype" w:cs="Arial"/>
          <w:color w:val="000000" w:themeColor="text1"/>
        </w:rPr>
        <w:t>sea</w:t>
      </w:r>
      <w:r w:rsidR="007409D8" w:rsidRPr="00B843B7">
        <w:rPr>
          <w:rFonts w:ascii="Palatino Linotype" w:hAnsi="Palatino Linotype" w:cs="Arial"/>
          <w:color w:val="000000" w:themeColor="text1"/>
        </w:rPr>
        <w:t xml:space="preserve"> </w:t>
      </w:r>
      <w:r w:rsidR="0021056F" w:rsidRPr="00B843B7">
        <w:rPr>
          <w:rFonts w:ascii="Palatino Linotype" w:hAnsi="Palatino Linotype" w:cs="Arial"/>
          <w:b/>
          <w:color w:val="000000" w:themeColor="text1"/>
        </w:rPr>
        <w:t>accesible</w:t>
      </w:r>
      <w:r w:rsidR="00B855AA" w:rsidRPr="00B843B7">
        <w:rPr>
          <w:rFonts w:ascii="Palatino Linotype" w:hAnsi="Palatino Linotype" w:cs="Arial"/>
          <w:color w:val="000000" w:themeColor="text1"/>
        </w:rPr>
        <w:t>.</w:t>
      </w:r>
    </w:p>
    <w:p w14:paraId="026A3A70" w14:textId="77777777" w:rsidR="00197091" w:rsidRPr="00B843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135BECFA" w:rsidR="00AD76A1" w:rsidRPr="00B843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B843B7">
        <w:rPr>
          <w:rFonts w:ascii="Palatino Linotype" w:hAnsi="Palatino Linotype" w:cs="Arial"/>
          <w:color w:val="000000" w:themeColor="text1"/>
          <w:szCs w:val="23"/>
        </w:rPr>
        <w:t xml:space="preserve">Por lo anterior, la </w:t>
      </w:r>
      <w:r w:rsidRPr="00B843B7">
        <w:rPr>
          <w:rFonts w:ascii="Palatino Linotype" w:hAnsi="Palatino Linotype" w:cs="Arial"/>
          <w:i/>
          <w:color w:val="000000" w:themeColor="text1"/>
          <w:szCs w:val="23"/>
        </w:rPr>
        <w:t>Litis</w:t>
      </w:r>
      <w:r w:rsidRPr="00B843B7">
        <w:rPr>
          <w:rFonts w:ascii="Palatino Linotype" w:hAnsi="Palatino Linotype" w:cs="Arial"/>
          <w:color w:val="000000" w:themeColor="text1"/>
          <w:szCs w:val="23"/>
        </w:rPr>
        <w:t xml:space="preserve"> a resolver en el presente recurso se circunscribe en determinar si</w:t>
      </w:r>
      <w:r w:rsidR="002C6561" w:rsidRPr="00B843B7">
        <w:rPr>
          <w:rFonts w:ascii="Palatino Linotype" w:hAnsi="Palatino Linotype" w:cs="Arial"/>
          <w:color w:val="000000" w:themeColor="text1"/>
          <w:szCs w:val="23"/>
        </w:rPr>
        <w:t xml:space="preserve"> </w:t>
      </w:r>
      <w:r w:rsidR="004B0EB6" w:rsidRPr="00B843B7">
        <w:rPr>
          <w:rFonts w:ascii="Palatino Linotype" w:hAnsi="Palatino Linotype" w:cs="Arial"/>
          <w:color w:val="000000" w:themeColor="text1"/>
          <w:szCs w:val="23"/>
        </w:rPr>
        <w:t>la respuesta del</w:t>
      </w:r>
      <w:r w:rsidR="002C6561" w:rsidRPr="00B843B7">
        <w:rPr>
          <w:rFonts w:ascii="Palatino Linotype" w:hAnsi="Palatino Linotype" w:cs="Arial"/>
          <w:color w:val="000000" w:themeColor="text1"/>
          <w:szCs w:val="23"/>
        </w:rPr>
        <w:t xml:space="preserve"> </w:t>
      </w:r>
      <w:r w:rsidR="002C6561" w:rsidRPr="00B843B7">
        <w:rPr>
          <w:rFonts w:ascii="Palatino Linotype" w:hAnsi="Palatino Linotype" w:cs="Arial"/>
          <w:b/>
          <w:bCs/>
          <w:color w:val="000000" w:themeColor="text1"/>
          <w:szCs w:val="23"/>
        </w:rPr>
        <w:t>SUJETO OBLIGADO</w:t>
      </w:r>
      <w:r w:rsidR="002C6561" w:rsidRPr="00B843B7">
        <w:rPr>
          <w:rFonts w:ascii="Palatino Linotype" w:hAnsi="Palatino Linotype" w:cs="Arial"/>
          <w:color w:val="000000" w:themeColor="text1"/>
          <w:szCs w:val="23"/>
        </w:rPr>
        <w:t xml:space="preserve"> </w:t>
      </w:r>
      <w:r w:rsidR="004B0EB6" w:rsidRPr="00B843B7">
        <w:rPr>
          <w:rFonts w:ascii="Palatino Linotype" w:hAnsi="Palatino Linotype" w:cs="Arial"/>
          <w:color w:val="000000" w:themeColor="text1"/>
          <w:szCs w:val="23"/>
        </w:rPr>
        <w:t xml:space="preserve">colma el derecho de acceso a la información ejercido por </w:t>
      </w:r>
      <w:r w:rsidR="001025C6" w:rsidRPr="00B843B7">
        <w:rPr>
          <w:rFonts w:ascii="Palatino Linotype" w:hAnsi="Palatino Linotype" w:cs="Arial"/>
          <w:color w:val="000000" w:themeColor="text1"/>
          <w:szCs w:val="23"/>
        </w:rPr>
        <w:t>el</w:t>
      </w:r>
      <w:r w:rsidR="004B0EB6" w:rsidRPr="00B843B7">
        <w:rPr>
          <w:rFonts w:ascii="Palatino Linotype" w:hAnsi="Palatino Linotype" w:cs="Arial"/>
          <w:color w:val="000000" w:themeColor="text1"/>
          <w:szCs w:val="23"/>
        </w:rPr>
        <w:t xml:space="preserve"> </w:t>
      </w:r>
      <w:r w:rsidR="004B0EB6" w:rsidRPr="00B843B7">
        <w:rPr>
          <w:rFonts w:ascii="Palatino Linotype" w:hAnsi="Palatino Linotype" w:cs="Arial"/>
          <w:b/>
          <w:bCs/>
          <w:color w:val="000000" w:themeColor="text1"/>
          <w:szCs w:val="23"/>
        </w:rPr>
        <w:t>RECURRENTE</w:t>
      </w:r>
      <w:r w:rsidR="002C6561" w:rsidRPr="00B843B7">
        <w:rPr>
          <w:rFonts w:ascii="Palatino Linotype" w:hAnsi="Palatino Linotype" w:cs="Arial"/>
          <w:color w:val="000000" w:themeColor="text1"/>
          <w:szCs w:val="23"/>
        </w:rPr>
        <w:t xml:space="preserve"> o</w:t>
      </w:r>
      <w:r w:rsidR="001025C6" w:rsidRPr="00B843B7">
        <w:rPr>
          <w:rFonts w:ascii="Palatino Linotype" w:hAnsi="Palatino Linotype" w:cs="Arial"/>
          <w:color w:val="000000" w:themeColor="text1"/>
          <w:szCs w:val="23"/>
        </w:rPr>
        <w:t>,</w:t>
      </w:r>
      <w:r w:rsidR="002C6561" w:rsidRPr="00B843B7">
        <w:rPr>
          <w:rFonts w:ascii="Palatino Linotype" w:hAnsi="Palatino Linotype" w:cs="Arial"/>
          <w:color w:val="000000" w:themeColor="text1"/>
          <w:szCs w:val="23"/>
        </w:rPr>
        <w:t xml:space="preserve"> si por el contrario, se</w:t>
      </w:r>
      <w:r w:rsidR="00E32652" w:rsidRPr="00B843B7">
        <w:rPr>
          <w:rFonts w:ascii="Palatino Linotype" w:hAnsi="Palatino Linotype" w:cs="Arial"/>
          <w:color w:val="000000" w:themeColor="text1"/>
          <w:szCs w:val="23"/>
        </w:rPr>
        <w:t xml:space="preserve"> </w:t>
      </w:r>
      <w:r w:rsidR="0028248C" w:rsidRPr="00B843B7">
        <w:rPr>
          <w:rFonts w:ascii="Palatino Linotype" w:hAnsi="Palatino Linotype"/>
          <w:color w:val="000000" w:themeColor="text1"/>
        </w:rPr>
        <w:t>actualiza</w:t>
      </w:r>
      <w:r w:rsidR="00C51671" w:rsidRPr="00B843B7">
        <w:rPr>
          <w:rFonts w:ascii="Palatino Linotype" w:hAnsi="Palatino Linotype"/>
          <w:color w:val="000000" w:themeColor="text1"/>
        </w:rPr>
        <w:t>n</w:t>
      </w:r>
      <w:r w:rsidR="0028248C" w:rsidRPr="00B843B7">
        <w:rPr>
          <w:rFonts w:ascii="Palatino Linotype" w:hAnsi="Palatino Linotype"/>
          <w:color w:val="000000" w:themeColor="text1"/>
        </w:rPr>
        <w:t xml:space="preserve"> la</w:t>
      </w:r>
      <w:r w:rsidR="00C51671" w:rsidRPr="00B843B7">
        <w:rPr>
          <w:rFonts w:ascii="Palatino Linotype" w:hAnsi="Palatino Linotype"/>
          <w:color w:val="000000" w:themeColor="text1"/>
        </w:rPr>
        <w:t>s</w:t>
      </w:r>
      <w:r w:rsidR="0028248C" w:rsidRPr="00B843B7">
        <w:rPr>
          <w:rFonts w:ascii="Palatino Linotype" w:hAnsi="Palatino Linotype"/>
          <w:color w:val="000000" w:themeColor="text1"/>
        </w:rPr>
        <w:t xml:space="preserve"> causal</w:t>
      </w:r>
      <w:r w:rsidR="00C51671" w:rsidRPr="00B843B7">
        <w:rPr>
          <w:rFonts w:ascii="Palatino Linotype" w:hAnsi="Palatino Linotype"/>
          <w:color w:val="000000" w:themeColor="text1"/>
        </w:rPr>
        <w:t>es</w:t>
      </w:r>
      <w:r w:rsidR="0028248C" w:rsidRPr="00B843B7">
        <w:rPr>
          <w:rFonts w:ascii="Palatino Linotype" w:hAnsi="Palatino Linotype"/>
          <w:color w:val="000000" w:themeColor="text1"/>
        </w:rPr>
        <w:t xml:space="preserve"> de procedencia</w:t>
      </w:r>
      <w:r w:rsidR="00E66A80" w:rsidRPr="00B843B7">
        <w:rPr>
          <w:rFonts w:ascii="Palatino Linotype" w:hAnsi="Palatino Linotype" w:cs="Arial"/>
          <w:color w:val="000000" w:themeColor="text1"/>
          <w:szCs w:val="23"/>
        </w:rPr>
        <w:t xml:space="preserve"> del recurso de revisión establecida</w:t>
      </w:r>
      <w:r w:rsidR="00C51671" w:rsidRPr="00B843B7">
        <w:rPr>
          <w:rFonts w:ascii="Palatino Linotype" w:hAnsi="Palatino Linotype" w:cs="Arial"/>
          <w:color w:val="000000" w:themeColor="text1"/>
          <w:szCs w:val="23"/>
        </w:rPr>
        <w:t>s</w:t>
      </w:r>
      <w:r w:rsidR="00E66A80" w:rsidRPr="00B843B7">
        <w:rPr>
          <w:rFonts w:ascii="Palatino Linotype" w:hAnsi="Palatino Linotype" w:cs="Arial"/>
          <w:color w:val="000000" w:themeColor="text1"/>
          <w:szCs w:val="23"/>
        </w:rPr>
        <w:t xml:space="preserve"> en el artículo 179 </w:t>
      </w:r>
      <w:r w:rsidR="00C51671" w:rsidRPr="00B843B7">
        <w:rPr>
          <w:rFonts w:ascii="Palatino Linotype" w:hAnsi="Palatino Linotype" w:cs="Arial"/>
          <w:color w:val="000000" w:themeColor="text1"/>
          <w:szCs w:val="23"/>
        </w:rPr>
        <w:t>fracciones</w:t>
      </w:r>
      <w:r w:rsidR="00E66A80" w:rsidRPr="00B843B7">
        <w:rPr>
          <w:rFonts w:ascii="Palatino Linotype" w:hAnsi="Palatino Linotype" w:cs="Arial"/>
          <w:color w:val="000000" w:themeColor="text1"/>
          <w:szCs w:val="23"/>
        </w:rPr>
        <w:t xml:space="preserve"> </w:t>
      </w:r>
      <w:r w:rsidR="006015F0" w:rsidRPr="00B843B7">
        <w:rPr>
          <w:rFonts w:ascii="Palatino Linotype" w:hAnsi="Palatino Linotype" w:cs="Arial"/>
          <w:color w:val="000000" w:themeColor="text1"/>
          <w:szCs w:val="23"/>
        </w:rPr>
        <w:t>I</w:t>
      </w:r>
      <w:r w:rsidR="0021056F" w:rsidRPr="00B843B7">
        <w:rPr>
          <w:rFonts w:ascii="Palatino Linotype" w:hAnsi="Palatino Linotype" w:cs="Arial"/>
          <w:color w:val="000000" w:themeColor="text1"/>
          <w:szCs w:val="23"/>
        </w:rPr>
        <w:t xml:space="preserve"> y </w:t>
      </w:r>
      <w:r w:rsidR="00FC365D" w:rsidRPr="00B843B7">
        <w:rPr>
          <w:rFonts w:ascii="Palatino Linotype" w:hAnsi="Palatino Linotype" w:cs="Arial"/>
          <w:color w:val="000000" w:themeColor="text1"/>
          <w:szCs w:val="23"/>
        </w:rPr>
        <w:t>IX</w:t>
      </w:r>
      <w:r w:rsidR="00390D23" w:rsidRPr="00B843B7">
        <w:rPr>
          <w:rFonts w:ascii="Palatino Linotype" w:hAnsi="Palatino Linotype" w:cs="Arial"/>
          <w:color w:val="000000" w:themeColor="text1"/>
          <w:szCs w:val="23"/>
        </w:rPr>
        <w:t xml:space="preserve"> </w:t>
      </w:r>
      <w:r w:rsidR="00E66A80" w:rsidRPr="00B843B7">
        <w:rPr>
          <w:rFonts w:ascii="Palatino Linotype" w:hAnsi="Palatino Linotype" w:cs="Arial"/>
          <w:color w:val="000000" w:themeColor="text1"/>
          <w:szCs w:val="23"/>
        </w:rPr>
        <w:t xml:space="preserve">de la Ley de Transparencia y Acceso a la Información Pública del Estado de México y Municipios, </w:t>
      </w:r>
      <w:r w:rsidR="00C51671" w:rsidRPr="00B843B7">
        <w:rPr>
          <w:rFonts w:ascii="Palatino Linotype" w:hAnsi="Palatino Linotype" w:cs="Arial"/>
          <w:color w:val="000000" w:themeColor="text1"/>
          <w:szCs w:val="23"/>
        </w:rPr>
        <w:t xml:space="preserve">y </w:t>
      </w:r>
      <w:r w:rsidR="00E66A80" w:rsidRPr="00B843B7">
        <w:rPr>
          <w:rFonts w:ascii="Palatino Linotype" w:hAnsi="Palatino Linotype" w:cs="Arial"/>
          <w:color w:val="000000" w:themeColor="text1"/>
          <w:szCs w:val="23"/>
        </w:rPr>
        <w:t>que se transcribe</w:t>
      </w:r>
      <w:r w:rsidR="00C51671" w:rsidRPr="00B843B7">
        <w:rPr>
          <w:rFonts w:ascii="Palatino Linotype" w:hAnsi="Palatino Linotype" w:cs="Arial"/>
          <w:color w:val="000000" w:themeColor="text1"/>
          <w:szCs w:val="23"/>
        </w:rPr>
        <w:t>n</w:t>
      </w:r>
      <w:r w:rsidR="00E66A80" w:rsidRPr="00B843B7">
        <w:rPr>
          <w:rFonts w:ascii="Palatino Linotype" w:hAnsi="Palatino Linotype" w:cs="Arial"/>
          <w:color w:val="000000" w:themeColor="text1"/>
          <w:szCs w:val="23"/>
        </w:rPr>
        <w:t xml:space="preserve"> a continuación:</w:t>
      </w:r>
    </w:p>
    <w:p w14:paraId="5D251E5B" w14:textId="77777777" w:rsidR="002630E4" w:rsidRPr="00B843B7"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62D2F7A9" w:rsidR="00AD76A1" w:rsidRPr="00B843B7" w:rsidRDefault="00E66A80" w:rsidP="00B31E90">
      <w:pPr>
        <w:pStyle w:val="Sinespaciado"/>
        <w:tabs>
          <w:tab w:val="left" w:pos="426"/>
        </w:tabs>
        <w:ind w:left="851" w:right="567"/>
        <w:jc w:val="both"/>
        <w:rPr>
          <w:rFonts w:ascii="Palatino Linotype" w:hAnsi="Palatino Linotype"/>
          <w:i/>
          <w:color w:val="000000" w:themeColor="text1"/>
          <w:sz w:val="22"/>
        </w:rPr>
      </w:pPr>
      <w:r w:rsidRPr="00B843B7">
        <w:rPr>
          <w:rFonts w:ascii="Palatino Linotype" w:hAnsi="Palatino Linotype"/>
          <w:i/>
          <w:color w:val="000000" w:themeColor="text1"/>
          <w:sz w:val="22"/>
        </w:rPr>
        <w:t>“</w:t>
      </w:r>
      <w:r w:rsidRPr="00B843B7">
        <w:rPr>
          <w:rFonts w:ascii="Palatino Linotype" w:hAnsi="Palatino Linotype"/>
          <w:b/>
          <w:i/>
          <w:color w:val="000000" w:themeColor="text1"/>
          <w:sz w:val="22"/>
        </w:rPr>
        <w:t>Artículo 179.</w:t>
      </w:r>
      <w:r w:rsidRPr="00B843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0261560E" w14:textId="37497FE6" w:rsidR="00E02DA3" w:rsidRPr="00B843B7" w:rsidRDefault="007409D8" w:rsidP="00B31E90">
      <w:pPr>
        <w:pStyle w:val="Sinespaciado"/>
        <w:tabs>
          <w:tab w:val="left" w:pos="426"/>
        </w:tabs>
        <w:ind w:left="851" w:right="567"/>
        <w:jc w:val="both"/>
        <w:rPr>
          <w:rFonts w:ascii="Palatino Linotype" w:hAnsi="Palatino Linotype"/>
          <w:bCs/>
          <w:i/>
          <w:color w:val="000000" w:themeColor="text1"/>
          <w:sz w:val="22"/>
        </w:rPr>
      </w:pPr>
      <w:r w:rsidRPr="00B843B7">
        <w:rPr>
          <w:rFonts w:ascii="Palatino Linotype" w:hAnsi="Palatino Linotype"/>
          <w:b/>
          <w:bCs/>
          <w:i/>
          <w:color w:val="000000" w:themeColor="text1"/>
          <w:sz w:val="22"/>
        </w:rPr>
        <w:t>I.</w:t>
      </w:r>
      <w:r w:rsidRPr="00B843B7">
        <w:rPr>
          <w:rFonts w:ascii="Palatino Linotype" w:hAnsi="Palatino Linotype"/>
          <w:bCs/>
          <w:i/>
          <w:color w:val="000000" w:themeColor="text1"/>
          <w:sz w:val="22"/>
        </w:rPr>
        <w:t xml:space="preserve"> La negativa a la información solicitada;</w:t>
      </w:r>
    </w:p>
    <w:p w14:paraId="0FA844DD" w14:textId="569F63AD" w:rsidR="004107D7" w:rsidRPr="00B843B7" w:rsidRDefault="0021056F" w:rsidP="004107D7">
      <w:pPr>
        <w:pStyle w:val="Sinespaciado"/>
        <w:tabs>
          <w:tab w:val="left" w:pos="426"/>
        </w:tabs>
        <w:ind w:left="851" w:right="567"/>
        <w:jc w:val="both"/>
        <w:rPr>
          <w:rFonts w:ascii="Palatino Linotype" w:hAnsi="Palatino Linotype"/>
          <w:i/>
          <w:color w:val="000000" w:themeColor="text1"/>
          <w:sz w:val="22"/>
        </w:rPr>
      </w:pPr>
      <w:r w:rsidRPr="00B843B7">
        <w:rPr>
          <w:rFonts w:ascii="Palatino Linotype" w:hAnsi="Palatino Linotype"/>
          <w:i/>
          <w:color w:val="000000" w:themeColor="text1"/>
          <w:sz w:val="22"/>
        </w:rPr>
        <w:t xml:space="preserve"> </w:t>
      </w:r>
      <w:r w:rsidR="004107D7" w:rsidRPr="00B843B7">
        <w:rPr>
          <w:rFonts w:ascii="Palatino Linotype" w:hAnsi="Palatino Linotype"/>
          <w:i/>
          <w:color w:val="000000" w:themeColor="text1"/>
          <w:sz w:val="22"/>
        </w:rPr>
        <w:t>(…)</w:t>
      </w:r>
    </w:p>
    <w:p w14:paraId="03DDB952" w14:textId="1B6F2F79" w:rsidR="000D24F6" w:rsidRPr="00B843B7" w:rsidRDefault="00FC365D" w:rsidP="000D24F6">
      <w:pPr>
        <w:pStyle w:val="Sinespaciado"/>
        <w:tabs>
          <w:tab w:val="left" w:pos="426"/>
        </w:tabs>
        <w:ind w:left="851" w:right="567"/>
        <w:jc w:val="both"/>
        <w:rPr>
          <w:rFonts w:ascii="Palatino Linotype" w:hAnsi="Palatino Linotype"/>
          <w:i/>
          <w:color w:val="000000" w:themeColor="text1"/>
          <w:sz w:val="22"/>
        </w:rPr>
      </w:pPr>
      <w:r w:rsidRPr="00B843B7">
        <w:rPr>
          <w:rFonts w:ascii="Palatino Linotype" w:hAnsi="Palatino Linotype"/>
          <w:b/>
          <w:bCs/>
          <w:i/>
          <w:color w:val="000000" w:themeColor="text1"/>
          <w:sz w:val="22"/>
        </w:rPr>
        <w:t>IX</w:t>
      </w:r>
      <w:r w:rsidR="000D24F6" w:rsidRPr="00B843B7">
        <w:rPr>
          <w:rFonts w:ascii="Palatino Linotype" w:hAnsi="Palatino Linotype"/>
          <w:b/>
          <w:bCs/>
          <w:i/>
          <w:color w:val="000000" w:themeColor="text1"/>
          <w:sz w:val="22"/>
        </w:rPr>
        <w:t>.</w:t>
      </w:r>
      <w:r w:rsidR="000D24F6" w:rsidRPr="00B843B7">
        <w:rPr>
          <w:rFonts w:ascii="Palatino Linotype" w:hAnsi="Palatino Linotype"/>
          <w:i/>
          <w:color w:val="000000" w:themeColor="text1"/>
          <w:sz w:val="22"/>
        </w:rPr>
        <w:t xml:space="preserve"> </w:t>
      </w:r>
      <w:r w:rsidRPr="00B843B7">
        <w:rPr>
          <w:rFonts w:ascii="Palatino Linotype" w:hAnsi="Palatino Linotype"/>
          <w:i/>
          <w:color w:val="000000" w:themeColor="text1"/>
          <w:sz w:val="22"/>
        </w:rPr>
        <w:t>La entrega o puesta a disposición de información en un formato incomprensible y/o no accesible para el solicitante</w:t>
      </w:r>
      <w:r w:rsidR="003428FA" w:rsidRPr="00B843B7">
        <w:rPr>
          <w:rFonts w:ascii="Palatino Linotype" w:hAnsi="Palatino Linotype"/>
          <w:i/>
          <w:color w:val="000000" w:themeColor="text1"/>
          <w:sz w:val="22"/>
        </w:rPr>
        <w:t>;</w:t>
      </w:r>
    </w:p>
    <w:p w14:paraId="4FCA9B3F" w14:textId="3F43B9C4" w:rsidR="00515DEC" w:rsidRPr="00B843B7" w:rsidRDefault="0021056F" w:rsidP="004107D7">
      <w:pPr>
        <w:pStyle w:val="Sinespaciado"/>
        <w:tabs>
          <w:tab w:val="left" w:pos="426"/>
        </w:tabs>
        <w:ind w:left="851" w:right="567"/>
        <w:jc w:val="both"/>
        <w:rPr>
          <w:rFonts w:ascii="Palatino Linotype" w:hAnsi="Palatino Linotype"/>
          <w:i/>
          <w:color w:val="000000" w:themeColor="text1"/>
          <w:sz w:val="22"/>
        </w:rPr>
      </w:pPr>
      <w:r w:rsidRPr="00B843B7">
        <w:rPr>
          <w:rFonts w:ascii="Palatino Linotype" w:hAnsi="Palatino Linotype"/>
          <w:i/>
          <w:color w:val="000000" w:themeColor="text1"/>
          <w:sz w:val="22"/>
        </w:rPr>
        <w:t>(…)</w:t>
      </w:r>
      <w:r w:rsidR="004107D7" w:rsidRPr="00B843B7">
        <w:rPr>
          <w:rFonts w:ascii="Palatino Linotype" w:hAnsi="Palatino Linotype"/>
          <w:i/>
          <w:color w:val="000000" w:themeColor="text1"/>
          <w:sz w:val="22"/>
        </w:rPr>
        <w:t>”</w:t>
      </w:r>
    </w:p>
    <w:p w14:paraId="3000BF2B" w14:textId="43F12A12" w:rsidR="0021056F" w:rsidRPr="00B843B7" w:rsidRDefault="0021056F" w:rsidP="0021056F">
      <w:pPr>
        <w:pStyle w:val="Sinespaciado"/>
        <w:tabs>
          <w:tab w:val="left" w:pos="426"/>
        </w:tabs>
        <w:ind w:right="567"/>
        <w:jc w:val="both"/>
        <w:rPr>
          <w:rFonts w:ascii="Palatino Linotype" w:hAnsi="Palatino Linotype"/>
          <w:i/>
          <w:color w:val="000000" w:themeColor="text1"/>
          <w:sz w:val="22"/>
        </w:rPr>
      </w:pPr>
    </w:p>
    <w:p w14:paraId="17A656F3" w14:textId="77777777" w:rsidR="0021056F" w:rsidRPr="00B843B7" w:rsidRDefault="0021056F" w:rsidP="0021056F">
      <w:pPr>
        <w:pStyle w:val="Sinespaciado"/>
        <w:tabs>
          <w:tab w:val="left" w:pos="426"/>
        </w:tabs>
        <w:ind w:right="567"/>
        <w:jc w:val="both"/>
        <w:rPr>
          <w:rFonts w:ascii="Palatino Linotype" w:hAnsi="Palatino Linotype"/>
          <w:i/>
          <w:color w:val="000000" w:themeColor="text1"/>
          <w:sz w:val="22"/>
        </w:rPr>
      </w:pPr>
    </w:p>
    <w:p w14:paraId="7D2C853F" w14:textId="77777777" w:rsidR="0021056F" w:rsidRPr="00B843B7" w:rsidRDefault="0021056F" w:rsidP="0021056F">
      <w:pPr>
        <w:rPr>
          <w:lang w:eastAsia="en-US"/>
        </w:rPr>
      </w:pPr>
    </w:p>
    <w:p w14:paraId="5CEC2F48" w14:textId="072A0162" w:rsidR="00EF014A" w:rsidRPr="00B843B7" w:rsidRDefault="00094B41" w:rsidP="00F96156">
      <w:pPr>
        <w:pStyle w:val="Ttulo2"/>
        <w:tabs>
          <w:tab w:val="left" w:pos="426"/>
        </w:tabs>
        <w:rPr>
          <w:rFonts w:ascii="Palatino Linotype" w:hAnsi="Palatino Linotype" w:cs="Arial"/>
          <w:b/>
          <w:color w:val="000000" w:themeColor="text1"/>
          <w:sz w:val="24"/>
        </w:rPr>
      </w:pPr>
      <w:bookmarkStart w:id="19" w:name="_Toc88071781"/>
      <w:r w:rsidRPr="00B843B7">
        <w:rPr>
          <w:rFonts w:ascii="Palatino Linotype" w:hAnsi="Palatino Linotype" w:cs="Arial"/>
          <w:b/>
          <w:color w:val="000000" w:themeColor="text1"/>
          <w:sz w:val="24"/>
        </w:rPr>
        <w:t>CUARTO</w:t>
      </w:r>
      <w:r w:rsidR="00EF014A" w:rsidRPr="00B843B7">
        <w:rPr>
          <w:rFonts w:ascii="Palatino Linotype" w:hAnsi="Palatino Linotype" w:cs="Arial"/>
          <w:b/>
          <w:color w:val="000000" w:themeColor="text1"/>
          <w:sz w:val="24"/>
        </w:rPr>
        <w:t>. Estudio y Resolución del asunto.</w:t>
      </w:r>
      <w:bookmarkEnd w:id="19"/>
    </w:p>
    <w:p w14:paraId="6E979250" w14:textId="2A34D6B5" w:rsidR="00A55D2B" w:rsidRPr="00B843B7"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B843B7"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B843B7">
        <w:rPr>
          <w:rFonts w:ascii="Palatino Linotype" w:hAnsi="Palatino Linotype"/>
          <w:b/>
          <w:color w:val="000000" w:themeColor="text1"/>
        </w:rPr>
        <w:t xml:space="preserve">I. </w:t>
      </w:r>
      <w:r w:rsidR="008C33F9" w:rsidRPr="00B843B7">
        <w:rPr>
          <w:rFonts w:ascii="Palatino Linotype" w:hAnsi="Palatino Linotype"/>
          <w:b/>
          <w:color w:val="000000" w:themeColor="text1"/>
        </w:rPr>
        <w:t>Del deber de las autoridades de promover, respetar, proteger y garantizar el derecho de acceso a la información pública</w:t>
      </w:r>
      <w:r w:rsidR="00167813" w:rsidRPr="00B843B7">
        <w:rPr>
          <w:rFonts w:ascii="Palatino Linotype" w:hAnsi="Palatino Linotype"/>
          <w:b/>
          <w:color w:val="000000" w:themeColor="text1"/>
        </w:rPr>
        <w:t>.</w:t>
      </w:r>
      <w:bookmarkEnd w:id="22"/>
    </w:p>
    <w:p w14:paraId="126843DA" w14:textId="77777777" w:rsidR="008C33F9" w:rsidRPr="00B843B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B843B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lastRenderedPageBreak/>
        <w:t xml:space="preserve">Es elemental </w:t>
      </w:r>
      <w:r w:rsidRPr="00B843B7">
        <w:rPr>
          <w:rFonts w:ascii="Palatino Linotype" w:hAnsi="Palatino Linotype"/>
          <w:lang w:val="es-ES_tradnl"/>
        </w:rPr>
        <w:t>precisar</w:t>
      </w:r>
      <w:r w:rsidRPr="00B843B7">
        <w:rPr>
          <w:rFonts w:ascii="Palatino Linotype" w:hAnsi="Palatino Linotype"/>
          <w:bCs/>
        </w:rPr>
        <w:t xml:space="preserve"> que </w:t>
      </w:r>
      <w:r w:rsidRPr="00B843B7">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843B7">
        <w:rPr>
          <w:rFonts w:ascii="Palatino Linotype" w:hAnsi="Palatino Linotype"/>
          <w:b/>
          <w:bCs/>
          <w:lang w:val="es-ES_tradnl"/>
        </w:rPr>
        <w:t>SUJETO OBLIGADO</w:t>
      </w:r>
      <w:r w:rsidRPr="00B843B7">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843B7">
        <w:rPr>
          <w:rFonts w:ascii="Palatino Linotype" w:hAnsi="Palatino Linotype"/>
          <w:b/>
          <w:bCs/>
          <w:lang w:val="es-ES_tradnl"/>
        </w:rPr>
        <w:t xml:space="preserve">Constitución Política de los Estados Unidos Mexicanos </w:t>
      </w:r>
      <w:r w:rsidRPr="00B843B7">
        <w:rPr>
          <w:rFonts w:ascii="Palatino Linotype" w:hAnsi="Palatino Linotype"/>
          <w:bCs/>
          <w:lang w:val="es-ES_tradnl"/>
        </w:rPr>
        <w:t xml:space="preserve">al señalar la obligación de “promover, </w:t>
      </w:r>
      <w:r w:rsidRPr="00B843B7">
        <w:rPr>
          <w:rFonts w:ascii="Palatino Linotype" w:hAnsi="Palatino Linotype"/>
          <w:b/>
          <w:bCs/>
          <w:lang w:val="es-ES_tradnl"/>
        </w:rPr>
        <w:t>respetar</w:t>
      </w:r>
      <w:r w:rsidRPr="00B843B7">
        <w:rPr>
          <w:rFonts w:ascii="Palatino Linotype" w:hAnsi="Palatino Linotype"/>
          <w:bCs/>
          <w:lang w:val="es-ES_tradnl"/>
        </w:rPr>
        <w:t xml:space="preserve">, proteger y </w:t>
      </w:r>
      <w:r w:rsidRPr="00B843B7">
        <w:rPr>
          <w:rFonts w:ascii="Palatino Linotype" w:hAnsi="Palatino Linotype"/>
          <w:b/>
          <w:bCs/>
          <w:lang w:val="es-ES_tradnl"/>
        </w:rPr>
        <w:t>garantizar</w:t>
      </w:r>
      <w:r w:rsidRPr="00B843B7">
        <w:rPr>
          <w:rFonts w:ascii="Palatino Linotype" w:hAnsi="Palatino Linotype"/>
          <w:bCs/>
          <w:lang w:val="es-ES_tradnl"/>
        </w:rPr>
        <w:t xml:space="preserve"> los derechos humanos”, entre los cuales se encuentra dicho derecho.</w:t>
      </w:r>
    </w:p>
    <w:p w14:paraId="1F31B48B" w14:textId="77777777" w:rsidR="008C33F9" w:rsidRPr="00B843B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B843B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t xml:space="preserve">Por </w:t>
      </w:r>
      <w:r w:rsidRPr="00B843B7">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B843B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B843B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t xml:space="preserve">Así las cosas, </w:t>
      </w:r>
      <w:r w:rsidRPr="00B843B7">
        <w:rPr>
          <w:rFonts w:ascii="Palatino Linotype" w:hAnsi="Palatino Linotype"/>
          <w:color w:val="000000" w:themeColor="text1"/>
        </w:rPr>
        <w:t xml:space="preserve">podemos definir el Derecho de Acceso a la Información Pública como: </w:t>
      </w:r>
      <w:r w:rsidRPr="00B843B7">
        <w:rPr>
          <w:rFonts w:ascii="Palatino Linotype" w:hAnsi="Palatino Linotype"/>
          <w:i/>
          <w:color w:val="000000" w:themeColor="text1"/>
        </w:rPr>
        <w:t>La igualdad de oportunidades para recibir, buscar e impartir información</w:t>
      </w:r>
      <w:r w:rsidRPr="00B843B7">
        <w:rPr>
          <w:rFonts w:ascii="Palatino Linotype" w:hAnsi="Palatino Linotype"/>
          <w:i/>
          <w:color w:val="000000" w:themeColor="text1"/>
          <w:vertAlign w:val="superscript"/>
        </w:rPr>
        <w:footnoteReference w:id="4"/>
      </w:r>
      <w:r w:rsidRPr="00B843B7">
        <w:rPr>
          <w:rFonts w:ascii="Palatino Linotype" w:hAnsi="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B843B7">
        <w:rPr>
          <w:rFonts w:ascii="Palatino Linotype" w:hAnsi="Palatino Linotype"/>
          <w:i/>
          <w:color w:val="000000" w:themeColor="text1"/>
        </w:rPr>
        <w:lastRenderedPageBreak/>
        <w:t>actos de autoridad en el ámbito federal, estatal y municipal,</w:t>
      </w:r>
      <w:r w:rsidRPr="00B843B7">
        <w:rPr>
          <w:rFonts w:ascii="Palatino Linotype" w:hAnsi="Palatino Linotype"/>
          <w:i/>
          <w:color w:val="000000" w:themeColor="text1"/>
          <w:vertAlign w:val="superscript"/>
        </w:rPr>
        <w:footnoteReference w:id="5"/>
      </w:r>
      <w:r w:rsidRPr="00B843B7">
        <w:rPr>
          <w:rFonts w:ascii="Palatino Linotype" w:hAnsi="Palatino Linotype"/>
          <w:color w:val="000000" w:themeColor="text1"/>
        </w:rPr>
        <w:t>que se constituye como una herramienta fundamental para ejercer</w:t>
      </w:r>
      <w:r w:rsidRPr="00B843B7">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B843B7">
        <w:rPr>
          <w:rFonts w:ascii="Palatino Linotype" w:hAnsi="Palatino Linotype"/>
          <w:i/>
          <w:color w:val="000000" w:themeColor="text1"/>
          <w:vertAlign w:val="superscript"/>
        </w:rPr>
        <w:footnoteReference w:id="6"/>
      </w:r>
      <w:r w:rsidRPr="00B843B7">
        <w:rPr>
          <w:rFonts w:ascii="Palatino Linotype" w:hAnsi="Palatino Linotype"/>
          <w:i/>
          <w:color w:val="000000" w:themeColor="text1"/>
        </w:rPr>
        <w:t xml:space="preserve"> </w:t>
      </w:r>
      <w:r w:rsidRPr="00B843B7">
        <w:rPr>
          <w:rFonts w:ascii="Palatino Linotype" w:hAnsi="Palatino Linotype"/>
          <w:color w:val="000000" w:themeColor="text1"/>
        </w:rPr>
        <w:t>fomentando</w:t>
      </w:r>
      <w:r w:rsidRPr="00B843B7">
        <w:rPr>
          <w:rFonts w:ascii="Palatino Linotype" w:hAnsi="Palatino Linotype"/>
          <w:i/>
          <w:color w:val="000000" w:themeColor="text1"/>
        </w:rPr>
        <w:t xml:space="preserve"> la transparencia de las actividades estatales y </w:t>
      </w:r>
      <w:r w:rsidRPr="00B843B7">
        <w:rPr>
          <w:rFonts w:ascii="Palatino Linotype" w:hAnsi="Palatino Linotype"/>
          <w:color w:val="000000" w:themeColor="text1"/>
        </w:rPr>
        <w:t>promoviendo</w:t>
      </w:r>
      <w:r w:rsidRPr="00B843B7">
        <w:rPr>
          <w:rFonts w:ascii="Palatino Linotype" w:hAnsi="Palatino Linotype"/>
          <w:i/>
          <w:color w:val="000000" w:themeColor="text1"/>
        </w:rPr>
        <w:t xml:space="preserve"> la responsabilidad de los funcionarios sobre su gestión pública,</w:t>
      </w:r>
      <w:r w:rsidRPr="00B843B7">
        <w:rPr>
          <w:rFonts w:ascii="Palatino Linotype" w:hAnsi="Palatino Linotype"/>
          <w:i/>
          <w:color w:val="000000" w:themeColor="text1"/>
          <w:vertAlign w:val="superscript"/>
        </w:rPr>
        <w:footnoteReference w:id="7"/>
      </w:r>
      <w:r w:rsidRPr="00B843B7">
        <w:rPr>
          <w:rFonts w:ascii="Palatino Linotype" w:hAnsi="Palatino Linotype"/>
          <w:color w:val="000000" w:themeColor="text1"/>
        </w:rPr>
        <w:t>que permite</w:t>
      </w:r>
      <w:r w:rsidRPr="00B843B7">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B843B7"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B843B7"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t xml:space="preserve">Por </w:t>
      </w:r>
      <w:r w:rsidRPr="00B843B7">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B843B7">
        <w:rPr>
          <w:rFonts w:ascii="Palatino Linotype" w:hAnsi="Palatino Linotype"/>
          <w:color w:val="000000" w:themeColor="text1"/>
        </w:rPr>
        <w:t>,</w:t>
      </w:r>
      <w:r w:rsidRPr="00B843B7">
        <w:rPr>
          <w:rFonts w:ascii="Palatino Linotype" w:hAnsi="Palatino Linotype"/>
          <w:color w:val="000000" w:themeColor="text1"/>
        </w:rPr>
        <w:t xml:space="preserve"> establece que </w:t>
      </w:r>
      <w:r w:rsidRPr="00B843B7">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B843B7">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16AA671E" w14:textId="77777777" w:rsidR="001C7733" w:rsidRPr="00B843B7" w:rsidRDefault="001C7733" w:rsidP="001C7733">
      <w:pPr>
        <w:pStyle w:val="Prrafodelista"/>
        <w:tabs>
          <w:tab w:val="left" w:pos="426"/>
        </w:tabs>
        <w:spacing w:before="240" w:after="240" w:line="360" w:lineRule="auto"/>
        <w:ind w:left="0" w:right="51"/>
        <w:jc w:val="both"/>
        <w:rPr>
          <w:rFonts w:ascii="Palatino Linotype" w:hAnsi="Palatino Linotype"/>
          <w:color w:val="000000" w:themeColor="text1"/>
        </w:rPr>
      </w:pPr>
    </w:p>
    <w:p w14:paraId="71D7368B" w14:textId="5846AABE" w:rsidR="009E260E" w:rsidRPr="00B843B7" w:rsidRDefault="000A44DE" w:rsidP="009E260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23" w:name="_Toc88071784"/>
      <w:r w:rsidRPr="00B843B7">
        <w:rPr>
          <w:rFonts w:ascii="Palatino Linotype" w:hAnsi="Palatino Linotype"/>
          <w:b/>
          <w:color w:val="000000" w:themeColor="text1"/>
        </w:rPr>
        <w:t>I</w:t>
      </w:r>
      <w:r w:rsidR="009E260E" w:rsidRPr="00B843B7">
        <w:rPr>
          <w:rFonts w:ascii="Palatino Linotype" w:hAnsi="Palatino Linotype"/>
          <w:b/>
          <w:color w:val="000000" w:themeColor="text1"/>
        </w:rPr>
        <w:t>I. De la atención a la solicitud de información.</w:t>
      </w:r>
      <w:bookmarkEnd w:id="23"/>
    </w:p>
    <w:p w14:paraId="5E98A031" w14:textId="77777777" w:rsidR="0031153E" w:rsidRPr="00B843B7" w:rsidRDefault="0031153E" w:rsidP="0031153E">
      <w:pPr>
        <w:pStyle w:val="Prrafodelista"/>
        <w:tabs>
          <w:tab w:val="left" w:pos="426"/>
        </w:tabs>
        <w:spacing w:before="240" w:after="240" w:line="360" w:lineRule="auto"/>
        <w:ind w:left="0" w:right="51"/>
        <w:jc w:val="both"/>
        <w:rPr>
          <w:rFonts w:ascii="Palatino Linotype" w:hAnsi="Palatino Linotype"/>
          <w:color w:val="000000" w:themeColor="text1"/>
        </w:rPr>
      </w:pPr>
    </w:p>
    <w:p w14:paraId="24795731" w14:textId="76151D2E" w:rsidR="00CE5758" w:rsidRPr="00B843B7"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lastRenderedPageBreak/>
        <w:t xml:space="preserve">La Ley de Transparencia y Acceso a la Información Pública del Estado de México y Municipios, en su artículo 150, establece que </w:t>
      </w:r>
      <w:r w:rsidRPr="00B843B7">
        <w:rPr>
          <w:rFonts w:ascii="Palatino Linotype" w:hAnsi="Palatino Linotype"/>
          <w:b/>
        </w:rPr>
        <w:t>el procedimiento de acceso a la información es la garantía primaria del derecho en cuestión y se rige por los principios de</w:t>
      </w:r>
      <w:r w:rsidRPr="00B843B7">
        <w:rPr>
          <w:rFonts w:ascii="Palatino Linotype" w:hAnsi="Palatino Linotype"/>
        </w:rPr>
        <w:t xml:space="preserve"> simplicidad, rapidez gratuidad del procedimiento, auxilio y orientación a los particulares, así como </w:t>
      </w:r>
      <w:r w:rsidRPr="00B843B7">
        <w:rPr>
          <w:rFonts w:ascii="Palatino Linotype" w:hAnsi="Palatino Linotype"/>
          <w:b/>
        </w:rPr>
        <w:t>atención</w:t>
      </w:r>
      <w:r w:rsidRPr="00B843B7">
        <w:rPr>
          <w:rFonts w:ascii="Palatino Linotype" w:hAnsi="Palatino Linotype"/>
        </w:rPr>
        <w:t xml:space="preserve"> adecuada a las personas con discapacidad y </w:t>
      </w:r>
      <w:r w:rsidRPr="00B843B7">
        <w:rPr>
          <w:rFonts w:ascii="Palatino Linotype" w:hAnsi="Palatino Linotype"/>
          <w:b/>
        </w:rPr>
        <w:t>a los hablantes de lengua indígena con el objeto de otorgar la protección más amplia del derecho de las personas.</w:t>
      </w:r>
    </w:p>
    <w:p w14:paraId="2232F191" w14:textId="77777777" w:rsidR="000435A5" w:rsidRPr="00B843B7"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2B0DDBE4" w14:textId="411A4A18" w:rsidR="000435A5" w:rsidRPr="00B843B7"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Para atender las solicitudes de información, los Sujetos Obligados contarán con un área denominada </w:t>
      </w:r>
      <w:r w:rsidRPr="00B843B7">
        <w:rPr>
          <w:rFonts w:ascii="Palatino Linotype" w:hAnsi="Palatino Linotype"/>
          <w:b/>
          <w:bCs/>
          <w:color w:val="000000" w:themeColor="text1"/>
        </w:rPr>
        <w:t>Unidad de Transparencia</w:t>
      </w:r>
      <w:r w:rsidRPr="00B843B7">
        <w:rPr>
          <w:rFonts w:ascii="Palatino Linotype" w:hAnsi="Palatino Linotype"/>
          <w:color w:val="000000" w:themeColor="text1"/>
          <w:vertAlign w:val="superscript"/>
        </w:rPr>
        <w:footnoteReference w:id="8"/>
      </w:r>
      <w:r w:rsidRPr="00B843B7">
        <w:rPr>
          <w:rFonts w:ascii="Palatino Linotype" w:hAnsi="Palatino Linotype"/>
          <w:color w:val="000000" w:themeColor="text1"/>
        </w:rPr>
        <w:t xml:space="preserve">, la cual será presidida por un Titular, quien fungirá como enlace entre éstos y los solicitantes. Dicha Unidad </w:t>
      </w:r>
      <w:r w:rsidRPr="00B843B7">
        <w:rPr>
          <w:rFonts w:ascii="Palatino Linotype" w:hAnsi="Palatino Linotype"/>
          <w:b/>
          <w:bCs/>
          <w:color w:val="000000" w:themeColor="text1"/>
        </w:rPr>
        <w:t>será la encargada de tramitar internamente la solicitud de información</w:t>
      </w:r>
      <w:r w:rsidRPr="00B843B7">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B843B7">
        <w:rPr>
          <w:rFonts w:ascii="Palatino Linotype" w:hAnsi="Palatino Linotype"/>
          <w:b/>
          <w:bCs/>
          <w:color w:val="000000" w:themeColor="text1"/>
        </w:rPr>
        <w:t xml:space="preserve">gestionar la atención a las solicitudes de información </w:t>
      </w:r>
      <w:r w:rsidRPr="00B843B7">
        <w:rPr>
          <w:rFonts w:ascii="Palatino Linotype" w:hAnsi="Palatino Linotype"/>
          <w:color w:val="000000" w:themeColor="text1"/>
        </w:rPr>
        <w:t>en los términos de la Ley General y la Ley de Transparencia y Acceso a la Información Pública del Estado de México y Municipios</w:t>
      </w:r>
      <w:r w:rsidRPr="00B843B7">
        <w:rPr>
          <w:rFonts w:ascii="Palatino Linotype" w:hAnsi="Palatino Linotype"/>
          <w:color w:val="000000" w:themeColor="text1"/>
          <w:vertAlign w:val="superscript"/>
        </w:rPr>
        <w:footnoteReference w:id="9"/>
      </w:r>
      <w:r w:rsidRPr="00B843B7">
        <w:rPr>
          <w:rFonts w:ascii="Palatino Linotype" w:hAnsi="Palatino Linotype"/>
          <w:color w:val="000000" w:themeColor="text1"/>
        </w:rPr>
        <w:t>.</w:t>
      </w:r>
    </w:p>
    <w:p w14:paraId="5D0D7CB4" w14:textId="77777777" w:rsidR="000435A5" w:rsidRPr="00B843B7"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354D39B5" w14:textId="5D96CB4C" w:rsidR="000435A5" w:rsidRPr="00B843B7"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t xml:space="preserve">De </w:t>
      </w:r>
      <w:r w:rsidRPr="00B843B7">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1BE64686" w14:textId="77777777" w:rsidR="000435A5" w:rsidRPr="00B843B7"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B843B7">
        <w:rPr>
          <w:rFonts w:ascii="Palatino Linotype" w:eastAsia="MS Mincho" w:hAnsi="Palatino Linotype" w:cs="Times New Roman"/>
          <w:color w:val="000000"/>
        </w:rPr>
        <w:lastRenderedPageBreak/>
        <w:t>Recibir, tramitar y dar respuesta a las solicitudes de acceso a la información;</w:t>
      </w:r>
    </w:p>
    <w:p w14:paraId="6C2C3A0D" w14:textId="77777777" w:rsidR="000435A5" w:rsidRPr="00B843B7"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B843B7">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77BBE77A" w14:textId="77777777" w:rsidR="000435A5" w:rsidRPr="00B843B7" w:rsidRDefault="000435A5" w:rsidP="000435A5">
      <w:pPr>
        <w:pStyle w:val="Prrafodelista"/>
        <w:numPr>
          <w:ilvl w:val="1"/>
          <w:numId w:val="38"/>
        </w:numPr>
        <w:tabs>
          <w:tab w:val="left" w:pos="426"/>
        </w:tabs>
        <w:spacing w:before="240" w:after="240" w:line="360" w:lineRule="auto"/>
        <w:ind w:left="1134" w:right="51"/>
        <w:jc w:val="both"/>
        <w:rPr>
          <w:rFonts w:ascii="Palatino Linotype" w:eastAsia="MS Mincho" w:hAnsi="Palatino Linotype" w:cs="Times New Roman"/>
          <w:color w:val="000000"/>
        </w:rPr>
      </w:pPr>
      <w:r w:rsidRPr="00B843B7">
        <w:rPr>
          <w:rFonts w:ascii="Palatino Linotype" w:eastAsia="MS Mincho" w:hAnsi="Palatino Linotype" w:cs="Times New Roman"/>
          <w:color w:val="000000"/>
        </w:rPr>
        <w:t xml:space="preserve">Entregar, en su caso, a los particulares la información solicitada; y </w:t>
      </w:r>
    </w:p>
    <w:p w14:paraId="7D02006B" w14:textId="7EAC1CBE" w:rsidR="000435A5" w:rsidRPr="00B843B7" w:rsidRDefault="000435A5" w:rsidP="000435A5">
      <w:pPr>
        <w:pStyle w:val="Prrafodelista"/>
        <w:numPr>
          <w:ilvl w:val="1"/>
          <w:numId w:val="38"/>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eastAsia="MS Mincho" w:hAnsi="Palatino Linotype" w:cs="Times New Roman"/>
          <w:color w:val="000000"/>
        </w:rPr>
        <w:t>Efectuar las notificaciones a los solicitantes.</w:t>
      </w:r>
    </w:p>
    <w:p w14:paraId="6A3849A5" w14:textId="77777777" w:rsidR="000435A5" w:rsidRPr="00B843B7"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759EB1E" w14:textId="3BCE1670" w:rsidR="000435A5" w:rsidRPr="00B843B7"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t>Otros sujetos del proceso de atención a las solicitudes de información son los servidores públicos habilitados, quienes serán designados por el titular del Sujeto Obligado a propuesta del responsable de la Unidad de Transparencia</w:t>
      </w:r>
      <w:r w:rsidRPr="00B843B7">
        <w:rPr>
          <w:rFonts w:ascii="Palatino Linotype" w:hAnsi="Palatino Linotype"/>
          <w:vertAlign w:val="superscript"/>
        </w:rPr>
        <w:footnoteReference w:id="10"/>
      </w:r>
      <w:r w:rsidRPr="00B843B7">
        <w:rPr>
          <w:rFonts w:ascii="Palatino Linotype" w:hAnsi="Palatino Linotype"/>
        </w:rPr>
        <w:t xml:space="preserve"> y tendrán, entre sus atribuciones, las siguientes</w:t>
      </w:r>
      <w:r w:rsidRPr="00B843B7">
        <w:rPr>
          <w:rFonts w:ascii="Palatino Linotype" w:hAnsi="Palatino Linotype"/>
          <w:vertAlign w:val="superscript"/>
        </w:rPr>
        <w:footnoteReference w:id="11"/>
      </w:r>
      <w:r w:rsidRPr="00B843B7">
        <w:rPr>
          <w:rFonts w:ascii="Palatino Linotype" w:hAnsi="Palatino Linotype"/>
        </w:rPr>
        <w:t>:</w:t>
      </w:r>
    </w:p>
    <w:p w14:paraId="25765840" w14:textId="77777777" w:rsidR="000435A5" w:rsidRPr="00B843B7"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rPr>
      </w:pPr>
      <w:r w:rsidRPr="00B843B7">
        <w:rPr>
          <w:rFonts w:ascii="Palatino Linotype" w:hAnsi="Palatino Linotype"/>
        </w:rPr>
        <w:t>Localizar la información que le solicite la Unidad de Transparencia; y</w:t>
      </w:r>
    </w:p>
    <w:p w14:paraId="6C3FAB50" w14:textId="48244E1D" w:rsidR="000435A5" w:rsidRPr="00B843B7" w:rsidRDefault="000435A5" w:rsidP="000435A5">
      <w:pPr>
        <w:pStyle w:val="Prrafodelista"/>
        <w:numPr>
          <w:ilvl w:val="1"/>
          <w:numId w:val="3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rPr>
        <w:t>Proporcionar la información que obre en los archivos y que le sea solicitada por la Unidad de Transparencia.</w:t>
      </w:r>
    </w:p>
    <w:p w14:paraId="7C2BA39A" w14:textId="77777777" w:rsidR="000435A5" w:rsidRPr="00B843B7" w:rsidRDefault="000435A5" w:rsidP="000435A5">
      <w:pPr>
        <w:pStyle w:val="Prrafodelista"/>
        <w:tabs>
          <w:tab w:val="left" w:pos="426"/>
        </w:tabs>
        <w:spacing w:before="240" w:after="240" w:line="360" w:lineRule="auto"/>
        <w:ind w:left="0" w:right="51"/>
        <w:jc w:val="both"/>
        <w:rPr>
          <w:rFonts w:ascii="Palatino Linotype" w:hAnsi="Palatino Linotype"/>
          <w:color w:val="000000" w:themeColor="text1"/>
        </w:rPr>
      </w:pPr>
    </w:p>
    <w:p w14:paraId="7B183824" w14:textId="38DDE985" w:rsidR="000435A5" w:rsidRPr="00B843B7" w:rsidRDefault="000435A5"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t xml:space="preserve">De tal </w:t>
      </w:r>
      <w:r w:rsidRPr="00B843B7">
        <w:rPr>
          <w:rFonts w:ascii="Palatino Linotype" w:eastAsia="MS Mincho" w:hAnsi="Palatino Linotype" w:cs="Times New Roman"/>
          <w:color w:val="000000"/>
        </w:rPr>
        <w:t xml:space="preserve">manera que cada una de las áreas administrativas del </w:t>
      </w:r>
      <w:r w:rsidRPr="00B843B7">
        <w:rPr>
          <w:rFonts w:ascii="Palatino Linotype" w:eastAsia="MS Mincho" w:hAnsi="Palatino Linotype" w:cs="Times New Roman"/>
          <w:b/>
          <w:bCs/>
          <w:color w:val="000000"/>
        </w:rPr>
        <w:t>SUJETO OBLIGADO</w:t>
      </w:r>
      <w:r w:rsidRPr="00B843B7">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3F54060F" w14:textId="77777777" w:rsidR="00CE5758" w:rsidRPr="00B843B7" w:rsidRDefault="00CE5758"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59D35C4E" w14:textId="71AE2C79" w:rsidR="009E260E" w:rsidRPr="00B843B7" w:rsidRDefault="00CE5758" w:rsidP="009E260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lastRenderedPageBreak/>
        <w:t>U</w:t>
      </w:r>
      <w:r w:rsidR="00215A63" w:rsidRPr="00B843B7">
        <w:rPr>
          <w:rFonts w:ascii="Palatino Linotype" w:hAnsi="Palatino Linotype"/>
        </w:rPr>
        <w:t xml:space="preserve">na expuesto lo anterior, </w:t>
      </w:r>
      <w:r w:rsidR="009E260E" w:rsidRPr="00B843B7">
        <w:rPr>
          <w:rFonts w:ascii="Palatino Linotype" w:hAnsi="Palatino Linotype"/>
        </w:rPr>
        <w:t xml:space="preserve">de la lectura a la solicitud de información </w:t>
      </w:r>
      <w:r w:rsidR="00E70180" w:rsidRPr="00B843B7">
        <w:rPr>
          <w:rFonts w:ascii="Palatino Linotype" w:hAnsi="Palatino Linotype"/>
          <w:b/>
        </w:rPr>
        <w:t>00050/TEMOAYA/IP/2022</w:t>
      </w:r>
      <w:r w:rsidR="002D57AA" w:rsidRPr="00B843B7">
        <w:rPr>
          <w:rFonts w:ascii="Palatino Linotype" w:hAnsi="Palatino Linotype"/>
        </w:rPr>
        <w:t>,</w:t>
      </w:r>
      <w:r w:rsidR="009E260E" w:rsidRPr="00B843B7">
        <w:rPr>
          <w:rFonts w:ascii="Palatino Linotype" w:hAnsi="Palatino Linotype"/>
        </w:rPr>
        <w:t xml:space="preserve">  </w:t>
      </w:r>
      <w:r w:rsidR="006D57BE" w:rsidRPr="00B843B7">
        <w:rPr>
          <w:rFonts w:ascii="Palatino Linotype" w:hAnsi="Palatino Linotype"/>
        </w:rPr>
        <w:t xml:space="preserve">y </w:t>
      </w:r>
      <w:r w:rsidR="009E260E" w:rsidRPr="00B843B7">
        <w:rPr>
          <w:rFonts w:ascii="Palatino Linotype" w:hAnsi="Palatino Linotype"/>
        </w:rPr>
        <w:t xml:space="preserve">como fuera señalado en el </w:t>
      </w:r>
      <w:r w:rsidR="009E260E" w:rsidRPr="00B843B7">
        <w:rPr>
          <w:rFonts w:ascii="Palatino Linotype" w:hAnsi="Palatino Linotype"/>
          <w:i/>
          <w:iCs/>
        </w:rPr>
        <w:t>Planteamiento de la Litis</w:t>
      </w:r>
      <w:r w:rsidR="009E260E" w:rsidRPr="00B843B7">
        <w:rPr>
          <w:rFonts w:ascii="Palatino Linotype" w:hAnsi="Palatino Linotype"/>
        </w:rPr>
        <w:t xml:space="preserve"> de esta resolución, se advierte que el entonces </w:t>
      </w:r>
      <w:r w:rsidR="009E260E" w:rsidRPr="00B843B7">
        <w:rPr>
          <w:rFonts w:ascii="Palatino Linotype" w:hAnsi="Palatino Linotype"/>
          <w:b/>
        </w:rPr>
        <w:t>SOLICITANTE</w:t>
      </w:r>
      <w:r w:rsidR="009E260E" w:rsidRPr="00B843B7">
        <w:rPr>
          <w:rFonts w:ascii="Palatino Linotype" w:hAnsi="Palatino Linotype"/>
        </w:rPr>
        <w:t xml:space="preserve"> requirió acceder a la siguiente información:</w:t>
      </w:r>
    </w:p>
    <w:p w14:paraId="15CB2E3D" w14:textId="7835158F" w:rsidR="003428FA" w:rsidRPr="00B843B7" w:rsidRDefault="00FC365D" w:rsidP="003428FA">
      <w:pPr>
        <w:pStyle w:val="Prrafodelista"/>
        <w:numPr>
          <w:ilvl w:val="1"/>
          <w:numId w:val="44"/>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s="Arial"/>
          <w:color w:val="000000" w:themeColor="text1"/>
        </w:rPr>
        <w:t>Avisos de Privacidad publicados en la página oficial del Ayuntamiento de Temoaya</w:t>
      </w:r>
      <w:r w:rsidR="00E31785" w:rsidRPr="00B843B7">
        <w:rPr>
          <w:rFonts w:ascii="Palatino Linotype" w:hAnsi="Palatino Linotype" w:cs="Arial"/>
          <w:color w:val="000000" w:themeColor="text1"/>
        </w:rPr>
        <w:t>, en las lenguas indígenas que pertenezcan las familias lingüísticas otomí</w:t>
      </w:r>
      <w:r w:rsidRPr="00B843B7">
        <w:rPr>
          <w:rFonts w:ascii="Palatino Linotype" w:hAnsi="Palatino Linotype" w:cs="Arial"/>
          <w:color w:val="000000" w:themeColor="text1"/>
        </w:rPr>
        <w:t>.</w:t>
      </w:r>
      <w:r w:rsidR="003428FA" w:rsidRPr="00B843B7">
        <w:rPr>
          <w:rFonts w:ascii="Palatino Linotype" w:hAnsi="Palatino Linotype" w:cs="Arial"/>
          <w:color w:val="000000" w:themeColor="text1"/>
        </w:rPr>
        <w:t xml:space="preserve">  </w:t>
      </w:r>
    </w:p>
    <w:p w14:paraId="37402E07" w14:textId="77777777" w:rsidR="001C3732" w:rsidRPr="00B843B7" w:rsidRDefault="001C3732" w:rsidP="00CE5758">
      <w:pPr>
        <w:pStyle w:val="Prrafodelista"/>
        <w:tabs>
          <w:tab w:val="left" w:pos="426"/>
        </w:tabs>
        <w:spacing w:before="240" w:after="240" w:line="360" w:lineRule="auto"/>
        <w:ind w:left="0" w:right="51"/>
        <w:jc w:val="both"/>
        <w:rPr>
          <w:rFonts w:ascii="Palatino Linotype" w:hAnsi="Palatino Linotype"/>
          <w:color w:val="000000" w:themeColor="text1"/>
        </w:rPr>
      </w:pPr>
    </w:p>
    <w:p w14:paraId="09B4846E" w14:textId="56F6DC88" w:rsidR="0021056F" w:rsidRPr="00B843B7" w:rsidRDefault="005917A6" w:rsidP="002105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t>E</w:t>
      </w:r>
      <w:r w:rsidR="00984D47" w:rsidRPr="00B843B7">
        <w:rPr>
          <w:rFonts w:ascii="Palatino Linotype" w:hAnsi="Palatino Linotype"/>
        </w:rPr>
        <w:t xml:space="preserve">n respuesta a la solicitud de información </w:t>
      </w:r>
      <w:r w:rsidR="00E70180" w:rsidRPr="00B843B7">
        <w:rPr>
          <w:rFonts w:ascii="Palatino Linotype" w:hAnsi="Palatino Linotype"/>
          <w:b/>
          <w:bCs/>
        </w:rPr>
        <w:t>00050/TEMOAYA/IP/2022</w:t>
      </w:r>
      <w:r w:rsidR="00984D47" w:rsidRPr="00B843B7">
        <w:rPr>
          <w:rFonts w:ascii="Palatino Linotype" w:hAnsi="Palatino Linotype"/>
        </w:rPr>
        <w:t>,</w:t>
      </w:r>
      <w:r w:rsidR="00013173" w:rsidRPr="00B843B7">
        <w:rPr>
          <w:rFonts w:ascii="Palatino Linotype" w:hAnsi="Palatino Linotype"/>
        </w:rPr>
        <w:t xml:space="preserve"> </w:t>
      </w:r>
      <w:r w:rsidR="00E31785" w:rsidRPr="00B843B7">
        <w:rPr>
          <w:rFonts w:ascii="Palatino Linotype" w:hAnsi="Palatino Linotype"/>
        </w:rPr>
        <w:t xml:space="preserve">el </w:t>
      </w:r>
      <w:r w:rsidR="00E31785" w:rsidRPr="00B843B7">
        <w:rPr>
          <w:rFonts w:ascii="Palatino Linotype" w:hAnsi="Palatino Linotype"/>
          <w:b/>
        </w:rPr>
        <w:t>SUJETO OBLIGADO</w:t>
      </w:r>
      <w:r w:rsidR="00E31785" w:rsidRPr="00B843B7">
        <w:rPr>
          <w:rFonts w:ascii="Palatino Linotype" w:hAnsi="Palatino Linotype"/>
        </w:rPr>
        <w:t xml:space="preserve"> presentó, por un lado, el oficio número DPCO/208/2022, de veintiocho (28) de marzo de dos mil veintidós, emitido por la Directora de Promoción de la Cultura Otomí, cuyo contenido elemental se transcribe a continuación:</w:t>
      </w:r>
    </w:p>
    <w:p w14:paraId="09FA6A78" w14:textId="31E7A299" w:rsidR="00213DFB" w:rsidRPr="00B843B7" w:rsidRDefault="00213DFB" w:rsidP="00213DFB">
      <w:pPr>
        <w:pStyle w:val="Prrafodelista"/>
        <w:tabs>
          <w:tab w:val="left" w:pos="426"/>
        </w:tabs>
        <w:spacing w:before="240" w:after="240" w:line="360" w:lineRule="auto"/>
        <w:ind w:left="0" w:right="51"/>
        <w:jc w:val="both"/>
        <w:rPr>
          <w:rFonts w:ascii="Palatino Linotype" w:hAnsi="Palatino Linotype"/>
          <w:color w:val="000000" w:themeColor="text1"/>
        </w:rPr>
      </w:pPr>
    </w:p>
    <w:p w14:paraId="0D9C9A4D" w14:textId="77777777" w:rsidR="00E31785" w:rsidRPr="00B843B7" w:rsidRDefault="00984D47" w:rsidP="0001317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843B7">
        <w:rPr>
          <w:rFonts w:ascii="Palatino Linotype" w:hAnsi="Palatino Linotype"/>
          <w:i/>
          <w:iCs/>
          <w:color w:val="000000" w:themeColor="text1"/>
          <w:sz w:val="22"/>
          <w:szCs w:val="22"/>
        </w:rPr>
        <w:t>“</w:t>
      </w:r>
      <w:r w:rsidR="00E31785" w:rsidRPr="00B843B7">
        <w:rPr>
          <w:rFonts w:ascii="Palatino Linotype" w:hAnsi="Palatino Linotype"/>
          <w:i/>
          <w:iCs/>
          <w:color w:val="000000" w:themeColor="text1"/>
          <w:sz w:val="22"/>
          <w:szCs w:val="22"/>
        </w:rPr>
        <w:t>Esta Dirección de Promoción de la Cultura Otomí, es competente para dar contestación a la solicitud referida.</w:t>
      </w:r>
    </w:p>
    <w:p w14:paraId="42E59AD1" w14:textId="77777777" w:rsidR="00E31785" w:rsidRPr="00B843B7" w:rsidRDefault="00E31785" w:rsidP="0001317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2B76372" w14:textId="3E966819" w:rsidR="00984D47" w:rsidRPr="00B843B7" w:rsidRDefault="00E31785" w:rsidP="00013173">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B843B7">
        <w:rPr>
          <w:rFonts w:ascii="Palatino Linotype" w:hAnsi="Palatino Linotype"/>
          <w:i/>
          <w:iCs/>
          <w:color w:val="000000" w:themeColor="text1"/>
          <w:sz w:val="22"/>
          <w:szCs w:val="22"/>
        </w:rPr>
        <w:t>En aras de atender y no vulnerar su derecho humano de acceso a la información pública, se le informa que los avisos de privacidad se encuentran publicados en la página institucional oficial de este Ayuntamiento en idioma español; asimismo esta dirección no cuenta con el personal auxiliar para la traducción de la información requerida, sin embargo se le recomienda asistir de manera presencial, en las instalaciones del edificio azul, ubicado en calle Tlicuezpalin 105, Colonia Centro, Temoaya, Estado de México, para recibir el apoyo antes mencionado. Ya que si bien no se cuenta con el aviso de privacidad en lengua otomí, sí hay personal que cuenta con las habilidades necesarias para brindarle la atención, en cuanto a la traducción del mismo.</w:t>
      </w:r>
      <w:r w:rsidR="005917A6" w:rsidRPr="00B843B7">
        <w:rPr>
          <w:rFonts w:ascii="Palatino Linotype" w:hAnsi="Palatino Linotype"/>
          <w:i/>
          <w:iCs/>
          <w:color w:val="000000" w:themeColor="text1"/>
          <w:sz w:val="22"/>
          <w:szCs w:val="22"/>
        </w:rPr>
        <w:t>”</w:t>
      </w:r>
      <w:r w:rsidR="005917A6" w:rsidRPr="00B843B7">
        <w:rPr>
          <w:rFonts w:ascii="Palatino Linotype" w:hAnsi="Palatino Linotype"/>
          <w:color w:val="000000" w:themeColor="text1"/>
          <w:sz w:val="22"/>
          <w:szCs w:val="22"/>
        </w:rPr>
        <w:t xml:space="preserve"> </w:t>
      </w:r>
      <w:r w:rsidR="009747E8" w:rsidRPr="00B843B7">
        <w:rPr>
          <w:rFonts w:ascii="Palatino Linotype" w:hAnsi="Palatino Linotype"/>
          <w:color w:val="000000" w:themeColor="text1"/>
          <w:sz w:val="22"/>
          <w:szCs w:val="22"/>
        </w:rPr>
        <w:t>(Sic)</w:t>
      </w:r>
    </w:p>
    <w:p w14:paraId="716ACF31" w14:textId="77777777" w:rsidR="008624DD" w:rsidRPr="00B843B7" w:rsidRDefault="008624DD" w:rsidP="00912F01">
      <w:pPr>
        <w:pStyle w:val="Prrafodelista"/>
        <w:tabs>
          <w:tab w:val="left" w:pos="426"/>
        </w:tabs>
        <w:spacing w:before="240" w:after="240" w:line="360" w:lineRule="auto"/>
        <w:ind w:left="0" w:right="51"/>
        <w:jc w:val="both"/>
        <w:rPr>
          <w:rFonts w:ascii="Palatino Linotype" w:hAnsi="Palatino Linotype"/>
          <w:color w:val="000000" w:themeColor="text1"/>
        </w:rPr>
      </w:pPr>
    </w:p>
    <w:p w14:paraId="2B24535C" w14:textId="0EC64EC1" w:rsidR="00E31785" w:rsidRPr="00B843B7" w:rsidRDefault="00E31785" w:rsidP="0001317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lastRenderedPageBreak/>
        <w:t xml:space="preserve">Por otro lado, se hace constar que el </w:t>
      </w:r>
      <w:r w:rsidRPr="00B843B7">
        <w:rPr>
          <w:rFonts w:ascii="Palatino Linotype" w:hAnsi="Palatino Linotype"/>
          <w:b/>
          <w:color w:val="000000" w:themeColor="text1"/>
        </w:rPr>
        <w:t>SUJETO OBLIGADO</w:t>
      </w:r>
      <w:r w:rsidRPr="00B843B7">
        <w:rPr>
          <w:rFonts w:ascii="Palatino Linotype" w:hAnsi="Palatino Linotype"/>
          <w:color w:val="000000" w:themeColor="text1"/>
        </w:rPr>
        <w:t xml:space="preserve"> acompañó también a su respuesta con el oficio número 010/RPI/2022, de veintitrés (23) de marzo de dos mil veintidós, suscrito por el Representante Indígena ante el Ayuntamiento de Temoaya, por medio del cual, vertió los siguientes pronunciamientos:</w:t>
      </w:r>
    </w:p>
    <w:p w14:paraId="372ACB82" w14:textId="77777777" w:rsidR="00E31785" w:rsidRPr="00B843B7" w:rsidRDefault="00E31785" w:rsidP="00E31785">
      <w:pPr>
        <w:pStyle w:val="Prrafodelista"/>
        <w:tabs>
          <w:tab w:val="left" w:pos="426"/>
        </w:tabs>
        <w:spacing w:before="240" w:after="240" w:line="360" w:lineRule="auto"/>
        <w:ind w:left="0" w:right="51"/>
        <w:jc w:val="both"/>
        <w:rPr>
          <w:rFonts w:ascii="Palatino Linotype" w:hAnsi="Palatino Linotype"/>
          <w:color w:val="000000" w:themeColor="text1"/>
        </w:rPr>
      </w:pPr>
    </w:p>
    <w:p w14:paraId="68C7EF25" w14:textId="39544031" w:rsidR="00E31785" w:rsidRPr="00B843B7" w:rsidRDefault="00E31785" w:rsidP="00E31785">
      <w:pPr>
        <w:pStyle w:val="Prrafodelista"/>
        <w:tabs>
          <w:tab w:val="left" w:pos="426"/>
        </w:tabs>
        <w:spacing w:before="240" w:after="240" w:line="276" w:lineRule="auto"/>
        <w:ind w:left="567" w:right="567"/>
        <w:jc w:val="both"/>
        <w:rPr>
          <w:rFonts w:ascii="Palatino Linotype" w:hAnsi="Palatino Linotype"/>
          <w:color w:val="000000" w:themeColor="text1"/>
          <w:sz w:val="22"/>
        </w:rPr>
      </w:pPr>
      <w:r w:rsidRPr="00B843B7">
        <w:rPr>
          <w:rFonts w:ascii="Palatino Linotype" w:hAnsi="Palatino Linotype"/>
          <w:i/>
          <w:color w:val="000000" w:themeColor="text1"/>
          <w:sz w:val="22"/>
        </w:rPr>
        <w:t>“(…) tengo a bien informar que con fundamento en el Art 2° Inciso A, fracción VIII de Nuestra Carta Magna, estamos a la orden para poder apoyar como intrprete traductor toda vez que es nuestra responsabilidad ayudar para que cualquier ciudadano de nuestra comunidad indígena Otomí – Ñathö, comprenda lo que se menciona en las diferentes plataformas digitales de acceso a la información pública, para ello ponemos a su disposición el domicilio de atención ciudadana en las instalaciones del ayuntamiento municipal ubicada en la calle Tlilcuezpalin No. 105, 2° piso, Colonia Centro, Temoaya, México.”</w:t>
      </w:r>
      <w:r w:rsidRPr="00B843B7">
        <w:rPr>
          <w:rFonts w:ascii="Palatino Linotype" w:hAnsi="Palatino Linotype"/>
          <w:color w:val="000000" w:themeColor="text1"/>
          <w:sz w:val="22"/>
        </w:rPr>
        <w:t xml:space="preserve"> (Sic)</w:t>
      </w:r>
    </w:p>
    <w:p w14:paraId="592E3EA6" w14:textId="77777777" w:rsidR="00E31785" w:rsidRPr="00B843B7" w:rsidRDefault="00E31785" w:rsidP="00E31785">
      <w:pPr>
        <w:pStyle w:val="Prrafodelista"/>
        <w:tabs>
          <w:tab w:val="left" w:pos="426"/>
        </w:tabs>
        <w:spacing w:before="240" w:after="240" w:line="360" w:lineRule="auto"/>
        <w:ind w:left="0" w:right="51"/>
        <w:jc w:val="both"/>
        <w:rPr>
          <w:rFonts w:ascii="Palatino Linotype" w:hAnsi="Palatino Linotype"/>
          <w:color w:val="000000" w:themeColor="text1"/>
        </w:rPr>
      </w:pPr>
    </w:p>
    <w:p w14:paraId="702F64FA" w14:textId="2FA944CD" w:rsidR="00E31785" w:rsidRPr="00B843B7" w:rsidRDefault="000A7BCE"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De las transcripciones vertidas </w:t>
      </w:r>
      <w:r w:rsidRPr="00B843B7">
        <w:rPr>
          <w:rFonts w:ascii="Palatino Linotype" w:hAnsi="Palatino Linotype"/>
          <w:i/>
          <w:color w:val="000000" w:themeColor="text1"/>
        </w:rPr>
        <w:t>supra</w:t>
      </w:r>
      <w:r w:rsidRPr="00B843B7">
        <w:rPr>
          <w:rFonts w:ascii="Palatino Linotype" w:hAnsi="Palatino Linotype"/>
          <w:color w:val="000000" w:themeColor="text1"/>
        </w:rPr>
        <w:t xml:space="preserve"> podemos rescatar las siguientes manifestaciones elementales:</w:t>
      </w:r>
    </w:p>
    <w:p w14:paraId="0BC139A7" w14:textId="0E80E968" w:rsidR="000A7BCE" w:rsidRPr="00B843B7" w:rsidRDefault="005165F9" w:rsidP="000A7BCE">
      <w:pPr>
        <w:pStyle w:val="Prrafodelista"/>
        <w:numPr>
          <w:ilvl w:val="1"/>
          <w:numId w:val="48"/>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La Directora de Promoción de la Cultura Otomí señaló que el área administrativa a su cargo no contaba con el personal auxiliar necesario para realizar la traducción de la información requerida.</w:t>
      </w:r>
    </w:p>
    <w:p w14:paraId="08A3C9C9" w14:textId="050464E2" w:rsidR="005165F9" w:rsidRPr="00B843B7" w:rsidRDefault="005165F9" w:rsidP="000A7BCE">
      <w:pPr>
        <w:pStyle w:val="Prrafodelista"/>
        <w:numPr>
          <w:ilvl w:val="1"/>
          <w:numId w:val="48"/>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Por su parte, el Representante Indígena ante el Ayuntamiento de Temoaya se puso a la orden para realizar cualquier ejercicio de interpretación y traducción que requiera el particular.</w:t>
      </w:r>
    </w:p>
    <w:p w14:paraId="41A2D777" w14:textId="77777777" w:rsidR="00E31785" w:rsidRPr="00B843B7" w:rsidRDefault="00E31785" w:rsidP="00E31785">
      <w:pPr>
        <w:pStyle w:val="Prrafodelista"/>
        <w:tabs>
          <w:tab w:val="left" w:pos="426"/>
        </w:tabs>
        <w:spacing w:before="240" w:after="240" w:line="360" w:lineRule="auto"/>
        <w:ind w:left="0" w:right="51"/>
        <w:jc w:val="both"/>
        <w:rPr>
          <w:rFonts w:ascii="Palatino Linotype" w:hAnsi="Palatino Linotype"/>
          <w:color w:val="000000" w:themeColor="text1"/>
        </w:rPr>
      </w:pPr>
    </w:p>
    <w:p w14:paraId="031E9DF9" w14:textId="02D589E6" w:rsidR="00E31785" w:rsidRPr="00B843B7" w:rsidRDefault="005165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Por su parte, el </w:t>
      </w:r>
      <w:r w:rsidRPr="00B843B7">
        <w:rPr>
          <w:rFonts w:ascii="Palatino Linotype" w:hAnsi="Palatino Linotype"/>
          <w:b/>
          <w:color w:val="000000" w:themeColor="text1"/>
        </w:rPr>
        <w:t>RECURRENTE</w:t>
      </w:r>
      <w:r w:rsidRPr="00B843B7">
        <w:rPr>
          <w:rFonts w:ascii="Palatino Linotype" w:hAnsi="Palatino Linotype"/>
          <w:color w:val="000000" w:themeColor="text1"/>
        </w:rPr>
        <w:t xml:space="preserve"> impugnó la respuesta del </w:t>
      </w:r>
      <w:r w:rsidRPr="00B843B7">
        <w:rPr>
          <w:rFonts w:ascii="Palatino Linotype" w:hAnsi="Palatino Linotype"/>
          <w:b/>
          <w:color w:val="000000" w:themeColor="text1"/>
        </w:rPr>
        <w:t>SUJETO OBLIGADO</w:t>
      </w:r>
      <w:r w:rsidRPr="00B843B7">
        <w:rPr>
          <w:rFonts w:ascii="Palatino Linotype" w:hAnsi="Palatino Linotype"/>
          <w:color w:val="000000" w:themeColor="text1"/>
        </w:rPr>
        <w:t>, donde señaló por agravios que no se le había entregado la información solicitada.</w:t>
      </w:r>
    </w:p>
    <w:p w14:paraId="1F30B731" w14:textId="77777777" w:rsidR="00E31785" w:rsidRPr="00B843B7" w:rsidRDefault="00E31785" w:rsidP="00E31785">
      <w:pPr>
        <w:pStyle w:val="Prrafodelista"/>
        <w:tabs>
          <w:tab w:val="left" w:pos="426"/>
        </w:tabs>
        <w:spacing w:before="240" w:after="240" w:line="360" w:lineRule="auto"/>
        <w:ind w:left="0" w:right="51"/>
        <w:jc w:val="both"/>
        <w:rPr>
          <w:rFonts w:ascii="Palatino Linotype" w:hAnsi="Palatino Linotype"/>
          <w:color w:val="000000" w:themeColor="text1"/>
        </w:rPr>
      </w:pPr>
    </w:p>
    <w:p w14:paraId="489F127A" w14:textId="3A9BA4DC" w:rsidR="00E31785" w:rsidRPr="00B843B7" w:rsidRDefault="005165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lastRenderedPageBreak/>
        <w:t xml:space="preserve">Posteriormente, en vía de informe justificado, el </w:t>
      </w:r>
      <w:r w:rsidRPr="00B843B7">
        <w:rPr>
          <w:rFonts w:ascii="Palatino Linotype" w:hAnsi="Palatino Linotype"/>
          <w:b/>
          <w:color w:val="000000" w:themeColor="text1"/>
        </w:rPr>
        <w:t>SUJETO OBLIGADO</w:t>
      </w:r>
      <w:r w:rsidRPr="00B843B7">
        <w:rPr>
          <w:rFonts w:ascii="Palatino Linotype" w:hAnsi="Palatino Linotype"/>
          <w:color w:val="000000" w:themeColor="text1"/>
        </w:rPr>
        <w:t xml:space="preserve"> ahondó en su justificación de la respuesta al referir que, de conformidad con lo dispuesto por los artículos 11 y 12, su deber de atención a solicitudes de acceso a la información se centraba principalmente en entregar la información, en los términos en que se hubiese generado, poseído o administrado, sin existir la obligación jurídica de procesarla, resumirla, realizar cálculos o investigaciones. </w:t>
      </w:r>
      <w:r w:rsidRPr="00B843B7">
        <w:rPr>
          <w:rFonts w:ascii="Palatino Linotype" w:hAnsi="Palatino Linotype"/>
          <w:i/>
          <w:color w:val="000000" w:themeColor="text1"/>
        </w:rPr>
        <w:t>Grosso modo</w:t>
      </w:r>
      <w:r w:rsidRPr="00B843B7">
        <w:rPr>
          <w:rFonts w:ascii="Palatino Linotype" w:hAnsi="Palatino Linotype"/>
          <w:color w:val="000000" w:themeColor="text1"/>
        </w:rPr>
        <w:t xml:space="preserve">, </w:t>
      </w:r>
      <w:r w:rsidRPr="00B843B7">
        <w:rPr>
          <w:rFonts w:ascii="Palatino Linotype" w:hAnsi="Palatino Linotype"/>
          <w:b/>
          <w:color w:val="000000" w:themeColor="text1"/>
        </w:rPr>
        <w:t>el SUJETO OBLIGADO manifestó que no existía ninguna obligación legal para traducir documentos que, por la naturaleza de sus funciones, posea, genere y/o administre</w:t>
      </w:r>
      <w:r w:rsidRPr="00B843B7">
        <w:rPr>
          <w:rFonts w:ascii="Palatino Linotype" w:hAnsi="Palatino Linotype"/>
          <w:color w:val="000000" w:themeColor="text1"/>
        </w:rPr>
        <w:t>.</w:t>
      </w:r>
    </w:p>
    <w:p w14:paraId="79F7D5A3"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5112B693" w14:textId="5C93E87B" w:rsidR="005165F9" w:rsidRPr="00B843B7" w:rsidRDefault="005165F9" w:rsidP="005165F9">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843B7">
        <w:rPr>
          <w:rFonts w:ascii="Palatino Linotype" w:hAnsi="Palatino Linotype"/>
          <w:b/>
          <w:color w:val="000000" w:themeColor="text1"/>
        </w:rPr>
        <w:t>III. De los Avisos de Privacidad solicitados.</w:t>
      </w:r>
    </w:p>
    <w:p w14:paraId="55F2F8A6"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6F09C60E"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hAnsi="Palatino Linotype"/>
          <w:color w:val="000000" w:themeColor="text1"/>
        </w:rPr>
        <w:t xml:space="preserve">Es </w:t>
      </w:r>
      <w:r w:rsidRPr="00B843B7">
        <w:rPr>
          <w:rFonts w:ascii="Palatino Linotype" w:eastAsia="MS Mincho" w:hAnsi="Palatino Linotype" w:cs="Arial"/>
        </w:rPr>
        <w:t>menester señalar que la protección de datos personales es un derecho preservado por nuestra Constitución que implica que a toda persona se le debe garantizar que el tratamiento de su información personal en manos de terceros, sea legítima, controlada e informada, debiendo salvaguardad su privacidad.</w:t>
      </w:r>
    </w:p>
    <w:p w14:paraId="6500044A"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4CB178CD"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eastAsia="MS Gothic" w:hAnsi="Palatino Linotype" w:cs="Times New Roman"/>
          <w:szCs w:val="26"/>
        </w:rPr>
        <w:t xml:space="preserve">Para </w:t>
      </w:r>
      <w:r w:rsidRPr="00B843B7">
        <w:rPr>
          <w:rFonts w:ascii="Palatino Linotype" w:eastAsia="MS Mincho" w:hAnsi="Palatino Linotype" w:cs="Arial"/>
        </w:rPr>
        <w:t>satisfacer lo establecido por nuestra carta magna, se tiene que en el ámbito estatal, se establece en el artículo 4 fracción V, de la Ley de Protección de Datos Personales en Posesión de Sujetos Obligados del Estado de México y Municipios, la definición del Aviso de Privacidad siendo entendido este como:</w:t>
      </w:r>
    </w:p>
    <w:p w14:paraId="4F743C38"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393711D4" w14:textId="77777777" w:rsidR="00607455" w:rsidRPr="00B843B7" w:rsidRDefault="00607455" w:rsidP="00607455">
      <w:pPr>
        <w:spacing w:line="276" w:lineRule="auto"/>
        <w:ind w:left="567" w:right="567"/>
        <w:contextualSpacing/>
        <w:jc w:val="both"/>
        <w:rPr>
          <w:rFonts w:ascii="Palatino Linotype" w:hAnsi="Palatino Linotype"/>
          <w:i/>
          <w:sz w:val="22"/>
        </w:rPr>
      </w:pPr>
      <w:r w:rsidRPr="00B843B7">
        <w:rPr>
          <w:rFonts w:ascii="Palatino Linotype" w:hAnsi="Palatino Linotype"/>
          <w:i/>
          <w:sz w:val="22"/>
        </w:rPr>
        <w:t>“</w:t>
      </w:r>
      <w:r w:rsidRPr="00B843B7">
        <w:rPr>
          <w:rFonts w:ascii="Palatino Linotype" w:hAnsi="Palatino Linotype"/>
          <w:b/>
          <w:i/>
          <w:sz w:val="22"/>
        </w:rPr>
        <w:t>Artículo 4.</w:t>
      </w:r>
      <w:r w:rsidRPr="00B843B7">
        <w:rPr>
          <w:rFonts w:ascii="Palatino Linotype" w:hAnsi="Palatino Linotype"/>
          <w:i/>
          <w:sz w:val="22"/>
        </w:rPr>
        <w:t xml:space="preserve"> Para los efectos de esta Ley se entenderá por:</w:t>
      </w:r>
    </w:p>
    <w:p w14:paraId="10B3B18F" w14:textId="77777777" w:rsidR="00607455" w:rsidRPr="00B843B7" w:rsidRDefault="00607455" w:rsidP="00607455">
      <w:pPr>
        <w:spacing w:line="276" w:lineRule="auto"/>
        <w:ind w:left="567" w:right="567"/>
        <w:contextualSpacing/>
        <w:jc w:val="both"/>
        <w:rPr>
          <w:rFonts w:ascii="Palatino Linotype" w:hAnsi="Palatino Linotype"/>
          <w:i/>
          <w:sz w:val="22"/>
        </w:rPr>
      </w:pPr>
      <w:r w:rsidRPr="00B843B7">
        <w:rPr>
          <w:rFonts w:ascii="Palatino Linotype" w:hAnsi="Palatino Linotype"/>
          <w:i/>
          <w:sz w:val="22"/>
        </w:rPr>
        <w:t>[…]</w:t>
      </w:r>
    </w:p>
    <w:p w14:paraId="58AF6F9F" w14:textId="77777777" w:rsidR="00607455" w:rsidRPr="00B843B7" w:rsidRDefault="00607455" w:rsidP="00607455">
      <w:pPr>
        <w:spacing w:line="276" w:lineRule="auto"/>
        <w:ind w:left="567" w:right="567"/>
        <w:contextualSpacing/>
        <w:jc w:val="both"/>
        <w:rPr>
          <w:rFonts w:ascii="Palatino Linotype" w:hAnsi="Palatino Linotype"/>
          <w:i/>
          <w:sz w:val="22"/>
        </w:rPr>
      </w:pPr>
      <w:r w:rsidRPr="00B843B7">
        <w:rPr>
          <w:rFonts w:ascii="Palatino Linotype" w:hAnsi="Palatino Linotype"/>
          <w:b/>
          <w:i/>
          <w:sz w:val="22"/>
        </w:rPr>
        <w:lastRenderedPageBreak/>
        <w:t>V. Aviso de Privacidad:</w:t>
      </w:r>
      <w:r w:rsidRPr="00B843B7">
        <w:rPr>
          <w:rFonts w:ascii="Palatino Linotype" w:hAnsi="Palatino Linotype"/>
          <w:i/>
          <w:sz w:val="22"/>
        </w:rPr>
        <w:t xml:space="preserve"> al documento físico, electrónico o en cualquier formato generado por el responsable que es puesto a disposición del Titular con el objeto de informarle los propósitos del tratamiento al que serán sometidos sus datos personales.</w:t>
      </w:r>
    </w:p>
    <w:p w14:paraId="5D5A1B33" w14:textId="77777777" w:rsidR="00607455" w:rsidRPr="00B843B7" w:rsidRDefault="00607455" w:rsidP="00607455">
      <w:pPr>
        <w:spacing w:line="276" w:lineRule="auto"/>
        <w:ind w:left="567" w:right="567"/>
        <w:contextualSpacing/>
        <w:jc w:val="both"/>
        <w:rPr>
          <w:rFonts w:ascii="Palatino Linotype" w:eastAsia="MS Mincho" w:hAnsi="Palatino Linotype" w:cs="Arial"/>
          <w:i/>
          <w:sz w:val="22"/>
        </w:rPr>
      </w:pPr>
      <w:r w:rsidRPr="00B843B7">
        <w:rPr>
          <w:rFonts w:ascii="Palatino Linotype" w:hAnsi="Palatino Linotype"/>
          <w:i/>
          <w:sz w:val="22"/>
        </w:rPr>
        <w:t>[…]”</w:t>
      </w:r>
    </w:p>
    <w:p w14:paraId="64D257B4"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47B8EF8"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eastAsia="MS Gothic" w:hAnsi="Palatino Linotype" w:cs="Times New Roman"/>
          <w:szCs w:val="26"/>
        </w:rPr>
        <w:t xml:space="preserve">De </w:t>
      </w:r>
      <w:r w:rsidRPr="00B843B7">
        <w:rPr>
          <w:rFonts w:ascii="Palatino Linotype" w:hAnsi="Palatino Linotype"/>
          <w:iCs/>
          <w:color w:val="000000"/>
        </w:rPr>
        <w:t xml:space="preserve">igual forma, el artículo 29 la Ley de Protección de Datos en Posesión de Sujetos Obligados Estatal, establece que: </w:t>
      </w:r>
      <w:r w:rsidRPr="00B843B7">
        <w:rPr>
          <w:rFonts w:ascii="Palatino Linotype" w:hAnsi="Palatino Linotype"/>
          <w:i/>
          <w:iCs/>
          <w:color w:val="000000"/>
        </w:rPr>
        <w:t xml:space="preserve">“Los responsables pondrán a disposición de la o el titular en formatos impresos, digitales, visuales, sonoros o de cualquier otra tecnología, el aviso de privacidad, </w:t>
      </w:r>
      <w:r w:rsidRPr="00B843B7">
        <w:rPr>
          <w:rFonts w:ascii="Palatino Linotype" w:hAnsi="Palatino Linotype"/>
          <w:b/>
          <w:i/>
          <w:iCs/>
          <w:color w:val="000000"/>
        </w:rPr>
        <w:t>en las modalidades simplificado e integral</w:t>
      </w:r>
      <w:r w:rsidRPr="00B843B7">
        <w:rPr>
          <w:rFonts w:ascii="Palatino Linotype" w:hAnsi="Palatino Linotype"/>
          <w:i/>
          <w:iCs/>
          <w:color w:val="000000"/>
        </w:rPr>
        <w:t>”.</w:t>
      </w:r>
    </w:p>
    <w:p w14:paraId="4328C697"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00106B3C" w14:textId="0E576A7F" w:rsidR="005165F9" w:rsidRPr="00B843B7" w:rsidRDefault="00607455" w:rsidP="006074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eastAsia="MS Gothic" w:hAnsi="Palatino Linotype" w:cs="Times New Roman"/>
          <w:szCs w:val="26"/>
        </w:rPr>
        <w:t xml:space="preserve">Asimismo, </w:t>
      </w:r>
      <w:r w:rsidRPr="00B843B7">
        <w:rPr>
          <w:rFonts w:ascii="Palatino Linotype" w:hAnsi="Palatino Linotype"/>
          <w:iCs/>
          <w:color w:val="000000"/>
        </w:rPr>
        <w:t xml:space="preserve">el Instituto Nacional de Acceso a la Información (INAI) define al aviso de privacidad como un documento físico, electrónico o en cualquier otro formato, a través del cual el responsable informa al titular sobre la existencia y características principales del tratamiento al que serán sometidos sus datos personales, estando obligado </w:t>
      </w:r>
      <w:r w:rsidRPr="00B843B7">
        <w:rPr>
          <w:rFonts w:ascii="Palatino Linotype" w:hAnsi="Palatino Linotype"/>
          <w:b/>
          <w:iCs/>
          <w:color w:val="000000"/>
        </w:rPr>
        <w:t>todo aquel que trate datos personales, sin importar la actividad que realice, o si se trata de una persona física o moral.</w:t>
      </w:r>
    </w:p>
    <w:p w14:paraId="33CBD89C"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02AC0A0E"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hAnsi="Palatino Linotype"/>
          <w:color w:val="000000" w:themeColor="text1"/>
        </w:rPr>
        <w:t xml:space="preserve">Hasta </w:t>
      </w:r>
      <w:r w:rsidRPr="00B843B7">
        <w:rPr>
          <w:rFonts w:ascii="Palatino Linotype" w:hAnsi="Palatino Linotype"/>
          <w:iCs/>
          <w:color w:val="000000"/>
        </w:rPr>
        <w:t>aquí se tiene que el Aviso de Privacidad, es un documento generado por el responsable de la administración de datos, que se pone a disposición de su titular, con la finalidad de informarle acerca de su tratamiento; es decir se informa qué datos son los que serán recabados y con qué fines.</w:t>
      </w:r>
    </w:p>
    <w:p w14:paraId="1D0A632D"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328B6FA5"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eastAsia="MS Gothic" w:hAnsi="Palatino Linotype" w:cs="Times New Roman"/>
          <w:szCs w:val="26"/>
        </w:rPr>
        <w:t xml:space="preserve">Como </w:t>
      </w:r>
      <w:r w:rsidRPr="00B843B7">
        <w:rPr>
          <w:rFonts w:ascii="Palatino Linotype" w:hAnsi="Palatino Linotype"/>
          <w:iCs/>
          <w:color w:val="000000"/>
        </w:rPr>
        <w:t xml:space="preserve">se aprecia, este documento, es sumamente importante en la protección de los datos personales, pues permite que el titular conozca y esté informado sobre los datos que se le están pidiendo y cuál será el destino de éstos, asimismo, dicho aviso, </w:t>
      </w:r>
      <w:r w:rsidRPr="00B843B7">
        <w:rPr>
          <w:rFonts w:ascii="Palatino Linotype" w:hAnsi="Palatino Linotype"/>
          <w:iCs/>
          <w:color w:val="000000"/>
        </w:rPr>
        <w:lastRenderedPageBreak/>
        <w:t>establece y delimita el alcance, términos y condiciones a las que se sujetará el tratamiento de datos personales, a fin de que su titular tome decisiones informadas con relación al uso de estos y por ende, también permite que el responsable, transparente el tratamiento y uso que dará a los mismos.</w:t>
      </w:r>
    </w:p>
    <w:p w14:paraId="2A46E38F"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7C94BDE3"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eastAsia="MS Gothic" w:hAnsi="Palatino Linotype" w:cs="Times New Roman"/>
          <w:szCs w:val="26"/>
        </w:rPr>
        <w:t xml:space="preserve">Ahora </w:t>
      </w:r>
      <w:r w:rsidRPr="00B843B7">
        <w:rPr>
          <w:rFonts w:ascii="Palatino Linotype" w:hAnsi="Palatino Linotype"/>
          <w:iCs/>
          <w:color w:val="000000"/>
        </w:rPr>
        <w:t xml:space="preserve">bien, la Ley de Protección de Datos </w:t>
      </w:r>
      <w:r w:rsidRPr="00B843B7">
        <w:rPr>
          <w:rFonts w:ascii="Palatino Linotype" w:eastAsia="MS Mincho" w:hAnsi="Palatino Linotype" w:cs="Arial"/>
        </w:rPr>
        <w:t>en Posesión de Sujetos Obligados del Estado de México y Municipios</w:t>
      </w:r>
      <w:r w:rsidRPr="00B843B7">
        <w:rPr>
          <w:rFonts w:ascii="Palatino Linotype" w:hAnsi="Palatino Linotype"/>
          <w:iCs/>
          <w:color w:val="000000"/>
        </w:rPr>
        <w:t>, establece las excepciones para la comunicación previa del Aviso de Privacidad, las cuales son las siguientes:</w:t>
      </w:r>
    </w:p>
    <w:p w14:paraId="71459E9B"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6E284F1" w14:textId="77777777" w:rsidR="00607455" w:rsidRPr="00B843B7" w:rsidRDefault="00607455" w:rsidP="00607455">
      <w:pPr>
        <w:spacing w:line="276" w:lineRule="auto"/>
        <w:ind w:left="567" w:right="567"/>
        <w:jc w:val="both"/>
        <w:rPr>
          <w:rFonts w:ascii="Palatino Linotype" w:hAnsi="Palatino Linotype"/>
          <w:b/>
          <w:i/>
          <w:sz w:val="22"/>
        </w:rPr>
      </w:pPr>
      <w:r w:rsidRPr="00B843B7">
        <w:rPr>
          <w:rFonts w:ascii="Palatino Linotype" w:hAnsi="Palatino Linotype"/>
          <w:b/>
          <w:i/>
          <w:sz w:val="22"/>
        </w:rPr>
        <w:t xml:space="preserve">“Artículo 34. No será necesario proporcionar el aviso de privacidad de manera previa, a la o el titular, cuando: </w:t>
      </w:r>
    </w:p>
    <w:p w14:paraId="0B12C2EF" w14:textId="77777777" w:rsidR="00607455" w:rsidRPr="00B843B7" w:rsidRDefault="00607455" w:rsidP="00607455">
      <w:pPr>
        <w:spacing w:line="276" w:lineRule="auto"/>
        <w:ind w:left="567" w:right="567"/>
        <w:jc w:val="both"/>
        <w:rPr>
          <w:rFonts w:ascii="Palatino Linotype" w:hAnsi="Palatino Linotype"/>
          <w:b/>
          <w:i/>
          <w:sz w:val="22"/>
        </w:rPr>
      </w:pPr>
    </w:p>
    <w:p w14:paraId="69CCF2D5" w14:textId="77777777" w:rsidR="00607455" w:rsidRPr="00B843B7" w:rsidRDefault="00607455" w:rsidP="00607455">
      <w:pPr>
        <w:spacing w:line="276" w:lineRule="auto"/>
        <w:ind w:left="567" w:right="567"/>
        <w:jc w:val="both"/>
        <w:rPr>
          <w:rFonts w:ascii="Palatino Linotype" w:hAnsi="Palatino Linotype"/>
          <w:i/>
          <w:sz w:val="22"/>
        </w:rPr>
      </w:pPr>
      <w:r w:rsidRPr="00B843B7">
        <w:rPr>
          <w:rFonts w:ascii="Palatino Linotype" w:hAnsi="Palatino Linotype"/>
          <w:i/>
          <w:sz w:val="22"/>
        </w:rPr>
        <w:t xml:space="preserve">I. Expresamente una ley lo prevea. </w:t>
      </w:r>
    </w:p>
    <w:p w14:paraId="768CD56E" w14:textId="77777777" w:rsidR="00607455" w:rsidRPr="00B843B7" w:rsidRDefault="00607455" w:rsidP="00607455">
      <w:pPr>
        <w:spacing w:line="276" w:lineRule="auto"/>
        <w:ind w:left="567" w:right="567"/>
        <w:jc w:val="both"/>
        <w:rPr>
          <w:rFonts w:ascii="Palatino Linotype" w:hAnsi="Palatino Linotype"/>
          <w:b/>
          <w:i/>
          <w:sz w:val="22"/>
        </w:rPr>
      </w:pPr>
      <w:r w:rsidRPr="00B843B7">
        <w:rPr>
          <w:rFonts w:ascii="Palatino Linotype" w:hAnsi="Palatino Linotype"/>
          <w:b/>
          <w:i/>
          <w:sz w:val="22"/>
        </w:rPr>
        <w:t xml:space="preserve">II. Los datos personales se obtengan de manera indirecta. </w:t>
      </w:r>
    </w:p>
    <w:p w14:paraId="13E4C710" w14:textId="77777777" w:rsidR="00607455" w:rsidRPr="00B843B7" w:rsidRDefault="00607455" w:rsidP="00607455">
      <w:pPr>
        <w:spacing w:line="276" w:lineRule="auto"/>
        <w:ind w:left="567" w:right="567"/>
        <w:jc w:val="both"/>
        <w:rPr>
          <w:rFonts w:ascii="Palatino Linotype" w:hAnsi="Palatino Linotype"/>
          <w:i/>
          <w:sz w:val="22"/>
        </w:rPr>
      </w:pPr>
      <w:r w:rsidRPr="00B843B7">
        <w:rPr>
          <w:rFonts w:ascii="Palatino Linotype" w:hAnsi="Palatino Linotype"/>
          <w:i/>
          <w:sz w:val="22"/>
        </w:rPr>
        <w:t xml:space="preserve">III. Se trate de urgencias médicas, seguridad pública, o análogas en las cuales se ponga en riesgo la vida o la libertad de las personas, en términos de la legislación de la materia. </w:t>
      </w:r>
    </w:p>
    <w:p w14:paraId="4AB56C15" w14:textId="77777777" w:rsidR="00607455" w:rsidRPr="00B843B7" w:rsidRDefault="00607455" w:rsidP="00607455">
      <w:pPr>
        <w:spacing w:line="276" w:lineRule="auto"/>
        <w:ind w:left="567" w:right="567"/>
        <w:jc w:val="both"/>
        <w:rPr>
          <w:rFonts w:ascii="Palatino Linotype" w:hAnsi="Palatino Linotype"/>
          <w:i/>
          <w:sz w:val="22"/>
        </w:rPr>
      </w:pPr>
      <w:r w:rsidRPr="00B843B7">
        <w:rPr>
          <w:rFonts w:ascii="Palatino Linotype" w:hAnsi="Palatino Linotype"/>
          <w:i/>
          <w:sz w:val="22"/>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2D002F1B" w14:textId="77777777" w:rsidR="00607455" w:rsidRPr="00B843B7" w:rsidRDefault="00607455" w:rsidP="00607455">
      <w:pPr>
        <w:spacing w:line="276" w:lineRule="auto"/>
        <w:ind w:left="567" w:right="567"/>
        <w:jc w:val="both"/>
        <w:rPr>
          <w:rFonts w:ascii="Palatino Linotype" w:hAnsi="Palatino Linotype"/>
          <w:i/>
          <w:sz w:val="22"/>
        </w:rPr>
      </w:pPr>
    </w:p>
    <w:p w14:paraId="7B1BF19A" w14:textId="77777777" w:rsidR="00607455" w:rsidRPr="00B843B7" w:rsidRDefault="00607455" w:rsidP="00607455">
      <w:pPr>
        <w:spacing w:line="276" w:lineRule="auto"/>
        <w:ind w:left="567" w:right="567"/>
        <w:jc w:val="both"/>
        <w:rPr>
          <w:rFonts w:ascii="Palatino Linotype" w:hAnsi="Palatino Linotype"/>
          <w:i/>
          <w:sz w:val="22"/>
        </w:rPr>
      </w:pPr>
      <w:r w:rsidRPr="00B843B7">
        <w:rPr>
          <w:rFonts w:ascii="Palatino Linotype" w:hAnsi="Palatino Linotype"/>
          <w:i/>
          <w:sz w:val="22"/>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7A109621" w14:textId="77777777" w:rsidR="00607455" w:rsidRPr="00B843B7" w:rsidRDefault="00607455" w:rsidP="00607455">
      <w:pPr>
        <w:spacing w:line="276" w:lineRule="auto"/>
        <w:ind w:left="567" w:right="567"/>
        <w:jc w:val="both"/>
        <w:rPr>
          <w:rFonts w:ascii="Palatino Linotype" w:hAnsi="Palatino Linotype"/>
          <w:i/>
          <w:sz w:val="22"/>
        </w:rPr>
      </w:pPr>
    </w:p>
    <w:p w14:paraId="695C737C" w14:textId="77777777" w:rsidR="00607455" w:rsidRPr="00B843B7" w:rsidRDefault="00607455" w:rsidP="00607455">
      <w:pPr>
        <w:spacing w:line="276" w:lineRule="auto"/>
        <w:ind w:left="567" w:right="567"/>
        <w:jc w:val="both"/>
        <w:rPr>
          <w:rFonts w:ascii="Palatino Linotype" w:hAnsi="Palatino Linotype"/>
          <w:i/>
          <w:sz w:val="22"/>
        </w:rPr>
      </w:pPr>
      <w:r w:rsidRPr="00B843B7">
        <w:rPr>
          <w:rFonts w:ascii="Palatino Linotype" w:hAnsi="Palatino Linotype"/>
          <w:i/>
          <w:sz w:val="22"/>
        </w:rPr>
        <w:t xml:space="preserve">En los demás casos, es decir, cuando la finalidad sea análoga y compatible con aquella que originó su tratamiento conforme lo señalado en la presente Ley, el aviso de privacidad será comunicado al titular en los mismos términos del párrafo anterior”. </w:t>
      </w:r>
    </w:p>
    <w:p w14:paraId="1AC753DC"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10EE9213" w14:textId="6BE8E367" w:rsidR="005165F9" w:rsidRPr="00B843B7" w:rsidRDefault="00607455" w:rsidP="006074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eastAsia="MS Gothic" w:hAnsi="Palatino Linotype" w:cs="Times New Roman"/>
          <w:szCs w:val="26"/>
        </w:rPr>
        <w:t xml:space="preserve">De </w:t>
      </w:r>
      <w:r w:rsidRPr="00B843B7">
        <w:rPr>
          <w:rFonts w:ascii="Palatino Linotype" w:hAnsi="Palatino Linotype"/>
          <w:iCs/>
          <w:color w:val="000000"/>
        </w:rPr>
        <w:t>lo anterior, se tiene que el responsable no siempre estará obligado a dar a conocer el aviso de privacidad, como cuando los datos personales los haya obtenido de forma indirecta, cuando la ley lo prevea, se trate de urgencias médicas, seguridad pública o sus análogas, cuando resulte imposible dar a conocer el mismo.</w:t>
      </w:r>
    </w:p>
    <w:p w14:paraId="2E419F08"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179C19B3" w14:textId="77777777" w:rsidR="00607455" w:rsidRPr="00B843B7" w:rsidRDefault="00607455" w:rsidP="00607455">
      <w:pPr>
        <w:pStyle w:val="Prrafodelista"/>
        <w:numPr>
          <w:ilvl w:val="0"/>
          <w:numId w:val="1"/>
        </w:numPr>
        <w:tabs>
          <w:tab w:val="left" w:pos="142"/>
          <w:tab w:val="left" w:pos="284"/>
          <w:tab w:val="left" w:pos="426"/>
          <w:tab w:val="left" w:pos="993"/>
        </w:tabs>
        <w:spacing w:before="240" w:after="240" w:line="360" w:lineRule="auto"/>
        <w:jc w:val="both"/>
        <w:rPr>
          <w:rFonts w:ascii="Palatino Linotype" w:eastAsia="MS Gothic" w:hAnsi="Palatino Linotype" w:cs="Times New Roman"/>
          <w:szCs w:val="26"/>
        </w:rPr>
      </w:pPr>
      <w:r w:rsidRPr="00B843B7">
        <w:rPr>
          <w:rFonts w:ascii="Palatino Linotype" w:hAnsi="Palatino Linotype"/>
          <w:color w:val="000000" w:themeColor="text1"/>
        </w:rPr>
        <w:t xml:space="preserve">Empero, cuando se recaben datos personales de forma directa, el </w:t>
      </w:r>
      <w:r w:rsidRPr="00B843B7">
        <w:rPr>
          <w:rFonts w:ascii="Palatino Linotype" w:hAnsi="Palatino Linotype"/>
          <w:b/>
          <w:color w:val="000000" w:themeColor="text1"/>
        </w:rPr>
        <w:t>SUJETO OBLIGADO</w:t>
      </w:r>
      <w:r w:rsidRPr="00B843B7">
        <w:rPr>
          <w:rFonts w:ascii="Palatino Linotype" w:hAnsi="Palatino Linotype"/>
          <w:color w:val="000000" w:themeColor="text1"/>
        </w:rPr>
        <w:t xml:space="preserve"> deberá hacer </w:t>
      </w:r>
      <w:r w:rsidRPr="00B843B7">
        <w:rPr>
          <w:rFonts w:ascii="Palatino Linotype" w:hAnsi="Palatino Linotype"/>
          <w:iCs/>
          <w:color w:val="000000"/>
        </w:rPr>
        <w:t>del conocimiento a sus titulares el respectivo aviso de privacidad, la información que se recabe y con qué fines, así como la existencia y características principales del tratamiento al que serán sometidos sus datos personales, a fin de que puedan tomar decisiones informadas al respecto y demás obligaciones a cargo del “Responsable</w:t>
      </w:r>
      <w:r w:rsidRPr="00B843B7">
        <w:rPr>
          <w:rFonts w:ascii="Palatino Linotype" w:hAnsi="Palatino Linotype" w:cs="Arial"/>
        </w:rPr>
        <w:t xml:space="preserve"> ”</w:t>
      </w:r>
      <w:r w:rsidRPr="00B843B7">
        <w:rPr>
          <w:rStyle w:val="Refdenotaalpie"/>
          <w:rFonts w:ascii="Palatino Linotype" w:hAnsi="Palatino Linotype" w:cs="Arial"/>
        </w:rPr>
        <w:footnoteReference w:id="12"/>
      </w:r>
      <w:r w:rsidRPr="00B843B7">
        <w:rPr>
          <w:lang w:eastAsia="es-MX"/>
        </w:rPr>
        <w:t xml:space="preserve"> </w:t>
      </w:r>
      <w:r w:rsidRPr="00B843B7">
        <w:rPr>
          <w:rFonts w:ascii="Palatino Linotype" w:hAnsi="Palatino Linotype"/>
          <w:lang w:eastAsia="es-MX"/>
        </w:rPr>
        <w:t>en términos de los artículos 23, 27, 29 y 98 de la Ley de Protección de Datos Personales en Posesión de Sujetos Obligados del Estado de México y Municipios, que establecen:</w:t>
      </w:r>
    </w:p>
    <w:p w14:paraId="5A92A192"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464D4B0F"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w:t>
      </w:r>
      <w:r w:rsidRPr="00B843B7">
        <w:rPr>
          <w:rFonts w:ascii="Palatino Linotype" w:hAnsi="Palatino Linotype" w:cs="Arial"/>
          <w:b/>
          <w:i/>
          <w:sz w:val="22"/>
        </w:rPr>
        <w:t>Artículo 23</w:t>
      </w:r>
      <w:r w:rsidRPr="00B843B7">
        <w:rPr>
          <w:rFonts w:ascii="Palatino Linotype" w:hAnsi="Palatino Linotype" w:cs="Arial"/>
          <w:i/>
          <w:sz w:val="22"/>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w:t>
      </w:r>
    </w:p>
    <w:p w14:paraId="1E45634E" w14:textId="77777777" w:rsidR="00607455" w:rsidRPr="00B843B7" w:rsidRDefault="00607455" w:rsidP="00607455">
      <w:pPr>
        <w:spacing w:line="276" w:lineRule="auto"/>
        <w:ind w:left="567" w:right="567"/>
        <w:jc w:val="both"/>
        <w:rPr>
          <w:rFonts w:ascii="Palatino Linotype" w:hAnsi="Palatino Linotype" w:cs="Arial"/>
          <w:i/>
          <w:sz w:val="6"/>
        </w:rPr>
      </w:pPr>
      <w:r w:rsidRPr="00B843B7">
        <w:rPr>
          <w:rFonts w:ascii="Palatino Linotype" w:hAnsi="Palatino Linotype" w:cs="Arial"/>
          <w:i/>
          <w:sz w:val="22"/>
        </w:rPr>
        <w:t xml:space="preserve"> </w:t>
      </w:r>
    </w:p>
    <w:p w14:paraId="66FF6D8B"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lastRenderedPageBreak/>
        <w:t xml:space="preserve">El aviso de privacidad estará redactado y estructurado de manera clara precisa y sencilla, será difundido por los medios electrónicos y físicos con que cuente el responsable. </w:t>
      </w:r>
    </w:p>
    <w:p w14:paraId="701A4EE6" w14:textId="77777777" w:rsidR="00607455" w:rsidRPr="00B843B7" w:rsidRDefault="00607455" w:rsidP="00607455">
      <w:pPr>
        <w:spacing w:line="276" w:lineRule="auto"/>
        <w:ind w:left="567" w:right="567"/>
        <w:jc w:val="both"/>
        <w:rPr>
          <w:rFonts w:ascii="Palatino Linotype" w:hAnsi="Palatino Linotype" w:cs="Arial"/>
          <w:i/>
          <w:sz w:val="8"/>
        </w:rPr>
      </w:pPr>
      <w:r w:rsidRPr="00B843B7">
        <w:rPr>
          <w:rFonts w:ascii="Palatino Linotype" w:hAnsi="Palatino Linotype" w:cs="Arial"/>
          <w:i/>
          <w:sz w:val="22"/>
        </w:rPr>
        <w:t xml:space="preserve"> </w:t>
      </w:r>
    </w:p>
    <w:p w14:paraId="3C51D2DA"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p>
    <w:p w14:paraId="2A12D46E" w14:textId="77777777" w:rsidR="00607455" w:rsidRPr="00B843B7" w:rsidRDefault="00607455" w:rsidP="00607455">
      <w:pPr>
        <w:spacing w:line="276" w:lineRule="auto"/>
        <w:ind w:left="567" w:right="567"/>
        <w:jc w:val="both"/>
        <w:rPr>
          <w:rFonts w:ascii="Palatino Linotype" w:hAnsi="Palatino Linotype" w:cs="Arial"/>
          <w:i/>
          <w:sz w:val="22"/>
        </w:rPr>
      </w:pPr>
    </w:p>
    <w:p w14:paraId="2F6C54A2"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w:t>
      </w:r>
      <w:r w:rsidRPr="00B843B7">
        <w:rPr>
          <w:rFonts w:ascii="Palatino Linotype" w:hAnsi="Palatino Linotype" w:cs="Arial"/>
          <w:b/>
          <w:i/>
          <w:sz w:val="22"/>
        </w:rPr>
        <w:t>Artículo 27</w:t>
      </w:r>
      <w:r w:rsidRPr="00B843B7">
        <w:rPr>
          <w:rFonts w:ascii="Palatino Linotype" w:hAnsi="Palatino Linotype" w:cs="Arial"/>
          <w:i/>
          <w:sz w:val="22"/>
        </w:rPr>
        <w:t xml:space="preserve">. El responsable cumplirá con los principios de protección de datos establecidos por esta Ley, debiendo adoptar las medidas necesarias para su aplicación. Lo anterior cuando los datos fueren tratados por un encargado o tercero a solicitud del sujeto obligado. </w:t>
      </w:r>
    </w:p>
    <w:p w14:paraId="69F78811" w14:textId="77777777" w:rsidR="00607455" w:rsidRPr="00B843B7" w:rsidRDefault="00607455" w:rsidP="00607455">
      <w:pPr>
        <w:spacing w:line="276" w:lineRule="auto"/>
        <w:ind w:left="567" w:right="567"/>
        <w:jc w:val="both"/>
        <w:rPr>
          <w:rFonts w:ascii="Palatino Linotype" w:hAnsi="Palatino Linotype" w:cs="Arial"/>
          <w:i/>
          <w:sz w:val="10"/>
        </w:rPr>
      </w:pPr>
      <w:r w:rsidRPr="00B843B7">
        <w:rPr>
          <w:rFonts w:ascii="Palatino Linotype" w:hAnsi="Palatino Linotype" w:cs="Arial"/>
          <w:i/>
          <w:sz w:val="22"/>
        </w:rPr>
        <w:t xml:space="preserve"> </w:t>
      </w:r>
    </w:p>
    <w:p w14:paraId="582BDD60"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 xml:space="preserve">El responsable deberá tomar las medidas necesarias y suficientes para garantizar que el aviso de privacidad dado a conocer a la o el titular, será respetado en todo momento y por terceros que guarde alguna relación jurídica. </w:t>
      </w:r>
    </w:p>
    <w:p w14:paraId="25D8869D" w14:textId="77777777" w:rsidR="00607455" w:rsidRPr="00B843B7" w:rsidRDefault="00607455" w:rsidP="00607455">
      <w:pPr>
        <w:spacing w:line="276" w:lineRule="auto"/>
        <w:ind w:left="567" w:right="567"/>
        <w:jc w:val="both"/>
        <w:rPr>
          <w:rFonts w:ascii="Palatino Linotype" w:hAnsi="Palatino Linotype" w:cs="Arial"/>
          <w:i/>
          <w:sz w:val="8"/>
        </w:rPr>
      </w:pPr>
      <w:r w:rsidRPr="00B843B7">
        <w:rPr>
          <w:rFonts w:ascii="Palatino Linotype" w:hAnsi="Palatino Linotype" w:cs="Arial"/>
          <w:i/>
          <w:sz w:val="22"/>
        </w:rPr>
        <w:t xml:space="preserve"> </w:t>
      </w:r>
    </w:p>
    <w:p w14:paraId="7EB10D99"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69639B3E" w14:textId="77777777" w:rsidR="00607455" w:rsidRPr="00B843B7" w:rsidRDefault="00607455" w:rsidP="00607455">
      <w:pPr>
        <w:spacing w:line="276" w:lineRule="auto"/>
        <w:ind w:left="567" w:right="567"/>
        <w:jc w:val="both"/>
        <w:rPr>
          <w:rFonts w:ascii="Palatino Linotype" w:hAnsi="Palatino Linotype" w:cs="Arial"/>
          <w:i/>
          <w:sz w:val="22"/>
        </w:rPr>
      </w:pPr>
    </w:p>
    <w:p w14:paraId="2D4792AF"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w:t>
      </w:r>
      <w:r w:rsidRPr="00B843B7">
        <w:rPr>
          <w:rFonts w:ascii="Palatino Linotype" w:hAnsi="Palatino Linotype" w:cs="Arial"/>
          <w:b/>
          <w:i/>
          <w:sz w:val="22"/>
        </w:rPr>
        <w:t>Artículo 29.</w:t>
      </w:r>
      <w:r w:rsidRPr="00B843B7">
        <w:rPr>
          <w:rFonts w:ascii="Palatino Linotype" w:hAnsi="Palatino Linotype" w:cs="Arial"/>
          <w:i/>
          <w:sz w:val="22"/>
        </w:rPr>
        <w:t xml:space="preserve"> Los responsables pondrán a disposición de la o el titular en formatos impresos, digitales, visuales, sonoros o de cualquier otra tecnología, el aviso de privacidad, en las modalidades simplificado e integral.”</w:t>
      </w:r>
    </w:p>
    <w:p w14:paraId="2DD31266" w14:textId="77777777" w:rsidR="00607455" w:rsidRPr="00B843B7" w:rsidRDefault="00607455" w:rsidP="00607455">
      <w:pPr>
        <w:spacing w:line="276" w:lineRule="auto"/>
        <w:ind w:left="567" w:right="567"/>
        <w:jc w:val="both"/>
        <w:rPr>
          <w:rFonts w:ascii="Palatino Linotype" w:hAnsi="Palatino Linotype" w:cs="Arial"/>
          <w:i/>
          <w:sz w:val="22"/>
        </w:rPr>
      </w:pPr>
    </w:p>
    <w:p w14:paraId="1575B032"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t>“</w:t>
      </w:r>
      <w:r w:rsidRPr="00B843B7">
        <w:rPr>
          <w:rFonts w:ascii="Palatino Linotype" w:hAnsi="Palatino Linotype" w:cs="Arial"/>
          <w:b/>
          <w:i/>
          <w:sz w:val="22"/>
        </w:rPr>
        <w:t>Artículo 98</w:t>
      </w:r>
      <w:r w:rsidRPr="00B843B7">
        <w:rPr>
          <w:rFonts w:ascii="Palatino Linotype" w:hAnsi="Palatino Linotype" w:cs="Arial"/>
          <w:i/>
          <w:sz w:val="22"/>
        </w:rPr>
        <w:t xml:space="preserve">. El titular tiene derecho a acceder, solicitar y ser informado sobre sus datos personales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 </w:t>
      </w:r>
    </w:p>
    <w:p w14:paraId="5EF5192C" w14:textId="77777777" w:rsidR="00607455" w:rsidRPr="00B843B7" w:rsidRDefault="00607455" w:rsidP="00607455">
      <w:pPr>
        <w:spacing w:line="276" w:lineRule="auto"/>
        <w:ind w:left="567" w:right="567"/>
        <w:jc w:val="both"/>
        <w:rPr>
          <w:rFonts w:ascii="Palatino Linotype" w:hAnsi="Palatino Linotype" w:cs="Arial"/>
          <w:i/>
          <w:sz w:val="8"/>
        </w:rPr>
      </w:pPr>
    </w:p>
    <w:p w14:paraId="7BD390DC" w14:textId="77777777" w:rsidR="00607455" w:rsidRPr="00B843B7" w:rsidRDefault="00607455" w:rsidP="00607455">
      <w:pPr>
        <w:spacing w:line="276" w:lineRule="auto"/>
        <w:ind w:left="567" w:right="567"/>
        <w:jc w:val="both"/>
        <w:rPr>
          <w:rFonts w:ascii="Palatino Linotype" w:hAnsi="Palatino Linotype" w:cs="Arial"/>
          <w:i/>
          <w:sz w:val="22"/>
        </w:rPr>
      </w:pPr>
      <w:r w:rsidRPr="00B843B7">
        <w:rPr>
          <w:rFonts w:ascii="Palatino Linotype" w:hAnsi="Palatino Linotype" w:cs="Arial"/>
          <w:i/>
          <w:sz w:val="22"/>
        </w:rPr>
        <w:lastRenderedPageBreak/>
        <w:t>El responsable debe responder al ejercicio del derecho de acceso, tenga o no datos de carácter personal del interesado en su sistema de datos.”</w:t>
      </w:r>
    </w:p>
    <w:p w14:paraId="7E694CFE" w14:textId="77777777" w:rsidR="00607455" w:rsidRPr="00B843B7" w:rsidRDefault="00607455" w:rsidP="00607455">
      <w:pPr>
        <w:pStyle w:val="Prrafodelista"/>
        <w:tabs>
          <w:tab w:val="left" w:pos="142"/>
          <w:tab w:val="left" w:pos="284"/>
          <w:tab w:val="left" w:pos="426"/>
          <w:tab w:val="left" w:pos="993"/>
        </w:tabs>
        <w:spacing w:before="240" w:after="240" w:line="360" w:lineRule="auto"/>
        <w:ind w:left="0"/>
        <w:jc w:val="both"/>
        <w:rPr>
          <w:rFonts w:ascii="Palatino Linotype" w:eastAsia="MS Gothic" w:hAnsi="Palatino Linotype" w:cs="Times New Roman"/>
          <w:szCs w:val="26"/>
        </w:rPr>
      </w:pPr>
    </w:p>
    <w:p w14:paraId="4B989D4F" w14:textId="3C0A8437" w:rsidR="005165F9" w:rsidRPr="00B843B7" w:rsidRDefault="00607455" w:rsidP="0060745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eastAsia="MS Gothic" w:hAnsi="Palatino Linotype" w:cs="Times New Roman"/>
          <w:szCs w:val="26"/>
        </w:rPr>
        <w:t xml:space="preserve">Conforme </w:t>
      </w:r>
      <w:r w:rsidRPr="00B843B7">
        <w:rPr>
          <w:rFonts w:ascii="Palatino Linotype" w:hAnsi="Palatino Linotype"/>
          <w:iCs/>
          <w:color w:val="000000"/>
        </w:rPr>
        <w:t>a los artículos transcritos, se colige la obligación de los responsables, en el tratamiento de datos personales, de notificar los respectivos avisos de privacidad en sus modalidades integral y simplificado, pues éstos documentos son las herramientas fundamentales que hacen del conocimiento de la ciudadanía sobre las razones y motivos por las que un ente público recaba sus datos personales, así como sus fines, modalidades de protección de los mismos, etcétera.</w:t>
      </w:r>
    </w:p>
    <w:p w14:paraId="267EBEE3"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16465706" w14:textId="21F29E28" w:rsidR="005165F9" w:rsidRPr="00B843B7" w:rsidRDefault="00607455"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Dicho lo anterior, debemos recordar que el particular solicitó acceder a los Avisos de Privacidad publicados en la página oficial del Ayuntamiento de Temoaya; por ello, este organismo garante se determinó a realizar una búsqueda de la información solicitada en la dirección </w:t>
      </w:r>
      <w:r w:rsidRPr="00B843B7">
        <w:rPr>
          <w:rFonts w:ascii="Palatino Linotype" w:hAnsi="Palatino Linotype"/>
          <w:i/>
          <w:color w:val="000000" w:themeColor="text1"/>
        </w:rPr>
        <w:t>web</w:t>
      </w:r>
      <w:r w:rsidRPr="00B843B7">
        <w:rPr>
          <w:rFonts w:ascii="Palatino Linotype" w:hAnsi="Palatino Linotype"/>
          <w:color w:val="000000" w:themeColor="text1"/>
        </w:rPr>
        <w:t xml:space="preserve"> </w:t>
      </w:r>
      <w:hyperlink r:id="rId8" w:history="1">
        <w:r w:rsidRPr="00B843B7">
          <w:rPr>
            <w:rStyle w:val="Hipervnculo"/>
            <w:rFonts w:ascii="Palatino Linotype" w:hAnsi="Palatino Linotype"/>
          </w:rPr>
          <w:t>www.temoaya.gob.mx</w:t>
        </w:r>
      </w:hyperlink>
      <w:r w:rsidRPr="00B843B7">
        <w:rPr>
          <w:rFonts w:ascii="Palatino Linotype" w:hAnsi="Palatino Linotype"/>
          <w:color w:val="000000" w:themeColor="text1"/>
        </w:rPr>
        <w:t xml:space="preserve">, donde se encontró un </w:t>
      </w:r>
      <w:r w:rsidR="004A6173" w:rsidRPr="00B843B7">
        <w:rPr>
          <w:rFonts w:ascii="Palatino Linotype" w:hAnsi="Palatino Linotype"/>
          <w:color w:val="000000" w:themeColor="text1"/>
        </w:rPr>
        <w:t>micrositio</w:t>
      </w:r>
      <w:r w:rsidRPr="00B843B7">
        <w:rPr>
          <w:rStyle w:val="Refdenotaalpie"/>
          <w:rFonts w:ascii="Palatino Linotype" w:hAnsi="Palatino Linotype"/>
          <w:color w:val="000000" w:themeColor="text1"/>
        </w:rPr>
        <w:footnoteReference w:id="13"/>
      </w:r>
      <w:r w:rsidRPr="00B843B7">
        <w:rPr>
          <w:rFonts w:ascii="Palatino Linotype" w:hAnsi="Palatino Linotype"/>
          <w:color w:val="000000" w:themeColor="text1"/>
        </w:rPr>
        <w:t xml:space="preserve"> donde se muestran hipervínculos a diversos portales relacionados con transparencia y acceso a la información pública, así como ejercicio de derechos ARCO, </w:t>
      </w:r>
      <w:r w:rsidRPr="00B843B7">
        <w:rPr>
          <w:rFonts w:ascii="Palatino Linotype" w:hAnsi="Palatino Linotype"/>
          <w:b/>
          <w:color w:val="000000" w:themeColor="text1"/>
        </w:rPr>
        <w:t>y un listado de los Avisos de Privacidad, integrales y simplificados, con los que cuenta cada una de las áreas administrativas del Ayuntamiento</w:t>
      </w:r>
      <w:r w:rsidRPr="00B843B7">
        <w:rPr>
          <w:rFonts w:ascii="Palatino Linotype" w:hAnsi="Palatino Linotype"/>
          <w:color w:val="000000" w:themeColor="text1"/>
        </w:rPr>
        <w:t>. Se adjuntan las siguientes capturas de imagen a modo de referencia:</w:t>
      </w:r>
    </w:p>
    <w:p w14:paraId="676DE128"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020F830E" w14:textId="77777777" w:rsidR="00607455" w:rsidRPr="00B843B7" w:rsidRDefault="00607455" w:rsidP="00607455">
      <w:pPr>
        <w:pStyle w:val="Prrafodelista"/>
        <w:tabs>
          <w:tab w:val="left" w:pos="426"/>
        </w:tabs>
        <w:spacing w:before="240" w:after="240" w:line="360" w:lineRule="auto"/>
        <w:ind w:left="0" w:right="51"/>
        <w:jc w:val="center"/>
        <w:rPr>
          <w:rFonts w:ascii="Palatino Linotype" w:hAnsi="Palatino Linotype"/>
          <w:color w:val="000000" w:themeColor="text1"/>
        </w:rPr>
      </w:pPr>
    </w:p>
    <w:p w14:paraId="759DFC4B" w14:textId="3D301723" w:rsidR="00607455" w:rsidRPr="00B843B7" w:rsidRDefault="00607455" w:rsidP="00607455">
      <w:pPr>
        <w:pStyle w:val="Prrafodelista"/>
        <w:tabs>
          <w:tab w:val="left" w:pos="426"/>
        </w:tabs>
        <w:spacing w:before="240" w:after="240" w:line="360" w:lineRule="auto"/>
        <w:ind w:left="0" w:right="51"/>
        <w:jc w:val="center"/>
        <w:rPr>
          <w:rFonts w:ascii="Palatino Linotype" w:hAnsi="Palatino Linotype"/>
          <w:color w:val="000000" w:themeColor="text1"/>
        </w:rPr>
      </w:pPr>
      <w:r w:rsidRPr="00B843B7">
        <w:rPr>
          <w:rFonts w:ascii="Palatino Linotype" w:hAnsi="Palatino Linotype"/>
          <w:noProof/>
          <w:color w:val="000000" w:themeColor="text1"/>
          <w:lang w:eastAsia="es-MX"/>
        </w:rPr>
        <w:lastRenderedPageBreak/>
        <w:drawing>
          <wp:inline distT="0" distB="0" distL="0" distR="0" wp14:anchorId="78F46AB6" wp14:editId="027FF610">
            <wp:extent cx="4792496" cy="2449001"/>
            <wp:effectExtent l="57150" t="57150" r="122555" b="1231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9147"/>
                    <a:stretch/>
                  </pic:blipFill>
                  <pic:spPr bwMode="auto">
                    <a:xfrm>
                      <a:off x="0" y="0"/>
                      <a:ext cx="4797131" cy="2451370"/>
                    </a:xfrm>
                    <a:prstGeom prst="rect">
                      <a:avLst/>
                    </a:prstGeom>
                    <a:ln w="1905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FD93FC" w14:textId="77777777" w:rsidR="00607455" w:rsidRPr="00B843B7" w:rsidRDefault="00607455" w:rsidP="00607455">
      <w:pPr>
        <w:pStyle w:val="Prrafodelista"/>
        <w:tabs>
          <w:tab w:val="left" w:pos="426"/>
        </w:tabs>
        <w:spacing w:before="240" w:after="240" w:line="360" w:lineRule="auto"/>
        <w:ind w:left="0" w:right="51"/>
        <w:jc w:val="center"/>
        <w:rPr>
          <w:rFonts w:ascii="Palatino Linotype" w:hAnsi="Palatino Linotype"/>
          <w:color w:val="000000" w:themeColor="text1"/>
        </w:rPr>
      </w:pPr>
    </w:p>
    <w:p w14:paraId="28236F41" w14:textId="55B8963E" w:rsidR="00607455" w:rsidRPr="00B843B7" w:rsidRDefault="00607455" w:rsidP="00607455">
      <w:pPr>
        <w:pStyle w:val="Prrafodelista"/>
        <w:tabs>
          <w:tab w:val="left" w:pos="426"/>
        </w:tabs>
        <w:spacing w:before="240" w:after="240" w:line="360" w:lineRule="auto"/>
        <w:ind w:left="0" w:right="51"/>
        <w:jc w:val="center"/>
        <w:rPr>
          <w:rFonts w:ascii="Palatino Linotype" w:hAnsi="Palatino Linotype"/>
          <w:color w:val="000000" w:themeColor="text1"/>
        </w:rPr>
      </w:pPr>
      <w:r w:rsidRPr="00B843B7">
        <w:rPr>
          <w:rFonts w:ascii="Palatino Linotype" w:hAnsi="Palatino Linotype"/>
          <w:noProof/>
          <w:color w:val="000000" w:themeColor="text1"/>
          <w:lang w:eastAsia="es-MX"/>
        </w:rPr>
        <w:drawing>
          <wp:inline distT="0" distB="0" distL="0" distR="0" wp14:anchorId="2568B47F" wp14:editId="4786C2EA">
            <wp:extent cx="4766469" cy="2464905"/>
            <wp:effectExtent l="57150" t="57150" r="110490" b="1073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8058"/>
                    <a:stretch/>
                  </pic:blipFill>
                  <pic:spPr bwMode="auto">
                    <a:xfrm>
                      <a:off x="0" y="0"/>
                      <a:ext cx="4776188" cy="24699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F05D6F" w14:textId="0B1F8A0B" w:rsidR="00607455" w:rsidRPr="00B843B7" w:rsidRDefault="002C77A7" w:rsidP="00607455">
      <w:pPr>
        <w:pStyle w:val="Prrafodelista"/>
        <w:tabs>
          <w:tab w:val="left" w:pos="426"/>
        </w:tabs>
        <w:spacing w:before="240" w:after="240" w:line="360" w:lineRule="auto"/>
        <w:ind w:left="0" w:right="51"/>
        <w:jc w:val="center"/>
        <w:rPr>
          <w:rFonts w:ascii="Palatino Linotype" w:hAnsi="Palatino Linotype"/>
          <w:color w:val="000000" w:themeColor="text1"/>
        </w:rPr>
      </w:pPr>
      <w:r w:rsidRPr="00B843B7">
        <w:rPr>
          <w:rFonts w:ascii="Palatino Linotype" w:hAnsi="Palatino Linotype"/>
          <w:noProof/>
          <w:color w:val="000000" w:themeColor="text1"/>
          <w:lang w:eastAsia="es-MX"/>
        </w:rPr>
        <w:lastRenderedPageBreak/>
        <w:drawing>
          <wp:inline distT="0" distB="0" distL="0" distR="0" wp14:anchorId="53FF8BBB" wp14:editId="2B7E2D82">
            <wp:extent cx="4769292" cy="2682524"/>
            <wp:effectExtent l="57150" t="57150" r="107950" b="1181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5476" cy="26860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E4B538" w14:textId="77777777" w:rsidR="00607455" w:rsidRPr="00B843B7" w:rsidRDefault="00607455"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22C46F6B" w14:textId="1A1D4217" w:rsidR="005165F9" w:rsidRPr="00B843B7" w:rsidRDefault="002C77A7"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Al dar </w:t>
      </w:r>
      <w:r w:rsidRPr="00B843B7">
        <w:rPr>
          <w:rFonts w:ascii="Palatino Linotype" w:hAnsi="Palatino Linotype"/>
          <w:i/>
          <w:color w:val="000000" w:themeColor="text1"/>
        </w:rPr>
        <w:t>clic</w:t>
      </w:r>
      <w:r w:rsidRPr="00B843B7">
        <w:rPr>
          <w:rFonts w:ascii="Palatino Linotype" w:hAnsi="Palatino Linotype"/>
          <w:color w:val="000000" w:themeColor="text1"/>
        </w:rPr>
        <w:t xml:space="preserve"> en cualquiera de las opciones para consultar los Avisos de Privacidad, sean integrales o simplificados, se despliega una lista de hipervínculos para consultar los documentos de las siguientes áreas administrativas:</w:t>
      </w:r>
    </w:p>
    <w:p w14:paraId="509EAF44" w14:textId="59CDCB4F"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Consejería Jurídica</w:t>
      </w:r>
    </w:p>
    <w:p w14:paraId="72B69226" w14:textId="044AEBB2"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Contraloría Municipal</w:t>
      </w:r>
    </w:p>
    <w:p w14:paraId="6111C2D3" w14:textId="6184107F"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Coordinación de Atención a la Mujer</w:t>
      </w:r>
    </w:p>
    <w:p w14:paraId="016BFEC9" w14:textId="37F8C8BF"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Coordinación de Creces</w:t>
      </w:r>
    </w:p>
    <w:p w14:paraId="271A083D" w14:textId="1DA9189C"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Coordinación de Comunicación Social</w:t>
      </w:r>
    </w:p>
    <w:p w14:paraId="2CBACDE0" w14:textId="5F058CE9"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Cuarta Regiduría</w:t>
      </w:r>
    </w:p>
    <w:p w14:paraId="1578D4D2" w14:textId="2CE25CCF"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Defensoría Municipal de los Derechos Humanos</w:t>
      </w:r>
    </w:p>
    <w:p w14:paraId="57892E3A" w14:textId="4D554572"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Departamento de Recursos Humanos</w:t>
      </w:r>
    </w:p>
    <w:p w14:paraId="44BF5687" w14:textId="43AA587D"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Agrícola y Ganadero</w:t>
      </w:r>
    </w:p>
    <w:p w14:paraId="7B6746F7" w14:textId="1CF3323D"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Asuntos Indígenas</w:t>
      </w:r>
    </w:p>
    <w:p w14:paraId="441A6E56" w14:textId="385635C7"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Desarrollo Económico</w:t>
      </w:r>
    </w:p>
    <w:p w14:paraId="4507B5C7" w14:textId="485B5498"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lastRenderedPageBreak/>
        <w:t>Dirección de Desarrollo Urbano</w:t>
      </w:r>
    </w:p>
    <w:p w14:paraId="53D579A5" w14:textId="29B50B89"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Medio Ambiente y Forestal</w:t>
      </w:r>
    </w:p>
    <w:p w14:paraId="3FA88D6D" w14:textId="04E13586"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Obras Públicas</w:t>
      </w:r>
    </w:p>
    <w:p w14:paraId="40466A4F" w14:textId="68F0DEF3"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Transporte y Vialidad</w:t>
      </w:r>
    </w:p>
    <w:p w14:paraId="68693F20" w14:textId="18C147F6"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Turismo y Fomento Artesanal</w:t>
      </w:r>
    </w:p>
    <w:p w14:paraId="28A79414" w14:textId="72D40978"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del Agua</w:t>
      </w:r>
    </w:p>
    <w:p w14:paraId="3FE89ADB" w14:textId="74597745"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Jefatura de Catastro</w:t>
      </w:r>
    </w:p>
    <w:p w14:paraId="5989AA5C" w14:textId="78DA8286"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Presidencia Municipal</w:t>
      </w:r>
    </w:p>
    <w:p w14:paraId="11596D5B" w14:textId="113C76B8"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Primera Regiduría</w:t>
      </w:r>
    </w:p>
    <w:p w14:paraId="2EC4FF0C" w14:textId="29112B53"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Secretaría del Ayuntamiento</w:t>
      </w:r>
    </w:p>
    <w:p w14:paraId="567931AB" w14:textId="31DD07B1"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Sexta Regiduría</w:t>
      </w:r>
    </w:p>
    <w:p w14:paraId="027363D0" w14:textId="5C9529EC"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Tesorería Municipal</w:t>
      </w:r>
    </w:p>
    <w:p w14:paraId="4399C6AB" w14:textId="1C32335B" w:rsidR="002C77A7" w:rsidRPr="00B843B7" w:rsidRDefault="002C77A7" w:rsidP="002C77A7">
      <w:pPr>
        <w:pStyle w:val="Prrafodelista"/>
        <w:numPr>
          <w:ilvl w:val="1"/>
          <w:numId w:val="49"/>
        </w:numPr>
        <w:tabs>
          <w:tab w:val="left" w:pos="426"/>
        </w:tabs>
        <w:spacing w:before="240" w:after="240" w:line="360" w:lineRule="auto"/>
        <w:ind w:left="1134" w:right="51"/>
        <w:jc w:val="both"/>
        <w:rPr>
          <w:rFonts w:ascii="Palatino Linotype" w:hAnsi="Palatino Linotype"/>
          <w:color w:val="000000" w:themeColor="text1"/>
        </w:rPr>
      </w:pPr>
      <w:r w:rsidRPr="00B843B7">
        <w:rPr>
          <w:rFonts w:ascii="Palatino Linotype" w:hAnsi="Palatino Linotype"/>
          <w:color w:val="000000" w:themeColor="text1"/>
        </w:rPr>
        <w:t>Dirección de Cultura Física y Deporte</w:t>
      </w:r>
    </w:p>
    <w:p w14:paraId="7D639B70"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753C7E91" w14:textId="5003FA76" w:rsidR="005165F9" w:rsidRPr="00B843B7" w:rsidRDefault="002C77A7"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Luego entonces, podemos concluir que los Avisos de Privacidad a los que desea acceder el </w:t>
      </w:r>
      <w:r w:rsidRPr="00B843B7">
        <w:rPr>
          <w:rFonts w:ascii="Palatino Linotype" w:hAnsi="Palatino Linotype"/>
          <w:b/>
          <w:color w:val="000000" w:themeColor="text1"/>
        </w:rPr>
        <w:t>RECURRENTE</w:t>
      </w:r>
      <w:r w:rsidRPr="00B843B7">
        <w:rPr>
          <w:rFonts w:ascii="Palatino Linotype" w:hAnsi="Palatino Linotype"/>
          <w:color w:val="000000" w:themeColor="text1"/>
        </w:rPr>
        <w:t xml:space="preserve"> son los documentos, en su modalidad integral y simplificada, de las áreas administrativas antes mencionadas.</w:t>
      </w:r>
    </w:p>
    <w:p w14:paraId="714F04B5"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43AC60C7" w14:textId="64C64EF1" w:rsidR="002C77A7" w:rsidRPr="00B843B7" w:rsidRDefault="002C77A7" w:rsidP="00F43D34">
      <w:pPr>
        <w:pStyle w:val="Prrafodelista"/>
        <w:tabs>
          <w:tab w:val="left" w:pos="426"/>
        </w:tabs>
        <w:spacing w:before="240" w:after="240" w:line="276" w:lineRule="auto"/>
        <w:ind w:left="0" w:right="51"/>
        <w:jc w:val="both"/>
        <w:outlineLvl w:val="2"/>
        <w:rPr>
          <w:rFonts w:ascii="Palatino Linotype" w:hAnsi="Palatino Linotype"/>
          <w:b/>
          <w:color w:val="000000" w:themeColor="text1"/>
        </w:rPr>
      </w:pPr>
      <w:r w:rsidRPr="00B843B7">
        <w:rPr>
          <w:rFonts w:ascii="Palatino Linotype" w:hAnsi="Palatino Linotype"/>
          <w:b/>
          <w:color w:val="000000" w:themeColor="text1"/>
        </w:rPr>
        <w:t>IV. Del derecho de acceso a la información pública.</w:t>
      </w:r>
    </w:p>
    <w:p w14:paraId="470978F3" w14:textId="77777777" w:rsidR="002C77A7" w:rsidRPr="00B843B7" w:rsidRDefault="002C77A7"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69948195" w14:textId="77777777" w:rsidR="00076DDA" w:rsidRPr="00B843B7" w:rsidRDefault="00076DDA" w:rsidP="00076D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Es </w:t>
      </w:r>
      <w:r w:rsidRPr="00B843B7">
        <w:rPr>
          <w:rFonts w:ascii="Palatino Linotype" w:hAnsi="Palatino Linotype"/>
          <w:lang w:val="es-ES"/>
        </w:rPr>
        <w:t xml:space="preserve">elemental </w:t>
      </w:r>
      <w:r w:rsidRPr="00B843B7">
        <w:rPr>
          <w:rFonts w:ascii="Palatino Linotype" w:hAnsi="Palatino Linotype"/>
          <w:lang w:val="es-ES_tradnl"/>
        </w:rPr>
        <w:t>precisar</w:t>
      </w:r>
      <w:r w:rsidRPr="00B843B7">
        <w:rPr>
          <w:rFonts w:ascii="Palatino Linotype" w:hAnsi="Palatino Linotype"/>
          <w:bCs/>
        </w:rPr>
        <w:t xml:space="preserve"> que </w:t>
      </w:r>
      <w:r w:rsidRPr="00B843B7">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w:t>
      </w:r>
      <w:r w:rsidRPr="00B843B7">
        <w:rPr>
          <w:rFonts w:ascii="Palatino Linotype" w:hAnsi="Palatino Linotype"/>
          <w:bCs/>
          <w:lang w:val="es-ES_tradnl"/>
        </w:rPr>
        <w:lastRenderedPageBreak/>
        <w:t xml:space="preserve">Estado de México, por lo que al respecto el </w:t>
      </w:r>
      <w:r w:rsidRPr="00B843B7">
        <w:rPr>
          <w:rFonts w:ascii="Palatino Linotype" w:hAnsi="Palatino Linotype"/>
          <w:b/>
          <w:bCs/>
          <w:lang w:val="es-ES_tradnl"/>
        </w:rPr>
        <w:t>SUJETO OBLIGADO</w:t>
      </w:r>
      <w:r w:rsidRPr="00B843B7">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843B7">
        <w:rPr>
          <w:rFonts w:ascii="Palatino Linotype" w:hAnsi="Palatino Linotype"/>
          <w:b/>
          <w:bCs/>
          <w:lang w:val="es-ES_tradnl"/>
        </w:rPr>
        <w:t xml:space="preserve">Constitución Política de los Estados Unidos Mexicanos </w:t>
      </w:r>
      <w:r w:rsidRPr="00B843B7">
        <w:rPr>
          <w:rFonts w:ascii="Palatino Linotype" w:hAnsi="Palatino Linotype"/>
          <w:bCs/>
          <w:lang w:val="es-ES_tradnl"/>
        </w:rPr>
        <w:t xml:space="preserve">al señalar la obligación de “promover, </w:t>
      </w:r>
      <w:r w:rsidRPr="00B843B7">
        <w:rPr>
          <w:rFonts w:ascii="Palatino Linotype" w:hAnsi="Palatino Linotype"/>
          <w:b/>
          <w:bCs/>
          <w:lang w:val="es-ES_tradnl"/>
        </w:rPr>
        <w:t>respetar</w:t>
      </w:r>
      <w:r w:rsidRPr="00B843B7">
        <w:rPr>
          <w:rFonts w:ascii="Palatino Linotype" w:hAnsi="Palatino Linotype"/>
          <w:bCs/>
          <w:lang w:val="es-ES_tradnl"/>
        </w:rPr>
        <w:t xml:space="preserve">, proteger y </w:t>
      </w:r>
      <w:r w:rsidRPr="00B843B7">
        <w:rPr>
          <w:rFonts w:ascii="Palatino Linotype" w:hAnsi="Palatino Linotype"/>
          <w:b/>
          <w:bCs/>
          <w:lang w:val="es-ES_tradnl"/>
        </w:rPr>
        <w:t>garantizar</w:t>
      </w:r>
      <w:r w:rsidRPr="00B843B7">
        <w:rPr>
          <w:rFonts w:ascii="Palatino Linotype" w:hAnsi="Palatino Linotype"/>
          <w:bCs/>
          <w:lang w:val="es-ES_tradnl"/>
        </w:rPr>
        <w:t xml:space="preserve"> los derechos humanos”, entre los cuales se encuentra dicho derecho.</w:t>
      </w:r>
    </w:p>
    <w:p w14:paraId="013C18AF" w14:textId="77777777" w:rsidR="00076DDA" w:rsidRPr="00B843B7" w:rsidRDefault="00076DDA" w:rsidP="00076DDA">
      <w:pPr>
        <w:pStyle w:val="Prrafodelista"/>
        <w:tabs>
          <w:tab w:val="left" w:pos="426"/>
        </w:tabs>
        <w:spacing w:before="240" w:after="240" w:line="360" w:lineRule="auto"/>
        <w:ind w:left="0" w:right="51"/>
        <w:jc w:val="both"/>
        <w:rPr>
          <w:rFonts w:ascii="Palatino Linotype" w:hAnsi="Palatino Linotype"/>
          <w:color w:val="000000" w:themeColor="text1"/>
        </w:rPr>
      </w:pPr>
    </w:p>
    <w:p w14:paraId="798BA619" w14:textId="77777777" w:rsidR="00076DDA" w:rsidRPr="00B843B7" w:rsidRDefault="00076DDA" w:rsidP="00076D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t xml:space="preserve">Por </w:t>
      </w:r>
      <w:r w:rsidRPr="00B843B7">
        <w:rPr>
          <w:rFonts w:ascii="Palatino Linotype" w:hAnsi="Palatino Linotype"/>
          <w:color w:val="000000" w:themeColor="text1"/>
        </w:rPr>
        <w:t xml:space="preserve">ende, se deduce que </w:t>
      </w:r>
      <w:r w:rsidRPr="00B843B7">
        <w:rPr>
          <w:rFonts w:ascii="Palatino Linotype" w:hAnsi="Palatino Linotype"/>
          <w:b/>
          <w:color w:val="000000" w:themeColor="text1"/>
        </w:rPr>
        <w:t>el derecho de acceso a la información pública es un derecho humano convencional y constitucionalmente reconocido</w:t>
      </w:r>
      <w:r w:rsidRPr="00B843B7">
        <w:rPr>
          <w:rFonts w:ascii="Palatino Linotype" w:hAnsi="Palatino Linotype"/>
          <w:color w:val="000000" w:themeColor="text1"/>
        </w:rPr>
        <w:t>; en consecuencia, todas las autoridades en el ámbito de sus competencias, funciones y atribuciones tienen la obligación de respetarlo, protegerlo y garantizarlo.</w:t>
      </w:r>
    </w:p>
    <w:p w14:paraId="7D6FF395" w14:textId="77777777" w:rsidR="00076DDA" w:rsidRPr="00B843B7" w:rsidRDefault="00076DDA" w:rsidP="00076DDA">
      <w:pPr>
        <w:pStyle w:val="Prrafodelista"/>
        <w:tabs>
          <w:tab w:val="left" w:pos="426"/>
        </w:tabs>
        <w:spacing w:before="240" w:after="240" w:line="360" w:lineRule="auto"/>
        <w:ind w:left="0" w:right="51"/>
        <w:jc w:val="both"/>
        <w:rPr>
          <w:rFonts w:ascii="Palatino Linotype" w:hAnsi="Palatino Linotype"/>
          <w:color w:val="000000" w:themeColor="text1"/>
        </w:rPr>
      </w:pPr>
    </w:p>
    <w:p w14:paraId="4AE09317" w14:textId="77777777" w:rsidR="00076DDA" w:rsidRPr="00B843B7" w:rsidRDefault="00076DDA" w:rsidP="00076D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t xml:space="preserve">Así las cosas, </w:t>
      </w:r>
      <w:r w:rsidRPr="00B843B7">
        <w:rPr>
          <w:rFonts w:ascii="Palatino Linotype" w:hAnsi="Palatino Linotype"/>
          <w:color w:val="000000" w:themeColor="text1"/>
        </w:rPr>
        <w:t xml:space="preserve">podemos definir el Derecho de Acceso a la Información Pública como: </w:t>
      </w:r>
      <w:r w:rsidRPr="00B843B7">
        <w:rPr>
          <w:rFonts w:ascii="Palatino Linotype" w:hAnsi="Palatino Linotype"/>
          <w:b/>
          <w:i/>
          <w:color w:val="000000" w:themeColor="text1"/>
        </w:rPr>
        <w:t>La igualdad de oportunidades para recibir</w:t>
      </w:r>
      <w:r w:rsidRPr="00B843B7">
        <w:rPr>
          <w:rFonts w:ascii="Palatino Linotype" w:hAnsi="Palatino Linotype"/>
          <w:i/>
          <w:color w:val="000000" w:themeColor="text1"/>
        </w:rPr>
        <w:t xml:space="preserve">, buscar e impartir </w:t>
      </w:r>
      <w:r w:rsidRPr="00B843B7">
        <w:rPr>
          <w:rFonts w:ascii="Palatino Linotype" w:hAnsi="Palatino Linotype"/>
          <w:b/>
          <w:i/>
          <w:color w:val="000000" w:themeColor="text1"/>
        </w:rPr>
        <w:t>información</w:t>
      </w:r>
      <w:r w:rsidRPr="00B843B7">
        <w:rPr>
          <w:rFonts w:ascii="Palatino Linotype" w:hAnsi="Palatino Linotype"/>
          <w:i/>
          <w:color w:val="000000" w:themeColor="text1"/>
          <w:vertAlign w:val="superscript"/>
        </w:rPr>
        <w:footnoteReference w:id="14"/>
      </w:r>
      <w:r w:rsidRPr="00B843B7">
        <w:rPr>
          <w:rFonts w:ascii="Palatino Linotype" w:hAnsi="Palatino Linotype"/>
          <w:b/>
          <w:i/>
          <w:color w:val="000000" w:themeColor="text1"/>
        </w:rPr>
        <w:t>en posesión de cualquier autoridad</w:t>
      </w:r>
      <w:r w:rsidRPr="00B843B7">
        <w:rPr>
          <w:rFonts w:ascii="Palatino Linotype" w:hAnsi="Palatino Linotype"/>
          <w:i/>
          <w:color w:val="000000" w:themeColor="text1"/>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843B7">
        <w:rPr>
          <w:rFonts w:ascii="Palatino Linotype" w:hAnsi="Palatino Linotype"/>
          <w:i/>
          <w:color w:val="000000" w:themeColor="text1"/>
          <w:vertAlign w:val="superscript"/>
        </w:rPr>
        <w:footnoteReference w:id="15"/>
      </w:r>
      <w:r w:rsidRPr="00B843B7">
        <w:rPr>
          <w:rFonts w:ascii="Palatino Linotype" w:hAnsi="Palatino Linotype"/>
          <w:color w:val="000000" w:themeColor="text1"/>
        </w:rPr>
        <w:t>que se constituye como una herramienta fundamental para ejercer</w:t>
      </w:r>
      <w:r w:rsidRPr="00B843B7">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B843B7">
        <w:rPr>
          <w:rFonts w:ascii="Palatino Linotype" w:hAnsi="Palatino Linotype"/>
          <w:i/>
          <w:color w:val="000000" w:themeColor="text1"/>
          <w:vertAlign w:val="superscript"/>
        </w:rPr>
        <w:footnoteReference w:id="16"/>
      </w:r>
      <w:r w:rsidRPr="00B843B7">
        <w:rPr>
          <w:rFonts w:ascii="Palatino Linotype" w:hAnsi="Palatino Linotype"/>
          <w:i/>
          <w:color w:val="000000" w:themeColor="text1"/>
        </w:rPr>
        <w:t xml:space="preserve"> </w:t>
      </w:r>
      <w:r w:rsidRPr="00B843B7">
        <w:rPr>
          <w:rFonts w:ascii="Palatino Linotype" w:hAnsi="Palatino Linotype"/>
          <w:color w:val="000000" w:themeColor="text1"/>
        </w:rPr>
        <w:t>fomentando</w:t>
      </w:r>
      <w:r w:rsidRPr="00B843B7">
        <w:rPr>
          <w:rFonts w:ascii="Palatino Linotype" w:hAnsi="Palatino Linotype"/>
          <w:i/>
          <w:color w:val="000000" w:themeColor="text1"/>
        </w:rPr>
        <w:t xml:space="preserve"> la transparencia de las </w:t>
      </w:r>
      <w:r w:rsidRPr="00B843B7">
        <w:rPr>
          <w:rFonts w:ascii="Palatino Linotype" w:hAnsi="Palatino Linotype"/>
          <w:i/>
          <w:color w:val="000000" w:themeColor="text1"/>
        </w:rPr>
        <w:lastRenderedPageBreak/>
        <w:t xml:space="preserve">actividades estatales y </w:t>
      </w:r>
      <w:r w:rsidRPr="00B843B7">
        <w:rPr>
          <w:rFonts w:ascii="Palatino Linotype" w:hAnsi="Palatino Linotype"/>
          <w:color w:val="000000" w:themeColor="text1"/>
        </w:rPr>
        <w:t>promoviendo</w:t>
      </w:r>
      <w:r w:rsidRPr="00B843B7">
        <w:rPr>
          <w:rFonts w:ascii="Palatino Linotype" w:hAnsi="Palatino Linotype"/>
          <w:i/>
          <w:color w:val="000000" w:themeColor="text1"/>
        </w:rPr>
        <w:t xml:space="preserve"> la responsabilidad de los funcionarios sobre su gestión pública,</w:t>
      </w:r>
      <w:r w:rsidRPr="00B843B7">
        <w:rPr>
          <w:rFonts w:ascii="Palatino Linotype" w:hAnsi="Palatino Linotype"/>
          <w:i/>
          <w:color w:val="000000" w:themeColor="text1"/>
          <w:vertAlign w:val="superscript"/>
        </w:rPr>
        <w:footnoteReference w:id="17"/>
      </w:r>
      <w:r w:rsidRPr="00B843B7">
        <w:rPr>
          <w:rFonts w:ascii="Palatino Linotype" w:hAnsi="Palatino Linotype"/>
          <w:color w:val="000000" w:themeColor="text1"/>
        </w:rPr>
        <w:t>que permite</w:t>
      </w:r>
      <w:r w:rsidRPr="00B843B7">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2477ABDB" w14:textId="77777777" w:rsidR="00076DDA" w:rsidRPr="00B843B7" w:rsidRDefault="00076DDA" w:rsidP="00076DDA">
      <w:pPr>
        <w:pStyle w:val="Prrafodelista"/>
        <w:tabs>
          <w:tab w:val="left" w:pos="426"/>
        </w:tabs>
        <w:spacing w:before="240" w:after="240" w:line="360" w:lineRule="auto"/>
        <w:ind w:left="0" w:right="51"/>
        <w:jc w:val="both"/>
        <w:rPr>
          <w:rFonts w:ascii="Palatino Linotype" w:hAnsi="Palatino Linotype"/>
          <w:color w:val="000000" w:themeColor="text1"/>
        </w:rPr>
      </w:pPr>
    </w:p>
    <w:p w14:paraId="59595310" w14:textId="1E08A383" w:rsidR="005165F9" w:rsidRPr="00B843B7" w:rsidRDefault="00076DDA" w:rsidP="00076D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lang w:val="es-ES"/>
        </w:rPr>
        <w:t xml:space="preserve">Por </w:t>
      </w:r>
      <w:r w:rsidRPr="00B843B7">
        <w:rPr>
          <w:rFonts w:ascii="Palatino Linotype" w:hAnsi="Palatino Linotype"/>
          <w:color w:val="000000" w:themeColor="text1"/>
        </w:rPr>
        <w:t xml:space="preserve">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w:t>
      </w:r>
      <w:r w:rsidRPr="00B843B7">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B843B7">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A47E8FB"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26CF579F" w14:textId="49907AD8" w:rsidR="002C77A7" w:rsidRPr="00B843B7" w:rsidRDefault="002C77A7" w:rsidP="00F43D3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B843B7">
        <w:rPr>
          <w:rFonts w:ascii="Palatino Linotype" w:hAnsi="Palatino Linotype"/>
          <w:b/>
          <w:color w:val="000000" w:themeColor="text1"/>
        </w:rPr>
        <w:t>V. Del espectro mayor en la tutela de los derechos de grupos vulnerables y comunidades indígenas.</w:t>
      </w:r>
    </w:p>
    <w:p w14:paraId="68D8F97C" w14:textId="77777777" w:rsidR="004477DB" w:rsidRPr="00B843B7" w:rsidRDefault="004477DB" w:rsidP="00F43D34">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p>
    <w:p w14:paraId="5F4F0AFF" w14:textId="20595AD4" w:rsidR="00325660" w:rsidRPr="00B843B7" w:rsidRDefault="004477DB" w:rsidP="003256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De acuerdo a la Constitución Política de los Estados Unidos Mexicanos, nuestro país se reconoce como una nación culturalmente diversa, cuyas bases se encuentran en sus pueblos indígenas (artículo 2); quienes se diferencian por sus maneras de pensar, actuar y representar el mundo. </w:t>
      </w:r>
    </w:p>
    <w:p w14:paraId="377C987C" w14:textId="77777777" w:rsidR="00325660" w:rsidRPr="00B843B7" w:rsidRDefault="00325660"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701EB7B3" w14:textId="77777777" w:rsidR="00325660" w:rsidRPr="00B843B7" w:rsidRDefault="00325660" w:rsidP="00325660">
      <w:pPr>
        <w:pStyle w:val="Prrafodelista"/>
        <w:numPr>
          <w:ilvl w:val="0"/>
          <w:numId w:val="1"/>
        </w:numPr>
        <w:spacing w:line="360" w:lineRule="auto"/>
        <w:jc w:val="both"/>
        <w:rPr>
          <w:rFonts w:ascii="Palatino Linotype" w:hAnsi="Palatino Linotype"/>
          <w:color w:val="000000" w:themeColor="text1"/>
        </w:rPr>
      </w:pPr>
      <w:r w:rsidRPr="00B843B7">
        <w:rPr>
          <w:rFonts w:ascii="Palatino Linotype" w:hAnsi="Palatino Linotype"/>
          <w:color w:val="000000" w:themeColor="text1"/>
        </w:rPr>
        <w:lastRenderedPageBreak/>
        <w:t>De acuerdo con el Consejo Nacional de Población (CONAPO) en la Infografía “Población Indígena”</w:t>
      </w:r>
      <w:r w:rsidRPr="00B843B7">
        <w:footnoteReference w:id="18"/>
      </w:r>
      <w:r w:rsidRPr="00B843B7">
        <w:rPr>
          <w:rFonts w:ascii="Palatino Linotype" w:hAnsi="Palatino Linotype"/>
          <w:color w:val="000000" w:themeColor="text1"/>
        </w:rPr>
        <w:t xml:space="preserve"> y derivado de las cifras obtenidas a través de la Encuesta Intercensal 2015 realizada por el Instituto Nacional de Estadística y Geografía (INEGI) se estima</w:t>
      </w:r>
      <w:r w:rsidRPr="00B843B7">
        <w:rPr>
          <w:rFonts w:ascii="Palatino Linotype" w:hAnsi="Palatino Linotype" w:cs="Arial"/>
          <w:color w:val="000000" w:themeColor="text1"/>
        </w:rPr>
        <w:t xml:space="preserve"> que en la República Mexicana hay 121.0 millones de personas, donde el </w:t>
      </w:r>
      <w:r w:rsidRPr="00B843B7">
        <w:rPr>
          <w:rFonts w:ascii="Palatino Linotype" w:hAnsi="Palatino Linotype" w:cs="Arial"/>
          <w:b/>
          <w:color w:val="000000" w:themeColor="text1"/>
        </w:rPr>
        <w:t>21.5% se considera indígena</w:t>
      </w:r>
      <w:r w:rsidRPr="00B843B7">
        <w:rPr>
          <w:rFonts w:ascii="Palatino Linotype" w:hAnsi="Palatino Linotype" w:cs="Arial"/>
          <w:color w:val="000000" w:themeColor="text1"/>
        </w:rPr>
        <w:t xml:space="preserve">. </w:t>
      </w:r>
    </w:p>
    <w:p w14:paraId="1FEA0140" w14:textId="77777777" w:rsidR="00325660" w:rsidRPr="00B843B7" w:rsidRDefault="00325660" w:rsidP="00325660">
      <w:pPr>
        <w:pStyle w:val="Prrafodelista"/>
        <w:rPr>
          <w:rFonts w:ascii="Palatino Linotype" w:hAnsi="Palatino Linotype"/>
          <w:color w:val="000000" w:themeColor="text1"/>
        </w:rPr>
      </w:pPr>
    </w:p>
    <w:p w14:paraId="29E12ADA" w14:textId="77777777" w:rsidR="00325660" w:rsidRPr="00B843B7" w:rsidRDefault="004477DB" w:rsidP="00185FD1">
      <w:pPr>
        <w:pStyle w:val="Prrafodelista"/>
        <w:numPr>
          <w:ilvl w:val="0"/>
          <w:numId w:val="1"/>
        </w:numPr>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Cabe señalar que la presencia de los indígenas se da prácticamente en todo el territorio. De acuerdo con la Comisión Nacional para el Desarrollo de los Pueblos Indígenas y con base en el Instituto Nacional de Estadística y Geografía, las personas en esta condición se encuentran en 98.8% de los municipios del país; es decir, sólo en 30 de los 2,443 municipios mexicanos no se registra su presencia.</w:t>
      </w:r>
    </w:p>
    <w:p w14:paraId="2DAED223" w14:textId="77777777" w:rsidR="00325660" w:rsidRPr="00B843B7" w:rsidRDefault="00325660" w:rsidP="00325660">
      <w:pPr>
        <w:pStyle w:val="Prrafodelista"/>
        <w:rPr>
          <w:rFonts w:ascii="Palatino Linotype" w:hAnsi="Palatino Linotype"/>
          <w:color w:val="000000" w:themeColor="text1"/>
        </w:rPr>
      </w:pPr>
    </w:p>
    <w:p w14:paraId="14217CBF" w14:textId="77777777" w:rsidR="00325660" w:rsidRPr="00B843B7" w:rsidRDefault="004477DB" w:rsidP="003D0429">
      <w:pPr>
        <w:pStyle w:val="Prrafodelista"/>
        <w:numPr>
          <w:ilvl w:val="0"/>
          <w:numId w:val="1"/>
        </w:numPr>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 xml:space="preserve">Uno de los principales elementos que distinguen a los grupos indígenas en México tiene que ver con su lenguaje; según el Instituto Nacional de Lenguas Indígenas, nuestro país cuenta con una amplia diversidad lingüística, en el país se han identificado 364 variantes lingüísticas y alrededor de 5 millones 467 mil 527 indígenas son bilingües; es decir, son personas que hablan español y otra variante lingüística. Es importante precisar que las lenguas o idiomas indígenas constituyen un mecanismo de identidad propia, a través del cual, se construye la manera de concebir el mundo; además de ser el medio por el que los pueblos indígenas transmiten valores, creencias y formas de organización social. De acuerdo a cálculos del INEGI, de cada 100 personas que hablan alguna lengua indígena, 14 no hablan español. Precisamente, el lenguaje, fue por mucho tiempo una de las mayores limitaciones para que las personas indígenas pudieran recibir educación, los </w:t>
      </w:r>
      <w:r w:rsidRPr="00B843B7">
        <w:rPr>
          <w:rFonts w:ascii="Palatino Linotype" w:hAnsi="Palatino Linotype"/>
          <w:color w:val="000000" w:themeColor="text1"/>
        </w:rPr>
        <w:lastRenderedPageBreak/>
        <w:t>maestros o instructores, así como los libros de texto eran monolingües, situación que contribuyó a ensanchar la brecha entre el desarrollo, el rezago, la marginación y la pobreza de las personas indígenas.</w:t>
      </w:r>
    </w:p>
    <w:p w14:paraId="711E75EB" w14:textId="77777777" w:rsidR="00076DDA" w:rsidRPr="00B843B7" w:rsidRDefault="00076DDA" w:rsidP="00076DDA">
      <w:pPr>
        <w:pStyle w:val="Prrafodelista"/>
        <w:spacing w:line="360" w:lineRule="auto"/>
        <w:ind w:left="0"/>
        <w:jc w:val="both"/>
        <w:rPr>
          <w:rFonts w:ascii="Palatino Linotype" w:hAnsi="Palatino Linotype" w:cs="Arial"/>
          <w:color w:val="000000" w:themeColor="text1"/>
        </w:rPr>
      </w:pPr>
    </w:p>
    <w:p w14:paraId="5280DA87" w14:textId="389EA77E" w:rsidR="005165F9" w:rsidRPr="00B843B7" w:rsidRDefault="00076DDA" w:rsidP="00076D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s="Arial"/>
          <w:color w:val="000000" w:themeColor="text1"/>
        </w:rPr>
        <w:t xml:space="preserve"> En el Estado de México, de los 16 millones 187 mil 608 habitantes que se registraron en el año 2015, el </w:t>
      </w:r>
      <w:r w:rsidRPr="00B843B7">
        <w:rPr>
          <w:rFonts w:ascii="Palatino Linotype" w:hAnsi="Palatino Linotype" w:cs="Arial"/>
          <w:b/>
          <w:color w:val="000000" w:themeColor="text1"/>
        </w:rPr>
        <w:t>17% se considera indígena</w:t>
      </w:r>
      <w:r w:rsidRPr="00B843B7">
        <w:rPr>
          <w:rFonts w:ascii="Palatino Linotype" w:hAnsi="Palatino Linotype" w:cs="Arial"/>
          <w:color w:val="000000" w:themeColor="text1"/>
        </w:rPr>
        <w:t xml:space="preserve">, un grupo importante con población náhuatl, mixteco, mazateco, zapoteco. Dentro de la anterior cifra poblacional tenemos que 421 mil 743 personas hablan lengua indígena; siendo el náhuatl, mazahua, </w:t>
      </w:r>
      <w:r w:rsidRPr="00B843B7">
        <w:rPr>
          <w:rFonts w:ascii="Palatino Linotype" w:hAnsi="Palatino Linotype" w:cs="Arial"/>
          <w:b/>
          <w:color w:val="000000" w:themeColor="text1"/>
          <w:u w:val="single"/>
        </w:rPr>
        <w:t>otomí</w:t>
      </w:r>
      <w:r w:rsidRPr="00B843B7">
        <w:rPr>
          <w:rFonts w:ascii="Palatino Linotype" w:hAnsi="Palatino Linotype" w:cs="Arial"/>
          <w:color w:val="000000" w:themeColor="text1"/>
        </w:rPr>
        <w:t>, mixteco, zapoteco las lenguas de mayor uso.</w:t>
      </w:r>
    </w:p>
    <w:p w14:paraId="13C1C758"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1B58B2F0" w14:textId="50C9F0AC" w:rsidR="00076DDA" w:rsidRPr="00B843B7" w:rsidRDefault="00076DDA" w:rsidP="00076DDA">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olor w:val="000000" w:themeColor="text1"/>
        </w:rPr>
        <w:t xml:space="preserve">Del </w:t>
      </w:r>
      <w:r w:rsidRPr="00B843B7">
        <w:rPr>
          <w:rFonts w:ascii="Palatino Linotype" w:hAnsi="Palatino Linotype" w:cs="Arial"/>
          <w:color w:val="000000" w:themeColor="text1"/>
        </w:rPr>
        <w:t xml:space="preserve">mismo modo, la </w:t>
      </w:r>
      <w:r w:rsidRPr="00B843B7">
        <w:rPr>
          <w:rFonts w:ascii="Palatino Linotype" w:hAnsi="Palatino Linotype" w:cs="Arial"/>
          <w:i/>
          <w:color w:val="000000" w:themeColor="text1"/>
        </w:rPr>
        <w:t>Encuesta Intercensal 2015</w:t>
      </w:r>
      <w:r w:rsidRPr="00B843B7">
        <w:rPr>
          <w:rFonts w:ascii="Palatino Linotype" w:hAnsi="Palatino Linotype" w:cs="Arial"/>
          <w:color w:val="000000" w:themeColor="text1"/>
        </w:rPr>
        <w:t xml:space="preserve"> señaló que la mayor parte de la población hablante de lengua</w:t>
      </w:r>
      <w:r w:rsidR="0047300F" w:rsidRPr="00B843B7">
        <w:rPr>
          <w:rFonts w:ascii="Palatino Linotype" w:hAnsi="Palatino Linotype" w:cs="Arial"/>
          <w:color w:val="000000" w:themeColor="text1"/>
        </w:rPr>
        <w:t xml:space="preserve"> indígena también habla español;</w:t>
      </w:r>
      <w:r w:rsidRPr="00B843B7">
        <w:rPr>
          <w:rFonts w:ascii="Palatino Linotype" w:hAnsi="Palatino Linotype" w:cs="Arial"/>
          <w:color w:val="000000" w:themeColor="text1"/>
        </w:rPr>
        <w:t xml:space="preserve"> sin embargo aún es considerable el número de personas que sólo habla lengua indígena, a quienes se les conoce como monolingües de habla indígena. Por lo que esta condición </w:t>
      </w:r>
      <w:r w:rsidRPr="00B843B7">
        <w:rPr>
          <w:rFonts w:ascii="Palatino Linotype" w:hAnsi="Palatino Linotype" w:cs="Arial"/>
          <w:b/>
          <w:color w:val="000000" w:themeColor="text1"/>
        </w:rPr>
        <w:t>puede limitar su interacción con otras personas fuera de su comunidad e incluso su propio desarrollo</w:t>
      </w:r>
      <w:r w:rsidRPr="00B843B7">
        <w:rPr>
          <w:rFonts w:ascii="Palatino Linotype" w:hAnsi="Palatino Linotype" w:cs="Arial"/>
          <w:color w:val="000000" w:themeColor="text1"/>
        </w:rPr>
        <w:t xml:space="preserve">. En el año 2000, el porcentaje de personas de 5 años y más hablantes de lengua indígena que no hablan español fue de 1.2%, siendo que en el 2010 disminuyó 0.7% y para el 2015 bajó a 0.5%. </w:t>
      </w:r>
    </w:p>
    <w:p w14:paraId="783EBC38" w14:textId="77777777" w:rsidR="00F3503F" w:rsidRPr="00B843B7" w:rsidRDefault="00F3503F" w:rsidP="00F3503F">
      <w:pPr>
        <w:pStyle w:val="Prrafodelista"/>
        <w:spacing w:before="240" w:after="240" w:line="360" w:lineRule="auto"/>
        <w:ind w:left="0" w:right="51"/>
        <w:jc w:val="both"/>
        <w:rPr>
          <w:rFonts w:ascii="Palatino Linotype" w:hAnsi="Palatino Linotype"/>
          <w:color w:val="000000" w:themeColor="text1"/>
        </w:rPr>
      </w:pPr>
    </w:p>
    <w:p w14:paraId="19C79EF1" w14:textId="7C2B1158" w:rsidR="00F3503F" w:rsidRPr="00B843B7" w:rsidRDefault="00F3503F" w:rsidP="00F35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t>Del total de hablantes de alguna lengua indígena de los pueblos originarios del Estado de México, el pueblo mazahua es el más numeroso, al contar con el  52.27%; mientras que 43.20% de los hablantes de alguna lengua indígena de los pueblos originarios en la entidad pertenecen al pueblo otomí.</w:t>
      </w:r>
    </w:p>
    <w:p w14:paraId="1B4546C5" w14:textId="77777777" w:rsidR="00F3503F" w:rsidRPr="00B843B7" w:rsidRDefault="00F3503F" w:rsidP="00F3503F">
      <w:pPr>
        <w:pStyle w:val="Prrafodelista"/>
        <w:rPr>
          <w:rFonts w:ascii="Palatino Linotype" w:hAnsi="Palatino Linotype"/>
          <w:color w:val="000000" w:themeColor="text1"/>
        </w:rPr>
      </w:pPr>
    </w:p>
    <w:p w14:paraId="1A293AED" w14:textId="77777777" w:rsidR="00F3503F" w:rsidRPr="00B843B7" w:rsidRDefault="00F3503F" w:rsidP="00F350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rPr>
        <w:lastRenderedPageBreak/>
        <w:t>Cabe hacer notar que, en mayor o menor grado, existe presencia de personas indígenas en los 125 municipios del Estado de México, de acuerdo con el INEGI. En la entidad, 87 de sus 125 municipios cuentan con población indígena dispersa; 36 son municipios con presencia indígena; mientras que San Felipe del Progreso y Temoaya son los únicos considerados por el INEGI como municipios indígenas.</w:t>
      </w:r>
    </w:p>
    <w:p w14:paraId="34D553C4" w14:textId="77777777" w:rsidR="00076DDA" w:rsidRPr="00B843B7" w:rsidRDefault="00076DDA" w:rsidP="00076DDA">
      <w:pPr>
        <w:pStyle w:val="Prrafodelista"/>
        <w:spacing w:line="360" w:lineRule="auto"/>
        <w:ind w:left="0"/>
        <w:jc w:val="both"/>
        <w:rPr>
          <w:rFonts w:ascii="Palatino Linotype" w:hAnsi="Palatino Linotype" w:cs="Arial"/>
          <w:color w:val="000000" w:themeColor="text1"/>
        </w:rPr>
      </w:pPr>
    </w:p>
    <w:p w14:paraId="76FB50FB" w14:textId="77777777" w:rsidR="00076DDA" w:rsidRPr="00B843B7" w:rsidRDefault="00076DDA" w:rsidP="00076DDA">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Derivado de las cifras anteriores, se tiene que nuestro país y dentro de éste, el Estado de México, cuenta con un gran número de población cuya lengua es distinta al español, sin embargo su desarrollo se ha visto limitado por la falta de respeto y garantías para la población hablante ya que su lengua genera diversas limitaciones para este sector de la población, principalmente en materia de justicia, educación, acceso a la información y salud, manifestando esto a través de la falta de participación en políticas públicas que les permitan dar a conocer sus propias necesidades, todo ello al no existir medios que faciliten la comunicación con los practicantes de las lenguas, por lo que resulta urgente que se garantice la comunicación con este sector de la población</w:t>
      </w:r>
      <w:r w:rsidRPr="00B843B7">
        <w:rPr>
          <w:rFonts w:ascii="Palatino Linotype" w:hAnsi="Palatino Linotype" w:cs="Arial"/>
        </w:rPr>
        <w:t xml:space="preserve">, de tal manera que con esas acciones se promueva el multilingüismo, y el ejercicio pleno de los derechos lingüísticos de las comunidades indígenas, el desarrollo de las 68 lenguas indígenas nacionales y su uso en todos los ámbitos de la vida social, beneficiando a muchas personas que podrán ejercer su derecho a la identidad y sus derechos lingüísticos. </w:t>
      </w:r>
    </w:p>
    <w:p w14:paraId="225E91AA" w14:textId="77777777" w:rsidR="00076DDA" w:rsidRPr="00B843B7" w:rsidRDefault="00076DDA" w:rsidP="00076DDA">
      <w:pPr>
        <w:pStyle w:val="Prrafodelista"/>
        <w:spacing w:line="360" w:lineRule="auto"/>
        <w:ind w:left="0"/>
        <w:jc w:val="both"/>
        <w:rPr>
          <w:rFonts w:ascii="Palatino Linotype" w:hAnsi="Palatino Linotype" w:cs="Arial"/>
          <w:color w:val="FF0000"/>
        </w:rPr>
      </w:pPr>
    </w:p>
    <w:p w14:paraId="6BD55C43" w14:textId="2106F090" w:rsidR="005165F9" w:rsidRPr="00B843B7" w:rsidRDefault="00076DDA" w:rsidP="00076DD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s="Arial"/>
        </w:rPr>
        <w:t xml:space="preserve">Es entonces que </w:t>
      </w:r>
      <w:r w:rsidRPr="00B843B7">
        <w:rPr>
          <w:rFonts w:ascii="Palatino Linotype" w:hAnsi="Palatino Linotype" w:cs="Arial"/>
          <w:b/>
        </w:rPr>
        <w:t>la traducción de los documentos a alguna lengua indígena propicia la vinculación interinstitucional y la articulación de esfuerzos entre los distintos niveles de gobierno y promueve la participación de todos los agentes sociales, instituciones públicas</w:t>
      </w:r>
      <w:r w:rsidRPr="00B843B7">
        <w:rPr>
          <w:rFonts w:ascii="Palatino Linotype" w:hAnsi="Palatino Linotype" w:cs="Arial"/>
        </w:rPr>
        <w:t xml:space="preserve"> y privadas, entre otros, y con ello se haría patente </w:t>
      </w:r>
      <w:r w:rsidRPr="00B843B7">
        <w:rPr>
          <w:rFonts w:ascii="Palatino Linotype" w:hAnsi="Palatino Linotype" w:cs="Arial"/>
        </w:rPr>
        <w:lastRenderedPageBreak/>
        <w:t xml:space="preserve">el </w:t>
      </w:r>
      <w:r w:rsidRPr="00B843B7">
        <w:rPr>
          <w:rFonts w:ascii="Palatino Linotype" w:hAnsi="Palatino Linotype" w:cs="Arial"/>
          <w:b/>
        </w:rPr>
        <w:t>compromiso del Estado con el uso de las lenguas indígenas nacionales en todos los ámbitos de la vida pública al reconocer que las lenguas originarias tienen la misma validez jurídica que el español</w:t>
      </w:r>
      <w:r w:rsidRPr="00B843B7">
        <w:rPr>
          <w:rFonts w:ascii="Palatino Linotype" w:hAnsi="Palatino Linotype" w:cs="Arial"/>
        </w:rPr>
        <w:t>.</w:t>
      </w:r>
    </w:p>
    <w:p w14:paraId="0C092C80"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3590BE1D" w14:textId="109B6E37"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b/>
          <w:color w:val="000000" w:themeColor="text1"/>
        </w:rPr>
        <w:t xml:space="preserve">La </w:t>
      </w:r>
      <w:r w:rsidRPr="00B843B7">
        <w:rPr>
          <w:rFonts w:ascii="Palatino Linotype" w:hAnsi="Palatino Linotype" w:cs="Arial"/>
          <w:b/>
          <w:color w:val="000000" w:themeColor="text1"/>
        </w:rPr>
        <w:t>traducción</w:t>
      </w:r>
      <w:r w:rsidRPr="00B843B7">
        <w:rPr>
          <w:rFonts w:ascii="Palatino Linotype" w:hAnsi="Palatino Linotype" w:cs="Arial"/>
          <w:color w:val="000000" w:themeColor="text1"/>
        </w:rPr>
        <w:t xml:space="preserve">, o en su caso, la interpretación, </w:t>
      </w:r>
      <w:r w:rsidRPr="00B843B7">
        <w:rPr>
          <w:rFonts w:ascii="Palatino Linotype" w:hAnsi="Palatino Linotype" w:cs="Arial"/>
          <w:b/>
          <w:color w:val="000000" w:themeColor="text1"/>
        </w:rPr>
        <w:t>constituye el medio de comunicación entre diversas culturas y sociedad</w:t>
      </w:r>
      <w:r w:rsidRPr="00B843B7">
        <w:rPr>
          <w:rFonts w:ascii="Palatino Linotype" w:hAnsi="Palatino Linotype" w:cs="Arial"/>
          <w:color w:val="000000" w:themeColor="text1"/>
        </w:rPr>
        <w:t xml:space="preserve">, incluyendo aquellas lenguas que pertenecen a culturas minoritarias y minorizadas. En México, se estima que se tiene 68 lenguas indígenas reconocidas con variantes dialécticas, por lo que resultaría difícil no darle la importancia que merecen en razón al número poblacional de estas comunidades. </w:t>
      </w:r>
    </w:p>
    <w:p w14:paraId="0CDA1E9A"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26D4B909" w14:textId="77777777"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 xml:space="preserve">En el caso particular, cuando nos situamos en el campo de los derechos humanos; como es ahora el derecho de acceso a la información pública, nos encontramos con ciertas condiciones </w:t>
      </w:r>
      <w:r w:rsidRPr="00B843B7">
        <w:rPr>
          <w:rFonts w:ascii="Palatino Linotype" w:hAnsi="Palatino Linotype" w:cs="Arial"/>
          <w:b/>
          <w:color w:val="000000" w:themeColor="text1"/>
        </w:rPr>
        <w:t>desfavorables</w:t>
      </w:r>
      <w:r w:rsidRPr="00B843B7">
        <w:rPr>
          <w:rFonts w:ascii="Palatino Linotype" w:hAnsi="Palatino Linotype" w:cs="Arial"/>
          <w:color w:val="000000" w:themeColor="text1"/>
        </w:rPr>
        <w:t xml:space="preserve"> para los hablantes de estas lenguas pues a lo largo de la historia de México se tuvo al español como la lengua oficial, quedando rezagadas aquellas lenguas indígenas, siendo entonces que cualquier actuación del Estado se plasmaba en español, sin tomar en cuenta las lenguas originarias. </w:t>
      </w:r>
    </w:p>
    <w:p w14:paraId="49CB65DC"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1B0F8FBA" w14:textId="77777777"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La realidad mexicana nos muestra las áreas donde existe una mayor urgencia de traducción de documentos o de interpretación, como es aquella vinculada al derecho, a la salud, laboral, entre otras, en las que por el grado de especialización y de la necesidad de acceder ya sea a la procuración de justicia o a los servicios médicos, es menester darle la importancia debida a las lenguas maternas.</w:t>
      </w:r>
    </w:p>
    <w:p w14:paraId="3F098E24"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6C9EBE10" w14:textId="3A8D83ED"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lastRenderedPageBreak/>
        <w:t>Por otro lado, es necesario reiterar que los Avisos de Privacidad solicitados por el particular son herramientas importantísimas y elementales para asegurar que los titulares de datos personales, hablantes de alguna lengua indígena, conozcan enteramente la finalidad con la que las diversas áreas administrativas del Ayuntamiento de Temoaya recaba sus datos. No es posible considerar siquiera que un ente público protege, respeta y tutela los derechos ARCO de la ciudadanía cuando ésta no puede siquiera conocer las finalidades explícitas por las que, en primer lugar, se recaban sus datos.</w:t>
      </w:r>
    </w:p>
    <w:p w14:paraId="20EE547D"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1953AB75" w14:textId="77777777"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rPr>
        <w:t xml:space="preserve">Por lo anterior es importante traer a colación lo que se establece en el </w:t>
      </w:r>
      <w:r w:rsidRPr="00B843B7">
        <w:rPr>
          <w:rFonts w:ascii="Palatino Linotype" w:hAnsi="Palatino Linotype"/>
          <w:b/>
        </w:rPr>
        <w:t>Convenio sobre Pueblos Indígenas y Tribales en Países Independientes</w:t>
      </w:r>
      <w:r w:rsidRPr="00B843B7">
        <w:rPr>
          <w:rStyle w:val="Refdenotaalpie"/>
          <w:rFonts w:ascii="Palatino Linotype" w:hAnsi="Palatino Linotype"/>
        </w:rPr>
        <w:footnoteReference w:id="19"/>
      </w:r>
      <w:r w:rsidRPr="00B843B7">
        <w:rPr>
          <w:rFonts w:ascii="Palatino Linotype" w:hAnsi="Palatino Linotype"/>
        </w:rPr>
        <w:t xml:space="preserve"> el cual</w:t>
      </w:r>
      <w:r w:rsidRPr="00B843B7">
        <w:rPr>
          <w:rFonts w:ascii="Palatino Linotype" w:hAnsi="Palatino Linotype" w:cs="Arial"/>
          <w:color w:val="000000" w:themeColor="text1"/>
        </w:rPr>
        <w:t xml:space="preserve"> señala en su artículo </w:t>
      </w:r>
      <w:r w:rsidRPr="00B843B7">
        <w:rPr>
          <w:rFonts w:ascii="Palatino Linotype" w:hAnsi="Palatino Linotype"/>
        </w:rPr>
        <w:t>30 a la literalidad lo siguiente:</w:t>
      </w:r>
    </w:p>
    <w:p w14:paraId="39E5670B" w14:textId="77777777" w:rsidR="0047300F" w:rsidRPr="00B843B7" w:rsidRDefault="0047300F" w:rsidP="0047300F">
      <w:pPr>
        <w:pStyle w:val="Prrafodelista"/>
        <w:spacing w:line="360" w:lineRule="auto"/>
        <w:ind w:left="0"/>
        <w:jc w:val="both"/>
        <w:rPr>
          <w:rFonts w:ascii="Palatino Linotype" w:hAnsi="Palatino Linotype"/>
        </w:rPr>
      </w:pPr>
    </w:p>
    <w:p w14:paraId="30AEEC09" w14:textId="0368CAF6" w:rsidR="0047300F" w:rsidRPr="00B843B7" w:rsidRDefault="0047300F" w:rsidP="0047300F">
      <w:pPr>
        <w:pStyle w:val="Prrafodelista"/>
        <w:spacing w:line="276" w:lineRule="auto"/>
        <w:ind w:left="567" w:right="567"/>
        <w:jc w:val="both"/>
        <w:rPr>
          <w:rFonts w:ascii="Palatino Linotype" w:hAnsi="Palatino Linotype"/>
          <w:b/>
          <w:i/>
        </w:rPr>
      </w:pPr>
      <w:r w:rsidRPr="00B843B7">
        <w:rPr>
          <w:rFonts w:ascii="Palatino Linotype" w:hAnsi="Palatino Linotype"/>
          <w:b/>
          <w:i/>
        </w:rPr>
        <w:t>“Artículo 30</w:t>
      </w:r>
    </w:p>
    <w:p w14:paraId="7A9B8B25" w14:textId="77777777" w:rsidR="0047300F" w:rsidRPr="00B843B7" w:rsidRDefault="0047300F" w:rsidP="0047300F">
      <w:pPr>
        <w:spacing w:line="276" w:lineRule="auto"/>
        <w:ind w:left="567" w:right="567"/>
        <w:jc w:val="both"/>
        <w:rPr>
          <w:rFonts w:ascii="Palatino Linotype" w:hAnsi="Palatino Linotype"/>
          <w:i/>
        </w:rPr>
      </w:pPr>
      <w:r w:rsidRPr="00B843B7">
        <w:rPr>
          <w:rFonts w:ascii="Palatino Linotype" w:hAnsi="Palatino Linotype"/>
          <w:b/>
          <w:i/>
        </w:rPr>
        <w:t>1.</w:t>
      </w:r>
      <w:r w:rsidRPr="00B843B7">
        <w:rPr>
          <w:rFonts w:ascii="Palatino Linotype" w:hAnsi="Palatino Linotype"/>
          <w:i/>
        </w:rPr>
        <w:t xml:space="preserve"> Los gobiernos deberán adoptar medidas acordes a las tradiciones y culturas de los pueblos interesados, a fin de darles a conocer sus derechos y obligaciones, especialmente en lo que atañe al trabajo, a las posibilidades económicas, a las cuestiones de educación y salud, a los servicios sociales y a los derechos dimanantes del presente convenio. </w:t>
      </w:r>
    </w:p>
    <w:p w14:paraId="7F6B974F" w14:textId="0DA47FA0" w:rsidR="0047300F" w:rsidRPr="00B843B7" w:rsidRDefault="0047300F" w:rsidP="0047300F">
      <w:pPr>
        <w:pStyle w:val="Prrafodelista"/>
        <w:spacing w:line="276" w:lineRule="auto"/>
        <w:ind w:left="567" w:right="567"/>
        <w:jc w:val="both"/>
        <w:rPr>
          <w:rFonts w:ascii="Palatino Linotype" w:hAnsi="Palatino Linotype" w:cs="Arial"/>
          <w:i/>
          <w:color w:val="000000" w:themeColor="text1"/>
        </w:rPr>
      </w:pPr>
      <w:r w:rsidRPr="00B843B7">
        <w:rPr>
          <w:rFonts w:ascii="Palatino Linotype" w:hAnsi="Palatino Linotype"/>
          <w:b/>
          <w:i/>
        </w:rPr>
        <w:t>2.</w:t>
      </w:r>
      <w:r w:rsidRPr="00B843B7">
        <w:rPr>
          <w:rFonts w:ascii="Palatino Linotype" w:hAnsi="Palatino Linotype"/>
          <w:i/>
        </w:rPr>
        <w:t xml:space="preserve"> A tal fin, </w:t>
      </w:r>
      <w:r w:rsidRPr="00B843B7">
        <w:rPr>
          <w:rFonts w:ascii="Palatino Linotype" w:hAnsi="Palatino Linotype"/>
          <w:b/>
          <w:i/>
        </w:rPr>
        <w:t>deberá recurrirse, si fuera necesario, a traducciones escritas y a la utilización de los medios de comunicación de masas en las lenguas de dichos pueblos.</w:t>
      </w:r>
      <w:r w:rsidRPr="00B843B7">
        <w:rPr>
          <w:rFonts w:ascii="Palatino Linotype" w:hAnsi="Palatino Linotype"/>
          <w:i/>
        </w:rPr>
        <w:t>”</w:t>
      </w:r>
    </w:p>
    <w:p w14:paraId="5D98B3A0"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462FD9C4" w14:textId="0A4EBA8C"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lastRenderedPageBreak/>
        <w:t xml:space="preserve">Por su parte, la </w:t>
      </w:r>
      <w:r w:rsidRPr="00B843B7">
        <w:rPr>
          <w:rFonts w:ascii="Palatino Linotype" w:hAnsi="Palatino Linotype" w:cs="Arial"/>
          <w:b/>
          <w:color w:val="000000" w:themeColor="text1"/>
        </w:rPr>
        <w:t>Declaración de las Naciones Unidas sobre Derecho de los Pueblos Indígenas,</w:t>
      </w:r>
      <w:r w:rsidRPr="00B843B7">
        <w:rPr>
          <w:rFonts w:ascii="Palatino Linotype" w:hAnsi="Palatino Linotype" w:cs="Arial"/>
          <w:color w:val="000000" w:themeColor="text1"/>
        </w:rPr>
        <w:t xml:space="preserve"> en su artículo trece refiere que:</w:t>
      </w:r>
    </w:p>
    <w:p w14:paraId="34C20979"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12F2358F" w14:textId="39FD7F5D" w:rsidR="0047300F" w:rsidRPr="00B843B7" w:rsidRDefault="0047300F" w:rsidP="0047300F">
      <w:pPr>
        <w:pStyle w:val="Prrafodelista"/>
        <w:spacing w:line="276" w:lineRule="auto"/>
        <w:ind w:left="567" w:right="567"/>
        <w:jc w:val="both"/>
        <w:rPr>
          <w:rFonts w:ascii="Palatino Linotype" w:hAnsi="Palatino Linotype"/>
          <w:b/>
          <w:i/>
        </w:rPr>
      </w:pPr>
      <w:r w:rsidRPr="00B843B7">
        <w:rPr>
          <w:rFonts w:ascii="Palatino Linotype" w:hAnsi="Palatino Linotype"/>
          <w:i/>
        </w:rPr>
        <w:t>“</w:t>
      </w:r>
      <w:r w:rsidRPr="00B843B7">
        <w:rPr>
          <w:rFonts w:ascii="Palatino Linotype" w:hAnsi="Palatino Linotype"/>
          <w:b/>
          <w:i/>
        </w:rPr>
        <w:t xml:space="preserve">ARTÍCULO 13 </w:t>
      </w:r>
    </w:p>
    <w:p w14:paraId="46D1FD72" w14:textId="77777777" w:rsidR="0047300F" w:rsidRPr="00B843B7" w:rsidRDefault="0047300F" w:rsidP="0047300F">
      <w:pPr>
        <w:pStyle w:val="Prrafodelista"/>
        <w:spacing w:line="276" w:lineRule="auto"/>
        <w:ind w:left="567" w:right="567"/>
        <w:jc w:val="both"/>
        <w:rPr>
          <w:rFonts w:ascii="Palatino Linotype" w:hAnsi="Palatino Linotype"/>
          <w:i/>
        </w:rPr>
      </w:pPr>
      <w:r w:rsidRPr="00B843B7">
        <w:rPr>
          <w:rFonts w:ascii="Palatino Linotype" w:hAnsi="Palatino Linotype"/>
          <w:b/>
          <w:i/>
        </w:rPr>
        <w:t>1.</w:t>
      </w:r>
      <w:r w:rsidRPr="00B843B7">
        <w:rPr>
          <w:rFonts w:ascii="Palatino Linotype" w:hAnsi="Palatino Linotype"/>
          <w:i/>
        </w:rPr>
        <w:t xml:space="preserve"> Los pueblos indígenas tienen derecho a revitalizar, utilizar, fomentar y transmitir a las generaciones futuras sus historias, idiomas, tradiciones orales, filosofías, sistemas de escritura y literaturas, y a atribuir nombres a sus comunidades, lugares y personas y mantenerlos. </w:t>
      </w:r>
    </w:p>
    <w:p w14:paraId="4D71F7C4" w14:textId="034A5695" w:rsidR="0047300F" w:rsidRPr="00B843B7" w:rsidRDefault="0047300F" w:rsidP="0047300F">
      <w:pPr>
        <w:pStyle w:val="Prrafodelista"/>
        <w:spacing w:line="276" w:lineRule="auto"/>
        <w:ind w:left="567" w:right="567"/>
        <w:jc w:val="both"/>
        <w:rPr>
          <w:rFonts w:ascii="Palatino Linotype" w:hAnsi="Palatino Linotype"/>
          <w:i/>
        </w:rPr>
      </w:pPr>
      <w:r w:rsidRPr="00B843B7">
        <w:rPr>
          <w:rFonts w:ascii="Palatino Linotype" w:hAnsi="Palatino Linotype"/>
          <w:b/>
          <w:i/>
        </w:rPr>
        <w:t>2.</w:t>
      </w:r>
      <w:r w:rsidRPr="00B843B7">
        <w:rPr>
          <w:rFonts w:ascii="Palatino Linotype" w:hAnsi="Palatino Linotype"/>
          <w:i/>
        </w:rPr>
        <w:t xml:space="preserve"> Los Estados adoptarán medidas eficaces para garantizar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p>
    <w:p w14:paraId="283AF7CB" w14:textId="77777777" w:rsidR="0047300F" w:rsidRPr="00B843B7" w:rsidRDefault="0047300F" w:rsidP="0047300F">
      <w:pPr>
        <w:pStyle w:val="Prrafodelista"/>
        <w:spacing w:line="360" w:lineRule="auto"/>
        <w:ind w:left="567" w:right="567"/>
        <w:jc w:val="both"/>
        <w:rPr>
          <w:rFonts w:ascii="Palatino Linotype" w:hAnsi="Palatino Linotype" w:cs="Arial"/>
          <w:color w:val="000000" w:themeColor="text1"/>
        </w:rPr>
      </w:pPr>
    </w:p>
    <w:p w14:paraId="7940E0AA" w14:textId="228F3ECD"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 xml:space="preserve">Correlativo a lo anterior, la Constitución Política de los Estados Unidos Mexicanos establece en sus artículos primero y segundo, apartado B, que; </w:t>
      </w:r>
    </w:p>
    <w:p w14:paraId="48F7C342" w14:textId="77777777" w:rsidR="0047300F" w:rsidRPr="00B843B7" w:rsidRDefault="0047300F" w:rsidP="0047300F">
      <w:pPr>
        <w:pStyle w:val="Prrafodelista"/>
        <w:spacing w:line="360" w:lineRule="auto"/>
        <w:ind w:left="360"/>
        <w:jc w:val="both"/>
        <w:rPr>
          <w:rFonts w:ascii="Palatino Linotype" w:eastAsia="Times New Roman" w:hAnsi="Palatino Linotype" w:cs="Arial"/>
          <w:b/>
          <w:bCs/>
          <w:color w:val="000000"/>
          <w:lang w:eastAsia="es-MX"/>
        </w:rPr>
      </w:pPr>
    </w:p>
    <w:p w14:paraId="640A8B39" w14:textId="166F6CE3" w:rsidR="0047300F" w:rsidRPr="00B843B7" w:rsidRDefault="0047300F" w:rsidP="0047300F">
      <w:pPr>
        <w:pStyle w:val="Prrafodelista"/>
        <w:spacing w:line="276" w:lineRule="auto"/>
        <w:ind w:left="567" w:right="567"/>
        <w:jc w:val="both"/>
        <w:rPr>
          <w:rFonts w:ascii="Palatino Linotype" w:eastAsia="Times New Roman" w:hAnsi="Palatino Linotype" w:cs="Arial"/>
          <w:i/>
          <w:color w:val="000000"/>
          <w:lang w:eastAsia="es-MX"/>
        </w:rPr>
      </w:pPr>
      <w:r w:rsidRPr="00B843B7">
        <w:rPr>
          <w:rFonts w:ascii="Palatino Linotype" w:eastAsia="Times New Roman" w:hAnsi="Palatino Linotype" w:cs="Arial"/>
          <w:bCs/>
          <w:i/>
          <w:color w:val="000000"/>
          <w:lang w:eastAsia="es-MX"/>
        </w:rPr>
        <w:t>“</w:t>
      </w:r>
      <w:r w:rsidRPr="00B843B7">
        <w:rPr>
          <w:rFonts w:ascii="Palatino Linotype" w:eastAsia="Times New Roman" w:hAnsi="Palatino Linotype" w:cs="Arial"/>
          <w:b/>
          <w:bCs/>
          <w:i/>
          <w:color w:val="000000"/>
          <w:lang w:eastAsia="es-MX"/>
        </w:rPr>
        <w:t>Artículo 1o.</w:t>
      </w:r>
      <w:r w:rsidRPr="00B843B7">
        <w:rPr>
          <w:rFonts w:ascii="Palatino Linotype" w:eastAsia="Times New Roman" w:hAnsi="Palatino Linotype" w:cs="Arial"/>
          <w:i/>
          <w:color w:val="000000"/>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BBBBFF8" w14:textId="77777777" w:rsidR="0047300F" w:rsidRPr="00B843B7" w:rsidRDefault="0047300F" w:rsidP="0047300F">
      <w:pPr>
        <w:pStyle w:val="Prrafodelista"/>
        <w:spacing w:line="276" w:lineRule="auto"/>
        <w:ind w:left="567" w:right="567"/>
        <w:jc w:val="both"/>
        <w:rPr>
          <w:rFonts w:ascii="Palatino Linotype" w:eastAsia="Times New Roman" w:hAnsi="Palatino Linotype" w:cs="Arial"/>
          <w:i/>
          <w:color w:val="000000"/>
          <w:lang w:eastAsia="es-MX"/>
        </w:rPr>
      </w:pPr>
      <w:r w:rsidRPr="00B843B7">
        <w:rPr>
          <w:rFonts w:ascii="Palatino Linotype" w:eastAsia="Times New Roman" w:hAnsi="Palatino Linotype" w:cs="Arial"/>
          <w:i/>
          <w:color w:val="000000"/>
          <w:lang w:eastAsia="es-MX"/>
        </w:rPr>
        <w:t>Las normas relativas a los derechos humanos se interpretarán de conformidad con esta Constitución y con los tratados internacionales de la materia favoreciendo en todo tiempo a las personas la protección más amplia.</w:t>
      </w:r>
    </w:p>
    <w:p w14:paraId="590C3518" w14:textId="77777777" w:rsidR="0047300F" w:rsidRPr="00B843B7" w:rsidRDefault="0047300F" w:rsidP="0047300F">
      <w:pPr>
        <w:spacing w:line="276" w:lineRule="auto"/>
        <w:ind w:left="567" w:right="567"/>
        <w:jc w:val="both"/>
        <w:rPr>
          <w:rFonts w:ascii="Palatino Linotype" w:eastAsia="Times New Roman" w:hAnsi="Palatino Linotype" w:cs="Arial"/>
          <w:i/>
          <w:color w:val="000000"/>
          <w:lang w:eastAsia="es-MX"/>
        </w:rPr>
      </w:pPr>
      <w:r w:rsidRPr="00B843B7">
        <w:rPr>
          <w:rFonts w:ascii="Palatino Linotype" w:eastAsia="Times New Roman" w:hAnsi="Palatino Linotype" w:cs="Arial"/>
          <w:b/>
          <w:i/>
          <w:color w:val="000000"/>
          <w:lang w:eastAsia="es-MX"/>
        </w:rPr>
        <w:t>Todas las autoridades</w:t>
      </w:r>
      <w:r w:rsidRPr="00B843B7">
        <w:rPr>
          <w:rFonts w:ascii="Palatino Linotype" w:eastAsia="Times New Roman" w:hAnsi="Palatino Linotype" w:cs="Arial"/>
          <w:i/>
          <w:color w:val="000000"/>
          <w:lang w:eastAsia="es-MX"/>
        </w:rPr>
        <w:t xml:space="preserve">, en el ámbito de sus competencias, </w:t>
      </w:r>
      <w:r w:rsidRPr="00B843B7">
        <w:rPr>
          <w:rFonts w:ascii="Palatino Linotype" w:eastAsia="Times New Roman" w:hAnsi="Palatino Linotype" w:cs="Arial"/>
          <w:b/>
          <w:i/>
          <w:color w:val="000000"/>
          <w:lang w:eastAsia="es-MX"/>
        </w:rPr>
        <w:t>tienen la obligación de promover, respetar, proteger y garantizar los derechos humanos de conformidad con los principios de universalidad, interdependencia, indivisibilidad y progresividad</w:t>
      </w:r>
      <w:r w:rsidRPr="00B843B7">
        <w:rPr>
          <w:rFonts w:ascii="Palatino Linotype" w:eastAsia="Times New Roman" w:hAnsi="Palatino Linotype" w:cs="Arial"/>
          <w:i/>
          <w:color w:val="000000"/>
          <w:lang w:eastAsia="es-MX"/>
        </w:rPr>
        <w:t xml:space="preserve">. En consecuencia, el </w:t>
      </w:r>
      <w:r w:rsidRPr="00B843B7">
        <w:rPr>
          <w:rFonts w:ascii="Palatino Linotype" w:eastAsia="Times New Roman" w:hAnsi="Palatino Linotype" w:cs="Arial"/>
          <w:i/>
          <w:color w:val="000000"/>
          <w:lang w:eastAsia="es-MX"/>
        </w:rPr>
        <w:lastRenderedPageBreak/>
        <w:t>Estado deberá prevenir, investigar, sancionar y reparar las violaciones a los derechos humanos, en los términos que establezca la ley.</w:t>
      </w:r>
    </w:p>
    <w:p w14:paraId="5BFA4CE2" w14:textId="77777777" w:rsidR="0047300F" w:rsidRPr="00B843B7" w:rsidRDefault="0047300F" w:rsidP="0047300F">
      <w:pPr>
        <w:spacing w:line="276" w:lineRule="auto"/>
        <w:ind w:left="567" w:right="567"/>
        <w:jc w:val="both"/>
        <w:rPr>
          <w:rFonts w:ascii="Palatino Linotype" w:eastAsia="Times New Roman" w:hAnsi="Palatino Linotype" w:cs="Arial"/>
          <w:i/>
          <w:color w:val="000000"/>
          <w:lang w:eastAsia="es-MX"/>
        </w:rPr>
      </w:pPr>
      <w:r w:rsidRPr="00B843B7">
        <w:rPr>
          <w:rFonts w:ascii="Palatino Linotype" w:eastAsia="Times New Roman" w:hAnsi="Palatino Linotype" w:cs="Arial"/>
          <w:i/>
          <w:color w:val="000000"/>
          <w:lang w:eastAsia="es-MX"/>
        </w:rPr>
        <w:t>Está prohibida la esclavitud en los Estados Unidos Mexicanos. Los esclavos del extranjero que entren al territorio nacional alcanzarán, por este solo hecho, su libertad y la protección de las leyes.</w:t>
      </w:r>
    </w:p>
    <w:p w14:paraId="2378CDBF" w14:textId="5E03E298" w:rsidR="0047300F" w:rsidRPr="00B843B7" w:rsidRDefault="0047300F" w:rsidP="0047300F">
      <w:pPr>
        <w:pStyle w:val="Prrafodelista"/>
        <w:spacing w:line="276" w:lineRule="auto"/>
        <w:ind w:left="567" w:right="567"/>
        <w:jc w:val="both"/>
        <w:rPr>
          <w:rFonts w:ascii="Palatino Linotype" w:eastAsia="Times New Roman" w:hAnsi="Palatino Linotype" w:cs="Arial"/>
          <w:i/>
          <w:color w:val="000000"/>
          <w:lang w:eastAsia="es-MX"/>
        </w:rPr>
      </w:pPr>
      <w:r w:rsidRPr="00B843B7">
        <w:rPr>
          <w:rFonts w:ascii="Palatino Linotype" w:eastAsia="Times New Roman" w:hAnsi="Palatino Linotype" w:cs="Arial"/>
          <w:b/>
          <w:i/>
          <w:color w:val="000000"/>
          <w:lang w:eastAsia="es-MX"/>
        </w:rPr>
        <w:t>Queda prohibida toda discriminación motivada por origen étnico o nacional</w:t>
      </w:r>
      <w:r w:rsidRPr="00B843B7">
        <w:rPr>
          <w:rFonts w:ascii="Palatino Linotype" w:eastAsia="Times New Roman" w:hAnsi="Palatino Linotype" w:cs="Arial"/>
          <w:i/>
          <w:color w:val="000000"/>
          <w:lang w:eastAsia="es-MX"/>
        </w:rPr>
        <w:t>,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6C79D9DF" w14:textId="77777777" w:rsidR="0047300F" w:rsidRPr="00B843B7" w:rsidRDefault="0047300F" w:rsidP="0047300F">
      <w:pPr>
        <w:spacing w:line="276" w:lineRule="auto"/>
        <w:ind w:right="567"/>
        <w:jc w:val="both"/>
        <w:rPr>
          <w:rFonts w:ascii="Palatino Linotype" w:hAnsi="Palatino Linotype" w:cs="Arial"/>
          <w:i/>
          <w:color w:val="000000" w:themeColor="text1"/>
        </w:rPr>
      </w:pPr>
    </w:p>
    <w:p w14:paraId="19A836C7" w14:textId="77777777" w:rsidR="0047300F" w:rsidRPr="00B843B7" w:rsidRDefault="0047300F" w:rsidP="0047300F">
      <w:pPr>
        <w:pStyle w:val="Prrafodelista"/>
        <w:spacing w:line="276" w:lineRule="auto"/>
        <w:ind w:left="567" w:right="567"/>
        <w:jc w:val="both"/>
        <w:rPr>
          <w:rFonts w:ascii="Palatino Linotype" w:hAnsi="Palatino Linotype"/>
          <w:i/>
        </w:rPr>
      </w:pPr>
      <w:r w:rsidRPr="00B843B7">
        <w:rPr>
          <w:rFonts w:ascii="Palatino Linotype" w:hAnsi="Palatino Linotype" w:cs="Arial"/>
          <w:b/>
          <w:i/>
          <w:color w:val="000000" w:themeColor="text1"/>
        </w:rPr>
        <w:t>Artículo 2</w:t>
      </w:r>
      <w:r w:rsidRPr="00B843B7">
        <w:rPr>
          <w:rFonts w:ascii="Palatino Linotype" w:hAnsi="Palatino Linotype"/>
          <w:b/>
          <w:i/>
        </w:rPr>
        <w:t>º.</w:t>
      </w:r>
      <w:r w:rsidRPr="00B843B7">
        <w:rPr>
          <w:rFonts w:ascii="Palatino Linotype" w:hAnsi="Palatino Linotype"/>
          <w:i/>
        </w:rPr>
        <w:t xml:space="preserve"> La Nación Mexicana es única e indivisible. </w:t>
      </w:r>
    </w:p>
    <w:p w14:paraId="654A2005" w14:textId="77777777" w:rsidR="0047300F" w:rsidRPr="00B843B7" w:rsidRDefault="0047300F" w:rsidP="0047300F">
      <w:pPr>
        <w:pStyle w:val="Prrafodelista"/>
        <w:spacing w:line="276" w:lineRule="auto"/>
        <w:ind w:left="567" w:right="567"/>
        <w:jc w:val="both"/>
        <w:rPr>
          <w:rFonts w:ascii="Palatino Linotype" w:hAnsi="Palatino Linotype"/>
          <w:i/>
        </w:rPr>
      </w:pPr>
      <w:r w:rsidRPr="00B843B7">
        <w:rPr>
          <w:rFonts w:ascii="Palatino Linotype" w:hAnsi="Palatino Linotype"/>
          <w:i/>
        </w:rPr>
        <w:t>(…)</w:t>
      </w:r>
    </w:p>
    <w:p w14:paraId="67BB54B4" w14:textId="4E3C3FCD" w:rsidR="0047300F" w:rsidRPr="00B843B7" w:rsidRDefault="0047300F" w:rsidP="0047300F">
      <w:pPr>
        <w:pStyle w:val="Prrafodelista"/>
        <w:spacing w:line="276" w:lineRule="auto"/>
        <w:ind w:left="567" w:right="567"/>
        <w:jc w:val="both"/>
        <w:rPr>
          <w:rFonts w:ascii="Palatino Linotype" w:hAnsi="Palatino Linotype"/>
          <w:i/>
        </w:rPr>
      </w:pPr>
      <w:r w:rsidRPr="00B843B7">
        <w:rPr>
          <w:rFonts w:ascii="Palatino Linotype" w:hAnsi="Palatino Linotype"/>
          <w:i/>
        </w:rPr>
        <w:t xml:space="preserve">B. La Federación, las entidades federativas y los Municipios, para promover la igualdad de oportunidades de los indígenas y eliminar cualquier práctica discriminatoria, </w:t>
      </w:r>
      <w:r w:rsidRPr="00B843B7">
        <w:rPr>
          <w:rFonts w:ascii="Palatino Linotype" w:hAnsi="Palatino Linotype"/>
          <w:b/>
          <w:i/>
        </w:rPr>
        <w:t>establecerán las instituciones y determinarán las políticas necesarias para garantizar la vigencia de los derechos de los indígenas y el desarrollo integral de sus pueblos y comunidades,</w:t>
      </w:r>
      <w:r w:rsidRPr="00B843B7">
        <w:rPr>
          <w:rFonts w:ascii="Palatino Linotype" w:hAnsi="Palatino Linotype"/>
          <w:i/>
        </w:rPr>
        <w:t xml:space="preserve"> las cuales deberán ser diseñadas y operadas conjuntamente con ellos.”</w:t>
      </w:r>
    </w:p>
    <w:p w14:paraId="5E09284D" w14:textId="511CC3EB" w:rsidR="0047300F" w:rsidRPr="00B843B7" w:rsidRDefault="0047300F" w:rsidP="0047300F">
      <w:pPr>
        <w:pStyle w:val="Prrafodelista"/>
        <w:spacing w:line="276" w:lineRule="auto"/>
        <w:ind w:left="567" w:right="567"/>
        <w:jc w:val="both"/>
        <w:rPr>
          <w:rFonts w:ascii="Palatino Linotype" w:hAnsi="Palatino Linotype"/>
        </w:rPr>
      </w:pPr>
      <w:r w:rsidRPr="00B843B7">
        <w:rPr>
          <w:rFonts w:ascii="Palatino Linotype" w:hAnsi="Palatino Linotype"/>
        </w:rPr>
        <w:t>(Énfasis añadido)</w:t>
      </w:r>
    </w:p>
    <w:p w14:paraId="18AD6505" w14:textId="77777777" w:rsidR="0047300F" w:rsidRPr="00B843B7" w:rsidRDefault="0047300F" w:rsidP="0047300F">
      <w:pPr>
        <w:pStyle w:val="Prrafodelista"/>
        <w:spacing w:line="360" w:lineRule="auto"/>
        <w:ind w:left="567" w:right="567"/>
        <w:jc w:val="both"/>
        <w:rPr>
          <w:rFonts w:ascii="Palatino Linotype" w:hAnsi="Palatino Linotype"/>
        </w:rPr>
      </w:pPr>
    </w:p>
    <w:p w14:paraId="4F092C4F" w14:textId="60DC147C"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 xml:space="preserve">Como se anticipó, el primer párrafo del artículo primero constitucional establece una cláusula abierta para reconocer los derechos humanos no sólo los contenidos en la propia Constitución, sino  los provenientes de los tratados internacionales en los que nuestro país es parte, fortaleciendo así como límites no negociables frente a la actuación del Estado. </w:t>
      </w:r>
    </w:p>
    <w:p w14:paraId="2DF5B515"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4630AD10" w14:textId="33316AA9"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lastRenderedPageBreak/>
        <w:t xml:space="preserve">Por lo que al respecto, </w:t>
      </w:r>
      <w:r w:rsidR="00C857B4" w:rsidRPr="00B843B7">
        <w:rPr>
          <w:rFonts w:ascii="Palatino Linotype" w:hAnsi="Palatino Linotype" w:cs="Arial"/>
          <w:color w:val="000000" w:themeColor="text1"/>
        </w:rPr>
        <w:t>se hace explí</w:t>
      </w:r>
      <w:r w:rsidRPr="00B843B7">
        <w:rPr>
          <w:rFonts w:ascii="Palatino Linotype" w:hAnsi="Palatino Linotype" w:cs="Arial"/>
          <w:color w:val="000000" w:themeColor="text1"/>
        </w:rPr>
        <w:t>cito el bloque de protección de los derechos humanos en el ordenamiento jurídico mexicano, según el cual</w:t>
      </w:r>
      <w:r w:rsidR="00C857B4" w:rsidRPr="00B843B7">
        <w:rPr>
          <w:rFonts w:ascii="Palatino Linotype" w:hAnsi="Palatino Linotype" w:cs="Arial"/>
          <w:color w:val="000000" w:themeColor="text1"/>
        </w:rPr>
        <w:t>,</w:t>
      </w:r>
      <w:r w:rsidRPr="00B843B7">
        <w:rPr>
          <w:rFonts w:ascii="Palatino Linotype" w:hAnsi="Palatino Linotype" w:cs="Arial"/>
          <w:color w:val="000000" w:themeColor="text1"/>
        </w:rPr>
        <w:t xml:space="preserve"> ningún poder del Estado está en posibilidad de restringirlos o suspenderlos. </w:t>
      </w:r>
    </w:p>
    <w:p w14:paraId="546C0EC3"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507F2169" w14:textId="77777777"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 xml:space="preserve">La obligación de las autoridades en todos los ámbitos de competencia tienen la obligación de promover, respetar, proteger y garantizar estas prerrogativas bajo los principios de universalidad, interdependencia, indivisibilidad y progresividad, lo que constituye un punto de apoyo para el desarrollo de los derechos económicos, sociales y culturales. Por lo que para el cumplimiento de dicho fin, el artículo primero constitucional también establece la obligación general de los Estados de adecuar su derecho a las disposiciones internacionales lo cual implica adoptar las medidas de derecho interno necesarias para hacer efectivos los derechos y libertades. </w:t>
      </w:r>
    </w:p>
    <w:p w14:paraId="3831996E"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61D7D418" w14:textId="1572044F" w:rsidR="0047300F" w:rsidRPr="00B843B7" w:rsidRDefault="00C857B4"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Es así</w:t>
      </w:r>
      <w:r w:rsidR="0047300F" w:rsidRPr="00B843B7">
        <w:rPr>
          <w:rFonts w:ascii="Palatino Linotype" w:hAnsi="Palatino Linotype" w:cs="Arial"/>
          <w:color w:val="000000" w:themeColor="text1"/>
        </w:rPr>
        <w:t xml:space="preserve"> que la Ley General de Derechos Lingüísticos de los Pueblos Indígenas</w:t>
      </w:r>
      <w:r w:rsidR="0047300F" w:rsidRPr="00B843B7">
        <w:rPr>
          <w:rStyle w:val="Refdenotaalpie"/>
          <w:rFonts w:ascii="Palatino Linotype" w:hAnsi="Palatino Linotype" w:cs="Arial"/>
          <w:color w:val="000000" w:themeColor="text1"/>
        </w:rPr>
        <w:footnoteReference w:id="20"/>
      </w:r>
      <w:r w:rsidR="0047300F" w:rsidRPr="00B843B7">
        <w:rPr>
          <w:rFonts w:ascii="Palatino Linotype" w:hAnsi="Palatino Linotype" w:cs="Arial"/>
          <w:color w:val="000000" w:themeColor="text1"/>
        </w:rPr>
        <w:t>,  en sus artículos</w:t>
      </w:r>
      <w:r w:rsidRPr="00B843B7">
        <w:rPr>
          <w:rFonts w:ascii="Palatino Linotype" w:hAnsi="Palatino Linotype" w:cs="Arial"/>
          <w:color w:val="000000" w:themeColor="text1"/>
        </w:rPr>
        <w:t xml:space="preserve"> 4, 5, 7 y 10</w:t>
      </w:r>
      <w:r w:rsidR="0047300F" w:rsidRPr="00B843B7">
        <w:rPr>
          <w:rFonts w:ascii="Palatino Linotype" w:hAnsi="Palatino Linotype" w:cs="Arial"/>
          <w:color w:val="000000" w:themeColor="text1"/>
        </w:rPr>
        <w:t xml:space="preserve">  refiere lo siguiente:</w:t>
      </w:r>
    </w:p>
    <w:p w14:paraId="2FF09355"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2A790C2B" w14:textId="552CD153" w:rsidR="0047300F" w:rsidRPr="00B843B7" w:rsidRDefault="00C857B4" w:rsidP="00C857B4">
      <w:pPr>
        <w:pStyle w:val="Prrafodelista"/>
        <w:spacing w:after="240" w:line="276" w:lineRule="auto"/>
        <w:ind w:left="567" w:right="567"/>
        <w:jc w:val="both"/>
        <w:rPr>
          <w:rFonts w:ascii="Palatino Linotype" w:hAnsi="Palatino Linotype"/>
          <w:i/>
          <w:sz w:val="22"/>
        </w:rPr>
      </w:pPr>
      <w:r w:rsidRPr="00B843B7">
        <w:rPr>
          <w:rFonts w:ascii="Palatino Linotype" w:hAnsi="Palatino Linotype"/>
          <w:i/>
          <w:sz w:val="22"/>
        </w:rPr>
        <w:t>“</w:t>
      </w:r>
      <w:r w:rsidR="0047300F" w:rsidRPr="00B843B7">
        <w:rPr>
          <w:rFonts w:ascii="Palatino Linotype" w:hAnsi="Palatino Linotype"/>
          <w:b/>
          <w:i/>
          <w:sz w:val="22"/>
        </w:rPr>
        <w:t>ARTÍCULO 4.-</w:t>
      </w:r>
      <w:r w:rsidR="0047300F" w:rsidRPr="00B843B7">
        <w:rPr>
          <w:rFonts w:ascii="Palatino Linotype" w:hAnsi="Palatino Linotype"/>
          <w:i/>
          <w:sz w:val="22"/>
        </w:rPr>
        <w:t xml:space="preserve"> Las </w:t>
      </w:r>
      <w:r w:rsidR="0047300F" w:rsidRPr="00B843B7">
        <w:rPr>
          <w:rFonts w:ascii="Palatino Linotype" w:hAnsi="Palatino Linotype"/>
          <w:b/>
          <w:i/>
          <w:sz w:val="22"/>
        </w:rPr>
        <w:t>lenguas indígenas que se reconozcan en los términos de la presente Ley y el español son lenguas nacionales</w:t>
      </w:r>
      <w:r w:rsidR="0047300F" w:rsidRPr="00B843B7">
        <w:rPr>
          <w:rFonts w:ascii="Palatino Linotype" w:hAnsi="Palatino Linotype"/>
          <w:i/>
          <w:sz w:val="22"/>
        </w:rPr>
        <w:t xml:space="preserve"> por su origen histórico y </w:t>
      </w:r>
      <w:r w:rsidR="0047300F" w:rsidRPr="00B843B7">
        <w:rPr>
          <w:rFonts w:ascii="Palatino Linotype" w:hAnsi="Palatino Linotype"/>
          <w:b/>
          <w:i/>
          <w:sz w:val="22"/>
        </w:rPr>
        <w:t>tendrán la misma validez,</w:t>
      </w:r>
      <w:r w:rsidR="0047300F" w:rsidRPr="00B843B7">
        <w:rPr>
          <w:rFonts w:ascii="Palatino Linotype" w:hAnsi="Palatino Linotype"/>
          <w:i/>
          <w:sz w:val="22"/>
        </w:rPr>
        <w:t xml:space="preserve"> garantizando en todo momento los derechos humanos a la no discriminación y acceso a la justicia de conformidad con la Constitución Política de los Estados Unidos Mexicanos y los tratados internacionales en la materia de los que el Estado Mexicano sea parte.</w:t>
      </w:r>
    </w:p>
    <w:p w14:paraId="00D49242" w14:textId="77777777" w:rsidR="0047300F" w:rsidRPr="00B843B7" w:rsidRDefault="0047300F" w:rsidP="00C857B4">
      <w:pPr>
        <w:pStyle w:val="Prrafodelista"/>
        <w:spacing w:after="240" w:line="276" w:lineRule="auto"/>
        <w:ind w:left="567" w:right="567"/>
        <w:jc w:val="both"/>
        <w:rPr>
          <w:rFonts w:ascii="Palatino Linotype" w:hAnsi="Palatino Linotype"/>
          <w:i/>
          <w:sz w:val="22"/>
        </w:rPr>
      </w:pPr>
    </w:p>
    <w:p w14:paraId="75FBB023" w14:textId="77777777" w:rsidR="0047300F" w:rsidRPr="00B843B7" w:rsidRDefault="0047300F" w:rsidP="00C857B4">
      <w:pPr>
        <w:pStyle w:val="Prrafodelista"/>
        <w:spacing w:after="240" w:line="276" w:lineRule="auto"/>
        <w:ind w:left="567" w:right="567"/>
        <w:jc w:val="both"/>
        <w:rPr>
          <w:rFonts w:ascii="Palatino Linotype" w:hAnsi="Palatino Linotype"/>
          <w:b/>
          <w:i/>
          <w:sz w:val="22"/>
        </w:rPr>
      </w:pPr>
      <w:r w:rsidRPr="00B843B7">
        <w:rPr>
          <w:rFonts w:ascii="Palatino Linotype" w:hAnsi="Palatino Linotype"/>
          <w:b/>
          <w:i/>
          <w:sz w:val="22"/>
        </w:rPr>
        <w:t>ARTÍCULO 5.</w:t>
      </w:r>
      <w:r w:rsidRPr="00B843B7">
        <w:rPr>
          <w:rFonts w:ascii="Palatino Linotype" w:hAnsi="Palatino Linotype"/>
          <w:i/>
          <w:sz w:val="22"/>
        </w:rPr>
        <w:t xml:space="preserve"> El Estado a través de sus tres órdenes de gobierno, -Federación, Entidades Federativas y </w:t>
      </w:r>
      <w:r w:rsidRPr="00B843B7">
        <w:rPr>
          <w:rFonts w:ascii="Palatino Linotype" w:hAnsi="Palatino Linotype"/>
          <w:b/>
          <w:i/>
          <w:sz w:val="22"/>
        </w:rPr>
        <w:t xml:space="preserve">municipios-, en los ámbitos de sus respectivas </w:t>
      </w:r>
      <w:r w:rsidRPr="00B843B7">
        <w:rPr>
          <w:rFonts w:ascii="Palatino Linotype" w:hAnsi="Palatino Linotype"/>
          <w:b/>
          <w:i/>
          <w:sz w:val="22"/>
        </w:rPr>
        <w:lastRenderedPageBreak/>
        <w:t>competencias, reconocerá, protegerá y promoverá la preservación, desarrollo y uso de las lenguas indígenas nacionales.</w:t>
      </w:r>
    </w:p>
    <w:p w14:paraId="32A283B5" w14:textId="77777777" w:rsidR="00C857B4" w:rsidRPr="00B843B7" w:rsidRDefault="00C857B4" w:rsidP="00C857B4">
      <w:pPr>
        <w:pStyle w:val="Prrafodelista"/>
        <w:spacing w:after="240" w:line="276" w:lineRule="auto"/>
        <w:ind w:left="567" w:right="567"/>
        <w:jc w:val="both"/>
        <w:rPr>
          <w:rFonts w:ascii="Palatino Linotype" w:hAnsi="Palatino Linotype"/>
          <w:i/>
          <w:sz w:val="22"/>
        </w:rPr>
      </w:pPr>
    </w:p>
    <w:p w14:paraId="660E130F" w14:textId="77777777" w:rsidR="0047300F" w:rsidRPr="00B843B7" w:rsidRDefault="0047300F" w:rsidP="00C857B4">
      <w:pPr>
        <w:pStyle w:val="Prrafodelista"/>
        <w:spacing w:after="240" w:line="276" w:lineRule="auto"/>
        <w:ind w:left="567" w:right="567"/>
        <w:jc w:val="both"/>
        <w:rPr>
          <w:rFonts w:ascii="Palatino Linotype" w:hAnsi="Palatino Linotype"/>
          <w:i/>
          <w:sz w:val="22"/>
        </w:rPr>
      </w:pPr>
      <w:r w:rsidRPr="00B843B7">
        <w:rPr>
          <w:rFonts w:ascii="Palatino Linotype" w:hAnsi="Palatino Linotype"/>
          <w:b/>
          <w:i/>
          <w:sz w:val="22"/>
        </w:rPr>
        <w:t>ARTÍCULO 7.</w:t>
      </w:r>
      <w:r w:rsidRPr="00B843B7">
        <w:rPr>
          <w:rFonts w:ascii="Palatino Linotype" w:hAnsi="Palatino Linotype"/>
          <w:i/>
          <w:sz w:val="22"/>
        </w:rPr>
        <w:t xml:space="preserve"> Las </w:t>
      </w:r>
      <w:r w:rsidRPr="00B843B7">
        <w:rPr>
          <w:rFonts w:ascii="Palatino Linotype" w:hAnsi="Palatino Linotype"/>
          <w:b/>
          <w:i/>
          <w:sz w:val="22"/>
          <w:u w:val="single"/>
        </w:rPr>
        <w:t>lenguas indígenas serán válidas, al igual que el español, para cualquier asunto o trámite de carácter público, así como para acceder plenamente a la gestión, servicios e información pública</w:t>
      </w:r>
      <w:r w:rsidRPr="00B843B7">
        <w:rPr>
          <w:rFonts w:ascii="Palatino Linotype" w:hAnsi="Palatino Linotype"/>
          <w:i/>
          <w:sz w:val="22"/>
        </w:rPr>
        <w:t>. Al Estado corresponde garantizar el ejercicio de los derechos previstos en este artículo, conforme a lo siguiente:</w:t>
      </w:r>
    </w:p>
    <w:p w14:paraId="62B961E2" w14:textId="77777777" w:rsidR="0047300F" w:rsidRPr="00B843B7" w:rsidRDefault="0047300F" w:rsidP="00C857B4">
      <w:pPr>
        <w:pStyle w:val="Prrafodelista"/>
        <w:spacing w:after="240" w:line="276" w:lineRule="auto"/>
        <w:ind w:left="851" w:right="567"/>
        <w:jc w:val="both"/>
        <w:rPr>
          <w:rFonts w:ascii="Palatino Linotype" w:hAnsi="Palatino Linotype"/>
          <w:i/>
          <w:sz w:val="22"/>
        </w:rPr>
      </w:pPr>
      <w:r w:rsidRPr="00B843B7">
        <w:rPr>
          <w:rFonts w:ascii="Palatino Linotype" w:hAnsi="Palatino Linotype"/>
          <w:b/>
          <w:i/>
          <w:sz w:val="22"/>
        </w:rPr>
        <w:t>a).-</w:t>
      </w:r>
      <w:r w:rsidRPr="00B843B7">
        <w:rPr>
          <w:rFonts w:ascii="Palatino Linotype" w:hAnsi="Palatino Linotype"/>
          <w:i/>
          <w:sz w:val="22"/>
        </w:rPr>
        <w:t xml:space="preserve"> En el Distrito Federal y las demás entidades federativas con municipios o comunidades que hablen lenguas indígenas, </w:t>
      </w:r>
      <w:r w:rsidRPr="00B843B7">
        <w:rPr>
          <w:rFonts w:ascii="Palatino Linotype" w:hAnsi="Palatino Linotype"/>
          <w:b/>
          <w:i/>
          <w:sz w:val="22"/>
        </w:rPr>
        <w:t>los Gobiernos correspondientes, en consulta con las comunidades indígenas originarias y migrantes, determinarán cuáles de sus dependencias administrativas adoptarán e instrumentarán las medidas para que las instancias requeridas puedan atender y resolver los asuntos que se les planteen en lenguas indígenas</w:t>
      </w:r>
      <w:r w:rsidRPr="00B843B7">
        <w:rPr>
          <w:rFonts w:ascii="Palatino Linotype" w:hAnsi="Palatino Linotype"/>
          <w:i/>
          <w:sz w:val="22"/>
        </w:rPr>
        <w:t xml:space="preserve">. </w:t>
      </w:r>
    </w:p>
    <w:p w14:paraId="7CED1648" w14:textId="77777777" w:rsidR="0047300F" w:rsidRPr="00B843B7" w:rsidRDefault="0047300F" w:rsidP="00C857B4">
      <w:pPr>
        <w:pStyle w:val="Prrafodelista"/>
        <w:spacing w:after="240" w:line="276" w:lineRule="auto"/>
        <w:ind w:left="851" w:right="567"/>
        <w:jc w:val="both"/>
        <w:rPr>
          <w:rFonts w:ascii="Palatino Linotype" w:hAnsi="Palatino Linotype"/>
          <w:i/>
          <w:sz w:val="22"/>
        </w:rPr>
      </w:pPr>
      <w:r w:rsidRPr="00B843B7">
        <w:rPr>
          <w:rFonts w:ascii="Palatino Linotype" w:hAnsi="Palatino Linotype"/>
          <w:b/>
          <w:i/>
          <w:sz w:val="22"/>
        </w:rPr>
        <w:t>b).-</w:t>
      </w:r>
      <w:r w:rsidRPr="00B843B7">
        <w:rPr>
          <w:rFonts w:ascii="Palatino Linotype" w:hAnsi="Palatino Linotype"/>
          <w:i/>
          <w:sz w:val="22"/>
        </w:rPr>
        <w:t xml:space="preserve"> </w:t>
      </w:r>
      <w:r w:rsidRPr="00B843B7">
        <w:rPr>
          <w:rFonts w:ascii="Palatino Linotype" w:hAnsi="Palatino Linotype"/>
          <w:b/>
          <w:i/>
          <w:sz w:val="22"/>
        </w:rPr>
        <w:t>En los municipios con comunidades que hablen lenguas indígenas, se adoptarán e instrumentarán las medidas a que se refiere el párrafo anterior, en todas sus instancias.</w:t>
      </w:r>
      <w:r w:rsidRPr="00B843B7">
        <w:rPr>
          <w:rFonts w:ascii="Palatino Linotype" w:hAnsi="Palatino Linotype"/>
          <w:i/>
          <w:sz w:val="22"/>
        </w:rPr>
        <w:t xml:space="preserve"> </w:t>
      </w:r>
    </w:p>
    <w:p w14:paraId="2E7CB9AD" w14:textId="77777777" w:rsidR="0047300F" w:rsidRPr="00B843B7" w:rsidRDefault="0047300F" w:rsidP="00C857B4">
      <w:pPr>
        <w:pStyle w:val="Prrafodelista"/>
        <w:spacing w:after="240" w:line="276" w:lineRule="auto"/>
        <w:ind w:left="567" w:right="567"/>
        <w:jc w:val="both"/>
        <w:rPr>
          <w:rFonts w:ascii="Palatino Linotype" w:hAnsi="Palatino Linotype"/>
          <w:i/>
          <w:sz w:val="22"/>
        </w:rPr>
      </w:pPr>
    </w:p>
    <w:p w14:paraId="01EBDC85" w14:textId="77777777" w:rsidR="0047300F" w:rsidRPr="00B843B7" w:rsidRDefault="0047300F" w:rsidP="00C857B4">
      <w:pPr>
        <w:pStyle w:val="Prrafodelista"/>
        <w:spacing w:after="240" w:line="276" w:lineRule="auto"/>
        <w:ind w:left="567" w:right="567"/>
        <w:jc w:val="both"/>
        <w:rPr>
          <w:rFonts w:ascii="Palatino Linotype" w:hAnsi="Palatino Linotype"/>
          <w:i/>
          <w:sz w:val="22"/>
        </w:rPr>
      </w:pPr>
      <w:r w:rsidRPr="00B843B7">
        <w:rPr>
          <w:rFonts w:ascii="Palatino Linotype" w:hAnsi="Palatino Linotype"/>
          <w:b/>
          <w:i/>
          <w:sz w:val="22"/>
        </w:rPr>
        <w:t>La Federación y las entidades federativas tendrán disponibles y difundirán a través de textos, medios audiovisuales e informáticos: leyes, reglamentos, así como los contenidos de los programas, obras, servicios dirigidos a las comunidades indígenas, en la lengua de sus correspondientes beneficiarios</w:t>
      </w:r>
      <w:r w:rsidRPr="00B843B7">
        <w:rPr>
          <w:rFonts w:ascii="Palatino Linotype" w:hAnsi="Palatino Linotype"/>
          <w:i/>
          <w:sz w:val="22"/>
        </w:rPr>
        <w:t>.</w:t>
      </w:r>
    </w:p>
    <w:p w14:paraId="50779669" w14:textId="77777777" w:rsidR="0047300F" w:rsidRPr="00B843B7" w:rsidRDefault="0047300F" w:rsidP="00C857B4">
      <w:pPr>
        <w:pStyle w:val="Prrafodelista"/>
        <w:spacing w:after="240" w:line="276" w:lineRule="auto"/>
        <w:ind w:left="567" w:right="567"/>
        <w:jc w:val="both"/>
        <w:rPr>
          <w:rFonts w:ascii="Palatino Linotype" w:hAnsi="Palatino Linotype"/>
          <w:i/>
          <w:sz w:val="22"/>
        </w:rPr>
      </w:pPr>
    </w:p>
    <w:p w14:paraId="16D2078D" w14:textId="77777777" w:rsidR="0047300F" w:rsidRPr="00B843B7" w:rsidRDefault="0047300F" w:rsidP="00C857B4">
      <w:pPr>
        <w:pStyle w:val="Prrafodelista"/>
        <w:spacing w:after="240" w:line="276" w:lineRule="auto"/>
        <w:ind w:left="567" w:right="567"/>
        <w:jc w:val="both"/>
        <w:rPr>
          <w:rFonts w:ascii="Palatino Linotype" w:hAnsi="Palatino Linotype"/>
          <w:i/>
          <w:sz w:val="22"/>
        </w:rPr>
      </w:pPr>
      <w:r w:rsidRPr="00B843B7">
        <w:rPr>
          <w:rFonts w:ascii="Palatino Linotype" w:hAnsi="Palatino Linotype"/>
          <w:b/>
          <w:i/>
          <w:sz w:val="22"/>
        </w:rPr>
        <w:t>ARTÍCULO 10</w:t>
      </w:r>
      <w:r w:rsidRPr="00B843B7">
        <w:rPr>
          <w:rFonts w:ascii="Palatino Linotype" w:hAnsi="Palatino Linotype"/>
          <w:i/>
          <w:sz w:val="22"/>
        </w:rPr>
        <w:t>. El Estado garantizará el derecho de los pueblos y comunidades indígenas el acceso a la jurisdicción del Estado en la lengua indígena nacional de que sean hablantes. Para garantizar ese derecho, en todos los juicios y procedimientos en que sean parte, individual o colectivamente, se deberán tomar en cuenta sus costumbres y especificidades culturales respetando los preceptos de la Constitución Política de los Estados Unidos Mexicanos. Las autoridades federales responsables de la procuración y administración de justicia, incluyendo las agrarias y laborales, proveerán lo necesario a efecto de que en los juicios que realicen, los indígenas sean asistidos gratuitamente, en todo tiempo, por intérpretes y defensores que tengan conocimiento de su lengua indígena y cultura.</w:t>
      </w:r>
    </w:p>
    <w:p w14:paraId="127868B1" w14:textId="2F56B5C0" w:rsidR="0047300F" w:rsidRPr="00B843B7" w:rsidRDefault="0047300F" w:rsidP="00C857B4">
      <w:pPr>
        <w:pStyle w:val="Prrafodelista"/>
        <w:spacing w:after="240" w:line="276" w:lineRule="auto"/>
        <w:ind w:left="567" w:right="567"/>
        <w:jc w:val="both"/>
        <w:rPr>
          <w:rFonts w:ascii="Palatino Linotype" w:hAnsi="Palatino Linotype"/>
          <w:i/>
          <w:sz w:val="22"/>
        </w:rPr>
      </w:pPr>
      <w:r w:rsidRPr="00B843B7">
        <w:rPr>
          <w:rFonts w:ascii="Palatino Linotype" w:hAnsi="Palatino Linotype"/>
          <w:b/>
          <w:i/>
          <w:sz w:val="22"/>
        </w:rPr>
        <w:t>(</w:t>
      </w:r>
      <w:r w:rsidRPr="00B843B7">
        <w:rPr>
          <w:rFonts w:ascii="Palatino Linotype" w:hAnsi="Palatino Linotype"/>
          <w:i/>
          <w:sz w:val="22"/>
        </w:rPr>
        <w:t>…)</w:t>
      </w:r>
      <w:r w:rsidR="00C857B4" w:rsidRPr="00B843B7">
        <w:rPr>
          <w:rFonts w:ascii="Palatino Linotype" w:hAnsi="Palatino Linotype"/>
          <w:i/>
          <w:sz w:val="22"/>
        </w:rPr>
        <w:t>”</w:t>
      </w:r>
    </w:p>
    <w:p w14:paraId="6EACF8F1" w14:textId="75B527CE" w:rsidR="00C857B4" w:rsidRPr="00B843B7" w:rsidRDefault="00C857B4" w:rsidP="00C857B4">
      <w:pPr>
        <w:pStyle w:val="Prrafodelista"/>
        <w:spacing w:after="240" w:line="276" w:lineRule="auto"/>
        <w:ind w:left="567" w:right="567"/>
        <w:jc w:val="both"/>
        <w:rPr>
          <w:rFonts w:ascii="Palatino Linotype" w:hAnsi="Palatino Linotype"/>
          <w:sz w:val="22"/>
        </w:rPr>
      </w:pPr>
      <w:r w:rsidRPr="00B843B7">
        <w:rPr>
          <w:rFonts w:ascii="Palatino Linotype" w:hAnsi="Palatino Linotype"/>
          <w:sz w:val="22"/>
        </w:rPr>
        <w:t>(Énfasis añadido)</w:t>
      </w:r>
    </w:p>
    <w:p w14:paraId="3055182E" w14:textId="77777777" w:rsidR="0047300F" w:rsidRPr="00B843B7" w:rsidRDefault="0047300F" w:rsidP="0047300F">
      <w:pPr>
        <w:spacing w:line="360" w:lineRule="auto"/>
        <w:ind w:right="567"/>
        <w:jc w:val="both"/>
        <w:rPr>
          <w:rFonts w:ascii="Palatino Linotype" w:hAnsi="Palatino Linotype" w:cs="Arial"/>
          <w:color w:val="000000" w:themeColor="text1"/>
        </w:rPr>
      </w:pPr>
    </w:p>
    <w:p w14:paraId="4B8D7A4C" w14:textId="0FA04CFE" w:rsidR="0047300F" w:rsidRPr="00B843B7" w:rsidRDefault="00C857B4"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rPr>
        <w:t xml:space="preserve">Resulta imperativo </w:t>
      </w:r>
      <w:r w:rsidR="0047300F" w:rsidRPr="00B843B7">
        <w:rPr>
          <w:rFonts w:ascii="Palatino Linotype" w:hAnsi="Palatino Linotype"/>
        </w:rPr>
        <w:t>precisar que la Ley de Transparencia y Acceso a la Información Pública del Estado de México y Municipios</w:t>
      </w:r>
      <w:r w:rsidRPr="00B843B7">
        <w:rPr>
          <w:rFonts w:ascii="Palatino Linotype" w:hAnsi="Palatino Linotype"/>
        </w:rPr>
        <w:t>,</w:t>
      </w:r>
      <w:r w:rsidR="0047300F" w:rsidRPr="00B843B7">
        <w:rPr>
          <w:rFonts w:ascii="Palatino Linotype" w:hAnsi="Palatino Linotype"/>
        </w:rPr>
        <w:t xml:space="preserve"> en sus artículos 11 y 15</w:t>
      </w:r>
      <w:r w:rsidRPr="00B843B7">
        <w:rPr>
          <w:rFonts w:ascii="Palatino Linotype" w:hAnsi="Palatino Linotype"/>
        </w:rPr>
        <w:t>,</w:t>
      </w:r>
      <w:r w:rsidR="0047300F" w:rsidRPr="00B843B7">
        <w:rPr>
          <w:rFonts w:ascii="Palatino Linotype" w:hAnsi="Palatino Linotype"/>
        </w:rPr>
        <w:t xml:space="preserve"> señalan que:</w:t>
      </w:r>
    </w:p>
    <w:p w14:paraId="0D998A6E"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5660691D" w14:textId="05AE6DDC" w:rsidR="0047300F" w:rsidRPr="00B843B7" w:rsidRDefault="00C857B4" w:rsidP="00C857B4">
      <w:pPr>
        <w:pStyle w:val="Prrafodelista"/>
        <w:spacing w:line="276" w:lineRule="auto"/>
        <w:ind w:left="567" w:right="567"/>
        <w:jc w:val="both"/>
        <w:rPr>
          <w:rFonts w:ascii="Palatino Linotype" w:hAnsi="Palatino Linotype"/>
          <w:i/>
          <w:sz w:val="22"/>
        </w:rPr>
      </w:pPr>
      <w:r w:rsidRPr="00B843B7">
        <w:rPr>
          <w:rFonts w:ascii="Palatino Linotype" w:hAnsi="Palatino Linotype"/>
          <w:b/>
          <w:i/>
          <w:sz w:val="22"/>
        </w:rPr>
        <w:t>“</w:t>
      </w:r>
      <w:r w:rsidR="0047300F" w:rsidRPr="00B843B7">
        <w:rPr>
          <w:rFonts w:ascii="Palatino Linotype" w:hAnsi="Palatino Linotype"/>
          <w:b/>
          <w:i/>
          <w:sz w:val="22"/>
        </w:rPr>
        <w:t>Artículo 11.</w:t>
      </w:r>
      <w:r w:rsidR="0047300F" w:rsidRPr="00B843B7">
        <w:rPr>
          <w:rFonts w:ascii="Palatino Linotype" w:hAnsi="Palatino Linotype"/>
          <w:i/>
          <w:sz w:val="22"/>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BAD5E7E" w14:textId="77777777" w:rsidR="0047300F" w:rsidRPr="00B843B7" w:rsidRDefault="0047300F" w:rsidP="00C857B4">
      <w:pPr>
        <w:pStyle w:val="Prrafodelista"/>
        <w:spacing w:line="276" w:lineRule="auto"/>
        <w:ind w:left="567" w:right="567"/>
        <w:jc w:val="both"/>
        <w:rPr>
          <w:rFonts w:ascii="Palatino Linotype" w:hAnsi="Palatino Linotype"/>
          <w:i/>
          <w:sz w:val="22"/>
        </w:rPr>
      </w:pPr>
    </w:p>
    <w:p w14:paraId="550EE343" w14:textId="77777777" w:rsidR="0047300F" w:rsidRPr="00B843B7" w:rsidRDefault="0047300F" w:rsidP="00C857B4">
      <w:pPr>
        <w:pStyle w:val="Prrafodelista"/>
        <w:spacing w:line="276" w:lineRule="auto"/>
        <w:ind w:left="567" w:right="567"/>
        <w:jc w:val="both"/>
        <w:rPr>
          <w:rFonts w:ascii="Palatino Linotype" w:hAnsi="Palatino Linotype" w:cs="Arial"/>
          <w:b/>
          <w:i/>
          <w:color w:val="000000" w:themeColor="text1"/>
          <w:sz w:val="22"/>
        </w:rPr>
      </w:pPr>
      <w:r w:rsidRPr="00B843B7">
        <w:rPr>
          <w:rFonts w:ascii="Palatino Linotype" w:hAnsi="Palatino Linotype"/>
          <w:b/>
          <w:i/>
          <w:sz w:val="22"/>
        </w:rPr>
        <w:t xml:space="preserve"> 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373152DD" w14:textId="77777777" w:rsidR="0047300F" w:rsidRPr="00B843B7" w:rsidRDefault="0047300F" w:rsidP="00C857B4">
      <w:pPr>
        <w:pStyle w:val="Prrafodelista"/>
        <w:spacing w:line="276" w:lineRule="auto"/>
        <w:ind w:left="0"/>
        <w:jc w:val="both"/>
        <w:rPr>
          <w:rFonts w:ascii="Palatino Linotype" w:hAnsi="Palatino Linotype" w:cs="Arial"/>
          <w:b/>
          <w:i/>
          <w:color w:val="000000" w:themeColor="text1"/>
          <w:sz w:val="22"/>
        </w:rPr>
      </w:pPr>
    </w:p>
    <w:p w14:paraId="7A44B3BC" w14:textId="27ADFA14" w:rsidR="0047300F" w:rsidRPr="00B843B7" w:rsidRDefault="0047300F" w:rsidP="00C857B4">
      <w:pPr>
        <w:pStyle w:val="Prrafodelista"/>
        <w:spacing w:line="276" w:lineRule="auto"/>
        <w:ind w:left="567" w:right="567"/>
        <w:jc w:val="both"/>
        <w:rPr>
          <w:rFonts w:ascii="Palatino Linotype" w:hAnsi="Palatino Linotype"/>
          <w:i/>
          <w:sz w:val="22"/>
        </w:rPr>
      </w:pPr>
      <w:r w:rsidRPr="00B843B7">
        <w:rPr>
          <w:rFonts w:ascii="Palatino Linotype" w:hAnsi="Palatino Linotype"/>
          <w:b/>
          <w:i/>
          <w:sz w:val="22"/>
        </w:rPr>
        <w:t>Artículo 15.</w:t>
      </w:r>
      <w:r w:rsidRPr="00B843B7">
        <w:rPr>
          <w:rFonts w:ascii="Palatino Linotype" w:hAnsi="Palatino Linotype"/>
          <w:i/>
          <w:sz w:val="22"/>
        </w:rPr>
        <w:t xml:space="preserve"> Toda persona tiene derecho de acceso a la información, sin discriminación, por motivo alguno, que menoscabe o anule la transparencia o acceso a la información pública en posesión de los sujetos obligados.</w:t>
      </w:r>
      <w:r w:rsidR="00C857B4" w:rsidRPr="00B843B7">
        <w:rPr>
          <w:rFonts w:ascii="Palatino Linotype" w:hAnsi="Palatino Linotype"/>
          <w:i/>
          <w:sz w:val="22"/>
        </w:rPr>
        <w:t>”</w:t>
      </w:r>
    </w:p>
    <w:p w14:paraId="220EBED8" w14:textId="2D562169" w:rsidR="00C857B4" w:rsidRPr="00B843B7" w:rsidRDefault="00C857B4" w:rsidP="00C857B4">
      <w:pPr>
        <w:pStyle w:val="Prrafodelista"/>
        <w:spacing w:line="276" w:lineRule="auto"/>
        <w:ind w:left="567" w:right="567"/>
        <w:jc w:val="both"/>
        <w:rPr>
          <w:rFonts w:ascii="Palatino Linotype" w:hAnsi="Palatino Linotype"/>
          <w:sz w:val="22"/>
        </w:rPr>
      </w:pPr>
      <w:r w:rsidRPr="00B843B7">
        <w:rPr>
          <w:rFonts w:ascii="Palatino Linotype" w:hAnsi="Palatino Linotype"/>
          <w:sz w:val="22"/>
        </w:rPr>
        <w:t>(Énfasis añadido)</w:t>
      </w:r>
    </w:p>
    <w:p w14:paraId="38B03021" w14:textId="77777777" w:rsidR="0047300F" w:rsidRPr="00B843B7" w:rsidRDefault="0047300F" w:rsidP="0047300F">
      <w:pPr>
        <w:pStyle w:val="Prrafodelista"/>
        <w:spacing w:line="360" w:lineRule="auto"/>
        <w:ind w:left="567" w:right="567"/>
        <w:jc w:val="both"/>
        <w:rPr>
          <w:rFonts w:ascii="Palatino Linotype" w:hAnsi="Palatino Linotype" w:cs="Arial"/>
          <w:color w:val="000000" w:themeColor="text1"/>
        </w:rPr>
      </w:pPr>
    </w:p>
    <w:p w14:paraId="5A332D24" w14:textId="77777777" w:rsidR="0047300F" w:rsidRPr="00B843B7" w:rsidRDefault="0047300F" w:rsidP="0047300F">
      <w:pPr>
        <w:pStyle w:val="Prrafodelista"/>
        <w:numPr>
          <w:ilvl w:val="0"/>
          <w:numId w:val="1"/>
        </w:numPr>
        <w:spacing w:line="360" w:lineRule="auto"/>
        <w:jc w:val="both"/>
        <w:rPr>
          <w:rFonts w:ascii="Palatino Linotype" w:hAnsi="Palatino Linotype" w:cs="Arial"/>
          <w:color w:val="000000" w:themeColor="text1"/>
        </w:rPr>
      </w:pPr>
      <w:r w:rsidRPr="00B843B7">
        <w:rPr>
          <w:rFonts w:ascii="Palatino Linotype" w:hAnsi="Palatino Linotype" w:cs="Arial"/>
          <w:color w:val="000000" w:themeColor="text1"/>
        </w:rPr>
        <w:t xml:space="preserve">De modo idéntico, mediante Acuerdo ACR-PUB/05/11/2015.06 el pleno del Instituto Nacional de Transparencia, Acceso a la Información y Protección de Datos Personales, aprobó los </w:t>
      </w:r>
      <w:r w:rsidRPr="00B843B7">
        <w:rPr>
          <w:rFonts w:ascii="Palatino Linotype" w:hAnsi="Palatino Linotype" w:cs="Arial"/>
          <w:b/>
          <w:color w:val="000000" w:themeColor="text1"/>
        </w:rPr>
        <w:t>“Lineamientos que los Sujetos Obligados deben seguir al momento de generar información, en un lenguaje sencillo, con accesibilidad y traducción a lenguas indígenas”</w:t>
      </w:r>
      <w:r w:rsidRPr="00B843B7">
        <w:rPr>
          <w:rStyle w:val="Refdenotaalpie"/>
          <w:rFonts w:ascii="Palatino Linotype" w:hAnsi="Palatino Linotype" w:cs="Arial"/>
          <w:b/>
          <w:color w:val="000000" w:themeColor="text1"/>
        </w:rPr>
        <w:footnoteReference w:id="21"/>
      </w:r>
      <w:r w:rsidRPr="00B843B7">
        <w:rPr>
          <w:rFonts w:ascii="Palatino Linotype" w:hAnsi="Palatino Linotype" w:cs="Arial"/>
          <w:color w:val="000000" w:themeColor="text1"/>
        </w:rPr>
        <w:t xml:space="preserve"> en el cual establece en sus artículos: </w:t>
      </w:r>
    </w:p>
    <w:p w14:paraId="78579F08" w14:textId="77777777" w:rsidR="0047300F" w:rsidRPr="00B843B7" w:rsidRDefault="0047300F" w:rsidP="0047300F">
      <w:pPr>
        <w:shd w:val="clear" w:color="auto" w:fill="FFFFFF"/>
        <w:spacing w:line="360" w:lineRule="auto"/>
        <w:ind w:right="567"/>
        <w:jc w:val="both"/>
        <w:rPr>
          <w:rFonts w:ascii="Palatino Linotype" w:eastAsia="Times New Roman" w:hAnsi="Palatino Linotype" w:cs="Arial"/>
          <w:color w:val="2F2F2F"/>
          <w:lang w:eastAsia="es-MX"/>
        </w:rPr>
      </w:pPr>
    </w:p>
    <w:p w14:paraId="547CF7C2" w14:textId="09FC468D" w:rsidR="0047300F" w:rsidRPr="00B843B7" w:rsidRDefault="00C857B4" w:rsidP="00C857B4">
      <w:pPr>
        <w:pStyle w:val="Prrafodelista"/>
        <w:shd w:val="clear" w:color="auto" w:fill="FFFFFF"/>
        <w:spacing w:line="276" w:lineRule="auto"/>
        <w:ind w:left="567" w:right="567"/>
        <w:jc w:val="both"/>
        <w:rPr>
          <w:rFonts w:ascii="Palatino Linotype" w:hAnsi="Palatino Linotype"/>
          <w:i/>
          <w:color w:val="2F2F2F"/>
          <w:sz w:val="22"/>
          <w:shd w:val="clear" w:color="auto" w:fill="FFFFFF"/>
        </w:rPr>
      </w:pPr>
      <w:r w:rsidRPr="00B843B7">
        <w:rPr>
          <w:rFonts w:ascii="Palatino Linotype" w:hAnsi="Palatino Linotype"/>
          <w:bCs/>
          <w:i/>
          <w:color w:val="2F2F2F"/>
          <w:sz w:val="22"/>
          <w:shd w:val="clear" w:color="auto" w:fill="FFFFFF"/>
        </w:rPr>
        <w:lastRenderedPageBreak/>
        <w:t>“</w:t>
      </w:r>
      <w:r w:rsidR="0047300F" w:rsidRPr="00B843B7">
        <w:rPr>
          <w:rFonts w:ascii="Palatino Linotype" w:hAnsi="Palatino Linotype"/>
          <w:b/>
          <w:bCs/>
          <w:i/>
          <w:color w:val="2F2F2F"/>
          <w:sz w:val="22"/>
          <w:shd w:val="clear" w:color="auto" w:fill="FFFFFF"/>
        </w:rPr>
        <w:t>Décimo segundo. </w:t>
      </w:r>
      <w:r w:rsidR="0047300F" w:rsidRPr="00B843B7">
        <w:rPr>
          <w:rFonts w:ascii="Palatino Linotype" w:hAnsi="Palatino Linotype"/>
          <w:b/>
          <w:i/>
          <w:color w:val="2F2F2F"/>
          <w:sz w:val="22"/>
          <w:shd w:val="clear" w:color="auto" w:fill="FFFFFF"/>
        </w:rPr>
        <w:t>Los sujetos obligados deberán tener disponibles, en la medida de lo posible, en forma impresa y medios electrónicos con los que cuenten, las leyes, reglamentos y todo el marco normativo aplicable, así como los contenidos relacionados con programas, obras y servicios, sociales y culturales incluyendo los formatos accesibles los cuales deberán estar en la lengua o lenguas de sus correspondientes poblaciones indígenas o por lo menos en la lengua que sea hablada preponderantemente</w:t>
      </w:r>
      <w:r w:rsidR="0047300F" w:rsidRPr="00B843B7">
        <w:rPr>
          <w:rFonts w:ascii="Palatino Linotype" w:hAnsi="Palatino Linotype"/>
          <w:i/>
          <w:color w:val="2F2F2F"/>
          <w:sz w:val="22"/>
          <w:shd w:val="clear" w:color="auto" w:fill="FFFFFF"/>
        </w:rPr>
        <w:t>.</w:t>
      </w:r>
    </w:p>
    <w:p w14:paraId="59399F12" w14:textId="77777777" w:rsidR="0047300F" w:rsidRPr="00B843B7" w:rsidRDefault="0047300F" w:rsidP="00C857B4">
      <w:pPr>
        <w:pStyle w:val="Prrafodelista"/>
        <w:shd w:val="clear" w:color="auto" w:fill="FFFFFF"/>
        <w:spacing w:line="276" w:lineRule="auto"/>
        <w:ind w:left="567" w:right="567"/>
        <w:jc w:val="both"/>
        <w:rPr>
          <w:rFonts w:ascii="Palatino Linotype" w:hAnsi="Palatino Linotype"/>
          <w:i/>
          <w:color w:val="2F2F2F"/>
          <w:sz w:val="22"/>
          <w:shd w:val="clear" w:color="auto" w:fill="FFFFFF"/>
        </w:rPr>
      </w:pPr>
    </w:p>
    <w:p w14:paraId="12986E54" w14:textId="77777777" w:rsidR="0047300F" w:rsidRPr="00B843B7" w:rsidRDefault="0047300F" w:rsidP="00C857B4">
      <w:pPr>
        <w:shd w:val="clear" w:color="auto" w:fill="FFFFFF"/>
        <w:spacing w:line="276" w:lineRule="auto"/>
        <w:ind w:left="567" w:right="567"/>
        <w:jc w:val="both"/>
        <w:rPr>
          <w:rFonts w:ascii="Palatino Linotype" w:eastAsia="Times New Roman" w:hAnsi="Palatino Linotype" w:cs="Arial"/>
          <w:i/>
          <w:color w:val="2F2F2F"/>
          <w:sz w:val="22"/>
          <w:lang w:eastAsia="es-MX"/>
        </w:rPr>
      </w:pPr>
      <w:r w:rsidRPr="00B843B7">
        <w:rPr>
          <w:rFonts w:ascii="Palatino Linotype" w:eastAsia="Times New Roman" w:hAnsi="Palatino Linotype" w:cs="Helvetica"/>
          <w:b/>
          <w:bCs/>
          <w:i/>
          <w:color w:val="2F2F2F"/>
          <w:sz w:val="22"/>
          <w:lang w:eastAsia="es-MX"/>
        </w:rPr>
        <w:t>Décimo tercero. </w:t>
      </w:r>
      <w:r w:rsidRPr="00B843B7">
        <w:rPr>
          <w:rFonts w:ascii="Palatino Linotype" w:eastAsia="Times New Roman" w:hAnsi="Palatino Linotype" w:cs="Helvetica"/>
          <w:i/>
          <w:color w:val="2F2F2F"/>
          <w:sz w:val="22"/>
          <w:lang w:eastAsia="es-MX"/>
        </w:rPr>
        <w:t>Cuando la información pública corresponda a las obligaciones de transparencia previstas en el Capítulo II, del Título Quinto de la Ley General y se encuentre vinculada de cualquier forma con alguna o diversas poblaciones indígenas comprendidas en uno o varios municipios del país, el sujeto obligado responsable de la misma, en un plazo que no exceda de tres meses para actualizar su información pública, deberá generar una versión de la información en la lengua o lenguas indígenas de las respectivas poblaciones</w:t>
      </w:r>
      <w:r w:rsidRPr="00B843B7">
        <w:rPr>
          <w:rFonts w:ascii="Palatino Linotype" w:eastAsia="Times New Roman" w:hAnsi="Palatino Linotype" w:cs="Helvetica"/>
          <w:i/>
          <w:color w:val="FF0000"/>
          <w:sz w:val="22"/>
          <w:lang w:eastAsia="es-MX"/>
        </w:rPr>
        <w:t>.</w:t>
      </w:r>
    </w:p>
    <w:p w14:paraId="7CCD387F" w14:textId="77777777" w:rsidR="0047300F" w:rsidRPr="00B843B7" w:rsidRDefault="0047300F" w:rsidP="00C857B4">
      <w:pPr>
        <w:shd w:val="clear" w:color="auto" w:fill="FFFFFF"/>
        <w:spacing w:line="276" w:lineRule="auto"/>
        <w:ind w:left="567" w:right="567"/>
        <w:jc w:val="both"/>
        <w:rPr>
          <w:rFonts w:ascii="Palatino Linotype" w:eastAsia="Times New Roman" w:hAnsi="Palatino Linotype" w:cs="Arial"/>
          <w:i/>
          <w:color w:val="2F2F2F"/>
          <w:sz w:val="22"/>
          <w:lang w:eastAsia="es-MX"/>
        </w:rPr>
      </w:pPr>
      <w:r w:rsidRPr="00B843B7">
        <w:rPr>
          <w:rFonts w:ascii="Palatino Linotype" w:eastAsia="Times New Roman" w:hAnsi="Palatino Linotype" w:cs="Helvetica"/>
          <w:i/>
          <w:color w:val="2F2F2F"/>
          <w:sz w:val="22"/>
          <w:lang w:eastAsia="es-MX"/>
        </w:rPr>
        <w:t>(…)</w:t>
      </w:r>
    </w:p>
    <w:p w14:paraId="67FD51E0" w14:textId="77777777" w:rsidR="0047300F" w:rsidRPr="00B843B7" w:rsidRDefault="0047300F" w:rsidP="00C857B4">
      <w:pPr>
        <w:shd w:val="clear" w:color="auto" w:fill="FFFFFF"/>
        <w:spacing w:line="276" w:lineRule="auto"/>
        <w:ind w:left="567" w:right="567"/>
        <w:jc w:val="both"/>
        <w:rPr>
          <w:rFonts w:ascii="Palatino Linotype" w:eastAsia="Times New Roman" w:hAnsi="Palatino Linotype" w:cs="Helvetica"/>
          <w:b/>
          <w:i/>
          <w:color w:val="2F2F2F"/>
          <w:sz w:val="22"/>
          <w:lang w:eastAsia="es-MX"/>
        </w:rPr>
      </w:pPr>
      <w:r w:rsidRPr="00B843B7">
        <w:rPr>
          <w:rFonts w:ascii="Palatino Linotype" w:eastAsia="Times New Roman" w:hAnsi="Palatino Linotype" w:cs="Helvetica"/>
          <w:b/>
          <w:bCs/>
          <w:i/>
          <w:color w:val="2F2F2F"/>
          <w:sz w:val="22"/>
          <w:lang w:eastAsia="es-MX"/>
        </w:rPr>
        <w:t>Décimo cuarto.</w:t>
      </w:r>
      <w:r w:rsidRPr="00B843B7">
        <w:rPr>
          <w:rFonts w:ascii="Palatino Linotype" w:eastAsia="Times New Roman" w:hAnsi="Palatino Linotype" w:cs="Helvetica"/>
          <w:b/>
          <w:i/>
          <w:color w:val="2F2F2F"/>
          <w:sz w:val="22"/>
          <w:lang w:eastAsia="es-MX"/>
        </w:rPr>
        <w:t> La respuesta a una solicitud deberá traducirse a la lengua en la que se requiera la información, en forma gratuita por el sujeto obligado, de conformidad con lo establecido en el Lineamiento Décimo Séptimo de este documento.</w:t>
      </w:r>
    </w:p>
    <w:p w14:paraId="7C3AF462" w14:textId="77777777" w:rsidR="0047300F" w:rsidRPr="00B843B7" w:rsidRDefault="0047300F" w:rsidP="00C857B4">
      <w:pPr>
        <w:shd w:val="clear" w:color="auto" w:fill="FFFFFF"/>
        <w:spacing w:line="276" w:lineRule="auto"/>
        <w:ind w:left="567" w:right="567"/>
        <w:jc w:val="both"/>
        <w:rPr>
          <w:rFonts w:ascii="Palatino Linotype" w:eastAsia="Times New Roman" w:hAnsi="Palatino Linotype" w:cs="Helvetica"/>
          <w:b/>
          <w:i/>
          <w:color w:val="2F2F2F"/>
          <w:sz w:val="22"/>
          <w:lang w:eastAsia="es-MX"/>
        </w:rPr>
      </w:pPr>
    </w:p>
    <w:p w14:paraId="7CBE5706" w14:textId="5572A944" w:rsidR="0047300F" w:rsidRPr="00B843B7" w:rsidRDefault="0047300F" w:rsidP="00C857B4">
      <w:pPr>
        <w:shd w:val="clear" w:color="auto" w:fill="FFFFFF"/>
        <w:spacing w:line="276" w:lineRule="auto"/>
        <w:ind w:left="567" w:right="567"/>
        <w:jc w:val="both"/>
        <w:rPr>
          <w:rFonts w:ascii="Palatino Linotype" w:hAnsi="Palatino Linotype" w:cs="Helvetica"/>
          <w:i/>
          <w:color w:val="2F2F2F"/>
          <w:sz w:val="22"/>
          <w:shd w:val="clear" w:color="auto" w:fill="FFFFFF"/>
        </w:rPr>
      </w:pPr>
      <w:r w:rsidRPr="00B843B7">
        <w:rPr>
          <w:rFonts w:ascii="Palatino Linotype" w:hAnsi="Palatino Linotype" w:cs="Helvetica"/>
          <w:b/>
          <w:bCs/>
          <w:i/>
          <w:color w:val="2F2F2F"/>
          <w:sz w:val="22"/>
          <w:shd w:val="clear" w:color="auto" w:fill="FFFFFF"/>
        </w:rPr>
        <w:t>Décimo octavo. </w:t>
      </w:r>
      <w:r w:rsidRPr="00B843B7">
        <w:rPr>
          <w:rFonts w:ascii="Palatino Linotype" w:hAnsi="Palatino Linotype" w:cs="Helvetica"/>
          <w:b/>
          <w:i/>
          <w:color w:val="2F2F2F"/>
          <w:sz w:val="22"/>
          <w:shd w:val="clear" w:color="auto" w:fill="FFFFFF"/>
        </w:rPr>
        <w:t>Para la traducción de la información a una lengua indígena, el área requerida del sujeto obligado, conforme a su previsión podrá realizar internamente las gestiones necesarias para la contratación de peritos intérpretes</w:t>
      </w:r>
      <w:r w:rsidRPr="00B843B7">
        <w:rPr>
          <w:rFonts w:ascii="Palatino Linotype" w:hAnsi="Palatino Linotype" w:cs="Helvetica"/>
          <w:i/>
          <w:color w:val="2F2F2F"/>
          <w:sz w:val="22"/>
          <w:shd w:val="clear" w:color="auto" w:fill="FFFFFF"/>
        </w:rPr>
        <w:t xml:space="preserve"> o alguna de las personas incluidas en el Padrón Nacional de Intérpretes y Traductores en Lenguas Indígenas del Instituto Nacional de Lenguas Indígenas; para suscribir acuerdos o convenios con instituciones o personas especializadas</w:t>
      </w:r>
      <w:r w:rsidRPr="00B843B7">
        <w:rPr>
          <w:rFonts w:ascii="Palatino Linotype" w:hAnsi="Palatino Linotype" w:cs="Helvetica"/>
          <w:b/>
          <w:i/>
          <w:color w:val="2F2F2F"/>
          <w:sz w:val="22"/>
          <w:shd w:val="clear" w:color="auto" w:fill="FFFFFF"/>
        </w:rPr>
        <w:t>, a fin de estar en condiciones adecuadas destinadas a la entrega de respuestas a solicitudes de acceso a la información en lengua indígena.</w:t>
      </w:r>
      <w:r w:rsidR="00C857B4" w:rsidRPr="00B843B7">
        <w:rPr>
          <w:rFonts w:ascii="Palatino Linotype" w:hAnsi="Palatino Linotype" w:cs="Helvetica"/>
          <w:i/>
          <w:color w:val="2F2F2F"/>
          <w:sz w:val="22"/>
          <w:shd w:val="clear" w:color="auto" w:fill="FFFFFF"/>
        </w:rPr>
        <w:t>”</w:t>
      </w:r>
    </w:p>
    <w:p w14:paraId="2AD48858" w14:textId="617AC350" w:rsidR="00C857B4" w:rsidRPr="00B843B7" w:rsidRDefault="00C857B4" w:rsidP="00C857B4">
      <w:pPr>
        <w:shd w:val="clear" w:color="auto" w:fill="FFFFFF"/>
        <w:spacing w:line="276" w:lineRule="auto"/>
        <w:ind w:left="567" w:right="567"/>
        <w:jc w:val="both"/>
        <w:rPr>
          <w:rFonts w:ascii="Palatino Linotype" w:hAnsi="Palatino Linotype" w:cs="Helvetica"/>
          <w:color w:val="2F2F2F"/>
          <w:sz w:val="22"/>
          <w:shd w:val="clear" w:color="auto" w:fill="FFFFFF"/>
        </w:rPr>
      </w:pPr>
      <w:r w:rsidRPr="00B843B7">
        <w:rPr>
          <w:rFonts w:ascii="Palatino Linotype" w:hAnsi="Palatino Linotype" w:cs="Helvetica"/>
          <w:bCs/>
          <w:color w:val="2F2F2F"/>
          <w:sz w:val="22"/>
          <w:shd w:val="clear" w:color="auto" w:fill="FFFFFF"/>
        </w:rPr>
        <w:t>(Énfasis añadido)</w:t>
      </w:r>
    </w:p>
    <w:p w14:paraId="2D1D7219" w14:textId="77777777" w:rsidR="0047300F" w:rsidRPr="00B843B7" w:rsidRDefault="0047300F" w:rsidP="0047300F">
      <w:pPr>
        <w:pStyle w:val="Prrafodelista"/>
        <w:spacing w:line="360" w:lineRule="auto"/>
        <w:ind w:left="0"/>
        <w:jc w:val="both"/>
        <w:rPr>
          <w:rFonts w:ascii="Palatino Linotype" w:hAnsi="Palatino Linotype" w:cs="Arial"/>
          <w:color w:val="000000" w:themeColor="text1"/>
        </w:rPr>
      </w:pPr>
    </w:p>
    <w:p w14:paraId="316DCEFE" w14:textId="503E4FF2" w:rsidR="005165F9" w:rsidRPr="00B843B7" w:rsidRDefault="0047300F" w:rsidP="0047300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rPr>
        <w:t xml:space="preserve">Es de todo lo anterior que se tiene que los </w:t>
      </w:r>
      <w:r w:rsidRPr="00B843B7">
        <w:rPr>
          <w:rFonts w:ascii="Palatino Linotype" w:hAnsi="Palatino Linotype"/>
          <w:b/>
        </w:rPr>
        <w:t>Sujetos Obligado</w:t>
      </w:r>
      <w:r w:rsidRPr="00B843B7">
        <w:rPr>
          <w:rFonts w:ascii="Palatino Linotype" w:hAnsi="Palatino Linotype"/>
        </w:rPr>
        <w:t xml:space="preserve"> deberán tener disponibles las leyes, reglamentos y todo el marco normativo aplicables en la lengua o lenguas de sus correspondientes poblaciones indígenas o por lo menos en la </w:t>
      </w:r>
      <w:r w:rsidRPr="00B843B7">
        <w:rPr>
          <w:rFonts w:ascii="Palatino Linotype" w:hAnsi="Palatino Linotype"/>
        </w:rPr>
        <w:lastRenderedPageBreak/>
        <w:t xml:space="preserve">lengua que sea hablada preponderantemente y más aún cuando la información solicitada corresponda a obligaciones de transparencia, siendo también que la traducción a la lengua no genere ningún costo al solicitante, para lo cual el </w:t>
      </w:r>
      <w:r w:rsidRPr="00B843B7">
        <w:rPr>
          <w:rFonts w:ascii="Palatino Linotype" w:hAnsi="Palatino Linotype"/>
          <w:b/>
        </w:rPr>
        <w:t>Sujeto Obligado</w:t>
      </w:r>
      <w:r w:rsidRPr="00B843B7">
        <w:rPr>
          <w:rFonts w:ascii="Palatino Linotype" w:hAnsi="Palatino Linotype"/>
        </w:rPr>
        <w:t>, podrá realizar las gestiones necesarias pa</w:t>
      </w:r>
      <w:r w:rsidR="00C857B4" w:rsidRPr="00B843B7">
        <w:rPr>
          <w:rFonts w:ascii="Palatino Linotype" w:hAnsi="Palatino Linotype"/>
        </w:rPr>
        <w:t>ra cumplir con la entrega de la</w:t>
      </w:r>
      <w:r w:rsidRPr="00B843B7">
        <w:rPr>
          <w:rFonts w:ascii="Palatino Linotype" w:hAnsi="Palatino Linotype"/>
        </w:rPr>
        <w:t xml:space="preserve"> información en lengua indígena.</w:t>
      </w:r>
    </w:p>
    <w:p w14:paraId="56FCE073" w14:textId="77777777" w:rsidR="005165F9" w:rsidRPr="00B843B7" w:rsidRDefault="005165F9" w:rsidP="005165F9">
      <w:pPr>
        <w:pStyle w:val="Prrafodelista"/>
        <w:tabs>
          <w:tab w:val="left" w:pos="426"/>
        </w:tabs>
        <w:spacing w:before="240" w:after="240" w:line="360" w:lineRule="auto"/>
        <w:ind w:left="0" w:right="51"/>
        <w:jc w:val="both"/>
        <w:rPr>
          <w:rFonts w:ascii="Palatino Linotype" w:hAnsi="Palatino Linotype"/>
          <w:color w:val="000000" w:themeColor="text1"/>
        </w:rPr>
      </w:pPr>
    </w:p>
    <w:p w14:paraId="018DCE5C" w14:textId="3271BFD1" w:rsidR="00C857B4" w:rsidRPr="00B843B7" w:rsidRDefault="00C857B4" w:rsidP="00C857B4">
      <w:pPr>
        <w:pStyle w:val="Prrafodelista"/>
        <w:tabs>
          <w:tab w:val="left" w:pos="426"/>
        </w:tabs>
        <w:spacing w:before="240" w:after="240" w:line="360" w:lineRule="auto"/>
        <w:ind w:left="0" w:right="51"/>
        <w:jc w:val="both"/>
        <w:outlineLvl w:val="1"/>
        <w:rPr>
          <w:rFonts w:ascii="Palatino Linotype" w:hAnsi="Palatino Linotype"/>
          <w:b/>
          <w:color w:val="000000" w:themeColor="text1"/>
        </w:rPr>
      </w:pPr>
      <w:r w:rsidRPr="00B843B7">
        <w:rPr>
          <w:rFonts w:ascii="Palatino Linotype" w:hAnsi="Palatino Linotype"/>
          <w:b/>
          <w:color w:val="000000" w:themeColor="text1"/>
        </w:rPr>
        <w:t>QUINTO. Decisión.</w:t>
      </w:r>
    </w:p>
    <w:p w14:paraId="50D88F10" w14:textId="02AE663E" w:rsidR="00C857B4" w:rsidRPr="00B843B7" w:rsidRDefault="00C857B4" w:rsidP="00C857B4">
      <w:pPr>
        <w:pStyle w:val="Prrafodelista"/>
        <w:tabs>
          <w:tab w:val="left" w:pos="426"/>
        </w:tabs>
        <w:spacing w:before="240" w:after="240" w:line="360" w:lineRule="auto"/>
        <w:ind w:left="0" w:right="51"/>
        <w:jc w:val="both"/>
        <w:rPr>
          <w:rFonts w:ascii="Palatino Linotype" w:hAnsi="Palatino Linotype"/>
          <w:color w:val="000000" w:themeColor="text1"/>
        </w:rPr>
      </w:pPr>
    </w:p>
    <w:p w14:paraId="5FE2A8A3" w14:textId="265CD651" w:rsidR="00000167" w:rsidRPr="00B843B7" w:rsidRDefault="00C857B4"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s="Arial"/>
          <w:lang w:eastAsia="es-MX"/>
        </w:rPr>
        <w:t xml:space="preserve">Una vez analizado los límites del derecho de acceso a la información, así como la esfera de garantías que recubren a los grupos indígenas, se concluyó que, toda vez que los Avisos de Privacidad son herramientas elementales para asegurar la correcta atención en el ejercicio de derechos ARCO de la ciudadanía de habla indígena, contrario a lo referido por el </w:t>
      </w:r>
      <w:r w:rsidRPr="00B843B7">
        <w:rPr>
          <w:rFonts w:ascii="Palatino Linotype" w:hAnsi="Palatino Linotype" w:cs="Arial"/>
          <w:b/>
          <w:lang w:eastAsia="es-MX"/>
        </w:rPr>
        <w:t>SUJETO OBLIGADO</w:t>
      </w:r>
      <w:r w:rsidRPr="00B843B7">
        <w:rPr>
          <w:rFonts w:ascii="Palatino Linotype" w:hAnsi="Palatino Linotype" w:cs="Arial"/>
          <w:lang w:eastAsia="es-MX"/>
        </w:rPr>
        <w:t xml:space="preserve"> en su Informe Justificado, el Ayuntamiento de Temoaya sí contaba con una vasta responsabilidad de traducir sus documentos en lenguas indígenas, más aún cuando los documentos solicitados se relacionan con los mecanismos utilizados por las distintas áreas del ayuntamiento para recabar, proteger y administrar los datos personales que se recaben de la ciudadanía, entre los que se encuentran integrantes de comunidades indígenas.</w:t>
      </w:r>
    </w:p>
    <w:p w14:paraId="53A0C7F3" w14:textId="77777777" w:rsidR="00E62DCB" w:rsidRPr="00B843B7" w:rsidRDefault="00E62DCB" w:rsidP="00E62DCB">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73E188F1" w:rsidR="00F01443" w:rsidRPr="00B843B7"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eastAsia="MS Mincho" w:hAnsi="Palatino Linotype" w:cstheme="majorBidi"/>
          <w:lang w:val="es-ES"/>
        </w:rPr>
        <w:t>Por lo tanto, e</w:t>
      </w:r>
      <w:r w:rsidR="003E6079" w:rsidRPr="00B843B7">
        <w:rPr>
          <w:rFonts w:ascii="Palatino Linotype" w:eastAsia="MS Mincho" w:hAnsi="Palatino Linotype" w:cstheme="majorBidi"/>
          <w:lang w:val="es-ES"/>
        </w:rPr>
        <w:t>n consecuencia y en mérito de lo expuesto en líneas anteriores, resultan</w:t>
      </w:r>
      <w:r w:rsidR="00094B41" w:rsidRPr="00B843B7">
        <w:rPr>
          <w:rFonts w:ascii="Palatino Linotype" w:eastAsia="MS Mincho" w:hAnsi="Palatino Linotype" w:cstheme="majorBidi"/>
          <w:lang w:val="es-ES"/>
        </w:rPr>
        <w:t xml:space="preserve"> </w:t>
      </w:r>
      <w:r w:rsidR="003E6079" w:rsidRPr="00B843B7">
        <w:rPr>
          <w:rFonts w:ascii="Palatino Linotype" w:eastAsia="MS Mincho" w:hAnsi="Palatino Linotype" w:cstheme="majorBidi"/>
          <w:lang w:val="es-ES"/>
        </w:rPr>
        <w:t xml:space="preserve">fundadas las razones o motivos de inconformidad hechos valer por el </w:t>
      </w:r>
      <w:r w:rsidR="003E6079" w:rsidRPr="00B843B7">
        <w:rPr>
          <w:rFonts w:ascii="Palatino Linotype" w:eastAsia="MS Mincho" w:hAnsi="Palatino Linotype" w:cstheme="majorBidi"/>
          <w:b/>
          <w:lang w:val="es-ES"/>
        </w:rPr>
        <w:t>RECURRENTE</w:t>
      </w:r>
      <w:r w:rsidR="003E6079" w:rsidRPr="00B843B7">
        <w:rPr>
          <w:rFonts w:ascii="Palatino Linotype" w:eastAsia="MS Mincho" w:hAnsi="Palatino Linotype" w:cstheme="majorBidi"/>
          <w:lang w:val="es-ES"/>
        </w:rPr>
        <w:t xml:space="preserve"> dentro del recurso de revisión </w:t>
      </w:r>
      <w:r w:rsidR="00E70180" w:rsidRPr="00B843B7">
        <w:rPr>
          <w:rFonts w:ascii="Palatino Linotype" w:eastAsia="MS Mincho" w:hAnsi="Palatino Linotype" w:cstheme="majorBidi"/>
          <w:b/>
          <w:bCs/>
          <w:lang w:val="es-ES"/>
        </w:rPr>
        <w:t>06268/INFOEM/IP/RR/2022</w:t>
      </w:r>
      <w:r w:rsidR="003E6079" w:rsidRPr="00B843B7">
        <w:rPr>
          <w:rFonts w:ascii="Palatino Linotype" w:eastAsia="MS Mincho" w:hAnsi="Palatino Linotype" w:cstheme="majorBidi"/>
          <w:lang w:val="es-ES"/>
        </w:rPr>
        <w:t xml:space="preserve">; por ello, y con fundamento en la fracción </w:t>
      </w:r>
      <w:r w:rsidR="00743CAC" w:rsidRPr="00B843B7">
        <w:rPr>
          <w:rFonts w:ascii="Palatino Linotype" w:eastAsia="MS Mincho" w:hAnsi="Palatino Linotype" w:cstheme="majorBidi"/>
          <w:lang w:val="es-ES"/>
        </w:rPr>
        <w:t>I</w:t>
      </w:r>
      <w:r w:rsidR="003E6079" w:rsidRPr="00B843B7">
        <w:rPr>
          <w:rFonts w:ascii="Palatino Linotype" w:eastAsia="MS Mincho" w:hAnsi="Palatino Linotype" w:cstheme="majorBidi"/>
          <w:lang w:val="es-ES"/>
        </w:rPr>
        <w:t>II</w:t>
      </w:r>
      <w:r w:rsidR="00A225C1" w:rsidRPr="00B843B7">
        <w:rPr>
          <w:rFonts w:ascii="Palatino Linotype" w:eastAsia="MS Mincho" w:hAnsi="Palatino Linotype" w:cstheme="majorBidi"/>
          <w:lang w:val="es-ES"/>
        </w:rPr>
        <w:t>,</w:t>
      </w:r>
      <w:r w:rsidR="003E6079" w:rsidRPr="00B843B7">
        <w:rPr>
          <w:rFonts w:ascii="Palatino Linotype" w:eastAsia="MS Mincho" w:hAnsi="Palatino Linotype" w:cstheme="majorBidi"/>
          <w:lang w:val="es-ES"/>
        </w:rPr>
        <w:t xml:space="preserve"> del numeral 186</w:t>
      </w:r>
      <w:r w:rsidR="00A225C1" w:rsidRPr="00B843B7">
        <w:rPr>
          <w:rFonts w:ascii="Palatino Linotype" w:eastAsia="MS Mincho" w:hAnsi="Palatino Linotype" w:cstheme="majorBidi"/>
          <w:lang w:val="es-ES"/>
        </w:rPr>
        <w:t>,</w:t>
      </w:r>
      <w:r w:rsidR="003E6079" w:rsidRPr="00B843B7">
        <w:rPr>
          <w:rFonts w:ascii="Palatino Linotype" w:eastAsia="MS Mincho" w:hAnsi="Palatino Linotype" w:cstheme="majorBidi"/>
          <w:lang w:val="es-ES"/>
        </w:rPr>
        <w:t xml:space="preserve"> de la Ley de Transparencia y Acceso a la Información Pública del Estado de México y </w:t>
      </w:r>
      <w:r w:rsidR="003E6079" w:rsidRPr="00B843B7">
        <w:rPr>
          <w:rFonts w:ascii="Palatino Linotype" w:eastAsia="MS Mincho" w:hAnsi="Palatino Linotype" w:cstheme="majorBidi"/>
          <w:lang w:val="es-ES"/>
        </w:rPr>
        <w:lastRenderedPageBreak/>
        <w:t xml:space="preserve">Municipios, se </w:t>
      </w:r>
      <w:r w:rsidR="00A225C1" w:rsidRPr="00B843B7">
        <w:rPr>
          <w:rFonts w:ascii="Palatino Linotype" w:eastAsia="MS Mincho" w:hAnsi="Palatino Linotype" w:cstheme="majorBidi"/>
          <w:b/>
          <w:lang w:val="es-ES"/>
        </w:rPr>
        <w:t>REVOCA</w:t>
      </w:r>
      <w:r w:rsidR="003E6079" w:rsidRPr="00B843B7">
        <w:rPr>
          <w:rFonts w:ascii="Palatino Linotype" w:eastAsia="MS Mincho" w:hAnsi="Palatino Linotype" w:cstheme="majorBidi"/>
          <w:lang w:val="es-ES"/>
        </w:rPr>
        <w:t xml:space="preserve"> la respuesta a l</w:t>
      </w:r>
      <w:r w:rsidRPr="00B843B7">
        <w:rPr>
          <w:rFonts w:ascii="Palatino Linotype" w:eastAsia="MS Mincho" w:hAnsi="Palatino Linotype" w:cstheme="majorBidi"/>
          <w:lang w:val="es-ES"/>
        </w:rPr>
        <w:t>a</w:t>
      </w:r>
      <w:r w:rsidR="003E6079" w:rsidRPr="00B843B7">
        <w:rPr>
          <w:rFonts w:ascii="Palatino Linotype" w:eastAsia="MS Mincho" w:hAnsi="Palatino Linotype" w:cstheme="majorBidi"/>
          <w:lang w:val="es-ES"/>
        </w:rPr>
        <w:t xml:space="preserve"> solicitud de información número </w:t>
      </w:r>
      <w:r w:rsidR="00E70180" w:rsidRPr="00B843B7">
        <w:rPr>
          <w:rFonts w:ascii="Palatino Linotype" w:eastAsia="MS Mincho" w:hAnsi="Palatino Linotype" w:cstheme="majorBidi"/>
          <w:b/>
          <w:lang w:val="es-ES"/>
        </w:rPr>
        <w:t>00050/TEMOAYA/IP/2022</w:t>
      </w:r>
      <w:r w:rsidR="003E6079" w:rsidRPr="00B843B7">
        <w:rPr>
          <w:rFonts w:ascii="Palatino Linotype" w:eastAsia="MS Mincho" w:hAnsi="Palatino Linotype" w:cstheme="majorBidi"/>
          <w:lang w:val="es-ES"/>
        </w:rPr>
        <w:t>.</w:t>
      </w:r>
    </w:p>
    <w:p w14:paraId="370E910A" w14:textId="77777777" w:rsidR="00F01443" w:rsidRPr="00B843B7"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5D9997A3" w:rsidR="00A73C04" w:rsidRPr="00B843B7"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B843B7">
        <w:rPr>
          <w:rFonts w:ascii="Palatino Linotype" w:hAnsi="Palatino Linotype"/>
          <w:color w:val="000000" w:themeColor="text1"/>
          <w:lang w:val="es-ES"/>
        </w:rPr>
        <w:t xml:space="preserve">Por </w:t>
      </w:r>
      <w:r w:rsidR="00B41516" w:rsidRPr="00B843B7">
        <w:rPr>
          <w:rFonts w:ascii="Palatino Linotype" w:hAnsi="Palatino Linotype"/>
          <w:color w:val="000000" w:themeColor="text1"/>
        </w:rPr>
        <w:t xml:space="preserve">lo anteriormente expuesto y fundado, </w:t>
      </w:r>
      <w:r w:rsidR="003E6079" w:rsidRPr="00B843B7">
        <w:rPr>
          <w:rFonts w:ascii="Palatino Linotype" w:hAnsi="Palatino Linotype"/>
          <w:color w:val="000000" w:themeColor="text1"/>
        </w:rPr>
        <w:t>e</w:t>
      </w:r>
      <w:r w:rsidR="00B41516" w:rsidRPr="00B843B7">
        <w:rPr>
          <w:rFonts w:ascii="Palatino Linotype" w:hAnsi="Palatino Linotype"/>
          <w:color w:val="000000" w:themeColor="text1"/>
        </w:rPr>
        <w:t xml:space="preserve">ste </w:t>
      </w:r>
      <w:r w:rsidR="00B41516" w:rsidRPr="00B843B7">
        <w:rPr>
          <w:rFonts w:ascii="Palatino Linotype" w:hAnsi="Palatino Linotype"/>
          <w:b/>
          <w:color w:val="000000" w:themeColor="text1"/>
        </w:rPr>
        <w:t>ÓRGANO GARANTE</w:t>
      </w:r>
      <w:r w:rsidR="00B41516" w:rsidRPr="00B843B7">
        <w:rPr>
          <w:rFonts w:ascii="Palatino Linotype" w:hAnsi="Palatino Linotype"/>
          <w:color w:val="000000" w:themeColor="text1"/>
        </w:rPr>
        <w:t xml:space="preserve"> emite los siguientes:</w:t>
      </w:r>
      <w:r w:rsidR="003E6079" w:rsidRPr="00B843B7">
        <w:rPr>
          <w:rFonts w:ascii="Palatino Linotype" w:hAnsi="Palatino Linotype"/>
          <w:color w:val="000000" w:themeColor="text1"/>
        </w:rPr>
        <w:t xml:space="preserve"> </w:t>
      </w:r>
      <w:r w:rsidR="00D71057" w:rsidRPr="00B843B7">
        <w:rPr>
          <w:rFonts w:ascii="Palatino Linotype" w:hAnsi="Palatino Linotype"/>
          <w:color w:val="000000" w:themeColor="text1"/>
        </w:rPr>
        <w:t>--------------------------------------------------------------------------</w:t>
      </w:r>
      <w:r w:rsidR="00E10AC3" w:rsidRPr="00B843B7">
        <w:rPr>
          <w:rFonts w:ascii="Palatino Linotype" w:hAnsi="Palatino Linotype"/>
          <w:color w:val="000000" w:themeColor="text1"/>
        </w:rPr>
        <w:t>-----------------</w:t>
      </w:r>
      <w:r w:rsidR="00895335" w:rsidRPr="00B843B7">
        <w:rPr>
          <w:rFonts w:ascii="Palatino Linotype" w:hAnsi="Palatino Linotype"/>
          <w:color w:val="000000" w:themeColor="text1"/>
        </w:rPr>
        <w:t>--</w:t>
      </w:r>
      <w:r w:rsidR="003E6079" w:rsidRPr="00B843B7">
        <w:rPr>
          <w:rFonts w:ascii="Palatino Linotype" w:hAnsi="Palatino Linotype"/>
          <w:color w:val="000000" w:themeColor="text1"/>
        </w:rPr>
        <w:t>-------------------------------------------------------------------------------------------------------------</w:t>
      </w:r>
      <w:r w:rsidR="00895335" w:rsidRPr="00B843B7">
        <w:rPr>
          <w:rFonts w:ascii="Palatino Linotype" w:hAnsi="Palatino Linotype"/>
          <w:color w:val="000000" w:themeColor="text1"/>
        </w:rPr>
        <w:t>--</w:t>
      </w:r>
      <w:r w:rsidR="00A225C1" w:rsidRPr="00B843B7">
        <w:rPr>
          <w:rFonts w:ascii="Palatino Linotype" w:hAnsi="Palatino Linotype"/>
          <w:color w:val="000000" w:themeColor="text1"/>
        </w:rPr>
        <w:t>-------------------------------------------------------------------------------------------------------------</w:t>
      </w:r>
    </w:p>
    <w:p w14:paraId="18C7D92B" w14:textId="2E6B88EF" w:rsidR="009959DB" w:rsidRPr="00B843B7" w:rsidRDefault="009959DB" w:rsidP="009959DB">
      <w:pPr>
        <w:pStyle w:val="Ttulo1"/>
        <w:spacing w:line="360" w:lineRule="auto"/>
        <w:jc w:val="center"/>
        <w:rPr>
          <w:b/>
          <w:color w:val="000000" w:themeColor="text1"/>
          <w:sz w:val="28"/>
          <w:szCs w:val="24"/>
        </w:rPr>
      </w:pPr>
      <w:bookmarkStart w:id="24" w:name="_Toc495427547"/>
      <w:bookmarkStart w:id="25" w:name="_Toc497905366"/>
      <w:bookmarkStart w:id="26" w:name="_Toc88071791"/>
      <w:r w:rsidRPr="00B843B7">
        <w:rPr>
          <w:b/>
          <w:color w:val="000000" w:themeColor="text1"/>
          <w:sz w:val="28"/>
          <w:szCs w:val="24"/>
        </w:rPr>
        <w:t>R E S O L U T I V O S</w:t>
      </w:r>
      <w:bookmarkEnd w:id="20"/>
      <w:bookmarkEnd w:id="21"/>
      <w:bookmarkEnd w:id="24"/>
      <w:bookmarkEnd w:id="25"/>
      <w:bookmarkEnd w:id="26"/>
    </w:p>
    <w:p w14:paraId="2EF2AC2D" w14:textId="77777777" w:rsidR="00A73C04" w:rsidRPr="00B843B7" w:rsidRDefault="00A73C04" w:rsidP="002578EE">
      <w:pPr>
        <w:spacing w:line="360" w:lineRule="auto"/>
        <w:jc w:val="both"/>
        <w:rPr>
          <w:rFonts w:ascii="Palatino Linotype" w:eastAsia="Times New Roman" w:hAnsi="Palatino Linotype" w:cs="Arial"/>
          <w:b/>
          <w:sz w:val="28"/>
          <w:szCs w:val="28"/>
        </w:rPr>
      </w:pPr>
    </w:p>
    <w:p w14:paraId="0C435278" w14:textId="752702B3" w:rsidR="00A73C04" w:rsidRPr="00B843B7" w:rsidRDefault="00A73C04" w:rsidP="00A73C04">
      <w:pPr>
        <w:spacing w:line="360" w:lineRule="auto"/>
        <w:jc w:val="both"/>
        <w:rPr>
          <w:rFonts w:ascii="Palatino Linotype" w:eastAsia="Times New Roman" w:hAnsi="Palatino Linotype" w:cs="Times New Roman"/>
        </w:rPr>
      </w:pPr>
      <w:r w:rsidRPr="00B843B7">
        <w:rPr>
          <w:rFonts w:ascii="Palatino Linotype" w:eastAsia="Times New Roman" w:hAnsi="Palatino Linotype" w:cs="Arial"/>
          <w:b/>
          <w:sz w:val="28"/>
          <w:szCs w:val="28"/>
        </w:rPr>
        <w:t>PRIMERO</w:t>
      </w:r>
      <w:r w:rsidRPr="00B843B7">
        <w:rPr>
          <w:rFonts w:ascii="Palatino Linotype" w:eastAsia="Times New Roman" w:hAnsi="Palatino Linotype" w:cs="Arial"/>
          <w:b/>
        </w:rPr>
        <w:t xml:space="preserve">. </w:t>
      </w:r>
      <w:r w:rsidR="00743CAC" w:rsidRPr="00B843B7">
        <w:rPr>
          <w:rFonts w:ascii="Palatino Linotype" w:eastAsia="Times New Roman" w:hAnsi="Palatino Linotype" w:cs="Arial"/>
        </w:rPr>
        <w:t xml:space="preserve">Resultan </w:t>
      </w:r>
      <w:r w:rsidRPr="00B843B7">
        <w:rPr>
          <w:rFonts w:ascii="Palatino Linotype" w:eastAsia="Times New Roman" w:hAnsi="Palatino Linotype" w:cs="Arial"/>
        </w:rPr>
        <w:t>fundadas las</w:t>
      </w:r>
      <w:r w:rsidRPr="00B843B7">
        <w:rPr>
          <w:rFonts w:ascii="Palatino Linotype" w:eastAsia="Times New Roman" w:hAnsi="Palatino Linotype" w:cs="Arial"/>
          <w:b/>
        </w:rPr>
        <w:t xml:space="preserve"> </w:t>
      </w:r>
      <w:r w:rsidRPr="00B843B7">
        <w:rPr>
          <w:rFonts w:ascii="Palatino Linotype" w:eastAsia="Times New Roman" w:hAnsi="Palatino Linotype" w:cs="Arial"/>
          <w:lang w:val="es-ES"/>
        </w:rPr>
        <w:t xml:space="preserve">razones o motivos de inconformidad hechos valer </w:t>
      </w:r>
      <w:r w:rsidRPr="00B843B7">
        <w:rPr>
          <w:rFonts w:ascii="Palatino Linotype" w:eastAsia="Calibri" w:hAnsi="Palatino Linotype" w:cs="Arial"/>
          <w:lang w:val="es-ES"/>
        </w:rPr>
        <w:t xml:space="preserve">en </w:t>
      </w:r>
      <w:r w:rsidR="00291D91" w:rsidRPr="00B843B7">
        <w:rPr>
          <w:rFonts w:ascii="Palatino Linotype" w:eastAsia="Calibri" w:hAnsi="Palatino Linotype" w:cs="Arial"/>
          <w:lang w:val="es-ES"/>
        </w:rPr>
        <w:t>el</w:t>
      </w:r>
      <w:r w:rsidRPr="00B843B7">
        <w:rPr>
          <w:rFonts w:ascii="Palatino Linotype" w:eastAsia="Calibri" w:hAnsi="Palatino Linotype" w:cs="Arial"/>
          <w:lang w:val="es-ES"/>
        </w:rPr>
        <w:t xml:space="preserve"> recurso de revisión </w:t>
      </w:r>
      <w:r w:rsidR="00E70180" w:rsidRPr="00B843B7">
        <w:rPr>
          <w:rFonts w:ascii="Palatino Linotype" w:eastAsia="Times New Roman" w:hAnsi="Palatino Linotype" w:cs="Times New Roman"/>
          <w:b/>
        </w:rPr>
        <w:t>06268/INFOEM/IP/RR/2022</w:t>
      </w:r>
      <w:r w:rsidRPr="00B843B7">
        <w:rPr>
          <w:rFonts w:ascii="Palatino Linotype" w:eastAsia="Times New Roman" w:hAnsi="Palatino Linotype" w:cs="Times New Roman"/>
          <w:b/>
        </w:rPr>
        <w:t xml:space="preserve"> </w:t>
      </w:r>
      <w:r w:rsidRPr="00B843B7">
        <w:rPr>
          <w:rFonts w:ascii="Palatino Linotype" w:eastAsia="Times New Roman" w:hAnsi="Palatino Linotype" w:cs="Times New Roman"/>
        </w:rPr>
        <w:t>en términos de</w:t>
      </w:r>
      <w:r w:rsidR="00743CAC" w:rsidRPr="00B843B7">
        <w:rPr>
          <w:rFonts w:ascii="Palatino Linotype" w:eastAsia="Times New Roman" w:hAnsi="Palatino Linotype" w:cs="Times New Roman"/>
        </w:rPr>
        <w:t xml:space="preserve"> </w:t>
      </w:r>
      <w:r w:rsidRPr="00B843B7">
        <w:rPr>
          <w:rFonts w:ascii="Palatino Linotype" w:eastAsia="Times New Roman" w:hAnsi="Palatino Linotype" w:cs="Times New Roman"/>
        </w:rPr>
        <w:t>l</w:t>
      </w:r>
      <w:r w:rsidR="00743CAC" w:rsidRPr="00B843B7">
        <w:rPr>
          <w:rFonts w:ascii="Palatino Linotype" w:eastAsia="Times New Roman" w:hAnsi="Palatino Linotype" w:cs="Times New Roman"/>
        </w:rPr>
        <w:t>os</w:t>
      </w:r>
      <w:r w:rsidRPr="00B843B7">
        <w:rPr>
          <w:rFonts w:ascii="Palatino Linotype" w:eastAsia="Times New Roman" w:hAnsi="Palatino Linotype" w:cs="Times New Roman"/>
          <w:b/>
          <w:bCs/>
        </w:rPr>
        <w:t xml:space="preserve"> Considerando</w:t>
      </w:r>
      <w:r w:rsidR="00743CAC" w:rsidRPr="00B843B7">
        <w:rPr>
          <w:rFonts w:ascii="Palatino Linotype" w:eastAsia="Times New Roman" w:hAnsi="Palatino Linotype" w:cs="Times New Roman"/>
          <w:b/>
          <w:bCs/>
        </w:rPr>
        <w:t>s</w:t>
      </w:r>
      <w:r w:rsidRPr="00B843B7">
        <w:rPr>
          <w:rFonts w:ascii="Palatino Linotype" w:eastAsia="Times New Roman" w:hAnsi="Palatino Linotype" w:cs="Times New Roman"/>
        </w:rPr>
        <w:t xml:space="preserve"> </w:t>
      </w:r>
      <w:r w:rsidRPr="00B843B7">
        <w:rPr>
          <w:rFonts w:ascii="Palatino Linotype" w:eastAsia="Times New Roman" w:hAnsi="Palatino Linotype" w:cs="Times New Roman"/>
          <w:b/>
        </w:rPr>
        <w:t>CUARTO</w:t>
      </w:r>
      <w:r w:rsidRPr="00B843B7">
        <w:rPr>
          <w:rFonts w:ascii="Palatino Linotype" w:eastAsia="Times New Roman" w:hAnsi="Palatino Linotype" w:cs="Times New Roman"/>
        </w:rPr>
        <w:t xml:space="preserve"> </w:t>
      </w:r>
      <w:r w:rsidR="00743CAC" w:rsidRPr="00B843B7">
        <w:rPr>
          <w:rFonts w:ascii="Palatino Linotype" w:eastAsia="Times New Roman" w:hAnsi="Palatino Linotype" w:cs="Times New Roman"/>
        </w:rPr>
        <w:t xml:space="preserve">y </w:t>
      </w:r>
      <w:r w:rsidR="00743CAC" w:rsidRPr="00B843B7">
        <w:rPr>
          <w:rFonts w:ascii="Palatino Linotype" w:eastAsia="Times New Roman" w:hAnsi="Palatino Linotype" w:cs="Times New Roman"/>
          <w:b/>
        </w:rPr>
        <w:t>QUINTO</w:t>
      </w:r>
      <w:r w:rsidR="00743CAC" w:rsidRPr="00B843B7">
        <w:rPr>
          <w:rFonts w:ascii="Palatino Linotype" w:eastAsia="Times New Roman" w:hAnsi="Palatino Linotype" w:cs="Times New Roman"/>
        </w:rPr>
        <w:t xml:space="preserve"> </w:t>
      </w:r>
      <w:r w:rsidRPr="00B843B7">
        <w:rPr>
          <w:rFonts w:ascii="Palatino Linotype" w:eastAsia="Times New Roman" w:hAnsi="Palatino Linotype" w:cs="Times New Roman"/>
        </w:rPr>
        <w:t>de la presente resolución.</w:t>
      </w:r>
    </w:p>
    <w:p w14:paraId="0DBF8BF4" w14:textId="77777777" w:rsidR="00A73C04" w:rsidRPr="00B843B7" w:rsidRDefault="00A73C04" w:rsidP="00A73C04">
      <w:pPr>
        <w:spacing w:line="360" w:lineRule="auto"/>
        <w:contextualSpacing/>
        <w:jc w:val="both"/>
        <w:rPr>
          <w:rFonts w:ascii="Palatino Linotype" w:eastAsia="Calibri" w:hAnsi="Palatino Linotype" w:cs="Arial"/>
          <w:b/>
          <w:bCs/>
          <w:lang w:val="es-ES"/>
        </w:rPr>
      </w:pPr>
    </w:p>
    <w:p w14:paraId="32A46F8F" w14:textId="5296A948" w:rsidR="00000167" w:rsidRPr="00B843B7" w:rsidRDefault="00743CAC" w:rsidP="00743CAC">
      <w:pPr>
        <w:spacing w:line="360" w:lineRule="auto"/>
        <w:contextualSpacing/>
        <w:jc w:val="both"/>
        <w:rPr>
          <w:rFonts w:ascii="Palatino Linotype" w:eastAsia="Times New Roman" w:hAnsi="Palatino Linotype" w:cs="Arial"/>
          <w:color w:val="000000"/>
        </w:rPr>
      </w:pPr>
      <w:r w:rsidRPr="00B843B7">
        <w:rPr>
          <w:rFonts w:ascii="Palatino Linotype" w:eastAsia="Calibri" w:hAnsi="Palatino Linotype" w:cs="Arial"/>
          <w:b/>
          <w:bCs/>
          <w:sz w:val="28"/>
          <w:szCs w:val="28"/>
          <w:lang w:val="es-ES"/>
        </w:rPr>
        <w:t>SEGUNDO</w:t>
      </w:r>
      <w:r w:rsidRPr="00B843B7">
        <w:rPr>
          <w:rFonts w:ascii="Palatino Linotype" w:eastAsia="Calibri" w:hAnsi="Palatino Linotype" w:cs="Arial"/>
          <w:b/>
          <w:bCs/>
          <w:lang w:val="es-ES"/>
        </w:rPr>
        <w:t xml:space="preserve">. </w:t>
      </w:r>
      <w:r w:rsidRPr="00B843B7">
        <w:rPr>
          <w:rFonts w:ascii="Palatino Linotype" w:eastAsia="Calibri" w:hAnsi="Palatino Linotype" w:cs="Arial"/>
          <w:lang w:val="es-ES"/>
        </w:rPr>
        <w:t xml:space="preserve">Se </w:t>
      </w:r>
      <w:r w:rsidR="000A2A8C" w:rsidRPr="00B843B7">
        <w:rPr>
          <w:rFonts w:ascii="Palatino Linotype" w:eastAsia="Calibri" w:hAnsi="Palatino Linotype" w:cs="Arial"/>
          <w:b/>
          <w:lang w:val="es-ES"/>
        </w:rPr>
        <w:t>REVOCA</w:t>
      </w:r>
      <w:r w:rsidRPr="00B843B7">
        <w:rPr>
          <w:rFonts w:ascii="Palatino Linotype" w:eastAsia="Calibri" w:hAnsi="Palatino Linotype" w:cs="Arial"/>
          <w:lang w:val="es-ES"/>
        </w:rPr>
        <w:t xml:space="preserve"> la respuesta emitida por el </w:t>
      </w:r>
      <w:r w:rsidR="00E70180" w:rsidRPr="00B843B7">
        <w:rPr>
          <w:rFonts w:ascii="Palatino Linotype" w:eastAsia="Calibri" w:hAnsi="Palatino Linotype" w:cs="Arial"/>
          <w:b/>
        </w:rPr>
        <w:t>Ayuntamiento de Temoaya</w:t>
      </w:r>
      <w:r w:rsidRPr="00B843B7">
        <w:rPr>
          <w:rFonts w:ascii="Palatino Linotype" w:eastAsia="Calibri" w:hAnsi="Palatino Linotype" w:cs="Arial"/>
          <w:bCs/>
        </w:rPr>
        <w:t xml:space="preserve"> a la solicitud </w:t>
      </w:r>
      <w:r w:rsidR="00E70180" w:rsidRPr="00B843B7">
        <w:rPr>
          <w:rFonts w:ascii="Palatino Linotype" w:eastAsia="MS Mincho" w:hAnsi="Palatino Linotype" w:cstheme="majorBidi"/>
          <w:b/>
          <w:lang w:val="es-ES"/>
        </w:rPr>
        <w:t>00050/TEMOAYA/IP/2022</w:t>
      </w:r>
      <w:r w:rsidRPr="00B843B7">
        <w:rPr>
          <w:rFonts w:ascii="Palatino Linotype" w:eastAsia="MS Mincho" w:hAnsi="Palatino Linotype" w:cstheme="majorBidi"/>
          <w:b/>
          <w:lang w:val="es-ES"/>
        </w:rPr>
        <w:t xml:space="preserve"> </w:t>
      </w:r>
      <w:r w:rsidRPr="00B843B7">
        <w:rPr>
          <w:rFonts w:ascii="Palatino Linotype" w:eastAsia="Calibri" w:hAnsi="Palatino Linotype" w:cs="Arial"/>
        </w:rPr>
        <w:t xml:space="preserve">y se </w:t>
      </w:r>
      <w:r w:rsidRPr="00B843B7">
        <w:rPr>
          <w:rFonts w:ascii="Palatino Linotype" w:eastAsia="Calibri" w:hAnsi="Palatino Linotype" w:cs="Arial"/>
          <w:b/>
        </w:rPr>
        <w:t>ORDENA</w:t>
      </w:r>
      <w:r w:rsidRPr="00B843B7">
        <w:rPr>
          <w:rFonts w:ascii="Palatino Linotype" w:eastAsia="Calibri" w:hAnsi="Palatino Linotype" w:cs="Arial"/>
          <w:b/>
          <w:lang w:val="es-ES"/>
        </w:rPr>
        <w:t xml:space="preserve"> </w:t>
      </w:r>
      <w:r w:rsidRPr="00B843B7">
        <w:rPr>
          <w:rFonts w:ascii="Palatino Linotype" w:eastAsia="Calibri" w:hAnsi="Palatino Linotype" w:cs="Arial"/>
          <w:lang w:val="es-ES"/>
        </w:rPr>
        <w:t xml:space="preserve">entregar, </w:t>
      </w:r>
      <w:bookmarkStart w:id="27" w:name="_Toc460947013"/>
      <w:r w:rsidRPr="00B843B7">
        <w:rPr>
          <w:rFonts w:ascii="Palatino Linotype" w:eastAsia="Calibri" w:hAnsi="Palatino Linotype" w:cs="Arial"/>
          <w:lang w:val="es-ES"/>
        </w:rPr>
        <w:t>vía Sistema de Acceso a la Información Pública Mexiquense (SAIMEX)</w:t>
      </w:r>
      <w:r w:rsidRPr="00B843B7">
        <w:rPr>
          <w:rFonts w:ascii="Palatino Linotype" w:eastAsia="Times New Roman" w:hAnsi="Palatino Linotype" w:cs="Arial"/>
          <w:color w:val="000000"/>
        </w:rPr>
        <w:t xml:space="preserve">, </w:t>
      </w:r>
      <w:r w:rsidR="00CA543E" w:rsidRPr="00B843B7">
        <w:rPr>
          <w:rFonts w:ascii="Palatino Linotype" w:eastAsia="Times New Roman" w:hAnsi="Palatino Linotype" w:cs="Arial"/>
          <w:color w:val="000000"/>
        </w:rPr>
        <w:t xml:space="preserve">los documentos donde conste </w:t>
      </w:r>
      <w:r w:rsidR="00A84187" w:rsidRPr="00B843B7">
        <w:rPr>
          <w:rFonts w:ascii="Palatino Linotype" w:eastAsia="Times New Roman" w:hAnsi="Palatino Linotype" w:cs="Arial"/>
          <w:color w:val="000000"/>
        </w:rPr>
        <w:t>la siguiente información</w:t>
      </w:r>
      <w:r w:rsidRPr="00B843B7">
        <w:rPr>
          <w:rFonts w:ascii="Palatino Linotype" w:eastAsia="Times New Roman" w:hAnsi="Palatino Linotype" w:cs="Arial"/>
          <w:color w:val="000000"/>
        </w:rPr>
        <w:t xml:space="preserve">: </w:t>
      </w:r>
    </w:p>
    <w:p w14:paraId="0ADC64DE" w14:textId="77777777" w:rsidR="00000167" w:rsidRPr="00B843B7" w:rsidRDefault="00000167" w:rsidP="00743CAC">
      <w:pPr>
        <w:spacing w:line="360" w:lineRule="auto"/>
        <w:contextualSpacing/>
        <w:jc w:val="both"/>
        <w:rPr>
          <w:rFonts w:ascii="Palatino Linotype" w:eastAsia="Times New Roman" w:hAnsi="Palatino Linotype" w:cs="Arial"/>
          <w:color w:val="000000"/>
        </w:rPr>
      </w:pPr>
    </w:p>
    <w:p w14:paraId="326766E2" w14:textId="5E7E8FB4" w:rsidR="004D54E4" w:rsidRPr="00B843B7" w:rsidRDefault="00C857B4" w:rsidP="005B4068">
      <w:pPr>
        <w:pStyle w:val="Prrafodelista"/>
        <w:numPr>
          <w:ilvl w:val="0"/>
          <w:numId w:val="2"/>
        </w:numPr>
        <w:spacing w:after="240" w:line="360" w:lineRule="auto"/>
        <w:ind w:right="567"/>
        <w:jc w:val="both"/>
        <w:rPr>
          <w:rFonts w:ascii="Palatino Linotype" w:hAnsi="Palatino Linotype"/>
          <w:b/>
          <w:bCs/>
          <w:color w:val="000000"/>
        </w:rPr>
      </w:pPr>
      <w:r w:rsidRPr="00B843B7">
        <w:rPr>
          <w:rFonts w:ascii="Palatino Linotype" w:hAnsi="Palatino Linotype"/>
          <w:b/>
          <w:bCs/>
          <w:color w:val="000000"/>
        </w:rPr>
        <w:t>Los Avisos de Privacidad, en sus modalidades integral y simplificado, publicados en el micrositio de transparencia dentro del portal oficial del Ayuntamiento de Temoaya, traducidos a la lengua Otomí</w:t>
      </w:r>
      <w:r w:rsidR="00000167" w:rsidRPr="00B843B7">
        <w:rPr>
          <w:rFonts w:ascii="Palatino Linotype" w:hAnsi="Palatino Linotype"/>
          <w:b/>
          <w:bCs/>
          <w:color w:val="000000"/>
        </w:rPr>
        <w:t>.</w:t>
      </w:r>
    </w:p>
    <w:p w14:paraId="42CFD909" w14:textId="77777777" w:rsidR="004D54E4" w:rsidRPr="00B843B7" w:rsidRDefault="004D54E4" w:rsidP="00743CAC">
      <w:pPr>
        <w:tabs>
          <w:tab w:val="left" w:pos="993"/>
        </w:tabs>
        <w:spacing w:line="360" w:lineRule="auto"/>
        <w:jc w:val="both"/>
        <w:rPr>
          <w:rFonts w:ascii="Palatino Linotype" w:hAnsi="Palatino Linotype"/>
          <w:color w:val="000000"/>
        </w:rPr>
      </w:pPr>
    </w:p>
    <w:p w14:paraId="22EACC04" w14:textId="3801BF54" w:rsidR="00743CAC" w:rsidRPr="00B843B7" w:rsidRDefault="00743CAC" w:rsidP="00743CAC">
      <w:pPr>
        <w:spacing w:line="360" w:lineRule="auto"/>
        <w:jc w:val="both"/>
        <w:rPr>
          <w:rFonts w:ascii="Palatino Linotype" w:eastAsia="MS Mincho" w:hAnsi="Palatino Linotype" w:cs="Times New Roman"/>
          <w:color w:val="000000"/>
        </w:rPr>
      </w:pPr>
      <w:r w:rsidRPr="00B843B7">
        <w:rPr>
          <w:rFonts w:ascii="Palatino Linotype" w:eastAsia="MS Mincho" w:hAnsi="Palatino Linotype" w:cs="Times New Roman"/>
          <w:b/>
          <w:color w:val="000000"/>
          <w:sz w:val="28"/>
          <w:szCs w:val="28"/>
        </w:rPr>
        <w:lastRenderedPageBreak/>
        <w:t>TERCERO</w:t>
      </w:r>
      <w:r w:rsidRPr="00B843B7">
        <w:rPr>
          <w:rFonts w:ascii="Palatino Linotype" w:eastAsia="MS Mincho" w:hAnsi="Palatino Linotype" w:cs="Times New Roman"/>
          <w:b/>
          <w:color w:val="000000"/>
        </w:rPr>
        <w:t>.</w:t>
      </w:r>
      <w:r w:rsidRPr="00B843B7">
        <w:rPr>
          <w:rFonts w:ascii="Palatino Linotype" w:eastAsia="MS Mincho" w:hAnsi="Palatino Linotype" w:cs="Times New Roman"/>
          <w:color w:val="000000"/>
        </w:rPr>
        <w:t xml:space="preserve"> Notifíquese a</w:t>
      </w:r>
      <w:r w:rsidR="00C603F1" w:rsidRPr="00B843B7">
        <w:rPr>
          <w:rFonts w:ascii="Palatino Linotype" w:eastAsia="MS Mincho" w:hAnsi="Palatino Linotype" w:cs="Times New Roman"/>
          <w:color w:val="000000"/>
        </w:rPr>
        <w:t>l</w:t>
      </w:r>
      <w:r w:rsidRPr="00B843B7">
        <w:rPr>
          <w:rFonts w:ascii="Palatino Linotype" w:eastAsia="MS Mincho" w:hAnsi="Palatino Linotype" w:cs="Times New Roman"/>
          <w:color w:val="000000"/>
        </w:rPr>
        <w:t xml:space="preserve"> Titular de la Unidad de Transparencia del</w:t>
      </w:r>
      <w:r w:rsidRPr="00B843B7">
        <w:rPr>
          <w:rFonts w:ascii="Palatino Linotype" w:eastAsia="MS Mincho" w:hAnsi="Palatino Linotype" w:cs="Times New Roman"/>
          <w:b/>
          <w:color w:val="000000"/>
        </w:rPr>
        <w:t xml:space="preserve"> SUJETO OBLIGADO</w:t>
      </w:r>
      <w:r w:rsidRPr="00B843B7">
        <w:rPr>
          <w:rFonts w:ascii="Palatino Linotype" w:eastAsia="MS Mincho" w:hAnsi="Palatino Linotype" w:cs="Times New Roman"/>
          <w:color w:val="000000"/>
        </w:rPr>
        <w:t>, vía Sistema de Acceso a la Información Mexiquense (SAIMEX), para que conforme a los artículos 186</w:t>
      </w:r>
      <w:r w:rsidR="007C1605" w:rsidRPr="00B843B7">
        <w:rPr>
          <w:rFonts w:ascii="Palatino Linotype" w:eastAsia="MS Mincho" w:hAnsi="Palatino Linotype" w:cs="Times New Roman"/>
          <w:color w:val="000000"/>
        </w:rPr>
        <w:t>,</w:t>
      </w:r>
      <w:r w:rsidRPr="00B843B7">
        <w:rPr>
          <w:rFonts w:ascii="Palatino Linotype" w:eastAsia="MS Mincho" w:hAnsi="Palatino Linotype" w:cs="Times New Roman"/>
          <w:color w:val="000000"/>
        </w:rPr>
        <w:t xml:space="preserve"> último párrafo, 189</w:t>
      </w:r>
      <w:r w:rsidR="007C1605" w:rsidRPr="00B843B7">
        <w:rPr>
          <w:rFonts w:ascii="Palatino Linotype" w:eastAsia="MS Mincho" w:hAnsi="Palatino Linotype" w:cs="Times New Roman"/>
          <w:color w:val="000000"/>
        </w:rPr>
        <w:t>,</w:t>
      </w:r>
      <w:r w:rsidRPr="00B843B7">
        <w:rPr>
          <w:rFonts w:ascii="Palatino Linotype" w:eastAsia="MS Mincho" w:hAnsi="Palatino Linotype" w:cs="Times New Roman"/>
          <w:color w:val="000000"/>
        </w:rPr>
        <w:t xml:space="preserve"> párrafo segundo</w:t>
      </w:r>
      <w:r w:rsidR="007C1605" w:rsidRPr="00B843B7">
        <w:rPr>
          <w:rFonts w:ascii="Palatino Linotype" w:eastAsia="MS Mincho" w:hAnsi="Palatino Linotype" w:cs="Times New Roman"/>
          <w:color w:val="000000"/>
        </w:rPr>
        <w:t>,</w:t>
      </w:r>
      <w:r w:rsidRPr="00B843B7">
        <w:rPr>
          <w:rFonts w:ascii="Palatino Linotype" w:eastAsia="MS Mincho" w:hAnsi="Palatino Linotype" w:cs="Times New Roman"/>
          <w:color w:val="000000"/>
        </w:rPr>
        <w:t xml:space="preserve">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24A1876D" w14:textId="77777777" w:rsidR="00743CAC" w:rsidRPr="00B843B7"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B843B7" w:rsidRDefault="00743CAC" w:rsidP="00743CAC">
      <w:pPr>
        <w:spacing w:line="360" w:lineRule="auto"/>
        <w:jc w:val="both"/>
        <w:rPr>
          <w:rFonts w:ascii="Palatino Linotype" w:eastAsia="MS Mincho" w:hAnsi="Palatino Linotype" w:cs="Times New Roman"/>
          <w:color w:val="000000"/>
        </w:rPr>
      </w:pPr>
      <w:r w:rsidRPr="00B843B7">
        <w:rPr>
          <w:rFonts w:ascii="Palatino Linotype" w:eastAsia="MS Mincho" w:hAnsi="Palatino Linotype" w:cs="Times New Roman"/>
          <w:b/>
          <w:bCs/>
          <w:color w:val="000000"/>
          <w:sz w:val="28"/>
          <w:szCs w:val="28"/>
        </w:rPr>
        <w:t>CUARTO</w:t>
      </w:r>
      <w:r w:rsidRPr="00B843B7">
        <w:rPr>
          <w:rFonts w:ascii="Palatino Linotype" w:eastAsia="MS Mincho" w:hAnsi="Palatino Linotype" w:cs="Times New Roman"/>
          <w:b/>
          <w:bCs/>
          <w:color w:val="000000"/>
        </w:rPr>
        <w:t>.</w:t>
      </w:r>
      <w:r w:rsidRPr="00B843B7">
        <w:rPr>
          <w:rFonts w:ascii="Palatino Linotype" w:eastAsia="MS Mincho" w:hAnsi="Palatino Linotype" w:cs="Times New Roman"/>
          <w:color w:val="000000"/>
        </w:rPr>
        <w:t xml:space="preserve"> De </w:t>
      </w:r>
      <w:r w:rsidRPr="00B843B7">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B843B7">
        <w:rPr>
          <w:rFonts w:ascii="Palatino Linotype" w:eastAsia="MS Mincho" w:hAnsi="Palatino Linotype" w:cs="Times New Roman"/>
          <w:b/>
          <w:color w:val="000000"/>
        </w:rPr>
        <w:t>SUJETO OBLIGADO,</w:t>
      </w:r>
      <w:r w:rsidRPr="00B843B7">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B843B7" w:rsidRDefault="00743CAC" w:rsidP="00743CAC">
      <w:pPr>
        <w:spacing w:line="360" w:lineRule="auto"/>
        <w:jc w:val="both"/>
        <w:rPr>
          <w:rFonts w:ascii="Palatino Linotype" w:eastAsia="MS Mincho" w:hAnsi="Palatino Linotype" w:cs="Times New Roman"/>
          <w:color w:val="000000"/>
        </w:rPr>
      </w:pPr>
    </w:p>
    <w:p w14:paraId="09CBBAC7" w14:textId="56FF2929" w:rsidR="00743CAC" w:rsidRPr="00B843B7" w:rsidRDefault="00743CAC" w:rsidP="00743CAC">
      <w:pPr>
        <w:spacing w:line="360" w:lineRule="auto"/>
        <w:jc w:val="both"/>
        <w:rPr>
          <w:rFonts w:ascii="Palatino Linotype" w:eastAsia="MS Mincho" w:hAnsi="Palatino Linotype" w:cs="Times New Roman"/>
          <w:color w:val="000000"/>
        </w:rPr>
      </w:pPr>
      <w:r w:rsidRPr="00B843B7">
        <w:rPr>
          <w:rFonts w:ascii="Palatino Linotype" w:eastAsia="MS Mincho" w:hAnsi="Palatino Linotype" w:cs="Times New Roman"/>
          <w:b/>
          <w:color w:val="000000"/>
          <w:sz w:val="28"/>
          <w:szCs w:val="28"/>
        </w:rPr>
        <w:t>QUINTO</w:t>
      </w:r>
      <w:r w:rsidRPr="00B843B7">
        <w:rPr>
          <w:rFonts w:ascii="Palatino Linotype" w:eastAsia="MS Mincho" w:hAnsi="Palatino Linotype" w:cs="Times New Roman"/>
          <w:b/>
          <w:color w:val="000000"/>
        </w:rPr>
        <w:t xml:space="preserve">. </w:t>
      </w:r>
      <w:r w:rsidRPr="00B843B7">
        <w:rPr>
          <w:rFonts w:ascii="Palatino Linotype" w:eastAsia="MS Mincho" w:hAnsi="Palatino Linotype" w:cs="Times New Roman"/>
          <w:color w:val="000000"/>
        </w:rPr>
        <w:t xml:space="preserve">Notifíquese al </w:t>
      </w:r>
      <w:r w:rsidRPr="00B843B7">
        <w:rPr>
          <w:rFonts w:ascii="Palatino Linotype" w:eastAsia="MS Mincho" w:hAnsi="Palatino Linotype" w:cs="Times New Roman"/>
          <w:b/>
          <w:bCs/>
          <w:color w:val="000000"/>
        </w:rPr>
        <w:t>RECURRENTE</w:t>
      </w:r>
      <w:r w:rsidRPr="00B843B7">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B843B7" w:rsidRDefault="00743CAC" w:rsidP="00743CAC">
      <w:pPr>
        <w:spacing w:line="360" w:lineRule="auto"/>
        <w:jc w:val="both"/>
        <w:rPr>
          <w:rFonts w:ascii="Palatino Linotype" w:hAnsi="Palatino Linotype"/>
          <w:b/>
        </w:rPr>
      </w:pPr>
    </w:p>
    <w:p w14:paraId="2A314043" w14:textId="741DB04E" w:rsidR="00743CAC" w:rsidRPr="00B843B7" w:rsidRDefault="00743CAC" w:rsidP="00743CAC">
      <w:pPr>
        <w:spacing w:line="360" w:lineRule="auto"/>
        <w:jc w:val="both"/>
        <w:rPr>
          <w:rFonts w:ascii="Palatino Linotype" w:eastAsia="MS Mincho" w:hAnsi="Palatino Linotype" w:cs="Times New Roman"/>
          <w:color w:val="000000"/>
        </w:rPr>
      </w:pPr>
      <w:r w:rsidRPr="00B843B7">
        <w:rPr>
          <w:rFonts w:ascii="Palatino Linotype" w:eastAsia="MS Mincho" w:hAnsi="Palatino Linotype" w:cs="Times New Roman"/>
          <w:b/>
          <w:sz w:val="28"/>
          <w:szCs w:val="28"/>
        </w:rPr>
        <w:t>SEXTO</w:t>
      </w:r>
      <w:r w:rsidRPr="00B843B7">
        <w:rPr>
          <w:rFonts w:ascii="Palatino Linotype" w:eastAsia="MS Mincho" w:hAnsi="Palatino Linotype" w:cs="Times New Roman"/>
          <w:b/>
          <w:color w:val="000000"/>
        </w:rPr>
        <w:t xml:space="preserve">. </w:t>
      </w:r>
      <w:r w:rsidRPr="00B843B7">
        <w:rPr>
          <w:rFonts w:ascii="Palatino Linotype" w:eastAsia="MS Mincho" w:hAnsi="Palatino Linotype" w:cs="Times New Roman"/>
          <w:color w:val="000000"/>
        </w:rPr>
        <w:t xml:space="preserve">Se </w:t>
      </w:r>
      <w:bookmarkEnd w:id="27"/>
      <w:r w:rsidRPr="00B843B7">
        <w:rPr>
          <w:rFonts w:ascii="Palatino Linotype" w:eastAsia="MS Mincho" w:hAnsi="Palatino Linotype" w:cs="Times New Roman"/>
          <w:color w:val="000000" w:themeColor="text1"/>
        </w:rPr>
        <w:t>hace del conocimiento del</w:t>
      </w:r>
      <w:r w:rsidRPr="00B843B7">
        <w:rPr>
          <w:rFonts w:ascii="Palatino Linotype" w:eastAsia="MS Mincho" w:hAnsi="Palatino Linotype" w:cs="Times New Roman"/>
          <w:b/>
          <w:color w:val="000000" w:themeColor="text1"/>
        </w:rPr>
        <w:t xml:space="preserve"> RECURRENTE </w:t>
      </w:r>
      <w:r w:rsidRPr="00B843B7">
        <w:rPr>
          <w:rFonts w:ascii="Palatino Linotype" w:eastAsia="MS Mincho" w:hAnsi="Palatino Linotype" w:cs="Times New Roman"/>
          <w:color w:val="000000" w:themeColor="text1"/>
        </w:rPr>
        <w:t xml:space="preserve">que, </w:t>
      </w:r>
      <w:r w:rsidR="00F75114" w:rsidRPr="00B843B7">
        <w:rPr>
          <w:rFonts w:ascii="Palatino Linotype" w:eastAsia="MS Mincho" w:hAnsi="Palatino Linotype" w:cs="Times New Roman"/>
          <w:color w:val="000000"/>
          <w:lang w:val="es-ES"/>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F75114" w:rsidRPr="00B843B7">
        <w:rPr>
          <w:rFonts w:ascii="Palatino Linotype" w:eastAsia="MS Mincho" w:hAnsi="Palatino Linotype" w:cs="Times New Roman"/>
          <w:bCs/>
          <w:color w:val="000000"/>
          <w:lang w:val="es-ES"/>
        </w:rPr>
        <w:t>vía juicio de amparo</w:t>
      </w:r>
      <w:r w:rsidR="00F75114" w:rsidRPr="00B843B7">
        <w:rPr>
          <w:rFonts w:ascii="Palatino Linotype" w:eastAsia="MS Mincho" w:hAnsi="Palatino Linotype" w:cs="Times New Roman"/>
          <w:color w:val="000000"/>
          <w:lang w:val="es-ES"/>
        </w:rPr>
        <w:t xml:space="preserve"> en los términos de las leyes aplicables</w:t>
      </w:r>
      <w:r w:rsidR="00C603F1" w:rsidRPr="00B843B7">
        <w:rPr>
          <w:rFonts w:ascii="Palatino Linotype" w:eastAsia="MS Mincho" w:hAnsi="Palatino Linotype"/>
          <w:color w:val="000000" w:themeColor="text1"/>
        </w:rPr>
        <w:t>.</w:t>
      </w:r>
    </w:p>
    <w:p w14:paraId="35177F2C" w14:textId="77777777" w:rsidR="002578EE" w:rsidRPr="00B843B7" w:rsidRDefault="002578EE" w:rsidP="002578EE">
      <w:pPr>
        <w:spacing w:line="360" w:lineRule="auto"/>
        <w:jc w:val="both"/>
        <w:rPr>
          <w:rFonts w:ascii="Palatino Linotype" w:eastAsia="MS Mincho" w:hAnsi="Palatino Linotype" w:cs="Times New Roman"/>
          <w:color w:val="000000"/>
          <w:lang w:val="es-ES"/>
        </w:rPr>
      </w:pPr>
    </w:p>
    <w:p w14:paraId="3AD09799" w14:textId="42D99D91" w:rsidR="004C1AAB" w:rsidRDefault="00563C91" w:rsidP="004C1AAB">
      <w:pPr>
        <w:spacing w:before="240" w:after="240" w:line="360" w:lineRule="auto"/>
        <w:jc w:val="both"/>
        <w:rPr>
          <w:rFonts w:ascii="Palatino Linotype" w:hAnsi="Palatino Linotype"/>
        </w:rPr>
      </w:pPr>
      <w:r w:rsidRPr="00B843B7">
        <w:rPr>
          <w:rFonts w:ascii="Palatino Linotype" w:hAnsi="Palatino Linotype"/>
        </w:rPr>
        <w:t>ASÍ LO RESUELVE, POR MAYORÍA</w:t>
      </w:r>
      <w:r w:rsidR="004C1AAB" w:rsidRPr="00B843B7">
        <w:rPr>
          <w:rFonts w:ascii="Palatino Linotype" w:hAnsi="Palatino Linotype"/>
        </w:rPr>
        <w:t xml:space="preserve"> DE VOTOS, EL PLENO DEL INSTITUTO DE TRANSPARENCIA, ACCESO A LA INFORMACIÓN PÚBLICA Y PROTECCIÓN </w:t>
      </w:r>
      <w:r w:rsidR="004C1AAB" w:rsidRPr="00B843B7">
        <w:rPr>
          <w:rFonts w:ascii="Palatino Linotype" w:hAnsi="Palatino Linotype"/>
        </w:rPr>
        <w:lastRenderedPageBreak/>
        <w:t>DE DATOS PERSONALES DEL ESTADO DE MÉXICO Y MUNICIPIOS, CONFORMADO POR LOS COMISIONADOS JOSÉ MARTÍNEZ VILCHIS; MARÍA DEL ROSARIO MEJÍA AYALA; SHARON CRISTINA MORALES MARTÍNEZ; LUIS GUSTAVO PARRA NORIEGA Y GUADALUPE RAMÍREZ PEÑA</w:t>
      </w:r>
      <w:r w:rsidRPr="00B843B7">
        <w:rPr>
          <w:rFonts w:ascii="Palatino Linotype" w:hAnsi="Palatino Linotype"/>
        </w:rPr>
        <w:t xml:space="preserve"> EMITIENDO VOTO DISIDENTE</w:t>
      </w:r>
      <w:r w:rsidR="004C1AAB" w:rsidRPr="00B843B7">
        <w:rPr>
          <w:rFonts w:ascii="Palatino Linotype" w:hAnsi="Palatino Linotype"/>
        </w:rPr>
        <w:t xml:space="preserve"> EN LA CUADRAGÉSIMA TERCERA SESIÓN ORDINARIA CELEBRADA EL TREINTA (30) DE NOVIEMBRE DE DOS MIL VEINTIDÓS, ANTE EL SECRETARIO TÉCNICO DEL PLENO ALEXIS TAPIA RAMÍREZ.</w:t>
      </w:r>
      <w:bookmarkStart w:id="28" w:name="_GoBack"/>
      <w:bookmarkEnd w:id="28"/>
      <w:r w:rsidR="004C1AAB" w:rsidRPr="00624AAD">
        <w:rPr>
          <w:rFonts w:ascii="Palatino Linotype" w:hAnsi="Palatino Linotype"/>
        </w:rPr>
        <w:t xml:space="preserve"> </w:t>
      </w:r>
    </w:p>
    <w:p w14:paraId="7EFA4F21" w14:textId="1A5D5F6A" w:rsidR="00895335" w:rsidRDefault="00895335" w:rsidP="00197E9B">
      <w:pPr>
        <w:spacing w:before="240" w:after="240" w:line="360" w:lineRule="auto"/>
        <w:jc w:val="both"/>
        <w:rPr>
          <w:rFonts w:ascii="Palatino Linotype" w:hAnsi="Palatino Linotype" w:cs="Arial"/>
          <w:color w:val="000000" w:themeColor="text1"/>
        </w:rPr>
      </w:pPr>
    </w:p>
    <w:sectPr w:rsidR="00895335" w:rsidSect="00DB795F">
      <w:headerReference w:type="default" r:id="rId12"/>
      <w:footerReference w:type="default" r:id="rId13"/>
      <w:headerReference w:type="first" r:id="rId14"/>
      <w:footerReference w:type="first" r:id="rId15"/>
      <w:pgSz w:w="12240" w:h="15840"/>
      <w:pgMar w:top="2333"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77D54" w14:textId="77777777" w:rsidR="00743C2A" w:rsidRDefault="00743C2A" w:rsidP="00587366">
      <w:r>
        <w:separator/>
      </w:r>
    </w:p>
  </w:endnote>
  <w:endnote w:type="continuationSeparator" w:id="0">
    <w:p w14:paraId="55812136" w14:textId="77777777" w:rsidR="00743C2A" w:rsidRDefault="00743C2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076DDA" w:rsidRPr="00883450" w:rsidRDefault="00076DD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843B7">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843B7">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5CEA854E" w:rsidR="00076DDA" w:rsidRDefault="00076DDA">
    <w:pPr>
      <w:pStyle w:val="Piedepgina"/>
    </w:pPr>
    <w:r>
      <w:rPr>
        <w:noProof/>
        <w:lang w:eastAsia="es-MX"/>
      </w:rPr>
      <w:drawing>
        <wp:anchor distT="0" distB="0" distL="114300" distR="114300" simplePos="0" relativeHeight="251657216" behindDoc="1" locked="0" layoutInCell="0" allowOverlap="1" wp14:anchorId="1A29E15A" wp14:editId="35D739A2">
          <wp:simplePos x="0" y="0"/>
          <wp:positionH relativeFrom="margin">
            <wp:posOffset>-1042035</wp:posOffset>
          </wp:positionH>
          <wp:positionV relativeFrom="page">
            <wp:posOffset>0</wp:posOffset>
          </wp:positionV>
          <wp:extent cx="7694930" cy="10020300"/>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076DDA" w:rsidRPr="00883450" w:rsidRDefault="00076DD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843B7" w:rsidRPr="00B843B7">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843B7" w:rsidRPr="00B843B7">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5CB527B9" w:rsidR="00076DDA" w:rsidRPr="00883450" w:rsidRDefault="00076DD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4491F" w14:textId="77777777" w:rsidR="00743C2A" w:rsidRDefault="00743C2A" w:rsidP="00587366">
      <w:r>
        <w:separator/>
      </w:r>
    </w:p>
  </w:footnote>
  <w:footnote w:type="continuationSeparator" w:id="0">
    <w:p w14:paraId="6E292E46" w14:textId="77777777" w:rsidR="00743C2A" w:rsidRDefault="00743C2A" w:rsidP="00587366">
      <w:r>
        <w:continuationSeparator/>
      </w:r>
    </w:p>
  </w:footnote>
  <w:footnote w:id="1">
    <w:p w14:paraId="3E842F09" w14:textId="77777777" w:rsidR="00076DDA" w:rsidRPr="00C7183E" w:rsidRDefault="00076DDA" w:rsidP="00655505">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2">
    <w:p w14:paraId="700D41D6" w14:textId="77777777" w:rsidR="00076DDA" w:rsidRDefault="00076DDA" w:rsidP="00655505">
      <w:pPr>
        <w:pStyle w:val="Textonotapie"/>
      </w:pPr>
      <w:r>
        <w:rPr>
          <w:rStyle w:val="Refdenotaalpie"/>
        </w:rPr>
        <w:footnoteRef/>
      </w:r>
      <w:r>
        <w:t xml:space="preserve"> Consultable </w:t>
      </w:r>
      <w:r w:rsidRPr="00EC7027">
        <w:rPr>
          <w:lang w:val="es-ES_tradnl"/>
        </w:rPr>
        <w:t>en el Seminario Judicial de la Federación y su gaceta, con el registro digital 2002351.</w:t>
      </w:r>
    </w:p>
  </w:footnote>
  <w:footnote w:id="3">
    <w:p w14:paraId="47A39937" w14:textId="77777777" w:rsidR="00076DDA" w:rsidRDefault="00076DDA" w:rsidP="00655505">
      <w:pPr>
        <w:pStyle w:val="Textonotapie"/>
      </w:pPr>
      <w:r>
        <w:rPr>
          <w:rStyle w:val="Refdenotaalpie"/>
        </w:rPr>
        <w:footnoteRef/>
      </w:r>
      <w:r>
        <w:t xml:space="preserve"> Consultable </w:t>
      </w:r>
      <w:r w:rsidRPr="00EC7027">
        <w:rPr>
          <w:lang w:val="es-ES_tradnl"/>
        </w:rPr>
        <w:t>en el Seminario Judicial de la Federación y su gaceta, con el registro digital 2002350.</w:t>
      </w:r>
    </w:p>
  </w:footnote>
  <w:footnote w:id="4">
    <w:p w14:paraId="7CFF1D76" w14:textId="77777777" w:rsidR="00076DDA" w:rsidRPr="009C43C2" w:rsidRDefault="00076DD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5">
    <w:p w14:paraId="621A220A" w14:textId="77777777" w:rsidR="00076DDA" w:rsidRPr="009C43C2" w:rsidRDefault="00076DD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6">
    <w:p w14:paraId="1F98C24F" w14:textId="77777777" w:rsidR="00076DDA" w:rsidRPr="009C43C2" w:rsidRDefault="00076DDA"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42632106" w14:textId="77777777" w:rsidR="00076DDA" w:rsidRDefault="00076DDA"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8">
    <w:p w14:paraId="28994546" w14:textId="77777777" w:rsidR="00076DDA" w:rsidRDefault="00076DDA" w:rsidP="000435A5">
      <w:pPr>
        <w:pStyle w:val="Textonotapie"/>
      </w:pPr>
      <w:r>
        <w:rPr>
          <w:rStyle w:val="Refdenotaalpie"/>
        </w:rPr>
        <w:footnoteRef/>
      </w:r>
      <w:r>
        <w:t xml:space="preserve"> Artículo 50, Ley de Transparencia y Acceso a la Información Pública del Estado de México y Municipios.</w:t>
      </w:r>
    </w:p>
  </w:footnote>
  <w:footnote w:id="9">
    <w:p w14:paraId="1B035E02" w14:textId="77777777" w:rsidR="00076DDA" w:rsidRDefault="00076DDA" w:rsidP="000435A5">
      <w:pPr>
        <w:pStyle w:val="Textonotapie"/>
      </w:pPr>
      <w:r>
        <w:rPr>
          <w:rStyle w:val="Refdenotaalpie"/>
        </w:rPr>
        <w:footnoteRef/>
      </w:r>
      <w:r>
        <w:t xml:space="preserve"> Artículo 51, Ídem.</w:t>
      </w:r>
    </w:p>
  </w:footnote>
  <w:footnote w:id="10">
    <w:p w14:paraId="00E1D60E" w14:textId="77777777" w:rsidR="00076DDA" w:rsidRDefault="00076DDA" w:rsidP="000435A5">
      <w:pPr>
        <w:pStyle w:val="Textonotapie"/>
      </w:pPr>
      <w:r>
        <w:rPr>
          <w:rStyle w:val="Refdenotaalpie"/>
        </w:rPr>
        <w:footnoteRef/>
      </w:r>
      <w:r>
        <w:t xml:space="preserve"> Artículo 58, Ley de Transparencia y Acceso a la Información Pública del Estado de México y Municipios.</w:t>
      </w:r>
    </w:p>
  </w:footnote>
  <w:footnote w:id="11">
    <w:p w14:paraId="72DD9799" w14:textId="77777777" w:rsidR="00076DDA" w:rsidRDefault="00076DDA" w:rsidP="000435A5">
      <w:pPr>
        <w:pStyle w:val="Textonotapie"/>
      </w:pPr>
      <w:r>
        <w:rPr>
          <w:rStyle w:val="Refdenotaalpie"/>
        </w:rPr>
        <w:footnoteRef/>
      </w:r>
      <w:r>
        <w:t xml:space="preserve"> Artículo 59, Ídem.</w:t>
      </w:r>
    </w:p>
  </w:footnote>
  <w:footnote w:id="12">
    <w:p w14:paraId="407EB0F8" w14:textId="77777777" w:rsidR="00076DDA" w:rsidRDefault="00076DDA" w:rsidP="00607455">
      <w:pPr>
        <w:pStyle w:val="Textonotapie"/>
        <w:rPr>
          <w:rFonts w:ascii="Palatino Linotype" w:hAnsi="Palatino Linotype"/>
          <w:i/>
        </w:rPr>
      </w:pPr>
      <w:r>
        <w:rPr>
          <w:rStyle w:val="Refdenotaalpie"/>
        </w:rPr>
        <w:footnoteRef/>
      </w:r>
      <w:r>
        <w:t xml:space="preserve"> </w:t>
      </w:r>
      <w:r>
        <w:rPr>
          <w:rFonts w:ascii="Palatino Linotype" w:hAnsi="Palatino Linotype"/>
          <w:b/>
          <w:i/>
        </w:rPr>
        <w:t>Ley de Protección de Datos Personales en Posesión de Sujetos Obligados del Estado de México y Municipios</w:t>
      </w:r>
      <w:r>
        <w:rPr>
          <w:rFonts w:ascii="Palatino Linotype" w:hAnsi="Palatino Linotype"/>
          <w:i/>
        </w:rPr>
        <w:t>.</w:t>
      </w:r>
    </w:p>
    <w:p w14:paraId="5757E146" w14:textId="77777777" w:rsidR="00076DDA" w:rsidRDefault="00076DDA" w:rsidP="00607455">
      <w:pPr>
        <w:pStyle w:val="Textonotapie"/>
        <w:rPr>
          <w:rFonts w:ascii="Palatino Linotype" w:hAnsi="Palatino Linotype"/>
          <w:i/>
        </w:rPr>
      </w:pPr>
      <w:r>
        <w:rPr>
          <w:rFonts w:ascii="Palatino Linotype" w:hAnsi="Palatino Linotype"/>
          <w:i/>
        </w:rPr>
        <w:t>“</w:t>
      </w:r>
      <w:r>
        <w:rPr>
          <w:rFonts w:ascii="Palatino Linotype" w:hAnsi="Palatino Linotype"/>
          <w:b/>
          <w:i/>
        </w:rPr>
        <w:t>Artículo 4.</w:t>
      </w:r>
      <w:r>
        <w:rPr>
          <w:rFonts w:ascii="Palatino Linotype" w:hAnsi="Palatino Linotype"/>
          <w:i/>
        </w:rPr>
        <w:t xml:space="preserve"> Para los efectos de esta Ley se entenderá por:</w:t>
      </w:r>
    </w:p>
    <w:p w14:paraId="616A29B2" w14:textId="77777777" w:rsidR="00076DDA" w:rsidRDefault="00076DDA" w:rsidP="00607455">
      <w:pPr>
        <w:pStyle w:val="Textonotapie"/>
        <w:rPr>
          <w:rFonts w:ascii="Palatino Linotype" w:hAnsi="Palatino Linotype"/>
          <w:i/>
        </w:rPr>
      </w:pPr>
      <w:r>
        <w:rPr>
          <w:rFonts w:ascii="Palatino Linotype" w:hAnsi="Palatino Linotype"/>
          <w:i/>
        </w:rPr>
        <w:t>…</w:t>
      </w:r>
    </w:p>
    <w:p w14:paraId="40CE87C0" w14:textId="77777777" w:rsidR="00076DDA" w:rsidRDefault="00076DDA" w:rsidP="00607455">
      <w:pPr>
        <w:pStyle w:val="Textonotapie"/>
        <w:rPr>
          <w:rFonts w:ascii="Palatino Linotype" w:hAnsi="Palatino Linotype"/>
          <w:i/>
        </w:rPr>
      </w:pPr>
      <w:r>
        <w:rPr>
          <w:rFonts w:ascii="Palatino Linotype" w:hAnsi="Palatino Linotype"/>
          <w:b/>
          <w:i/>
        </w:rPr>
        <w:t>XLI</w:t>
      </w:r>
      <w:r>
        <w:rPr>
          <w:rFonts w:ascii="Palatino Linotype" w:hAnsi="Palatino Linotype"/>
          <w:i/>
        </w:rPr>
        <w:t xml:space="preserve">. </w:t>
      </w:r>
      <w:r>
        <w:rPr>
          <w:rFonts w:ascii="Palatino Linotype" w:hAnsi="Palatino Linotype"/>
          <w:b/>
          <w:i/>
        </w:rPr>
        <w:t>Responsable</w:t>
      </w:r>
      <w:r>
        <w:rPr>
          <w:rFonts w:ascii="Palatino Linotype" w:hAnsi="Palatino Linotype"/>
          <w:i/>
        </w:rPr>
        <w:t>: a los sujetos obligados a que se refiere la presente Ley que deciden sobre el tratamiento de los datos personales.</w:t>
      </w:r>
    </w:p>
    <w:p w14:paraId="4E3AB4C7" w14:textId="77777777" w:rsidR="00076DDA" w:rsidRDefault="00076DDA" w:rsidP="00607455">
      <w:pPr>
        <w:pStyle w:val="Textonotapie"/>
        <w:rPr>
          <w:rFonts w:ascii="Palatino Linotype" w:hAnsi="Palatino Linotype"/>
          <w:i/>
        </w:rPr>
      </w:pPr>
      <w:r>
        <w:rPr>
          <w:rFonts w:ascii="Palatino Linotype" w:hAnsi="Palatino Linotype"/>
          <w:i/>
        </w:rPr>
        <w:t>…”</w:t>
      </w:r>
    </w:p>
  </w:footnote>
  <w:footnote w:id="13">
    <w:p w14:paraId="3F069934" w14:textId="583EC421" w:rsidR="00076DDA" w:rsidRDefault="00076DDA">
      <w:pPr>
        <w:pStyle w:val="Textonotapie"/>
      </w:pPr>
      <w:r>
        <w:rPr>
          <w:rStyle w:val="Refdenotaalpie"/>
        </w:rPr>
        <w:footnoteRef/>
      </w:r>
      <w:r>
        <w:t xml:space="preserve"> </w:t>
      </w:r>
      <w:r w:rsidRPr="00607455">
        <w:t>https://www.temoaya.gob.mx/trasparencia</w:t>
      </w:r>
    </w:p>
  </w:footnote>
  <w:footnote w:id="14">
    <w:p w14:paraId="4C759FD9" w14:textId="77777777" w:rsidR="00076DDA" w:rsidRPr="009C43C2" w:rsidRDefault="00076DDA" w:rsidP="00076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15">
    <w:p w14:paraId="578217B4" w14:textId="77777777" w:rsidR="00076DDA" w:rsidRPr="009C43C2" w:rsidRDefault="00076DDA" w:rsidP="00076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16">
    <w:p w14:paraId="34D4465C" w14:textId="77777777" w:rsidR="00076DDA" w:rsidRPr="009C43C2" w:rsidRDefault="00076DDA" w:rsidP="00076DD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17">
    <w:p w14:paraId="4E9BF576" w14:textId="77777777" w:rsidR="00076DDA" w:rsidRDefault="00076DDA" w:rsidP="00076DD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18">
    <w:p w14:paraId="11B1C9E7" w14:textId="77777777" w:rsidR="00325660" w:rsidRDefault="00325660" w:rsidP="00325660">
      <w:pPr>
        <w:pStyle w:val="Textonotapie"/>
      </w:pPr>
      <w:r>
        <w:rPr>
          <w:rStyle w:val="Refdenotaalpie"/>
        </w:rPr>
        <w:footnoteRef/>
      </w:r>
      <w:r>
        <w:t xml:space="preserve"> En el siguiente link se puede consultar la Infografía de referencia, </w:t>
      </w:r>
      <w:hyperlink r:id="rId1" w:history="1">
        <w:r>
          <w:rPr>
            <w:rStyle w:val="Hipervnculo"/>
          </w:rPr>
          <w:t>https://www.gob.mx/cms/uploads/attachment/file/121653/Infografia_INDI_FINAL_08082016.pdf</w:t>
        </w:r>
      </w:hyperlink>
    </w:p>
  </w:footnote>
  <w:footnote w:id="19">
    <w:p w14:paraId="1C88FAFF" w14:textId="77777777" w:rsidR="0047300F" w:rsidRDefault="0047300F" w:rsidP="0047300F">
      <w:pPr>
        <w:pStyle w:val="Textonotapie"/>
      </w:pPr>
      <w:r>
        <w:rPr>
          <w:rStyle w:val="Refdenotaalpie"/>
        </w:rPr>
        <w:footnoteRef/>
      </w:r>
      <w:r>
        <w:t xml:space="preserve"> </w:t>
      </w:r>
      <w:r w:rsidRPr="003F3FDE">
        <w:t>El presente instrumento internacional fue adoptado en la Conferencia General de la Organización Internacional del Trabajo, en la ciudad de Ginebra, Suiza, el 27 de junio de 1989; para tales efectos es reconocido como Convenio Internacional Núm. 169, mismo que fue aprobado por el Senado de la República el 11 de julio de 1990, lo cual consta en el Diario Oficial de la Federación del 3 de agosto de 1990. Dicho instrumento entró en vigor, tanto en el ámbito internacional como para el Estado mexicano, el 5 de septiembre de 1991, previa su ratificación el 5 de septiembre de 1990 y su promulgación en el Diario Oficial de la Federación el 24 de enero de 1991.</w:t>
      </w:r>
    </w:p>
  </w:footnote>
  <w:footnote w:id="20">
    <w:p w14:paraId="4E11D30A" w14:textId="77777777" w:rsidR="0047300F" w:rsidRDefault="0047300F" w:rsidP="0047300F">
      <w:pPr>
        <w:pStyle w:val="Textonotapie"/>
      </w:pPr>
      <w:r>
        <w:rPr>
          <w:rStyle w:val="Refdenotaalpie"/>
        </w:rPr>
        <w:footnoteRef/>
      </w:r>
      <w:r>
        <w:t xml:space="preserve"> En el siguiente link se puede consultar la Ley General de Derechos Lingüísticos de los Pueblos Indígenas </w:t>
      </w:r>
      <w:hyperlink r:id="rId2" w:history="1">
        <w:r>
          <w:rPr>
            <w:rStyle w:val="Hipervnculo"/>
          </w:rPr>
          <w:t>http://www.diputados.gob.mx/LeyesBiblio/pdf/257_200618.pdf</w:t>
        </w:r>
      </w:hyperlink>
      <w:r>
        <w:t>.</w:t>
      </w:r>
    </w:p>
  </w:footnote>
  <w:footnote w:id="21">
    <w:p w14:paraId="1CDA0EA3" w14:textId="77777777" w:rsidR="0047300F" w:rsidRDefault="0047300F" w:rsidP="0047300F">
      <w:pPr>
        <w:pStyle w:val="Textonotapie"/>
      </w:pPr>
      <w:r>
        <w:rPr>
          <w:rStyle w:val="Refdenotaalpie"/>
        </w:rPr>
        <w:footnoteRef/>
      </w:r>
      <w:r>
        <w:t xml:space="preserve"> En el siguiente link puede ser consultado el Acuerdo por el cual se aprueban los Lineamientos referidos </w:t>
      </w:r>
      <w:hyperlink r:id="rId3" w:history="1">
        <w:r>
          <w:rPr>
            <w:rStyle w:val="Hipervnculo"/>
          </w:rPr>
          <w:t>http://www.dof.gob.mx/nota_detalle.php?codigo=5425535&amp;fecha=12/02/2016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076DDA" w:rsidRPr="00025127" w14:paraId="61F907E2" w14:textId="77777777" w:rsidTr="00DB795F">
      <w:trPr>
        <w:trHeight w:val="138"/>
        <w:jc w:val="right"/>
      </w:trPr>
      <w:tc>
        <w:tcPr>
          <w:tcW w:w="3686" w:type="dxa"/>
          <w:vAlign w:val="center"/>
        </w:tcPr>
        <w:p w14:paraId="541E7979" w14:textId="77777777" w:rsidR="00076DDA" w:rsidRPr="00025127" w:rsidRDefault="00076DDA" w:rsidP="005F1362">
          <w:pPr>
            <w:ind w:right="34"/>
            <w:jc w:val="right"/>
            <w:rPr>
              <w:rFonts w:ascii="Palatino Linotype" w:hAnsi="Palatino Linotype"/>
              <w:b/>
              <w:sz w:val="22"/>
              <w:szCs w:val="22"/>
            </w:rPr>
          </w:pPr>
        </w:p>
      </w:tc>
      <w:tc>
        <w:tcPr>
          <w:tcW w:w="3553" w:type="dxa"/>
          <w:vAlign w:val="center"/>
        </w:tcPr>
        <w:p w14:paraId="3026F7B1" w14:textId="77777777" w:rsidR="00076DDA" w:rsidRDefault="00076DDA" w:rsidP="00F25B61">
          <w:pPr>
            <w:pStyle w:val="Encabezado"/>
            <w:jc w:val="both"/>
            <w:rPr>
              <w:rFonts w:ascii="Palatino Linotype" w:hAnsi="Palatino Linotype"/>
              <w:b/>
              <w:sz w:val="22"/>
              <w:szCs w:val="22"/>
            </w:rPr>
          </w:pPr>
        </w:p>
      </w:tc>
    </w:tr>
    <w:tr w:rsidR="00076DDA" w:rsidRPr="00025127" w14:paraId="07F2896E" w14:textId="77777777" w:rsidTr="00DB795F">
      <w:trPr>
        <w:trHeight w:val="138"/>
        <w:jc w:val="right"/>
      </w:trPr>
      <w:tc>
        <w:tcPr>
          <w:tcW w:w="3686" w:type="dxa"/>
          <w:vAlign w:val="center"/>
        </w:tcPr>
        <w:p w14:paraId="4A5B1974" w14:textId="172F35BB" w:rsidR="00076DDA" w:rsidRPr="00025127" w:rsidRDefault="00076DDA"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2B10EA81" w:rsidR="00076DDA" w:rsidRPr="00025127" w:rsidRDefault="00076DDA" w:rsidP="00F25B61">
          <w:pPr>
            <w:pStyle w:val="Encabezado"/>
            <w:jc w:val="both"/>
            <w:rPr>
              <w:rFonts w:ascii="Palatino Linotype" w:hAnsi="Palatino Linotype"/>
              <w:b/>
              <w:sz w:val="22"/>
              <w:szCs w:val="22"/>
            </w:rPr>
          </w:pPr>
          <w:r>
            <w:rPr>
              <w:rFonts w:ascii="Palatino Linotype" w:hAnsi="Palatino Linotype"/>
              <w:b/>
              <w:sz w:val="22"/>
              <w:szCs w:val="22"/>
            </w:rPr>
            <w:t>06268</w:t>
          </w:r>
          <w:r w:rsidRPr="00025127">
            <w:rPr>
              <w:rFonts w:ascii="Palatino Linotype" w:hAnsi="Palatino Linotype"/>
              <w:b/>
              <w:sz w:val="22"/>
              <w:szCs w:val="22"/>
            </w:rPr>
            <w:t>/INFOEM/IP/RR/</w:t>
          </w:r>
          <w:r>
            <w:rPr>
              <w:rFonts w:ascii="Palatino Linotype" w:hAnsi="Palatino Linotype"/>
              <w:b/>
              <w:sz w:val="22"/>
              <w:szCs w:val="22"/>
            </w:rPr>
            <w:t>2022</w:t>
          </w:r>
        </w:p>
      </w:tc>
    </w:tr>
    <w:tr w:rsidR="00076DDA" w:rsidRPr="00025127" w14:paraId="1B5D8690" w14:textId="77777777" w:rsidTr="00DB795F">
      <w:trPr>
        <w:trHeight w:val="233"/>
        <w:jc w:val="right"/>
      </w:trPr>
      <w:tc>
        <w:tcPr>
          <w:tcW w:w="3686" w:type="dxa"/>
          <w:vAlign w:val="center"/>
        </w:tcPr>
        <w:p w14:paraId="3903F2C6" w14:textId="22D569F8" w:rsidR="00076DDA" w:rsidRPr="00025127" w:rsidRDefault="00076DDA" w:rsidP="00E7018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13A13AE7" w:rsidR="00076DDA" w:rsidRPr="00025127" w:rsidRDefault="00076DDA" w:rsidP="00E70180">
          <w:pPr>
            <w:pStyle w:val="Encabezado"/>
            <w:rPr>
              <w:rFonts w:ascii="Palatino Linotype" w:hAnsi="Palatino Linotype"/>
              <w:b/>
              <w:sz w:val="22"/>
              <w:szCs w:val="22"/>
            </w:rPr>
          </w:pPr>
          <w:r>
            <w:rPr>
              <w:rFonts w:ascii="Palatino Linotype" w:hAnsi="Palatino Linotype"/>
              <w:b/>
              <w:bCs/>
              <w:color w:val="000000"/>
              <w:sz w:val="22"/>
              <w:szCs w:val="22"/>
            </w:rPr>
            <w:t>Ayuntamiento de Temoaya</w:t>
          </w:r>
        </w:p>
      </w:tc>
    </w:tr>
    <w:tr w:rsidR="00076DDA" w:rsidRPr="00025127" w14:paraId="095EB01B" w14:textId="77777777" w:rsidTr="00DB795F">
      <w:trPr>
        <w:trHeight w:val="321"/>
        <w:jc w:val="right"/>
      </w:trPr>
      <w:tc>
        <w:tcPr>
          <w:tcW w:w="3686" w:type="dxa"/>
          <w:vAlign w:val="center"/>
        </w:tcPr>
        <w:p w14:paraId="6E000A51" w14:textId="05E1861A" w:rsidR="00076DDA" w:rsidRPr="00025127" w:rsidRDefault="00076DDA"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076DDA" w:rsidRPr="00025127" w:rsidRDefault="00076DDA"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6048ECC" w:rsidR="00076DDA" w:rsidRDefault="00076DDA"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49"/>
    </w:tblGrid>
    <w:tr w:rsidR="00076DDA" w:rsidRPr="00025127" w14:paraId="0A3256F2" w14:textId="77777777" w:rsidTr="00DB795F">
      <w:trPr>
        <w:trHeight w:val="138"/>
        <w:jc w:val="right"/>
      </w:trPr>
      <w:tc>
        <w:tcPr>
          <w:tcW w:w="3686" w:type="dxa"/>
          <w:vAlign w:val="center"/>
        </w:tcPr>
        <w:p w14:paraId="3D80769D" w14:textId="44A35B8D" w:rsidR="00076DDA" w:rsidRPr="00025127" w:rsidRDefault="00076DDA"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549" w:type="dxa"/>
          <w:vAlign w:val="center"/>
        </w:tcPr>
        <w:p w14:paraId="0453495E" w14:textId="1C89B2BA" w:rsidR="00076DDA" w:rsidRPr="00025127" w:rsidRDefault="00076DDA" w:rsidP="00F25B61">
          <w:pPr>
            <w:pStyle w:val="Encabezado"/>
            <w:rPr>
              <w:rFonts w:ascii="Palatino Linotype" w:hAnsi="Palatino Linotype"/>
              <w:b/>
              <w:sz w:val="22"/>
              <w:szCs w:val="22"/>
            </w:rPr>
          </w:pPr>
          <w:r>
            <w:rPr>
              <w:rFonts w:ascii="Palatino Linotype" w:hAnsi="Palatino Linotype"/>
              <w:b/>
              <w:sz w:val="22"/>
              <w:szCs w:val="22"/>
            </w:rPr>
            <w:t>06268</w:t>
          </w:r>
          <w:r w:rsidRPr="00025127">
            <w:rPr>
              <w:rFonts w:ascii="Palatino Linotype" w:hAnsi="Palatino Linotype"/>
              <w:b/>
              <w:sz w:val="22"/>
              <w:szCs w:val="22"/>
            </w:rPr>
            <w:t>/INFOEM/IP/RR/</w:t>
          </w:r>
          <w:r>
            <w:rPr>
              <w:rFonts w:ascii="Palatino Linotype" w:hAnsi="Palatino Linotype"/>
              <w:b/>
              <w:sz w:val="22"/>
              <w:szCs w:val="22"/>
            </w:rPr>
            <w:t xml:space="preserve">2022 </w:t>
          </w:r>
        </w:p>
      </w:tc>
    </w:tr>
    <w:tr w:rsidR="00076DDA" w:rsidRPr="00025127" w14:paraId="128C8B3C" w14:textId="77777777" w:rsidTr="00DB795F">
      <w:trPr>
        <w:trHeight w:val="233"/>
        <w:jc w:val="right"/>
      </w:trPr>
      <w:tc>
        <w:tcPr>
          <w:tcW w:w="3686" w:type="dxa"/>
          <w:vAlign w:val="center"/>
        </w:tcPr>
        <w:p w14:paraId="483E3371" w14:textId="66B1BC74" w:rsidR="00076DDA" w:rsidRPr="00025127" w:rsidRDefault="00076DDA"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549" w:type="dxa"/>
        </w:tcPr>
        <w:p w14:paraId="1548525E" w14:textId="238BF180" w:rsidR="00076DDA" w:rsidRPr="00025127" w:rsidRDefault="00B843B7" w:rsidP="0058757A">
          <w:pPr>
            <w:pStyle w:val="Encabezado"/>
            <w:rPr>
              <w:rFonts w:ascii="Palatino Linotype" w:hAnsi="Palatino Linotype"/>
              <w:b/>
              <w:sz w:val="22"/>
              <w:szCs w:val="22"/>
            </w:rPr>
          </w:pPr>
          <w:r>
            <w:rPr>
              <w:rFonts w:ascii="Palatino Linotype" w:hAnsi="Palatino Linotype"/>
              <w:b/>
              <w:sz w:val="22"/>
              <w:szCs w:val="22"/>
            </w:rPr>
            <w:t>XXX XXX XXXX</w:t>
          </w:r>
        </w:p>
      </w:tc>
    </w:tr>
    <w:tr w:rsidR="00076DDA" w:rsidRPr="00025127" w14:paraId="41BE0704" w14:textId="77777777" w:rsidTr="00DB795F">
      <w:trPr>
        <w:trHeight w:val="321"/>
        <w:jc w:val="right"/>
      </w:trPr>
      <w:tc>
        <w:tcPr>
          <w:tcW w:w="3686" w:type="dxa"/>
          <w:vAlign w:val="center"/>
        </w:tcPr>
        <w:p w14:paraId="34C64148" w14:textId="10C6C8A9" w:rsidR="00076DDA" w:rsidRPr="00025127" w:rsidRDefault="00076DDA"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549" w:type="dxa"/>
          <w:vAlign w:val="center"/>
        </w:tcPr>
        <w:p w14:paraId="34C341BF" w14:textId="2748E5F2" w:rsidR="00076DDA" w:rsidRPr="00025127" w:rsidRDefault="00076DDA" w:rsidP="00E70180">
          <w:pPr>
            <w:pStyle w:val="Encabezado"/>
            <w:rPr>
              <w:rFonts w:ascii="Palatino Linotype" w:hAnsi="Palatino Linotype"/>
              <w:b/>
              <w:sz w:val="22"/>
              <w:szCs w:val="22"/>
            </w:rPr>
          </w:pPr>
          <w:r>
            <w:rPr>
              <w:rFonts w:ascii="Palatino Linotype" w:hAnsi="Palatino Linotype"/>
              <w:b/>
              <w:bCs/>
              <w:color w:val="000000"/>
              <w:sz w:val="22"/>
              <w:szCs w:val="22"/>
            </w:rPr>
            <w:t>Ayuntamiento de Temoaya</w:t>
          </w:r>
        </w:p>
      </w:tc>
    </w:tr>
    <w:tr w:rsidR="00076DDA" w:rsidRPr="00025127" w14:paraId="38967913" w14:textId="77777777" w:rsidTr="00DB795F">
      <w:trPr>
        <w:trHeight w:val="321"/>
        <w:jc w:val="right"/>
      </w:trPr>
      <w:tc>
        <w:tcPr>
          <w:tcW w:w="3686" w:type="dxa"/>
          <w:vAlign w:val="center"/>
        </w:tcPr>
        <w:p w14:paraId="72425CC9" w14:textId="0CCF2339" w:rsidR="00076DDA" w:rsidRPr="00025127" w:rsidRDefault="00076DDA" w:rsidP="005F1362">
          <w:pPr>
            <w:jc w:val="right"/>
            <w:rPr>
              <w:rFonts w:ascii="Palatino Linotype" w:hAnsi="Palatino Linotype"/>
              <w:b/>
              <w:sz w:val="22"/>
              <w:szCs w:val="22"/>
            </w:rPr>
          </w:pPr>
          <w:r>
            <w:rPr>
              <w:rFonts w:ascii="Palatino Linotype" w:hAnsi="Palatino Linotype"/>
              <w:b/>
              <w:sz w:val="22"/>
              <w:szCs w:val="22"/>
            </w:rPr>
            <w:t>COMISIONADA PONENTE:</w:t>
          </w:r>
        </w:p>
      </w:tc>
      <w:tc>
        <w:tcPr>
          <w:tcW w:w="3549" w:type="dxa"/>
          <w:vAlign w:val="center"/>
        </w:tcPr>
        <w:p w14:paraId="76EE8CA4" w14:textId="61256E3F" w:rsidR="00076DDA" w:rsidRDefault="00076DDA" w:rsidP="00E70180">
          <w:pPr>
            <w:pStyle w:val="Encabezado"/>
            <w:rPr>
              <w:rFonts w:ascii="Palatino Linotype" w:hAnsi="Palatino Linotype"/>
              <w:b/>
              <w:bCs/>
              <w:color w:val="000000"/>
              <w:sz w:val="22"/>
              <w:szCs w:val="22"/>
            </w:rPr>
          </w:pPr>
          <w:r>
            <w:rPr>
              <w:rFonts w:ascii="Palatino Linotype" w:hAnsi="Palatino Linotype"/>
              <w:b/>
              <w:bCs/>
              <w:color w:val="000000"/>
              <w:sz w:val="22"/>
              <w:szCs w:val="22"/>
            </w:rPr>
            <w:t>María del Rosario Mejía Ayala</w:t>
          </w:r>
        </w:p>
      </w:tc>
    </w:tr>
  </w:tbl>
  <w:p w14:paraId="156B5574" w14:textId="71BC392E" w:rsidR="00076DDA" w:rsidRDefault="00743C2A"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1.8pt;margin-top:-125.1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E7551C"/>
    <w:multiLevelType w:val="hybridMultilevel"/>
    <w:tmpl w:val="CD6AD4D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A20EA3"/>
    <w:multiLevelType w:val="hybridMultilevel"/>
    <w:tmpl w:val="49BC3DE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3B91195"/>
    <w:multiLevelType w:val="hybridMultilevel"/>
    <w:tmpl w:val="8A2E6F3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1117D6"/>
    <w:multiLevelType w:val="hybridMultilevel"/>
    <w:tmpl w:val="46CED12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CE244C"/>
    <w:multiLevelType w:val="hybridMultilevel"/>
    <w:tmpl w:val="771E1B5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7652F09"/>
    <w:multiLevelType w:val="hybridMultilevel"/>
    <w:tmpl w:val="73BEDC6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41156B"/>
    <w:multiLevelType w:val="hybridMultilevel"/>
    <w:tmpl w:val="1040D9A6"/>
    <w:lvl w:ilvl="0" w:tplc="FFFFFFFF">
      <w:start w:val="1"/>
      <w:numFmt w:val="decimal"/>
      <w:lvlText w:val="%1."/>
      <w:lvlJc w:val="left"/>
      <w:pPr>
        <w:ind w:left="0" w:firstLine="0"/>
      </w:pPr>
      <w:rPr>
        <w:rFonts w:ascii="Palatino Linotype" w:hAnsi="Palatino Linotype" w:hint="default"/>
        <w:b/>
        <w:i w:val="0"/>
        <w:sz w:val="24"/>
      </w:rPr>
    </w:lvl>
    <w:lvl w:ilvl="1" w:tplc="5248F5BA">
      <w:start w:val="1"/>
      <w:numFmt w:val="upperRoman"/>
      <w:lvlText w:val="%2."/>
      <w:lvlJc w:val="right"/>
      <w:pPr>
        <w:ind w:left="720" w:hanging="360"/>
      </w:pPr>
      <w:rPr>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FCF01DE"/>
    <w:multiLevelType w:val="hybridMultilevel"/>
    <w:tmpl w:val="D9A077F0"/>
    <w:lvl w:ilvl="0" w:tplc="FFFFFFFF">
      <w:start w:val="1"/>
      <w:numFmt w:val="upperRoman"/>
      <w:lvlText w:val="%1."/>
      <w:lvlJc w:val="right"/>
      <w:pPr>
        <w:ind w:left="1287" w:hanging="360"/>
      </w:pPr>
      <w:rPr>
        <w:b/>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
    <w:nsid w:val="22320A89"/>
    <w:multiLevelType w:val="hybridMultilevel"/>
    <w:tmpl w:val="02E45D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C9FA37C8">
      <w:start w:val="5"/>
      <w:numFmt w:val="bullet"/>
      <w:lvlText w:val="-"/>
      <w:lvlJc w:val="left"/>
      <w:pPr>
        <w:ind w:left="2880" w:hanging="360"/>
      </w:pPr>
      <w:rPr>
        <w:rFonts w:ascii="Palatino Linotype" w:eastAsiaTheme="minorEastAsia" w:hAnsi="Palatino Linotype" w:cstheme="minorBidi"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786E54"/>
    <w:multiLevelType w:val="hybridMultilevel"/>
    <w:tmpl w:val="D7E04CA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25281CAF"/>
    <w:multiLevelType w:val="hybridMultilevel"/>
    <w:tmpl w:val="D6B22240"/>
    <w:lvl w:ilvl="0" w:tplc="FFFFFFFF">
      <w:start w:val="1"/>
      <w:numFmt w:val="decimal"/>
      <w:lvlText w:val="%1."/>
      <w:lvlJc w:val="left"/>
      <w:pPr>
        <w:ind w:left="0" w:firstLine="0"/>
      </w:pPr>
      <w:rPr>
        <w:rFonts w:ascii="Palatino Linotype" w:hAnsi="Palatino Linotype" w:hint="default"/>
        <w:b/>
        <w:i w:val="0"/>
        <w:sz w:val="24"/>
      </w:rPr>
    </w:lvl>
    <w:lvl w:ilvl="1" w:tplc="72D006AC">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2CA14B6F"/>
    <w:multiLevelType w:val="hybridMultilevel"/>
    <w:tmpl w:val="A5A07DD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F3AA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CB0271D"/>
    <w:multiLevelType w:val="hybridMultilevel"/>
    <w:tmpl w:val="99B2C5F2"/>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E15101D"/>
    <w:multiLevelType w:val="hybridMultilevel"/>
    <w:tmpl w:val="C682077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AD06681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54306DE"/>
    <w:multiLevelType w:val="hybridMultilevel"/>
    <w:tmpl w:val="38DEF16C"/>
    <w:lvl w:ilvl="0" w:tplc="080A0001">
      <w:start w:val="1"/>
      <w:numFmt w:val="bullet"/>
      <w:lvlText w:val=""/>
      <w:lvlJc w:val="left"/>
      <w:pPr>
        <w:ind w:left="1335" w:hanging="360"/>
      </w:pPr>
      <w:rPr>
        <w:rFonts w:ascii="Symbol" w:hAnsi="Symbol" w:hint="default"/>
      </w:rPr>
    </w:lvl>
    <w:lvl w:ilvl="1" w:tplc="080A0003" w:tentative="1">
      <w:start w:val="1"/>
      <w:numFmt w:val="bullet"/>
      <w:lvlText w:val="o"/>
      <w:lvlJc w:val="left"/>
      <w:pPr>
        <w:ind w:left="2055" w:hanging="360"/>
      </w:pPr>
      <w:rPr>
        <w:rFonts w:ascii="Courier New" w:hAnsi="Courier New" w:cs="Courier New" w:hint="default"/>
      </w:rPr>
    </w:lvl>
    <w:lvl w:ilvl="2" w:tplc="080A0005" w:tentative="1">
      <w:start w:val="1"/>
      <w:numFmt w:val="bullet"/>
      <w:lvlText w:val=""/>
      <w:lvlJc w:val="left"/>
      <w:pPr>
        <w:ind w:left="2775" w:hanging="360"/>
      </w:pPr>
      <w:rPr>
        <w:rFonts w:ascii="Wingdings" w:hAnsi="Wingdings" w:hint="default"/>
      </w:rPr>
    </w:lvl>
    <w:lvl w:ilvl="3" w:tplc="080A0001" w:tentative="1">
      <w:start w:val="1"/>
      <w:numFmt w:val="bullet"/>
      <w:lvlText w:val=""/>
      <w:lvlJc w:val="left"/>
      <w:pPr>
        <w:ind w:left="3495" w:hanging="360"/>
      </w:pPr>
      <w:rPr>
        <w:rFonts w:ascii="Symbol" w:hAnsi="Symbol" w:hint="default"/>
      </w:rPr>
    </w:lvl>
    <w:lvl w:ilvl="4" w:tplc="080A0003" w:tentative="1">
      <w:start w:val="1"/>
      <w:numFmt w:val="bullet"/>
      <w:lvlText w:val="o"/>
      <w:lvlJc w:val="left"/>
      <w:pPr>
        <w:ind w:left="4215" w:hanging="360"/>
      </w:pPr>
      <w:rPr>
        <w:rFonts w:ascii="Courier New" w:hAnsi="Courier New" w:cs="Courier New" w:hint="default"/>
      </w:rPr>
    </w:lvl>
    <w:lvl w:ilvl="5" w:tplc="080A0005" w:tentative="1">
      <w:start w:val="1"/>
      <w:numFmt w:val="bullet"/>
      <w:lvlText w:val=""/>
      <w:lvlJc w:val="left"/>
      <w:pPr>
        <w:ind w:left="4935" w:hanging="360"/>
      </w:pPr>
      <w:rPr>
        <w:rFonts w:ascii="Wingdings" w:hAnsi="Wingdings" w:hint="default"/>
      </w:rPr>
    </w:lvl>
    <w:lvl w:ilvl="6" w:tplc="080A0001" w:tentative="1">
      <w:start w:val="1"/>
      <w:numFmt w:val="bullet"/>
      <w:lvlText w:val=""/>
      <w:lvlJc w:val="left"/>
      <w:pPr>
        <w:ind w:left="5655" w:hanging="360"/>
      </w:pPr>
      <w:rPr>
        <w:rFonts w:ascii="Symbol" w:hAnsi="Symbol" w:hint="default"/>
      </w:rPr>
    </w:lvl>
    <w:lvl w:ilvl="7" w:tplc="080A0003" w:tentative="1">
      <w:start w:val="1"/>
      <w:numFmt w:val="bullet"/>
      <w:lvlText w:val="o"/>
      <w:lvlJc w:val="left"/>
      <w:pPr>
        <w:ind w:left="6375" w:hanging="360"/>
      </w:pPr>
      <w:rPr>
        <w:rFonts w:ascii="Courier New" w:hAnsi="Courier New" w:cs="Courier New" w:hint="default"/>
      </w:rPr>
    </w:lvl>
    <w:lvl w:ilvl="8" w:tplc="080A0005" w:tentative="1">
      <w:start w:val="1"/>
      <w:numFmt w:val="bullet"/>
      <w:lvlText w:val=""/>
      <w:lvlJc w:val="left"/>
      <w:pPr>
        <w:ind w:left="7095" w:hanging="360"/>
      </w:pPr>
      <w:rPr>
        <w:rFonts w:ascii="Wingdings" w:hAnsi="Wingdings" w:hint="default"/>
      </w:rPr>
    </w:lvl>
  </w:abstractNum>
  <w:abstractNum w:abstractNumId="21">
    <w:nsid w:val="35C3274C"/>
    <w:multiLevelType w:val="hybridMultilevel"/>
    <w:tmpl w:val="A13CFB5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0651F4"/>
    <w:multiLevelType w:val="hybridMultilevel"/>
    <w:tmpl w:val="A7F4CDF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50534C"/>
    <w:multiLevelType w:val="hybridMultilevel"/>
    <w:tmpl w:val="D9A077F0"/>
    <w:lvl w:ilvl="0" w:tplc="BFD6F600">
      <w:start w:val="1"/>
      <w:numFmt w:val="upperRoman"/>
      <w:lvlText w:val="%1."/>
      <w:lvlJc w:val="right"/>
      <w:pPr>
        <w:ind w:left="1287"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nsid w:val="503726B2"/>
    <w:multiLevelType w:val="hybridMultilevel"/>
    <w:tmpl w:val="EBC0EBD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E2CA076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64C5D2A"/>
    <w:multiLevelType w:val="hybridMultilevel"/>
    <w:tmpl w:val="0A386B4A"/>
    <w:lvl w:ilvl="0" w:tplc="505ADDF2">
      <w:start w:val="1"/>
      <w:numFmt w:val="upperRoman"/>
      <w:lvlText w:val="%1."/>
      <w:lvlJc w:val="right"/>
      <w:pPr>
        <w:ind w:left="1287" w:hanging="360"/>
      </w:pPr>
      <w:rPr>
        <w:b/>
      </w:rPr>
    </w:lvl>
    <w:lvl w:ilvl="1" w:tplc="937A55F2">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5C5866BE"/>
    <w:multiLevelType w:val="hybridMultilevel"/>
    <w:tmpl w:val="B3C86EA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916E00"/>
    <w:multiLevelType w:val="hybridMultilevel"/>
    <w:tmpl w:val="A57AA72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964894"/>
    <w:multiLevelType w:val="hybridMultilevel"/>
    <w:tmpl w:val="362E072E"/>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06853C6"/>
    <w:multiLevelType w:val="hybridMultilevel"/>
    <w:tmpl w:val="2BB07CF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182778A"/>
    <w:multiLevelType w:val="hybridMultilevel"/>
    <w:tmpl w:val="76AAB1B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3947CAD"/>
    <w:multiLevelType w:val="hybridMultilevel"/>
    <w:tmpl w:val="BECC0E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B97AD4"/>
    <w:multiLevelType w:val="hybridMultilevel"/>
    <w:tmpl w:val="9A9A8CD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287"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58B6099"/>
    <w:multiLevelType w:val="hybridMultilevel"/>
    <w:tmpl w:val="4AD08F1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B835BBB"/>
    <w:multiLevelType w:val="hybridMultilevel"/>
    <w:tmpl w:val="C06ECB4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C0538D1"/>
    <w:multiLevelType w:val="hybridMultilevel"/>
    <w:tmpl w:val="DA127F3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FB96C0E"/>
    <w:multiLevelType w:val="hybridMultilevel"/>
    <w:tmpl w:val="65C6BF50"/>
    <w:lvl w:ilvl="0" w:tplc="FFFFFFFF">
      <w:start w:val="1"/>
      <w:numFmt w:val="decimal"/>
      <w:lvlText w:val="%1."/>
      <w:lvlJc w:val="left"/>
      <w:pPr>
        <w:ind w:left="0" w:firstLine="0"/>
      </w:pPr>
      <w:rPr>
        <w:rFonts w:ascii="Palatino Linotype" w:hAnsi="Palatino Linotype" w:hint="default"/>
        <w:b/>
        <w:i w:val="0"/>
        <w:sz w:val="24"/>
      </w:rPr>
    </w:lvl>
    <w:lvl w:ilvl="1" w:tplc="E04EA69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72087BD7"/>
    <w:multiLevelType w:val="hybridMultilevel"/>
    <w:tmpl w:val="91C81B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4860EF5"/>
    <w:multiLevelType w:val="hybridMultilevel"/>
    <w:tmpl w:val="E7984B92"/>
    <w:lvl w:ilvl="0" w:tplc="080A0001">
      <w:start w:val="1"/>
      <w:numFmt w:val="bullet"/>
      <w:lvlText w:val=""/>
      <w:lvlJc w:val="left"/>
      <w:pPr>
        <w:ind w:left="1342" w:hanging="360"/>
      </w:pPr>
      <w:rPr>
        <w:rFonts w:ascii="Symbol" w:hAnsi="Symbol" w:hint="default"/>
      </w:rPr>
    </w:lvl>
    <w:lvl w:ilvl="1" w:tplc="080A0003" w:tentative="1">
      <w:start w:val="1"/>
      <w:numFmt w:val="bullet"/>
      <w:lvlText w:val="o"/>
      <w:lvlJc w:val="left"/>
      <w:pPr>
        <w:ind w:left="2062" w:hanging="360"/>
      </w:pPr>
      <w:rPr>
        <w:rFonts w:ascii="Courier New" w:hAnsi="Courier New" w:cs="Courier New" w:hint="default"/>
      </w:rPr>
    </w:lvl>
    <w:lvl w:ilvl="2" w:tplc="080A0005" w:tentative="1">
      <w:start w:val="1"/>
      <w:numFmt w:val="bullet"/>
      <w:lvlText w:val=""/>
      <w:lvlJc w:val="left"/>
      <w:pPr>
        <w:ind w:left="2782" w:hanging="360"/>
      </w:pPr>
      <w:rPr>
        <w:rFonts w:ascii="Wingdings" w:hAnsi="Wingdings" w:hint="default"/>
      </w:rPr>
    </w:lvl>
    <w:lvl w:ilvl="3" w:tplc="080A0001" w:tentative="1">
      <w:start w:val="1"/>
      <w:numFmt w:val="bullet"/>
      <w:lvlText w:val=""/>
      <w:lvlJc w:val="left"/>
      <w:pPr>
        <w:ind w:left="3502" w:hanging="360"/>
      </w:pPr>
      <w:rPr>
        <w:rFonts w:ascii="Symbol" w:hAnsi="Symbol" w:hint="default"/>
      </w:rPr>
    </w:lvl>
    <w:lvl w:ilvl="4" w:tplc="080A0003" w:tentative="1">
      <w:start w:val="1"/>
      <w:numFmt w:val="bullet"/>
      <w:lvlText w:val="o"/>
      <w:lvlJc w:val="left"/>
      <w:pPr>
        <w:ind w:left="4222" w:hanging="360"/>
      </w:pPr>
      <w:rPr>
        <w:rFonts w:ascii="Courier New" w:hAnsi="Courier New" w:cs="Courier New" w:hint="default"/>
      </w:rPr>
    </w:lvl>
    <w:lvl w:ilvl="5" w:tplc="080A0005" w:tentative="1">
      <w:start w:val="1"/>
      <w:numFmt w:val="bullet"/>
      <w:lvlText w:val=""/>
      <w:lvlJc w:val="left"/>
      <w:pPr>
        <w:ind w:left="4942" w:hanging="360"/>
      </w:pPr>
      <w:rPr>
        <w:rFonts w:ascii="Wingdings" w:hAnsi="Wingdings" w:hint="default"/>
      </w:rPr>
    </w:lvl>
    <w:lvl w:ilvl="6" w:tplc="080A0001" w:tentative="1">
      <w:start w:val="1"/>
      <w:numFmt w:val="bullet"/>
      <w:lvlText w:val=""/>
      <w:lvlJc w:val="left"/>
      <w:pPr>
        <w:ind w:left="5662" w:hanging="360"/>
      </w:pPr>
      <w:rPr>
        <w:rFonts w:ascii="Symbol" w:hAnsi="Symbol" w:hint="default"/>
      </w:rPr>
    </w:lvl>
    <w:lvl w:ilvl="7" w:tplc="080A0003" w:tentative="1">
      <w:start w:val="1"/>
      <w:numFmt w:val="bullet"/>
      <w:lvlText w:val="o"/>
      <w:lvlJc w:val="left"/>
      <w:pPr>
        <w:ind w:left="6382" w:hanging="360"/>
      </w:pPr>
      <w:rPr>
        <w:rFonts w:ascii="Courier New" w:hAnsi="Courier New" w:cs="Courier New" w:hint="default"/>
      </w:rPr>
    </w:lvl>
    <w:lvl w:ilvl="8" w:tplc="080A0005" w:tentative="1">
      <w:start w:val="1"/>
      <w:numFmt w:val="bullet"/>
      <w:lvlText w:val=""/>
      <w:lvlJc w:val="left"/>
      <w:pPr>
        <w:ind w:left="7102" w:hanging="360"/>
      </w:pPr>
      <w:rPr>
        <w:rFonts w:ascii="Wingdings" w:hAnsi="Wingdings" w:hint="default"/>
      </w:rPr>
    </w:lvl>
  </w:abstractNum>
  <w:abstractNum w:abstractNumId="44">
    <w:nsid w:val="7A1A1B24"/>
    <w:multiLevelType w:val="hybridMultilevel"/>
    <w:tmpl w:val="BA68DC1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AA72E3B"/>
    <w:multiLevelType w:val="hybridMultilevel"/>
    <w:tmpl w:val="A24811E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EEE49BA"/>
    <w:multiLevelType w:val="hybridMultilevel"/>
    <w:tmpl w:val="75A6E5D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FA65168"/>
    <w:multiLevelType w:val="hybridMultilevel"/>
    <w:tmpl w:val="CF523C8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1506CCEA">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FBE70CE"/>
    <w:multiLevelType w:val="hybridMultilevel"/>
    <w:tmpl w:val="88D6E418"/>
    <w:lvl w:ilvl="0" w:tplc="FFFFFFFF">
      <w:start w:val="1"/>
      <w:numFmt w:val="decimal"/>
      <w:lvlText w:val="%1."/>
      <w:lvlJc w:val="left"/>
      <w:pPr>
        <w:ind w:left="0" w:firstLine="0"/>
      </w:pPr>
      <w:rPr>
        <w:rFonts w:ascii="Palatino Linotype" w:hAnsi="Palatino Linotype" w:hint="default"/>
        <w:b/>
        <w:i w:val="0"/>
        <w:sz w:val="24"/>
      </w:rPr>
    </w:lvl>
    <w:lvl w:ilvl="1" w:tplc="1C6E24AE">
      <w:start w:val="1"/>
      <w:numFmt w:val="upperRoman"/>
      <w:lvlText w:val="%2."/>
      <w:lvlJc w:val="right"/>
      <w:pPr>
        <w:ind w:left="72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9"/>
  </w:num>
  <w:num w:numId="2">
    <w:abstractNumId w:val="22"/>
  </w:num>
  <w:num w:numId="3">
    <w:abstractNumId w:val="0"/>
  </w:num>
  <w:num w:numId="4">
    <w:abstractNumId w:val="24"/>
  </w:num>
  <w:num w:numId="5">
    <w:abstractNumId w:val="30"/>
  </w:num>
  <w:num w:numId="6">
    <w:abstractNumId w:val="10"/>
  </w:num>
  <w:num w:numId="7">
    <w:abstractNumId w:val="18"/>
  </w:num>
  <w:num w:numId="8">
    <w:abstractNumId w:val="36"/>
  </w:num>
  <w:num w:numId="9">
    <w:abstractNumId w:val="47"/>
  </w:num>
  <w:num w:numId="10">
    <w:abstractNumId w:val="16"/>
  </w:num>
  <w:num w:numId="11">
    <w:abstractNumId w:val="2"/>
  </w:num>
  <w:num w:numId="12">
    <w:abstractNumId w:val="45"/>
  </w:num>
  <w:num w:numId="13">
    <w:abstractNumId w:val="25"/>
  </w:num>
  <w:num w:numId="14">
    <w:abstractNumId w:val="33"/>
  </w:num>
  <w:num w:numId="15">
    <w:abstractNumId w:val="29"/>
  </w:num>
  <w:num w:numId="16">
    <w:abstractNumId w:val="32"/>
  </w:num>
  <w:num w:numId="17">
    <w:abstractNumId w:val="6"/>
  </w:num>
  <w:num w:numId="18">
    <w:abstractNumId w:val="17"/>
  </w:num>
  <w:num w:numId="19">
    <w:abstractNumId w:val="15"/>
  </w:num>
  <w:num w:numId="20">
    <w:abstractNumId w:val="14"/>
  </w:num>
  <w:num w:numId="21">
    <w:abstractNumId w:val="48"/>
  </w:num>
  <w:num w:numId="22">
    <w:abstractNumId w:val="44"/>
  </w:num>
  <w:num w:numId="23">
    <w:abstractNumId w:val="34"/>
  </w:num>
  <w:num w:numId="24">
    <w:abstractNumId w:val="38"/>
  </w:num>
  <w:num w:numId="25">
    <w:abstractNumId w:val="5"/>
  </w:num>
  <w:num w:numId="26">
    <w:abstractNumId w:val="28"/>
  </w:num>
  <w:num w:numId="27">
    <w:abstractNumId w:val="26"/>
  </w:num>
  <w:num w:numId="28">
    <w:abstractNumId w:val="31"/>
  </w:num>
  <w:num w:numId="29">
    <w:abstractNumId w:val="46"/>
  </w:num>
  <w:num w:numId="30">
    <w:abstractNumId w:val="37"/>
  </w:num>
  <w:num w:numId="31">
    <w:abstractNumId w:val="9"/>
  </w:num>
  <w:num w:numId="32">
    <w:abstractNumId w:val="35"/>
  </w:num>
  <w:num w:numId="33">
    <w:abstractNumId w:val="41"/>
  </w:num>
  <w:num w:numId="34">
    <w:abstractNumId w:val="1"/>
  </w:num>
  <w:num w:numId="35">
    <w:abstractNumId w:val="8"/>
  </w:num>
  <w:num w:numId="36">
    <w:abstractNumId w:val="42"/>
  </w:num>
  <w:num w:numId="37">
    <w:abstractNumId w:val="11"/>
  </w:num>
  <w:num w:numId="38">
    <w:abstractNumId w:val="23"/>
  </w:num>
  <w:num w:numId="39">
    <w:abstractNumId w:val="39"/>
  </w:num>
  <w:num w:numId="40">
    <w:abstractNumId w:val="21"/>
  </w:num>
  <w:num w:numId="41">
    <w:abstractNumId w:val="27"/>
  </w:num>
  <w:num w:numId="42">
    <w:abstractNumId w:val="12"/>
  </w:num>
  <w:num w:numId="43">
    <w:abstractNumId w:val="13"/>
  </w:num>
  <w:num w:numId="44">
    <w:abstractNumId w:val="40"/>
  </w:num>
  <w:num w:numId="45">
    <w:abstractNumId w:val="20"/>
  </w:num>
  <w:num w:numId="46">
    <w:abstractNumId w:val="43"/>
  </w:num>
  <w:num w:numId="47">
    <w:abstractNumId w:val="7"/>
  </w:num>
  <w:num w:numId="48">
    <w:abstractNumId w:val="4"/>
  </w:num>
  <w:num w:numId="4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67"/>
    <w:rsid w:val="000001EC"/>
    <w:rsid w:val="0000232E"/>
    <w:rsid w:val="0000310F"/>
    <w:rsid w:val="0000381E"/>
    <w:rsid w:val="00003A05"/>
    <w:rsid w:val="0000407F"/>
    <w:rsid w:val="000058E3"/>
    <w:rsid w:val="0000797D"/>
    <w:rsid w:val="00007E8A"/>
    <w:rsid w:val="000100D7"/>
    <w:rsid w:val="0001106B"/>
    <w:rsid w:val="00011317"/>
    <w:rsid w:val="00012472"/>
    <w:rsid w:val="00013173"/>
    <w:rsid w:val="0001398B"/>
    <w:rsid w:val="00014F51"/>
    <w:rsid w:val="00016250"/>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1E2"/>
    <w:rsid w:val="0004193F"/>
    <w:rsid w:val="00042380"/>
    <w:rsid w:val="000435A5"/>
    <w:rsid w:val="00044DB9"/>
    <w:rsid w:val="0004686A"/>
    <w:rsid w:val="000468E2"/>
    <w:rsid w:val="00046CEE"/>
    <w:rsid w:val="000478BA"/>
    <w:rsid w:val="0005237C"/>
    <w:rsid w:val="00052A3C"/>
    <w:rsid w:val="00054A03"/>
    <w:rsid w:val="000557BC"/>
    <w:rsid w:val="00055DD8"/>
    <w:rsid w:val="00056317"/>
    <w:rsid w:val="00056A79"/>
    <w:rsid w:val="0005777B"/>
    <w:rsid w:val="00061344"/>
    <w:rsid w:val="000622ED"/>
    <w:rsid w:val="0006247F"/>
    <w:rsid w:val="00062648"/>
    <w:rsid w:val="000631D9"/>
    <w:rsid w:val="0006381D"/>
    <w:rsid w:val="00063D06"/>
    <w:rsid w:val="0006407E"/>
    <w:rsid w:val="00064577"/>
    <w:rsid w:val="00064A37"/>
    <w:rsid w:val="00064B95"/>
    <w:rsid w:val="000659BE"/>
    <w:rsid w:val="000664BF"/>
    <w:rsid w:val="00066B68"/>
    <w:rsid w:val="00070361"/>
    <w:rsid w:val="0007221E"/>
    <w:rsid w:val="00074573"/>
    <w:rsid w:val="00076DDA"/>
    <w:rsid w:val="000770CE"/>
    <w:rsid w:val="000800AC"/>
    <w:rsid w:val="0008230A"/>
    <w:rsid w:val="00082D11"/>
    <w:rsid w:val="00082E28"/>
    <w:rsid w:val="000834FE"/>
    <w:rsid w:val="0008465D"/>
    <w:rsid w:val="00084E31"/>
    <w:rsid w:val="0008542A"/>
    <w:rsid w:val="00090D6F"/>
    <w:rsid w:val="00091C2C"/>
    <w:rsid w:val="00093FB4"/>
    <w:rsid w:val="00093FC7"/>
    <w:rsid w:val="00094B41"/>
    <w:rsid w:val="000953E2"/>
    <w:rsid w:val="00095BB9"/>
    <w:rsid w:val="0009700A"/>
    <w:rsid w:val="000A1CCA"/>
    <w:rsid w:val="000A26B8"/>
    <w:rsid w:val="000A2A8C"/>
    <w:rsid w:val="000A3F90"/>
    <w:rsid w:val="000A44DE"/>
    <w:rsid w:val="000A4554"/>
    <w:rsid w:val="000A45FD"/>
    <w:rsid w:val="000A4E44"/>
    <w:rsid w:val="000A556A"/>
    <w:rsid w:val="000A77ED"/>
    <w:rsid w:val="000A7BCE"/>
    <w:rsid w:val="000B0370"/>
    <w:rsid w:val="000B2BA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6B73"/>
    <w:rsid w:val="000D0855"/>
    <w:rsid w:val="000D11CC"/>
    <w:rsid w:val="000D1E0F"/>
    <w:rsid w:val="000D24F6"/>
    <w:rsid w:val="000D2DC2"/>
    <w:rsid w:val="000D3275"/>
    <w:rsid w:val="000D447F"/>
    <w:rsid w:val="000D5A1D"/>
    <w:rsid w:val="000D62FF"/>
    <w:rsid w:val="000D69DF"/>
    <w:rsid w:val="000D72C9"/>
    <w:rsid w:val="000D7369"/>
    <w:rsid w:val="000D7394"/>
    <w:rsid w:val="000E0366"/>
    <w:rsid w:val="000E07DC"/>
    <w:rsid w:val="000E096F"/>
    <w:rsid w:val="000E1389"/>
    <w:rsid w:val="000E2665"/>
    <w:rsid w:val="000E2A46"/>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3B71"/>
    <w:rsid w:val="0010409E"/>
    <w:rsid w:val="00107499"/>
    <w:rsid w:val="00107557"/>
    <w:rsid w:val="0011167C"/>
    <w:rsid w:val="00111F02"/>
    <w:rsid w:val="0011279B"/>
    <w:rsid w:val="00112B02"/>
    <w:rsid w:val="00112F09"/>
    <w:rsid w:val="00114A21"/>
    <w:rsid w:val="00115F2B"/>
    <w:rsid w:val="00117441"/>
    <w:rsid w:val="0012006D"/>
    <w:rsid w:val="00121F4A"/>
    <w:rsid w:val="00122948"/>
    <w:rsid w:val="00122A24"/>
    <w:rsid w:val="00122E4B"/>
    <w:rsid w:val="00123639"/>
    <w:rsid w:val="0012380D"/>
    <w:rsid w:val="00124015"/>
    <w:rsid w:val="00124CF1"/>
    <w:rsid w:val="001250B4"/>
    <w:rsid w:val="001253D1"/>
    <w:rsid w:val="00125595"/>
    <w:rsid w:val="00126C46"/>
    <w:rsid w:val="00127406"/>
    <w:rsid w:val="00127A33"/>
    <w:rsid w:val="00127E68"/>
    <w:rsid w:val="001318D2"/>
    <w:rsid w:val="00132C06"/>
    <w:rsid w:val="00132F52"/>
    <w:rsid w:val="00133B79"/>
    <w:rsid w:val="00133CE5"/>
    <w:rsid w:val="00134AEC"/>
    <w:rsid w:val="001352E5"/>
    <w:rsid w:val="00135DD5"/>
    <w:rsid w:val="0013663C"/>
    <w:rsid w:val="0013673A"/>
    <w:rsid w:val="0013752C"/>
    <w:rsid w:val="00140206"/>
    <w:rsid w:val="00140D44"/>
    <w:rsid w:val="00142648"/>
    <w:rsid w:val="00142DC2"/>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E22"/>
    <w:rsid w:val="001611E5"/>
    <w:rsid w:val="00161E95"/>
    <w:rsid w:val="00163780"/>
    <w:rsid w:val="00163B1F"/>
    <w:rsid w:val="001648EE"/>
    <w:rsid w:val="00164B65"/>
    <w:rsid w:val="001656F2"/>
    <w:rsid w:val="00165DC8"/>
    <w:rsid w:val="00166794"/>
    <w:rsid w:val="00167813"/>
    <w:rsid w:val="00172471"/>
    <w:rsid w:val="0017273C"/>
    <w:rsid w:val="001732E3"/>
    <w:rsid w:val="00174404"/>
    <w:rsid w:val="00174E02"/>
    <w:rsid w:val="0017653A"/>
    <w:rsid w:val="001775DF"/>
    <w:rsid w:val="001848C0"/>
    <w:rsid w:val="00185460"/>
    <w:rsid w:val="001862A3"/>
    <w:rsid w:val="00192E4B"/>
    <w:rsid w:val="001941D0"/>
    <w:rsid w:val="00194D62"/>
    <w:rsid w:val="00196407"/>
    <w:rsid w:val="00197091"/>
    <w:rsid w:val="001972CC"/>
    <w:rsid w:val="00197E9B"/>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845"/>
    <w:rsid w:val="001C09E0"/>
    <w:rsid w:val="001C0AED"/>
    <w:rsid w:val="001C13B1"/>
    <w:rsid w:val="001C1C2A"/>
    <w:rsid w:val="001C1CDE"/>
    <w:rsid w:val="001C20E8"/>
    <w:rsid w:val="001C263B"/>
    <w:rsid w:val="001C2713"/>
    <w:rsid w:val="001C2EF3"/>
    <w:rsid w:val="001C34D6"/>
    <w:rsid w:val="001C3732"/>
    <w:rsid w:val="001C54A9"/>
    <w:rsid w:val="001C6012"/>
    <w:rsid w:val="001C67B0"/>
    <w:rsid w:val="001C7733"/>
    <w:rsid w:val="001C77F5"/>
    <w:rsid w:val="001C79FA"/>
    <w:rsid w:val="001D07C9"/>
    <w:rsid w:val="001D3AB5"/>
    <w:rsid w:val="001D4A81"/>
    <w:rsid w:val="001D7D8F"/>
    <w:rsid w:val="001D7DF0"/>
    <w:rsid w:val="001D7E82"/>
    <w:rsid w:val="001E018C"/>
    <w:rsid w:val="001E0672"/>
    <w:rsid w:val="001E0AD2"/>
    <w:rsid w:val="001E11C8"/>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ADB"/>
    <w:rsid w:val="002217BA"/>
    <w:rsid w:val="00221E74"/>
    <w:rsid w:val="00223507"/>
    <w:rsid w:val="00223ACC"/>
    <w:rsid w:val="0022448D"/>
    <w:rsid w:val="00226ED6"/>
    <w:rsid w:val="002275DE"/>
    <w:rsid w:val="00230170"/>
    <w:rsid w:val="002305CF"/>
    <w:rsid w:val="00232110"/>
    <w:rsid w:val="00233E08"/>
    <w:rsid w:val="002345FF"/>
    <w:rsid w:val="00235DF2"/>
    <w:rsid w:val="00237611"/>
    <w:rsid w:val="002408D7"/>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9A6"/>
    <w:rsid w:val="002630E4"/>
    <w:rsid w:val="00263F23"/>
    <w:rsid w:val="00264D02"/>
    <w:rsid w:val="00264DA7"/>
    <w:rsid w:val="0026500D"/>
    <w:rsid w:val="00265CD7"/>
    <w:rsid w:val="00266588"/>
    <w:rsid w:val="002665BD"/>
    <w:rsid w:val="00271342"/>
    <w:rsid w:val="00271B06"/>
    <w:rsid w:val="0027298D"/>
    <w:rsid w:val="00272FEC"/>
    <w:rsid w:val="00273013"/>
    <w:rsid w:val="00273C37"/>
    <w:rsid w:val="0027430D"/>
    <w:rsid w:val="002746D9"/>
    <w:rsid w:val="00274ED2"/>
    <w:rsid w:val="002754FC"/>
    <w:rsid w:val="002765F2"/>
    <w:rsid w:val="00277A35"/>
    <w:rsid w:val="00280994"/>
    <w:rsid w:val="00280E3F"/>
    <w:rsid w:val="00280F05"/>
    <w:rsid w:val="0028248C"/>
    <w:rsid w:val="00282B05"/>
    <w:rsid w:val="00286DDB"/>
    <w:rsid w:val="002871EB"/>
    <w:rsid w:val="00290DBD"/>
    <w:rsid w:val="00291D91"/>
    <w:rsid w:val="002948C4"/>
    <w:rsid w:val="002960D6"/>
    <w:rsid w:val="00297E45"/>
    <w:rsid w:val="002A2099"/>
    <w:rsid w:val="002A229B"/>
    <w:rsid w:val="002A35B6"/>
    <w:rsid w:val="002A4172"/>
    <w:rsid w:val="002A4516"/>
    <w:rsid w:val="002A54DE"/>
    <w:rsid w:val="002A70E6"/>
    <w:rsid w:val="002A7FAB"/>
    <w:rsid w:val="002B0692"/>
    <w:rsid w:val="002B085C"/>
    <w:rsid w:val="002B1AE9"/>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4715"/>
    <w:rsid w:val="002C4780"/>
    <w:rsid w:val="002C47ED"/>
    <w:rsid w:val="002C484A"/>
    <w:rsid w:val="002C5692"/>
    <w:rsid w:val="002C570D"/>
    <w:rsid w:val="002C6561"/>
    <w:rsid w:val="002C6DB3"/>
    <w:rsid w:val="002C76A0"/>
    <w:rsid w:val="002C77A7"/>
    <w:rsid w:val="002D0E3D"/>
    <w:rsid w:val="002D10C8"/>
    <w:rsid w:val="002D1A38"/>
    <w:rsid w:val="002D1AA7"/>
    <w:rsid w:val="002D1C2C"/>
    <w:rsid w:val="002D28CB"/>
    <w:rsid w:val="002D2E16"/>
    <w:rsid w:val="002D35AE"/>
    <w:rsid w:val="002D373C"/>
    <w:rsid w:val="002D57AA"/>
    <w:rsid w:val="002E126F"/>
    <w:rsid w:val="002E160F"/>
    <w:rsid w:val="002E191E"/>
    <w:rsid w:val="002E1C05"/>
    <w:rsid w:val="002E2783"/>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64A2"/>
    <w:rsid w:val="002F72FA"/>
    <w:rsid w:val="002F7BEF"/>
    <w:rsid w:val="002F7D11"/>
    <w:rsid w:val="003001E4"/>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6065"/>
    <w:rsid w:val="00317883"/>
    <w:rsid w:val="00317EFF"/>
    <w:rsid w:val="00321181"/>
    <w:rsid w:val="00321AA3"/>
    <w:rsid w:val="00321AE9"/>
    <w:rsid w:val="00321EEE"/>
    <w:rsid w:val="00323895"/>
    <w:rsid w:val="00325660"/>
    <w:rsid w:val="0032586C"/>
    <w:rsid w:val="00326579"/>
    <w:rsid w:val="00327D27"/>
    <w:rsid w:val="00327D79"/>
    <w:rsid w:val="00330E47"/>
    <w:rsid w:val="00332E6B"/>
    <w:rsid w:val="003337F3"/>
    <w:rsid w:val="00333BE8"/>
    <w:rsid w:val="003344DB"/>
    <w:rsid w:val="00335898"/>
    <w:rsid w:val="00335BFE"/>
    <w:rsid w:val="00335E9C"/>
    <w:rsid w:val="0033608B"/>
    <w:rsid w:val="0033675D"/>
    <w:rsid w:val="00337941"/>
    <w:rsid w:val="003401F8"/>
    <w:rsid w:val="003407D0"/>
    <w:rsid w:val="0034181B"/>
    <w:rsid w:val="00341B17"/>
    <w:rsid w:val="003428FA"/>
    <w:rsid w:val="00342C51"/>
    <w:rsid w:val="00345856"/>
    <w:rsid w:val="0034595C"/>
    <w:rsid w:val="00345B79"/>
    <w:rsid w:val="00345D0F"/>
    <w:rsid w:val="0034614E"/>
    <w:rsid w:val="00346885"/>
    <w:rsid w:val="003472B3"/>
    <w:rsid w:val="003501DB"/>
    <w:rsid w:val="0035104F"/>
    <w:rsid w:val="0035199B"/>
    <w:rsid w:val="003522BF"/>
    <w:rsid w:val="00352901"/>
    <w:rsid w:val="00355AEE"/>
    <w:rsid w:val="00355D3B"/>
    <w:rsid w:val="0035606B"/>
    <w:rsid w:val="0035651C"/>
    <w:rsid w:val="00357CC7"/>
    <w:rsid w:val="0036073F"/>
    <w:rsid w:val="003615A3"/>
    <w:rsid w:val="003629EE"/>
    <w:rsid w:val="003643B3"/>
    <w:rsid w:val="00365220"/>
    <w:rsid w:val="003708DD"/>
    <w:rsid w:val="00370B8E"/>
    <w:rsid w:val="00370BB1"/>
    <w:rsid w:val="003717E5"/>
    <w:rsid w:val="003721B2"/>
    <w:rsid w:val="00372328"/>
    <w:rsid w:val="00374CE8"/>
    <w:rsid w:val="003762FD"/>
    <w:rsid w:val="00376FD2"/>
    <w:rsid w:val="00377278"/>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5355"/>
    <w:rsid w:val="003955D3"/>
    <w:rsid w:val="00396545"/>
    <w:rsid w:val="0039671B"/>
    <w:rsid w:val="00396F71"/>
    <w:rsid w:val="003A03D0"/>
    <w:rsid w:val="003A04FF"/>
    <w:rsid w:val="003A1B01"/>
    <w:rsid w:val="003A2029"/>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55AD"/>
    <w:rsid w:val="003B7EC4"/>
    <w:rsid w:val="003C183D"/>
    <w:rsid w:val="003C7282"/>
    <w:rsid w:val="003D00D5"/>
    <w:rsid w:val="003D0A29"/>
    <w:rsid w:val="003D0BC7"/>
    <w:rsid w:val="003D181D"/>
    <w:rsid w:val="003D187D"/>
    <w:rsid w:val="003D20C4"/>
    <w:rsid w:val="003D29E0"/>
    <w:rsid w:val="003D4163"/>
    <w:rsid w:val="003D46D0"/>
    <w:rsid w:val="003D5661"/>
    <w:rsid w:val="003D65BF"/>
    <w:rsid w:val="003D792A"/>
    <w:rsid w:val="003E1680"/>
    <w:rsid w:val="003E2E98"/>
    <w:rsid w:val="003E4701"/>
    <w:rsid w:val="003E6079"/>
    <w:rsid w:val="003E6128"/>
    <w:rsid w:val="003E6679"/>
    <w:rsid w:val="003E6D0F"/>
    <w:rsid w:val="003E712E"/>
    <w:rsid w:val="003F0769"/>
    <w:rsid w:val="003F0DDA"/>
    <w:rsid w:val="003F140F"/>
    <w:rsid w:val="003F1552"/>
    <w:rsid w:val="003F15DB"/>
    <w:rsid w:val="003F2702"/>
    <w:rsid w:val="003F2778"/>
    <w:rsid w:val="003F36A4"/>
    <w:rsid w:val="003F4900"/>
    <w:rsid w:val="003F70CA"/>
    <w:rsid w:val="003F7823"/>
    <w:rsid w:val="00400E76"/>
    <w:rsid w:val="0040137F"/>
    <w:rsid w:val="00402179"/>
    <w:rsid w:val="0040278D"/>
    <w:rsid w:val="00402C84"/>
    <w:rsid w:val="00403249"/>
    <w:rsid w:val="004078C8"/>
    <w:rsid w:val="004102DE"/>
    <w:rsid w:val="004107D7"/>
    <w:rsid w:val="0041189F"/>
    <w:rsid w:val="00412696"/>
    <w:rsid w:val="00412E24"/>
    <w:rsid w:val="004147B1"/>
    <w:rsid w:val="00416727"/>
    <w:rsid w:val="0042068A"/>
    <w:rsid w:val="00422378"/>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1C7"/>
    <w:rsid w:val="004466B2"/>
    <w:rsid w:val="004473B2"/>
    <w:rsid w:val="004477DB"/>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C41"/>
    <w:rsid w:val="00472CB5"/>
    <w:rsid w:val="0047300F"/>
    <w:rsid w:val="00473115"/>
    <w:rsid w:val="004738D8"/>
    <w:rsid w:val="00473BD2"/>
    <w:rsid w:val="00473F11"/>
    <w:rsid w:val="00474477"/>
    <w:rsid w:val="004764CB"/>
    <w:rsid w:val="00476730"/>
    <w:rsid w:val="004769A5"/>
    <w:rsid w:val="00476A2D"/>
    <w:rsid w:val="004773A3"/>
    <w:rsid w:val="004773E6"/>
    <w:rsid w:val="00477710"/>
    <w:rsid w:val="00481A7B"/>
    <w:rsid w:val="00483042"/>
    <w:rsid w:val="0048386B"/>
    <w:rsid w:val="00483C14"/>
    <w:rsid w:val="00484EDE"/>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A62"/>
    <w:rsid w:val="004A2BF5"/>
    <w:rsid w:val="004A3085"/>
    <w:rsid w:val="004A3C58"/>
    <w:rsid w:val="004A4178"/>
    <w:rsid w:val="004A4BD5"/>
    <w:rsid w:val="004A4CFD"/>
    <w:rsid w:val="004A6173"/>
    <w:rsid w:val="004A677C"/>
    <w:rsid w:val="004A6C04"/>
    <w:rsid w:val="004A7D4A"/>
    <w:rsid w:val="004B0436"/>
    <w:rsid w:val="004B05A5"/>
    <w:rsid w:val="004B0EB6"/>
    <w:rsid w:val="004B176B"/>
    <w:rsid w:val="004B182C"/>
    <w:rsid w:val="004B293C"/>
    <w:rsid w:val="004B35A4"/>
    <w:rsid w:val="004B3A2A"/>
    <w:rsid w:val="004B3D59"/>
    <w:rsid w:val="004B4713"/>
    <w:rsid w:val="004B4BE7"/>
    <w:rsid w:val="004B50F8"/>
    <w:rsid w:val="004B58EA"/>
    <w:rsid w:val="004B73EF"/>
    <w:rsid w:val="004B7992"/>
    <w:rsid w:val="004C09B4"/>
    <w:rsid w:val="004C1AAB"/>
    <w:rsid w:val="004C2082"/>
    <w:rsid w:val="004C20F2"/>
    <w:rsid w:val="004C251E"/>
    <w:rsid w:val="004C3F25"/>
    <w:rsid w:val="004C4E77"/>
    <w:rsid w:val="004C525E"/>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4592"/>
    <w:rsid w:val="00515DEC"/>
    <w:rsid w:val="005165F9"/>
    <w:rsid w:val="00516603"/>
    <w:rsid w:val="005166F9"/>
    <w:rsid w:val="005167B1"/>
    <w:rsid w:val="00517555"/>
    <w:rsid w:val="00517A46"/>
    <w:rsid w:val="00517BAF"/>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CE8"/>
    <w:rsid w:val="00546FBD"/>
    <w:rsid w:val="00550671"/>
    <w:rsid w:val="00551425"/>
    <w:rsid w:val="0055159A"/>
    <w:rsid w:val="005516E0"/>
    <w:rsid w:val="00551A9B"/>
    <w:rsid w:val="005520BF"/>
    <w:rsid w:val="00552213"/>
    <w:rsid w:val="005526F4"/>
    <w:rsid w:val="0055544F"/>
    <w:rsid w:val="00556533"/>
    <w:rsid w:val="00556B04"/>
    <w:rsid w:val="00556F72"/>
    <w:rsid w:val="00556F82"/>
    <w:rsid w:val="00560A81"/>
    <w:rsid w:val="00560C00"/>
    <w:rsid w:val="00561ED1"/>
    <w:rsid w:val="00562B0A"/>
    <w:rsid w:val="00562CCE"/>
    <w:rsid w:val="00563C91"/>
    <w:rsid w:val="00563FC3"/>
    <w:rsid w:val="0056555A"/>
    <w:rsid w:val="005669D6"/>
    <w:rsid w:val="00566BC5"/>
    <w:rsid w:val="0056788F"/>
    <w:rsid w:val="00567998"/>
    <w:rsid w:val="00570911"/>
    <w:rsid w:val="00573BC6"/>
    <w:rsid w:val="005759CD"/>
    <w:rsid w:val="00575D39"/>
    <w:rsid w:val="00575F2C"/>
    <w:rsid w:val="005773AC"/>
    <w:rsid w:val="00577884"/>
    <w:rsid w:val="00577C3F"/>
    <w:rsid w:val="00581C0F"/>
    <w:rsid w:val="0058249C"/>
    <w:rsid w:val="00582919"/>
    <w:rsid w:val="00583749"/>
    <w:rsid w:val="005849B2"/>
    <w:rsid w:val="00585172"/>
    <w:rsid w:val="00587366"/>
    <w:rsid w:val="0058757A"/>
    <w:rsid w:val="00590037"/>
    <w:rsid w:val="00590892"/>
    <w:rsid w:val="005917A6"/>
    <w:rsid w:val="00593476"/>
    <w:rsid w:val="005937BC"/>
    <w:rsid w:val="00594C52"/>
    <w:rsid w:val="00595511"/>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D1"/>
    <w:rsid w:val="005B3A49"/>
    <w:rsid w:val="005B3FAC"/>
    <w:rsid w:val="005B4068"/>
    <w:rsid w:val="005B4B08"/>
    <w:rsid w:val="005B5703"/>
    <w:rsid w:val="005B6ADF"/>
    <w:rsid w:val="005B773D"/>
    <w:rsid w:val="005B7C5D"/>
    <w:rsid w:val="005C02B5"/>
    <w:rsid w:val="005C0821"/>
    <w:rsid w:val="005C1A74"/>
    <w:rsid w:val="005C3294"/>
    <w:rsid w:val="005C347F"/>
    <w:rsid w:val="005C3B63"/>
    <w:rsid w:val="005C450C"/>
    <w:rsid w:val="005C6961"/>
    <w:rsid w:val="005C6F55"/>
    <w:rsid w:val="005C7898"/>
    <w:rsid w:val="005C7CA9"/>
    <w:rsid w:val="005D0EB4"/>
    <w:rsid w:val="005D18A6"/>
    <w:rsid w:val="005D27DD"/>
    <w:rsid w:val="005D3493"/>
    <w:rsid w:val="005D42F5"/>
    <w:rsid w:val="005D622E"/>
    <w:rsid w:val="005D6617"/>
    <w:rsid w:val="005D6FF0"/>
    <w:rsid w:val="005E11D5"/>
    <w:rsid w:val="005E34D4"/>
    <w:rsid w:val="005E3716"/>
    <w:rsid w:val="005E3AE2"/>
    <w:rsid w:val="005E3FDE"/>
    <w:rsid w:val="005E55F2"/>
    <w:rsid w:val="005E68FC"/>
    <w:rsid w:val="005E7271"/>
    <w:rsid w:val="005E76A0"/>
    <w:rsid w:val="005E7CC9"/>
    <w:rsid w:val="005F0007"/>
    <w:rsid w:val="005F0E6C"/>
    <w:rsid w:val="005F1362"/>
    <w:rsid w:val="005F1BAD"/>
    <w:rsid w:val="005F3685"/>
    <w:rsid w:val="005F487C"/>
    <w:rsid w:val="005F53A4"/>
    <w:rsid w:val="005F5FE1"/>
    <w:rsid w:val="005F62B2"/>
    <w:rsid w:val="005F715E"/>
    <w:rsid w:val="006010DA"/>
    <w:rsid w:val="006015F0"/>
    <w:rsid w:val="006017AB"/>
    <w:rsid w:val="00604AC3"/>
    <w:rsid w:val="00605865"/>
    <w:rsid w:val="00607455"/>
    <w:rsid w:val="00611DC1"/>
    <w:rsid w:val="00613655"/>
    <w:rsid w:val="006144EE"/>
    <w:rsid w:val="00617125"/>
    <w:rsid w:val="00617813"/>
    <w:rsid w:val="006206CC"/>
    <w:rsid w:val="00622B06"/>
    <w:rsid w:val="00623C15"/>
    <w:rsid w:val="00624425"/>
    <w:rsid w:val="006257C2"/>
    <w:rsid w:val="00627163"/>
    <w:rsid w:val="0063034E"/>
    <w:rsid w:val="00632E24"/>
    <w:rsid w:val="00634476"/>
    <w:rsid w:val="00637475"/>
    <w:rsid w:val="0064393B"/>
    <w:rsid w:val="006439A1"/>
    <w:rsid w:val="00644375"/>
    <w:rsid w:val="00644A5C"/>
    <w:rsid w:val="00645E03"/>
    <w:rsid w:val="00646A08"/>
    <w:rsid w:val="00646E43"/>
    <w:rsid w:val="00650392"/>
    <w:rsid w:val="0065061D"/>
    <w:rsid w:val="00651701"/>
    <w:rsid w:val="00652854"/>
    <w:rsid w:val="00655146"/>
    <w:rsid w:val="00655505"/>
    <w:rsid w:val="0065715E"/>
    <w:rsid w:val="00657670"/>
    <w:rsid w:val="00657DBF"/>
    <w:rsid w:val="00657DE0"/>
    <w:rsid w:val="00662C69"/>
    <w:rsid w:val="006633C0"/>
    <w:rsid w:val="00663470"/>
    <w:rsid w:val="00663CC7"/>
    <w:rsid w:val="006642CA"/>
    <w:rsid w:val="0066458B"/>
    <w:rsid w:val="00664805"/>
    <w:rsid w:val="00664FB5"/>
    <w:rsid w:val="00666093"/>
    <w:rsid w:val="006674A0"/>
    <w:rsid w:val="00670FE9"/>
    <w:rsid w:val="006718FB"/>
    <w:rsid w:val="006720F3"/>
    <w:rsid w:val="00672744"/>
    <w:rsid w:val="00673695"/>
    <w:rsid w:val="00673DB5"/>
    <w:rsid w:val="00674701"/>
    <w:rsid w:val="00674A46"/>
    <w:rsid w:val="006752B0"/>
    <w:rsid w:val="00675742"/>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BE6"/>
    <w:rsid w:val="006A3D7A"/>
    <w:rsid w:val="006A4617"/>
    <w:rsid w:val="006A79C3"/>
    <w:rsid w:val="006B004E"/>
    <w:rsid w:val="006B0198"/>
    <w:rsid w:val="006B12E8"/>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5C89"/>
    <w:rsid w:val="006D77A2"/>
    <w:rsid w:val="006E013D"/>
    <w:rsid w:val="006E1056"/>
    <w:rsid w:val="006E3A2A"/>
    <w:rsid w:val="006E3C4C"/>
    <w:rsid w:val="006E4BD4"/>
    <w:rsid w:val="006E4E2A"/>
    <w:rsid w:val="006E5950"/>
    <w:rsid w:val="006E6B65"/>
    <w:rsid w:val="006E6C14"/>
    <w:rsid w:val="006E73D4"/>
    <w:rsid w:val="006E7CC5"/>
    <w:rsid w:val="006F0AE3"/>
    <w:rsid w:val="006F1E31"/>
    <w:rsid w:val="006F2C12"/>
    <w:rsid w:val="006F2F92"/>
    <w:rsid w:val="006F3266"/>
    <w:rsid w:val="006F51AA"/>
    <w:rsid w:val="006F69E5"/>
    <w:rsid w:val="00701218"/>
    <w:rsid w:val="00702D2E"/>
    <w:rsid w:val="007050B1"/>
    <w:rsid w:val="00705527"/>
    <w:rsid w:val="00707096"/>
    <w:rsid w:val="00710B50"/>
    <w:rsid w:val="007127BB"/>
    <w:rsid w:val="007136BC"/>
    <w:rsid w:val="00714576"/>
    <w:rsid w:val="00714FEC"/>
    <w:rsid w:val="00715A04"/>
    <w:rsid w:val="00715B7D"/>
    <w:rsid w:val="00721335"/>
    <w:rsid w:val="00721924"/>
    <w:rsid w:val="00721F66"/>
    <w:rsid w:val="00722B93"/>
    <w:rsid w:val="0072445A"/>
    <w:rsid w:val="007263AA"/>
    <w:rsid w:val="00731F1F"/>
    <w:rsid w:val="00732319"/>
    <w:rsid w:val="0073324B"/>
    <w:rsid w:val="007337E6"/>
    <w:rsid w:val="00735A75"/>
    <w:rsid w:val="007365AD"/>
    <w:rsid w:val="007409D8"/>
    <w:rsid w:val="00740BA4"/>
    <w:rsid w:val="00742486"/>
    <w:rsid w:val="00743C2A"/>
    <w:rsid w:val="00743CAC"/>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AE2"/>
    <w:rsid w:val="007C7154"/>
    <w:rsid w:val="007D0C01"/>
    <w:rsid w:val="007D26D2"/>
    <w:rsid w:val="007D3356"/>
    <w:rsid w:val="007D3FBD"/>
    <w:rsid w:val="007D49A0"/>
    <w:rsid w:val="007D7EF3"/>
    <w:rsid w:val="007E0553"/>
    <w:rsid w:val="007E5125"/>
    <w:rsid w:val="007E5A30"/>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F94"/>
    <w:rsid w:val="008118AF"/>
    <w:rsid w:val="00811E99"/>
    <w:rsid w:val="008126D5"/>
    <w:rsid w:val="00812CFD"/>
    <w:rsid w:val="00814A15"/>
    <w:rsid w:val="00814A17"/>
    <w:rsid w:val="00815FC2"/>
    <w:rsid w:val="008167F5"/>
    <w:rsid w:val="0081794B"/>
    <w:rsid w:val="00817D8E"/>
    <w:rsid w:val="008200A3"/>
    <w:rsid w:val="00820222"/>
    <w:rsid w:val="00820BF2"/>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D12"/>
    <w:rsid w:val="00846713"/>
    <w:rsid w:val="00846C5D"/>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24DD"/>
    <w:rsid w:val="00863125"/>
    <w:rsid w:val="008645F1"/>
    <w:rsid w:val="00864EBB"/>
    <w:rsid w:val="00865611"/>
    <w:rsid w:val="008662C0"/>
    <w:rsid w:val="0086644C"/>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2AB9"/>
    <w:rsid w:val="00893537"/>
    <w:rsid w:val="00893857"/>
    <w:rsid w:val="008938EE"/>
    <w:rsid w:val="0089412A"/>
    <w:rsid w:val="008945CE"/>
    <w:rsid w:val="00894767"/>
    <w:rsid w:val="00895335"/>
    <w:rsid w:val="00895536"/>
    <w:rsid w:val="008965EF"/>
    <w:rsid w:val="00896AD4"/>
    <w:rsid w:val="0089707F"/>
    <w:rsid w:val="00897752"/>
    <w:rsid w:val="008A2811"/>
    <w:rsid w:val="008A3FC8"/>
    <w:rsid w:val="008A52F3"/>
    <w:rsid w:val="008A5456"/>
    <w:rsid w:val="008A56DD"/>
    <w:rsid w:val="008A74F2"/>
    <w:rsid w:val="008A7536"/>
    <w:rsid w:val="008A7F1F"/>
    <w:rsid w:val="008A7F7D"/>
    <w:rsid w:val="008B1A5A"/>
    <w:rsid w:val="008B382F"/>
    <w:rsid w:val="008B38BC"/>
    <w:rsid w:val="008B3CBF"/>
    <w:rsid w:val="008B4590"/>
    <w:rsid w:val="008B5AB4"/>
    <w:rsid w:val="008B66A6"/>
    <w:rsid w:val="008B6849"/>
    <w:rsid w:val="008B7D4A"/>
    <w:rsid w:val="008B7FFE"/>
    <w:rsid w:val="008C0446"/>
    <w:rsid w:val="008C2B3C"/>
    <w:rsid w:val="008C33F9"/>
    <w:rsid w:val="008C41A7"/>
    <w:rsid w:val="008C6F34"/>
    <w:rsid w:val="008C7108"/>
    <w:rsid w:val="008C75C8"/>
    <w:rsid w:val="008D02A3"/>
    <w:rsid w:val="008D115B"/>
    <w:rsid w:val="008D22D8"/>
    <w:rsid w:val="008D259C"/>
    <w:rsid w:val="008D288D"/>
    <w:rsid w:val="008D2BCD"/>
    <w:rsid w:val="008D406E"/>
    <w:rsid w:val="008D4E99"/>
    <w:rsid w:val="008D5066"/>
    <w:rsid w:val="008D5A97"/>
    <w:rsid w:val="008D6697"/>
    <w:rsid w:val="008D728C"/>
    <w:rsid w:val="008E0674"/>
    <w:rsid w:val="008E11CC"/>
    <w:rsid w:val="008E1B8F"/>
    <w:rsid w:val="008E23C9"/>
    <w:rsid w:val="008E29BB"/>
    <w:rsid w:val="008E2B17"/>
    <w:rsid w:val="008E3E12"/>
    <w:rsid w:val="008E4DCD"/>
    <w:rsid w:val="008E5767"/>
    <w:rsid w:val="008E580D"/>
    <w:rsid w:val="008E63C7"/>
    <w:rsid w:val="008F12E6"/>
    <w:rsid w:val="008F1558"/>
    <w:rsid w:val="008F2B44"/>
    <w:rsid w:val="008F330B"/>
    <w:rsid w:val="008F5927"/>
    <w:rsid w:val="008F5F96"/>
    <w:rsid w:val="008F7752"/>
    <w:rsid w:val="0090174A"/>
    <w:rsid w:val="00902E52"/>
    <w:rsid w:val="009036B3"/>
    <w:rsid w:val="0090620F"/>
    <w:rsid w:val="009071FE"/>
    <w:rsid w:val="00907761"/>
    <w:rsid w:val="00907A46"/>
    <w:rsid w:val="00910076"/>
    <w:rsid w:val="0091242A"/>
    <w:rsid w:val="00912E53"/>
    <w:rsid w:val="00912F01"/>
    <w:rsid w:val="0091395C"/>
    <w:rsid w:val="00913AA4"/>
    <w:rsid w:val="00915778"/>
    <w:rsid w:val="009164DD"/>
    <w:rsid w:val="009210C9"/>
    <w:rsid w:val="00921CF4"/>
    <w:rsid w:val="00922166"/>
    <w:rsid w:val="00923604"/>
    <w:rsid w:val="00925C68"/>
    <w:rsid w:val="009315B0"/>
    <w:rsid w:val="009316E9"/>
    <w:rsid w:val="00931C93"/>
    <w:rsid w:val="00931EE2"/>
    <w:rsid w:val="00931FD8"/>
    <w:rsid w:val="0093235F"/>
    <w:rsid w:val="0093282F"/>
    <w:rsid w:val="0093416D"/>
    <w:rsid w:val="0093652D"/>
    <w:rsid w:val="00937309"/>
    <w:rsid w:val="00937D66"/>
    <w:rsid w:val="009405CB"/>
    <w:rsid w:val="0094065A"/>
    <w:rsid w:val="00940FE2"/>
    <w:rsid w:val="0094119F"/>
    <w:rsid w:val="00943E62"/>
    <w:rsid w:val="00945A61"/>
    <w:rsid w:val="009467D2"/>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7E8"/>
    <w:rsid w:val="009750AA"/>
    <w:rsid w:val="00977D37"/>
    <w:rsid w:val="009813EA"/>
    <w:rsid w:val="009830D3"/>
    <w:rsid w:val="00983B8F"/>
    <w:rsid w:val="00983F74"/>
    <w:rsid w:val="00984D47"/>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E9E"/>
    <w:rsid w:val="009A28A2"/>
    <w:rsid w:val="009A2D33"/>
    <w:rsid w:val="009A3F10"/>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9BF"/>
    <w:rsid w:val="009E0AB4"/>
    <w:rsid w:val="009E10C7"/>
    <w:rsid w:val="009E260E"/>
    <w:rsid w:val="009E360A"/>
    <w:rsid w:val="009E38A4"/>
    <w:rsid w:val="009E3D82"/>
    <w:rsid w:val="009E4942"/>
    <w:rsid w:val="009E58CA"/>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3400"/>
    <w:rsid w:val="00A13703"/>
    <w:rsid w:val="00A13811"/>
    <w:rsid w:val="00A13838"/>
    <w:rsid w:val="00A15C42"/>
    <w:rsid w:val="00A166B8"/>
    <w:rsid w:val="00A16DF1"/>
    <w:rsid w:val="00A17302"/>
    <w:rsid w:val="00A17A17"/>
    <w:rsid w:val="00A2069D"/>
    <w:rsid w:val="00A20B1F"/>
    <w:rsid w:val="00A21050"/>
    <w:rsid w:val="00A225C1"/>
    <w:rsid w:val="00A22FE3"/>
    <w:rsid w:val="00A235D0"/>
    <w:rsid w:val="00A24131"/>
    <w:rsid w:val="00A27A7F"/>
    <w:rsid w:val="00A3276A"/>
    <w:rsid w:val="00A349D2"/>
    <w:rsid w:val="00A34C05"/>
    <w:rsid w:val="00A34FFF"/>
    <w:rsid w:val="00A35492"/>
    <w:rsid w:val="00A4044E"/>
    <w:rsid w:val="00A4217B"/>
    <w:rsid w:val="00A42475"/>
    <w:rsid w:val="00A42869"/>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7E5"/>
    <w:rsid w:val="00A50720"/>
    <w:rsid w:val="00A50922"/>
    <w:rsid w:val="00A50B8A"/>
    <w:rsid w:val="00A51F40"/>
    <w:rsid w:val="00A55D2B"/>
    <w:rsid w:val="00A572BC"/>
    <w:rsid w:val="00A57A82"/>
    <w:rsid w:val="00A62B7B"/>
    <w:rsid w:val="00A66AE9"/>
    <w:rsid w:val="00A67428"/>
    <w:rsid w:val="00A70CF3"/>
    <w:rsid w:val="00A7155E"/>
    <w:rsid w:val="00A71FE7"/>
    <w:rsid w:val="00A73C04"/>
    <w:rsid w:val="00A74EDE"/>
    <w:rsid w:val="00A763AE"/>
    <w:rsid w:val="00A76619"/>
    <w:rsid w:val="00A766D5"/>
    <w:rsid w:val="00A76B0D"/>
    <w:rsid w:val="00A80223"/>
    <w:rsid w:val="00A816EE"/>
    <w:rsid w:val="00A81AB5"/>
    <w:rsid w:val="00A82724"/>
    <w:rsid w:val="00A82C5A"/>
    <w:rsid w:val="00A83FF6"/>
    <w:rsid w:val="00A84187"/>
    <w:rsid w:val="00A85CB7"/>
    <w:rsid w:val="00A8620F"/>
    <w:rsid w:val="00A8652F"/>
    <w:rsid w:val="00A86AAB"/>
    <w:rsid w:val="00A86D49"/>
    <w:rsid w:val="00A8769A"/>
    <w:rsid w:val="00A87B22"/>
    <w:rsid w:val="00A90FF4"/>
    <w:rsid w:val="00A917E3"/>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08"/>
    <w:rsid w:val="00AC3E65"/>
    <w:rsid w:val="00AC535B"/>
    <w:rsid w:val="00AC5F6A"/>
    <w:rsid w:val="00AD0B3C"/>
    <w:rsid w:val="00AD0FC3"/>
    <w:rsid w:val="00AD1CC0"/>
    <w:rsid w:val="00AD22B5"/>
    <w:rsid w:val="00AD2718"/>
    <w:rsid w:val="00AD2E4D"/>
    <w:rsid w:val="00AD33D3"/>
    <w:rsid w:val="00AD3DB4"/>
    <w:rsid w:val="00AD5133"/>
    <w:rsid w:val="00AD5712"/>
    <w:rsid w:val="00AD6AC5"/>
    <w:rsid w:val="00AD76A1"/>
    <w:rsid w:val="00AE1CCB"/>
    <w:rsid w:val="00AE3CE5"/>
    <w:rsid w:val="00AE48E8"/>
    <w:rsid w:val="00AE6F39"/>
    <w:rsid w:val="00AE7F20"/>
    <w:rsid w:val="00AF0E7C"/>
    <w:rsid w:val="00AF1F04"/>
    <w:rsid w:val="00AF3B55"/>
    <w:rsid w:val="00AF3D59"/>
    <w:rsid w:val="00AF615F"/>
    <w:rsid w:val="00AF6794"/>
    <w:rsid w:val="00AF6F48"/>
    <w:rsid w:val="00AF717E"/>
    <w:rsid w:val="00AF77A6"/>
    <w:rsid w:val="00B016F7"/>
    <w:rsid w:val="00B02BDD"/>
    <w:rsid w:val="00B04E10"/>
    <w:rsid w:val="00B055B9"/>
    <w:rsid w:val="00B13243"/>
    <w:rsid w:val="00B13511"/>
    <w:rsid w:val="00B13D85"/>
    <w:rsid w:val="00B14ED7"/>
    <w:rsid w:val="00B16296"/>
    <w:rsid w:val="00B16CC7"/>
    <w:rsid w:val="00B1786A"/>
    <w:rsid w:val="00B20340"/>
    <w:rsid w:val="00B206D8"/>
    <w:rsid w:val="00B20C75"/>
    <w:rsid w:val="00B230E5"/>
    <w:rsid w:val="00B23E88"/>
    <w:rsid w:val="00B246C8"/>
    <w:rsid w:val="00B267A4"/>
    <w:rsid w:val="00B312C7"/>
    <w:rsid w:val="00B315C4"/>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571D"/>
    <w:rsid w:val="00B667C6"/>
    <w:rsid w:val="00B66BC8"/>
    <w:rsid w:val="00B6723D"/>
    <w:rsid w:val="00B67B60"/>
    <w:rsid w:val="00B67BD4"/>
    <w:rsid w:val="00B71F08"/>
    <w:rsid w:val="00B73838"/>
    <w:rsid w:val="00B7421A"/>
    <w:rsid w:val="00B74366"/>
    <w:rsid w:val="00B74D4D"/>
    <w:rsid w:val="00B75F20"/>
    <w:rsid w:val="00B762FD"/>
    <w:rsid w:val="00B76C73"/>
    <w:rsid w:val="00B808A4"/>
    <w:rsid w:val="00B81371"/>
    <w:rsid w:val="00B818B8"/>
    <w:rsid w:val="00B8225B"/>
    <w:rsid w:val="00B83E2E"/>
    <w:rsid w:val="00B843B7"/>
    <w:rsid w:val="00B84739"/>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4F2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0F9E"/>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0731A"/>
    <w:rsid w:val="00C11482"/>
    <w:rsid w:val="00C11E0B"/>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7ABF"/>
    <w:rsid w:val="00C3086E"/>
    <w:rsid w:val="00C315FB"/>
    <w:rsid w:val="00C31713"/>
    <w:rsid w:val="00C317BD"/>
    <w:rsid w:val="00C31C1C"/>
    <w:rsid w:val="00C33279"/>
    <w:rsid w:val="00C34B8F"/>
    <w:rsid w:val="00C35332"/>
    <w:rsid w:val="00C37421"/>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EDE"/>
    <w:rsid w:val="00C663BE"/>
    <w:rsid w:val="00C70AB7"/>
    <w:rsid w:val="00C71858"/>
    <w:rsid w:val="00C722C5"/>
    <w:rsid w:val="00C72382"/>
    <w:rsid w:val="00C74346"/>
    <w:rsid w:val="00C744AE"/>
    <w:rsid w:val="00C74781"/>
    <w:rsid w:val="00C76B87"/>
    <w:rsid w:val="00C80034"/>
    <w:rsid w:val="00C80729"/>
    <w:rsid w:val="00C828E8"/>
    <w:rsid w:val="00C83579"/>
    <w:rsid w:val="00C83C79"/>
    <w:rsid w:val="00C83EA7"/>
    <w:rsid w:val="00C84559"/>
    <w:rsid w:val="00C84E31"/>
    <w:rsid w:val="00C857B4"/>
    <w:rsid w:val="00C862C4"/>
    <w:rsid w:val="00C86977"/>
    <w:rsid w:val="00C86B34"/>
    <w:rsid w:val="00C86FFF"/>
    <w:rsid w:val="00C871C7"/>
    <w:rsid w:val="00C91060"/>
    <w:rsid w:val="00C91720"/>
    <w:rsid w:val="00C928FD"/>
    <w:rsid w:val="00C95593"/>
    <w:rsid w:val="00C9667A"/>
    <w:rsid w:val="00CA0640"/>
    <w:rsid w:val="00CA2022"/>
    <w:rsid w:val="00CA4741"/>
    <w:rsid w:val="00CA4CF0"/>
    <w:rsid w:val="00CA543E"/>
    <w:rsid w:val="00CA5465"/>
    <w:rsid w:val="00CA62D4"/>
    <w:rsid w:val="00CA7A78"/>
    <w:rsid w:val="00CA7F49"/>
    <w:rsid w:val="00CB2FC0"/>
    <w:rsid w:val="00CB3C69"/>
    <w:rsid w:val="00CB57BF"/>
    <w:rsid w:val="00CB58C6"/>
    <w:rsid w:val="00CB5AEC"/>
    <w:rsid w:val="00CB7F82"/>
    <w:rsid w:val="00CC0B3A"/>
    <w:rsid w:val="00CC10A6"/>
    <w:rsid w:val="00CC10B3"/>
    <w:rsid w:val="00CC1B52"/>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5758"/>
    <w:rsid w:val="00CE7E6A"/>
    <w:rsid w:val="00CF030B"/>
    <w:rsid w:val="00CF23A2"/>
    <w:rsid w:val="00CF24AD"/>
    <w:rsid w:val="00CF5D77"/>
    <w:rsid w:val="00CF6EB2"/>
    <w:rsid w:val="00D00269"/>
    <w:rsid w:val="00D02F72"/>
    <w:rsid w:val="00D07CFB"/>
    <w:rsid w:val="00D10AB0"/>
    <w:rsid w:val="00D12402"/>
    <w:rsid w:val="00D12927"/>
    <w:rsid w:val="00D12EE7"/>
    <w:rsid w:val="00D1373C"/>
    <w:rsid w:val="00D15617"/>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5A4"/>
    <w:rsid w:val="00D3469A"/>
    <w:rsid w:val="00D3478C"/>
    <w:rsid w:val="00D34A5C"/>
    <w:rsid w:val="00D35986"/>
    <w:rsid w:val="00D36CE3"/>
    <w:rsid w:val="00D37494"/>
    <w:rsid w:val="00D3789A"/>
    <w:rsid w:val="00D407B7"/>
    <w:rsid w:val="00D409B3"/>
    <w:rsid w:val="00D41B84"/>
    <w:rsid w:val="00D41E2D"/>
    <w:rsid w:val="00D42588"/>
    <w:rsid w:val="00D427F9"/>
    <w:rsid w:val="00D4287D"/>
    <w:rsid w:val="00D42957"/>
    <w:rsid w:val="00D429E4"/>
    <w:rsid w:val="00D43E64"/>
    <w:rsid w:val="00D446E7"/>
    <w:rsid w:val="00D47265"/>
    <w:rsid w:val="00D47500"/>
    <w:rsid w:val="00D4793C"/>
    <w:rsid w:val="00D525E2"/>
    <w:rsid w:val="00D5750C"/>
    <w:rsid w:val="00D60582"/>
    <w:rsid w:val="00D61222"/>
    <w:rsid w:val="00D63800"/>
    <w:rsid w:val="00D63990"/>
    <w:rsid w:val="00D63D90"/>
    <w:rsid w:val="00D65068"/>
    <w:rsid w:val="00D65243"/>
    <w:rsid w:val="00D658A1"/>
    <w:rsid w:val="00D65BBD"/>
    <w:rsid w:val="00D67B28"/>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6120"/>
    <w:rsid w:val="00D963CC"/>
    <w:rsid w:val="00DA11BA"/>
    <w:rsid w:val="00DA22D8"/>
    <w:rsid w:val="00DA2D95"/>
    <w:rsid w:val="00DA3A4F"/>
    <w:rsid w:val="00DA42C0"/>
    <w:rsid w:val="00DA52A2"/>
    <w:rsid w:val="00DA5647"/>
    <w:rsid w:val="00DA57B0"/>
    <w:rsid w:val="00DA7E2F"/>
    <w:rsid w:val="00DB0C0B"/>
    <w:rsid w:val="00DB2446"/>
    <w:rsid w:val="00DB31E7"/>
    <w:rsid w:val="00DB3A66"/>
    <w:rsid w:val="00DB4BEF"/>
    <w:rsid w:val="00DB546B"/>
    <w:rsid w:val="00DB74A4"/>
    <w:rsid w:val="00DB78B2"/>
    <w:rsid w:val="00DB795F"/>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4CB"/>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DA3"/>
    <w:rsid w:val="00E03246"/>
    <w:rsid w:val="00E03508"/>
    <w:rsid w:val="00E03C0E"/>
    <w:rsid w:val="00E066DF"/>
    <w:rsid w:val="00E07128"/>
    <w:rsid w:val="00E073C2"/>
    <w:rsid w:val="00E10AC3"/>
    <w:rsid w:val="00E10C25"/>
    <w:rsid w:val="00E1123F"/>
    <w:rsid w:val="00E11294"/>
    <w:rsid w:val="00E12D1C"/>
    <w:rsid w:val="00E14266"/>
    <w:rsid w:val="00E14307"/>
    <w:rsid w:val="00E15911"/>
    <w:rsid w:val="00E16412"/>
    <w:rsid w:val="00E165DD"/>
    <w:rsid w:val="00E16A98"/>
    <w:rsid w:val="00E227C3"/>
    <w:rsid w:val="00E22843"/>
    <w:rsid w:val="00E23111"/>
    <w:rsid w:val="00E23556"/>
    <w:rsid w:val="00E24C79"/>
    <w:rsid w:val="00E26881"/>
    <w:rsid w:val="00E26DFE"/>
    <w:rsid w:val="00E2713B"/>
    <w:rsid w:val="00E274D7"/>
    <w:rsid w:val="00E310DC"/>
    <w:rsid w:val="00E3177E"/>
    <w:rsid w:val="00E31785"/>
    <w:rsid w:val="00E32652"/>
    <w:rsid w:val="00E32DDF"/>
    <w:rsid w:val="00E33108"/>
    <w:rsid w:val="00E34622"/>
    <w:rsid w:val="00E34657"/>
    <w:rsid w:val="00E34706"/>
    <w:rsid w:val="00E35537"/>
    <w:rsid w:val="00E36F7D"/>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EE8"/>
    <w:rsid w:val="00E62061"/>
    <w:rsid w:val="00E62441"/>
    <w:rsid w:val="00E62DCB"/>
    <w:rsid w:val="00E63879"/>
    <w:rsid w:val="00E647FF"/>
    <w:rsid w:val="00E650C6"/>
    <w:rsid w:val="00E66A80"/>
    <w:rsid w:val="00E66EE6"/>
    <w:rsid w:val="00E70180"/>
    <w:rsid w:val="00E7063D"/>
    <w:rsid w:val="00E71329"/>
    <w:rsid w:val="00E71633"/>
    <w:rsid w:val="00E7218C"/>
    <w:rsid w:val="00E72689"/>
    <w:rsid w:val="00E730AA"/>
    <w:rsid w:val="00E74C7A"/>
    <w:rsid w:val="00E76F52"/>
    <w:rsid w:val="00E771B8"/>
    <w:rsid w:val="00E82B54"/>
    <w:rsid w:val="00E8380C"/>
    <w:rsid w:val="00E838B2"/>
    <w:rsid w:val="00E84521"/>
    <w:rsid w:val="00E84D6B"/>
    <w:rsid w:val="00E856B0"/>
    <w:rsid w:val="00E859C9"/>
    <w:rsid w:val="00E85D85"/>
    <w:rsid w:val="00E85FF3"/>
    <w:rsid w:val="00E86868"/>
    <w:rsid w:val="00E86C2A"/>
    <w:rsid w:val="00E86CA1"/>
    <w:rsid w:val="00E870B9"/>
    <w:rsid w:val="00E87F07"/>
    <w:rsid w:val="00E91E35"/>
    <w:rsid w:val="00E9221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6084"/>
    <w:rsid w:val="00EB743F"/>
    <w:rsid w:val="00EC064C"/>
    <w:rsid w:val="00EC0BFA"/>
    <w:rsid w:val="00EC0D38"/>
    <w:rsid w:val="00EC115D"/>
    <w:rsid w:val="00EC152A"/>
    <w:rsid w:val="00EC23AC"/>
    <w:rsid w:val="00EC3328"/>
    <w:rsid w:val="00EC34A9"/>
    <w:rsid w:val="00EC3934"/>
    <w:rsid w:val="00EC3BA1"/>
    <w:rsid w:val="00EC6F0E"/>
    <w:rsid w:val="00EC7352"/>
    <w:rsid w:val="00ED2270"/>
    <w:rsid w:val="00ED3818"/>
    <w:rsid w:val="00ED3B1D"/>
    <w:rsid w:val="00ED512E"/>
    <w:rsid w:val="00ED5EFD"/>
    <w:rsid w:val="00EE00E9"/>
    <w:rsid w:val="00EE0293"/>
    <w:rsid w:val="00EE03EC"/>
    <w:rsid w:val="00EE048D"/>
    <w:rsid w:val="00EE0ACB"/>
    <w:rsid w:val="00EE107C"/>
    <w:rsid w:val="00EE123D"/>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5E7F"/>
    <w:rsid w:val="00EF7540"/>
    <w:rsid w:val="00EF75DE"/>
    <w:rsid w:val="00F00649"/>
    <w:rsid w:val="00F01443"/>
    <w:rsid w:val="00F01801"/>
    <w:rsid w:val="00F02412"/>
    <w:rsid w:val="00F026B4"/>
    <w:rsid w:val="00F0292D"/>
    <w:rsid w:val="00F02E9D"/>
    <w:rsid w:val="00F04044"/>
    <w:rsid w:val="00F046C8"/>
    <w:rsid w:val="00F047AB"/>
    <w:rsid w:val="00F055DB"/>
    <w:rsid w:val="00F05DE1"/>
    <w:rsid w:val="00F05EBB"/>
    <w:rsid w:val="00F06D58"/>
    <w:rsid w:val="00F07353"/>
    <w:rsid w:val="00F104AB"/>
    <w:rsid w:val="00F10D6B"/>
    <w:rsid w:val="00F12C08"/>
    <w:rsid w:val="00F12CDC"/>
    <w:rsid w:val="00F13E45"/>
    <w:rsid w:val="00F147C6"/>
    <w:rsid w:val="00F15794"/>
    <w:rsid w:val="00F17EFA"/>
    <w:rsid w:val="00F20933"/>
    <w:rsid w:val="00F21705"/>
    <w:rsid w:val="00F2299C"/>
    <w:rsid w:val="00F231FC"/>
    <w:rsid w:val="00F24AB7"/>
    <w:rsid w:val="00F2567E"/>
    <w:rsid w:val="00F25B61"/>
    <w:rsid w:val="00F25E84"/>
    <w:rsid w:val="00F26068"/>
    <w:rsid w:val="00F2706D"/>
    <w:rsid w:val="00F2723F"/>
    <w:rsid w:val="00F27ADB"/>
    <w:rsid w:val="00F31178"/>
    <w:rsid w:val="00F3117D"/>
    <w:rsid w:val="00F31AE8"/>
    <w:rsid w:val="00F325F9"/>
    <w:rsid w:val="00F32971"/>
    <w:rsid w:val="00F3400B"/>
    <w:rsid w:val="00F3503F"/>
    <w:rsid w:val="00F35C44"/>
    <w:rsid w:val="00F37B6F"/>
    <w:rsid w:val="00F40C05"/>
    <w:rsid w:val="00F40E86"/>
    <w:rsid w:val="00F42168"/>
    <w:rsid w:val="00F425B3"/>
    <w:rsid w:val="00F43D34"/>
    <w:rsid w:val="00F44C78"/>
    <w:rsid w:val="00F44F38"/>
    <w:rsid w:val="00F452C0"/>
    <w:rsid w:val="00F45502"/>
    <w:rsid w:val="00F459E6"/>
    <w:rsid w:val="00F53104"/>
    <w:rsid w:val="00F5372F"/>
    <w:rsid w:val="00F53C70"/>
    <w:rsid w:val="00F55309"/>
    <w:rsid w:val="00F562A9"/>
    <w:rsid w:val="00F56E0D"/>
    <w:rsid w:val="00F60C62"/>
    <w:rsid w:val="00F6300E"/>
    <w:rsid w:val="00F6301A"/>
    <w:rsid w:val="00F638B9"/>
    <w:rsid w:val="00F645AF"/>
    <w:rsid w:val="00F66BC9"/>
    <w:rsid w:val="00F67946"/>
    <w:rsid w:val="00F72B99"/>
    <w:rsid w:val="00F72CCD"/>
    <w:rsid w:val="00F72E9F"/>
    <w:rsid w:val="00F73166"/>
    <w:rsid w:val="00F736F9"/>
    <w:rsid w:val="00F739E9"/>
    <w:rsid w:val="00F75114"/>
    <w:rsid w:val="00F81620"/>
    <w:rsid w:val="00F84240"/>
    <w:rsid w:val="00F85237"/>
    <w:rsid w:val="00F8564F"/>
    <w:rsid w:val="00F87DAE"/>
    <w:rsid w:val="00F9000A"/>
    <w:rsid w:val="00F9002A"/>
    <w:rsid w:val="00F906D0"/>
    <w:rsid w:val="00F90CC8"/>
    <w:rsid w:val="00F93FEB"/>
    <w:rsid w:val="00F94E43"/>
    <w:rsid w:val="00F9566C"/>
    <w:rsid w:val="00F96156"/>
    <w:rsid w:val="00F96460"/>
    <w:rsid w:val="00F97AFE"/>
    <w:rsid w:val="00F97E65"/>
    <w:rsid w:val="00FA0128"/>
    <w:rsid w:val="00FA0F09"/>
    <w:rsid w:val="00FA1786"/>
    <w:rsid w:val="00FA17C2"/>
    <w:rsid w:val="00FA215F"/>
    <w:rsid w:val="00FA2406"/>
    <w:rsid w:val="00FA3191"/>
    <w:rsid w:val="00FA3808"/>
    <w:rsid w:val="00FA5AE3"/>
    <w:rsid w:val="00FA73DD"/>
    <w:rsid w:val="00FB13C2"/>
    <w:rsid w:val="00FB1C70"/>
    <w:rsid w:val="00FB25AF"/>
    <w:rsid w:val="00FB27FA"/>
    <w:rsid w:val="00FB2EE1"/>
    <w:rsid w:val="00FB35D3"/>
    <w:rsid w:val="00FB380D"/>
    <w:rsid w:val="00FB3FB7"/>
    <w:rsid w:val="00FB68A4"/>
    <w:rsid w:val="00FB76C5"/>
    <w:rsid w:val="00FB7FBE"/>
    <w:rsid w:val="00FC0824"/>
    <w:rsid w:val="00FC0C57"/>
    <w:rsid w:val="00FC16B9"/>
    <w:rsid w:val="00FC1DA7"/>
    <w:rsid w:val="00FC2414"/>
    <w:rsid w:val="00FC2C4D"/>
    <w:rsid w:val="00FC2E20"/>
    <w:rsid w:val="00FC365D"/>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6452"/>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Puesto">
    <w:name w:val="Title"/>
    <w:basedOn w:val="Normal"/>
    <w:next w:val="Normal"/>
    <w:link w:val="Puest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3353422">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9102079">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836892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5259235">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83466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2830836">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07836381">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6578458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6706152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moaya.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dof.gob.mx/nota_detalle.php?codigo=5425535&amp;fecha=12/02/2016" TargetMode="External"/><Relationship Id="rId2" Type="http://schemas.openxmlformats.org/officeDocument/2006/relationships/hyperlink" Target="http://www.diputados.gob.mx/LeyesBiblio/pdf/257_200618.pdf" TargetMode="External"/><Relationship Id="rId1" Type="http://schemas.openxmlformats.org/officeDocument/2006/relationships/hyperlink" Target="https://www.gob.mx/cms/uploads/attachment/file/121653/Infografia_INDI_FINAL_0808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2CF5C-DB33-4884-92A2-12A97DE8F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45</Pages>
  <Words>10364</Words>
  <Characters>57004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2019-12-11T01:19:00Z</cp:lastPrinted>
  <dcterms:created xsi:type="dcterms:W3CDTF">2022-11-17T17:53:00Z</dcterms:created>
  <dcterms:modified xsi:type="dcterms:W3CDTF">2022-12-12T17:50:00Z</dcterms:modified>
</cp:coreProperties>
</file>