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3CC" w:rsidRDefault="00C614E0">
      <w:pPr>
        <w:spacing w:line="360" w:lineRule="auto"/>
        <w:jc w:val="both"/>
        <w:rPr>
          <w:rFonts w:ascii="Palatino Linotype" w:hAnsi="Palatino Linotype" w:cs="Arial"/>
        </w:rPr>
      </w:pPr>
      <w:r w:rsidRPr="00900732">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cs="Arial"/>
        </w:rPr>
        <w:t>celebrada el</w:t>
      </w:r>
      <w:r w:rsidRPr="00900732">
        <w:rPr>
          <w:rFonts w:ascii="Palatino Linotype" w:hAnsi="Palatino Linotype" w:cs="Arial"/>
        </w:rPr>
        <w:t xml:space="preserve"> </w:t>
      </w:r>
      <w:r>
        <w:rPr>
          <w:rFonts w:ascii="Palatino Linotype" w:hAnsi="Palatino Linotype" w:cs="Arial"/>
        </w:rPr>
        <w:t xml:space="preserve">veintiuno </w:t>
      </w:r>
      <w:r w:rsidRPr="00900732">
        <w:rPr>
          <w:rFonts w:ascii="Palatino Linotype" w:hAnsi="Palatino Linotype" w:cs="Arial"/>
        </w:rPr>
        <w:t xml:space="preserve">de </w:t>
      </w:r>
      <w:r>
        <w:rPr>
          <w:rFonts w:ascii="Palatino Linotype" w:hAnsi="Palatino Linotype" w:cs="Arial"/>
        </w:rPr>
        <w:t xml:space="preserve">junio </w:t>
      </w:r>
      <w:r w:rsidRPr="00900732">
        <w:rPr>
          <w:rFonts w:ascii="Palatino Linotype" w:hAnsi="Palatino Linotype" w:cs="Arial"/>
        </w:rPr>
        <w:t>de dos mil veintidós.</w:t>
      </w:r>
    </w:p>
    <w:p w:rsidR="00C614E0" w:rsidRDefault="00C614E0">
      <w:pPr>
        <w:spacing w:line="360" w:lineRule="auto"/>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05457/INFOEM/IP/RR/2022, </w:t>
      </w:r>
      <w:r>
        <w:rPr>
          <w:rFonts w:ascii="Palatino Linotype" w:eastAsia="Palatino Linotype" w:hAnsi="Palatino Linotype" w:cs="Palatino Linotype"/>
        </w:rPr>
        <w:t xml:space="preserve">promovido por el </w:t>
      </w:r>
      <w:r w:rsidRPr="00670B7F">
        <w:rPr>
          <w:rFonts w:ascii="Palatino Linotype" w:eastAsia="Palatino Linotype" w:hAnsi="Palatino Linotype" w:cs="Palatino Linotype"/>
          <w:b/>
        </w:rPr>
        <w:t>C.</w:t>
      </w:r>
      <w:r>
        <w:rPr>
          <w:rFonts w:ascii="Palatino Linotype" w:eastAsia="Palatino Linotype" w:hAnsi="Palatino Linotype" w:cs="Palatino Linotype"/>
        </w:rPr>
        <w:t xml:space="preserve"> </w:t>
      </w:r>
      <w:bookmarkStart w:id="0" w:name="_GoBack"/>
      <w:r w:rsidR="00B97BAE">
        <w:rPr>
          <w:rFonts w:ascii="Palatino Linotype" w:eastAsia="Palatino Linotype" w:hAnsi="Palatino Linotype" w:cs="Palatino Linotype"/>
          <w:b/>
        </w:rPr>
        <w:t>XXXX XXXXXX XXXXX</w:t>
      </w:r>
      <w:bookmarkEnd w:id="0"/>
      <w:r>
        <w:rPr>
          <w:rFonts w:ascii="Palatino Linotype" w:eastAsia="Palatino Linotype" w:hAnsi="Palatino Linotype" w:cs="Palatino Linotype"/>
        </w:rPr>
        <w:t xml:space="preserve">, 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Temamatla,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rsidR="008E63CC" w:rsidRDefault="008E63CC">
      <w:pPr>
        <w:spacing w:line="360" w:lineRule="auto"/>
        <w:jc w:val="both"/>
        <w:rPr>
          <w:rFonts w:ascii="Palatino Linotype" w:eastAsia="Palatino Linotype" w:hAnsi="Palatino Linotype" w:cs="Palatino Linotype"/>
          <w:b/>
        </w:rPr>
      </w:pPr>
    </w:p>
    <w:p w:rsidR="008E63CC" w:rsidRDefault="00681B91">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rsidR="008E63CC" w:rsidRDefault="008E63CC">
      <w:pPr>
        <w:rPr>
          <w:rFonts w:ascii="Palatino Linotype" w:eastAsia="Palatino Linotype" w:hAnsi="Palatino Linotype" w:cs="Palatino Linotype"/>
          <w:b/>
        </w:rPr>
      </w:pPr>
    </w:p>
    <w:p w:rsidR="008E63CC" w:rsidRDefault="00681B91">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rsidR="008E63CC" w:rsidRDefault="00681B91">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Pr>
          <w:rFonts w:ascii="Palatino Linotype" w:eastAsia="Palatino Linotype" w:hAnsi="Palatino Linotype" w:cs="Palatino Linotype"/>
        </w:rPr>
        <w:t xml:space="preserve"> En fecha veinticuatro de marzo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00147/TEMAMATL/IP/2022, </w:t>
      </w:r>
      <w:r>
        <w:rPr>
          <w:rFonts w:ascii="Palatino Linotype" w:eastAsia="Palatino Linotype" w:hAnsi="Palatino Linotype" w:cs="Palatino Linotype"/>
        </w:rPr>
        <w:t>requirió, lo siguiente:</w:t>
      </w:r>
    </w:p>
    <w:p w:rsidR="008E63CC" w:rsidRDefault="00681B91">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“soporte documental de información de La reparación de la bomba de agua con su bitácora de mantenimiento, factura del servicio, compra del material o cual fue el procesos para su reparación de 01 de enero al 24 de marzo de 2022.” (sic)</w:t>
      </w:r>
    </w:p>
    <w:p w:rsidR="008E63CC" w:rsidRDefault="008E63CC">
      <w:pPr>
        <w:tabs>
          <w:tab w:val="left" w:pos="851"/>
        </w:tabs>
        <w:ind w:right="901"/>
        <w:jc w:val="both"/>
        <w:rPr>
          <w:rFonts w:ascii="Palatino Linotype" w:eastAsia="Palatino Linotype" w:hAnsi="Palatino Linotype" w:cs="Palatino Linotype"/>
          <w:sz w:val="22"/>
          <w:szCs w:val="22"/>
        </w:rPr>
      </w:pPr>
    </w:p>
    <w:p w:rsidR="008E63CC" w:rsidRDefault="00681B91">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rsidR="008E63CC" w:rsidRDefault="008E63CC">
      <w:pPr>
        <w:pBdr>
          <w:top w:val="nil"/>
          <w:left w:val="nil"/>
          <w:bottom w:val="nil"/>
          <w:right w:val="nil"/>
          <w:between w:val="nil"/>
        </w:pBdr>
        <w:spacing w:line="360" w:lineRule="auto"/>
        <w:ind w:left="850"/>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 Turno de requerimiento del Sujeto Obligado</w:t>
      </w: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los expedientes electrónicos del SAIMEX no se advierte turno de requerimiento alguno a los servidores públicos habilitados competentes, en términos de lo establecido por el artículo 162 de la Ley de Transparencia y Acceso a la Información Pública del Estado de México y Municipios.</w:t>
      </w:r>
    </w:p>
    <w:p w:rsidR="008E63CC" w:rsidRDefault="00681B91">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 </w:t>
      </w:r>
    </w:p>
    <w:p w:rsidR="008E63CC" w:rsidRDefault="00681B91">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SAIMEX se observa que en fecha dos de abril de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 solicitud de acceso a la información pública en los términos siguientes: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“Temamatla, México a 02 de Abril de 2022</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Nombre del solicitante: C. Solicitante</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Folio de la solicitud: 00147/TEMAMATL/IP/2022</w:t>
      </w:r>
    </w:p>
    <w:p w:rsidR="008E63CC" w:rsidRDefault="00681B91">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En atención a la solicitud de información registrada con el número de folio 00147/TEMAMATL/IP/2022, le hago llegar la siguiente información: “soporte documental de información de La reparación de la bomba de agua con su bitácora de mantenimiento, factura del servicio, compra del material o cual fue el procesos para su reparación de 01 de enero al 24 de marzo de 2022”(Sic) Lo anterior, con base a la respuesta emitida por el Servidor Público Habilitado de la Dirección de Servicios Públicos. Adicionalmente, se hace de su conocimiento el término de quince días para interponer el Recurso de Revisión que se señala en los artículos 176, 177 y 178 de la Ley de la materia, en caso de considerar que la respuesta es desfavorable a su solicitud.”(Sic)</w:t>
      </w:r>
    </w:p>
    <w:p w:rsidR="008E63CC" w:rsidRDefault="008E63CC">
      <w:pPr>
        <w:spacing w:line="360" w:lineRule="auto"/>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Adjuntando a su respuesta el documento de nombre “</w:t>
      </w:r>
      <w:r>
        <w:rPr>
          <w:rFonts w:ascii="Palatino Linotype" w:eastAsia="Palatino Linotype" w:hAnsi="Palatino Linotype" w:cs="Palatino Linotype"/>
          <w:i/>
        </w:rPr>
        <w:t>SOL 00147 SERV PUBLICOS.pdf</w:t>
      </w:r>
      <w:r>
        <w:rPr>
          <w:rFonts w:ascii="Palatino Linotype" w:eastAsia="Palatino Linotype" w:hAnsi="Palatino Linotype" w:cs="Palatino Linotype"/>
        </w:rPr>
        <w:t xml:space="preserve">” el cual contiene la respuesta del Director de Servicios Públicos emitida en fecha </w:t>
      </w:r>
      <w:r>
        <w:rPr>
          <w:rFonts w:ascii="Palatino Linotype" w:eastAsia="Palatino Linotype" w:hAnsi="Palatino Linotype" w:cs="Palatino Linotype"/>
        </w:rPr>
        <w:lastRenderedPageBreak/>
        <w:t xml:space="preserve">veintinueve de marzo de dos mil veintidós donde señala lo que a continuación se muestra: </w:t>
      </w:r>
    </w:p>
    <w:p w:rsidR="008E63CC" w:rsidRDefault="00681B91">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5114925" cy="1647825"/>
            <wp:effectExtent l="0" t="0" r="0" b="0"/>
            <wp:docPr id="3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114925" cy="1647825"/>
                    </a:xfrm>
                    <a:prstGeom prst="rect">
                      <a:avLst/>
                    </a:prstGeom>
                    <a:ln/>
                  </pic:spPr>
                </pic:pic>
              </a:graphicData>
            </a:graphic>
          </wp:inline>
        </w:drawing>
      </w: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de dos fojas las cuales contienen la bitácora de funcionamiento de la bomba referida. </w:t>
      </w:r>
    </w:p>
    <w:p w:rsidR="008E63CC" w:rsidRDefault="008E63CC">
      <w:pPr>
        <w:spacing w:line="360" w:lineRule="auto"/>
        <w:jc w:val="both"/>
        <w:rPr>
          <w:rFonts w:ascii="Palatino Linotype" w:eastAsia="Palatino Linotype" w:hAnsi="Palatino Linotype" w:cs="Palatino Linotype"/>
        </w:rPr>
      </w:pPr>
    </w:p>
    <w:p w:rsidR="008E63CC" w:rsidRDefault="00670B7F">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 xml:space="preserve">IV. </w:t>
      </w:r>
      <w:r w:rsidR="00681B91">
        <w:rPr>
          <w:rFonts w:ascii="Palatino Linotype" w:eastAsia="Palatino Linotype" w:hAnsi="Palatino Linotype" w:cs="Palatino Linotype"/>
          <w:b/>
          <w:sz w:val="28"/>
          <w:szCs w:val="28"/>
        </w:rPr>
        <w:t>Del Recurso de Revisión</w:t>
      </w:r>
      <w:r w:rsidR="00681B91">
        <w:rPr>
          <w:rFonts w:ascii="Palatino Linotype" w:eastAsia="Palatino Linotype" w:hAnsi="Palatino Linotype" w:cs="Palatino Linotype"/>
          <w:b/>
        </w:rPr>
        <w:t>.</w:t>
      </w:r>
    </w:p>
    <w:p w:rsidR="008E63CC" w:rsidRDefault="00681B9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con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dos de abril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05457/INFOEM/IP/RR/2022,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rsidR="008E63CC" w:rsidRDefault="008E63CC">
      <w:pPr>
        <w:widowControl w:val="0"/>
        <w:spacing w:line="360" w:lineRule="auto"/>
        <w:jc w:val="both"/>
        <w:rPr>
          <w:rFonts w:ascii="Palatino Linotype" w:eastAsia="Palatino Linotype" w:hAnsi="Palatino Linotype" w:cs="Palatino Linotype"/>
        </w:rPr>
      </w:pPr>
    </w:p>
    <w:p w:rsidR="008E63CC" w:rsidRDefault="00681B91">
      <w:pPr>
        <w:spacing w:line="360" w:lineRule="auto"/>
        <w:ind w:left="-57" w:right="-57"/>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r>
        <w:rPr>
          <w:b/>
          <w:u w:val="single"/>
        </w:rPr>
        <w:t xml:space="preserve"> </w:t>
      </w:r>
    </w:p>
    <w:p w:rsidR="008E63CC" w:rsidRDefault="00681B91">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“soporte documental de información de La reparación de la bomba de agua con su bitácora de mantenimiento, factura del servicio, compra del material o cual fue el procesos para su reparación de 01 de enero al 24 de marzo de 2022”(sic)</w:t>
      </w:r>
    </w:p>
    <w:p w:rsidR="008E63CC" w:rsidRDefault="008E63CC">
      <w:pPr>
        <w:tabs>
          <w:tab w:val="left" w:pos="709"/>
        </w:tabs>
        <w:spacing w:before="66"/>
        <w:ind w:left="850" w:right="899"/>
        <w:rPr>
          <w:rFonts w:ascii="Palatino Linotype" w:eastAsia="Palatino Linotype" w:hAnsi="Palatino Linotype" w:cs="Palatino Linotype"/>
          <w:i/>
          <w:sz w:val="20"/>
          <w:szCs w:val="20"/>
        </w:rPr>
      </w:pPr>
    </w:p>
    <w:p w:rsidR="008E63CC" w:rsidRDefault="00681B91">
      <w:pPr>
        <w:tabs>
          <w:tab w:val="left" w:pos="709"/>
        </w:tabs>
        <w:spacing w:before="66"/>
        <w:rPr>
          <w:rFonts w:ascii="Palatino Linotype" w:eastAsia="Palatino Linotype" w:hAnsi="Palatino Linotype" w:cs="Palatino Linotype"/>
          <w:b/>
          <w:u w:val="single"/>
        </w:rPr>
      </w:pPr>
      <w:r>
        <w:rPr>
          <w:rFonts w:ascii="Palatino Linotype" w:eastAsia="Palatino Linotype" w:hAnsi="Palatino Linotype" w:cs="Palatino Linotype"/>
          <w:b/>
          <w:u w:val="single"/>
        </w:rPr>
        <w:t>Razones o motivos de la inconformidad:</w:t>
      </w:r>
    </w:p>
    <w:p w:rsidR="008E63CC" w:rsidRDefault="008E63CC">
      <w:pPr>
        <w:tabs>
          <w:tab w:val="left" w:pos="709"/>
        </w:tabs>
        <w:spacing w:before="66"/>
        <w:rPr>
          <w:rFonts w:ascii="Palatino Linotype" w:eastAsia="Palatino Linotype" w:hAnsi="Palatino Linotype" w:cs="Palatino Linotype"/>
        </w:rPr>
      </w:pPr>
    </w:p>
    <w:p w:rsidR="008E63CC" w:rsidRDefault="00681B91">
      <w:pPr>
        <w:ind w:left="850" w:right="899"/>
        <w:jc w:val="both"/>
        <w:rPr>
          <w:rFonts w:ascii="Palatino Linotype" w:eastAsia="Palatino Linotype" w:hAnsi="Palatino Linotype" w:cs="Palatino Linotype"/>
          <w:b/>
        </w:rPr>
      </w:pPr>
      <w:r>
        <w:rPr>
          <w:rFonts w:ascii="Palatino Linotype" w:eastAsia="Palatino Linotype" w:hAnsi="Palatino Linotype" w:cs="Palatino Linotype"/>
          <w:i/>
          <w:sz w:val="22"/>
          <w:szCs w:val="22"/>
        </w:rPr>
        <w:lastRenderedPageBreak/>
        <w:t>“El área de servicios públicos no es competente competente para contestar o entregar la información solicitada” (sic)</w:t>
      </w:r>
    </w:p>
    <w:p w:rsidR="008E63CC" w:rsidRDefault="008E63CC">
      <w:pPr>
        <w:spacing w:line="360" w:lineRule="auto"/>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dos de abril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a efecto de decretar su admisión o desechamiento.</w:t>
      </w:r>
    </w:p>
    <w:p w:rsidR="008E63CC" w:rsidRDefault="008E63CC">
      <w:pPr>
        <w:spacing w:line="360" w:lineRule="auto"/>
        <w:jc w:val="both"/>
        <w:rPr>
          <w:rFonts w:ascii="Palatino Linotype" w:eastAsia="Palatino Linotype" w:hAnsi="Palatino Linotype" w:cs="Palatino Linotype"/>
        </w:rPr>
      </w:pPr>
    </w:p>
    <w:p w:rsidR="008E63CC" w:rsidRDefault="00681B91">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rsidR="008E63CC" w:rsidRDefault="00681B91">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seis de abril de dos mil veintidós, se acordó la admisión a trámite del Recurso de Revisión que nos ocupa; así como la integración del expediente respectivo, mismo que se puso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rsidR="008E63CC" w:rsidRDefault="008E63CC">
      <w:pPr>
        <w:tabs>
          <w:tab w:val="center" w:pos="4252"/>
          <w:tab w:val="right" w:pos="8504"/>
        </w:tabs>
        <w:spacing w:line="360" w:lineRule="auto"/>
        <w:jc w:val="both"/>
        <w:rPr>
          <w:rFonts w:ascii="Palatino Linotype" w:eastAsia="Palatino Linotype" w:hAnsi="Palatino Linotype" w:cs="Palatino Linotype"/>
        </w:rPr>
      </w:pPr>
    </w:p>
    <w:p w:rsidR="00670B7F" w:rsidRDefault="00670B7F">
      <w:pPr>
        <w:tabs>
          <w:tab w:val="center" w:pos="4252"/>
          <w:tab w:val="right" w:pos="8504"/>
        </w:tabs>
        <w:spacing w:line="360" w:lineRule="auto"/>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b) Informe Justificado</w:t>
      </w:r>
    </w:p>
    <w:p w:rsidR="008E63CC" w:rsidRDefault="00681B91">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presentó manifestaciones que a su derecho convinieran. De igual manera,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fue omiso en presentar su Informe Justificado correspondiente. </w:t>
      </w:r>
    </w:p>
    <w:p w:rsidR="008E63CC" w:rsidRDefault="008E63CC">
      <w:pPr>
        <w:widowControl w:val="0"/>
        <w:tabs>
          <w:tab w:val="left" w:pos="0"/>
        </w:tabs>
        <w:spacing w:line="360" w:lineRule="auto"/>
        <w:jc w:val="both"/>
        <w:rPr>
          <w:rFonts w:ascii="Palatino Linotype" w:eastAsia="Palatino Linotype" w:hAnsi="Palatino Linotype" w:cs="Palatino Linotype"/>
        </w:rPr>
      </w:pPr>
    </w:p>
    <w:p w:rsidR="008E63CC" w:rsidRDefault="00681B91">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rsidR="008E63CC" w:rsidRDefault="00670B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diez de junio </w:t>
      </w:r>
      <w:r w:rsidR="00681B91">
        <w:rPr>
          <w:rFonts w:ascii="Palatino Linotype" w:eastAsia="Palatino Linotype" w:hAnsi="Palatino Linotype" w:cs="Palatino Linotype"/>
        </w:rPr>
        <w:t>de dos mil veintidós, se notificó el acuerdo de ampliación de plazo para resolver el presente Recurso de Revisión, previsto en el artículo 181, tercer párrafo de la Ley de Transparencia y Acceso a la Información Pública del Estado de México y Municipios.</w:t>
      </w:r>
    </w:p>
    <w:p w:rsidR="008E63CC" w:rsidRDefault="008E63CC">
      <w:pPr>
        <w:spacing w:line="360" w:lineRule="auto"/>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 Cierre de Instrucción</w:t>
      </w: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 el expediente, en fecha veinte de junio de dos mil veintidós,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w:t>
      </w:r>
      <w:r w:rsidR="00670B7F">
        <w:rPr>
          <w:rFonts w:ascii="Palatino Linotype" w:eastAsia="Palatino Linotype" w:hAnsi="Palatino Linotype" w:cs="Palatino Linotype"/>
        </w:rPr>
        <w:t>tado de México y Municipios.</w:t>
      </w:r>
    </w:p>
    <w:p w:rsidR="00670B7F" w:rsidRDefault="00670B7F">
      <w:pPr>
        <w:spacing w:line="360" w:lineRule="auto"/>
        <w:jc w:val="both"/>
        <w:rPr>
          <w:rFonts w:ascii="Palatino Linotype" w:eastAsia="Palatino Linotype" w:hAnsi="Palatino Linotype" w:cs="Palatino Linotype"/>
        </w:rPr>
      </w:pPr>
    </w:p>
    <w:p w:rsidR="008E63CC" w:rsidRDefault="00681B91">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CONSIDERANDO</w:t>
      </w:r>
    </w:p>
    <w:p w:rsidR="008E63CC" w:rsidRDefault="008E63CC">
      <w:pPr>
        <w:jc w:val="center"/>
        <w:rPr>
          <w:rFonts w:ascii="Palatino Linotype" w:eastAsia="Palatino Linotype" w:hAnsi="Palatino Linotype" w:cs="Palatino Linotype"/>
          <w:b/>
          <w:sz w:val="28"/>
          <w:szCs w:val="28"/>
        </w:rPr>
      </w:pPr>
    </w:p>
    <w:p w:rsidR="008E63CC" w:rsidRDefault="00681B91">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rsidR="008E63CC" w:rsidRDefault="00681B91">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8E63CC" w:rsidRDefault="008E63CC">
      <w:pPr>
        <w:spacing w:line="360" w:lineRule="auto"/>
        <w:jc w:val="both"/>
        <w:rPr>
          <w:rFonts w:ascii="Palatino Linotype" w:eastAsia="Palatino Linotype" w:hAnsi="Palatino Linotype" w:cs="Palatino Linotype"/>
          <w:b/>
          <w:sz w:val="28"/>
          <w:szCs w:val="28"/>
        </w:rPr>
      </w:pPr>
    </w:p>
    <w:p w:rsidR="008E63CC" w:rsidRDefault="00681B9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rsidR="008E63CC" w:rsidRDefault="00681B91">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Pr>
          <w:rFonts w:ascii="Palatino Linotype" w:eastAsia="Palatino Linotype" w:hAnsi="Palatino Linotype" w:cs="Palatino Linotype"/>
          <w:b/>
        </w:rPr>
        <w:t>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rsidR="008E63CC" w:rsidRDefault="008E63CC">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670B7F" w:rsidRDefault="00670B7F">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8E63CC" w:rsidRDefault="00681B91">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lastRenderedPageBreak/>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rsidR="008E63CC" w:rsidRDefault="00681B91">
      <w:pPr>
        <w:widowControl w:val="0"/>
        <w:tabs>
          <w:tab w:val="left" w:pos="1701"/>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contados a partir del día siguiente al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8E63CC" w:rsidRDefault="008E63CC">
      <w:pPr>
        <w:ind w:left="720" w:right="709"/>
        <w:jc w:val="both"/>
        <w:rPr>
          <w:rFonts w:ascii="Palatino Linotype" w:eastAsia="Palatino Linotype" w:hAnsi="Palatino Linotype" w:cs="Palatino Linotype"/>
          <w:i/>
          <w:sz w:val="22"/>
          <w:szCs w:val="22"/>
        </w:rPr>
      </w:pP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E63CC" w:rsidRDefault="008E63CC">
      <w:pPr>
        <w:ind w:left="851" w:right="899"/>
        <w:jc w:val="both"/>
        <w:rPr>
          <w:rFonts w:ascii="Palatino Linotype" w:eastAsia="Palatino Linotype" w:hAnsi="Palatino Linotype" w:cs="Palatino Linotype"/>
          <w:i/>
          <w:sz w:val="22"/>
          <w:szCs w:val="22"/>
        </w:rPr>
      </w:pP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E63CC" w:rsidRDefault="008E63CC">
      <w:pPr>
        <w:ind w:left="851" w:right="899"/>
        <w:jc w:val="both"/>
        <w:rPr>
          <w:rFonts w:ascii="Palatino Linotype" w:eastAsia="Palatino Linotype" w:hAnsi="Palatino Linotype" w:cs="Palatino Linotype"/>
          <w:i/>
          <w:sz w:val="22"/>
          <w:szCs w:val="22"/>
        </w:rPr>
      </w:pP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8E63CC" w:rsidRDefault="008E63CC">
      <w:pPr>
        <w:ind w:left="720" w:right="709"/>
        <w:jc w:val="both"/>
        <w:rPr>
          <w:rFonts w:ascii="Palatino Linotype" w:eastAsia="Palatino Linotype" w:hAnsi="Palatino Linotype" w:cs="Palatino Linotype"/>
          <w:i/>
          <w:sz w:val="22"/>
          <w:szCs w:val="22"/>
        </w:rPr>
      </w:pPr>
    </w:p>
    <w:p w:rsidR="008E63CC" w:rsidRDefault="00681B91">
      <w:pPr>
        <w:spacing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dos de abril de dos mil veintidós</w:t>
      </w:r>
      <w:r>
        <w:rPr>
          <w:rFonts w:ascii="Palatino Linotype" w:eastAsia="Palatino Linotype" w:hAnsi="Palatino Linotype" w:cs="Palatino Linotype"/>
        </w:rPr>
        <w:t xml:space="preserve">, el cual fue día inhábil, por lo que se tiene por notificada en fecha cuatro de abril de dos mil veintidós  así, el plazo de quince días hábiles que el artículo 178 de la Ley de la materia otorga al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w:t>
      </w:r>
      <w:r>
        <w:rPr>
          <w:rFonts w:ascii="Palatino Linotype" w:eastAsia="Palatino Linotype" w:hAnsi="Palatino Linotype" w:cs="Palatino Linotype"/>
          <w:b/>
        </w:rPr>
        <w:t xml:space="preserve"> cinco de abril al dos de mayo de dos mil veintidós, </w:t>
      </w:r>
      <w:r>
        <w:rPr>
          <w:rFonts w:ascii="Palatino Linotype" w:eastAsia="Palatino Linotype" w:hAnsi="Palatino Linotype" w:cs="Palatino Linotype"/>
        </w:rPr>
        <w:t xml:space="preserve">sin contemplar en el cómputo los días dos, tres, nueve, diez, dieciséis, diecisiete, veintitrés, veinticuatro y treinta de abril, así como el uno de mayo de dos mil veintidós por corresponder a </w:t>
      </w:r>
      <w:r>
        <w:rPr>
          <w:rFonts w:ascii="Palatino Linotype" w:eastAsia="Palatino Linotype" w:hAnsi="Palatino Linotype" w:cs="Palatino Linotype"/>
        </w:rPr>
        <w:lastRenderedPageBreak/>
        <w:t>sábados y domingos, considerados como días inhábiles, en términos del artículo 3, fracción X de la Ley de Transparencia y Acceso a la Información Pública del Estado de México y Municipios. Exceptuando además de dicho plazo el periodo del once al quince de abril por ser considerados como día inhábiles  por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rsidR="008E63CC" w:rsidRDefault="008E63CC">
      <w:pPr>
        <w:spacing w:line="360" w:lineRule="auto"/>
        <w:jc w:val="both"/>
        <w:rPr>
          <w:rFonts w:ascii="Palatino Linotype" w:eastAsia="Palatino Linotype" w:hAnsi="Palatino Linotype" w:cs="Palatino Linotype"/>
        </w:rPr>
      </w:pPr>
      <w:bookmarkStart w:id="5" w:name="_heading=h.orkc3o7h9xbv" w:colFirst="0" w:colLast="0"/>
      <w:bookmarkEnd w:id="5"/>
    </w:p>
    <w:p w:rsidR="008E63CC" w:rsidRDefault="00681B91">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el medio de impugnación, el mismo día en que se le notificó las respuesta impugnada;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Pr>
          <w:rFonts w:ascii="Palatino Linotype" w:eastAsia="Palatino Linotype" w:hAnsi="Palatino Linotype" w:cs="Palatino Linotype"/>
          <w:b/>
          <w:u w:val="single"/>
        </w:rPr>
        <w:t>dentro</w:t>
      </w:r>
      <w:r>
        <w:rPr>
          <w:rFonts w:ascii="Palatino Linotype" w:eastAsia="Palatino Linotype" w:hAnsi="Palatino Linotype" w:cs="Palatino Linotype"/>
        </w:rPr>
        <w:t xml:space="preserve"> de los quince días hábiles siguientes en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tenga conocimiento de la respuesta impugnada, no limita a los particulares para que lo puedan presentar </w:t>
      </w:r>
      <w:r>
        <w:rPr>
          <w:rFonts w:ascii="Palatino Linotype" w:eastAsia="Palatino Linotype" w:hAnsi="Palatino Linotype" w:cs="Palatino Linotype"/>
          <w:b/>
        </w:rPr>
        <w:t>el mismo día</w:t>
      </w:r>
      <w:r>
        <w:rPr>
          <w:rFonts w:ascii="Palatino Linotype" w:eastAsia="Palatino Linotype" w:hAnsi="Palatino Linotype" w:cs="Palatino Linotype"/>
        </w:rPr>
        <w:t xml:space="preserve"> en que le sea notificada dicha respuesta.</w:t>
      </w:r>
    </w:p>
    <w:p w:rsidR="008E63CC" w:rsidRDefault="008E63CC">
      <w:pPr>
        <w:spacing w:line="360" w:lineRule="auto"/>
        <w:jc w:val="both"/>
      </w:pPr>
    </w:p>
    <w:p w:rsidR="008E63CC" w:rsidRDefault="00681B91">
      <w:pPr>
        <w:spacing w:line="360" w:lineRule="auto"/>
        <w:jc w:val="both"/>
      </w:pPr>
      <w:r>
        <w:rPr>
          <w:rFonts w:ascii="Palatino Linotype" w:eastAsia="Palatino Linotype" w:hAnsi="Palatino Linotype" w:cs="Palatino Linotype"/>
        </w:rPr>
        <w:lastRenderedPageBreak/>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rsidR="008E63CC" w:rsidRDefault="008E63CC">
      <w:pPr>
        <w:ind w:left="709" w:right="709"/>
        <w:jc w:val="both"/>
        <w:rPr>
          <w:rFonts w:ascii="Palatino Linotype" w:eastAsia="Palatino Linotype" w:hAnsi="Palatino Linotype" w:cs="Palatino Linotype"/>
          <w:i/>
          <w:sz w:val="22"/>
          <w:szCs w:val="22"/>
        </w:rPr>
      </w:pPr>
    </w:p>
    <w:p w:rsidR="008E63CC" w:rsidRDefault="00681B91">
      <w:pPr>
        <w:ind w:left="709" w:right="709"/>
        <w:jc w:val="both"/>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t xml:space="preserve"> </w:t>
      </w:r>
    </w:p>
    <w:p w:rsidR="008E63CC" w:rsidRDefault="008E63CC">
      <w:pPr>
        <w:ind w:left="709" w:right="709"/>
        <w:jc w:val="both"/>
      </w:pPr>
    </w:p>
    <w:p w:rsidR="008E63CC" w:rsidRDefault="00681B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rsidR="008E63CC" w:rsidRDefault="008E63CC">
      <w:pPr>
        <w:spacing w:line="360" w:lineRule="auto"/>
        <w:ind w:right="49"/>
        <w:jc w:val="both"/>
        <w:rPr>
          <w:rFonts w:ascii="Palatino Linotype" w:eastAsia="Palatino Linotype" w:hAnsi="Palatino Linotype" w:cs="Palatino Linotype"/>
        </w:rPr>
      </w:pPr>
    </w:p>
    <w:p w:rsidR="008E63CC" w:rsidRDefault="00681B91">
      <w:pPr>
        <w:spacing w:line="360" w:lineRule="auto"/>
        <w:ind w:right="49"/>
        <w:jc w:val="both"/>
        <w:rPr>
          <w:sz w:val="28"/>
          <w:szCs w:val="28"/>
        </w:rPr>
      </w:pPr>
      <w:r>
        <w:rPr>
          <w:rFonts w:ascii="Palatino Linotype" w:eastAsia="Palatino Linotype" w:hAnsi="Palatino Linotype" w:cs="Palatino Linotype"/>
        </w:rPr>
        <w:t xml:space="preserve">Por ello, al haber interpuesto el recurso materia de este análisis el mismo día de la notificación de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considerarse en tiempo. </w:t>
      </w:r>
    </w:p>
    <w:p w:rsidR="008E63CC" w:rsidRDefault="008E63CC">
      <w:pPr>
        <w:spacing w:line="360" w:lineRule="auto"/>
        <w:ind w:left="-5" w:hanging="10"/>
        <w:jc w:val="both"/>
        <w:rPr>
          <w:rFonts w:ascii="Palatino Linotype" w:eastAsia="Palatino Linotype" w:hAnsi="Palatino Linotype" w:cs="Palatino Linotype"/>
        </w:rPr>
      </w:pPr>
    </w:p>
    <w:p w:rsidR="008E63CC" w:rsidRDefault="00681B91">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rsidR="008E63CC" w:rsidRDefault="008E63CC">
      <w:pPr>
        <w:spacing w:line="360" w:lineRule="auto"/>
        <w:ind w:right="49"/>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w:t>
      </w:r>
      <w:r>
        <w:rPr>
          <w:rFonts w:ascii="Palatino Linotype" w:eastAsia="Palatino Linotype" w:hAnsi="Palatino Linotype" w:cs="Palatino Linotype"/>
        </w:rPr>
        <w:lastRenderedPageBreak/>
        <w:t>exigidos por el artículo 180 de la Ley de Transparencia y Acceso a la Información Pública del Estado de México y Municipios, que a la letra señala:</w:t>
      </w:r>
    </w:p>
    <w:p w:rsidR="008E63CC" w:rsidRDefault="008E63CC">
      <w:pPr>
        <w:spacing w:line="360" w:lineRule="auto"/>
        <w:jc w:val="both"/>
        <w:rPr>
          <w:rFonts w:ascii="Palatino Linotype" w:eastAsia="Palatino Linotype" w:hAnsi="Palatino Linotype" w:cs="Palatino Linotype"/>
        </w:rPr>
      </w:pP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180</w:t>
      </w:r>
      <w:r>
        <w:rPr>
          <w:rFonts w:ascii="Palatino Linotype" w:eastAsia="Palatino Linotype" w:hAnsi="Palatino Linotype" w:cs="Palatino Linotype"/>
          <w:i/>
          <w:sz w:val="22"/>
          <w:szCs w:val="22"/>
        </w:rPr>
        <w:t>. El recurso de revisión contendrá:</w:t>
      </w:r>
    </w:p>
    <w:p w:rsidR="008E63CC" w:rsidRDefault="008E63CC">
      <w:pPr>
        <w:ind w:left="851" w:right="899"/>
        <w:jc w:val="both"/>
        <w:rPr>
          <w:rFonts w:ascii="Palatino Linotype" w:eastAsia="Palatino Linotype" w:hAnsi="Palatino Linotype" w:cs="Palatino Linotype"/>
          <w:i/>
          <w:sz w:val="22"/>
          <w:szCs w:val="22"/>
        </w:rPr>
      </w:pP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El sujeto obligado ante la cual se presentó la solicitud;</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El nombre del solicitante que recurre o de su representante y, en su caso, del tercero interesado, así como la dirección o medio que señale para recibir notificaciones;</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El número de folio de respuesta de la solicitud de acceso;</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La fecha en que fue notificada la respuesta al solicitante o tuvo conocimiento del acto reclamado, o de presentación de la solicitud, en caso de falta de respuesta;</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El acto que se recurre;</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Las razones o motivos de inconformidad;</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La copia de la respuesta que se impugna y, en su caso, de la notificación correspondiente, en el caso de respuesta de la solicitud; y</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Firma del recurrente, en su caso, cuando se presente por escrito, requisito sin el cual se dará trámite al recurso.</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Adicionalmente, se podrán anexar las pruebas y demás elementos que considere procedentes someter a juicio del Instituto.</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ningún caso será necesario que el particular ratifique el recurso de revisión interpuesto.</w:t>
      </w:r>
    </w:p>
    <w:p w:rsidR="008E63CC" w:rsidRDefault="00681B91">
      <w:pPr>
        <w:ind w:left="851"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En caso de que el recurso se interponga de manera electrónica no será indispensable que contengan los requisitos establecidos en las fracciones II, IV, VII y VIII.”</w:t>
      </w:r>
    </w:p>
    <w:p w:rsidR="008E63CC" w:rsidRDefault="008E63CC">
      <w:pPr>
        <w:spacing w:line="360" w:lineRule="auto"/>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Estudio y resolución del asunto. </w:t>
      </w:r>
    </w:p>
    <w:p w:rsidR="008E63CC" w:rsidRDefault="00681B9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precisar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siguiente: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rPr>
        <w:t>“</w:t>
      </w:r>
      <w:r>
        <w:rPr>
          <w:rFonts w:ascii="Palatino Linotype" w:eastAsia="Palatino Linotype" w:hAnsi="Palatino Linotype" w:cs="Palatino Linotype"/>
          <w:i/>
          <w:sz w:val="22"/>
          <w:szCs w:val="22"/>
        </w:rPr>
        <w:t xml:space="preserve">soporte documental de información de La reparación de la bomba de agua con su bitácora de mantenimiento, factura del servicio, compra del material o cual fue el procesos para su reparación de 01 de enero al 24 de marzo de 2022. </w:t>
      </w:r>
      <w:r>
        <w:rPr>
          <w:rFonts w:ascii="Palatino Linotype" w:eastAsia="Palatino Linotype" w:hAnsi="Palatino Linotype" w:cs="Palatino Linotype"/>
          <w:i/>
        </w:rPr>
        <w:t>”(Sic)</w:t>
      </w:r>
    </w:p>
    <w:p w:rsidR="008E63CC" w:rsidRDefault="008E63CC">
      <w:pPr>
        <w:spacing w:line="360" w:lineRule="auto"/>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 solicitud de acceso a la información pública mediante el Director de Servicios Públicos quien señala que no cuenta con la información solicitada ya que no es del ámbito de su competencia, como se puede apreciar de la captura de pantalla que se inserta a continuación: </w:t>
      </w: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noProof/>
        </w:rPr>
        <w:drawing>
          <wp:inline distT="114300" distB="114300" distL="114300" distR="114300">
            <wp:extent cx="5114925" cy="1647825"/>
            <wp:effectExtent l="0" t="0" r="0" b="0"/>
            <wp:docPr id="3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114925" cy="1647825"/>
                    </a:xfrm>
                    <a:prstGeom prst="rect">
                      <a:avLst/>
                    </a:prstGeom>
                    <a:ln/>
                  </pic:spPr>
                </pic:pic>
              </a:graphicData>
            </a:graphic>
          </wp:inline>
        </w:drawing>
      </w: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de dos fojas las cuales contienen la bitácora de funcionamiento de la bomba referida. </w:t>
      </w:r>
    </w:p>
    <w:p w:rsidR="008E63CC" w:rsidRDefault="008E63CC">
      <w:pPr>
        <w:spacing w:line="360" w:lineRule="auto"/>
        <w:jc w:val="both"/>
        <w:rPr>
          <w:rFonts w:ascii="Palatino Linotype" w:eastAsia="Palatino Linotype" w:hAnsi="Palatino Linotype" w:cs="Palatino Linotype"/>
        </w:rPr>
      </w:pPr>
    </w:p>
    <w:p w:rsidR="008E63CC" w:rsidRDefault="00681B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dicha respuesta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presente medio de impugnación señalando que el área que dio respuesta no es la competente para otorgar la información, luego entonces, en el caso que nos ocupa se actualiza la hipótesis de procedibilidad prevista en la fracción V, del artículo 179 de la Ley de Transparencia y Acceso a la Información Pública del Estado de México y Municipios, el cual a la letra dice:</w:t>
      </w:r>
    </w:p>
    <w:p w:rsidR="008E63CC" w:rsidRDefault="00681B91">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8E63CC" w:rsidRDefault="00681B91">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8E63CC" w:rsidRDefault="00681B91">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V. La entrega de información incompleta ;</w:t>
      </w:r>
    </w:p>
    <w:p w:rsidR="008E63CC" w:rsidRDefault="00681B91">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8E63CC" w:rsidRDefault="00681B91">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8E63CC" w:rsidRDefault="008E63CC">
      <w:pPr>
        <w:ind w:left="851" w:right="901"/>
        <w:jc w:val="both"/>
        <w:rPr>
          <w:rFonts w:ascii="Palatino Linotype" w:eastAsia="Palatino Linotype" w:hAnsi="Palatino Linotype" w:cs="Palatino Linotype"/>
          <w:i/>
          <w:sz w:val="22"/>
          <w:szCs w:val="22"/>
        </w:rPr>
      </w:pPr>
    </w:p>
    <w:p w:rsidR="008E63CC" w:rsidRDefault="008E63CC">
      <w:pPr>
        <w:spacing w:line="360" w:lineRule="auto"/>
        <w:ind w:right="49"/>
        <w:jc w:val="both"/>
        <w:rPr>
          <w:rFonts w:ascii="Palatino Linotype" w:eastAsia="Palatino Linotype" w:hAnsi="Palatino Linotype" w:cs="Palatino Linotype"/>
        </w:rPr>
      </w:pPr>
    </w:p>
    <w:p w:rsidR="008E63CC" w:rsidRDefault="00681B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Una vez establecido lo anterior, es necesario realizar un estudio del total de las constancias que integran el expediente electrónico del SAIMEX  a fin de determinar si fue atendido el derecho de acceso a la Información del particular </w:t>
      </w:r>
    </w:p>
    <w:p w:rsidR="008E63CC" w:rsidRDefault="008E63CC">
      <w:pPr>
        <w:spacing w:line="360" w:lineRule="auto"/>
        <w:ind w:right="49"/>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Atendiendo a lo anterior, En primer lugar es importante mencionar que de lo motivos de inconformidad esgrimidos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se observa que se inconformidad versa sobre la incompetencia referida por el servidor público habilitado, por lo que la materia del presente asunto se delimita únicamente a aquellos rubros de la solicitud sobre  los cuales el Director de Servicios Públicos señaló no ser el área competente para conocer de la información solicitada, los cuales son la información de la reparación de la bomba de agua y las facturas de servicio y compra de material referentes a dicha reparación. Sin que se adviertan mayores pronunciamientos con respecto de los demás elementos aportados en respuesta, por lo que este Instituto considera que dicha omisión es tendiente a consentir esa parte de la respuesta.</w:t>
      </w:r>
    </w:p>
    <w:p w:rsidR="008E63CC" w:rsidRDefault="008E63CC">
      <w:pPr>
        <w:spacing w:line="360" w:lineRule="auto"/>
        <w:ind w:right="49"/>
        <w:jc w:val="both"/>
        <w:rPr>
          <w:rFonts w:ascii="Palatino Linotype" w:eastAsia="Palatino Linotype" w:hAnsi="Palatino Linotype" w:cs="Palatino Linotype"/>
        </w:rPr>
      </w:pPr>
    </w:p>
    <w:p w:rsidR="008E63CC" w:rsidRDefault="00681B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8E63CC" w:rsidRDefault="008E63CC">
      <w:pPr>
        <w:spacing w:line="360" w:lineRule="auto"/>
        <w:ind w:right="49"/>
        <w:jc w:val="both"/>
        <w:rPr>
          <w:rFonts w:ascii="Palatino Linotype" w:eastAsia="Palatino Linotype" w:hAnsi="Palatino Linotype" w:cs="Palatino Linotype"/>
        </w:rPr>
      </w:pPr>
    </w:p>
    <w:p w:rsidR="008E63CC" w:rsidRDefault="00681B9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rsidR="008E63CC" w:rsidRDefault="00681B91">
      <w:pPr>
        <w:tabs>
          <w:tab w:val="left" w:pos="851"/>
        </w:tabs>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“ACTOS CONSENTIDOS. SON LOS QUE NO SE IMPUGNAN MEDIANTE EL RECURSO IDÓNEO. </w:t>
      </w:r>
      <w:r>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E63CC" w:rsidRDefault="008E63CC">
      <w:pPr>
        <w:tabs>
          <w:tab w:val="left" w:pos="851"/>
        </w:tabs>
        <w:ind w:left="851" w:right="616"/>
        <w:jc w:val="both"/>
        <w:rPr>
          <w:rFonts w:ascii="Palatino Linotype" w:eastAsia="Palatino Linotype" w:hAnsi="Palatino Linotype" w:cs="Palatino Linotype"/>
          <w:i/>
          <w:sz w:val="22"/>
          <w:szCs w:val="22"/>
        </w:rPr>
      </w:pPr>
    </w:p>
    <w:p w:rsidR="008E63CC" w:rsidRDefault="00681B9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del criterio antes citado, se advierte que cuando el particular impugnó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está conforme con la respuesta proporcionada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al no contravenir la misma. </w:t>
      </w:r>
    </w:p>
    <w:p w:rsidR="008E63CC" w:rsidRDefault="00681B9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rsidR="008E63CC" w:rsidRDefault="00681B91">
      <w:pPr>
        <w:tabs>
          <w:tab w:val="left" w:pos="7937"/>
          <w:tab w:val="left" w:pos="8222"/>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“REVISIÓN EN AMPARO. LOS RESOLUTIVOS NO COMBATIDOS DEBEN DECLARARSE FIRMES. </w:t>
      </w:r>
      <w:r>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w:t>
      </w:r>
      <w:r>
        <w:rPr>
          <w:rFonts w:ascii="Palatino Linotype" w:eastAsia="Palatino Linotype" w:hAnsi="Palatino Linotype" w:cs="Palatino Linotype"/>
          <w:i/>
          <w:sz w:val="22"/>
          <w:szCs w:val="22"/>
        </w:rPr>
        <w:lastRenderedPageBreak/>
        <w:t>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E63CC" w:rsidRDefault="00681B91">
      <w:pPr>
        <w:widowControl w:val="0"/>
        <w:tabs>
          <w:tab w:val="left" w:pos="1701"/>
          <w:tab w:val="left" w:pos="1843"/>
        </w:tabs>
        <w:spacing w:before="36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la parte de la solicitud y la respuesta obtenida con relación a la bitácora de mantenimiento de la bomba referida  se tiene por colmada con la respuesta otorgada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   </w:t>
      </w:r>
    </w:p>
    <w:p w:rsidR="008E63CC" w:rsidRDefault="00681B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Una vez hecha la precisión anterior, se procede a analizar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sobre la cual el particular expresó su inconformidad, misma que se refiere a su incompetencia como servidor público habilitado. </w:t>
      </w:r>
    </w:p>
    <w:p w:rsidR="008E63CC" w:rsidRDefault="008E63CC">
      <w:pPr>
        <w:spacing w:line="360" w:lineRule="auto"/>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Atento a ello, es de precisar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rsidR="008E63CC" w:rsidRDefault="008E63CC">
      <w:pPr>
        <w:spacing w:line="360" w:lineRule="auto"/>
        <w:ind w:right="49"/>
        <w:jc w:val="both"/>
        <w:rPr>
          <w:rFonts w:ascii="Palatino Linotype" w:eastAsia="Palatino Linotype" w:hAnsi="Palatino Linotype" w:cs="Palatino Linotype"/>
        </w:rPr>
      </w:pPr>
    </w:p>
    <w:p w:rsidR="008E63CC" w:rsidRDefault="00681B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rsidR="008E63CC" w:rsidRDefault="008E63CC">
      <w:pPr>
        <w:spacing w:line="360" w:lineRule="auto"/>
        <w:ind w:right="49"/>
        <w:jc w:val="both"/>
        <w:rPr>
          <w:rFonts w:ascii="Palatino Linotype" w:eastAsia="Palatino Linotype" w:hAnsi="Palatino Linotype" w:cs="Palatino Linotype"/>
        </w:rPr>
      </w:pPr>
    </w:p>
    <w:p w:rsidR="008E63CC" w:rsidRDefault="00681B9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8E63CC" w:rsidRDefault="00681B9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8E63CC" w:rsidRDefault="00681B9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E63CC" w:rsidRDefault="008E63CC">
      <w:pPr>
        <w:spacing w:line="360" w:lineRule="auto"/>
        <w:ind w:right="49"/>
        <w:jc w:val="both"/>
        <w:rPr>
          <w:rFonts w:ascii="Palatino Linotype" w:eastAsia="Palatino Linotype" w:hAnsi="Palatino Linotype" w:cs="Palatino Linotype"/>
        </w:rPr>
      </w:pPr>
    </w:p>
    <w:p w:rsidR="008E63CC" w:rsidRDefault="00681B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E63CC" w:rsidRDefault="008E63CC">
      <w:pPr>
        <w:tabs>
          <w:tab w:val="left" w:pos="851"/>
        </w:tabs>
        <w:ind w:left="851" w:right="901"/>
        <w:jc w:val="both"/>
        <w:rPr>
          <w:rFonts w:ascii="Palatino Linotype" w:eastAsia="Palatino Linotype" w:hAnsi="Palatino Linotype" w:cs="Palatino Linotype"/>
          <w:i/>
          <w:sz w:val="22"/>
          <w:szCs w:val="22"/>
        </w:rPr>
      </w:pPr>
    </w:p>
    <w:p w:rsidR="008E63CC" w:rsidRDefault="00681B9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8E63CC" w:rsidRDefault="00681B9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63CC" w:rsidRDefault="00681B9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Pr>
          <w:rFonts w:ascii="Palatino Linotype" w:eastAsia="Palatino Linotype" w:hAnsi="Palatino Linotype" w:cs="Palatino Linotype"/>
          <w:i/>
          <w:sz w:val="22"/>
          <w:szCs w:val="22"/>
        </w:rPr>
        <w:lastRenderedPageBreak/>
        <w:t>elaboración. Los documentos podrán estar en cualquier medio, sea escrito, impreso, sonoro, visual, electrónico, informático u holográfico;</w:t>
      </w:r>
    </w:p>
    <w:p w:rsidR="008E63CC" w:rsidRDefault="00681B9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63CC" w:rsidRDefault="008E63CC">
      <w:pPr>
        <w:tabs>
          <w:tab w:val="left" w:pos="851"/>
        </w:tabs>
        <w:spacing w:line="360" w:lineRule="auto"/>
        <w:ind w:left="851" w:right="901"/>
        <w:jc w:val="both"/>
        <w:rPr>
          <w:rFonts w:ascii="Palatino Linotype" w:eastAsia="Palatino Linotype" w:hAnsi="Palatino Linotype" w:cs="Palatino Linotype"/>
          <w:i/>
          <w:sz w:val="22"/>
          <w:szCs w:val="22"/>
        </w:rPr>
      </w:pPr>
    </w:p>
    <w:p w:rsidR="008E63CC" w:rsidRDefault="00681B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E63CC" w:rsidRDefault="00681B91">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rPr>
        <w:t>“</w:t>
      </w:r>
      <w:r>
        <w:rPr>
          <w:rFonts w:ascii="Palatino Linotype" w:eastAsia="Palatino Linotype" w:hAnsi="Palatino Linotype" w:cs="Palatino Linotype"/>
          <w:b/>
          <w:i/>
          <w:sz w:val="22"/>
          <w:szCs w:val="22"/>
        </w:rPr>
        <w:t>CRITERIO 0002-11</w:t>
      </w:r>
    </w:p>
    <w:p w:rsidR="008E63CC" w:rsidRDefault="00681B9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E63CC" w:rsidRDefault="00681B9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8E63CC" w:rsidRDefault="00681B9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8E63CC" w:rsidRDefault="00681B91">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8E63CC" w:rsidRDefault="00681B91">
      <w:pPr>
        <w:tabs>
          <w:tab w:val="left" w:pos="851"/>
        </w:tabs>
        <w:ind w:left="851" w:right="901"/>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rsidR="008E63CC" w:rsidRDefault="008E63CC">
      <w:pPr>
        <w:spacing w:line="360" w:lineRule="auto"/>
        <w:ind w:right="49"/>
        <w:jc w:val="both"/>
        <w:rPr>
          <w:rFonts w:ascii="Palatino Linotype" w:eastAsia="Palatino Linotype" w:hAnsi="Palatino Linotype" w:cs="Palatino Linotype"/>
        </w:rPr>
      </w:pPr>
    </w:p>
    <w:p w:rsidR="008E63CC" w:rsidRDefault="00681B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pues, la Ley Orgánica municipal del Estado de México y Municipios señala dentro de su capítulo tercero las atribuciones de los ayuntamientos de las cuales se resaltan </w:t>
      </w:r>
      <w:r>
        <w:rPr>
          <w:rFonts w:ascii="Palatino Linotype" w:eastAsia="Palatino Linotype" w:hAnsi="Palatino Linotype" w:cs="Palatino Linotype"/>
        </w:rPr>
        <w:lastRenderedPageBreak/>
        <w:t xml:space="preserve">aquellas relacionadas el otorgamiento de servicios públicos ya que son estos </w:t>
      </w:r>
      <w:r w:rsidR="00670B7F">
        <w:rPr>
          <w:rFonts w:ascii="Palatino Linotype" w:eastAsia="Palatino Linotype" w:hAnsi="Palatino Linotype" w:cs="Palatino Linotype"/>
        </w:rPr>
        <w:t>los</w:t>
      </w:r>
      <w:r>
        <w:rPr>
          <w:rFonts w:ascii="Palatino Linotype" w:eastAsia="Palatino Linotype" w:hAnsi="Palatino Linotype" w:cs="Palatino Linotype"/>
        </w:rPr>
        <w:t xml:space="preserve"> encargados de brindar dichos servicios a sus habitantes como se puede observar de las fracciones VIII, IX, XIV y  XXII, que se inserta a continuación:</w:t>
      </w:r>
    </w:p>
    <w:p w:rsidR="008E63CC" w:rsidRDefault="00681B91">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CAPÍTULO TERCERO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ATRIBUCIONES DE LOS AYUNTAMIENTOS</w:t>
      </w:r>
      <w:r>
        <w:rPr>
          <w:rFonts w:ascii="Palatino Linotype" w:eastAsia="Palatino Linotype" w:hAnsi="Palatino Linotype" w:cs="Palatino Linotype"/>
          <w:i/>
          <w:sz w:val="22"/>
          <w:szCs w:val="22"/>
        </w:rPr>
        <w:t xml:space="preserve">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31.-</w:t>
      </w:r>
      <w:r>
        <w:rPr>
          <w:rFonts w:ascii="Palatino Linotype" w:eastAsia="Palatino Linotype" w:hAnsi="Palatino Linotype" w:cs="Palatino Linotype"/>
          <w:i/>
          <w:sz w:val="22"/>
          <w:szCs w:val="22"/>
        </w:rPr>
        <w:t xml:space="preserve"> Son atribuciones de los ayuntamientos:</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Concluir las obras iniciadas por administraciones anteriores y dar mantenimiento a la infraestructura e instalaciones de los servicios públicos municipales;</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Crear las unidades administrativas necesarias para el adecuado funcionamiento de la administración pública municipal y para la eficaz prestación de los servicios públicos;</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XIV. Municipalizar los servicios públicos en términos de esta Ley;</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XXII. Dotar de servicios públicos a los habitantes del municipio;”</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670B7F">
        <w:rPr>
          <w:rFonts w:ascii="Palatino Linotype" w:eastAsia="Palatino Linotype" w:hAnsi="Palatino Linotype" w:cs="Palatino Linotype"/>
          <w:i/>
          <w:sz w:val="22"/>
          <w:szCs w:val="22"/>
        </w:rPr>
        <w:t>Énfasis</w:t>
      </w:r>
      <w:r>
        <w:rPr>
          <w:rFonts w:ascii="Palatino Linotype" w:eastAsia="Palatino Linotype" w:hAnsi="Palatino Linotype" w:cs="Palatino Linotype"/>
          <w:i/>
          <w:sz w:val="22"/>
          <w:szCs w:val="22"/>
        </w:rPr>
        <w:t xml:space="preserve"> añadido)</w:t>
      </w:r>
    </w:p>
    <w:p w:rsidR="008E63CC" w:rsidRDefault="008E63CC">
      <w:pPr>
        <w:spacing w:line="360" w:lineRule="auto"/>
        <w:ind w:right="49"/>
        <w:jc w:val="both"/>
        <w:rPr>
          <w:rFonts w:ascii="Palatino Linotype" w:eastAsia="Palatino Linotype" w:hAnsi="Palatino Linotype" w:cs="Palatino Linotype"/>
        </w:rPr>
      </w:pPr>
    </w:p>
    <w:p w:rsidR="008E63CC" w:rsidRDefault="00681B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igual manera, la misma Ley Orgánica establece los servicios públicos que estarán a cargo de la administración pública municipal, dentro de los cuales se encuentra la prestación de agua potable, alcantarillado, saneamiento y </w:t>
      </w:r>
      <w:r w:rsidR="00670B7F">
        <w:rPr>
          <w:rFonts w:ascii="Palatino Linotype" w:eastAsia="Palatino Linotype" w:hAnsi="Palatino Linotype" w:cs="Palatino Linotype"/>
        </w:rPr>
        <w:t>aguas residuales contempladas</w:t>
      </w:r>
      <w:r>
        <w:rPr>
          <w:rFonts w:ascii="Palatino Linotype" w:eastAsia="Palatino Linotype" w:hAnsi="Palatino Linotype" w:cs="Palatino Linotype"/>
        </w:rPr>
        <w:t xml:space="preserve"> en su artículo 125 fracción I, que a la letra dice:  </w:t>
      </w:r>
    </w:p>
    <w:p w:rsidR="008E63CC" w:rsidRDefault="008E63CC">
      <w:pPr>
        <w:spacing w:line="360" w:lineRule="auto"/>
        <w:ind w:right="49"/>
        <w:jc w:val="both"/>
        <w:rPr>
          <w:rFonts w:ascii="Palatino Linotype" w:eastAsia="Palatino Linotype" w:hAnsi="Palatino Linotype" w:cs="Palatino Linotype"/>
        </w:rPr>
      </w:pPr>
    </w:p>
    <w:p w:rsidR="008E63CC" w:rsidRDefault="00681B91">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CAPITULO SEPTIMO</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De los Servicios Públicos</w:t>
      </w:r>
      <w:r>
        <w:rPr>
          <w:rFonts w:ascii="Palatino Linotype" w:eastAsia="Palatino Linotype" w:hAnsi="Palatino Linotype" w:cs="Palatino Linotype"/>
          <w:i/>
          <w:sz w:val="22"/>
          <w:szCs w:val="22"/>
        </w:rPr>
        <w:t xml:space="preserve">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125.-</w:t>
      </w:r>
      <w:r>
        <w:rPr>
          <w:rFonts w:ascii="Palatino Linotype" w:eastAsia="Palatino Linotype" w:hAnsi="Palatino Linotype" w:cs="Palatino Linotype"/>
          <w:i/>
          <w:sz w:val="22"/>
          <w:szCs w:val="22"/>
        </w:rPr>
        <w:t xml:space="preserve"> Los municipios tendrán a su cargo la prestación, explotación, administración y conservación de los servicios públicos municipales, considerándose enunciativa y no limitativamente, los siguientes: </w:t>
      </w:r>
    </w:p>
    <w:p w:rsidR="008E63CC" w:rsidRDefault="00681B91">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 Agua potable, alcantarillado, saneamiento y aguas residuales;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Alumbrado público;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Limpia, recolección, segregada, traslado, tratamiento y disposición final de los residuos sólidos urbanos;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(énfasis añadido)</w:t>
      </w:r>
    </w:p>
    <w:p w:rsidR="008E63CC" w:rsidRDefault="008E63CC">
      <w:pPr>
        <w:ind w:right="899"/>
        <w:jc w:val="both"/>
        <w:rPr>
          <w:rFonts w:ascii="Palatino Linotype" w:eastAsia="Palatino Linotype" w:hAnsi="Palatino Linotype" w:cs="Palatino Linotype"/>
          <w:i/>
          <w:sz w:val="22"/>
          <w:szCs w:val="22"/>
        </w:rPr>
      </w:pPr>
    </w:p>
    <w:p w:rsidR="008E63CC" w:rsidRDefault="008E63CC">
      <w:pPr>
        <w:spacing w:line="360" w:lineRule="auto"/>
        <w:ind w:right="49"/>
        <w:jc w:val="both"/>
        <w:rPr>
          <w:rFonts w:ascii="Palatino Linotype" w:eastAsia="Palatino Linotype" w:hAnsi="Palatino Linotype" w:cs="Palatino Linotype"/>
        </w:rPr>
      </w:pPr>
    </w:p>
    <w:p w:rsidR="008E63CC" w:rsidRDefault="00681B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la prestación de dichos servicios deberá realizarse por los ayuntamientos por medio de sus unidades administrativas y organismos auxiliares como lo dispone el precepto siguiente de la ley en comento: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126.-</w:t>
      </w:r>
      <w:r>
        <w:rPr>
          <w:rFonts w:ascii="Palatino Linotype" w:eastAsia="Palatino Linotype" w:hAnsi="Palatino Linotype" w:cs="Palatino Linotype"/>
          <w:i/>
          <w:sz w:val="22"/>
          <w:szCs w:val="22"/>
        </w:rPr>
        <w:t xml:space="preserve"> La prestación de los servicios públicos deberá realizarse por los ayuntamientos, sus unidades administrativas y organismos auxiliares, quienes podrán coordinarse con el Estado o con otros municipios para la eficacia en su prestación.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Podrá concesionarse a terceros la prestación de servicios públicos municipales, a excepción de los de Seguridad Pública y Tránsito, prefiriéndose en igualdad de circunstancias a vecinos del municipio.”</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8E63CC" w:rsidRDefault="008E63CC">
      <w:pPr>
        <w:spacing w:line="360" w:lineRule="auto"/>
        <w:ind w:right="49"/>
        <w:jc w:val="both"/>
        <w:rPr>
          <w:rFonts w:ascii="Palatino Linotype" w:eastAsia="Palatino Linotype" w:hAnsi="Palatino Linotype" w:cs="Palatino Linotype"/>
        </w:rPr>
      </w:pPr>
    </w:p>
    <w:p w:rsidR="008E63CC" w:rsidRDefault="00681B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Con lo anterior en mente, el Bando de Policía y Gobierno del Municipio de Temamatla establece que la Administración Pública del municipio estará conformado por: </w:t>
      </w:r>
    </w:p>
    <w:p w:rsidR="008E63CC" w:rsidRDefault="00681B91">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“TÍTULO II ESTRUCTURA ADMINISTRATIVA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39.-</w:t>
      </w:r>
      <w:r>
        <w:rPr>
          <w:rFonts w:ascii="Palatino Linotype" w:eastAsia="Palatino Linotype" w:hAnsi="Palatino Linotype" w:cs="Palatino Linotype"/>
          <w:i/>
          <w:sz w:val="22"/>
          <w:szCs w:val="22"/>
        </w:rPr>
        <w:t xml:space="preserve"> La Administración Pública del Municipio de Temamatla, Estado de México, ejecuta las obligaciones de ley y decisiones del Ayuntamiento, bajo una composición básica estructural y funcional, conformada por:</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Dependencias Administrativas Centralizadas;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Organismos Descentralizados;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Órganos Desconcentrados;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Órganos Autónomos;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Autoridades Auxiliares del Ayuntamiento;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Organizaciones de Participación Ciudadana.”</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8E63CC" w:rsidRDefault="008E63CC">
      <w:pPr>
        <w:spacing w:line="360" w:lineRule="auto"/>
        <w:ind w:right="49"/>
        <w:jc w:val="both"/>
        <w:rPr>
          <w:rFonts w:ascii="Palatino Linotype" w:eastAsia="Palatino Linotype" w:hAnsi="Palatino Linotype" w:cs="Palatino Linotype"/>
        </w:rPr>
      </w:pPr>
    </w:p>
    <w:p w:rsidR="008E63CC" w:rsidRDefault="00681B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Del precepto anterior se desprende que la Administración Pública Municipal se compondrá por diversos organismos y dependencias, estas últimas como parte de la </w:t>
      </w:r>
      <w:r>
        <w:rPr>
          <w:rFonts w:ascii="Palatino Linotype" w:eastAsia="Palatino Linotype" w:hAnsi="Palatino Linotype" w:cs="Palatino Linotype"/>
        </w:rPr>
        <w:lastRenderedPageBreak/>
        <w:t>administración centralizada, la cual se compondrá de la Secretaría del Ayuntamiento, Tesorería Municipal y diversas direcciones, resaltando para el caso que nos ocupa la Dirección de Servicios Públicos, tal y como se aprecia del artículo 41 fracción  VIII:</w:t>
      </w:r>
    </w:p>
    <w:p w:rsidR="008E63CC" w:rsidRDefault="00681B91">
      <w:pPr>
        <w:ind w:left="850" w:right="4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SECCIÓN PRIMERA </w:t>
      </w:r>
    </w:p>
    <w:p w:rsidR="008E63CC" w:rsidRDefault="00681B91">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DEPENDENCIAS ADMINISTRATIVAS CENTRALIZADAS </w:t>
      </w:r>
    </w:p>
    <w:p w:rsidR="008E63CC" w:rsidRDefault="00681B91">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41.</w:t>
      </w:r>
      <w:r>
        <w:rPr>
          <w:rFonts w:ascii="Palatino Linotype" w:eastAsia="Palatino Linotype" w:hAnsi="Palatino Linotype" w:cs="Palatino Linotype"/>
          <w:i/>
          <w:sz w:val="22"/>
          <w:szCs w:val="22"/>
        </w:rPr>
        <w:t xml:space="preserve">- Para el despacho, estudio y planeación de los diversos asuntos de la Administración Pública Municipal centralizada del Ayuntamiento de Temamatla, Estado de México contará con las </w:t>
      </w:r>
      <w:r>
        <w:rPr>
          <w:rFonts w:ascii="Palatino Linotype" w:eastAsia="Palatino Linotype" w:hAnsi="Palatino Linotype" w:cs="Palatino Linotype"/>
          <w:b/>
          <w:i/>
          <w:sz w:val="22"/>
          <w:szCs w:val="22"/>
        </w:rPr>
        <w:t xml:space="preserve">siguientes Dependencias Administrativas Centralizadas: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Secretaría del Ayuntamiento;</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Tesorería Municipal;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Dirección de Obras Públicas;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Dirección de Desarrollo Económico;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Dirección de Desarrollo Urbano;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Dirección de Ecología y Medio Ambiente;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Contraloría Interna Municipal; </w:t>
      </w:r>
    </w:p>
    <w:p w:rsidR="008E63CC" w:rsidRDefault="00681B91">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VIII. Dirección de Servicios Públicos;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Dirección de Seguridad Pública Municipal;”</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8E63CC" w:rsidRDefault="008E63CC">
      <w:pPr>
        <w:spacing w:line="360" w:lineRule="auto"/>
        <w:ind w:right="49"/>
        <w:jc w:val="both"/>
        <w:rPr>
          <w:rFonts w:ascii="Palatino Linotype" w:eastAsia="Palatino Linotype" w:hAnsi="Palatino Linotype" w:cs="Palatino Linotype"/>
        </w:rPr>
      </w:pPr>
    </w:p>
    <w:p w:rsidR="008E63CC" w:rsidRDefault="00681B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tal sentido, la Dirección de Servicios Públicos tendrá un titular que deberá encargarse de todo lo concerniente a la organización, funcionamiento, administración, conservación, creación y explotación de los servicios públicos municipales como lo prevé el artículo 150 del Bando mencionado. Mismo que se inserta a continuación:</w:t>
      </w:r>
    </w:p>
    <w:p w:rsidR="008E63CC" w:rsidRDefault="00681B91">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150.-</w:t>
      </w:r>
      <w:r>
        <w:rPr>
          <w:rFonts w:ascii="Palatino Linotype" w:eastAsia="Palatino Linotype" w:hAnsi="Palatino Linotype" w:cs="Palatino Linotype"/>
          <w:i/>
          <w:sz w:val="22"/>
          <w:szCs w:val="22"/>
        </w:rPr>
        <w:t xml:space="preserve"> El titular de la Dirección de Servicios Públicos regulará en su Reglamento Interno y Manuales de Organización y Procedimientos de forma específica por servicio, todo lo concerniente a la organización, funcionamiento, administración, conservación, creación y explotación de los servicios públicos municipales a cargo de la prestación y funcionamiento del Ayuntamiento.”</w:t>
      </w:r>
    </w:p>
    <w:p w:rsidR="008E63CC" w:rsidRDefault="008E63CC">
      <w:pPr>
        <w:spacing w:line="360" w:lineRule="auto"/>
        <w:ind w:right="49"/>
        <w:jc w:val="both"/>
        <w:rPr>
          <w:rFonts w:ascii="Palatino Linotype" w:eastAsia="Palatino Linotype" w:hAnsi="Palatino Linotype" w:cs="Palatino Linotype"/>
        </w:rPr>
      </w:pPr>
    </w:p>
    <w:p w:rsidR="008E63CC" w:rsidRDefault="00681B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tal sentido si bien el servidor público que dio respuesta es competente para conocer de lo relacionado con el servicio público de agua, lo cierto también es que dentro de lo requerido por el particular, también se encuentran documentos que pueden ser competencia de otra área administrativa </w:t>
      </w:r>
    </w:p>
    <w:p w:rsidR="008E63CC" w:rsidRDefault="008E63CC">
      <w:pPr>
        <w:spacing w:line="360" w:lineRule="auto"/>
        <w:jc w:val="both"/>
        <w:rPr>
          <w:rFonts w:ascii="Palatino Linotype" w:eastAsia="Palatino Linotype" w:hAnsi="Palatino Linotype" w:cs="Palatino Linotype"/>
        </w:rPr>
      </w:pPr>
    </w:p>
    <w:p w:rsidR="008E63CC" w:rsidRDefault="00681B91">
      <w:pPr>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bien, en relación a lo anterior, y como ya quedó asentado previamente, de las constancias que obran en el expediente electrónico del SAIMEX se desprende que la Titular de la Unidad de Transparencia, turnó la solicitud de información a la Dirección de Servicios Públicos; no obstante, debido a la naturaleza de la información solicitada y en atención a las razones que se expondrán a continuación, existe otra área que debió ser turnada.  </w:t>
      </w:r>
    </w:p>
    <w:p w:rsidR="008E63CC" w:rsidRDefault="00681B9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Atento a lo anterior, conviene señalar la importancia de determinar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rsidR="008E63CC" w:rsidRDefault="00681B91">
      <w:pPr>
        <w:ind w:left="567" w:right="616"/>
        <w:jc w:val="both"/>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Para los efectos de la presente Ley se entenderá por</w:t>
      </w:r>
      <w:r>
        <w:rPr>
          <w:rFonts w:ascii="Palatino Linotype" w:eastAsia="Palatino Linotype" w:hAnsi="Palatino Linotype" w:cs="Palatino Linotype"/>
          <w:i/>
          <w:sz w:val="22"/>
          <w:szCs w:val="22"/>
        </w:rPr>
        <w:t>: </w:t>
      </w:r>
    </w:p>
    <w:p w:rsidR="008E63CC" w:rsidRDefault="00681B91">
      <w:pPr>
        <w:ind w:left="567" w:right="616"/>
        <w:jc w:val="both"/>
      </w:pPr>
      <w:r>
        <w:rPr>
          <w:rFonts w:ascii="Palatino Linotype" w:eastAsia="Palatino Linotype" w:hAnsi="Palatino Linotype" w:cs="Palatino Linotype"/>
          <w:b/>
          <w:i/>
          <w:sz w:val="22"/>
          <w:szCs w:val="22"/>
        </w:rPr>
        <w:t>XXXIX</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Servidor público habilitado</w:t>
      </w:r>
      <w:r>
        <w:rPr>
          <w:rFonts w:ascii="Palatino Linotype" w:eastAsia="Palatino Linotype" w:hAnsi="Palatino Linotype" w:cs="Palatino Linotype"/>
          <w:i/>
          <w:sz w:val="22"/>
          <w:szCs w:val="22"/>
        </w:rPr>
        <w:t xml:space="preserve">: Persona encargada dentro de las diversas unidades administrativas o áreas del sujeto obligado, de apoyar, gestionar y entregar la información o datos personales que se ubiquen en la misma, a sus respectivas unidades de </w:t>
      </w:r>
      <w:r>
        <w:rPr>
          <w:rFonts w:ascii="Palatino Linotype" w:eastAsia="Palatino Linotype" w:hAnsi="Palatino Linotype" w:cs="Palatino Linotype"/>
          <w:i/>
          <w:sz w:val="22"/>
          <w:szCs w:val="22"/>
        </w:rPr>
        <w:lastRenderedPageBreak/>
        <w:t>transparencia; respecto de las solicitudes presentadas y aportar en primera instancia el fundamento y motivación de la clasificación de la información;</w:t>
      </w:r>
    </w:p>
    <w:p w:rsidR="008E63CC" w:rsidRDefault="00681B91">
      <w:pPr>
        <w:ind w:left="567" w:right="616"/>
        <w:jc w:val="both"/>
      </w:pPr>
      <w:r>
        <w:rPr>
          <w:rFonts w:ascii="Palatino Linotype" w:eastAsia="Palatino Linotype" w:hAnsi="Palatino Linotype" w:cs="Palatino Linotype"/>
          <w:i/>
          <w:sz w:val="22"/>
          <w:szCs w:val="22"/>
        </w:rPr>
        <w:t>…</w:t>
      </w:r>
    </w:p>
    <w:p w:rsidR="008E63CC" w:rsidRDefault="00681B91">
      <w:pPr>
        <w:ind w:left="567" w:right="618"/>
        <w:jc w:val="both"/>
      </w:pPr>
      <w:r>
        <w:rPr>
          <w:rFonts w:ascii="Palatino Linotype" w:eastAsia="Palatino Linotype" w:hAnsi="Palatino Linotype" w:cs="Palatino Linotype"/>
          <w:b/>
          <w:i/>
          <w:sz w:val="22"/>
          <w:szCs w:val="22"/>
        </w:rPr>
        <w:t>Artículo 50.</w:t>
      </w:r>
      <w:r>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rsidR="008E63CC" w:rsidRDefault="00681B91">
      <w:pPr>
        <w:ind w:left="567" w:right="618"/>
        <w:jc w:val="both"/>
      </w:pPr>
      <w:r>
        <w:rPr>
          <w:rFonts w:ascii="Palatino Linotype" w:eastAsia="Palatino Linotype" w:hAnsi="Palatino Linotype" w:cs="Palatino Linotype"/>
          <w:b/>
          <w:i/>
          <w:sz w:val="22"/>
          <w:szCs w:val="22"/>
        </w:rPr>
        <w:t>Artículo 51</w:t>
      </w:r>
      <w:r>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8E63CC" w:rsidRDefault="00681B91">
      <w:pPr>
        <w:ind w:left="567" w:right="618"/>
        <w:jc w:val="both"/>
      </w:pP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Las Unidades de Transparencia tendrán las siguientes funciones:</w:t>
      </w:r>
    </w:p>
    <w:p w:rsidR="008E63CC" w:rsidRDefault="00681B91">
      <w:pPr>
        <w:ind w:left="567" w:right="618"/>
        <w:jc w:val="both"/>
      </w:pPr>
      <w:r>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8E63CC" w:rsidRDefault="00681B91">
      <w:pPr>
        <w:ind w:left="567" w:right="618"/>
        <w:jc w:val="both"/>
      </w:pPr>
      <w:r>
        <w:rPr>
          <w:rFonts w:ascii="Palatino Linotype" w:eastAsia="Palatino Linotype" w:hAnsi="Palatino Linotype" w:cs="Palatino Linotype"/>
          <w:b/>
          <w:i/>
          <w:sz w:val="22"/>
          <w:szCs w:val="22"/>
        </w:rPr>
        <w:t xml:space="preserve">II. Recibir, </w:t>
      </w:r>
      <w:r>
        <w:rPr>
          <w:rFonts w:ascii="Palatino Linotype" w:eastAsia="Palatino Linotype" w:hAnsi="Palatino Linotype" w:cs="Palatino Linotype"/>
          <w:b/>
          <w:i/>
          <w:sz w:val="22"/>
          <w:szCs w:val="22"/>
          <w:u w:val="single"/>
        </w:rPr>
        <w:t>tramitar</w:t>
      </w:r>
      <w:r>
        <w:rPr>
          <w:rFonts w:ascii="Palatino Linotype" w:eastAsia="Palatino Linotype" w:hAnsi="Palatino Linotype" w:cs="Palatino Linotype"/>
          <w:b/>
          <w:i/>
          <w:sz w:val="22"/>
          <w:szCs w:val="22"/>
        </w:rPr>
        <w:t xml:space="preserve"> y dar respuesta a las solicitudes de acceso a la información;</w:t>
      </w:r>
    </w:p>
    <w:p w:rsidR="008E63CC" w:rsidRDefault="00681B91">
      <w:pPr>
        <w:ind w:left="567" w:right="618"/>
        <w:jc w:val="both"/>
      </w:pPr>
      <w:r>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rsidR="008E63CC" w:rsidRDefault="00681B91">
      <w:pPr>
        <w:ind w:left="567" w:right="618"/>
        <w:jc w:val="both"/>
      </w:pPr>
      <w:r>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rsidR="008E63CC" w:rsidRDefault="00681B91">
      <w:pPr>
        <w:ind w:left="567" w:right="618"/>
        <w:jc w:val="both"/>
      </w:pPr>
      <w:r>
        <w:rPr>
          <w:rFonts w:ascii="Palatino Linotype" w:eastAsia="Palatino Linotype" w:hAnsi="Palatino Linotype" w:cs="Palatino Linotype"/>
          <w:i/>
          <w:sz w:val="22"/>
          <w:szCs w:val="22"/>
        </w:rPr>
        <w:t>V. Entregar, en su caso, a los particulares la información solicitada;</w:t>
      </w:r>
    </w:p>
    <w:p w:rsidR="008E63CC" w:rsidRDefault="00681B91">
      <w:pPr>
        <w:ind w:left="567" w:right="618"/>
        <w:jc w:val="both"/>
      </w:pPr>
      <w:r>
        <w:rPr>
          <w:rFonts w:ascii="Palatino Linotype" w:eastAsia="Palatino Linotype" w:hAnsi="Palatino Linotype" w:cs="Palatino Linotype"/>
          <w:i/>
          <w:sz w:val="22"/>
          <w:szCs w:val="22"/>
        </w:rPr>
        <w:t>VI. Efectuar las notificaciones a los solicitantes;</w:t>
      </w:r>
    </w:p>
    <w:p w:rsidR="008E63CC" w:rsidRDefault="00681B91">
      <w:pPr>
        <w:ind w:left="567" w:right="618"/>
        <w:jc w:val="both"/>
      </w:pPr>
      <w:r>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rsidR="008E63CC" w:rsidRDefault="00681B91">
      <w:pPr>
        <w:ind w:left="567" w:right="618"/>
        <w:jc w:val="both"/>
      </w:pPr>
      <w:r>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rsidR="008E63CC" w:rsidRDefault="00681B91">
      <w:pPr>
        <w:ind w:left="567" w:right="618"/>
        <w:jc w:val="both"/>
      </w:pPr>
      <w:r>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8E63CC" w:rsidRDefault="00681B91">
      <w:pPr>
        <w:ind w:left="567" w:right="618"/>
        <w:jc w:val="both"/>
      </w:pPr>
      <w:r>
        <w:rPr>
          <w:rFonts w:ascii="Palatino Linotype" w:eastAsia="Palatino Linotype" w:hAnsi="Palatino Linotype" w:cs="Palatino Linotype"/>
          <w:i/>
          <w:sz w:val="22"/>
          <w:szCs w:val="22"/>
        </w:rPr>
        <w:t>X. Presentar ante el Comité, el proyecto de clasificación de información;</w:t>
      </w:r>
    </w:p>
    <w:p w:rsidR="008E63CC" w:rsidRDefault="00681B91">
      <w:pPr>
        <w:ind w:left="567" w:right="618"/>
        <w:jc w:val="both"/>
      </w:pPr>
      <w:r>
        <w:rPr>
          <w:rFonts w:ascii="Palatino Linotype" w:eastAsia="Palatino Linotype" w:hAnsi="Palatino Linotype" w:cs="Palatino Linotype"/>
          <w:i/>
          <w:sz w:val="22"/>
          <w:szCs w:val="22"/>
        </w:rPr>
        <w:t>XI. Promover e implementar políticas de transparencia proactiva procurando su accesibilidad;</w:t>
      </w:r>
    </w:p>
    <w:p w:rsidR="008E63CC" w:rsidRDefault="00681B91">
      <w:pPr>
        <w:ind w:left="567" w:right="618"/>
        <w:jc w:val="both"/>
      </w:pPr>
      <w:r>
        <w:rPr>
          <w:rFonts w:ascii="Palatino Linotype" w:eastAsia="Palatino Linotype" w:hAnsi="Palatino Linotype" w:cs="Palatino Linotype"/>
          <w:i/>
          <w:sz w:val="22"/>
          <w:szCs w:val="22"/>
        </w:rPr>
        <w:t>XII. Fomentar la transparencia y accesibilidad al interior del sujeto obligado;</w:t>
      </w:r>
    </w:p>
    <w:p w:rsidR="008E63CC" w:rsidRDefault="00681B91">
      <w:pPr>
        <w:ind w:left="567" w:right="618"/>
        <w:jc w:val="both"/>
      </w:pPr>
      <w:r>
        <w:rPr>
          <w:rFonts w:ascii="Palatino Linotype" w:eastAsia="Palatino Linotype" w:hAnsi="Palatino Linotype" w:cs="Palatino Linotype"/>
          <w:i/>
          <w:sz w:val="22"/>
          <w:szCs w:val="22"/>
        </w:rPr>
        <w:lastRenderedPageBreak/>
        <w:t>XIII. Hacer del conocimiento de la instancia competente la probable responsabilidad por el incumplimiento de las obligaciones previstas en la presente Ley; y</w:t>
      </w:r>
    </w:p>
    <w:p w:rsidR="008E63CC" w:rsidRDefault="00681B91">
      <w:pPr>
        <w:ind w:left="567" w:right="618"/>
        <w:jc w:val="both"/>
      </w:pPr>
      <w:r>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rsidR="008E63CC" w:rsidRDefault="00681B91">
      <w:pPr>
        <w:ind w:left="567" w:right="618"/>
        <w:jc w:val="both"/>
      </w:pPr>
      <w:r>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8E63CC" w:rsidRDefault="00681B91">
      <w:pPr>
        <w:ind w:left="567" w:right="618"/>
        <w:jc w:val="both"/>
      </w:pPr>
      <w:r>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8E63CC" w:rsidRDefault="00681B91">
      <w:pPr>
        <w:ind w:left="567" w:right="616"/>
        <w:jc w:val="both"/>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servidores públicos habilitados tendrán las funciones siguientes</w:t>
      </w:r>
      <w:r>
        <w:rPr>
          <w:rFonts w:ascii="Palatino Linotype" w:eastAsia="Palatino Linotype" w:hAnsi="Palatino Linotype" w:cs="Palatino Linotype"/>
          <w:i/>
          <w:sz w:val="22"/>
          <w:szCs w:val="22"/>
        </w:rPr>
        <w:t>: </w:t>
      </w:r>
    </w:p>
    <w:p w:rsidR="008E63CC" w:rsidRDefault="00681B91">
      <w:pPr>
        <w:ind w:left="567" w:right="616"/>
        <w:jc w:val="both"/>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Localizar la información que le solicite la Unidad de Transparencia</w:t>
      </w:r>
      <w:r>
        <w:rPr>
          <w:rFonts w:ascii="Palatino Linotype" w:eastAsia="Palatino Linotype" w:hAnsi="Palatino Linotype" w:cs="Palatino Linotype"/>
          <w:i/>
          <w:sz w:val="22"/>
          <w:szCs w:val="22"/>
        </w:rPr>
        <w:t>; </w:t>
      </w:r>
    </w:p>
    <w:p w:rsidR="008E63CC" w:rsidRDefault="00681B91">
      <w:pPr>
        <w:ind w:left="567" w:right="616"/>
        <w:jc w:val="both"/>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Pr>
          <w:rFonts w:ascii="Palatino Linotype" w:eastAsia="Palatino Linotype" w:hAnsi="Palatino Linotype" w:cs="Palatino Linotype"/>
          <w:b/>
          <w:i/>
          <w:sz w:val="22"/>
          <w:szCs w:val="22"/>
        </w:rPr>
        <w:t>; </w:t>
      </w:r>
    </w:p>
    <w:p w:rsidR="008E63CC" w:rsidRDefault="00681B91">
      <w:pPr>
        <w:ind w:left="567" w:right="616"/>
        <w:jc w:val="both"/>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Apoyar a la Unidad de Transparencia en lo que esta le solicite para el cumplimiento de sus funciones</w:t>
      </w:r>
      <w:r>
        <w:rPr>
          <w:rFonts w:ascii="Palatino Linotype" w:eastAsia="Palatino Linotype" w:hAnsi="Palatino Linotype" w:cs="Palatino Linotype"/>
          <w:b/>
          <w:i/>
          <w:sz w:val="22"/>
          <w:szCs w:val="22"/>
        </w:rPr>
        <w:t>; </w:t>
      </w:r>
    </w:p>
    <w:p w:rsidR="008E63CC" w:rsidRDefault="00681B91">
      <w:pPr>
        <w:ind w:left="567" w:right="616"/>
        <w:jc w:val="both"/>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8E63CC" w:rsidRDefault="00681B91">
      <w:pPr>
        <w:ind w:left="567" w:right="616"/>
        <w:jc w:val="both"/>
      </w:pPr>
      <w:r>
        <w:rPr>
          <w:rFonts w:ascii="Palatino Linotype" w:eastAsia="Palatino Linotype" w:hAnsi="Palatino Linotype" w:cs="Palatino Linotype"/>
          <w:sz w:val="22"/>
          <w:szCs w:val="22"/>
        </w:rPr>
        <w:t>(Énfasis añadido)</w:t>
      </w:r>
    </w:p>
    <w:p w:rsidR="008E63CC" w:rsidRDefault="00681B91">
      <w:pPr>
        <w:spacing w:before="240" w:after="240" w:line="360" w:lineRule="auto"/>
        <w:jc w:val="both"/>
      </w:pPr>
      <w:r>
        <w:rPr>
          <w:rFonts w:ascii="Palatino Linotype" w:eastAsia="Palatino Linotype" w:hAnsi="Palatino Linotype" w:cs="Palatino Linotype"/>
        </w:rPr>
        <w:t>Del artículo en comento, se desprende que las Unidades de Transparencia, se erigen como el área responsable en cada Sujeto Obligado, asimismo,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rsidR="008E63CC" w:rsidRDefault="00681B91">
      <w:pPr>
        <w:spacing w:before="240" w:after="240" w:line="360" w:lineRule="auto"/>
        <w:jc w:val="both"/>
      </w:pPr>
      <w:r>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sino que la </w:t>
      </w:r>
      <w:r>
        <w:rPr>
          <w:rFonts w:ascii="Palatino Linotype" w:eastAsia="Palatino Linotype" w:hAnsi="Palatino Linotype" w:cs="Palatino Linotype"/>
        </w:rPr>
        <w:lastRenderedPageBreak/>
        <w:t xml:space="preserve">información pueda obrar en las distintas áreas que conforman la estructura del </w:t>
      </w:r>
      <w:r>
        <w:rPr>
          <w:rFonts w:ascii="Palatino Linotype" w:eastAsia="Palatino Linotype" w:hAnsi="Palatino Linotype" w:cs="Palatino Linotype"/>
          <w:b/>
        </w:rPr>
        <w:t>SUJETO OBLIGADO</w:t>
      </w:r>
      <w:r>
        <w:rPr>
          <w:rFonts w:ascii="Palatino Linotype" w:eastAsia="Palatino Linotype" w:hAnsi="Palatino Linotype" w:cs="Palatino Linotype"/>
        </w:rPr>
        <w:t>. En esa tesitura, lo procedente es turnar la solicitud a los servidores públicos habilitados que tengan bajo su resguardo la misma, quienes tendrán la función de buscar, localizar y en su caso entregar la información solicitada.</w:t>
      </w:r>
    </w:p>
    <w:p w:rsidR="008E63CC" w:rsidRDefault="00681B91">
      <w:pPr>
        <w:spacing w:before="240" w:after="240" w:line="360" w:lineRule="auto"/>
        <w:jc w:val="both"/>
      </w:pPr>
      <w:r>
        <w:rPr>
          <w:rFonts w:ascii="Palatino Linotype" w:eastAsia="Palatino Linotype" w:hAnsi="Palatino Linotype" w:cs="Palatino Linotype"/>
        </w:rPr>
        <w:t>Es por ello, que corresponde al Titular de la Unidad de Transparencia garantizar que las solicitudes se turnen a todas las áreas competentes que puedan contar con la información, con el objeto de realizar una búsqueda exhaustiva y razonable de la información solicitada.</w:t>
      </w:r>
    </w:p>
    <w:p w:rsidR="008E63CC" w:rsidRDefault="00681B9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respecto de la información solicitada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se advierte que el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del artículo 162 de la Ley de Transparencia y Acceso a la Información Pública del Estado de México y Municipios, debió requerir la información a las áreas idóneas y a pesar de haber hecho el turno a un área que efectivamente es competente de generar la información, se advierte que existen otras que podrían conocer de la misma; toda vez que, la Ley Orgánica Municipal en su artículo 93  establece lo siguiente: </w:t>
      </w:r>
    </w:p>
    <w:p w:rsidR="008E63CC" w:rsidRDefault="00681B91">
      <w:pPr>
        <w:spacing w:before="280" w:after="280"/>
        <w:ind w:left="850"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u w:val="single"/>
        </w:rPr>
        <w:t xml:space="preserve">CAPÍTULO SEGUNDO </w:t>
      </w:r>
    </w:p>
    <w:p w:rsidR="008E63CC" w:rsidRDefault="00681B91">
      <w:pPr>
        <w:spacing w:before="280" w:after="280"/>
        <w:ind w:left="850"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DE LA TESORERÍA MUNICIPAL </w:t>
      </w:r>
    </w:p>
    <w:p w:rsidR="008E63CC" w:rsidRDefault="00681B91">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93.</w:t>
      </w:r>
      <w:r>
        <w:rPr>
          <w:rFonts w:ascii="Palatino Linotype" w:eastAsia="Palatino Linotype" w:hAnsi="Palatino Linotype" w:cs="Palatino Linotype"/>
          <w:i/>
          <w:sz w:val="22"/>
          <w:szCs w:val="22"/>
        </w:rPr>
        <w:t>- La tesorería municipal es el órgano encargado de la recaudación de los ingresos municipales y responsable de realizar las erogaciones que haga el ayuntamiento”</w:t>
      </w:r>
    </w:p>
    <w:p w:rsidR="008E63CC" w:rsidRDefault="00681B9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mismo ordenamiento también enlista en su artículo 95 las atribuciones y facultades de la Tesorería Municipal, de las cuales se advierten las relacionadas al registro y contabilidad de ingresos y egresos del municipio: </w:t>
      </w:r>
    </w:p>
    <w:p w:rsidR="008E63CC" w:rsidRDefault="00681B91">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95.-</w:t>
      </w:r>
      <w:r>
        <w:rPr>
          <w:rFonts w:ascii="Palatino Linotype" w:eastAsia="Palatino Linotype" w:hAnsi="Palatino Linotype" w:cs="Palatino Linotype"/>
          <w:i/>
          <w:sz w:val="22"/>
          <w:szCs w:val="22"/>
        </w:rPr>
        <w:t xml:space="preserve"> Son atribuciones del tesorero municipal:</w:t>
      </w:r>
    </w:p>
    <w:p w:rsidR="008E63CC" w:rsidRDefault="00681B91">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Administrar la hacienda pública municipal, de conformidad con las disposiciones legales aplicables;</w:t>
      </w:r>
    </w:p>
    <w:p w:rsidR="008E63CC" w:rsidRDefault="00681B91">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Llevar los registros contables, financieros y administrativos de los ingresos, egresos e inventarios;</w:t>
      </w:r>
    </w:p>
    <w:p w:rsidR="008E63CC" w:rsidRDefault="00681B91">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Proporcionar oportunamente al Ayuntamiento todos los datos o informes que sean necesarios para la formulación del presupuesto de egresos municipales, vigilando que se ajuste a las disposiciones de esta Ley y de otros ordenamientos aplicables;</w:t>
      </w:r>
    </w:p>
    <w:p w:rsidR="008E63CC" w:rsidRDefault="00681B91">
      <w:pPr>
        <w:spacing w:before="280" w:after="280"/>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XX. Los ingresos que reciba por cualquier otro concepto; así como el importe de las sanciones por infracciones, impuestos por las autoridades competentes, por la inobservancia de las diversas disposiciones y ordenamientos legales, constituyendo los créditos fiscales correspondientes.”</w:t>
      </w:r>
    </w:p>
    <w:p w:rsidR="008E63CC" w:rsidRDefault="00681B9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los preceptos en cita se puede observar que es competencia de la Tesorería Municipal, todo lo relativo a administrar los ingresos y egresos del Ayuntamiento, así como el registro de los mismos, situación que cobra relevancia, toda vez que se aprecia de la totalidad de las constancias que obran en el Sistema de Acceso a la Información Mexiquense (SAIMEX) que, el interés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conocer la información relacionada  la factura del servicio y compra del material para el mantenimiento de la bomba referida.</w:t>
      </w: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Siendo que la información requerida, </w:t>
      </w:r>
      <w:r>
        <w:rPr>
          <w:rFonts w:ascii="Palatino Linotype" w:eastAsia="Palatino Linotype" w:hAnsi="Palatino Linotype" w:cs="Palatino Linotype"/>
          <w:b/>
        </w:rPr>
        <w:t>invariablemente implica el uso y destino de recursos públicos</w:t>
      </w:r>
      <w:r>
        <w:rPr>
          <w:rFonts w:ascii="Palatino Linotype" w:eastAsia="Palatino Linotype" w:hAnsi="Palatino Linotype" w:cs="Palatino Linotype"/>
        </w:rPr>
        <w:t xml:space="preserve">; por ello, de conformidad con el artículo 24, fracción XVIII de la Ley de Transparencia y Acceso a la Información Pública del Estado de México y Municipios,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tiene la obligación de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w:t>
      </w:r>
    </w:p>
    <w:p w:rsidR="008E63CC" w:rsidRDefault="008E63CC">
      <w:pPr>
        <w:ind w:right="902"/>
        <w:jc w:val="both"/>
        <w:rPr>
          <w:rFonts w:ascii="Palatino Linotype" w:eastAsia="Palatino Linotype" w:hAnsi="Palatino Linotype" w:cs="Palatino Linotype"/>
          <w:i/>
          <w:sz w:val="22"/>
          <w:szCs w:val="22"/>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el gasto correspondiente, lo que permite transparentar el actuar público.</w:t>
      </w:r>
    </w:p>
    <w:p w:rsidR="008E63CC" w:rsidRDefault="008E63CC">
      <w:pPr>
        <w:spacing w:line="360" w:lineRule="auto"/>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w:t>
      </w:r>
      <w:r>
        <w:rPr>
          <w:rFonts w:ascii="Palatino Linotype" w:eastAsia="Palatino Linotype" w:hAnsi="Palatino Linotype" w:cs="Palatino Linotype"/>
        </w:rPr>
        <w:lastRenderedPageBreak/>
        <w:t xml:space="preserve">dependencias, se administrarán con eficiencia, eficacia y honradez, para cumplir con los objetivos y programas a los que estén destinados. </w:t>
      </w:r>
    </w:p>
    <w:p w:rsidR="008E63CC" w:rsidRDefault="008E63CC">
      <w:pPr>
        <w:widowControl w:val="0"/>
        <w:tabs>
          <w:tab w:val="left" w:pos="1701"/>
          <w:tab w:val="left" w:pos="1843"/>
        </w:tabs>
        <w:spacing w:line="360" w:lineRule="auto"/>
        <w:ind w:right="899"/>
        <w:jc w:val="both"/>
        <w:rPr>
          <w:rFonts w:ascii="Palatino Linotype" w:eastAsia="Palatino Linotype" w:hAnsi="Palatino Linotype" w:cs="Palatino Linotype"/>
          <w:i/>
          <w:sz w:val="22"/>
          <w:szCs w:val="22"/>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 lo anteriormente referido, se puede concluir que, dada la naturaleza de la información en peticionada, ésta podría obrar en los archivos de la Tesorería Municipal y bajo ese razonamiento, se resalta que el Titular de la Unidad de Transparencia no colmó cabalmente con lo previsto en el artículo 162 de la Ley de Transparencia y Acceso a la Información Pública del Estado de México y Municipios, es decir, debió haber turnado la solicitud a todas las unidades administrativas competentes que pudiesen contar con la información o bien, que en estricto sentido deban tenerla de acuerdo a sus facultades y funciones, </w:t>
      </w:r>
      <w:r>
        <w:rPr>
          <w:rFonts w:ascii="Palatino Linotype" w:eastAsia="Palatino Linotype" w:hAnsi="Palatino Linotype" w:cs="Palatino Linotype"/>
          <w:b/>
          <w:u w:val="single"/>
        </w:rPr>
        <w:t>con el objeto de que realicen una búsqueda exhaustiva y razonable de la información solicitada.</w:t>
      </w:r>
    </w:p>
    <w:p w:rsidR="008E63CC" w:rsidRDefault="00681B91">
      <w:pPr>
        <w:spacing w:before="280" w:after="280" w:line="360" w:lineRule="auto"/>
        <w:jc w:val="both"/>
      </w:pPr>
      <w:r>
        <w:rPr>
          <w:rFonts w:ascii="Palatino Linotype" w:eastAsia="Palatino Linotype" w:hAnsi="Palatino Linotype" w:cs="Palatino Linotype"/>
        </w:rPr>
        <w:t xml:space="preserve">Atento a lo anterior, este Órgano Garante considera que no se tiene por colmado el requerimiento del particular; en razón de que, existen otras unidades o áreas administrativas que pudieran generar, poseer, administrar la información solicitada, conforme a sus atribuciones establecidas en los preceptos legales antes señalados; por ello, la respuesta emitida carece de certeza jurídica acerca de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no cuente con la información requerida,  lo anterior con fundamento en el artículo 9 fracción I de la Ley de la materia que dispone:</w:t>
      </w:r>
    </w:p>
    <w:p w:rsidR="008E63CC" w:rsidRDefault="00681B91">
      <w:pPr>
        <w:ind w:left="709" w:right="1038"/>
        <w:jc w:val="both"/>
      </w:pPr>
      <w:r>
        <w:rPr>
          <w:rFonts w:ascii="Palatino Linotype" w:eastAsia="Palatino Linotype" w:hAnsi="Palatino Linotype" w:cs="Palatino Linotype"/>
          <w:b/>
          <w:i/>
          <w:sz w:val="22"/>
          <w:szCs w:val="22"/>
        </w:rPr>
        <w:t xml:space="preserve">“Artículo 9. </w:t>
      </w:r>
      <w:r>
        <w:rPr>
          <w:rFonts w:ascii="Palatino Linotype" w:eastAsia="Palatino Linotype" w:hAnsi="Palatino Linotype" w:cs="Palatino Linotype"/>
          <w:i/>
          <w:sz w:val="22"/>
          <w:szCs w:val="22"/>
        </w:rPr>
        <w:t>El Instituto deberá regir su funcionamiento de acuerdo a los siguientes principios:</w:t>
      </w:r>
    </w:p>
    <w:p w:rsidR="008E63CC" w:rsidRDefault="008E63CC"/>
    <w:p w:rsidR="008E63CC" w:rsidRDefault="00681B91">
      <w:pPr>
        <w:ind w:left="709" w:right="1038"/>
        <w:jc w:val="both"/>
      </w:pPr>
      <w:r>
        <w:rPr>
          <w:rFonts w:ascii="Palatino Linotype" w:eastAsia="Palatino Linotype" w:hAnsi="Palatino Linotype" w:cs="Palatino Linotype"/>
          <w:b/>
          <w:i/>
          <w:sz w:val="22"/>
          <w:szCs w:val="22"/>
        </w:rPr>
        <w:lastRenderedPageBreak/>
        <w:t>I. Certeza:</w:t>
      </w:r>
      <w:r>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Pr>
          <w:rFonts w:ascii="Palatino Linotype" w:eastAsia="Palatino Linotype" w:hAnsi="Palatino Linotype" w:cs="Palatino Linotype"/>
          <w:b/>
          <w:i/>
          <w:sz w:val="22"/>
          <w:szCs w:val="22"/>
        </w:rPr>
        <w:t>”</w:t>
      </w:r>
    </w:p>
    <w:p w:rsidR="008E63CC" w:rsidRDefault="00681B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del artículo antes señalado, se advierte que este Órgano Garante debe  salvaguardar el derecho de acceso a la información pública y, toda vez que, existe fuente obligacional que constriñe al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 xml:space="preserve">para poder generar, administrar o poseer la  información en el ejercicio de sus funciones y la cual fue requerida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su solicitud, esta Ponencia Resolutora, determina </w:t>
      </w:r>
      <w:r>
        <w:rPr>
          <w:rFonts w:ascii="Palatino Linotype" w:eastAsia="Palatino Linotype" w:hAnsi="Palatino Linotype" w:cs="Palatino Linotype"/>
          <w:b/>
        </w:rPr>
        <w:t xml:space="preserve">MODIFICAR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w:t>
      </w:r>
      <w:r>
        <w:rPr>
          <w:rFonts w:ascii="Palatino Linotype" w:eastAsia="Palatino Linotype" w:hAnsi="Palatino Linotype" w:cs="Palatino Linotype"/>
          <w:b/>
        </w:rPr>
        <w:t>ordenarle</w:t>
      </w:r>
      <w:r>
        <w:rPr>
          <w:rFonts w:ascii="Palatino Linotype" w:eastAsia="Palatino Linotype" w:hAnsi="Palatino Linotype" w:cs="Palatino Linotype"/>
        </w:rPr>
        <w:t xml:space="preserve"> realizar una </w:t>
      </w:r>
      <w:r>
        <w:rPr>
          <w:rFonts w:ascii="Palatino Linotype" w:eastAsia="Palatino Linotype" w:hAnsi="Palatino Linotype" w:cs="Palatino Linotype"/>
          <w:b/>
          <w:u w:val="single"/>
        </w:rPr>
        <w:t>búsqueda exhaustiva</w:t>
      </w:r>
      <w:r>
        <w:rPr>
          <w:rFonts w:ascii="Palatino Linotype" w:eastAsia="Palatino Linotype" w:hAnsi="Palatino Linotype" w:cs="Palatino Linotype"/>
        </w:rPr>
        <w:t xml:space="preserve"> y razonable de la información solicitada de conformidad con el artículo 162 de la Ley de Transparencia y Acceso a la Información Pública del Estado de México y Municipios, a través de los </w:t>
      </w:r>
      <w:r>
        <w:rPr>
          <w:rFonts w:ascii="Palatino Linotype" w:eastAsia="Palatino Linotype" w:hAnsi="Palatino Linotype" w:cs="Palatino Linotype"/>
          <w:b/>
        </w:rPr>
        <w:t xml:space="preserve">Servidores Públicos Habilitados Competentes </w:t>
      </w:r>
      <w:r>
        <w:rPr>
          <w:rFonts w:ascii="Palatino Linotype" w:eastAsia="Palatino Linotype" w:hAnsi="Palatino Linotype" w:cs="Palatino Linotype"/>
        </w:rPr>
        <w:t xml:space="preserve">y haga entrega de la misma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w:t>
      </w:r>
      <w:r>
        <w:rPr>
          <w:rFonts w:ascii="Palatino Linotype" w:eastAsia="Palatino Linotype" w:hAnsi="Palatino Linotype" w:cs="Palatino Linotype"/>
          <w:b/>
        </w:rPr>
        <w:t>versión pública</w:t>
      </w:r>
      <w:r>
        <w:rPr>
          <w:rFonts w:ascii="Palatino Linotype" w:eastAsia="Palatino Linotype" w:hAnsi="Palatino Linotype" w:cs="Palatino Linotype"/>
        </w:rPr>
        <w:t xml:space="preserve"> de ser procedente. </w:t>
      </w: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importante mencionar que para el caso de que los documentos de los cuales se ordena su entrega, contengan datos personales susceptibles de ser testados, deberán ser entregados en </w:t>
      </w:r>
      <w:r>
        <w:rPr>
          <w:rFonts w:ascii="Palatino Linotype" w:eastAsia="Palatino Linotype" w:hAnsi="Palatino Linotype" w:cs="Palatino Linotype"/>
          <w:b/>
        </w:rPr>
        <w:t>versión pública</w:t>
      </w:r>
      <w:r>
        <w:rPr>
          <w:rFonts w:ascii="Palatino Linotype" w:eastAsia="Palatino Linotype" w:hAnsi="Palatino Linotype" w:cs="Palatino Linotype"/>
        </w:rPr>
        <w:t xml:space="preserve">;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Pr>
          <w:rFonts w:ascii="Palatino Linotype" w:eastAsia="Palatino Linotype" w:hAnsi="Palatino Linotype" w:cs="Palatino Linotype"/>
        </w:rPr>
        <w:lastRenderedPageBreak/>
        <w:t>elaboración de versiones públicas en las que se suprima aquella información relacionada con la vida privada de los particulares.</w:t>
      </w:r>
    </w:p>
    <w:p w:rsidR="008E63CC" w:rsidRDefault="008E63CC">
      <w:pPr>
        <w:spacing w:line="360" w:lineRule="auto"/>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 este respecto, los artículos 3, fracciones IX, XX, XXI y XLV; 51 y 52 de la Ley de Transparencia y Acceso a la Información Pública del Estado de México y Municipios establecen:</w:t>
      </w:r>
    </w:p>
    <w:p w:rsidR="008E63CC" w:rsidRDefault="008E63CC">
      <w:pPr>
        <w:ind w:right="899"/>
        <w:jc w:val="both"/>
        <w:rPr>
          <w:rFonts w:ascii="Palatino Linotype" w:eastAsia="Palatino Linotype" w:hAnsi="Palatino Linotype" w:cs="Palatino Linotype"/>
        </w:rPr>
      </w:pPr>
    </w:p>
    <w:p w:rsidR="008E63CC" w:rsidRDefault="00681B91">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 xml:space="preserve">Para los efectos de la presente Ley se entenderá por: </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Datos personales: </w:t>
      </w:r>
      <w:r>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Información clasificada:</w:t>
      </w:r>
      <w:r>
        <w:rPr>
          <w:rFonts w:ascii="Palatino Linotype" w:eastAsia="Palatino Linotype" w:hAnsi="Palatino Linotype" w:cs="Palatino Linotype"/>
          <w:i/>
          <w:sz w:val="22"/>
          <w:szCs w:val="22"/>
        </w:rPr>
        <w:t xml:space="preserve"> Aquella considerada por la presente Ley como reservada o confidencial; </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Información confidencial</w:t>
      </w:r>
      <w:r>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51.</w:t>
      </w:r>
      <w:r>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Pr>
          <w:rFonts w:ascii="Palatino Linotype" w:eastAsia="Palatino Linotype" w:hAnsi="Palatino Linotype" w:cs="Palatino Linotype"/>
          <w:b/>
          <w:i/>
          <w:sz w:val="22"/>
          <w:szCs w:val="22"/>
        </w:rPr>
        <w:t xml:space="preserve">y tendrá la responsabilidad de verificar en cada caso que la misma no sea confidencial o reservada. </w:t>
      </w:r>
      <w:r>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52.</w:t>
      </w:r>
      <w:r>
        <w:rPr>
          <w:rFonts w:ascii="Palatino Linotype" w:eastAsia="Palatino Linotype" w:hAnsi="Palatino Linotype" w:cs="Palatino Linotype"/>
          <w:i/>
          <w:sz w:val="22"/>
          <w:szCs w:val="22"/>
        </w:rPr>
        <w:t xml:space="preserve"> Las solicitudes de acceso a la información y las respuestas que se les dé, incluyendo, en su caso, </w:t>
      </w:r>
      <w:r>
        <w:rPr>
          <w:rFonts w:ascii="Palatino Linotype" w:eastAsia="Palatino Linotype" w:hAnsi="Palatino Linotype" w:cs="Palatino Linotype"/>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rsidR="008E63CC" w:rsidRDefault="00681B91">
      <w:pPr>
        <w:ind w:right="899"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8E63CC" w:rsidRDefault="008E63CC">
      <w:pPr>
        <w:ind w:right="899" w:firstLine="708"/>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8E63CC" w:rsidRDefault="008E63CC">
      <w:pPr>
        <w:jc w:val="both"/>
        <w:rPr>
          <w:rFonts w:ascii="Palatino Linotype" w:eastAsia="Palatino Linotype" w:hAnsi="Palatino Linotype" w:cs="Palatino Linotype"/>
        </w:rPr>
      </w:pP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22.</w:t>
      </w:r>
      <w:r>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38.</w:t>
      </w:r>
      <w:r>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(Sic)</w:t>
      </w:r>
    </w:p>
    <w:p w:rsidR="008E63CC" w:rsidRDefault="008E63CC">
      <w:pPr>
        <w:ind w:left="851" w:right="850"/>
        <w:jc w:val="both"/>
        <w:rPr>
          <w:rFonts w:ascii="Palatino Linotype" w:eastAsia="Palatino Linotype" w:hAnsi="Palatino Linotype" w:cs="Palatino Linotype"/>
          <w:i/>
          <w:sz w:val="22"/>
          <w:szCs w:val="22"/>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8E63CC" w:rsidRDefault="008E63CC">
      <w:pPr>
        <w:spacing w:line="360" w:lineRule="auto"/>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rFonts w:ascii="Palatino Linotype" w:eastAsia="Palatino Linotype" w:hAnsi="Palatino Linotype" w:cs="Palatino Linotype"/>
          <w:b/>
        </w:rPr>
        <w:t>EL SUJETO OBLIGADO.</w:t>
      </w:r>
    </w:p>
    <w:p w:rsidR="008E63CC" w:rsidRDefault="008E63CC">
      <w:pPr>
        <w:spacing w:line="360" w:lineRule="auto"/>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8E63CC" w:rsidRDefault="008E63CC">
      <w:pPr>
        <w:spacing w:line="360" w:lineRule="auto"/>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8E63CC" w:rsidRDefault="008E63CC">
      <w:pPr>
        <w:jc w:val="both"/>
        <w:rPr>
          <w:rFonts w:ascii="Palatino Linotype" w:eastAsia="Palatino Linotype" w:hAnsi="Palatino Linotype" w:cs="Palatino Linotype"/>
        </w:rPr>
      </w:pP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VIII.</w:t>
      </w:r>
      <w:r>
        <w:rPr>
          <w:rFonts w:ascii="Palatino Linotype" w:eastAsia="Palatino Linotype" w:hAnsi="Palatino Linotype" w:cs="Palatino Linotype"/>
          <w:i/>
          <w:sz w:val="22"/>
          <w:szCs w:val="22"/>
        </w:rPr>
        <w:t xml:space="preserve"> Aprobar, modificar o revocar la clasificación de la información;</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8E63CC" w:rsidRDefault="00681B9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III. Se generen versiones públicas para dar cumplimiento a las obligaciones de transparencia previstas en esta Ley.</w:t>
      </w:r>
      <w:r>
        <w:rPr>
          <w:rFonts w:ascii="Palatino Linotype" w:eastAsia="Palatino Linotype" w:hAnsi="Palatino Linotype" w:cs="Palatino Linotype"/>
          <w:b/>
          <w:i/>
          <w:sz w:val="22"/>
          <w:szCs w:val="22"/>
        </w:rPr>
        <w:t>”</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8E63CC" w:rsidRDefault="00681B9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w:t>
      </w:r>
      <w:r>
        <w:rPr>
          <w:rFonts w:ascii="Palatino Linotype" w:eastAsia="Palatino Linotype" w:hAnsi="Palatino Linotype" w:cs="Palatino Linotype"/>
          <w:i/>
          <w:sz w:val="22"/>
          <w:szCs w:val="22"/>
        </w:rPr>
        <w:lastRenderedPageBreak/>
        <w:t>llevar la leyenda correspondiente de conformidad con lo dispuesto en el Capítulo VIII de los presentes lineamientos.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(Sic)</w:t>
      </w:r>
    </w:p>
    <w:p w:rsidR="008E63CC" w:rsidRDefault="008E63CC">
      <w:pPr>
        <w:ind w:left="851" w:right="899"/>
        <w:jc w:val="both"/>
        <w:rPr>
          <w:rFonts w:ascii="Palatino Linotype" w:eastAsia="Palatino Linotype" w:hAnsi="Palatino Linotype" w:cs="Palatino Linotype"/>
          <w:b/>
          <w:i/>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8E63CC" w:rsidRDefault="008E63CC">
      <w:pPr>
        <w:spacing w:line="360" w:lineRule="auto"/>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advirtió que de conformidad con lo dispuesto por los artículos 29 y 29-A del Código Fiscal de la Federación; así como, por la Resolución Miscelánea Fiscal vigente y en tención a la información publicada por el Servicio de Administración Tributaria (SAT), ubicable en la liga electrónica: </w:t>
      </w:r>
      <w:hyperlink r:id="rId9">
        <w:r>
          <w:rPr>
            <w:rFonts w:ascii="Palatino Linotype" w:eastAsia="Palatino Linotype" w:hAnsi="Palatino Linotype" w:cs="Palatino Linotype"/>
            <w:color w:val="035899"/>
          </w:rPr>
          <w:t>http://omawww.sat.gob.mx/factura/Paginas/solicita_requisitos.htm</w:t>
        </w:r>
      </w:hyperlink>
      <w:r>
        <w:rPr>
          <w:rFonts w:ascii="Palatino Linotype" w:eastAsia="Palatino Linotype" w:hAnsi="Palatino Linotype" w:cs="Palatino Linotype"/>
        </w:rPr>
        <w:t>, las facturas deben reunir los siguientes requisitos:</w:t>
      </w:r>
    </w:p>
    <w:p w:rsidR="008E63CC" w:rsidRDefault="008E63CC">
      <w:pPr>
        <w:spacing w:line="360" w:lineRule="auto"/>
        <w:jc w:val="both"/>
        <w:rPr>
          <w:rFonts w:ascii="Palatino Linotype" w:eastAsia="Palatino Linotype" w:hAnsi="Palatino Linotype" w:cs="Palatino Linotype"/>
        </w:rPr>
      </w:pPr>
    </w:p>
    <w:tbl>
      <w:tblPr>
        <w:tblStyle w:val="afffffd"/>
        <w:tblW w:w="8275" w:type="dxa"/>
        <w:tblInd w:w="846" w:type="dxa"/>
        <w:tblLayout w:type="fixed"/>
        <w:tblLook w:val="0400" w:firstRow="0" w:lastRow="0" w:firstColumn="0" w:lastColumn="0" w:noHBand="0" w:noVBand="1"/>
      </w:tblPr>
      <w:tblGrid>
        <w:gridCol w:w="425"/>
        <w:gridCol w:w="7850"/>
      </w:tblGrid>
      <w:tr w:rsidR="008E63CC">
        <w:tc>
          <w:tcPr>
            <w:tcW w:w="425" w:type="dxa"/>
            <w:tcMar>
              <w:top w:w="0" w:type="dxa"/>
              <w:left w:w="0" w:type="dxa"/>
              <w:bottom w:w="0" w:type="dxa"/>
              <w:right w:w="0" w:type="dxa"/>
            </w:tcMar>
          </w:tcPr>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w:t>
            </w:r>
          </w:p>
        </w:tc>
        <w:tc>
          <w:tcPr>
            <w:tcW w:w="7850" w:type="dxa"/>
            <w:tcMar>
              <w:top w:w="0" w:type="dxa"/>
              <w:left w:w="0" w:type="dxa"/>
              <w:bottom w:w="0" w:type="dxa"/>
              <w:right w:w="0" w:type="dxa"/>
            </w:tcMar>
          </w:tcPr>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Clave del Registro Federal de Contribuyentes de quien los expida.</w:t>
            </w:r>
          </w:p>
        </w:tc>
      </w:tr>
      <w:tr w:rsidR="008E63CC">
        <w:tc>
          <w:tcPr>
            <w:tcW w:w="425" w:type="dxa"/>
            <w:tcMar>
              <w:top w:w="0" w:type="dxa"/>
              <w:left w:w="0" w:type="dxa"/>
              <w:bottom w:w="0" w:type="dxa"/>
              <w:right w:w="0" w:type="dxa"/>
            </w:tcMar>
          </w:tcPr>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w:t>
            </w:r>
          </w:p>
        </w:tc>
        <w:tc>
          <w:tcPr>
            <w:tcW w:w="7850" w:type="dxa"/>
            <w:tcMar>
              <w:top w:w="0" w:type="dxa"/>
              <w:left w:w="0" w:type="dxa"/>
              <w:bottom w:w="0" w:type="dxa"/>
              <w:right w:w="0" w:type="dxa"/>
            </w:tcMar>
          </w:tcPr>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Régimen Fiscal en que tributen conforme a la Ley del ISR.</w:t>
            </w:r>
          </w:p>
        </w:tc>
      </w:tr>
      <w:tr w:rsidR="008E63CC">
        <w:tc>
          <w:tcPr>
            <w:tcW w:w="425" w:type="dxa"/>
            <w:tcMar>
              <w:top w:w="0" w:type="dxa"/>
              <w:left w:w="0" w:type="dxa"/>
              <w:bottom w:w="0" w:type="dxa"/>
              <w:right w:w="0" w:type="dxa"/>
            </w:tcMar>
          </w:tcPr>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w:t>
            </w:r>
          </w:p>
        </w:tc>
        <w:tc>
          <w:tcPr>
            <w:tcW w:w="7850" w:type="dxa"/>
            <w:tcMar>
              <w:top w:w="0" w:type="dxa"/>
              <w:left w:w="0" w:type="dxa"/>
              <w:bottom w:w="0" w:type="dxa"/>
              <w:right w:w="0" w:type="dxa"/>
            </w:tcMar>
          </w:tcPr>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Sí se tiene más de un local o establecimiento, se deberá señalar el domicilio del local o establecimiento en el que se expidan las Facturas.</w:t>
            </w:r>
          </w:p>
        </w:tc>
      </w:tr>
      <w:tr w:rsidR="008E63CC">
        <w:tc>
          <w:tcPr>
            <w:tcW w:w="425" w:type="dxa"/>
            <w:tcMar>
              <w:top w:w="0" w:type="dxa"/>
              <w:left w:w="0" w:type="dxa"/>
              <w:bottom w:w="0" w:type="dxa"/>
              <w:right w:w="0" w:type="dxa"/>
            </w:tcMar>
          </w:tcPr>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w:t>
            </w:r>
          </w:p>
        </w:tc>
        <w:tc>
          <w:tcPr>
            <w:tcW w:w="7850" w:type="dxa"/>
            <w:tcMar>
              <w:top w:w="0" w:type="dxa"/>
              <w:left w:w="0" w:type="dxa"/>
              <w:bottom w:w="0" w:type="dxa"/>
              <w:right w:w="0" w:type="dxa"/>
            </w:tcMar>
          </w:tcPr>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Contener el número de folio asignado por el SAT y el sello digital del SAT.</w:t>
            </w:r>
          </w:p>
        </w:tc>
      </w:tr>
      <w:tr w:rsidR="008E63CC">
        <w:tc>
          <w:tcPr>
            <w:tcW w:w="425" w:type="dxa"/>
            <w:tcMar>
              <w:top w:w="0" w:type="dxa"/>
              <w:left w:w="0" w:type="dxa"/>
              <w:bottom w:w="0" w:type="dxa"/>
              <w:right w:w="0" w:type="dxa"/>
            </w:tcMar>
          </w:tcPr>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w:t>
            </w:r>
          </w:p>
        </w:tc>
        <w:tc>
          <w:tcPr>
            <w:tcW w:w="7850" w:type="dxa"/>
            <w:tcMar>
              <w:top w:w="0" w:type="dxa"/>
              <w:left w:w="0" w:type="dxa"/>
              <w:bottom w:w="0" w:type="dxa"/>
              <w:right w:w="0" w:type="dxa"/>
            </w:tcMar>
          </w:tcPr>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Sello digital del contribuyente que lo expide.</w:t>
            </w:r>
          </w:p>
        </w:tc>
      </w:tr>
      <w:tr w:rsidR="008E63CC">
        <w:tc>
          <w:tcPr>
            <w:tcW w:w="425" w:type="dxa"/>
            <w:tcMar>
              <w:top w:w="0" w:type="dxa"/>
              <w:left w:w="0" w:type="dxa"/>
              <w:bottom w:w="0" w:type="dxa"/>
              <w:right w:w="0" w:type="dxa"/>
            </w:tcMar>
          </w:tcPr>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w:t>
            </w:r>
          </w:p>
        </w:tc>
        <w:tc>
          <w:tcPr>
            <w:tcW w:w="7850" w:type="dxa"/>
            <w:tcMar>
              <w:top w:w="0" w:type="dxa"/>
              <w:left w:w="0" w:type="dxa"/>
              <w:bottom w:w="0" w:type="dxa"/>
              <w:right w:w="0" w:type="dxa"/>
            </w:tcMar>
          </w:tcPr>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Lugar y fecha de expedición.</w:t>
            </w:r>
          </w:p>
        </w:tc>
      </w:tr>
      <w:tr w:rsidR="008E63CC">
        <w:tc>
          <w:tcPr>
            <w:tcW w:w="425" w:type="dxa"/>
            <w:tcMar>
              <w:top w:w="0" w:type="dxa"/>
              <w:left w:w="0" w:type="dxa"/>
              <w:bottom w:w="0" w:type="dxa"/>
              <w:right w:w="0" w:type="dxa"/>
            </w:tcMar>
          </w:tcPr>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w:t>
            </w:r>
          </w:p>
        </w:tc>
        <w:tc>
          <w:tcPr>
            <w:tcW w:w="7850" w:type="dxa"/>
            <w:tcMar>
              <w:top w:w="0" w:type="dxa"/>
              <w:left w:w="0" w:type="dxa"/>
              <w:bottom w:w="0" w:type="dxa"/>
              <w:right w:w="0" w:type="dxa"/>
            </w:tcMar>
          </w:tcPr>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Clave del Registro Federal de Contribuyentes de la persona a favor de quien se expida.</w:t>
            </w:r>
          </w:p>
        </w:tc>
      </w:tr>
      <w:tr w:rsidR="008E63CC">
        <w:tc>
          <w:tcPr>
            <w:tcW w:w="425" w:type="dxa"/>
            <w:tcMar>
              <w:top w:w="0" w:type="dxa"/>
              <w:left w:w="0" w:type="dxa"/>
              <w:bottom w:w="0" w:type="dxa"/>
              <w:right w:w="0" w:type="dxa"/>
            </w:tcMar>
          </w:tcPr>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w:t>
            </w:r>
          </w:p>
        </w:tc>
        <w:tc>
          <w:tcPr>
            <w:tcW w:w="7850" w:type="dxa"/>
            <w:tcMar>
              <w:top w:w="0" w:type="dxa"/>
              <w:left w:w="0" w:type="dxa"/>
              <w:bottom w:w="0" w:type="dxa"/>
              <w:right w:w="0" w:type="dxa"/>
            </w:tcMar>
          </w:tcPr>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Cantidad, unidad de medida y clase de los bienes, mercancías o descripción del servicio o del uso o goce que amparen.</w:t>
            </w:r>
          </w:p>
        </w:tc>
      </w:tr>
      <w:tr w:rsidR="008E63CC">
        <w:tc>
          <w:tcPr>
            <w:tcW w:w="425" w:type="dxa"/>
            <w:tcMar>
              <w:top w:w="0" w:type="dxa"/>
              <w:left w:w="0" w:type="dxa"/>
              <w:bottom w:w="0" w:type="dxa"/>
              <w:right w:w="0" w:type="dxa"/>
            </w:tcMar>
          </w:tcPr>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w:t>
            </w:r>
          </w:p>
        </w:tc>
        <w:tc>
          <w:tcPr>
            <w:tcW w:w="7850" w:type="dxa"/>
            <w:tcMar>
              <w:top w:w="0" w:type="dxa"/>
              <w:left w:w="0" w:type="dxa"/>
              <w:bottom w:w="0" w:type="dxa"/>
              <w:right w:w="0" w:type="dxa"/>
            </w:tcMar>
          </w:tcPr>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Valor unitario consignado en número.</w:t>
            </w:r>
          </w:p>
        </w:tc>
      </w:tr>
      <w:tr w:rsidR="008E63CC">
        <w:tc>
          <w:tcPr>
            <w:tcW w:w="425" w:type="dxa"/>
            <w:tcMar>
              <w:top w:w="0" w:type="dxa"/>
              <w:left w:w="0" w:type="dxa"/>
              <w:bottom w:w="0" w:type="dxa"/>
              <w:right w:w="0" w:type="dxa"/>
            </w:tcMar>
          </w:tcPr>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w:t>
            </w:r>
          </w:p>
        </w:tc>
        <w:tc>
          <w:tcPr>
            <w:tcW w:w="7850" w:type="dxa"/>
            <w:tcMar>
              <w:top w:w="0" w:type="dxa"/>
              <w:left w:w="0" w:type="dxa"/>
              <w:bottom w:w="0" w:type="dxa"/>
              <w:right w:w="0" w:type="dxa"/>
            </w:tcMar>
          </w:tcPr>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Importe total señalado en número o en letra.</w:t>
            </w:r>
          </w:p>
        </w:tc>
      </w:tr>
      <w:tr w:rsidR="008E63CC">
        <w:tc>
          <w:tcPr>
            <w:tcW w:w="425" w:type="dxa"/>
            <w:tcMar>
              <w:top w:w="0" w:type="dxa"/>
              <w:left w:w="0" w:type="dxa"/>
              <w:bottom w:w="0" w:type="dxa"/>
              <w:right w:w="0" w:type="dxa"/>
            </w:tcMar>
          </w:tcPr>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w:t>
            </w:r>
          </w:p>
        </w:tc>
        <w:tc>
          <w:tcPr>
            <w:tcW w:w="7850" w:type="dxa"/>
            <w:tcMar>
              <w:top w:w="0" w:type="dxa"/>
              <w:left w:w="0" w:type="dxa"/>
              <w:bottom w:w="0" w:type="dxa"/>
              <w:right w:w="0" w:type="dxa"/>
            </w:tcMar>
          </w:tcPr>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Señalamiento expreso cuando la prestación se pague en una sola exhibición o en parcialidades.</w:t>
            </w:r>
          </w:p>
        </w:tc>
      </w:tr>
      <w:tr w:rsidR="008E63CC">
        <w:tc>
          <w:tcPr>
            <w:tcW w:w="425" w:type="dxa"/>
            <w:tcMar>
              <w:top w:w="0" w:type="dxa"/>
              <w:left w:w="0" w:type="dxa"/>
              <w:bottom w:w="0" w:type="dxa"/>
              <w:right w:w="0" w:type="dxa"/>
            </w:tcMar>
          </w:tcPr>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w:t>
            </w:r>
          </w:p>
        </w:tc>
        <w:tc>
          <w:tcPr>
            <w:tcW w:w="7850" w:type="dxa"/>
            <w:tcMar>
              <w:top w:w="0" w:type="dxa"/>
              <w:left w:w="0" w:type="dxa"/>
              <w:bottom w:w="0" w:type="dxa"/>
              <w:right w:w="0" w:type="dxa"/>
            </w:tcMar>
          </w:tcPr>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Cuando proceda, se indicará el monto de los impuestos trasladados, desglosados por tasa de impuesto y, en su caso, el monto de los impuestos retenidos.</w:t>
            </w:r>
          </w:p>
        </w:tc>
      </w:tr>
      <w:tr w:rsidR="008E63CC">
        <w:tc>
          <w:tcPr>
            <w:tcW w:w="425" w:type="dxa"/>
            <w:tcMar>
              <w:top w:w="0" w:type="dxa"/>
              <w:left w:w="0" w:type="dxa"/>
              <w:bottom w:w="0" w:type="dxa"/>
              <w:right w:w="0" w:type="dxa"/>
            </w:tcMar>
          </w:tcPr>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w:t>
            </w:r>
          </w:p>
        </w:tc>
        <w:tc>
          <w:tcPr>
            <w:tcW w:w="7850" w:type="dxa"/>
            <w:tcMar>
              <w:top w:w="0" w:type="dxa"/>
              <w:left w:w="0" w:type="dxa"/>
              <w:bottom w:w="0" w:type="dxa"/>
              <w:right w:w="0" w:type="dxa"/>
            </w:tcMar>
          </w:tcPr>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Forma en que se realizó el pago (efectivo, transferencia electrónica de fondos, cheque nominativo o tarjeta de débito, de crédito, de servicio o la denominada monedero electrónico que autorice el Servicio de Administración Tributaria).</w:t>
            </w:r>
          </w:p>
        </w:tc>
      </w:tr>
      <w:tr w:rsidR="008E63CC">
        <w:tc>
          <w:tcPr>
            <w:tcW w:w="425" w:type="dxa"/>
            <w:tcMar>
              <w:top w:w="0" w:type="dxa"/>
              <w:left w:w="0" w:type="dxa"/>
              <w:bottom w:w="0" w:type="dxa"/>
              <w:right w:w="0" w:type="dxa"/>
            </w:tcMar>
          </w:tcPr>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w:t>
            </w:r>
          </w:p>
        </w:tc>
        <w:tc>
          <w:tcPr>
            <w:tcW w:w="7850" w:type="dxa"/>
            <w:tcMar>
              <w:top w:w="0" w:type="dxa"/>
              <w:left w:w="0" w:type="dxa"/>
              <w:bottom w:w="0" w:type="dxa"/>
              <w:right w:w="0" w:type="dxa"/>
            </w:tcMar>
          </w:tcPr>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Número y fecha del documento aduanero, tratándose de ventas de primera mano de mercancías de importación.</w:t>
            </w:r>
          </w:p>
        </w:tc>
      </w:tr>
      <w:tr w:rsidR="008E63CC">
        <w:tc>
          <w:tcPr>
            <w:tcW w:w="8275" w:type="dxa"/>
            <w:gridSpan w:val="2"/>
            <w:tcMar>
              <w:top w:w="0" w:type="dxa"/>
              <w:left w:w="0" w:type="dxa"/>
              <w:bottom w:w="0" w:type="dxa"/>
              <w:right w:w="0" w:type="dxa"/>
            </w:tcMar>
          </w:tcPr>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Además, debe contener los siguientes datos:</w:t>
            </w:r>
          </w:p>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a)     Fecha y hora de certificación.</w:t>
            </w:r>
          </w:p>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b)    Número de serie del certificado digital del SAT con el que se realizó el sellado</w:t>
            </w:r>
          </w:p>
        </w:tc>
      </w:tr>
      <w:tr w:rsidR="008E63CC">
        <w:tc>
          <w:tcPr>
            <w:tcW w:w="8275" w:type="dxa"/>
            <w:gridSpan w:val="2"/>
            <w:tcMar>
              <w:top w:w="0" w:type="dxa"/>
              <w:left w:w="0" w:type="dxa"/>
              <w:bottom w:w="0" w:type="dxa"/>
              <w:right w:w="0" w:type="dxa"/>
            </w:tcMar>
          </w:tcPr>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La representación impresa además debe contener los requisitos contenidos en la Resolución Miscelánea Fiscal vigente:</w:t>
            </w:r>
          </w:p>
        </w:tc>
      </w:tr>
      <w:tr w:rsidR="008E63CC">
        <w:tc>
          <w:tcPr>
            <w:tcW w:w="8275" w:type="dxa"/>
            <w:gridSpan w:val="2"/>
            <w:tcMar>
              <w:top w:w="0" w:type="dxa"/>
              <w:left w:w="0" w:type="dxa"/>
              <w:bottom w:w="0" w:type="dxa"/>
              <w:right w:w="0" w:type="dxa"/>
            </w:tcMar>
          </w:tcPr>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lastRenderedPageBreak/>
              <w:t>a)    Código de barras generado conforme al rubro I.D del Anexo 20 o el número de folio fiscal del comprobante.</w:t>
            </w:r>
          </w:p>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b)    Número de serie del CSD del emisor y del SAT.</w:t>
            </w:r>
          </w:p>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c)     La leyenda “Este documento es una representación impresa de un CFDI”.</w:t>
            </w:r>
          </w:p>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d)    Fecha y hora de emisión y de certificación de la Factura en adición a lo señalado en el artículo 29-A, fracción III del CFF.</w:t>
            </w:r>
          </w:p>
          <w:p w:rsidR="008E63CC" w:rsidRDefault="00681B91">
            <w:pPr>
              <w:spacing w:line="360" w:lineRule="auto"/>
              <w:ind w:right="901"/>
              <w:jc w:val="both"/>
              <w:rPr>
                <w:rFonts w:ascii="Palatino Linotype" w:eastAsia="Palatino Linotype" w:hAnsi="Palatino Linotype" w:cs="Palatino Linotype"/>
              </w:rPr>
            </w:pPr>
            <w:r>
              <w:rPr>
                <w:rFonts w:ascii="Palatino Linotype" w:eastAsia="Palatino Linotype" w:hAnsi="Palatino Linotype" w:cs="Palatino Linotype"/>
              </w:rPr>
              <w:t>e)    Cadena original del complemento de certificación digital del SAT.</w:t>
            </w:r>
          </w:p>
        </w:tc>
      </w:tr>
    </w:tbl>
    <w:p w:rsidR="008E63CC" w:rsidRDefault="008E63CC">
      <w:pPr>
        <w:widowControl w:val="0"/>
        <w:spacing w:line="360" w:lineRule="auto"/>
        <w:jc w:val="both"/>
        <w:rPr>
          <w:rFonts w:ascii="Palatino Linotype" w:eastAsia="Palatino Linotype" w:hAnsi="Palatino Linotype" w:cs="Palatino Linotype"/>
        </w:rPr>
      </w:pPr>
    </w:p>
    <w:p w:rsidR="008E63CC" w:rsidRDefault="00681B9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pues, este Órgano Garante no pierde de vista que la información solicitada, pudiera contener a su vez datos personales susceptibles de considerarse información confidencial como lo son: números de cuenta y CLABE’s interbancarias del proveedor.</w:t>
      </w:r>
    </w:p>
    <w:p w:rsidR="008E63CC" w:rsidRDefault="008E63CC">
      <w:pPr>
        <w:widowControl w:val="0"/>
        <w:spacing w:line="360" w:lineRule="auto"/>
        <w:jc w:val="both"/>
        <w:rPr>
          <w:rFonts w:ascii="Palatino Linotype" w:eastAsia="Palatino Linotype" w:hAnsi="Palatino Linotype" w:cs="Palatino Linotype"/>
        </w:rPr>
      </w:pPr>
    </w:p>
    <w:p w:rsidR="008E63CC" w:rsidRDefault="00681B9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las cuentas bancarias y claves interbancarias es de precisar que dicha información es información confidencial únicamente; por lo que, concierne a los particulares, y no así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toda vez que su publicidad abona a la transparencia y a la rendición de cuentas.</w:t>
      </w:r>
    </w:p>
    <w:p w:rsidR="008E63CC" w:rsidRDefault="008E63CC">
      <w:pPr>
        <w:widowControl w:val="0"/>
        <w:spacing w:line="360" w:lineRule="auto"/>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es importante precisar que de acuerdo al </w:t>
      </w:r>
      <w:r>
        <w:rPr>
          <w:rFonts w:ascii="Palatino Linotype" w:eastAsia="Palatino Linotype" w:hAnsi="Palatino Linotype" w:cs="Palatino Linotype"/>
          <w:b/>
        </w:rPr>
        <w:t>criterio 11/17</w:t>
      </w:r>
      <w:r>
        <w:rPr>
          <w:rFonts w:ascii="Palatino Linotype" w:eastAsia="Palatino Linotype" w:hAnsi="Palatino Linotype" w:cs="Palatino Linotype"/>
        </w:rPr>
        <w:t xml:space="preserve"> emitido por el INAI, las cuentas bancarias y/o clave interbancaria de los Sujetos Obligados es información de carácter público. </w:t>
      </w:r>
    </w:p>
    <w:p w:rsidR="008E63CC" w:rsidRDefault="008E63CC">
      <w:pPr>
        <w:spacing w:line="360" w:lineRule="auto"/>
        <w:jc w:val="both"/>
        <w:rPr>
          <w:rFonts w:ascii="Palatino Linotype" w:eastAsia="Palatino Linotype" w:hAnsi="Palatino Linotype" w:cs="Palatino Linotype"/>
        </w:rPr>
      </w:pPr>
    </w:p>
    <w:p w:rsidR="008E63CC" w:rsidRDefault="00681B91">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Pr>
          <w:rFonts w:ascii="Palatino Linotype" w:eastAsia="Palatino Linotype" w:hAnsi="Palatino Linotype" w:cs="Palatino Linotype"/>
          <w:i/>
          <w:sz w:val="22"/>
          <w:szCs w:val="22"/>
        </w:rPr>
        <w:t xml:space="preserve"> La </w:t>
      </w:r>
      <w:r>
        <w:rPr>
          <w:rFonts w:ascii="Palatino Linotype" w:eastAsia="Palatino Linotype" w:hAnsi="Palatino Linotype" w:cs="Palatino Linotype"/>
          <w:i/>
          <w:sz w:val="22"/>
          <w:szCs w:val="22"/>
        </w:rPr>
        <w:lastRenderedPageBreak/>
        <w:t xml:space="preserve">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8E63CC" w:rsidRDefault="00681B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Caso contrario a los particulares, como lo refiere el </w:t>
      </w:r>
      <w:r>
        <w:rPr>
          <w:rFonts w:ascii="Palatino Linotype" w:eastAsia="Palatino Linotype" w:hAnsi="Palatino Linotype" w:cs="Palatino Linotype"/>
          <w:b/>
        </w:rPr>
        <w:t>criterio 10/17</w:t>
      </w:r>
      <w:r>
        <w:rPr>
          <w:rFonts w:ascii="Palatino Linotype" w:eastAsia="Palatino Linotype" w:hAnsi="Palatino Linotype" w:cs="Palatino Linotype"/>
        </w:rPr>
        <w:t xml:space="preserve"> emitido por el INAI, que es del tenor literal siguiente:</w:t>
      </w:r>
    </w:p>
    <w:p w:rsidR="008E63CC" w:rsidRDefault="008E63CC">
      <w:pPr>
        <w:ind w:left="851" w:right="902"/>
        <w:jc w:val="both"/>
        <w:rPr>
          <w:rFonts w:ascii="Palatino Linotype" w:eastAsia="Palatino Linotype" w:hAnsi="Palatino Linotype" w:cs="Palatino Linotype"/>
          <w:b/>
          <w:i/>
          <w:sz w:val="22"/>
          <w:szCs w:val="22"/>
        </w:rPr>
      </w:pP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Cuentas bancarias y/o CLABE interbancaria de personas físicas y morales privadas. El número de cuenta bancaria y/o CLABE interbancaria de particulares es información confidencial</w:t>
      </w:r>
      <w:r>
        <w:rPr>
          <w:rFonts w:ascii="Palatino Linotype" w:eastAsia="Palatino Linotype" w:hAnsi="Palatino Linotype" w:cs="Palatino Linotype"/>
          <w:i/>
          <w:sz w:val="22"/>
          <w:szCs w:val="22"/>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Resoluciones:  </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RRA 1276/16 Grupo Aeroportuario de la Ciudad de México. S.A. de C.V. 01 de noviembre de 2016. Por unanimidad. Comisionada Ponente Areli Cano Guadiana.</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RRA 3527/16 Servicio de Administración Tributaria. 07 de diciembre de 2016. Por unanimidad. Comisionada Ponente Ximena Puente de la Mora.  </w:t>
      </w:r>
      <w:r>
        <w:rPr>
          <w:rFonts w:ascii="Palatino Linotype" w:eastAsia="Palatino Linotype" w:hAnsi="Palatino Linotype" w:cs="Palatino Linotype"/>
          <w:i/>
          <w:sz w:val="22"/>
          <w:szCs w:val="22"/>
        </w:rPr>
        <w:t xml:space="preserve"> </w:t>
      </w:r>
    </w:p>
    <w:p w:rsidR="008E63CC" w:rsidRDefault="00681B9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RRA 4404/16 Partido del Trabajo. 01 de febrero de 2017. Por unanimidad. Comisionado Ponente Francisco Acuña Llamas.</w:t>
      </w:r>
    </w:p>
    <w:p w:rsidR="008E63CC" w:rsidRDefault="008E63CC">
      <w:pPr>
        <w:spacing w:line="360" w:lineRule="auto"/>
        <w:jc w:val="both"/>
        <w:rPr>
          <w:rFonts w:ascii="Palatino Linotype" w:eastAsia="Palatino Linotype" w:hAnsi="Palatino Linotype" w:cs="Palatino Linotype"/>
        </w:rPr>
      </w:pPr>
    </w:p>
    <w:p w:rsidR="008E63CC" w:rsidRDefault="00681B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por cuanto hace a las </w:t>
      </w:r>
      <w:r>
        <w:rPr>
          <w:rFonts w:ascii="Palatino Linotype" w:eastAsia="Palatino Linotype" w:hAnsi="Palatino Linotype" w:cs="Palatino Linotype"/>
          <w:b/>
        </w:rPr>
        <w:t>Cadenas Originales y Sellos Digitales del Servicio de Administración Tributaria</w:t>
      </w:r>
      <w:r>
        <w:rPr>
          <w:rFonts w:ascii="Palatino Linotype" w:eastAsia="Palatino Linotype" w:hAnsi="Palatino Linotype" w:cs="Palatino Linotype"/>
        </w:rPr>
        <w:t xml:space="preserve">,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w:t>
      </w:r>
      <w:r>
        <w:rPr>
          <w:rFonts w:ascii="Palatino Linotype" w:eastAsia="Palatino Linotype" w:hAnsi="Palatino Linotype" w:cs="Palatino Linotype"/>
        </w:rPr>
        <w:lastRenderedPageBreak/>
        <w:t>datos que se revelan al consultar dichos datos y tienen como finalidad o propósito específico, firmar digitalmente las facturas electrónicas para acreditar la autoría de los comprobantes fiscales digitales. Preceptos que se transcriben a continuación:</w:t>
      </w:r>
    </w:p>
    <w:p w:rsidR="008E63CC" w:rsidRDefault="008E63CC">
      <w:pPr>
        <w:ind w:left="850" w:right="902"/>
        <w:jc w:val="both"/>
        <w:rPr>
          <w:rFonts w:ascii="Palatino Linotype" w:eastAsia="Palatino Linotype" w:hAnsi="Palatino Linotype" w:cs="Palatino Linotype"/>
          <w:sz w:val="22"/>
          <w:szCs w:val="22"/>
        </w:rPr>
      </w:pPr>
    </w:p>
    <w:p w:rsidR="008E63CC" w:rsidRDefault="00681B91">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b/>
          <w:sz w:val="22"/>
          <w:szCs w:val="22"/>
        </w:rPr>
        <w:t>Artículo 17-G</w:t>
      </w:r>
      <w:r>
        <w:rPr>
          <w:rFonts w:ascii="Palatino Linotype" w:eastAsia="Palatino Linotype" w:hAnsi="Palatino Linotype" w:cs="Palatino Linotype"/>
          <w:i/>
          <w:sz w:val="22"/>
          <w:szCs w:val="22"/>
        </w:rPr>
        <w:t xml:space="preserve">.- Los certificados que emita el Servicio de Administración Tributaria para ser considerados válidos deberán contener los datos siguientes: </w:t>
      </w:r>
    </w:p>
    <w:p w:rsidR="008E63CC" w:rsidRDefault="00681B91">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ab/>
      </w:r>
      <w:r>
        <w:rPr>
          <w:rFonts w:ascii="Palatino Linotype" w:eastAsia="Palatino Linotype" w:hAnsi="Palatino Linotype" w:cs="Palatino Linotype"/>
          <w:b/>
          <w:i/>
          <w:sz w:val="22"/>
          <w:szCs w:val="22"/>
        </w:rPr>
        <w:t>La mención de que se expiden como tales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Tratándose de certificados de sellos digitales, se deberán especificar las limitantes que tengan para su uso</w:t>
      </w:r>
      <w:r>
        <w:rPr>
          <w:rFonts w:ascii="Palatino Linotype" w:eastAsia="Palatino Linotype" w:hAnsi="Palatino Linotype" w:cs="Palatino Linotype"/>
          <w:i/>
          <w:sz w:val="22"/>
          <w:szCs w:val="22"/>
        </w:rPr>
        <w:t>.</w:t>
      </w:r>
    </w:p>
    <w:p w:rsidR="008E63CC" w:rsidRDefault="00681B91">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29. </w:t>
      </w:r>
      <w:r>
        <w:rPr>
          <w:rFonts w:ascii="Palatino Linotype" w:eastAsia="Palatino Linotype" w:hAnsi="Palatino Linotype" w:cs="Palatino Linotype"/>
          <w:i/>
          <w:sz w:val="22"/>
          <w:szCs w:val="22"/>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8E63CC" w:rsidRDefault="00681B91">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contribuyentes a que se refiere el párrafo anterior deberán cumplir con las obligaciones siguientes:</w:t>
      </w:r>
    </w:p>
    <w:p w:rsidR="008E63CC" w:rsidRDefault="00681B91">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63CC" w:rsidRDefault="00681B91">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ab/>
      </w:r>
      <w:r>
        <w:rPr>
          <w:rFonts w:ascii="Palatino Linotype" w:eastAsia="Palatino Linotype" w:hAnsi="Palatino Linotype" w:cs="Palatino Linotype"/>
          <w:b/>
          <w:i/>
          <w:sz w:val="22"/>
          <w:szCs w:val="22"/>
        </w:rPr>
        <w:t>Tramitar ante el Servicio de Administración Tributaria el certificado para el uso de los sellos digitales</w:t>
      </w:r>
      <w:r>
        <w:rPr>
          <w:rFonts w:ascii="Palatino Linotype" w:eastAsia="Palatino Linotype" w:hAnsi="Palatino Linotype" w:cs="Palatino Linotype"/>
          <w:i/>
          <w:sz w:val="22"/>
          <w:szCs w:val="22"/>
        </w:rPr>
        <w:t>.</w:t>
      </w:r>
    </w:p>
    <w:p w:rsidR="008E63CC" w:rsidRDefault="00681B91">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contribuyentes podrán optar por el uso de uno o más certificados de sellos digitales que se utilizarán exclusivamente para la expedición de los comprobantes fiscales mediante documentos digitales. </w:t>
      </w:r>
      <w:r>
        <w:rPr>
          <w:rFonts w:ascii="Palatino Linotype" w:eastAsia="Palatino Linotype" w:hAnsi="Palatino Linotype" w:cs="Palatino Linotype"/>
          <w:b/>
          <w:i/>
          <w:sz w:val="22"/>
          <w:szCs w:val="22"/>
        </w:rPr>
        <w:t>El sello digital permitirá acreditar la autoría de los comprobantes fiscales digitales</w:t>
      </w:r>
      <w:r>
        <w:rPr>
          <w:rFonts w:ascii="Palatino Linotype" w:eastAsia="Palatino Linotype" w:hAnsi="Palatino Linotype" w:cs="Palatino Linotype"/>
          <w:i/>
          <w:sz w:val="22"/>
          <w:szCs w:val="22"/>
        </w:rPr>
        <w:t xml:space="preserve"> por Internet que expidan las personas físicas y morales, el cual queda sujeto a la regulación aplicable al uso de la firma electrónica avanzada.</w:t>
      </w:r>
    </w:p>
    <w:p w:rsidR="008E63CC" w:rsidRDefault="00681B91">
      <w:pPr>
        <w:ind w:left="850" w:right="902" w:firstLine="14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63CC" w:rsidRDefault="00681B91">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sz w:val="22"/>
          <w:szCs w:val="22"/>
        </w:rPr>
        <w:tab/>
        <w:t>Remitir al Servicio de Administración Tributaria, antes de su expedición, el comprobante fiscal digital por Internet respectivo</w:t>
      </w:r>
      <w:r>
        <w:rPr>
          <w:rFonts w:ascii="Palatino Linotype" w:eastAsia="Palatino Linotype" w:hAnsi="Palatino Linotype" w:cs="Palatino Linotype"/>
          <w:i/>
          <w:sz w:val="22"/>
          <w:szCs w:val="22"/>
        </w:rPr>
        <w:t xml:space="preserve"> a través de los mecanismos digitales que para tal efecto determine dicho órgano desconcentrado mediante reglas de carácter general, </w:t>
      </w:r>
      <w:r>
        <w:rPr>
          <w:rFonts w:ascii="Palatino Linotype" w:eastAsia="Palatino Linotype" w:hAnsi="Palatino Linotype" w:cs="Palatino Linotype"/>
          <w:b/>
          <w:i/>
          <w:sz w:val="22"/>
          <w:szCs w:val="22"/>
        </w:rPr>
        <w:t>con el objeto de que éste proceda a</w:t>
      </w:r>
      <w:r>
        <w:rPr>
          <w:rFonts w:ascii="Palatino Linotype" w:eastAsia="Palatino Linotype" w:hAnsi="Palatino Linotype" w:cs="Palatino Linotype"/>
          <w:i/>
          <w:sz w:val="22"/>
          <w:szCs w:val="22"/>
        </w:rPr>
        <w:t>:</w:t>
      </w:r>
    </w:p>
    <w:p w:rsidR="008E63CC" w:rsidRDefault="00681B91">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w:t>
      </w:r>
      <w:r>
        <w:rPr>
          <w:rFonts w:ascii="Palatino Linotype" w:eastAsia="Palatino Linotype" w:hAnsi="Palatino Linotype" w:cs="Palatino Linotype"/>
          <w:i/>
          <w:sz w:val="22"/>
          <w:szCs w:val="22"/>
        </w:rPr>
        <w:tab/>
        <w:t>Validar el cumplimiento de los requisitos establecidos en el artículo 29-A de este Código.</w:t>
      </w:r>
    </w:p>
    <w:p w:rsidR="008E63CC" w:rsidRDefault="00681B91">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b)</w:t>
      </w:r>
      <w:r>
        <w:rPr>
          <w:rFonts w:ascii="Palatino Linotype" w:eastAsia="Palatino Linotype" w:hAnsi="Palatino Linotype" w:cs="Palatino Linotype"/>
          <w:i/>
          <w:sz w:val="22"/>
          <w:szCs w:val="22"/>
        </w:rPr>
        <w:tab/>
        <w:t xml:space="preserve">Asignar el </w:t>
      </w:r>
      <w:r>
        <w:rPr>
          <w:rFonts w:ascii="Palatino Linotype" w:eastAsia="Palatino Linotype" w:hAnsi="Palatino Linotype" w:cs="Palatino Linotype"/>
          <w:b/>
          <w:i/>
          <w:sz w:val="22"/>
          <w:szCs w:val="22"/>
        </w:rPr>
        <w:t>folio del comprobante fiscal digital</w:t>
      </w:r>
      <w:r>
        <w:rPr>
          <w:rFonts w:ascii="Palatino Linotype" w:eastAsia="Palatino Linotype" w:hAnsi="Palatino Linotype" w:cs="Palatino Linotype"/>
          <w:i/>
          <w:sz w:val="22"/>
          <w:szCs w:val="22"/>
        </w:rPr>
        <w:t>.</w:t>
      </w:r>
    </w:p>
    <w:p w:rsidR="008E63CC" w:rsidRDefault="00681B91">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w:t>
      </w:r>
      <w:r>
        <w:rPr>
          <w:rFonts w:ascii="Palatino Linotype" w:eastAsia="Palatino Linotype" w:hAnsi="Palatino Linotype" w:cs="Palatino Linotype"/>
          <w:b/>
          <w:i/>
          <w:sz w:val="22"/>
          <w:szCs w:val="22"/>
        </w:rPr>
        <w:tab/>
        <w:t>Incorporar el sello digital del Servicio de Administración Tributaria</w:t>
      </w:r>
      <w:r>
        <w:rPr>
          <w:rFonts w:ascii="Palatino Linotype" w:eastAsia="Palatino Linotype" w:hAnsi="Palatino Linotype" w:cs="Palatino Linotype"/>
          <w:i/>
          <w:sz w:val="22"/>
          <w:szCs w:val="22"/>
        </w:rPr>
        <w:t>.</w:t>
      </w:r>
    </w:p>
    <w:p w:rsidR="008E63CC" w:rsidRDefault="00681B91">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Servicio de Administración Tributaria podrá autorizar a proveedores de </w:t>
      </w:r>
      <w:r>
        <w:rPr>
          <w:rFonts w:ascii="Palatino Linotype" w:eastAsia="Palatino Linotype" w:hAnsi="Palatino Linotype" w:cs="Palatino Linotype"/>
          <w:b/>
          <w:i/>
          <w:sz w:val="22"/>
          <w:szCs w:val="22"/>
        </w:rPr>
        <w:t>certificación de comprobantes fiscales digitales por Internet para que efectúen la validación, asignación de folio e incorporación del sello a que se refiere esta fracción.</w:t>
      </w:r>
    </w:p>
    <w:p w:rsidR="008E63CC" w:rsidRDefault="00681B91">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rsidR="008E63CC" w:rsidRDefault="00681B91">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rsidR="008E63CC" w:rsidRDefault="00681B91">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los efectos del segundo párrafo de esta fracción, el Servicio de Administración Tributaria podrá proporcionar la información necesaria a los proveedores autorizados de certificación de comprobantes fiscales digitales por Internet.</w:t>
      </w:r>
    </w:p>
    <w:p w:rsidR="008E63CC" w:rsidRDefault="00681B91">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31</w:t>
      </w:r>
      <w:r>
        <w:rPr>
          <w:rFonts w:ascii="Palatino Linotype" w:eastAsia="Palatino Linotype" w:hAnsi="Palatino Linotype" w:cs="Palatino Linotype"/>
          <w:i/>
          <w:sz w:val="22"/>
          <w:szCs w:val="22"/>
        </w:rPr>
        <w:t>.</w:t>
      </w:r>
    </w:p>
    <w:p w:rsidR="008E63CC" w:rsidRDefault="00681B91">
      <w:pPr>
        <w:ind w:left="850" w:right="902" w:firstLine="14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63CC" w:rsidRDefault="00681B91">
      <w:pPr>
        <w:ind w:left="85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rsidR="008E63CC" w:rsidRDefault="00681B91">
      <w:pPr>
        <w:ind w:left="850"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8E63CC" w:rsidRDefault="008E63CC">
      <w:pPr>
        <w:ind w:left="851" w:right="902"/>
        <w:jc w:val="both"/>
        <w:rPr>
          <w:rFonts w:ascii="Palatino Linotype" w:eastAsia="Palatino Linotype" w:hAnsi="Palatino Linotype" w:cs="Palatino Linotype"/>
          <w:sz w:val="22"/>
          <w:szCs w:val="22"/>
        </w:rPr>
      </w:pPr>
    </w:p>
    <w:p w:rsidR="008E63CC" w:rsidRDefault="00681B9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w:t>
      </w:r>
      <w:r>
        <w:rPr>
          <w:rFonts w:ascii="Palatino Linotype" w:eastAsia="Palatino Linotype" w:hAnsi="Palatino Linotype" w:cs="Palatino Linotype"/>
        </w:rPr>
        <w:lastRenderedPageBreak/>
        <w:t>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 Aunado a lo anterior, es conveniente traer a contexto lo siguiente:</w:t>
      </w:r>
    </w:p>
    <w:p w:rsidR="008E63CC" w:rsidRDefault="008E63CC">
      <w:pPr>
        <w:ind w:right="709"/>
        <w:rPr>
          <w:rFonts w:ascii="Palatino Linotype" w:eastAsia="Palatino Linotype" w:hAnsi="Palatino Linotype" w:cs="Palatino Linotype"/>
          <w:b/>
          <w:i/>
          <w:sz w:val="22"/>
          <w:szCs w:val="22"/>
        </w:rPr>
      </w:pPr>
    </w:p>
    <w:p w:rsidR="008E63CC" w:rsidRDefault="00681B91">
      <w:pPr>
        <w:ind w:left="851"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Código Fiscal de la Federación</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33.- </w:t>
      </w:r>
      <w:r>
        <w:rPr>
          <w:rFonts w:ascii="Palatino Linotype" w:eastAsia="Palatino Linotype" w:hAnsi="Palatino Linotype" w:cs="Palatino Linotype"/>
          <w:i/>
          <w:sz w:val="22"/>
          <w:szCs w:val="22"/>
        </w:rPr>
        <w:t>Las autoridades fiscales para el mejor cumplimiento de sus facultades, estarán a lo siguiente:</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Proporcionarán asistencia gratuita a los contribuyentes y para ello procurarán:</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63CC" w:rsidRDefault="00681B9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g)</w:t>
      </w:r>
      <w:r>
        <w:rPr>
          <w:rFonts w:ascii="Palatino Linotype" w:eastAsia="Palatino Linotype" w:hAnsi="Palatino Linotype" w:cs="Palatino Linotype"/>
          <w:b/>
          <w:i/>
          <w:sz w:val="22"/>
          <w:szCs w:val="22"/>
        </w:rPr>
        <w:tab/>
        <w:t>Publicar anualmente las resoluciones dictadas por las autoridades fiscales que establezcan disposiciones de carácter general agrupándolas de manera que faciliten su conocimiento por parte de los contribuyentes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podrán publicar aisladamente aquellas disposiciones cuyos efectos se limitan a periodos inferiores a un año</w:t>
      </w:r>
      <w:r>
        <w:rPr>
          <w:rFonts w:ascii="Palatino Linotype" w:eastAsia="Palatino Linotype" w:hAnsi="Palatino Linotype" w:cs="Palatino Linotype"/>
          <w:i/>
          <w:sz w:val="22"/>
          <w:szCs w:val="22"/>
        </w:rPr>
        <w:t>. Las resoluciones que se emitan conforme a este inciso y que se refieran a sujeto, objeto, base, tasa o tarifa, no generarán obligaciones o cargas adicionales a las establecidas en las propias leyes fiscales.</w:t>
      </w:r>
    </w:p>
    <w:p w:rsidR="008E63CC" w:rsidRDefault="008E63CC">
      <w:pPr>
        <w:ind w:left="851" w:right="899"/>
        <w:jc w:val="center"/>
        <w:rPr>
          <w:rFonts w:ascii="Palatino Linotype" w:eastAsia="Palatino Linotype" w:hAnsi="Palatino Linotype" w:cs="Palatino Linotype"/>
          <w:b/>
          <w:i/>
          <w:sz w:val="22"/>
          <w:szCs w:val="22"/>
        </w:rPr>
      </w:pPr>
    </w:p>
    <w:p w:rsidR="008E63CC" w:rsidRDefault="00681B9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Resolución Miscelánea Fiscal 2018</w:t>
      </w:r>
    </w:p>
    <w:p w:rsidR="008E63CC" w:rsidRDefault="00681B9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Generación del CFDI</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2.7.1.2.</w:t>
      </w:r>
      <w:r>
        <w:rPr>
          <w:rFonts w:ascii="Palatino Linotype" w:eastAsia="Palatino Linotype" w:hAnsi="Palatino Linotype" w:cs="Palatino Linotype"/>
          <w:b/>
          <w:i/>
          <w:sz w:val="22"/>
          <w:szCs w:val="22"/>
        </w:rPr>
        <w:tab/>
        <w:t>Para los efectos del artículo 29, primer y segundo párrafos del CFF, los CFDI que generen los contribuyentes</w:t>
      </w:r>
      <w:r>
        <w:rPr>
          <w:rFonts w:ascii="Palatino Linotype" w:eastAsia="Palatino Linotype" w:hAnsi="Palatino Linotype" w:cs="Palatino Linotype"/>
          <w:i/>
          <w:sz w:val="22"/>
          <w:szCs w:val="22"/>
        </w:rPr>
        <w:t xml:space="preserve"> y que posteriormente envíen a un proveedor de certificación de CFDI, </w:t>
      </w:r>
      <w:r>
        <w:rPr>
          <w:rFonts w:ascii="Palatino Linotype" w:eastAsia="Palatino Linotype" w:hAnsi="Palatino Linotype" w:cs="Palatino Linotype"/>
          <w:b/>
          <w:i/>
          <w:sz w:val="22"/>
          <w:szCs w:val="22"/>
        </w:rPr>
        <w:t>para su validación, asignación del folio e incorporación del sello digital del SAT otorgado para dicho efecto (certificación), deberán cumplir con las especificaciones técnicas previstas en los rubros</w:t>
      </w:r>
      <w:r>
        <w:rPr>
          <w:rFonts w:ascii="Palatino Linotype" w:eastAsia="Palatino Linotype" w:hAnsi="Palatino Linotype" w:cs="Palatino Linotype"/>
          <w:i/>
          <w:sz w:val="22"/>
          <w:szCs w:val="22"/>
        </w:rPr>
        <w:t xml:space="preserve"> I.A “Estándar de comprobante fiscal digital por Internet” y </w:t>
      </w:r>
      <w:r>
        <w:rPr>
          <w:rFonts w:ascii="Palatino Linotype" w:eastAsia="Palatino Linotype" w:hAnsi="Palatino Linotype" w:cs="Palatino Linotype"/>
          <w:b/>
          <w:i/>
          <w:sz w:val="22"/>
          <w:szCs w:val="22"/>
        </w:rPr>
        <w:t>I.B “Generación de sellos digitales para comprobantes fiscales digitales por Internet” del Anexo 20</w:t>
      </w:r>
      <w:r>
        <w:rPr>
          <w:rFonts w:ascii="Palatino Linotype" w:eastAsia="Palatino Linotype" w:hAnsi="Palatino Linotype" w:cs="Palatino Linotype"/>
          <w:i/>
          <w:sz w:val="22"/>
          <w:szCs w:val="22"/>
        </w:rPr>
        <w:t>. …”</w:t>
      </w:r>
    </w:p>
    <w:p w:rsidR="008E63CC" w:rsidRDefault="008E63CC">
      <w:pPr>
        <w:ind w:left="851" w:right="899"/>
        <w:jc w:val="center"/>
        <w:rPr>
          <w:rFonts w:ascii="Palatino Linotype" w:eastAsia="Palatino Linotype" w:hAnsi="Palatino Linotype" w:cs="Palatino Linotype"/>
          <w:b/>
          <w:i/>
          <w:sz w:val="22"/>
          <w:szCs w:val="22"/>
        </w:rPr>
      </w:pPr>
    </w:p>
    <w:p w:rsidR="008E63CC" w:rsidRDefault="00681B9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Anexo 20 de la Segunda Resolución de modificaciones a la Resolución Miscelánea Fiscal para 2017</w:t>
      </w:r>
    </w:p>
    <w:p w:rsidR="008E63CC" w:rsidRDefault="00681B9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I. Del Comprobante fiscal digital por Internet:</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63CC" w:rsidRDefault="00681B9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B. Generación de sellos digitales para comprobantes fiscales digitales por Internet.</w:t>
      </w:r>
    </w:p>
    <w:p w:rsidR="008E63CC" w:rsidRDefault="00681B9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Elementos utilizados en la generación de Sellos Digitales:</w:t>
      </w:r>
    </w:p>
    <w:p w:rsidR="008E63CC" w:rsidRDefault="00681B91">
      <w:pPr>
        <w:numPr>
          <w:ilvl w:val="0"/>
          <w:numId w:val="1"/>
        </w:numPr>
        <w:ind w:left="851" w:right="899" w:firstLine="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Cadena Original </w:t>
      </w:r>
      <w:r>
        <w:rPr>
          <w:rFonts w:ascii="Palatino Linotype" w:eastAsia="Palatino Linotype" w:hAnsi="Palatino Linotype" w:cs="Palatino Linotype"/>
          <w:i/>
          <w:sz w:val="22"/>
          <w:szCs w:val="22"/>
        </w:rPr>
        <w:t>del elemento a sellar.</w:t>
      </w:r>
    </w:p>
    <w:p w:rsidR="008E63CC" w:rsidRDefault="00681B91">
      <w:pPr>
        <w:numPr>
          <w:ilvl w:val="0"/>
          <w:numId w:val="1"/>
        </w:numPr>
        <w:ind w:left="851" w:right="899" w:firstLine="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Certificado de Sello Digital </w:t>
      </w:r>
      <w:r>
        <w:rPr>
          <w:rFonts w:ascii="Palatino Linotype" w:eastAsia="Palatino Linotype" w:hAnsi="Palatino Linotype" w:cs="Palatino Linotype"/>
          <w:i/>
          <w:sz w:val="22"/>
          <w:szCs w:val="22"/>
        </w:rPr>
        <w:t>y su correspondiente clave privada</w:t>
      </w:r>
      <w:r>
        <w:rPr>
          <w:rFonts w:ascii="Palatino Linotype" w:eastAsia="Palatino Linotype" w:hAnsi="Palatino Linotype" w:cs="Palatino Linotype"/>
          <w:b/>
          <w:i/>
          <w:sz w:val="22"/>
          <w:szCs w:val="22"/>
        </w:rPr>
        <w:t>.</w:t>
      </w:r>
    </w:p>
    <w:p w:rsidR="008E63CC" w:rsidRDefault="00681B91">
      <w:pPr>
        <w:numPr>
          <w:ilvl w:val="0"/>
          <w:numId w:val="1"/>
        </w:numPr>
        <w:ind w:left="851" w:right="899" w:firstLine="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Algoritmos de criptografía de clave pública para firma electrónica avanzada.</w:t>
      </w:r>
    </w:p>
    <w:p w:rsidR="008E63CC" w:rsidRDefault="00681B91">
      <w:pPr>
        <w:numPr>
          <w:ilvl w:val="0"/>
          <w:numId w:val="1"/>
        </w:numPr>
        <w:ind w:left="851" w:right="899" w:firstLine="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Especificaciones de conversión de la firma electrónica avanzada a Base 64.</w:t>
      </w:r>
    </w:p>
    <w:p w:rsidR="008E63CC" w:rsidRDefault="00681B9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p>
    <w:p w:rsidR="008E63CC" w:rsidRDefault="00681B9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Cadena Original</w:t>
      </w:r>
    </w:p>
    <w:p w:rsidR="008E63CC" w:rsidRDefault="00681B9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Se entiende como cadena original, a la secuencia de datos formada con la información contenida dentro del comprobante fiscal digital por Internet, establecida en el Rubro I.A. de este anexo, construida aplicando las siguientes reglas.</w:t>
      </w:r>
    </w:p>
    <w:p w:rsidR="008E63CC" w:rsidRDefault="00681B9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Reglas Generales:</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Ninguno de los atributos que conforman al comprobante fiscal digital por Internet debe contener el carácter | (pleca) debido a que éste es utilizado como carácter de control en la formación de la cadena original.</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El inicio de la cadena original se encuentra marcado mediante una secuencia de caracteres || (doble pleca).</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 Se expresa únicamente la información del dato sin expresar el atributo al que hace referencia. Esto es, si el valor de un campo es "A" y el nombre del campo es "Concepto", sólo se expresa |A| y nunca |Concepto A|.</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4. Cada dato individual se debe separar de su dato subsiguiente, en caso de existir, mediante un carácter | (pleca sencilla).</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5. Los espacios en blanco que se presenten dentro de la cadena original son tratados de la siguiente manera:</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Se deben reemplazar todos los tabuladores, retornos de carro y saltos de línea por el carácter espacio (ASCII 32).</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Acto seguido se elimina cualquier espacio al principio y al final de cada separador | (pleca).</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 Finalmente, toda secuencia de caracteres en blanco se sustituye por un único carácter espacio (ASCII 32).</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6. Los datos opcionales no expresados, no aparecen en la cadena original y no tienen delimitador alguno.</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7. El final de la cadena original se expresa mediante una cadena de caracteres || (doble pleca).</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8. Toda la cadena original se expresa en el formato de codificación UTF-8.</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9. El nodo o nodos adicionales &lt;ComplementoConcepto&gt; se integran a la cadena original como se indica en la secuencia de formación en su numeral 10, respetando la secuencia de formación y número de orden del ComplementoConcepto.</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10. El nodo o nodos adicionales &lt;Complemento&gt; se integra al final de la cadena original respetando la secuencia de formación para cada complemento y número de orden del Complemento.</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11. El nodo </w:t>
      </w:r>
      <w:r>
        <w:rPr>
          <w:rFonts w:ascii="Palatino Linotype" w:eastAsia="Palatino Linotype" w:hAnsi="Palatino Linotype" w:cs="Palatino Linotype"/>
          <w:b/>
          <w:i/>
          <w:sz w:val="22"/>
          <w:szCs w:val="22"/>
        </w:rPr>
        <w:t>Timbre Fiscal Digital del SAT</w:t>
      </w:r>
      <w:r>
        <w:rPr>
          <w:rFonts w:ascii="Palatino Linotype" w:eastAsia="Palatino Linotype" w:hAnsi="Palatino Linotype" w:cs="Palatino Linotype"/>
          <w:i/>
          <w:sz w:val="22"/>
          <w:szCs w:val="22"/>
        </w:rPr>
        <w:t xml:space="preserve"> se integra posterior a la validación realizada por un proveedor autorizado por el SAT que </w:t>
      </w:r>
      <w:r>
        <w:rPr>
          <w:rFonts w:ascii="Palatino Linotype" w:eastAsia="Palatino Linotype" w:hAnsi="Palatino Linotype" w:cs="Palatino Linotype"/>
          <w:b/>
          <w:i/>
          <w:sz w:val="22"/>
          <w:szCs w:val="22"/>
        </w:rPr>
        <w:t>forma parte de la Certificación Digital del SAT</w:t>
      </w:r>
      <w:r>
        <w:rPr>
          <w:rFonts w:ascii="Palatino Linotype" w:eastAsia="Palatino Linotype" w:hAnsi="Palatino Linotype" w:cs="Palatino Linotype"/>
          <w:i/>
          <w:sz w:val="22"/>
          <w:szCs w:val="22"/>
        </w:rPr>
        <w:t>. Dicho nodo no se integra a la formación de la cadena original del CFDI, las reglas de conformación de la cadena original del nodo se describen en el Rubro III.B. del presente anexo.</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63CC" w:rsidRDefault="00681B9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Generación del Sello Digital</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Para toda cadena original a ser sellada digitalmente, la secuencia de algoritmos a aplicar es la siguiente</w:t>
      </w:r>
      <w:r>
        <w:rPr>
          <w:rFonts w:ascii="Palatino Linotype" w:eastAsia="Palatino Linotype" w:hAnsi="Palatino Linotype" w:cs="Palatino Linotype"/>
          <w:i/>
          <w:sz w:val="22"/>
          <w:szCs w:val="22"/>
        </w:rPr>
        <w:t>:</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63CC" w:rsidRDefault="00681B9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 Secuencia de formación para generar la cadena original para comprobantes fiscales digitalespor Internet</w:t>
      </w:r>
    </w:p>
    <w:p w:rsidR="008E63CC" w:rsidRDefault="00681B9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Secuencia de Formación:</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La secuencia de formación siempre se registra en el orden que se expresa a continuación</w:t>
      </w:r>
      <w:r>
        <w:rPr>
          <w:rFonts w:ascii="Palatino Linotype" w:eastAsia="Palatino Linotype" w:hAnsi="Palatino Linotype" w:cs="Palatino Linotype"/>
          <w:i/>
          <w:sz w:val="22"/>
          <w:szCs w:val="22"/>
        </w:rPr>
        <w:t>,</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 Información del nodo Emisor</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Rfc</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Nombre</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 RegimenFiscal</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4. Información del nodo Receptor</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Rfc</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Nombre</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 Residencia Fiscal</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 NumRegIdTrib</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 UsoCFDI”</w:t>
      </w:r>
    </w:p>
    <w:p w:rsidR="008E63CC" w:rsidRDefault="00681B9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8E63CC" w:rsidRDefault="008E63CC">
      <w:pPr>
        <w:spacing w:before="240" w:after="240" w:line="360" w:lineRule="auto"/>
        <w:ind w:right="51"/>
        <w:jc w:val="both"/>
        <w:rPr>
          <w:rFonts w:ascii="Palatino Linotype" w:eastAsia="Palatino Linotype" w:hAnsi="Palatino Linotype" w:cs="Palatino Linotype"/>
        </w:rPr>
      </w:pPr>
    </w:p>
    <w:p w:rsidR="008E63CC" w:rsidRDefault="00681B9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Expuesto todo lo anterior</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 xml:space="preserve">fundados </w:t>
      </w:r>
      <w:r>
        <w:rPr>
          <w:rFonts w:ascii="Palatino Linotype" w:eastAsia="Palatino Linotype" w:hAnsi="Palatino Linotype" w:cs="Palatino Linotype"/>
        </w:rPr>
        <w:t xml:space="preserve">y suficientes para </w:t>
      </w:r>
      <w:r>
        <w:rPr>
          <w:rFonts w:ascii="Palatino Linotype" w:eastAsia="Palatino Linotype" w:hAnsi="Palatino Linotype" w:cs="Palatino Linotype"/>
          <w:b/>
        </w:rPr>
        <w:t xml:space="preserve">MODIFICAR </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ordenarle lleve a cabo una </w:t>
      </w:r>
      <w:r>
        <w:rPr>
          <w:rFonts w:ascii="Palatino Linotype" w:eastAsia="Palatino Linotype" w:hAnsi="Palatino Linotype" w:cs="Palatino Linotype"/>
          <w:b/>
        </w:rPr>
        <w:t>búsqueda razonable y exhaustiva</w:t>
      </w:r>
      <w:r>
        <w:rPr>
          <w:rFonts w:ascii="Palatino Linotype" w:eastAsia="Palatino Linotype" w:hAnsi="Palatino Linotype" w:cs="Palatino Linotype"/>
        </w:rPr>
        <w:t xml:space="preserve"> y  entregue en versión pública el soporte documental donde conste la información de la reparación de la bomba de agua, factura del servicio, compra del material utilizado para su reparación de uno de enero al veinticuatro de marzo de dos mil veintidós. </w:t>
      </w:r>
    </w:p>
    <w:p w:rsidR="008E63CC" w:rsidRDefault="00681B9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importante precisar que una vez llevado a cabo el procedimiento de búsqueda, contar con la información que se ordena,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hacérselo saber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 forma fundada y motivada. </w:t>
      </w:r>
    </w:p>
    <w:p w:rsidR="008E63CC" w:rsidRDefault="00681B91">
      <w:pPr>
        <w:spacing w:line="360" w:lineRule="auto"/>
        <w:jc w:val="both"/>
        <w:rPr>
          <w:rFonts w:ascii="Palatino Linotype" w:eastAsia="Palatino Linotype" w:hAnsi="Palatino Linotype" w:cs="Palatino Linotype"/>
        </w:rPr>
      </w:pPr>
      <w:bookmarkStart w:id="6" w:name="_heading=h.m9m48eq7zqb4" w:colFirst="0" w:colLast="0"/>
      <w:bookmarkEnd w:id="6"/>
      <w:r>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8E63CC" w:rsidRDefault="008E63CC">
      <w:pPr>
        <w:spacing w:line="360" w:lineRule="auto"/>
        <w:jc w:val="both"/>
        <w:rPr>
          <w:rFonts w:ascii="Palatino Linotype" w:eastAsia="Palatino Linotype" w:hAnsi="Palatino Linotype" w:cs="Palatino Linotype"/>
        </w:rPr>
      </w:pPr>
      <w:bookmarkStart w:id="7" w:name="_heading=h.otsgt5yh5fvu" w:colFirst="0" w:colLast="0"/>
      <w:bookmarkEnd w:id="7"/>
    </w:p>
    <w:p w:rsidR="008E63CC" w:rsidRDefault="008E63CC">
      <w:pPr>
        <w:spacing w:line="360" w:lineRule="auto"/>
        <w:jc w:val="both"/>
        <w:rPr>
          <w:rFonts w:ascii="Palatino Linotype" w:eastAsia="Palatino Linotype" w:hAnsi="Palatino Linotype" w:cs="Palatino Linotype"/>
        </w:rPr>
      </w:pPr>
      <w:bookmarkStart w:id="8" w:name="_heading=h.fe35y1s5kgy2" w:colFirst="0" w:colLast="0"/>
      <w:bookmarkEnd w:id="8"/>
    </w:p>
    <w:p w:rsidR="008E63CC" w:rsidRDefault="008E63CC">
      <w:pPr>
        <w:spacing w:line="360" w:lineRule="auto"/>
        <w:jc w:val="both"/>
        <w:rPr>
          <w:rFonts w:ascii="Palatino Linotype" w:eastAsia="Palatino Linotype" w:hAnsi="Palatino Linotype" w:cs="Palatino Linotype"/>
        </w:rPr>
      </w:pPr>
      <w:bookmarkStart w:id="9" w:name="_heading=h.f3l2k1s50ggi" w:colFirst="0" w:colLast="0"/>
      <w:bookmarkEnd w:id="9"/>
    </w:p>
    <w:p w:rsidR="008E63CC" w:rsidRDefault="008E63CC">
      <w:pPr>
        <w:spacing w:line="360" w:lineRule="auto"/>
        <w:jc w:val="both"/>
        <w:rPr>
          <w:rFonts w:ascii="Palatino Linotype" w:eastAsia="Palatino Linotype" w:hAnsi="Palatino Linotype" w:cs="Palatino Linotype"/>
        </w:rPr>
      </w:pPr>
      <w:bookmarkStart w:id="10" w:name="_heading=h.i62j9q7fz3ck" w:colFirst="0" w:colLast="0"/>
      <w:bookmarkEnd w:id="10"/>
    </w:p>
    <w:p w:rsidR="008E63CC" w:rsidRDefault="008E63CC">
      <w:pPr>
        <w:spacing w:line="360" w:lineRule="auto"/>
        <w:jc w:val="both"/>
        <w:rPr>
          <w:rFonts w:ascii="Palatino Linotype" w:eastAsia="Palatino Linotype" w:hAnsi="Palatino Linotype" w:cs="Palatino Linotype"/>
        </w:rPr>
      </w:pPr>
      <w:bookmarkStart w:id="11" w:name="_heading=h.eh61g29fegvq" w:colFirst="0" w:colLast="0"/>
      <w:bookmarkEnd w:id="11"/>
    </w:p>
    <w:p w:rsidR="008E63CC" w:rsidRDefault="00681B91">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rsidR="008E63CC" w:rsidRDefault="008E63CC">
      <w:pPr>
        <w:spacing w:line="360" w:lineRule="auto"/>
        <w:jc w:val="center"/>
        <w:rPr>
          <w:rFonts w:ascii="Palatino Linotype" w:eastAsia="Palatino Linotype" w:hAnsi="Palatino Linotype" w:cs="Palatino Linotype"/>
          <w:b/>
          <w:sz w:val="26"/>
          <w:szCs w:val="26"/>
        </w:rPr>
      </w:pPr>
    </w:p>
    <w:p w:rsidR="008E63CC" w:rsidRDefault="00681B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05457/INFOEM/IP/RR/2022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rsidR="008E63CC" w:rsidRDefault="008E63CC">
      <w:pPr>
        <w:spacing w:line="360" w:lineRule="auto"/>
        <w:ind w:right="49"/>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otorgada por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la solicitud de acceso a la información pública que dio origen al Recurso de Revisión </w:t>
      </w:r>
      <w:r>
        <w:rPr>
          <w:rFonts w:ascii="Palatino Linotype" w:eastAsia="Palatino Linotype" w:hAnsi="Palatino Linotype" w:cs="Palatino Linotype"/>
          <w:b/>
        </w:rPr>
        <w:t xml:space="preserve">05457/INFOEM/IP/RR/2022 </w:t>
      </w:r>
      <w:r>
        <w:rPr>
          <w:rFonts w:ascii="Palatino Linotype" w:eastAsia="Palatino Linotype" w:hAnsi="Palatino Linotype" w:cs="Palatino Linotype"/>
        </w:rPr>
        <w:t xml:space="preserve"> y se ordena que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previa </w:t>
      </w:r>
      <w:r>
        <w:rPr>
          <w:rFonts w:ascii="Palatino Linotype" w:eastAsia="Palatino Linotype" w:hAnsi="Palatino Linotype" w:cs="Palatino Linotype"/>
          <w:b/>
        </w:rPr>
        <w:t>búsqueda exhaustiva y razonabl</w:t>
      </w:r>
      <w:r>
        <w:rPr>
          <w:rFonts w:ascii="Palatino Linotype" w:eastAsia="Palatino Linotype" w:hAnsi="Palatino Linotype" w:cs="Palatino Linotype"/>
        </w:rPr>
        <w:t xml:space="preserve">e, haga entrega al Recurrente mediante 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versión pública, de lo siguiente:  </w:t>
      </w: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soporte documental donde conste la información de la reparación de la bomba de agua, factura del servicio y/o compra del material utilizado para su reparación por el periodo comprendido del uno de enero al veinticuatro de marzo de dos mil veintidós. </w:t>
      </w:r>
    </w:p>
    <w:p w:rsidR="008E63CC" w:rsidRDefault="008E63CC">
      <w:pPr>
        <w:ind w:left="850" w:right="899"/>
        <w:jc w:val="both"/>
        <w:rPr>
          <w:rFonts w:ascii="Palatino Linotype" w:eastAsia="Palatino Linotype" w:hAnsi="Palatino Linotype" w:cs="Palatino Linotype"/>
          <w:i/>
          <w:sz w:val="22"/>
          <w:szCs w:val="22"/>
        </w:rPr>
      </w:pP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rsidR="008E63CC" w:rsidRDefault="008E63CC">
      <w:pPr>
        <w:ind w:left="850" w:right="899"/>
        <w:jc w:val="both"/>
        <w:rPr>
          <w:rFonts w:ascii="Palatino Linotype" w:eastAsia="Palatino Linotype" w:hAnsi="Palatino Linotype" w:cs="Palatino Linotype"/>
          <w:i/>
          <w:sz w:val="22"/>
          <w:szCs w:val="22"/>
        </w:rPr>
      </w:pPr>
    </w:p>
    <w:p w:rsidR="008E63CC" w:rsidRDefault="00681B91">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de que una vez llevado a cabo el procedimiento de búsqueda, de no contar con la información que se ordena, </w:t>
      </w:r>
      <w:r>
        <w:rPr>
          <w:rFonts w:ascii="Palatino Linotype" w:eastAsia="Palatino Linotype" w:hAnsi="Palatino Linotype" w:cs="Palatino Linotype"/>
          <w:b/>
          <w:i/>
          <w:sz w:val="22"/>
          <w:szCs w:val="22"/>
        </w:rPr>
        <w:t>EL SUJETO OBLIGADO</w:t>
      </w:r>
      <w:r>
        <w:rPr>
          <w:rFonts w:ascii="Palatino Linotype" w:eastAsia="Palatino Linotype" w:hAnsi="Palatino Linotype" w:cs="Palatino Linotype"/>
          <w:i/>
          <w:sz w:val="22"/>
          <w:szCs w:val="22"/>
        </w:rPr>
        <w:t xml:space="preserve"> deberá hacérselo saber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de forma fundada y motivada. </w:t>
      </w:r>
    </w:p>
    <w:p w:rsidR="008E63CC" w:rsidRDefault="008E63CC">
      <w:pPr>
        <w:ind w:left="850" w:right="899"/>
        <w:jc w:val="both"/>
        <w:rPr>
          <w:rFonts w:ascii="Palatino Linotype" w:eastAsia="Palatino Linotype" w:hAnsi="Palatino Linotype" w:cs="Palatino Linotype"/>
          <w:i/>
          <w:sz w:val="22"/>
          <w:szCs w:val="22"/>
        </w:rPr>
      </w:pPr>
    </w:p>
    <w:p w:rsidR="008E63CC" w:rsidRDefault="008E63CC">
      <w:pPr>
        <w:tabs>
          <w:tab w:val="left" w:pos="709"/>
        </w:tabs>
        <w:ind w:right="899"/>
        <w:jc w:val="both"/>
        <w:rPr>
          <w:rFonts w:ascii="Palatino Linotype" w:eastAsia="Palatino Linotype" w:hAnsi="Palatino Linotype" w:cs="Palatino Linotype"/>
          <w:i/>
          <w:sz w:val="20"/>
          <w:szCs w:val="20"/>
        </w:rPr>
      </w:pPr>
    </w:p>
    <w:p w:rsidR="008E63CC" w:rsidRDefault="008E63CC">
      <w:pPr>
        <w:spacing w:line="360" w:lineRule="auto"/>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rPr>
      </w:pPr>
      <w:bookmarkStart w:id="12" w:name="_heading=h.1fob9te" w:colFirst="0" w:colLast="0"/>
      <w:bookmarkEnd w:id="12"/>
      <w:r>
        <w:rPr>
          <w:rFonts w:ascii="Palatino Linotype" w:eastAsia="Palatino Linotype" w:hAnsi="Palatino Linotype" w:cs="Palatino Linotype"/>
          <w:b/>
        </w:rPr>
        <w:lastRenderedPageBreak/>
        <w:t>TERCERO. Notifíquese</w:t>
      </w:r>
      <w:r>
        <w:rPr>
          <w:rFonts w:ascii="Palatino Linotype" w:eastAsia="Palatino Linotype" w:hAnsi="Palatino Linotype" w:cs="Palatino Linotype"/>
          <w:b/>
          <w:i/>
        </w:rPr>
        <w:t xml:space="preserve"> </w:t>
      </w:r>
      <w:r>
        <w:rPr>
          <w:rFonts w:ascii="Palatino Linotype" w:eastAsia="Palatino Linotype" w:hAnsi="Palatino Linotype" w:cs="Palatino Linotype"/>
        </w:rPr>
        <w:t>al Titular de la Unidad de Transparencia del</w:t>
      </w:r>
      <w:r>
        <w:rPr>
          <w:rFonts w:ascii="Palatino Linotype" w:eastAsia="Palatino Linotype" w:hAnsi="Palatino Linotype" w:cs="Palatino Linotype"/>
          <w:b/>
        </w:rPr>
        <w:t xml:space="preserve"> </w:t>
      </w:r>
      <w:r>
        <w:rPr>
          <w:rFonts w:ascii="Palatino Linotype" w:eastAsia="Palatino Linotype" w:hAnsi="Palatino Linotype" w:cs="Palatino Linotype"/>
        </w:rPr>
        <w:t>Sujeto Obligado por medio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E63CC" w:rsidRDefault="008E63CC">
      <w:pPr>
        <w:spacing w:line="360" w:lineRule="auto"/>
        <w:jc w:val="both"/>
        <w:rPr>
          <w:rFonts w:ascii="Palatino Linotype" w:eastAsia="Palatino Linotype" w:hAnsi="Palatino Linotype" w:cs="Palatino Linotype"/>
        </w:rPr>
      </w:pPr>
    </w:p>
    <w:p w:rsidR="008E63CC" w:rsidRDefault="00681B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8E63CC" w:rsidRDefault="008E63CC">
      <w:pPr>
        <w:spacing w:line="360" w:lineRule="auto"/>
        <w:jc w:val="both"/>
        <w:rPr>
          <w:rFonts w:ascii="Palatino Linotype" w:eastAsia="Palatino Linotype" w:hAnsi="Palatino Linotype" w:cs="Palatino Linotype"/>
          <w:b/>
        </w:rPr>
      </w:pPr>
    </w:p>
    <w:p w:rsidR="008E63CC" w:rsidRDefault="00681B91">
      <w:pPr>
        <w:spacing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la presente resolución al Recurrente mediante 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y hágase de su conocimiento que, de conformidad con lo establecido en el artículo 196 de la Ley de Transparencia y Acceso a la Información Pública del Estado de México y Municipios, podrá promover el Juicio de Amparo en los términos de las leyes aplicables.</w:t>
      </w:r>
    </w:p>
    <w:p w:rsidR="008E63CC" w:rsidRDefault="008E63CC">
      <w:pPr>
        <w:spacing w:line="360" w:lineRule="auto"/>
        <w:jc w:val="both"/>
        <w:rPr>
          <w:rFonts w:ascii="Palatino Linotype" w:eastAsia="Palatino Linotype" w:hAnsi="Palatino Linotype" w:cs="Palatino Linotype"/>
        </w:rPr>
      </w:pPr>
    </w:p>
    <w:p w:rsidR="00C614E0" w:rsidRPr="00900732" w:rsidRDefault="00C614E0" w:rsidP="00C614E0">
      <w:pPr>
        <w:tabs>
          <w:tab w:val="left" w:pos="709"/>
        </w:tabs>
        <w:spacing w:line="360" w:lineRule="auto"/>
        <w:ind w:right="51"/>
        <w:jc w:val="both"/>
        <w:rPr>
          <w:rFonts w:ascii="Palatino Linotype" w:hAnsi="Palatino Linotype" w:cs="Arial"/>
          <w:color w:val="000000"/>
          <w:lang w:val="es-419"/>
        </w:rPr>
      </w:pPr>
      <w:bookmarkStart w:id="13" w:name="_heading=h.30j0zll" w:colFirst="0" w:colLast="0"/>
      <w:bookmarkEnd w:id="13"/>
      <w:r w:rsidRPr="00900732">
        <w:rPr>
          <w:rFonts w:ascii="Palatino Linotype" w:hAnsi="Palatino Linotype" w:cs="Arial"/>
          <w:color w:val="000000"/>
        </w:rPr>
        <w:t xml:space="preserve">ASÍ LO RESUELVE, POR UNANIMIDAD DE VOTOS EL PLENO DEL INSTITUTO DE TRANSPARENCIA, ACCESO A LA INFORMACIÓN PÚBLICA Y PROTECCIÓN DE DATOS PERSONALES DEL ESTADO DE MÉXICO Y MUNICIPIOS, </w:t>
      </w:r>
      <w:r w:rsidRPr="00900732">
        <w:rPr>
          <w:rFonts w:ascii="Palatino Linotype" w:hAnsi="Palatino Linotype" w:cs="Arial"/>
          <w:color w:val="000000"/>
        </w:rPr>
        <w:lastRenderedPageBreak/>
        <w:t>CONFORMADO POR LOS COMISIONADOS, JOSÉ MARTÍNEZ VILCHIS, MARÍA DEL ROSARIO MEJÍA AYALA, SHARON CRISTINA MOR</w:t>
      </w:r>
      <w:r w:rsidRPr="00B7361D">
        <w:rPr>
          <w:rFonts w:ascii="Palatino Linotype" w:hAnsi="Palatino Linotype" w:cs="Arial"/>
          <w:color w:val="000000"/>
        </w:rPr>
        <w:t>ALES MARTÍNEZ, LUIS GUSTAVO PARRA NORIEGA Y GUADALUPE RAMÍREZ PEÑA;</w:t>
      </w:r>
      <w:r w:rsidRPr="00B7361D">
        <w:rPr>
          <w:rFonts w:ascii="Palatino Linotype" w:hAnsi="Palatino Linotype" w:cs="Arial"/>
          <w:color w:val="000000"/>
          <w:lang w:val="es-419"/>
        </w:rPr>
        <w:t xml:space="preserve"> </w:t>
      </w:r>
      <w:r w:rsidRPr="00B7361D">
        <w:rPr>
          <w:rFonts w:ascii="Palatino Linotype" w:hAnsi="Palatino Linotype" w:cs="Arial"/>
          <w:color w:val="000000"/>
        </w:rPr>
        <w:t xml:space="preserve">EN LA </w:t>
      </w:r>
      <w:r w:rsidRPr="00B7361D">
        <w:rPr>
          <w:rFonts w:ascii="Palatino Linotype" w:hAnsi="Palatino Linotype" w:cs="Arial"/>
          <w:color w:val="000000"/>
          <w:lang w:val="es-419"/>
        </w:rPr>
        <w:t xml:space="preserve">VIGÉSIMA TERCERA </w:t>
      </w:r>
      <w:r w:rsidRPr="00B7361D">
        <w:rPr>
          <w:rFonts w:ascii="Palatino Linotype" w:hAnsi="Palatino Linotype" w:cs="Arial"/>
          <w:color w:val="000000"/>
        </w:rPr>
        <w:t>S</w:t>
      </w:r>
      <w:r w:rsidRPr="00900732">
        <w:rPr>
          <w:rFonts w:ascii="Palatino Linotype" w:hAnsi="Palatino Linotype" w:cs="Arial"/>
          <w:color w:val="000000"/>
        </w:rPr>
        <w:t xml:space="preserve">ESIÓN ORDINARIA CELEBRADA EL </w:t>
      </w:r>
      <w:r>
        <w:rPr>
          <w:rFonts w:ascii="Palatino Linotype" w:hAnsi="Palatino Linotype" w:cs="Arial"/>
          <w:color w:val="000000"/>
        </w:rPr>
        <w:t>VEINTIUNO</w:t>
      </w:r>
      <w:r w:rsidRPr="00900732">
        <w:rPr>
          <w:rFonts w:ascii="Palatino Linotype" w:hAnsi="Palatino Linotype" w:cs="Arial"/>
          <w:color w:val="000000"/>
        </w:rPr>
        <w:t xml:space="preserve"> DE </w:t>
      </w:r>
      <w:r>
        <w:rPr>
          <w:rFonts w:ascii="Palatino Linotype" w:hAnsi="Palatino Linotype" w:cs="Arial"/>
          <w:color w:val="000000"/>
        </w:rPr>
        <w:t>JUNIO DE DOS MIL VEINTIDÓS</w:t>
      </w:r>
      <w:r w:rsidRPr="00900732">
        <w:rPr>
          <w:rFonts w:ascii="Palatino Linotype" w:hAnsi="Palatino Linotype" w:cs="Arial"/>
          <w:color w:val="000000"/>
        </w:rPr>
        <w:t>, ANTE EL SECRETARIO TÉCNICO DEL PLENO, ALEXIS TAPIA RAMÍREZ</w:t>
      </w:r>
      <w:r>
        <w:rPr>
          <w:rFonts w:ascii="Palatino Linotype" w:hAnsi="Palatino Linotype" w:cs="Arial"/>
          <w:color w:val="000000"/>
        </w:rPr>
        <w:t>.</w:t>
      </w:r>
    </w:p>
    <w:p w:rsidR="008E63CC" w:rsidRDefault="00681B91">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rsidR="008E63CC" w:rsidRDefault="00681B91">
      <w:pPr>
        <w:rPr>
          <w:rFonts w:ascii="Palatino Linotype" w:eastAsia="Palatino Linotype" w:hAnsi="Palatino Linotype" w:cs="Palatino Linotype"/>
        </w:rPr>
      </w:pPr>
      <w:r>
        <w:br w:type="page"/>
      </w:r>
    </w:p>
    <w:p w:rsidR="008E63CC" w:rsidRDefault="008E63CC">
      <w:pPr>
        <w:spacing w:line="360" w:lineRule="auto"/>
        <w:jc w:val="both"/>
        <w:rPr>
          <w:rFonts w:ascii="Palatino Linotype" w:eastAsia="Palatino Linotype" w:hAnsi="Palatino Linotype" w:cs="Palatino Linotype"/>
        </w:rPr>
      </w:pPr>
    </w:p>
    <w:p w:rsidR="008E63CC" w:rsidRDefault="008E63CC">
      <w:pPr>
        <w:spacing w:line="360" w:lineRule="auto"/>
        <w:jc w:val="both"/>
        <w:rPr>
          <w:rFonts w:ascii="Palatino Linotype" w:eastAsia="Palatino Linotype" w:hAnsi="Palatino Linotype" w:cs="Palatino Linotype"/>
        </w:rPr>
      </w:pPr>
    </w:p>
    <w:p w:rsidR="008E63CC" w:rsidRDefault="008E63CC">
      <w:pPr>
        <w:spacing w:line="360" w:lineRule="auto"/>
        <w:jc w:val="both"/>
        <w:rPr>
          <w:rFonts w:ascii="Palatino Linotype" w:eastAsia="Palatino Linotype" w:hAnsi="Palatino Linotype" w:cs="Palatino Linotype"/>
        </w:rPr>
      </w:pPr>
    </w:p>
    <w:p w:rsidR="008E63CC" w:rsidRDefault="008E63CC">
      <w:pPr>
        <w:spacing w:line="360" w:lineRule="auto"/>
        <w:jc w:val="both"/>
        <w:rPr>
          <w:rFonts w:ascii="Palatino Linotype" w:eastAsia="Palatino Linotype" w:hAnsi="Palatino Linotype" w:cs="Palatino Linotype"/>
        </w:rPr>
      </w:pPr>
    </w:p>
    <w:p w:rsidR="008E63CC" w:rsidRDefault="008E63CC">
      <w:pPr>
        <w:spacing w:line="360" w:lineRule="auto"/>
        <w:jc w:val="both"/>
        <w:rPr>
          <w:rFonts w:ascii="Palatino Linotype" w:eastAsia="Palatino Linotype" w:hAnsi="Palatino Linotype" w:cs="Palatino Linotype"/>
        </w:rPr>
      </w:pPr>
    </w:p>
    <w:p w:rsidR="008E63CC" w:rsidRDefault="008E63CC">
      <w:pPr>
        <w:spacing w:line="360" w:lineRule="auto"/>
        <w:jc w:val="both"/>
        <w:rPr>
          <w:rFonts w:ascii="Palatino Linotype" w:eastAsia="Palatino Linotype" w:hAnsi="Palatino Linotype" w:cs="Palatino Linotype"/>
        </w:rPr>
      </w:pPr>
    </w:p>
    <w:p w:rsidR="008E63CC" w:rsidRDefault="008E63CC">
      <w:pPr>
        <w:spacing w:line="360" w:lineRule="auto"/>
        <w:jc w:val="both"/>
        <w:rPr>
          <w:rFonts w:ascii="Palatino Linotype" w:eastAsia="Palatino Linotype" w:hAnsi="Palatino Linotype" w:cs="Palatino Linotype"/>
        </w:rPr>
      </w:pPr>
    </w:p>
    <w:p w:rsidR="008E63CC" w:rsidRDefault="008E63CC">
      <w:pPr>
        <w:spacing w:line="360" w:lineRule="auto"/>
        <w:jc w:val="both"/>
        <w:rPr>
          <w:rFonts w:ascii="Palatino Linotype" w:eastAsia="Palatino Linotype" w:hAnsi="Palatino Linotype" w:cs="Palatino Linotype"/>
        </w:rPr>
      </w:pPr>
    </w:p>
    <w:p w:rsidR="008E63CC" w:rsidRDefault="008E63CC">
      <w:pPr>
        <w:spacing w:line="360" w:lineRule="auto"/>
        <w:jc w:val="both"/>
        <w:rPr>
          <w:rFonts w:ascii="Palatino Linotype" w:eastAsia="Palatino Linotype" w:hAnsi="Palatino Linotype" w:cs="Palatino Linotype"/>
        </w:rPr>
      </w:pPr>
    </w:p>
    <w:p w:rsidR="008E63CC" w:rsidRDefault="008E63CC">
      <w:pPr>
        <w:spacing w:line="360" w:lineRule="auto"/>
        <w:jc w:val="both"/>
        <w:rPr>
          <w:rFonts w:ascii="Palatino Linotype" w:eastAsia="Palatino Linotype" w:hAnsi="Palatino Linotype" w:cs="Palatino Linotype"/>
        </w:rPr>
      </w:pPr>
    </w:p>
    <w:p w:rsidR="008E63CC" w:rsidRDefault="008E63CC">
      <w:pPr>
        <w:spacing w:line="360" w:lineRule="auto"/>
        <w:jc w:val="both"/>
        <w:rPr>
          <w:rFonts w:ascii="Palatino Linotype" w:eastAsia="Palatino Linotype" w:hAnsi="Palatino Linotype" w:cs="Palatino Linotype"/>
        </w:rPr>
      </w:pPr>
    </w:p>
    <w:p w:rsidR="008E63CC" w:rsidRDefault="008E63CC">
      <w:pPr>
        <w:spacing w:line="360" w:lineRule="auto"/>
        <w:jc w:val="both"/>
        <w:rPr>
          <w:rFonts w:ascii="Palatino Linotype" w:eastAsia="Palatino Linotype" w:hAnsi="Palatino Linotype" w:cs="Palatino Linotype"/>
        </w:rPr>
      </w:pPr>
    </w:p>
    <w:p w:rsidR="008E63CC" w:rsidRDefault="008E63CC">
      <w:pPr>
        <w:spacing w:line="360" w:lineRule="auto"/>
        <w:jc w:val="both"/>
        <w:rPr>
          <w:rFonts w:ascii="Palatino Linotype" w:eastAsia="Palatino Linotype" w:hAnsi="Palatino Linotype" w:cs="Palatino Linotype"/>
        </w:rPr>
      </w:pPr>
    </w:p>
    <w:p w:rsidR="008E63CC" w:rsidRDefault="008E63CC">
      <w:pPr>
        <w:spacing w:line="360" w:lineRule="auto"/>
        <w:jc w:val="both"/>
        <w:rPr>
          <w:rFonts w:ascii="Palatino Linotype" w:eastAsia="Palatino Linotype" w:hAnsi="Palatino Linotype" w:cs="Palatino Linotype"/>
        </w:rPr>
      </w:pPr>
    </w:p>
    <w:p w:rsidR="008E63CC" w:rsidRDefault="008E63CC">
      <w:pPr>
        <w:spacing w:line="360" w:lineRule="auto"/>
        <w:jc w:val="both"/>
        <w:rPr>
          <w:rFonts w:ascii="Palatino Linotype" w:eastAsia="Palatino Linotype" w:hAnsi="Palatino Linotype" w:cs="Palatino Linotype"/>
        </w:rPr>
      </w:pPr>
    </w:p>
    <w:p w:rsidR="008E63CC" w:rsidRDefault="008E63CC">
      <w:pPr>
        <w:spacing w:line="360" w:lineRule="auto"/>
        <w:jc w:val="both"/>
        <w:rPr>
          <w:rFonts w:ascii="Palatino Linotype" w:eastAsia="Palatino Linotype" w:hAnsi="Palatino Linotype" w:cs="Palatino Linotype"/>
        </w:rPr>
      </w:pPr>
    </w:p>
    <w:p w:rsidR="008E63CC" w:rsidRDefault="008E63CC">
      <w:pPr>
        <w:spacing w:line="360" w:lineRule="auto"/>
        <w:jc w:val="both"/>
        <w:rPr>
          <w:rFonts w:ascii="Palatino Linotype" w:eastAsia="Palatino Linotype" w:hAnsi="Palatino Linotype" w:cs="Palatino Linotype"/>
        </w:rPr>
      </w:pPr>
    </w:p>
    <w:p w:rsidR="008E63CC" w:rsidRDefault="008E63CC">
      <w:pPr>
        <w:spacing w:line="360" w:lineRule="auto"/>
        <w:jc w:val="both"/>
        <w:rPr>
          <w:rFonts w:ascii="Palatino Linotype" w:eastAsia="Palatino Linotype" w:hAnsi="Palatino Linotype" w:cs="Palatino Linotype"/>
        </w:rPr>
      </w:pPr>
    </w:p>
    <w:sectPr w:rsidR="008E63CC">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EB7" w:rsidRDefault="006A2EB7">
      <w:r>
        <w:separator/>
      </w:r>
    </w:p>
  </w:endnote>
  <w:endnote w:type="continuationSeparator" w:id="0">
    <w:p w:rsidR="006A2EB7" w:rsidRDefault="006A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3CC" w:rsidRDefault="00681B9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8200C">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8200C">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3CC" w:rsidRDefault="00681B9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8200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8200C">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EB7" w:rsidRDefault="006A2EB7">
      <w:r>
        <w:separator/>
      </w:r>
    </w:p>
  </w:footnote>
  <w:footnote w:type="continuationSeparator" w:id="0">
    <w:p w:rsidR="006A2EB7" w:rsidRDefault="006A2EB7">
      <w:r>
        <w:continuationSeparator/>
      </w:r>
    </w:p>
  </w:footnote>
  <w:footnote w:id="1">
    <w:p w:rsidR="008E63CC" w:rsidRDefault="00681B91">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rsidR="008E63CC" w:rsidRDefault="00681B91">
      <w:pPr>
        <w:ind w:left="851" w:right="902"/>
        <w:jc w:val="both"/>
        <w:rPr>
          <w:rFonts w:ascii="Palatino Linotype" w:eastAsia="Palatino Linotype" w:hAnsi="Palatino Linotype" w:cs="Palatino Linotype"/>
          <w:i/>
          <w:sz w:val="18"/>
          <w:szCs w:val="18"/>
        </w:rPr>
      </w:pPr>
      <w:r>
        <w:rPr>
          <w:vertAlign w:val="superscript"/>
        </w:rPr>
        <w:footnoteRef/>
      </w:r>
      <w:r>
        <w:rPr>
          <w:sz w:val="18"/>
          <w:szCs w:val="18"/>
        </w:rPr>
        <w:t xml:space="preserve"> </w:t>
      </w:r>
      <w:r>
        <w:rPr>
          <w:rFonts w:ascii="Palatino Linotype" w:eastAsia="Palatino Linotype" w:hAnsi="Palatino Linotype" w:cs="Palatino Linotype"/>
          <w:i/>
          <w:sz w:val="18"/>
          <w:szCs w:val="18"/>
        </w:rPr>
        <w:t>“</w:t>
      </w:r>
      <w:r>
        <w:rPr>
          <w:rFonts w:ascii="Palatino Linotype" w:eastAsia="Palatino Linotype" w:hAnsi="Palatino Linotype" w:cs="Palatino Linotype"/>
          <w:b/>
          <w:i/>
          <w:sz w:val="18"/>
          <w:szCs w:val="18"/>
        </w:rPr>
        <w:t>Artículo 24.</w:t>
      </w:r>
      <w:r>
        <w:rPr>
          <w:rFonts w:ascii="Palatino Linotype" w:eastAsia="Palatino Linotype" w:hAnsi="Palatino Linotype" w:cs="Palatino Linotype"/>
          <w:i/>
          <w:sz w:val="18"/>
          <w:szCs w:val="18"/>
        </w:rPr>
        <w:t xml:space="preserve"> Para el cumplimiento de los objetivos de esta Ley, los sujetos obligados deberán cumplir con las siguientes obligaciones, según corresponda, de acuerdo a su naturaleza:</w:t>
      </w:r>
    </w:p>
    <w:p w:rsidR="008E63CC" w:rsidRDefault="00681B91">
      <w:pPr>
        <w:ind w:left="851" w:right="902"/>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w:t>
      </w:r>
    </w:p>
    <w:p w:rsidR="008E63CC" w:rsidRDefault="00681B91">
      <w:pPr>
        <w:ind w:left="851" w:right="902"/>
        <w:jc w:val="both"/>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XVIII. Hacer pública toda aquella información relativa a los montos y las personas a quienes entreguen, por cualquier motivo, recursos públicos, así como los informes que dichas personas les entreguen sobre el uso y destino de dichos recursos…”</w:t>
      </w:r>
    </w:p>
    <w:p w:rsidR="008E63CC" w:rsidRDefault="008E63CC">
      <w:pPr>
        <w:rPr>
          <w:rFonts w:ascii="Cambria" w:eastAsia="Cambria" w:hAnsi="Cambria" w:cs="Cambria"/>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3CC" w:rsidRDefault="006A2EB7">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3CC" w:rsidRDefault="006A2EB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v:imagedata r:id="rId1" o:title="image3"/>
          <w10:wrap anchorx="margin" anchory="margin"/>
        </v:shape>
      </w:pict>
    </w:r>
  </w:p>
  <w:tbl>
    <w:tblPr>
      <w:tblStyle w:val="afffffe"/>
      <w:tblW w:w="9534" w:type="dxa"/>
      <w:tblInd w:w="-142" w:type="dxa"/>
      <w:tblLayout w:type="fixed"/>
      <w:tblLook w:val="0400" w:firstRow="0" w:lastRow="0" w:firstColumn="0" w:lastColumn="0" w:noHBand="0" w:noVBand="1"/>
    </w:tblPr>
    <w:tblGrid>
      <w:gridCol w:w="3261"/>
      <w:gridCol w:w="2551"/>
      <w:gridCol w:w="3722"/>
    </w:tblGrid>
    <w:tr w:rsidR="008E63CC">
      <w:tc>
        <w:tcPr>
          <w:tcW w:w="3261" w:type="dxa"/>
          <w:vMerge w:val="restart"/>
        </w:tcPr>
        <w:p w:rsidR="008E63CC" w:rsidRDefault="00681B91">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3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8E63CC" w:rsidRDefault="00681B9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8E63CC" w:rsidRDefault="00681B91">
          <w:pPr>
            <w:jc w:val="both"/>
            <w:rPr>
              <w:rFonts w:ascii="Palatino Linotype" w:eastAsia="Palatino Linotype" w:hAnsi="Palatino Linotype" w:cs="Palatino Linotype"/>
              <w:b/>
            </w:rPr>
          </w:pPr>
          <w:r>
            <w:rPr>
              <w:rFonts w:ascii="Palatino Linotype" w:eastAsia="Palatino Linotype" w:hAnsi="Palatino Linotype" w:cs="Palatino Linotype"/>
              <w:b/>
            </w:rPr>
            <w:t>05457/INFOEM/IP/RR/2022</w:t>
          </w:r>
        </w:p>
      </w:tc>
    </w:tr>
    <w:tr w:rsidR="008E63CC">
      <w:tc>
        <w:tcPr>
          <w:tcW w:w="3261" w:type="dxa"/>
          <w:vMerge/>
        </w:tcPr>
        <w:p w:rsidR="008E63CC" w:rsidRDefault="008E63C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8E63CC" w:rsidRDefault="00681B9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8E63CC" w:rsidRDefault="00681B91">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Temamatla</w:t>
          </w:r>
        </w:p>
      </w:tc>
    </w:tr>
    <w:tr w:rsidR="008E63CC">
      <w:trPr>
        <w:trHeight w:val="790"/>
      </w:trPr>
      <w:tc>
        <w:tcPr>
          <w:tcW w:w="3261" w:type="dxa"/>
          <w:vMerge/>
        </w:tcPr>
        <w:p w:rsidR="008E63CC" w:rsidRDefault="008E63C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8E63CC" w:rsidRDefault="00681B9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8E63CC" w:rsidRDefault="00681B91">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8E63CC" w:rsidRDefault="008E63C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3CC" w:rsidRDefault="006A2EB7">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v:imagedata r:id="rId1" o:title="image3"/>
          <w10:wrap anchorx="margin" anchory="margin"/>
        </v:shape>
      </w:pict>
    </w:r>
  </w:p>
  <w:tbl>
    <w:tblPr>
      <w:tblStyle w:val="affffff"/>
      <w:tblW w:w="9900" w:type="dxa"/>
      <w:tblInd w:w="-833" w:type="dxa"/>
      <w:tblLayout w:type="fixed"/>
      <w:tblLook w:val="0400" w:firstRow="0" w:lastRow="0" w:firstColumn="0" w:lastColumn="0" w:noHBand="0" w:noVBand="1"/>
    </w:tblPr>
    <w:tblGrid>
      <w:gridCol w:w="3805"/>
      <w:gridCol w:w="3000"/>
      <w:gridCol w:w="3095"/>
    </w:tblGrid>
    <w:tr w:rsidR="008E63CC">
      <w:tc>
        <w:tcPr>
          <w:tcW w:w="3805" w:type="dxa"/>
          <w:vMerge w:val="restart"/>
          <w:shd w:val="clear" w:color="auto" w:fill="auto"/>
        </w:tcPr>
        <w:p w:rsidR="008E63CC" w:rsidRDefault="00681B91">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3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8E63CC" w:rsidRDefault="00681B9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8E63CC" w:rsidRDefault="00681B9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05457/INFOEM/IP/RR/2022 </w:t>
          </w:r>
        </w:p>
      </w:tc>
    </w:tr>
    <w:tr w:rsidR="008E63CC">
      <w:tc>
        <w:tcPr>
          <w:tcW w:w="3805" w:type="dxa"/>
          <w:vMerge/>
          <w:shd w:val="clear" w:color="auto" w:fill="auto"/>
        </w:tcPr>
        <w:p w:rsidR="008E63CC" w:rsidRDefault="008E63C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8E63CC" w:rsidRDefault="00681B91">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8E63CC" w:rsidRDefault="00B97BAE">
          <w:pPr>
            <w:jc w:val="both"/>
            <w:rPr>
              <w:rFonts w:ascii="Palatino Linotype" w:eastAsia="Palatino Linotype" w:hAnsi="Palatino Linotype" w:cs="Palatino Linotype"/>
              <w:b/>
            </w:rPr>
          </w:pPr>
          <w:r>
            <w:rPr>
              <w:rFonts w:ascii="Palatino Linotype" w:eastAsia="Palatino Linotype" w:hAnsi="Palatino Linotype" w:cs="Palatino Linotype"/>
              <w:b/>
            </w:rPr>
            <w:t>XXXX XXXXXX XXXXX</w:t>
          </w:r>
        </w:p>
      </w:tc>
    </w:tr>
    <w:tr w:rsidR="008E63CC">
      <w:trPr>
        <w:trHeight w:val="228"/>
      </w:trPr>
      <w:tc>
        <w:tcPr>
          <w:tcW w:w="3805" w:type="dxa"/>
          <w:vMerge/>
          <w:shd w:val="clear" w:color="auto" w:fill="auto"/>
        </w:tcPr>
        <w:p w:rsidR="008E63CC" w:rsidRDefault="008E63C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8E63CC" w:rsidRDefault="00681B9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8E63CC" w:rsidRDefault="00681B91">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Temamatla</w:t>
          </w:r>
        </w:p>
      </w:tc>
    </w:tr>
    <w:tr w:rsidR="008E63CC">
      <w:tc>
        <w:tcPr>
          <w:tcW w:w="3805" w:type="dxa"/>
          <w:vMerge/>
          <w:shd w:val="clear" w:color="auto" w:fill="auto"/>
        </w:tcPr>
        <w:p w:rsidR="008E63CC" w:rsidRDefault="008E63C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8E63CC" w:rsidRDefault="00681B9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8E63CC" w:rsidRDefault="00681B9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8E63CC" w:rsidRDefault="008E63CC">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B6311"/>
    <w:multiLevelType w:val="multilevel"/>
    <w:tmpl w:val="A51A6C24"/>
    <w:lvl w:ilvl="0">
      <w:start w:val="1"/>
      <w:numFmt w:val="bullet"/>
      <w:lvlText w:val="●"/>
      <w:lvlJc w:val="left"/>
      <w:pPr>
        <w:ind w:left="1069" w:hanging="360"/>
      </w:pPr>
      <w:rPr>
        <w:rFonts w:ascii="Noto Sans Symbols" w:eastAsia="Noto Sans Symbols" w:hAnsi="Noto Sans Symbols" w:cs="Noto Sans Symbols"/>
        <w:color w:val="000000"/>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3CC"/>
    <w:rsid w:val="0058200C"/>
    <w:rsid w:val="00670B7F"/>
    <w:rsid w:val="00681B91"/>
    <w:rsid w:val="006A2EB7"/>
    <w:rsid w:val="008E63CC"/>
    <w:rsid w:val="00AB0384"/>
    <w:rsid w:val="00B97BAE"/>
    <w:rsid w:val="00C614E0"/>
    <w:rsid w:val="00ED5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FF7D3AB-6616-45A8-9C98-F8A79599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0"/>
    <w:tblPr>
      <w:tblStyleRowBandSize w:val="1"/>
      <w:tblStyleColBandSize w:val="1"/>
      <w:tblCellMar>
        <w:top w:w="100" w:type="dxa"/>
        <w:left w:w="100" w:type="dxa"/>
        <w:bottom w:w="100" w:type="dxa"/>
        <w:right w:w="100" w:type="dxa"/>
      </w:tblCellMar>
    </w:tblPr>
  </w:style>
  <w:style w:type="table" w:customStyle="1" w:styleId="a0">
    <w:basedOn w:val="TableNormalff0"/>
    <w:tblPr>
      <w:tblStyleRowBandSize w:val="1"/>
      <w:tblStyleColBandSize w:val="1"/>
      <w:tblCellMar>
        <w:left w:w="115" w:type="dxa"/>
        <w:right w:w="115" w:type="dxa"/>
      </w:tblCellMar>
    </w:tblPr>
  </w:style>
  <w:style w:type="table" w:customStyle="1" w:styleId="a1">
    <w:basedOn w:val="TableNormalff0"/>
    <w:tblPr>
      <w:tblStyleRowBandSize w:val="1"/>
      <w:tblStyleColBandSize w:val="1"/>
      <w:tblCellMar>
        <w:left w:w="115" w:type="dxa"/>
        <w:right w:w="115" w:type="dxa"/>
      </w:tblCellMar>
    </w:tblPr>
  </w:style>
  <w:style w:type="table" w:customStyle="1" w:styleId="a2">
    <w:basedOn w:val="TableNormalff0"/>
    <w:tblPr>
      <w:tblStyleRowBandSize w:val="1"/>
      <w:tblStyleColBandSize w:val="1"/>
      <w:tblCellMar>
        <w:left w:w="115" w:type="dxa"/>
        <w:right w:w="115" w:type="dxa"/>
      </w:tblCellMar>
    </w:tblPr>
  </w:style>
  <w:style w:type="table" w:customStyle="1" w:styleId="a3">
    <w:basedOn w:val="TableNormalff0"/>
    <w:tblPr>
      <w:tblStyleRowBandSize w:val="1"/>
      <w:tblStyleColBandSize w:val="1"/>
      <w:tblCellMar>
        <w:left w:w="115" w:type="dxa"/>
        <w:right w:w="115" w:type="dxa"/>
      </w:tblCellMar>
    </w:tblPr>
  </w:style>
  <w:style w:type="table" w:customStyle="1" w:styleId="a4">
    <w:basedOn w:val="TableNormalff0"/>
    <w:tblPr>
      <w:tblStyleRowBandSize w:val="1"/>
      <w:tblStyleColBandSize w:val="1"/>
      <w:tblCellMar>
        <w:left w:w="115" w:type="dxa"/>
        <w:right w:w="115" w:type="dxa"/>
      </w:tblCellMar>
    </w:tblPr>
  </w:style>
  <w:style w:type="table" w:customStyle="1" w:styleId="a5">
    <w:basedOn w:val="TableNormalff0"/>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0"/>
    <w:tblPr>
      <w:tblStyleRowBandSize w:val="1"/>
      <w:tblStyleColBandSize w:val="1"/>
      <w:tblCellMar>
        <w:left w:w="115" w:type="dxa"/>
        <w:right w:w="115" w:type="dxa"/>
      </w:tblCellMar>
    </w:tblPr>
  </w:style>
  <w:style w:type="table" w:customStyle="1" w:styleId="a7">
    <w:basedOn w:val="TableNormalff0"/>
    <w:tblPr>
      <w:tblStyleRowBandSize w:val="1"/>
      <w:tblStyleColBandSize w:val="1"/>
      <w:tblCellMar>
        <w:left w:w="115" w:type="dxa"/>
        <w:right w:w="115" w:type="dxa"/>
      </w:tblCellMar>
    </w:tblPr>
  </w:style>
  <w:style w:type="table" w:customStyle="1" w:styleId="a8">
    <w:basedOn w:val="TableNormalff0"/>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0"/>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d"/>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
    <w:tblPr>
      <w:tblStyleRowBandSize w:val="1"/>
      <w:tblStyleColBandSize w:val="1"/>
      <w:tblCellMar>
        <w:left w:w="115" w:type="dxa"/>
        <w:right w:w="115" w:type="dxa"/>
      </w:tblCellMar>
    </w:tblPr>
  </w:style>
  <w:style w:type="table" w:customStyle="1" w:styleId="afff3">
    <w:basedOn w:val="TableNormalf"/>
    <w:tblPr>
      <w:tblStyleRowBandSize w:val="1"/>
      <w:tblStyleColBandSize w:val="1"/>
      <w:tblCellMar>
        <w:top w:w="100" w:type="dxa"/>
        <w:left w:w="100" w:type="dxa"/>
        <w:bottom w:w="100" w:type="dxa"/>
        <w:right w:w="100" w:type="dxa"/>
      </w:tblCellMar>
    </w:tblPr>
  </w:style>
  <w:style w:type="table" w:customStyle="1" w:styleId="af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
    <w:tblPr>
      <w:tblStyleRowBandSize w:val="1"/>
      <w:tblStyleColBandSize w:val="1"/>
      <w:tblCellMar>
        <w:top w:w="100" w:type="dxa"/>
        <w:left w:w="100" w:type="dxa"/>
        <w:bottom w:w="100" w:type="dxa"/>
        <w:right w:w="100" w:type="dxa"/>
      </w:tblCellMar>
    </w:tblPr>
  </w:style>
  <w:style w:type="table" w:customStyle="1" w:styleId="af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ffff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mawww.sat.gob.mx/factura/Paginas/solicita_requisitos.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wf7wi07qmFO8Z/yd11qD3b1A+g==">AMUW2mXCsWSYbPsqpqpIPxxmH439KAhrv3ZsfolDcJpKrsPvXXrdr5Rvv7cdvEBl/3hSIqHuPJwxNV7bfs8zi+Ip8wiIDzGOqx1MXaxZhN6p2k6gQiJ9PppV8neL2ULoVXaNuboPbfSWW32m1d0KDvHe9224FzBMNFHVu3EE4THaPEvYmGCWJJ33/vbGeMGiX47RRVMPheHMPa7210DkIucVaf6ZRRIq6Icps6Ag+SUlHy078TK3e7pTaxyEhkbPtdSKkQ0Hr6eITnohr/CNepysy6BvBqRLE+mFVavY+TyPmmn/78va+Ol1rXWKfxXf2g86yT21fQF3jQ81BcXXeSpYhyDrrNdQQRv4wY3PCBO5mFKSGi0Bh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46</Pages>
  <Words>11290</Words>
  <Characters>62098</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6</cp:revision>
  <cp:lastPrinted>2022-06-22T18:12:00Z</cp:lastPrinted>
  <dcterms:created xsi:type="dcterms:W3CDTF">2022-06-16T16:22:00Z</dcterms:created>
  <dcterms:modified xsi:type="dcterms:W3CDTF">2022-06-30T22:42:00Z</dcterms:modified>
</cp:coreProperties>
</file>