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C2E0" w14:textId="70F06391" w:rsidR="00D8203F" w:rsidRPr="00A2355B" w:rsidRDefault="00D8203F" w:rsidP="00F363E5">
      <w:pPr>
        <w:spacing w:after="0"/>
        <w:rPr>
          <w:rFonts w:eastAsia="Times New Roman" w:cs="Tahoma"/>
          <w:bCs/>
          <w:color w:val="auto"/>
          <w:lang w:eastAsia="es-ES"/>
        </w:rPr>
      </w:pPr>
      <w:r w:rsidRPr="00A2355B">
        <w:rPr>
          <w:rFonts w:cs="Tahoma"/>
          <w:bCs/>
        </w:rPr>
        <w:t xml:space="preserve">Resolución del Pleno del Instituto de Transparencia, Acceso a la Información Pública </w:t>
      </w:r>
      <w:proofErr w:type="gramStart"/>
      <w:r w:rsidRPr="00A2355B">
        <w:rPr>
          <w:rFonts w:cs="Tahoma"/>
          <w:bCs/>
        </w:rPr>
        <w:t xml:space="preserve">y </w:t>
      </w:r>
      <w:r w:rsidR="00D8468C">
        <w:rPr>
          <w:rFonts w:cs="Tahoma"/>
          <w:bCs/>
        </w:rPr>
        <w:t xml:space="preserve"> </w:t>
      </w:r>
      <w:r w:rsidRPr="00A2355B">
        <w:rPr>
          <w:rFonts w:eastAsia="Times New Roman" w:cs="Tahoma"/>
          <w:bCs/>
          <w:color w:val="auto"/>
          <w:lang w:eastAsia="es-ES"/>
        </w:rPr>
        <w:t>Protección</w:t>
      </w:r>
      <w:proofErr w:type="gramEnd"/>
      <w:r w:rsidRPr="00A2355B">
        <w:rPr>
          <w:rFonts w:eastAsia="Times New Roman" w:cs="Tahoma"/>
          <w:bCs/>
          <w:color w:val="auto"/>
          <w:lang w:eastAsia="es-ES"/>
        </w:rPr>
        <w:t xml:space="preserve"> de Datos Personales del Estado de México y Municipios, con domicilio en Metepec, Estado de México, de fecha </w:t>
      </w:r>
      <w:r w:rsidR="00FB2EA1">
        <w:rPr>
          <w:rFonts w:eastAsia="Times New Roman" w:cs="Tahoma"/>
          <w:bCs/>
          <w:color w:val="auto"/>
          <w:lang w:eastAsia="es-ES"/>
        </w:rPr>
        <w:t>dieciséis</w:t>
      </w:r>
      <w:r w:rsidR="00EC3F60">
        <w:rPr>
          <w:rFonts w:eastAsia="Times New Roman" w:cs="Tahoma"/>
          <w:bCs/>
          <w:color w:val="auto"/>
          <w:lang w:eastAsia="es-ES"/>
        </w:rPr>
        <w:t xml:space="preserve"> de marzo de dos mil veintidós</w:t>
      </w:r>
      <w:r w:rsidRPr="00A2355B">
        <w:rPr>
          <w:rFonts w:eastAsia="Times New Roman" w:cs="Tahoma"/>
          <w:bCs/>
          <w:color w:val="auto"/>
          <w:lang w:eastAsia="es-ES"/>
        </w:rPr>
        <w:t xml:space="preserve">. </w:t>
      </w:r>
    </w:p>
    <w:p w14:paraId="6936EE21" w14:textId="77777777" w:rsidR="00D8203F" w:rsidRPr="00A2355B" w:rsidRDefault="00D8203F" w:rsidP="00F363E5">
      <w:pPr>
        <w:spacing w:after="0"/>
      </w:pPr>
    </w:p>
    <w:p w14:paraId="7B5A5142" w14:textId="5888175A" w:rsidR="00D8203F" w:rsidRPr="00A2355B" w:rsidRDefault="00D8203F" w:rsidP="00F363E5">
      <w:pPr>
        <w:spacing w:after="0"/>
        <w:rPr>
          <w:bCs/>
        </w:rPr>
      </w:pPr>
      <w:r w:rsidRPr="00A2355B">
        <w:rPr>
          <w:b/>
          <w:bCs/>
        </w:rPr>
        <w:t xml:space="preserve">VISTO </w:t>
      </w:r>
      <w:r w:rsidRPr="00A2355B">
        <w:rPr>
          <w:bCs/>
        </w:rPr>
        <w:t xml:space="preserve">el expediente conformado con motivo del Recurso de Revisión </w:t>
      </w:r>
      <w:r w:rsidR="00FB2EA1" w:rsidRPr="00C108C3">
        <w:rPr>
          <w:b/>
        </w:rPr>
        <w:t>0</w:t>
      </w:r>
      <w:r w:rsidR="00A946F3" w:rsidRPr="00C108C3">
        <w:rPr>
          <w:b/>
        </w:rPr>
        <w:t>00226/INFOEM/IP/RR/2022</w:t>
      </w:r>
      <w:r w:rsidR="00A946F3">
        <w:t xml:space="preserve"> </w:t>
      </w:r>
      <w:r w:rsidR="00FB2EA1">
        <w:t xml:space="preserve">y </w:t>
      </w:r>
      <w:r w:rsidR="00FB2EA1" w:rsidRPr="00C108C3">
        <w:rPr>
          <w:b/>
        </w:rPr>
        <w:t>00227/INFOEM/IP/RR/2022</w:t>
      </w:r>
      <w:r w:rsidR="00FB2EA1">
        <w:t>, acumulado</w:t>
      </w:r>
      <w:r w:rsidRPr="00A2355B">
        <w:t xml:space="preserve">, interpuesto por </w:t>
      </w:r>
      <w:r w:rsidR="00FB2EA1">
        <w:t>persona que omitió sus datos de identificación</w:t>
      </w:r>
      <w:r w:rsidRPr="00A2355B">
        <w:t xml:space="preserve">, </w:t>
      </w:r>
      <w:r w:rsidRPr="00A2355B">
        <w:rPr>
          <w:rFonts w:cs="Tahoma"/>
          <w:bCs/>
          <w:color w:val="0D0D0D" w:themeColor="text1" w:themeTint="F2"/>
        </w:rPr>
        <w:t>en lo sucesivo Recurrente o Particular</w:t>
      </w:r>
      <w:r w:rsidRPr="00A2355B">
        <w:t xml:space="preserve">, en contra de la respuesta del Sujeto Obligado, </w:t>
      </w:r>
      <w:r w:rsidR="00FB2EA1" w:rsidRPr="00FB2EA1">
        <w:t>Instituto de Información e Investigación Geográfica, Estadística y Catastral del Estado de México</w:t>
      </w:r>
      <w:r w:rsidRPr="00A2355B">
        <w:t>, a la</w:t>
      </w:r>
      <w:r w:rsidR="00FB2EA1">
        <w:t>s</w:t>
      </w:r>
      <w:r w:rsidRPr="00A2355B">
        <w:t xml:space="preserve"> solicitud</w:t>
      </w:r>
      <w:r w:rsidR="00FB2EA1">
        <w:t>es</w:t>
      </w:r>
      <w:r w:rsidRPr="00A2355B">
        <w:t xml:space="preserve"> de acceso a la información pública </w:t>
      </w:r>
      <w:r w:rsidR="00FB2EA1" w:rsidRPr="00C108C3">
        <w:rPr>
          <w:b/>
        </w:rPr>
        <w:t xml:space="preserve">00001/IGECEM/IP/2022 </w:t>
      </w:r>
      <w:r w:rsidR="00FB2EA1">
        <w:t xml:space="preserve">y </w:t>
      </w:r>
      <w:r w:rsidR="00FB2EA1" w:rsidRPr="00C108C3">
        <w:rPr>
          <w:b/>
        </w:rPr>
        <w:t>00002/IGECEM/IP/2022</w:t>
      </w:r>
      <w:r w:rsidRPr="00A2355B">
        <w:t>,</w:t>
      </w:r>
      <w:r w:rsidRPr="00A2355B">
        <w:rPr>
          <w:bCs/>
        </w:rPr>
        <w:t xml:space="preserve"> se emite la presente Resolución, con base en los Antecedentes y Considerandos que a continuación se exponen:</w:t>
      </w:r>
    </w:p>
    <w:p w14:paraId="52EC590C" w14:textId="77777777" w:rsidR="00D8203F" w:rsidRPr="00A2355B" w:rsidRDefault="00D8203F" w:rsidP="00F363E5">
      <w:pPr>
        <w:spacing w:after="0"/>
        <w:rPr>
          <w:bCs/>
        </w:rPr>
      </w:pPr>
    </w:p>
    <w:p w14:paraId="5020F5CE" w14:textId="77777777" w:rsidR="00D8203F" w:rsidRPr="00A2355B" w:rsidRDefault="00D8203F" w:rsidP="00F363E5">
      <w:pPr>
        <w:spacing w:after="0"/>
        <w:jc w:val="center"/>
        <w:rPr>
          <w:b/>
        </w:rPr>
      </w:pPr>
      <w:r w:rsidRPr="00A2355B">
        <w:rPr>
          <w:b/>
        </w:rPr>
        <w:t>A N T E C E D E N TE S:</w:t>
      </w:r>
    </w:p>
    <w:p w14:paraId="1B82AE83" w14:textId="77777777" w:rsidR="00D8203F" w:rsidRPr="00A2355B" w:rsidRDefault="00D8203F" w:rsidP="00F363E5">
      <w:pPr>
        <w:tabs>
          <w:tab w:val="left" w:pos="567"/>
        </w:tabs>
        <w:spacing w:after="0"/>
        <w:rPr>
          <w:rFonts w:eastAsia="Times New Roman" w:cs="Tahoma"/>
          <w:b/>
          <w:color w:val="auto"/>
          <w:lang w:eastAsia="es-ES"/>
        </w:rPr>
      </w:pPr>
    </w:p>
    <w:p w14:paraId="7F6DA6C9" w14:textId="103367F5" w:rsidR="00D8203F" w:rsidRPr="00A2355B" w:rsidRDefault="00D8203F" w:rsidP="00F363E5">
      <w:pPr>
        <w:tabs>
          <w:tab w:val="left" w:pos="567"/>
        </w:tabs>
        <w:spacing w:after="0"/>
        <w:rPr>
          <w:rFonts w:eastAsia="Times New Roman" w:cs="Tahoma"/>
          <w:b/>
          <w:color w:val="auto"/>
          <w:lang w:eastAsia="es-ES"/>
        </w:rPr>
      </w:pPr>
      <w:r w:rsidRPr="00A2355B">
        <w:rPr>
          <w:rFonts w:eastAsia="Times New Roman" w:cs="Tahoma"/>
          <w:b/>
          <w:color w:val="auto"/>
          <w:lang w:eastAsia="es-ES"/>
        </w:rPr>
        <w:t>I. Presentación de la</w:t>
      </w:r>
      <w:r w:rsidR="00FB2EA1">
        <w:rPr>
          <w:rFonts w:eastAsia="Times New Roman" w:cs="Tahoma"/>
          <w:b/>
          <w:color w:val="auto"/>
          <w:lang w:eastAsia="es-ES"/>
        </w:rPr>
        <w:t>s</w:t>
      </w:r>
      <w:r w:rsidRPr="00A2355B">
        <w:rPr>
          <w:rFonts w:eastAsia="Times New Roman" w:cs="Tahoma"/>
          <w:b/>
          <w:color w:val="auto"/>
          <w:lang w:eastAsia="es-ES"/>
        </w:rPr>
        <w:t xml:space="preserve"> solicitud</w:t>
      </w:r>
      <w:r w:rsidR="00FB2EA1">
        <w:rPr>
          <w:rFonts w:eastAsia="Times New Roman" w:cs="Tahoma"/>
          <w:b/>
          <w:color w:val="auto"/>
          <w:lang w:eastAsia="es-ES"/>
        </w:rPr>
        <w:t>es</w:t>
      </w:r>
      <w:r w:rsidRPr="00A2355B">
        <w:rPr>
          <w:rFonts w:eastAsia="Times New Roman" w:cs="Tahoma"/>
          <w:b/>
          <w:color w:val="auto"/>
          <w:lang w:eastAsia="es-ES"/>
        </w:rPr>
        <w:t xml:space="preserve"> de información:</w:t>
      </w:r>
    </w:p>
    <w:p w14:paraId="2CA46D00" w14:textId="01152D4E" w:rsidR="00D8203F" w:rsidRPr="00A2355B" w:rsidRDefault="00D8203F" w:rsidP="00F363E5">
      <w:pPr>
        <w:tabs>
          <w:tab w:val="left" w:pos="567"/>
        </w:tabs>
        <w:spacing w:after="0"/>
        <w:rPr>
          <w:rFonts w:eastAsia="Times New Roman" w:cs="Tahoma"/>
          <w:color w:val="auto"/>
          <w:lang w:eastAsia="es-ES"/>
        </w:rPr>
      </w:pPr>
    </w:p>
    <w:p w14:paraId="375762E1" w14:textId="237207D7" w:rsidR="00C138ED" w:rsidRPr="00A2355B" w:rsidRDefault="00C138ED" w:rsidP="00F363E5">
      <w:pPr>
        <w:tabs>
          <w:tab w:val="left" w:pos="567"/>
        </w:tabs>
        <w:spacing w:after="0"/>
        <w:contextualSpacing/>
        <w:rPr>
          <w:rFonts w:eastAsia="Times New Roman" w:cs="Tahoma"/>
          <w:color w:val="auto"/>
          <w:lang w:eastAsia="es-ES"/>
        </w:rPr>
      </w:pPr>
      <w:r w:rsidRPr="00A2355B">
        <w:rPr>
          <w:rFonts w:eastAsia="Times New Roman" w:cs="Tahoma"/>
          <w:color w:val="auto"/>
          <w:lang w:eastAsia="es-ES"/>
        </w:rPr>
        <w:t xml:space="preserve">Con fecha </w:t>
      </w:r>
      <w:r w:rsidR="00FB2EA1">
        <w:rPr>
          <w:rFonts w:eastAsia="Times New Roman" w:cs="Tahoma"/>
          <w:color w:val="auto"/>
          <w:lang w:eastAsia="es-ES"/>
        </w:rPr>
        <w:t>diez de enero de dos mil veintidós</w:t>
      </w:r>
      <w:r w:rsidRPr="00A2355B">
        <w:rPr>
          <w:rFonts w:eastAsia="Times New Roman" w:cs="Tahoma"/>
          <w:color w:val="auto"/>
          <w:lang w:eastAsia="es-ES"/>
        </w:rPr>
        <w:t xml:space="preserve">, </w:t>
      </w:r>
      <w:r w:rsidR="00FB2EA1">
        <w:rPr>
          <w:rFonts w:eastAsia="Times New Roman" w:cs="Tahoma"/>
          <w:color w:val="auto"/>
          <w:lang w:eastAsia="es-ES"/>
        </w:rPr>
        <w:t>el Particular presentó dos</w:t>
      </w:r>
      <w:r w:rsidR="002351AB" w:rsidRPr="00A2355B">
        <w:rPr>
          <w:rFonts w:eastAsia="Times New Roman" w:cs="Tahoma"/>
          <w:color w:val="auto"/>
          <w:lang w:eastAsia="es-ES"/>
        </w:rPr>
        <w:t xml:space="preserve"> solicitud</w:t>
      </w:r>
      <w:r w:rsidR="00FB2EA1">
        <w:rPr>
          <w:rFonts w:eastAsia="Times New Roman" w:cs="Tahoma"/>
          <w:color w:val="auto"/>
          <w:lang w:eastAsia="es-ES"/>
        </w:rPr>
        <w:t>es</w:t>
      </w:r>
      <w:r w:rsidR="002351AB" w:rsidRPr="00A2355B">
        <w:rPr>
          <w:rFonts w:eastAsia="Times New Roman" w:cs="Tahoma"/>
          <w:color w:val="auto"/>
          <w:lang w:eastAsia="es-ES"/>
        </w:rPr>
        <w:t xml:space="preserve"> de acceso a la información pública</w:t>
      </w:r>
      <w:r w:rsidR="008A5840" w:rsidRPr="00A2355B">
        <w:rPr>
          <w:rFonts w:eastAsia="Times New Roman" w:cs="Tahoma"/>
          <w:color w:val="auto"/>
          <w:lang w:eastAsia="es-ES"/>
        </w:rPr>
        <w:t>,</w:t>
      </w:r>
      <w:r w:rsidR="002351AB" w:rsidRPr="00A2355B">
        <w:rPr>
          <w:rFonts w:eastAsia="Times New Roman" w:cs="Tahoma"/>
          <w:color w:val="auto"/>
          <w:lang w:eastAsia="es-ES"/>
        </w:rPr>
        <w:t xml:space="preserve"> a través del Sistema de Acceso a la Información Mexiquense (SAIMEX), ante el </w:t>
      </w:r>
      <w:r w:rsidR="00FB2EA1" w:rsidRPr="00FB2EA1">
        <w:t>Instituto de Información e Investigación Geográfica, Estadística y Catastral del Estado de México</w:t>
      </w:r>
      <w:r w:rsidRPr="00A2355B">
        <w:rPr>
          <w:rFonts w:eastAsia="Batang" w:cs="Tahoma"/>
          <w:color w:val="auto"/>
          <w:lang w:val="es-ES" w:eastAsia="es-ES"/>
        </w:rPr>
        <w:t>,</w:t>
      </w:r>
      <w:r w:rsidRPr="00A2355B">
        <w:rPr>
          <w:rFonts w:cs="Tahoma"/>
          <w:b/>
          <w:bCs/>
          <w:lang w:val="es-ES"/>
        </w:rPr>
        <w:t xml:space="preserve"> </w:t>
      </w:r>
      <w:r w:rsidR="008A5840" w:rsidRPr="00A2355B">
        <w:rPr>
          <w:rFonts w:cs="Tahoma"/>
          <w:lang w:val="es-ES"/>
        </w:rPr>
        <w:t>en los siguientes términos:</w:t>
      </w:r>
    </w:p>
    <w:p w14:paraId="174525F5" w14:textId="77777777" w:rsidR="00D8203F" w:rsidRPr="00A2355B" w:rsidRDefault="00D8203F" w:rsidP="00F363E5">
      <w:pPr>
        <w:tabs>
          <w:tab w:val="left" w:pos="567"/>
        </w:tabs>
        <w:spacing w:after="0"/>
        <w:rPr>
          <w:rFonts w:eastAsia="Times New Roman" w:cs="Tahoma"/>
          <w:color w:val="auto"/>
          <w:lang w:eastAsia="es-ES"/>
        </w:rPr>
      </w:pPr>
    </w:p>
    <w:p w14:paraId="55EDD270" w14:textId="5A164EB8" w:rsidR="00FB2EA1" w:rsidRDefault="00FB2EA1" w:rsidP="00F363E5">
      <w:pPr>
        <w:tabs>
          <w:tab w:val="left" w:pos="4667"/>
        </w:tabs>
        <w:spacing w:after="0"/>
        <w:ind w:left="567" w:right="567"/>
        <w:rPr>
          <w:rFonts w:eastAsia="Times New Roman" w:cs="Tahoma"/>
          <w:b/>
          <w:i/>
          <w:iCs/>
          <w:color w:val="auto"/>
          <w:sz w:val="20"/>
          <w:szCs w:val="20"/>
          <w:lang w:eastAsia="es-ES"/>
        </w:rPr>
      </w:pPr>
      <w:r w:rsidRPr="00FB2EA1">
        <w:rPr>
          <w:rFonts w:eastAsia="Times New Roman" w:cs="Tahoma"/>
          <w:b/>
          <w:i/>
          <w:iCs/>
          <w:color w:val="auto"/>
          <w:sz w:val="20"/>
          <w:szCs w:val="20"/>
          <w:lang w:eastAsia="es-ES"/>
        </w:rPr>
        <w:t>00001/IGECEM/IP/2022</w:t>
      </w:r>
    </w:p>
    <w:p w14:paraId="52CDF51B" w14:textId="77777777" w:rsidR="00D8203F" w:rsidRPr="00A2355B" w:rsidRDefault="00D8203F" w:rsidP="00F363E5">
      <w:pPr>
        <w:tabs>
          <w:tab w:val="left" w:pos="4667"/>
        </w:tabs>
        <w:spacing w:after="0"/>
        <w:ind w:left="567" w:right="567"/>
        <w:rPr>
          <w:rFonts w:eastAsia="Times New Roman" w:cs="Tahoma"/>
          <w:b/>
          <w:i/>
          <w:iCs/>
          <w:color w:val="auto"/>
          <w:sz w:val="20"/>
          <w:szCs w:val="20"/>
          <w:lang w:eastAsia="es-ES"/>
        </w:rPr>
      </w:pPr>
      <w:r w:rsidRPr="00A2355B">
        <w:rPr>
          <w:rFonts w:eastAsia="Times New Roman" w:cs="Tahoma"/>
          <w:b/>
          <w:i/>
          <w:iCs/>
          <w:color w:val="auto"/>
          <w:sz w:val="20"/>
          <w:szCs w:val="20"/>
          <w:lang w:eastAsia="es-ES"/>
        </w:rPr>
        <w:t>“DESCRIPCIÓN CLARA Y PRECISA DE LA INFORMACIÓN SOLICITADA.</w:t>
      </w:r>
    </w:p>
    <w:p w14:paraId="4240E320" w14:textId="249669CD" w:rsidR="00D8203F" w:rsidRPr="00A2355B" w:rsidRDefault="00FB2EA1" w:rsidP="00F363E5">
      <w:pPr>
        <w:widowControl w:val="0"/>
        <w:tabs>
          <w:tab w:val="left" w:pos="4667"/>
        </w:tabs>
        <w:spacing w:after="0"/>
        <w:ind w:left="567" w:right="567"/>
        <w:rPr>
          <w:rFonts w:eastAsia="Times New Roman" w:cs="Tahoma"/>
          <w:bCs/>
          <w:i/>
          <w:iCs/>
          <w:color w:val="auto"/>
          <w:sz w:val="20"/>
          <w:szCs w:val="20"/>
          <w:lang w:eastAsia="es-ES"/>
        </w:rPr>
      </w:pPr>
      <w:r w:rsidRPr="00FB2EA1">
        <w:rPr>
          <w:rFonts w:eastAsia="Times New Roman" w:cs="Tahoma"/>
          <w:bCs/>
          <w:i/>
          <w:iCs/>
          <w:color w:val="auto"/>
          <w:sz w:val="20"/>
          <w:szCs w:val="20"/>
          <w:lang w:eastAsia="es-ES"/>
        </w:rPr>
        <w:t xml:space="preserve">Respecto de un terreno de 1960 metros cuadrados de superficie de terreno baldío el cual cuenta con su propia cuenta catastral, vendí una fracción de 125 metros cuadrados igualmente de superficie de terreno baldío, conforme a la normativa jurídica y administrativa con que cuenta ese Instituto </w:t>
      </w:r>
      <w:r w:rsidRPr="00FB2EA1">
        <w:rPr>
          <w:rFonts w:eastAsia="Times New Roman" w:cs="Tahoma"/>
          <w:bCs/>
          <w:i/>
          <w:iCs/>
          <w:color w:val="auto"/>
          <w:sz w:val="20"/>
          <w:szCs w:val="20"/>
          <w:lang w:eastAsia="es-ES"/>
        </w:rPr>
        <w:lastRenderedPageBreak/>
        <w:t>incluyendo el MANUAL CATASTRAL DEL ESTADO DE MÉXICO, requiero saber dos simples cosas conforme a los documentos que obran en sus archivos tanto físicos como digitales así como de la normativa que los regula: a) fundamente y motive si estoy obligado a subdividir o a realizar algún otro trámite si únicamente vendí una fracción del terreno baldío? b) el predio resultante de 125 metros cuadrados de superficie de terreno baldío puede obtener su propia cuenta catastral?, En caso de que su respuesta a este punto sea si (sin que exista una subdivisión o trámite similar), requiero el fundamento legal y administrativo para la asignación de la nueva cuenta catastral; En caso de que su respuesta sea no, requiero fundado y motivado la razón por la cual no sería posible</w:t>
      </w:r>
      <w:r w:rsidR="00EC3F60" w:rsidRPr="00EC3F60">
        <w:rPr>
          <w:rFonts w:eastAsia="Times New Roman" w:cs="Tahoma"/>
          <w:bCs/>
          <w:i/>
          <w:iCs/>
          <w:color w:val="auto"/>
          <w:sz w:val="20"/>
          <w:szCs w:val="20"/>
          <w:lang w:eastAsia="es-ES"/>
        </w:rPr>
        <w:t>.</w:t>
      </w:r>
      <w:r w:rsidR="00D8203F" w:rsidRPr="00A2355B">
        <w:rPr>
          <w:rFonts w:eastAsia="Times New Roman" w:cs="Tahoma"/>
          <w:bCs/>
          <w:i/>
          <w:iCs/>
          <w:color w:val="auto"/>
          <w:sz w:val="20"/>
          <w:szCs w:val="20"/>
          <w:lang w:eastAsia="es-ES"/>
        </w:rPr>
        <w:t xml:space="preserve">” (Sic) </w:t>
      </w:r>
    </w:p>
    <w:p w14:paraId="24D6CEF9" w14:textId="77777777" w:rsidR="00FB2EA1" w:rsidRDefault="00FB2EA1" w:rsidP="00F363E5">
      <w:pPr>
        <w:tabs>
          <w:tab w:val="left" w:pos="4667"/>
        </w:tabs>
        <w:spacing w:after="0"/>
        <w:ind w:left="567" w:right="567"/>
        <w:rPr>
          <w:rFonts w:eastAsia="Times New Roman" w:cs="Tahoma"/>
          <w:bCs/>
          <w:i/>
          <w:iCs/>
          <w:color w:val="auto"/>
          <w:sz w:val="20"/>
          <w:szCs w:val="20"/>
          <w:lang w:eastAsia="es-ES"/>
        </w:rPr>
      </w:pPr>
    </w:p>
    <w:p w14:paraId="5FCEF009" w14:textId="7D38A17C" w:rsidR="00FB2EA1" w:rsidRPr="00FB2EA1" w:rsidRDefault="00FB2EA1" w:rsidP="00F363E5">
      <w:pPr>
        <w:tabs>
          <w:tab w:val="left" w:pos="4667"/>
        </w:tabs>
        <w:spacing w:after="0"/>
        <w:ind w:left="567" w:right="567"/>
        <w:rPr>
          <w:rFonts w:eastAsia="Times New Roman" w:cs="Tahoma"/>
          <w:b/>
          <w:bCs/>
          <w:i/>
          <w:iCs/>
          <w:color w:val="auto"/>
          <w:sz w:val="20"/>
          <w:szCs w:val="20"/>
          <w:lang w:eastAsia="es-ES"/>
        </w:rPr>
      </w:pPr>
      <w:r>
        <w:rPr>
          <w:rFonts w:eastAsia="Times New Roman" w:cs="Tahoma"/>
          <w:b/>
          <w:bCs/>
          <w:i/>
          <w:iCs/>
          <w:color w:val="auto"/>
          <w:sz w:val="20"/>
          <w:szCs w:val="20"/>
          <w:lang w:eastAsia="es-ES"/>
        </w:rPr>
        <w:t>00002</w:t>
      </w:r>
      <w:r w:rsidRPr="00FB2EA1">
        <w:rPr>
          <w:rFonts w:eastAsia="Times New Roman" w:cs="Tahoma"/>
          <w:b/>
          <w:bCs/>
          <w:i/>
          <w:iCs/>
          <w:color w:val="auto"/>
          <w:sz w:val="20"/>
          <w:szCs w:val="20"/>
          <w:lang w:eastAsia="es-ES"/>
        </w:rPr>
        <w:t>/IGECEM/IP/2022</w:t>
      </w:r>
    </w:p>
    <w:p w14:paraId="1F9F7B65" w14:textId="77777777" w:rsidR="00FB2EA1" w:rsidRPr="00FB2EA1" w:rsidRDefault="00FB2EA1" w:rsidP="00F363E5">
      <w:pPr>
        <w:tabs>
          <w:tab w:val="left" w:pos="4667"/>
        </w:tabs>
        <w:spacing w:after="0"/>
        <w:ind w:left="567" w:right="567"/>
        <w:rPr>
          <w:rFonts w:eastAsia="Times New Roman" w:cs="Tahoma"/>
          <w:bCs/>
          <w:i/>
          <w:iCs/>
          <w:color w:val="auto"/>
          <w:sz w:val="20"/>
          <w:szCs w:val="20"/>
          <w:lang w:eastAsia="es-ES"/>
        </w:rPr>
      </w:pPr>
      <w:r w:rsidRPr="00FB2EA1">
        <w:rPr>
          <w:rFonts w:eastAsia="Times New Roman" w:cs="Tahoma"/>
          <w:b/>
          <w:bCs/>
          <w:i/>
          <w:iCs/>
          <w:color w:val="auto"/>
          <w:sz w:val="20"/>
          <w:szCs w:val="20"/>
          <w:lang w:eastAsia="es-ES"/>
        </w:rPr>
        <w:t>“DESCRIPCIÓN CLARA Y PRECISA DE LA INFORMACIÓN SOLICITADA</w:t>
      </w:r>
      <w:r w:rsidRPr="00FB2EA1">
        <w:rPr>
          <w:rFonts w:eastAsia="Times New Roman" w:cs="Tahoma"/>
          <w:bCs/>
          <w:i/>
          <w:iCs/>
          <w:color w:val="auto"/>
          <w:sz w:val="20"/>
          <w:szCs w:val="20"/>
          <w:lang w:eastAsia="es-ES"/>
        </w:rPr>
        <w:t>.</w:t>
      </w:r>
    </w:p>
    <w:p w14:paraId="6FAE43C1" w14:textId="02F43C86" w:rsidR="00FB2EA1" w:rsidRDefault="00FB2EA1" w:rsidP="00F363E5">
      <w:pPr>
        <w:tabs>
          <w:tab w:val="left" w:pos="4667"/>
        </w:tabs>
        <w:spacing w:after="0"/>
        <w:ind w:left="567" w:right="567"/>
        <w:rPr>
          <w:rFonts w:eastAsia="Times New Roman" w:cs="Tahoma"/>
          <w:bCs/>
          <w:i/>
          <w:iCs/>
          <w:color w:val="auto"/>
          <w:sz w:val="20"/>
          <w:szCs w:val="20"/>
          <w:lang w:eastAsia="es-ES"/>
        </w:rPr>
      </w:pPr>
      <w:r w:rsidRPr="00FB2EA1">
        <w:rPr>
          <w:rFonts w:eastAsia="Times New Roman" w:cs="Tahoma"/>
          <w:bCs/>
          <w:i/>
          <w:iCs/>
          <w:color w:val="auto"/>
          <w:sz w:val="20"/>
          <w:szCs w:val="20"/>
          <w:lang w:eastAsia="es-ES"/>
        </w:rPr>
        <w:t xml:space="preserve">Respecto de un terreno de 1960 metros cuadrados de superficie de terreno baldío el cual cuenta con su propia cuenta catastral, vendí una fracción de 125 metros cuadrados igualmente de superficie de terreno baldío, conforme a la normativa jurídica y administrativa con que cuenta ese Instituto incluyendo el MANUAL CATASTRAL DEL ESTADO DE MÉXICO, requiero saber tres simples cosas conforme a los documentos que obran en sus archivos tanto físicos como digitales así como de la normativa que los regula: a) fundamente y motive si estoy obligado a subdividir o a realizar algún otro trámite si únicamente vendí una fracción del terreno baldío? b) el predio resultante de 125 metros cuadrados de superficie de terreno baldío puede obtener su propia cuenta catastral?, En caso de que su respuesta a este punto sea si (sin que exista una subdivisión o trámite similar), requiero el fundamento legal y administrativo para la asignación de la nueva cuenta catastral En caso de que su respuesta sea no, requiero fundado y motivado la razón por la cual no sería posible; y c) El municipio a través de una sesión de cabildo aprobó literalmente la subdivisión del terreno en "x" número de lotes, bajo ese supuesto requiero saber: i) es válida una subdivisión del predio en "x" número de lotes que haya autorizado el municipio celebra mediante cabildo? Independientemente de que la respuesta sea </w:t>
      </w:r>
      <w:proofErr w:type="spellStart"/>
      <w:r w:rsidRPr="00FB2EA1">
        <w:rPr>
          <w:rFonts w:eastAsia="Times New Roman" w:cs="Tahoma"/>
          <w:bCs/>
          <w:i/>
          <w:iCs/>
          <w:color w:val="auto"/>
          <w:sz w:val="20"/>
          <w:szCs w:val="20"/>
          <w:lang w:eastAsia="es-ES"/>
        </w:rPr>
        <w:t>si</w:t>
      </w:r>
      <w:proofErr w:type="spellEnd"/>
      <w:r w:rsidRPr="00FB2EA1">
        <w:rPr>
          <w:rFonts w:eastAsia="Times New Roman" w:cs="Tahoma"/>
          <w:bCs/>
          <w:i/>
          <w:iCs/>
          <w:color w:val="auto"/>
          <w:sz w:val="20"/>
          <w:szCs w:val="20"/>
          <w:lang w:eastAsia="es-ES"/>
        </w:rPr>
        <w:t xml:space="preserve"> o no, requiero el fundamento legal y administrativo para ambos casos. nota: no se específica ningún municipio en particular tomando en </w:t>
      </w:r>
      <w:proofErr w:type="spellStart"/>
      <w:r w:rsidRPr="00FB2EA1">
        <w:rPr>
          <w:rFonts w:eastAsia="Times New Roman" w:cs="Tahoma"/>
          <w:bCs/>
          <w:i/>
          <w:iCs/>
          <w:color w:val="auto"/>
          <w:sz w:val="20"/>
          <w:szCs w:val="20"/>
          <w:lang w:eastAsia="es-ES"/>
        </w:rPr>
        <w:t>cuanta</w:t>
      </w:r>
      <w:proofErr w:type="spellEnd"/>
      <w:r w:rsidRPr="00FB2EA1">
        <w:rPr>
          <w:rFonts w:eastAsia="Times New Roman" w:cs="Tahoma"/>
          <w:bCs/>
          <w:i/>
          <w:iCs/>
          <w:color w:val="auto"/>
          <w:sz w:val="20"/>
          <w:szCs w:val="20"/>
          <w:lang w:eastAsia="es-ES"/>
        </w:rPr>
        <w:t xml:space="preserve"> que la normativa que regula el caso concreto aplica para todos los municipios que conforman el Estado de México..” (Sic)</w:t>
      </w:r>
    </w:p>
    <w:p w14:paraId="0B6A3562" w14:textId="77777777" w:rsidR="00FB2EA1" w:rsidRDefault="00FB2EA1" w:rsidP="00F363E5">
      <w:pPr>
        <w:tabs>
          <w:tab w:val="left" w:pos="4667"/>
        </w:tabs>
        <w:spacing w:after="0"/>
        <w:ind w:left="567" w:right="567"/>
        <w:rPr>
          <w:rFonts w:eastAsia="Times New Roman" w:cs="Tahoma"/>
          <w:bCs/>
          <w:i/>
          <w:iCs/>
          <w:color w:val="auto"/>
          <w:sz w:val="20"/>
          <w:szCs w:val="20"/>
          <w:lang w:eastAsia="es-ES"/>
        </w:rPr>
      </w:pPr>
    </w:p>
    <w:p w14:paraId="1C8ADC67" w14:textId="441D25BF" w:rsidR="00FB2EA1" w:rsidRPr="00FB2EA1" w:rsidRDefault="00FB2EA1" w:rsidP="00F363E5">
      <w:pPr>
        <w:tabs>
          <w:tab w:val="left" w:pos="4667"/>
        </w:tabs>
        <w:spacing w:after="0"/>
        <w:ind w:right="567"/>
        <w:rPr>
          <w:rFonts w:eastAsia="Times New Roman" w:cs="Tahoma"/>
          <w:bCs/>
          <w:iCs/>
          <w:color w:val="auto"/>
          <w:lang w:eastAsia="es-ES"/>
        </w:rPr>
      </w:pPr>
      <w:r w:rsidRPr="00FB2EA1">
        <w:rPr>
          <w:rFonts w:eastAsia="Times New Roman" w:cs="Tahoma"/>
          <w:bCs/>
          <w:iCs/>
          <w:color w:val="auto"/>
          <w:lang w:eastAsia="es-ES"/>
        </w:rPr>
        <w:lastRenderedPageBreak/>
        <w:t xml:space="preserve">El Particular definió como modalidad de entrega en ambas solicitudes </w:t>
      </w:r>
      <w:r w:rsidR="00503B9B" w:rsidRPr="00503B9B">
        <w:rPr>
          <w:rFonts w:eastAsia="Times New Roman" w:cs="Tahoma"/>
          <w:bCs/>
          <w:i/>
          <w:color w:val="auto"/>
          <w:lang w:eastAsia="es-ES"/>
        </w:rPr>
        <w:t xml:space="preserve">“A través de </w:t>
      </w:r>
      <w:r w:rsidRPr="00503B9B">
        <w:rPr>
          <w:rFonts w:eastAsia="Times New Roman" w:cs="Tahoma"/>
          <w:bCs/>
          <w:i/>
          <w:color w:val="auto"/>
          <w:lang w:eastAsia="es-ES"/>
        </w:rPr>
        <w:t>SAIMEX</w:t>
      </w:r>
      <w:r w:rsidR="00503B9B" w:rsidRPr="00503B9B">
        <w:rPr>
          <w:rFonts w:eastAsia="Times New Roman" w:cs="Tahoma"/>
          <w:bCs/>
          <w:i/>
          <w:color w:val="auto"/>
          <w:lang w:eastAsia="es-ES"/>
        </w:rPr>
        <w:t>”</w:t>
      </w:r>
      <w:r w:rsidRPr="00503B9B">
        <w:rPr>
          <w:rFonts w:eastAsia="Times New Roman" w:cs="Tahoma"/>
          <w:bCs/>
          <w:i/>
          <w:color w:val="auto"/>
          <w:lang w:eastAsia="es-ES"/>
        </w:rPr>
        <w:t xml:space="preserve">. </w:t>
      </w:r>
    </w:p>
    <w:p w14:paraId="5455DBE1" w14:textId="77777777" w:rsidR="00D8203F" w:rsidRPr="00A2355B" w:rsidRDefault="00D8203F" w:rsidP="00F363E5">
      <w:pPr>
        <w:spacing w:after="0"/>
        <w:rPr>
          <w:b/>
        </w:rPr>
      </w:pPr>
    </w:p>
    <w:p w14:paraId="7CE11C14" w14:textId="77777777" w:rsidR="00D8203F" w:rsidRPr="00A2355B" w:rsidRDefault="00D8203F" w:rsidP="00F363E5">
      <w:pPr>
        <w:spacing w:after="0"/>
        <w:rPr>
          <w:b/>
        </w:rPr>
      </w:pPr>
      <w:r w:rsidRPr="00A2355B">
        <w:rPr>
          <w:b/>
        </w:rPr>
        <w:t>II. Respuesta del Sujeto Obligado.</w:t>
      </w:r>
    </w:p>
    <w:p w14:paraId="62FF2732" w14:textId="77777777" w:rsidR="00D8203F" w:rsidRPr="00A2355B" w:rsidRDefault="00D8203F" w:rsidP="00F363E5">
      <w:pPr>
        <w:spacing w:after="0"/>
        <w:rPr>
          <w:rFonts w:eastAsia="Times New Roman" w:cs="Tahoma"/>
          <w:bCs/>
          <w:iCs/>
          <w:lang w:eastAsia="es-ES"/>
        </w:rPr>
      </w:pPr>
    </w:p>
    <w:p w14:paraId="3401BA4C" w14:textId="410ABCCD" w:rsidR="00F97409" w:rsidRDefault="00F97409" w:rsidP="00F363E5">
      <w:pPr>
        <w:spacing w:after="0"/>
        <w:rPr>
          <w:rFonts w:eastAsia="Times New Roman" w:cs="Tahoma"/>
          <w:bCs/>
          <w:iCs/>
          <w:lang w:eastAsia="es-ES"/>
        </w:rPr>
      </w:pPr>
      <w:r w:rsidRPr="00A2355B">
        <w:rPr>
          <w:rFonts w:eastAsia="Times New Roman" w:cs="Tahoma"/>
          <w:bCs/>
          <w:iCs/>
          <w:lang w:eastAsia="es-ES"/>
        </w:rPr>
        <w:t xml:space="preserve">Con fecha </w:t>
      </w:r>
      <w:r w:rsidR="00CF56B9">
        <w:rPr>
          <w:rFonts w:eastAsia="Times New Roman" w:cs="Tahoma"/>
          <w:bCs/>
          <w:iCs/>
          <w:lang w:eastAsia="es-ES"/>
        </w:rPr>
        <w:t>veintiuno de enero de dos mil veintidós</w:t>
      </w:r>
      <w:r w:rsidR="00777341">
        <w:rPr>
          <w:rFonts w:eastAsia="Times New Roman" w:cs="Tahoma"/>
          <w:bCs/>
          <w:iCs/>
          <w:lang w:eastAsia="es-ES"/>
        </w:rPr>
        <w:t xml:space="preserve">, </w:t>
      </w:r>
      <w:r w:rsidR="00384899">
        <w:rPr>
          <w:rFonts w:eastAsia="Times New Roman" w:cs="Tahoma"/>
          <w:bCs/>
          <w:iCs/>
          <w:lang w:eastAsia="es-ES"/>
        </w:rPr>
        <w:t xml:space="preserve">el </w:t>
      </w:r>
      <w:r w:rsidR="00CF56B9" w:rsidRPr="00CF56B9">
        <w:rPr>
          <w:rFonts w:eastAsia="Times New Roman" w:cs="Tahoma"/>
          <w:bCs/>
          <w:iCs/>
          <w:lang w:eastAsia="es-ES"/>
        </w:rPr>
        <w:t>Instituto de Información e Investigación Geográfica, Estadística y Catastral del Estado de México</w:t>
      </w:r>
      <w:r w:rsidR="00384899">
        <w:rPr>
          <w:rFonts w:eastAsia="Times New Roman" w:cs="Tahoma"/>
          <w:bCs/>
          <w:iCs/>
          <w:lang w:eastAsia="es-ES"/>
        </w:rPr>
        <w:t>,</w:t>
      </w:r>
      <w:r w:rsidR="00D8203F" w:rsidRPr="00A2355B">
        <w:rPr>
          <w:rFonts w:eastAsia="Times New Roman" w:cs="Tahoma"/>
          <w:bCs/>
          <w:iCs/>
          <w:lang w:eastAsia="es-ES"/>
        </w:rPr>
        <w:t xml:space="preserve"> a través del Sistema de Acceso a la Información Mexiquense (SAIMEX), notificó la respuesta </w:t>
      </w:r>
      <w:r w:rsidR="008A5840" w:rsidRPr="00A2355B">
        <w:rPr>
          <w:rFonts w:eastAsia="Times New Roman" w:cs="Tahoma"/>
          <w:bCs/>
          <w:iCs/>
          <w:lang w:eastAsia="es-ES"/>
        </w:rPr>
        <w:t>al</w:t>
      </w:r>
      <w:r w:rsidR="00D8203F" w:rsidRPr="00A2355B">
        <w:rPr>
          <w:rFonts w:eastAsia="Times New Roman" w:cs="Tahoma"/>
          <w:bCs/>
          <w:iCs/>
          <w:lang w:eastAsia="es-ES"/>
        </w:rPr>
        <w:t xml:space="preserve"> Soli</w:t>
      </w:r>
      <w:r w:rsidR="00777341">
        <w:rPr>
          <w:rFonts w:eastAsia="Times New Roman" w:cs="Tahoma"/>
          <w:bCs/>
          <w:iCs/>
          <w:lang w:eastAsia="es-ES"/>
        </w:rPr>
        <w:t xml:space="preserve">citante, </w:t>
      </w:r>
      <w:r w:rsidRPr="00A2355B">
        <w:rPr>
          <w:rFonts w:eastAsia="Times New Roman" w:cs="Tahoma"/>
          <w:bCs/>
          <w:iCs/>
          <w:lang w:eastAsia="es-ES"/>
        </w:rPr>
        <w:t xml:space="preserve"> por medio del cual </w:t>
      </w:r>
      <w:r w:rsidR="008A5840" w:rsidRPr="00A2355B">
        <w:rPr>
          <w:rFonts w:eastAsia="Times New Roman" w:cs="Tahoma"/>
          <w:bCs/>
          <w:iCs/>
          <w:lang w:eastAsia="es-ES"/>
        </w:rPr>
        <w:t xml:space="preserve">precisa </w:t>
      </w:r>
      <w:r w:rsidR="00384899">
        <w:rPr>
          <w:rFonts w:eastAsia="Times New Roman" w:cs="Tahoma"/>
          <w:bCs/>
          <w:iCs/>
          <w:lang w:eastAsia="es-ES"/>
        </w:rPr>
        <w:t xml:space="preserve">lo </w:t>
      </w:r>
      <w:r w:rsidR="00384899" w:rsidRPr="0014480C">
        <w:rPr>
          <w:rFonts w:eastAsia="Times New Roman" w:cs="Tahoma"/>
          <w:bCs/>
          <w:iCs/>
          <w:lang w:eastAsia="es-ES"/>
        </w:rPr>
        <w:t xml:space="preserve">siguiente: </w:t>
      </w:r>
    </w:p>
    <w:p w14:paraId="4F5FFC73" w14:textId="77777777" w:rsidR="00CF56B9" w:rsidRDefault="00CF56B9" w:rsidP="00F363E5">
      <w:pPr>
        <w:spacing w:after="0"/>
        <w:rPr>
          <w:rFonts w:eastAsia="Times New Roman" w:cs="Tahoma"/>
          <w:bCs/>
          <w:iCs/>
          <w:lang w:eastAsia="es-ES"/>
        </w:rPr>
      </w:pPr>
    </w:p>
    <w:p w14:paraId="206AD2A2" w14:textId="7A477B1C" w:rsidR="00CF56B9" w:rsidRPr="00005B94" w:rsidRDefault="00CF56B9" w:rsidP="00F363E5">
      <w:pPr>
        <w:spacing w:after="0"/>
        <w:rPr>
          <w:rFonts w:eastAsia="Times New Roman" w:cs="Tahoma"/>
          <w:b/>
          <w:bCs/>
          <w:iCs/>
          <w:lang w:eastAsia="es-ES"/>
        </w:rPr>
      </w:pPr>
      <w:r w:rsidRPr="00005B94">
        <w:rPr>
          <w:rFonts w:eastAsia="Times New Roman" w:cs="Tahoma"/>
          <w:b/>
          <w:bCs/>
          <w:iCs/>
          <w:lang w:eastAsia="es-ES"/>
        </w:rPr>
        <w:t>00001/IGECEM/IP/2022</w:t>
      </w:r>
    </w:p>
    <w:p w14:paraId="325050E7" w14:textId="5E10497D" w:rsidR="00CF56B9" w:rsidRPr="00CF56B9" w:rsidRDefault="00CF56B9" w:rsidP="00F363E5">
      <w:pPr>
        <w:pStyle w:val="Prrafodelista"/>
        <w:numPr>
          <w:ilvl w:val="0"/>
          <w:numId w:val="31"/>
        </w:numPr>
        <w:spacing w:after="0"/>
        <w:rPr>
          <w:rFonts w:eastAsia="Times New Roman" w:cs="Tahoma"/>
          <w:bCs/>
          <w:lang w:eastAsia="es-ES"/>
        </w:rPr>
      </w:pPr>
      <w:r>
        <w:rPr>
          <w:rFonts w:eastAsia="Times New Roman" w:cs="Tahoma"/>
          <w:bCs/>
          <w:lang w:eastAsia="es-ES"/>
        </w:rPr>
        <w:t>D</w:t>
      </w:r>
      <w:r w:rsidRPr="00CF56B9">
        <w:rPr>
          <w:rFonts w:eastAsia="Times New Roman" w:cs="Tahoma"/>
          <w:bCs/>
          <w:lang w:eastAsia="es-ES"/>
        </w:rPr>
        <w:t xml:space="preserve">e conformidad con lo establecido en el artículo 4 del Reglamento del Libro Quinto del Código Administrativo del Estado de México, las subdivisiones requieren autorización previa y expresa de las autoridades estatales o municipales competentes; </w:t>
      </w:r>
    </w:p>
    <w:p w14:paraId="7C506E67" w14:textId="77777777" w:rsidR="00CF56B9" w:rsidRDefault="00CF56B9" w:rsidP="00F363E5">
      <w:pPr>
        <w:pStyle w:val="Prrafodelista"/>
        <w:numPr>
          <w:ilvl w:val="0"/>
          <w:numId w:val="31"/>
        </w:numPr>
        <w:spacing w:after="0"/>
        <w:rPr>
          <w:rFonts w:eastAsia="Times New Roman" w:cs="Tahoma"/>
          <w:bCs/>
          <w:lang w:eastAsia="es-ES"/>
        </w:rPr>
      </w:pPr>
      <w:r w:rsidRPr="00CF56B9">
        <w:rPr>
          <w:rFonts w:eastAsia="Times New Roman" w:cs="Tahoma"/>
          <w:bCs/>
          <w:lang w:eastAsia="es-ES"/>
        </w:rPr>
        <w:t xml:space="preserve">Los requisitos para llevar a cabo el trámite de </w:t>
      </w:r>
      <w:proofErr w:type="gramStart"/>
      <w:r w:rsidRPr="00CF56B9">
        <w:rPr>
          <w:rFonts w:eastAsia="Times New Roman" w:cs="Tahoma"/>
          <w:bCs/>
          <w:lang w:eastAsia="es-ES"/>
        </w:rPr>
        <w:t>subdivisión,</w:t>
      </w:r>
      <w:proofErr w:type="gramEnd"/>
      <w:r w:rsidRPr="00CF56B9">
        <w:rPr>
          <w:rFonts w:eastAsia="Times New Roman" w:cs="Tahoma"/>
          <w:bCs/>
          <w:lang w:eastAsia="es-ES"/>
        </w:rPr>
        <w:t xml:space="preserve"> se encuentran establecidos en el artículo 92 de dicho Ordenamiento.</w:t>
      </w:r>
    </w:p>
    <w:p w14:paraId="1B4FAB64" w14:textId="77777777" w:rsidR="00CF56B9" w:rsidRDefault="00CF56B9" w:rsidP="00F363E5">
      <w:pPr>
        <w:pStyle w:val="Prrafodelista"/>
        <w:numPr>
          <w:ilvl w:val="0"/>
          <w:numId w:val="31"/>
        </w:numPr>
        <w:spacing w:after="0"/>
        <w:rPr>
          <w:rFonts w:eastAsia="Times New Roman" w:cs="Tahoma"/>
          <w:bCs/>
          <w:lang w:eastAsia="es-ES"/>
        </w:rPr>
      </w:pPr>
      <w:r w:rsidRPr="00CF56B9">
        <w:rPr>
          <w:rFonts w:eastAsia="Times New Roman" w:cs="Tahoma"/>
          <w:bCs/>
          <w:lang w:eastAsia="es-ES"/>
        </w:rPr>
        <w:t xml:space="preserve">De conformidad con lo establecido en el artículo 175 del Código Financiero del Estado de México y Municipios, los propietarios o poseedores de inmuebles, independientemente del régimen jurídico de propiedad, ubicados en territorio del Estado, incluyendo las Dependencias y Entidades Públicas, están obligados a inscribirlos ante el catastro del Ayuntamiento, mediante manifestación catastral; Cuando se fusione, subdivida, lotifique, </w:t>
      </w:r>
      <w:proofErr w:type="spellStart"/>
      <w:r w:rsidRPr="00CF56B9">
        <w:rPr>
          <w:rFonts w:eastAsia="Times New Roman" w:cs="Tahoma"/>
          <w:bCs/>
          <w:lang w:eastAsia="es-ES"/>
        </w:rPr>
        <w:t>relotifique</w:t>
      </w:r>
      <w:proofErr w:type="spellEnd"/>
      <w:r w:rsidRPr="00CF56B9">
        <w:rPr>
          <w:rFonts w:eastAsia="Times New Roman" w:cs="Tahoma"/>
          <w:bCs/>
          <w:lang w:eastAsia="es-ES"/>
        </w:rPr>
        <w:t>,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w:t>
      </w:r>
    </w:p>
    <w:p w14:paraId="5A6318BA" w14:textId="575E1532" w:rsidR="00CF56B9" w:rsidRPr="00CF56B9" w:rsidRDefault="00CF56B9" w:rsidP="00F363E5">
      <w:pPr>
        <w:pStyle w:val="Prrafodelista"/>
        <w:numPr>
          <w:ilvl w:val="0"/>
          <w:numId w:val="31"/>
        </w:numPr>
        <w:spacing w:after="0"/>
        <w:rPr>
          <w:rFonts w:eastAsia="Times New Roman" w:cs="Tahoma"/>
          <w:bCs/>
          <w:lang w:eastAsia="es-ES"/>
        </w:rPr>
      </w:pPr>
      <w:r>
        <w:rPr>
          <w:rFonts w:eastAsia="Times New Roman" w:cs="Tahoma"/>
          <w:bCs/>
          <w:lang w:eastAsia="es-ES"/>
        </w:rPr>
        <w:lastRenderedPageBreak/>
        <w:t>El</w:t>
      </w:r>
      <w:r w:rsidRPr="00CF56B9">
        <w:rPr>
          <w:rFonts w:eastAsia="Times New Roman" w:cs="Tahoma"/>
          <w:bCs/>
          <w:lang w:eastAsia="es-ES"/>
        </w:rPr>
        <w:t xml:space="preserve"> Manual Catastral del Estado de México, en su política ACGC014, establece los servicios catastrales que prestan los Ayuntamientos, resaltando para este caso el tercer inciso que dice: “Actualización del padrón catastral derivada de subdivisión, fusión, lotificación, relotificación, conjuntos urbanos, afectaciones y modificación de linderos, previa autorización emiti</w:t>
      </w:r>
      <w:r>
        <w:rPr>
          <w:rFonts w:eastAsia="Times New Roman" w:cs="Tahoma"/>
          <w:bCs/>
          <w:lang w:eastAsia="es-ES"/>
        </w:rPr>
        <w:t>da por la autoridad competente.</w:t>
      </w:r>
    </w:p>
    <w:p w14:paraId="0C793F9B" w14:textId="77777777" w:rsidR="00CF56B9" w:rsidRDefault="00CF56B9" w:rsidP="00F363E5">
      <w:pPr>
        <w:spacing w:after="0"/>
        <w:rPr>
          <w:rFonts w:eastAsia="Times New Roman" w:cs="Tahoma"/>
          <w:bCs/>
          <w:lang w:eastAsia="es-ES"/>
        </w:rPr>
      </w:pPr>
    </w:p>
    <w:p w14:paraId="2289CF5D" w14:textId="24F78E9E" w:rsidR="00CF56B9" w:rsidRDefault="00005B94" w:rsidP="00F363E5">
      <w:pPr>
        <w:spacing w:after="0"/>
        <w:rPr>
          <w:rFonts w:eastAsia="Times New Roman" w:cs="Tahoma"/>
          <w:b/>
          <w:bCs/>
          <w:lang w:eastAsia="es-ES"/>
        </w:rPr>
      </w:pPr>
      <w:r w:rsidRPr="00005B94">
        <w:rPr>
          <w:rFonts w:eastAsia="Times New Roman" w:cs="Tahoma"/>
          <w:b/>
          <w:bCs/>
          <w:lang w:eastAsia="es-ES"/>
        </w:rPr>
        <w:t>00002/IGECEM/IP/2022</w:t>
      </w:r>
      <w:r>
        <w:rPr>
          <w:rFonts w:eastAsia="Times New Roman" w:cs="Tahoma"/>
          <w:b/>
          <w:bCs/>
          <w:lang w:eastAsia="es-ES"/>
        </w:rPr>
        <w:t>.</w:t>
      </w:r>
    </w:p>
    <w:p w14:paraId="7CF35AE8" w14:textId="77777777" w:rsidR="00005B94" w:rsidRDefault="00005B94" w:rsidP="00F363E5">
      <w:pPr>
        <w:pStyle w:val="Prrafodelista"/>
        <w:numPr>
          <w:ilvl w:val="0"/>
          <w:numId w:val="33"/>
        </w:numPr>
        <w:spacing w:after="0"/>
        <w:rPr>
          <w:rFonts w:eastAsia="Times New Roman" w:cs="Tahoma"/>
          <w:bCs/>
          <w:lang w:eastAsia="es-ES"/>
        </w:rPr>
      </w:pPr>
      <w:r w:rsidRPr="00005B94">
        <w:rPr>
          <w:rFonts w:eastAsia="Times New Roman" w:cs="Tahoma"/>
          <w:bCs/>
          <w:lang w:eastAsia="es-ES"/>
        </w:rPr>
        <w:t xml:space="preserve">De conformidad con lo establecido en el artículo 4 del Reglamento del Libro Quinto del Código Administrativo del Estado de México, las subdivisiones requieren autorización previa y expresa de las autoridades estatales o municipales competentes; en este sentido, los requisitos para llevar a cabo el trámite de </w:t>
      </w:r>
      <w:proofErr w:type="gramStart"/>
      <w:r w:rsidRPr="00005B94">
        <w:rPr>
          <w:rFonts w:eastAsia="Times New Roman" w:cs="Tahoma"/>
          <w:bCs/>
          <w:lang w:eastAsia="es-ES"/>
        </w:rPr>
        <w:t>subdivisión,</w:t>
      </w:r>
      <w:proofErr w:type="gramEnd"/>
      <w:r w:rsidRPr="00005B94">
        <w:rPr>
          <w:rFonts w:eastAsia="Times New Roman" w:cs="Tahoma"/>
          <w:bCs/>
          <w:lang w:eastAsia="es-ES"/>
        </w:rPr>
        <w:t xml:space="preserve"> se encuentran establecidos en el ar</w:t>
      </w:r>
      <w:r>
        <w:rPr>
          <w:rFonts w:eastAsia="Times New Roman" w:cs="Tahoma"/>
          <w:bCs/>
          <w:lang w:eastAsia="es-ES"/>
        </w:rPr>
        <w:t>tículo 92 de este Ordenamiento.</w:t>
      </w:r>
    </w:p>
    <w:p w14:paraId="3C211941" w14:textId="4499AEB7" w:rsidR="00005B94" w:rsidRDefault="00005B94" w:rsidP="00F363E5">
      <w:pPr>
        <w:pStyle w:val="Prrafodelista"/>
        <w:numPr>
          <w:ilvl w:val="0"/>
          <w:numId w:val="33"/>
        </w:numPr>
        <w:spacing w:after="0"/>
        <w:rPr>
          <w:rFonts w:eastAsia="Times New Roman" w:cs="Tahoma"/>
          <w:bCs/>
          <w:lang w:eastAsia="es-ES"/>
        </w:rPr>
      </w:pPr>
      <w:r w:rsidRPr="00005B94">
        <w:rPr>
          <w:rFonts w:eastAsia="Times New Roman" w:cs="Tahoma"/>
          <w:bCs/>
          <w:lang w:eastAsia="es-ES"/>
        </w:rPr>
        <w:t xml:space="preserve">De conformidad con lo establecido en el artículo 175 del Código Financiero del Estado de México y Municipios, le informo que los propietarios o poseedores de inmuebles, independientemente del régimen jurídico de propiedad, ubicados en territorio del Estado, incluyendo las Dependencias y Entidades Públicas, están obligados a inscribirlos ante el catastro del Ayuntamiento, mediante manifestación catastral; Cuando se fusione, subdivida, lotifique, </w:t>
      </w:r>
      <w:proofErr w:type="spellStart"/>
      <w:r w:rsidRPr="00005B94">
        <w:rPr>
          <w:rFonts w:eastAsia="Times New Roman" w:cs="Tahoma"/>
          <w:bCs/>
          <w:lang w:eastAsia="es-ES"/>
        </w:rPr>
        <w:t>relotifique</w:t>
      </w:r>
      <w:proofErr w:type="spellEnd"/>
      <w:r w:rsidRPr="00005B94">
        <w:rPr>
          <w:rFonts w:eastAsia="Times New Roman" w:cs="Tahoma"/>
          <w:bCs/>
          <w:lang w:eastAsia="es-ES"/>
        </w:rPr>
        <w:t xml:space="preserve">, o se produzca una lotificación en condominio o conjunto urbano de un inmueble, mediante autorización que emita la autoridad competente, es necesario actualizar los datos técnicos, administrativos y el valor en el padrón catastral municipal y en su caso, asignar claves e inscribirlos. Así mismo, el Manual Catastral del Estado de México, en su política ACGC014, establece los servicios catastrales que prestan los Ayuntamientos, resaltando para este caso el tercer inciso que dice: </w:t>
      </w:r>
      <w:r w:rsidR="00C108C3" w:rsidRPr="00005B94">
        <w:rPr>
          <w:rFonts w:eastAsia="Times New Roman" w:cs="Tahoma"/>
          <w:bCs/>
          <w:lang w:eastAsia="es-ES"/>
        </w:rPr>
        <w:t>“Actualización</w:t>
      </w:r>
      <w:r w:rsidRPr="00005B94">
        <w:rPr>
          <w:rFonts w:eastAsia="Times New Roman" w:cs="Tahoma"/>
          <w:bCs/>
          <w:lang w:eastAsia="es-ES"/>
        </w:rPr>
        <w:t xml:space="preserve"> del padrón catastral derivada de subdivisión, fusión, lotificación, relotificación, conjuntos urbanos, afectaciones y modificación de linderos, previa autorización emiti</w:t>
      </w:r>
      <w:r>
        <w:rPr>
          <w:rFonts w:eastAsia="Times New Roman" w:cs="Tahoma"/>
          <w:bCs/>
          <w:lang w:eastAsia="es-ES"/>
        </w:rPr>
        <w:t>da por la autoridad competente.</w:t>
      </w:r>
    </w:p>
    <w:p w14:paraId="2564BEC7" w14:textId="52840463" w:rsidR="00005B94" w:rsidRPr="00005B94" w:rsidRDefault="00005B94" w:rsidP="00F363E5">
      <w:pPr>
        <w:pStyle w:val="Prrafodelista"/>
        <w:numPr>
          <w:ilvl w:val="0"/>
          <w:numId w:val="33"/>
        </w:numPr>
        <w:spacing w:after="0"/>
        <w:rPr>
          <w:rFonts w:eastAsia="Times New Roman" w:cs="Tahoma"/>
          <w:bCs/>
          <w:lang w:eastAsia="es-ES"/>
        </w:rPr>
      </w:pPr>
      <w:r w:rsidRPr="00005B94">
        <w:rPr>
          <w:rFonts w:eastAsia="Times New Roman" w:cs="Tahoma"/>
          <w:bCs/>
          <w:lang w:eastAsia="es-ES"/>
        </w:rPr>
        <w:lastRenderedPageBreak/>
        <w:t>De acuerdo con lo establecido en el artículo 31 de la Ley Orgánica Municipal de Estado de México, así como en la fracción I del artículo 89 del Reglamento del Libro Quinto del Código Administrativo del Estado de México, le informo que los Ayuntamientos no cuentan con las facultades para autorizar subdivisiones de terrenos, por lo que la atribución de autorizar esta acción recae en la Secretaría de Desarrollo Urbano y Obra del Gobierno del Estado de México.</w:t>
      </w:r>
    </w:p>
    <w:p w14:paraId="57020F71" w14:textId="77777777" w:rsidR="0060238A" w:rsidRPr="00A2355B" w:rsidRDefault="0060238A" w:rsidP="00F363E5">
      <w:pPr>
        <w:pStyle w:val="Prrafodelista"/>
        <w:spacing w:after="0"/>
        <w:ind w:left="851"/>
        <w:rPr>
          <w:rFonts w:eastAsia="Times New Roman" w:cs="Tahoma"/>
          <w:bCs/>
          <w:iCs/>
          <w:lang w:eastAsia="es-ES"/>
        </w:rPr>
      </w:pPr>
    </w:p>
    <w:p w14:paraId="21F292FF" w14:textId="77777777" w:rsidR="00D8203F" w:rsidRPr="00A2355B" w:rsidRDefault="00D8203F" w:rsidP="00F363E5">
      <w:pPr>
        <w:spacing w:after="0"/>
        <w:rPr>
          <w:b/>
          <w:bCs/>
        </w:rPr>
      </w:pPr>
      <w:r w:rsidRPr="00A2355B">
        <w:rPr>
          <w:b/>
          <w:bCs/>
        </w:rPr>
        <w:t xml:space="preserve">III. Interposición del Recurso de Revisión. </w:t>
      </w:r>
    </w:p>
    <w:p w14:paraId="71FE0651" w14:textId="77777777" w:rsidR="00D8203F" w:rsidRPr="00A2355B" w:rsidRDefault="00D8203F" w:rsidP="00F363E5">
      <w:pPr>
        <w:spacing w:after="0"/>
        <w:rPr>
          <w:b/>
          <w:bCs/>
        </w:rPr>
      </w:pPr>
    </w:p>
    <w:p w14:paraId="50A5C5F1" w14:textId="1B4EB6E0" w:rsidR="00005B94" w:rsidRDefault="004E0763" w:rsidP="00F363E5">
      <w:pPr>
        <w:spacing w:after="0"/>
        <w:rPr>
          <w:rFonts w:cs="Tahoma"/>
          <w:lang w:val="es-ES"/>
        </w:rPr>
      </w:pPr>
      <w:r>
        <w:rPr>
          <w:rFonts w:eastAsia="Times New Roman" w:cs="Tahoma"/>
          <w:color w:val="auto"/>
          <w:lang w:eastAsia="es-ES"/>
        </w:rPr>
        <w:t xml:space="preserve">Con fecha </w:t>
      </w:r>
      <w:r w:rsidR="00005B94">
        <w:rPr>
          <w:rFonts w:eastAsia="Times New Roman" w:cs="Tahoma"/>
          <w:color w:val="auto"/>
          <w:lang w:eastAsia="es-ES"/>
        </w:rPr>
        <w:t>veintiuno de enero de dos mil veintidós</w:t>
      </w:r>
      <w:r w:rsidR="007B0411" w:rsidRPr="00A2355B">
        <w:rPr>
          <w:rFonts w:eastAsia="Times New Roman" w:cs="Tahoma"/>
          <w:color w:val="auto"/>
          <w:lang w:eastAsia="es-ES"/>
        </w:rPr>
        <w:t xml:space="preserve">, </w:t>
      </w:r>
      <w:r w:rsidR="00BD08C5" w:rsidRPr="00A2355B">
        <w:t xml:space="preserve">se </w:t>
      </w:r>
      <w:r w:rsidR="00CA1B00" w:rsidRPr="00A2355B">
        <w:t>tuvo por recibido</w:t>
      </w:r>
      <w:r w:rsidR="00BD08C5" w:rsidRPr="00A2355B">
        <w:t xml:space="preserve"> en este Instituto, a través del Sistema</w:t>
      </w:r>
      <w:r w:rsidR="00BD08C5" w:rsidRPr="00A2355B">
        <w:rPr>
          <w:lang w:val="es-ES"/>
        </w:rPr>
        <w:t xml:space="preserve"> de Acceso a la Información Mexiquense (SAIMEX)</w:t>
      </w:r>
      <w:r w:rsidR="00005B94">
        <w:t>, los</w:t>
      </w:r>
      <w:r w:rsidR="00BD08C5" w:rsidRPr="00A2355B">
        <w:t xml:space="preserve"> Recurso</w:t>
      </w:r>
      <w:r w:rsidR="00005B94">
        <w:t>s</w:t>
      </w:r>
      <w:r w:rsidR="00BD08C5" w:rsidRPr="00A2355B">
        <w:t xml:space="preserve"> de Revisión interpuesto</w:t>
      </w:r>
      <w:r w:rsidR="00005B94">
        <w:t>s</w:t>
      </w:r>
      <w:r w:rsidR="00BD08C5" w:rsidRPr="00A2355B">
        <w:t xml:space="preserve"> por la parte Recurrente</w:t>
      </w:r>
      <w:r w:rsidR="007B0411" w:rsidRPr="00A2355B">
        <w:rPr>
          <w:rFonts w:eastAsia="Batang" w:cs="Tahoma"/>
          <w:color w:val="auto"/>
          <w:lang w:val="es-ES" w:eastAsia="es-ES"/>
        </w:rPr>
        <w:t>,</w:t>
      </w:r>
      <w:r w:rsidR="00BD08C5" w:rsidRPr="00A2355B">
        <w:rPr>
          <w:rFonts w:eastAsia="Batang" w:cs="Tahoma"/>
          <w:color w:val="auto"/>
          <w:lang w:val="es-ES" w:eastAsia="es-ES"/>
        </w:rPr>
        <w:t xml:space="preserve"> </w:t>
      </w:r>
      <w:r w:rsidR="00BD08C5" w:rsidRPr="00A2355B">
        <w:t>en contra de la respuesta del Sujeto Obligado</w:t>
      </w:r>
      <w:r w:rsidR="00454109">
        <w:t xml:space="preserve">, </w:t>
      </w:r>
      <w:r w:rsidR="00BD08C5" w:rsidRPr="00A2355B">
        <w:rPr>
          <w:rFonts w:cs="Tahoma"/>
          <w:lang w:val="es-ES"/>
        </w:rPr>
        <w:t xml:space="preserve">en </w:t>
      </w:r>
      <w:r w:rsidR="00005B94">
        <w:rPr>
          <w:rFonts w:cs="Tahoma"/>
          <w:lang w:val="es-ES"/>
        </w:rPr>
        <w:t xml:space="preserve">idénticos términos en ambas solicitudes de información, al tenor de lo siguiente: </w:t>
      </w:r>
    </w:p>
    <w:p w14:paraId="41BB1061" w14:textId="77777777" w:rsidR="00A946F3" w:rsidRDefault="00A946F3" w:rsidP="00F363E5">
      <w:pPr>
        <w:spacing w:after="0"/>
        <w:rPr>
          <w:rFonts w:cs="Tahoma"/>
          <w:lang w:val="es-ES"/>
        </w:rPr>
      </w:pPr>
    </w:p>
    <w:p w14:paraId="2833A950" w14:textId="1CE2BEB6" w:rsidR="00D8203F" w:rsidRPr="00A2355B" w:rsidRDefault="00A946F3" w:rsidP="00F363E5">
      <w:pPr>
        <w:spacing w:after="0"/>
        <w:ind w:left="567" w:right="567"/>
        <w:rPr>
          <w:bCs/>
          <w:i/>
          <w:sz w:val="20"/>
          <w:szCs w:val="20"/>
        </w:rPr>
      </w:pPr>
      <w:r w:rsidRPr="00A2355B">
        <w:rPr>
          <w:b/>
          <w:bCs/>
          <w:i/>
          <w:sz w:val="20"/>
          <w:szCs w:val="20"/>
        </w:rPr>
        <w:t xml:space="preserve"> </w:t>
      </w:r>
      <w:r w:rsidR="00D8203F" w:rsidRPr="00A2355B">
        <w:rPr>
          <w:b/>
          <w:bCs/>
          <w:i/>
          <w:sz w:val="20"/>
          <w:szCs w:val="20"/>
        </w:rPr>
        <w:t>“ACTO IMPUGNADO</w:t>
      </w:r>
    </w:p>
    <w:p w14:paraId="60F31DEE" w14:textId="04B8DD8C" w:rsidR="00D8203F" w:rsidRPr="00A2355B" w:rsidRDefault="00005B94" w:rsidP="00F363E5">
      <w:pPr>
        <w:spacing w:after="0"/>
        <w:ind w:left="567" w:right="567"/>
        <w:rPr>
          <w:i/>
          <w:sz w:val="20"/>
          <w:szCs w:val="20"/>
        </w:rPr>
      </w:pPr>
      <w:r w:rsidRPr="00005B94">
        <w:rPr>
          <w:i/>
          <w:sz w:val="20"/>
          <w:szCs w:val="20"/>
        </w:rPr>
        <w:t>Impugno la respuesta emitida por parte del sujeto obligado ya que no atiende concretamente los requerimientos hechos, es decir, una pregunta concreta merece una respuesta concreta, por lo que no se atienden los puntos.</w:t>
      </w:r>
      <w:r w:rsidR="00D8203F" w:rsidRPr="00A2355B">
        <w:rPr>
          <w:i/>
          <w:sz w:val="20"/>
          <w:szCs w:val="20"/>
        </w:rPr>
        <w:t>” (Sic.)</w:t>
      </w:r>
    </w:p>
    <w:p w14:paraId="69D01251" w14:textId="77777777" w:rsidR="00D8203F" w:rsidRPr="00A2355B" w:rsidRDefault="00D8203F" w:rsidP="00F363E5">
      <w:pPr>
        <w:spacing w:after="0"/>
        <w:ind w:left="567" w:right="567"/>
        <w:rPr>
          <w:i/>
          <w:sz w:val="20"/>
          <w:szCs w:val="20"/>
        </w:rPr>
      </w:pPr>
    </w:p>
    <w:p w14:paraId="46664227" w14:textId="61AAD6B7" w:rsidR="00BD08C5" w:rsidRPr="00A2355B" w:rsidRDefault="00D8203F" w:rsidP="00F363E5">
      <w:pPr>
        <w:spacing w:after="0"/>
        <w:ind w:left="567" w:right="567"/>
        <w:rPr>
          <w:b/>
          <w:i/>
          <w:sz w:val="20"/>
          <w:szCs w:val="20"/>
        </w:rPr>
      </w:pPr>
      <w:r w:rsidRPr="00A2355B">
        <w:rPr>
          <w:b/>
          <w:i/>
          <w:sz w:val="20"/>
          <w:szCs w:val="20"/>
        </w:rPr>
        <w:t>“RAZONES O MOTIVOS DE LA INCONFORMIDAD</w:t>
      </w:r>
    </w:p>
    <w:p w14:paraId="4DE18E01" w14:textId="7BBC39C6" w:rsidR="00D8203F" w:rsidRDefault="00005B94" w:rsidP="00F363E5">
      <w:pPr>
        <w:spacing w:after="0"/>
        <w:ind w:left="567" w:right="567"/>
        <w:rPr>
          <w:i/>
          <w:sz w:val="20"/>
          <w:szCs w:val="20"/>
        </w:rPr>
      </w:pPr>
      <w:r>
        <w:rPr>
          <w:i/>
          <w:sz w:val="20"/>
          <w:szCs w:val="20"/>
        </w:rPr>
        <w:t>I</w:t>
      </w:r>
      <w:r w:rsidRPr="00005B94">
        <w:rPr>
          <w:i/>
          <w:sz w:val="20"/>
          <w:szCs w:val="20"/>
        </w:rPr>
        <w:t>mpugno la respuesta emitida por parte del sujeto obligado ya que no atiende concretamente los requerimientos hechos, es decir, una pregunta concreta merece una respuesta concreta, por lo que no se atienden los puntos.</w:t>
      </w:r>
      <w:r w:rsidR="004E0763" w:rsidRPr="00A2355B">
        <w:rPr>
          <w:i/>
          <w:sz w:val="20"/>
          <w:szCs w:val="20"/>
        </w:rPr>
        <w:t>”</w:t>
      </w:r>
      <w:r w:rsidR="00D8203F" w:rsidRPr="00A2355B">
        <w:rPr>
          <w:i/>
          <w:sz w:val="20"/>
          <w:szCs w:val="20"/>
        </w:rPr>
        <w:t xml:space="preserve"> (Sic.)</w:t>
      </w:r>
    </w:p>
    <w:p w14:paraId="356C4E3B" w14:textId="77777777" w:rsidR="00005B94" w:rsidRDefault="00005B94" w:rsidP="00F363E5">
      <w:pPr>
        <w:spacing w:after="0"/>
        <w:ind w:left="567" w:right="567"/>
        <w:rPr>
          <w:i/>
          <w:sz w:val="20"/>
          <w:szCs w:val="20"/>
        </w:rPr>
      </w:pPr>
    </w:p>
    <w:p w14:paraId="7CC18348" w14:textId="77777777" w:rsidR="00D8203F" w:rsidRPr="00A2355B" w:rsidRDefault="00D8203F" w:rsidP="00F363E5">
      <w:pPr>
        <w:spacing w:after="0"/>
        <w:rPr>
          <w:b/>
          <w:bCs/>
        </w:rPr>
      </w:pPr>
      <w:r w:rsidRPr="00A2355B">
        <w:rPr>
          <w:b/>
          <w:bCs/>
        </w:rPr>
        <w:t>IV. Trámite del Recurso de Revisión ante el Instituto.</w:t>
      </w:r>
    </w:p>
    <w:p w14:paraId="26D65406" w14:textId="77777777" w:rsidR="00D8203F" w:rsidRPr="00A2355B" w:rsidRDefault="00D8203F" w:rsidP="00F363E5">
      <w:pPr>
        <w:spacing w:after="0"/>
      </w:pPr>
    </w:p>
    <w:p w14:paraId="07622F31" w14:textId="4D2B2E54" w:rsidR="00D8203F" w:rsidRPr="00A2355B" w:rsidRDefault="00D8203F" w:rsidP="00F363E5">
      <w:pPr>
        <w:spacing w:after="0"/>
        <w:rPr>
          <w:rFonts w:eastAsia="Batang" w:cs="Tahoma"/>
          <w:bCs/>
          <w:lang w:eastAsia="es-ES"/>
        </w:rPr>
      </w:pPr>
      <w:r w:rsidRPr="00A2355B">
        <w:rPr>
          <w:b/>
          <w:bCs/>
        </w:rPr>
        <w:lastRenderedPageBreak/>
        <w:t xml:space="preserve">a) Turno del Recurso de Revisión. </w:t>
      </w:r>
      <w:r w:rsidRPr="00A2355B">
        <w:t xml:space="preserve">El </w:t>
      </w:r>
      <w:r w:rsidR="00A946F3">
        <w:t xml:space="preserve">veintiuno de enero </w:t>
      </w:r>
      <w:r w:rsidRPr="00A2355B">
        <w:t xml:space="preserve"> de dos mil </w:t>
      </w:r>
      <w:r w:rsidR="00A946F3">
        <w:t>veintidós</w:t>
      </w:r>
      <w:r w:rsidRPr="00A2355B">
        <w:rPr>
          <w:rFonts w:eastAsia="Batang" w:cs="Tahoma"/>
          <w:bCs/>
          <w:lang w:eastAsia="es-ES"/>
        </w:rPr>
        <w:t xml:space="preserve">, el </w:t>
      </w:r>
      <w:r w:rsidRPr="00A2355B">
        <w:rPr>
          <w:rFonts w:eastAsia="Times New Roman" w:cs="Tahoma"/>
          <w:lang w:val="es-ES" w:eastAsia="es-ES"/>
        </w:rPr>
        <w:t>Sistema de Acceso a la Información Mexiquense (SAIMEX),</w:t>
      </w:r>
      <w:r w:rsidR="00A946F3">
        <w:rPr>
          <w:rFonts w:eastAsia="Batang" w:cs="Tahoma"/>
          <w:bCs/>
          <w:lang w:eastAsia="es-ES"/>
        </w:rPr>
        <w:t xml:space="preserve"> asignó los</w:t>
      </w:r>
      <w:r w:rsidRPr="00A2355B">
        <w:rPr>
          <w:rFonts w:eastAsia="Batang" w:cs="Tahoma"/>
          <w:bCs/>
          <w:lang w:eastAsia="es-ES"/>
        </w:rPr>
        <w:t xml:space="preserve"> número</w:t>
      </w:r>
      <w:r w:rsidR="00A946F3">
        <w:rPr>
          <w:rFonts w:eastAsia="Batang" w:cs="Tahoma"/>
          <w:bCs/>
          <w:lang w:eastAsia="es-ES"/>
        </w:rPr>
        <w:t>s</w:t>
      </w:r>
      <w:r w:rsidRPr="00A2355B">
        <w:rPr>
          <w:rFonts w:eastAsia="Batang" w:cs="Tahoma"/>
          <w:bCs/>
          <w:lang w:eastAsia="es-ES"/>
        </w:rPr>
        <w:t xml:space="preserve"> de expediente </w:t>
      </w:r>
      <w:r w:rsidR="00A946F3">
        <w:rPr>
          <w:rFonts w:eastAsia="Batang" w:cs="Tahoma"/>
          <w:b/>
          <w:bCs/>
          <w:lang w:eastAsia="es-ES"/>
        </w:rPr>
        <w:t>00226/INFOEM/IP/RR/2022 y 00227</w:t>
      </w:r>
      <w:r w:rsidR="00A946F3" w:rsidRPr="00A946F3">
        <w:rPr>
          <w:rFonts w:eastAsia="Batang" w:cs="Tahoma"/>
          <w:b/>
          <w:bCs/>
          <w:lang w:eastAsia="es-ES"/>
        </w:rPr>
        <w:t>/INFOEM/IP/RR/2022</w:t>
      </w:r>
      <w:r w:rsidR="00A946F3">
        <w:rPr>
          <w:rFonts w:eastAsia="Batang" w:cs="Tahoma"/>
          <w:bCs/>
          <w:lang w:eastAsia="es-ES"/>
        </w:rPr>
        <w:t>, a los</w:t>
      </w:r>
      <w:r w:rsidRPr="00A2355B">
        <w:rPr>
          <w:rFonts w:eastAsia="Batang" w:cs="Tahoma"/>
          <w:bCs/>
          <w:lang w:eastAsia="es-ES"/>
        </w:rPr>
        <w:t xml:space="preserve"> medio</w:t>
      </w:r>
      <w:r w:rsidR="00A946F3">
        <w:rPr>
          <w:rFonts w:eastAsia="Batang" w:cs="Tahoma"/>
          <w:bCs/>
          <w:lang w:eastAsia="es-ES"/>
        </w:rPr>
        <w:t>s</w:t>
      </w:r>
      <w:r w:rsidRPr="00A2355B">
        <w:rPr>
          <w:rFonts w:eastAsia="Batang" w:cs="Tahoma"/>
          <w:bCs/>
          <w:lang w:eastAsia="es-ES"/>
        </w:rPr>
        <w:t xml:space="preserve"> de impugnación que nos ocupa</w:t>
      </w:r>
      <w:r w:rsidR="00A946F3">
        <w:rPr>
          <w:rFonts w:eastAsia="Batang" w:cs="Tahoma"/>
          <w:bCs/>
          <w:lang w:eastAsia="es-ES"/>
        </w:rPr>
        <w:t>n,</w:t>
      </w:r>
      <w:r w:rsidRPr="00A2355B">
        <w:rPr>
          <w:rFonts w:eastAsia="Batang" w:cs="Tahoma"/>
          <w:bCs/>
          <w:lang w:eastAsia="es-ES"/>
        </w:rPr>
        <w:t xml:space="preserve"> con base en el sistema aprobado por el Pleno de este Órgano Garante y lo</w:t>
      </w:r>
      <w:r w:rsidR="00A946F3">
        <w:rPr>
          <w:rFonts w:eastAsia="Batang" w:cs="Tahoma"/>
          <w:bCs/>
          <w:lang w:eastAsia="es-ES"/>
        </w:rPr>
        <w:t>s</w:t>
      </w:r>
      <w:r w:rsidRPr="00A2355B">
        <w:rPr>
          <w:rFonts w:eastAsia="Batang" w:cs="Tahoma"/>
          <w:bCs/>
          <w:lang w:eastAsia="es-ES"/>
        </w:rPr>
        <w:t xml:space="preserve"> turnó al Comisionado Ponente Luis Gustavo Parra Noriega, para los efectos del artículo 185, fracción I de la Ley de Transparencia y Acceso a la Información Pública del Estado de México y Municipios.</w:t>
      </w:r>
    </w:p>
    <w:p w14:paraId="5CB92970" w14:textId="77777777" w:rsidR="00D8203F" w:rsidRPr="00A2355B" w:rsidRDefault="00D8203F" w:rsidP="00F363E5">
      <w:pPr>
        <w:spacing w:after="0"/>
        <w:rPr>
          <w:rFonts w:eastAsia="Batang" w:cs="Tahoma"/>
          <w:bCs/>
          <w:lang w:eastAsia="es-ES"/>
        </w:rPr>
      </w:pPr>
    </w:p>
    <w:p w14:paraId="4677A832" w14:textId="7F9BD4C7" w:rsidR="00D8203F" w:rsidRDefault="00D8203F" w:rsidP="00F363E5">
      <w:pPr>
        <w:spacing w:after="0"/>
        <w:rPr>
          <w:rFonts w:eastAsia="Batang" w:cs="Tahoma"/>
          <w:bCs/>
          <w:lang w:val="es-ES_tradnl" w:eastAsia="es-ES"/>
        </w:rPr>
      </w:pPr>
      <w:r w:rsidRPr="00A2355B">
        <w:rPr>
          <w:rFonts w:eastAsia="Batang" w:cs="Tahoma"/>
          <w:b/>
          <w:bCs/>
          <w:lang w:eastAsia="es-ES"/>
        </w:rPr>
        <w:t xml:space="preserve">b) Admisión del </w:t>
      </w:r>
      <w:r w:rsidRPr="00A2355B">
        <w:rPr>
          <w:rFonts w:eastAsia="Times New Roman" w:cs="Tahoma"/>
          <w:b/>
          <w:lang w:eastAsia="es-ES"/>
        </w:rPr>
        <w:t>Recurso de Revisión</w:t>
      </w:r>
      <w:r w:rsidRPr="00A2355B">
        <w:rPr>
          <w:rFonts w:eastAsia="Batang" w:cs="Tahoma"/>
          <w:b/>
          <w:bCs/>
          <w:lang w:val="es-ES_tradnl" w:eastAsia="es-ES"/>
        </w:rPr>
        <w:t xml:space="preserve">. </w:t>
      </w:r>
      <w:r w:rsidRPr="00A2355B">
        <w:rPr>
          <w:rFonts w:eastAsia="Batang" w:cs="Tahoma"/>
          <w:bCs/>
          <w:lang w:eastAsia="es-ES"/>
        </w:rPr>
        <w:t xml:space="preserve">El </w:t>
      </w:r>
      <w:r w:rsidR="00A946F3">
        <w:rPr>
          <w:rFonts w:eastAsia="Batang" w:cs="Tahoma"/>
          <w:bCs/>
          <w:lang w:eastAsia="es-ES"/>
        </w:rPr>
        <w:t>veintiséis</w:t>
      </w:r>
      <w:r w:rsidR="004E0763">
        <w:rPr>
          <w:rFonts w:eastAsia="Batang" w:cs="Tahoma"/>
          <w:bCs/>
          <w:lang w:eastAsia="es-ES"/>
        </w:rPr>
        <w:t xml:space="preserve"> de enero </w:t>
      </w:r>
      <w:r w:rsidR="00A946F3">
        <w:rPr>
          <w:rFonts w:eastAsia="Batang" w:cs="Tahoma"/>
          <w:bCs/>
          <w:lang w:eastAsia="es-ES"/>
        </w:rPr>
        <w:t xml:space="preserve"> de dos mil veintidós</w:t>
      </w:r>
      <w:r w:rsidR="00A946F3">
        <w:rPr>
          <w:rFonts w:eastAsia="Batang" w:cs="Tahoma"/>
          <w:bCs/>
          <w:lang w:val="es-ES_tradnl" w:eastAsia="es-ES"/>
        </w:rPr>
        <w:t>, se acordó la admisión de ambos</w:t>
      </w:r>
      <w:r w:rsidRPr="00A2355B">
        <w:rPr>
          <w:rFonts w:eastAsia="Batang" w:cs="Tahoma"/>
          <w:bCs/>
          <w:lang w:val="es-ES_tradnl" w:eastAsia="es-ES"/>
        </w:rPr>
        <w:t xml:space="preserve"> Recurso</w:t>
      </w:r>
      <w:r w:rsidR="00A946F3">
        <w:rPr>
          <w:rFonts w:eastAsia="Batang" w:cs="Tahoma"/>
          <w:bCs/>
          <w:lang w:val="es-ES_tradnl" w:eastAsia="es-ES"/>
        </w:rPr>
        <w:t>s</w:t>
      </w:r>
      <w:r w:rsidRPr="00A2355B">
        <w:rPr>
          <w:rFonts w:eastAsia="Batang" w:cs="Tahoma"/>
          <w:bCs/>
          <w:lang w:val="es-ES_tradnl" w:eastAsia="es-ES"/>
        </w:rPr>
        <w:t xml:space="preserve"> de Revisión interpuesto</w:t>
      </w:r>
      <w:r w:rsidR="00A946F3">
        <w:rPr>
          <w:rFonts w:eastAsia="Batang" w:cs="Tahoma"/>
          <w:bCs/>
          <w:lang w:val="es-ES_tradnl" w:eastAsia="es-ES"/>
        </w:rPr>
        <w:t>s</w:t>
      </w:r>
      <w:r w:rsidRPr="00A2355B">
        <w:rPr>
          <w:rFonts w:eastAsia="Batang" w:cs="Tahoma"/>
          <w:bCs/>
          <w:lang w:val="es-ES_tradnl" w:eastAsia="es-ES"/>
        </w:rPr>
        <w:t xml:space="preserve"> por el Recurrente en contra del Sujeto Obligado, en términos del artículo 185, fracciones I y II de la Ley de Transparencia y Acceso a la Información Pública del E</w:t>
      </w:r>
      <w:r w:rsidR="00A946F3">
        <w:rPr>
          <w:rFonts w:eastAsia="Batang" w:cs="Tahoma"/>
          <w:bCs/>
          <w:lang w:val="es-ES_tradnl" w:eastAsia="es-ES"/>
        </w:rPr>
        <w:t>stado de México y Municipios, lo</w:t>
      </w:r>
      <w:r w:rsidRPr="00A2355B">
        <w:rPr>
          <w:rFonts w:eastAsia="Batang" w:cs="Tahoma"/>
          <w:bCs/>
          <w:lang w:val="es-ES_tradnl" w:eastAsia="es-ES"/>
        </w:rPr>
        <w:t xml:space="preserve">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83EC57D" w14:textId="77777777" w:rsidR="00A946F3" w:rsidRDefault="00A946F3" w:rsidP="00F363E5">
      <w:pPr>
        <w:spacing w:after="0"/>
        <w:rPr>
          <w:rFonts w:eastAsia="Batang" w:cs="Tahoma"/>
          <w:bCs/>
          <w:lang w:val="es-ES_tradnl" w:eastAsia="es-ES"/>
        </w:rPr>
      </w:pPr>
    </w:p>
    <w:p w14:paraId="1020D496" w14:textId="05CF2BF9" w:rsidR="00A946F3" w:rsidRPr="00A946F3" w:rsidRDefault="00A946F3" w:rsidP="00F363E5">
      <w:pPr>
        <w:spacing w:after="0"/>
        <w:rPr>
          <w:rFonts w:eastAsia="Batang" w:cs="Tahoma"/>
          <w:bCs/>
          <w:color w:val="auto"/>
          <w:lang w:val="es-ES_tradnl" w:eastAsia="es-ES"/>
        </w:rPr>
      </w:pPr>
      <w:r w:rsidRPr="00A946F3">
        <w:rPr>
          <w:rFonts w:eastAsia="Batang" w:cs="Tahoma"/>
          <w:b/>
          <w:bCs/>
          <w:color w:val="auto"/>
          <w:lang w:val="es-ES_tradnl" w:eastAsia="es-ES"/>
        </w:rPr>
        <w:t>c) Acumulación</w:t>
      </w:r>
      <w:r>
        <w:rPr>
          <w:rFonts w:eastAsia="Batang" w:cs="Tahoma"/>
          <w:bCs/>
          <w:color w:val="auto"/>
          <w:lang w:val="es-ES_tradnl" w:eastAsia="es-ES"/>
        </w:rPr>
        <w:t xml:space="preserve"> En su</w:t>
      </w:r>
      <w:r w:rsidRPr="00A946F3">
        <w:rPr>
          <w:rFonts w:eastAsia="Batang" w:cs="Tahoma"/>
          <w:bCs/>
          <w:color w:val="auto"/>
          <w:lang w:val="es-ES_tradnl" w:eastAsia="es-ES"/>
        </w:rPr>
        <w:t xml:space="preserve"> Cuarta Sesión Ordinaria, celebrada el cuatro de febrero de dos mil veintidós, el Pleno de este Instituto decretó la acumulación de</w:t>
      </w:r>
      <w:r>
        <w:rPr>
          <w:rFonts w:eastAsia="Batang" w:cs="Tahoma"/>
          <w:bCs/>
          <w:color w:val="auto"/>
          <w:lang w:val="es-ES_tradnl" w:eastAsia="es-ES"/>
        </w:rPr>
        <w:t>l recurso</w:t>
      </w:r>
      <w:r w:rsidRPr="00A946F3">
        <w:rPr>
          <w:rFonts w:eastAsia="Batang" w:cs="Tahoma"/>
          <w:bCs/>
          <w:color w:val="auto"/>
          <w:lang w:val="es-ES_tradnl" w:eastAsia="es-ES"/>
        </w:rPr>
        <w:t xml:space="preserve"> </w:t>
      </w:r>
      <w:r>
        <w:rPr>
          <w:rFonts w:eastAsia="Batang" w:cs="Tahoma"/>
          <w:bCs/>
          <w:color w:val="auto"/>
          <w:lang w:val="es-ES_tradnl" w:eastAsia="es-ES"/>
        </w:rPr>
        <w:t xml:space="preserve">00227/INFOEM/IP/RR/2022 </w:t>
      </w:r>
      <w:r w:rsidRPr="00A946F3">
        <w:rPr>
          <w:rFonts w:eastAsia="Batang" w:cs="Tahoma"/>
          <w:bCs/>
          <w:color w:val="auto"/>
          <w:lang w:val="es-ES_tradnl" w:eastAsia="es-ES"/>
        </w:rPr>
        <w:t xml:space="preserve">al </w:t>
      </w:r>
      <w:proofErr w:type="gramStart"/>
      <w:r w:rsidRPr="00A946F3">
        <w:rPr>
          <w:rFonts w:eastAsia="Batang" w:cs="Tahoma"/>
          <w:bCs/>
          <w:color w:val="auto"/>
          <w:lang w:val="es-ES_tradnl" w:eastAsia="es-ES"/>
        </w:rPr>
        <w:t>diverso  0</w:t>
      </w:r>
      <w:r>
        <w:rPr>
          <w:rFonts w:eastAsia="Batang" w:cs="Tahoma"/>
          <w:bCs/>
          <w:color w:val="auto"/>
          <w:lang w:val="es-ES_tradnl" w:eastAsia="es-ES"/>
        </w:rPr>
        <w:t>0</w:t>
      </w:r>
      <w:r w:rsidRPr="00A946F3">
        <w:rPr>
          <w:rFonts w:eastAsia="Batang" w:cs="Tahoma"/>
          <w:bCs/>
          <w:color w:val="auto"/>
          <w:lang w:val="es-ES_tradnl" w:eastAsia="es-ES"/>
        </w:rPr>
        <w:t>226</w:t>
      </w:r>
      <w:proofErr w:type="gramEnd"/>
      <w:r w:rsidRPr="00A946F3">
        <w:rPr>
          <w:rFonts w:eastAsia="Batang" w:cs="Tahoma"/>
          <w:bCs/>
          <w:color w:val="auto"/>
          <w:lang w:val="es-ES_tradnl" w:eastAsia="es-ES"/>
        </w:rPr>
        <w:t>/INFOEM/IP/RR/2022, por ser éste último el más antiguo, sustanciado bajo el índice de esta ponencia, con fundamento en el artículo 18 del Código de Procedimientos Administrativos del Estado de México.</w:t>
      </w:r>
    </w:p>
    <w:p w14:paraId="3B2B152B" w14:textId="77777777" w:rsidR="00A946F3" w:rsidRDefault="00A946F3" w:rsidP="00F363E5">
      <w:pPr>
        <w:spacing w:after="0"/>
        <w:rPr>
          <w:rFonts w:eastAsia="Batang" w:cs="Tahoma"/>
          <w:bCs/>
          <w:lang w:val="es-ES_tradnl" w:eastAsia="es-ES"/>
        </w:rPr>
      </w:pPr>
    </w:p>
    <w:p w14:paraId="1578090F" w14:textId="6EBC5229" w:rsidR="00C44AF0" w:rsidRPr="00AD1619" w:rsidRDefault="00AD1619" w:rsidP="00F363E5">
      <w:pPr>
        <w:spacing w:after="0"/>
        <w:rPr>
          <w:rFonts w:eastAsia="Times New Roman" w:cs="Tahoma"/>
          <w:bCs/>
          <w:iCs/>
          <w:lang w:eastAsia="es-ES"/>
        </w:rPr>
      </w:pPr>
      <w:r>
        <w:rPr>
          <w:rFonts w:eastAsia="Times New Roman" w:cs="Tahoma"/>
          <w:b/>
          <w:lang w:eastAsia="es-ES"/>
        </w:rPr>
        <w:t>d</w:t>
      </w:r>
      <w:r w:rsidR="00D8203F" w:rsidRPr="00AD1619">
        <w:rPr>
          <w:rFonts w:eastAsia="Times New Roman" w:cs="Tahoma"/>
          <w:b/>
          <w:lang w:eastAsia="es-ES"/>
        </w:rPr>
        <w:t>)</w:t>
      </w:r>
      <w:r w:rsidR="00D8203F" w:rsidRPr="00AD1619">
        <w:rPr>
          <w:rFonts w:eastAsia="Times New Roman" w:cs="Tahoma"/>
          <w:lang w:val="es-ES_tradnl" w:eastAsia="es-ES"/>
        </w:rPr>
        <w:t xml:space="preserve"> </w:t>
      </w:r>
      <w:r w:rsidR="00D8203F" w:rsidRPr="00AD1619">
        <w:rPr>
          <w:rFonts w:eastAsia="Times New Roman" w:cs="Tahoma"/>
          <w:b/>
          <w:lang w:val="es-ES_tradnl" w:eastAsia="es-ES"/>
        </w:rPr>
        <w:t xml:space="preserve">Informe Justificado. </w:t>
      </w:r>
      <w:r w:rsidR="00C44AF0" w:rsidRPr="00AD1619">
        <w:rPr>
          <w:rFonts w:eastAsia="Times New Roman" w:cs="Tahoma"/>
          <w:bCs/>
          <w:lang w:val="es-ES_tradnl" w:eastAsia="es-ES"/>
        </w:rPr>
        <w:t xml:space="preserve">El </w:t>
      </w:r>
      <w:r w:rsidR="00A946F3" w:rsidRPr="00AD1619">
        <w:rPr>
          <w:rFonts w:eastAsia="Times New Roman" w:cs="Tahoma"/>
          <w:bCs/>
          <w:lang w:val="es-ES_tradnl" w:eastAsia="es-ES"/>
        </w:rPr>
        <w:t xml:space="preserve">veintitrés de febrero </w:t>
      </w:r>
      <w:r w:rsidR="007851A6" w:rsidRPr="00AD1619">
        <w:rPr>
          <w:rFonts w:eastAsia="Times New Roman" w:cs="Tahoma"/>
          <w:bCs/>
          <w:lang w:val="es-ES_tradnl" w:eastAsia="es-ES"/>
        </w:rPr>
        <w:t>de dos mil veintidós</w:t>
      </w:r>
      <w:r w:rsidR="00396975" w:rsidRPr="00AD1619">
        <w:rPr>
          <w:rFonts w:eastAsia="Times New Roman" w:cs="Tahoma"/>
          <w:lang w:val="es-ES_tradnl" w:eastAsia="es-ES"/>
        </w:rPr>
        <w:t>, se recibieron</w:t>
      </w:r>
      <w:r w:rsidR="00D8203F" w:rsidRPr="00AD1619">
        <w:rPr>
          <w:rFonts w:eastAsia="Times New Roman" w:cs="Tahoma"/>
          <w:lang w:val="es-ES_tradnl" w:eastAsia="es-ES"/>
        </w:rPr>
        <w:t xml:space="preserve">, a través del </w:t>
      </w:r>
      <w:r w:rsidR="00D8203F" w:rsidRPr="00AD1619">
        <w:rPr>
          <w:rFonts w:eastAsia="Times New Roman" w:cs="Tahoma"/>
          <w:lang w:val="es-ES" w:eastAsia="es-ES"/>
        </w:rPr>
        <w:t>Sistema de Acceso a la Información Mexiquense (SAIMEX)</w:t>
      </w:r>
      <w:r w:rsidR="00D8203F" w:rsidRPr="00AD1619">
        <w:rPr>
          <w:rFonts w:eastAsia="Times New Roman" w:cs="Tahoma"/>
          <w:lang w:val="es-ES_tradnl" w:eastAsia="es-ES"/>
        </w:rPr>
        <w:t xml:space="preserve">, </w:t>
      </w:r>
      <w:r w:rsidR="00A946F3" w:rsidRPr="00AD1619">
        <w:rPr>
          <w:rFonts w:eastAsia="Times New Roman" w:cs="Tahoma"/>
          <w:bCs/>
          <w:iCs/>
          <w:lang w:val="es-ES" w:eastAsia="es-ES"/>
        </w:rPr>
        <w:t>los</w:t>
      </w:r>
      <w:r w:rsidR="00D8203F" w:rsidRPr="00AD1619">
        <w:rPr>
          <w:rFonts w:eastAsia="Times New Roman" w:cs="Tahoma"/>
          <w:bCs/>
          <w:iCs/>
          <w:lang w:val="es-ES" w:eastAsia="es-ES"/>
        </w:rPr>
        <w:t xml:space="preserve"> Informe</w:t>
      </w:r>
      <w:r w:rsidR="00A946F3" w:rsidRPr="00AD1619">
        <w:rPr>
          <w:rFonts w:eastAsia="Times New Roman" w:cs="Tahoma"/>
          <w:bCs/>
          <w:iCs/>
          <w:lang w:val="es-ES" w:eastAsia="es-ES"/>
        </w:rPr>
        <w:t>s</w:t>
      </w:r>
      <w:r w:rsidR="00D8203F" w:rsidRPr="00AD1619">
        <w:rPr>
          <w:rFonts w:eastAsia="Times New Roman" w:cs="Tahoma"/>
          <w:bCs/>
          <w:iCs/>
          <w:lang w:val="es-ES" w:eastAsia="es-ES"/>
        </w:rPr>
        <w:t xml:space="preserve"> Justificado</w:t>
      </w:r>
      <w:r w:rsidR="00A946F3" w:rsidRPr="00AD1619">
        <w:rPr>
          <w:rFonts w:eastAsia="Times New Roman" w:cs="Tahoma"/>
          <w:bCs/>
          <w:iCs/>
          <w:lang w:val="es-ES" w:eastAsia="es-ES"/>
        </w:rPr>
        <w:t>s</w:t>
      </w:r>
      <w:r w:rsidR="00D8203F" w:rsidRPr="00AD1619">
        <w:rPr>
          <w:rFonts w:eastAsia="Times New Roman" w:cs="Tahoma"/>
          <w:bCs/>
          <w:iCs/>
          <w:lang w:val="es-ES" w:eastAsia="es-ES"/>
        </w:rPr>
        <w:t xml:space="preserve"> </w:t>
      </w:r>
      <w:r w:rsidR="00D8203F" w:rsidRPr="00AD1619">
        <w:rPr>
          <w:rFonts w:eastAsia="Times New Roman" w:cs="Tahoma"/>
          <w:bCs/>
          <w:iCs/>
          <w:lang w:eastAsia="es-ES"/>
        </w:rPr>
        <w:t>interpuesto</w:t>
      </w:r>
      <w:r w:rsidRPr="00AD1619">
        <w:rPr>
          <w:rFonts w:eastAsia="Times New Roman" w:cs="Tahoma"/>
          <w:bCs/>
          <w:iCs/>
          <w:lang w:eastAsia="es-ES"/>
        </w:rPr>
        <w:t>s</w:t>
      </w:r>
      <w:r w:rsidR="00D8203F" w:rsidRPr="00AD1619">
        <w:rPr>
          <w:rFonts w:eastAsia="Times New Roman" w:cs="Tahoma"/>
          <w:bCs/>
          <w:iCs/>
          <w:lang w:eastAsia="es-ES"/>
        </w:rPr>
        <w:t xml:space="preserve"> por el Sujeto Obliga</w:t>
      </w:r>
      <w:r w:rsidR="00F66D38" w:rsidRPr="00AD1619">
        <w:rPr>
          <w:rFonts w:eastAsia="Times New Roman" w:cs="Tahoma"/>
          <w:bCs/>
          <w:iCs/>
          <w:lang w:eastAsia="es-ES"/>
        </w:rPr>
        <w:t>do, por medio de</w:t>
      </w:r>
      <w:r w:rsidR="004E0763" w:rsidRPr="00AD1619">
        <w:rPr>
          <w:rFonts w:eastAsia="Times New Roman" w:cs="Tahoma"/>
          <w:bCs/>
          <w:iCs/>
          <w:lang w:eastAsia="es-ES"/>
        </w:rPr>
        <w:t xml:space="preserve">l oficio </w:t>
      </w:r>
      <w:r w:rsidR="00353F3B" w:rsidRPr="00AD1619">
        <w:rPr>
          <w:rFonts w:eastAsia="Times New Roman" w:cs="Tahoma"/>
          <w:bCs/>
          <w:iCs/>
          <w:lang w:eastAsia="es-ES"/>
        </w:rPr>
        <w:t xml:space="preserve">207C0101050000L/079/2022 de </w:t>
      </w:r>
      <w:r w:rsidR="00353F3B" w:rsidRPr="00AD1619">
        <w:rPr>
          <w:rFonts w:eastAsia="Times New Roman" w:cs="Tahoma"/>
          <w:bCs/>
          <w:iCs/>
          <w:lang w:eastAsia="es-ES"/>
        </w:rPr>
        <w:lastRenderedPageBreak/>
        <w:t>veintiocho de enero de dos mil veintidós del Director de Catastro</w:t>
      </w:r>
      <w:r w:rsidR="006900B8" w:rsidRPr="00AD1619">
        <w:rPr>
          <w:rFonts w:eastAsia="Times New Roman" w:cs="Tahoma"/>
          <w:bCs/>
          <w:iCs/>
          <w:lang w:eastAsia="es-ES"/>
        </w:rPr>
        <w:t>, por med</w:t>
      </w:r>
      <w:r w:rsidR="00EC7552" w:rsidRPr="00AD1619">
        <w:rPr>
          <w:rFonts w:eastAsia="Times New Roman" w:cs="Tahoma"/>
          <w:bCs/>
          <w:iCs/>
          <w:lang w:eastAsia="es-ES"/>
        </w:rPr>
        <w:t xml:space="preserve">io </w:t>
      </w:r>
      <w:r w:rsidR="006900B8" w:rsidRPr="00AD1619">
        <w:rPr>
          <w:rFonts w:eastAsia="Times New Roman" w:cs="Tahoma"/>
          <w:bCs/>
          <w:iCs/>
          <w:lang w:eastAsia="es-ES"/>
        </w:rPr>
        <w:t xml:space="preserve">del cual </w:t>
      </w:r>
      <w:r w:rsidR="00353F3B" w:rsidRPr="00AD1619">
        <w:rPr>
          <w:rFonts w:eastAsia="Times New Roman" w:cs="Tahoma"/>
          <w:bCs/>
          <w:iCs/>
          <w:lang w:eastAsia="es-ES"/>
        </w:rPr>
        <w:t>r</w:t>
      </w:r>
      <w:r w:rsidR="00396975" w:rsidRPr="00AD1619">
        <w:rPr>
          <w:rFonts w:eastAsia="Times New Roman" w:cs="Tahoma"/>
          <w:bCs/>
          <w:iCs/>
          <w:lang w:eastAsia="es-ES"/>
        </w:rPr>
        <w:t>atifica su respuesta primigenia a ambas solicitudes de información de la siguiente forma:</w:t>
      </w:r>
    </w:p>
    <w:p w14:paraId="1652618B" w14:textId="7174D561" w:rsidR="006900B8" w:rsidRPr="00AD1619" w:rsidRDefault="006900B8" w:rsidP="00F363E5">
      <w:pPr>
        <w:spacing w:after="0"/>
        <w:rPr>
          <w:rFonts w:eastAsia="Times New Roman" w:cs="Tahoma"/>
          <w:bCs/>
          <w:iCs/>
          <w:lang w:eastAsia="es-ES"/>
        </w:rPr>
      </w:pPr>
    </w:p>
    <w:p w14:paraId="0CE308A9" w14:textId="609F5376" w:rsidR="004E0763" w:rsidRPr="00AD1619" w:rsidRDefault="006900B8" w:rsidP="00F363E5">
      <w:pPr>
        <w:spacing w:after="0"/>
        <w:ind w:left="567" w:right="567"/>
        <w:rPr>
          <w:rFonts w:eastAsia="Times New Roman" w:cs="Tahoma"/>
          <w:bCs/>
          <w:i/>
          <w:sz w:val="20"/>
          <w:szCs w:val="20"/>
          <w:lang w:eastAsia="es-ES"/>
        </w:rPr>
      </w:pPr>
      <w:r w:rsidRPr="00AD1619">
        <w:rPr>
          <w:rFonts w:eastAsia="Times New Roman" w:cs="Tahoma"/>
          <w:bCs/>
          <w:i/>
          <w:sz w:val="20"/>
          <w:szCs w:val="20"/>
          <w:lang w:eastAsia="es-ES"/>
        </w:rPr>
        <w:t>“…</w:t>
      </w:r>
      <w:r w:rsidR="00396975" w:rsidRPr="00AD1619">
        <w:rPr>
          <w:rFonts w:eastAsia="Times New Roman" w:cs="Tahoma"/>
          <w:bCs/>
          <w:i/>
          <w:sz w:val="20"/>
          <w:szCs w:val="20"/>
          <w:lang w:eastAsia="es-ES"/>
        </w:rPr>
        <w:t xml:space="preserve">sobre el particular me permito informar a usted que la respuesta proporcionada por este </w:t>
      </w:r>
      <w:proofErr w:type="gramStart"/>
      <w:r w:rsidR="00396975" w:rsidRPr="00AD1619">
        <w:rPr>
          <w:rFonts w:eastAsia="Times New Roman" w:cs="Tahoma"/>
          <w:bCs/>
          <w:i/>
          <w:sz w:val="20"/>
          <w:szCs w:val="20"/>
          <w:lang w:eastAsia="es-ES"/>
        </w:rPr>
        <w:t>Instituto,</w:t>
      </w:r>
      <w:proofErr w:type="gramEnd"/>
      <w:r w:rsidR="00396975" w:rsidRPr="00AD1619">
        <w:rPr>
          <w:rFonts w:eastAsia="Times New Roman" w:cs="Tahoma"/>
          <w:bCs/>
          <w:i/>
          <w:sz w:val="20"/>
          <w:szCs w:val="20"/>
          <w:lang w:eastAsia="es-ES"/>
        </w:rPr>
        <w:t xml:space="preserve"> es la correcta, dado que se realizó el desglose puntual a cada uno de los requerimientos planteados, fundamentando a través de la Normatividad vigente cada una de las respuestas. En este sentido, se ratifica la respuesta emitida como a continuación se detalla</w:t>
      </w:r>
    </w:p>
    <w:p w14:paraId="4F75C793" w14:textId="318FD9D8" w:rsidR="00F42CAA" w:rsidRPr="00A2355B" w:rsidRDefault="00F42CAA" w:rsidP="00F363E5">
      <w:pPr>
        <w:spacing w:after="0"/>
        <w:ind w:left="567" w:right="567"/>
        <w:rPr>
          <w:rFonts w:eastAsia="Times New Roman" w:cs="Tahoma"/>
          <w:bCs/>
          <w:i/>
          <w:sz w:val="20"/>
          <w:szCs w:val="20"/>
          <w:lang w:eastAsia="es-ES"/>
        </w:rPr>
      </w:pPr>
      <w:r w:rsidRPr="00A2355B">
        <w:rPr>
          <w:rFonts w:eastAsia="Times New Roman" w:cs="Tahoma"/>
          <w:bCs/>
          <w:i/>
          <w:sz w:val="20"/>
          <w:szCs w:val="20"/>
          <w:lang w:eastAsia="es-ES"/>
        </w:rPr>
        <w:t xml:space="preserve">…” (Sic) </w:t>
      </w:r>
    </w:p>
    <w:p w14:paraId="6D866CA9" w14:textId="77777777" w:rsidR="00D8203F" w:rsidRPr="00A2355B" w:rsidRDefault="00D8203F" w:rsidP="00F363E5">
      <w:pPr>
        <w:spacing w:after="0"/>
        <w:rPr>
          <w:rFonts w:eastAsia="Times New Roman" w:cs="Tahoma"/>
          <w:iCs/>
          <w:color w:val="auto"/>
          <w:lang w:val="es-ES_tradnl" w:eastAsia="es-ES"/>
        </w:rPr>
      </w:pPr>
    </w:p>
    <w:p w14:paraId="4BF866FA" w14:textId="6D90CA5E" w:rsidR="00D8203F" w:rsidRPr="00A2355B" w:rsidRDefault="00AD1619" w:rsidP="00F363E5">
      <w:pPr>
        <w:spacing w:after="0"/>
        <w:rPr>
          <w:rFonts w:cs="Tahoma"/>
        </w:rPr>
      </w:pPr>
      <w:r>
        <w:rPr>
          <w:rFonts w:cs="Tahoma"/>
          <w:b/>
          <w:bCs/>
        </w:rPr>
        <w:t>e</w:t>
      </w:r>
      <w:r w:rsidR="00D8203F" w:rsidRPr="00A2355B">
        <w:rPr>
          <w:rFonts w:cs="Tahoma"/>
          <w:b/>
          <w:bCs/>
        </w:rPr>
        <w:t xml:space="preserve">) Vista del informe justificado. </w:t>
      </w:r>
      <w:proofErr w:type="gramStart"/>
      <w:r w:rsidR="00D8203F" w:rsidRPr="00A2355B">
        <w:rPr>
          <w:rFonts w:cs="Tahoma"/>
        </w:rPr>
        <w:t xml:space="preserve">El </w:t>
      </w:r>
      <w:r w:rsidR="00C71B79">
        <w:rPr>
          <w:rFonts w:cs="Tahoma"/>
        </w:rPr>
        <w:t xml:space="preserve"> ocho</w:t>
      </w:r>
      <w:proofErr w:type="gramEnd"/>
      <w:r w:rsidR="00C71B79">
        <w:rPr>
          <w:rFonts w:cs="Tahoma"/>
        </w:rPr>
        <w:t xml:space="preserve"> de marzo </w:t>
      </w:r>
      <w:r w:rsidR="00953BD3">
        <w:rPr>
          <w:rFonts w:cs="Tahoma"/>
        </w:rPr>
        <w:t>de dos mil veintidós</w:t>
      </w:r>
      <w:r w:rsidR="00D8203F" w:rsidRPr="00A2355B">
        <w:rPr>
          <w:rFonts w:cs="Tahoma"/>
        </w:rPr>
        <w:t xml:space="preserve">, se dictó acuerdo mediante el cual </w:t>
      </w:r>
      <w:r w:rsidR="00D8203F" w:rsidRPr="00A2355B">
        <w:rPr>
          <w:rFonts w:cs="Tahoma"/>
          <w:b/>
          <w:bCs/>
        </w:rPr>
        <w:t>se puso a la vista de la Particular el Informe Justificado</w:t>
      </w:r>
      <w:r w:rsidR="00D8203F" w:rsidRPr="00A2355B">
        <w:rPr>
          <w:rFonts w:cs="Tahoma"/>
        </w:rPr>
        <w:t xml:space="preserve"> entregado por el Sujeto Obligado, el cual fue notificado al Recurrente, a través del Sistema de Acceso a la Información Mexiquense (SAIMEX), </w:t>
      </w:r>
      <w:r w:rsidR="00E77820" w:rsidRPr="00A2355B">
        <w:rPr>
          <w:rFonts w:cs="Tahoma"/>
        </w:rPr>
        <w:t xml:space="preserve">el </w:t>
      </w:r>
      <w:r w:rsidR="00953BD3">
        <w:rPr>
          <w:rFonts w:cs="Tahoma"/>
        </w:rPr>
        <w:t>mismo  día</w:t>
      </w:r>
      <w:r w:rsidR="00E77820" w:rsidRPr="00A2355B">
        <w:rPr>
          <w:rFonts w:cs="Tahoma"/>
        </w:rPr>
        <w:t xml:space="preserve">. </w:t>
      </w:r>
      <w:r w:rsidR="00D8203F" w:rsidRPr="00A2355B">
        <w:rPr>
          <w:rFonts w:cs="Tahoma"/>
          <w:b/>
        </w:rPr>
        <w:t>No obstante</w:t>
      </w:r>
      <w:r w:rsidR="00D8203F" w:rsidRPr="00A2355B">
        <w:rPr>
          <w:rFonts w:cs="Tahoma"/>
          <w:b/>
          <w:bCs/>
          <w:iCs/>
          <w:lang w:val="es-ES_tradnl"/>
        </w:rPr>
        <w:t xml:space="preserve">, </w:t>
      </w:r>
      <w:r w:rsidR="0087558A">
        <w:rPr>
          <w:rFonts w:cs="Tahoma"/>
          <w:b/>
          <w:bCs/>
          <w:iCs/>
          <w:lang w:val="es-ES_tradnl"/>
        </w:rPr>
        <w:t>la</w:t>
      </w:r>
      <w:r w:rsidR="00E77820" w:rsidRPr="00A2355B">
        <w:rPr>
          <w:rFonts w:cs="Tahoma"/>
          <w:b/>
          <w:bCs/>
          <w:iCs/>
          <w:lang w:val="es-ES_tradnl"/>
        </w:rPr>
        <w:t xml:space="preserve"> </w:t>
      </w:r>
      <w:r w:rsidR="00D8203F" w:rsidRPr="00A2355B">
        <w:rPr>
          <w:rFonts w:cs="Tahoma"/>
          <w:b/>
          <w:bCs/>
          <w:iCs/>
          <w:lang w:val="es-ES_tradnl"/>
        </w:rPr>
        <w:t>Particular omitió realizar manifestación alguna que a su derecho conviniera y asistiera</w:t>
      </w:r>
    </w:p>
    <w:p w14:paraId="139373B8" w14:textId="77777777" w:rsidR="00D8203F" w:rsidRPr="00A2355B" w:rsidRDefault="00D8203F" w:rsidP="00F363E5">
      <w:pPr>
        <w:spacing w:after="0"/>
        <w:rPr>
          <w:rFonts w:eastAsia="Times New Roman" w:cs="Tahoma"/>
          <w:b/>
          <w:color w:val="auto"/>
          <w:szCs w:val="24"/>
          <w:lang w:eastAsia="es-ES"/>
        </w:rPr>
      </w:pPr>
    </w:p>
    <w:p w14:paraId="1ACB06BA" w14:textId="16517C8F" w:rsidR="00D8203F" w:rsidRPr="00A2355B" w:rsidRDefault="00AD1619" w:rsidP="00F363E5">
      <w:pPr>
        <w:spacing w:after="0"/>
        <w:rPr>
          <w:rFonts w:eastAsia="Times New Roman" w:cs="Tahoma"/>
          <w:color w:val="auto"/>
          <w:szCs w:val="24"/>
          <w:lang w:eastAsia="es-ES"/>
        </w:rPr>
      </w:pPr>
      <w:r>
        <w:rPr>
          <w:rFonts w:eastAsia="Times New Roman" w:cs="Tahoma"/>
          <w:b/>
          <w:color w:val="auto"/>
          <w:szCs w:val="24"/>
          <w:lang w:eastAsia="es-ES"/>
        </w:rPr>
        <w:t>f</w:t>
      </w:r>
      <w:r w:rsidR="00D8203F" w:rsidRPr="00A2355B">
        <w:rPr>
          <w:rFonts w:eastAsia="Times New Roman" w:cs="Tahoma"/>
          <w:b/>
          <w:color w:val="auto"/>
          <w:szCs w:val="24"/>
          <w:lang w:eastAsia="es-ES"/>
        </w:rPr>
        <w:t>) Cierre de instrucción.</w:t>
      </w:r>
      <w:r w:rsidR="00D8203F" w:rsidRPr="00A2355B">
        <w:rPr>
          <w:rFonts w:eastAsia="Times New Roman" w:cs="Tahoma"/>
          <w:color w:val="auto"/>
          <w:szCs w:val="24"/>
          <w:lang w:eastAsia="es-ES"/>
        </w:rPr>
        <w:t xml:space="preserve"> El </w:t>
      </w:r>
      <w:r w:rsidR="00C71B79">
        <w:rPr>
          <w:rFonts w:eastAsia="Times New Roman" w:cs="Tahoma"/>
          <w:color w:val="auto"/>
          <w:szCs w:val="24"/>
          <w:lang w:val="es-ES" w:eastAsia="es-ES"/>
        </w:rPr>
        <w:t>catorce</w:t>
      </w:r>
      <w:r w:rsidR="0087558A">
        <w:rPr>
          <w:rFonts w:eastAsia="Times New Roman" w:cs="Tahoma"/>
          <w:color w:val="auto"/>
          <w:szCs w:val="24"/>
          <w:lang w:val="es-ES" w:eastAsia="es-ES"/>
        </w:rPr>
        <w:t xml:space="preserve"> de marzo</w:t>
      </w:r>
      <w:r w:rsidR="00953BD3">
        <w:rPr>
          <w:rFonts w:eastAsia="Times New Roman" w:cs="Tahoma"/>
          <w:color w:val="auto"/>
          <w:szCs w:val="24"/>
          <w:lang w:val="es-ES" w:eastAsia="es-ES"/>
        </w:rPr>
        <w:t xml:space="preserve"> de dos mil veintidós</w:t>
      </w:r>
      <w:r w:rsidR="00D8203F" w:rsidRPr="00A2355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8203F" w:rsidRPr="00A2355B">
        <w:rPr>
          <w:rFonts w:eastAsia="Times New Roman" w:cs="Tahoma"/>
          <w:color w:val="auto"/>
          <w:szCs w:val="20"/>
          <w:lang w:val="es-ES" w:eastAsia="es-ES"/>
        </w:rPr>
        <w:t>Sistema de Acceso a la Información Mexiquense (SAIMEX)</w:t>
      </w:r>
      <w:r w:rsidR="00D8203F" w:rsidRPr="00A2355B">
        <w:rPr>
          <w:rFonts w:eastAsia="Times New Roman" w:cs="Tahoma"/>
          <w:color w:val="auto"/>
          <w:szCs w:val="24"/>
          <w:lang w:eastAsia="es-ES"/>
        </w:rPr>
        <w:t>.</w:t>
      </w:r>
    </w:p>
    <w:p w14:paraId="7D034060" w14:textId="77777777" w:rsidR="00EF640A" w:rsidRPr="00A2355B" w:rsidRDefault="00EF640A" w:rsidP="00F363E5">
      <w:pPr>
        <w:spacing w:after="0"/>
        <w:rPr>
          <w:rFonts w:eastAsia="Times New Roman" w:cs="Tahoma"/>
          <w:color w:val="auto"/>
          <w:szCs w:val="24"/>
          <w:lang w:val="es-ES" w:eastAsia="es-ES"/>
        </w:rPr>
      </w:pPr>
    </w:p>
    <w:p w14:paraId="79CDDFD7" w14:textId="77777777" w:rsidR="00D8203F" w:rsidRPr="00A2355B" w:rsidRDefault="00D8203F" w:rsidP="00F363E5">
      <w:pPr>
        <w:spacing w:after="0"/>
        <w:rPr>
          <w:rFonts w:eastAsia="Times New Roman" w:cs="Tahoma"/>
          <w:color w:val="000000"/>
          <w:szCs w:val="24"/>
          <w:lang w:eastAsia="es-ES"/>
        </w:rPr>
      </w:pPr>
      <w:r w:rsidRPr="00A2355B">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6A1125E0" w14:textId="77777777" w:rsidR="00D8203F" w:rsidRPr="00A2355B" w:rsidRDefault="00D8203F" w:rsidP="00F363E5">
      <w:pPr>
        <w:spacing w:after="0"/>
        <w:rPr>
          <w:rFonts w:eastAsia="Times New Roman" w:cs="Tahoma"/>
          <w:bCs/>
          <w:iCs/>
          <w:color w:val="auto"/>
          <w:lang w:val="es-ES" w:eastAsia="es-ES"/>
        </w:rPr>
      </w:pPr>
    </w:p>
    <w:p w14:paraId="2EE6FC6F" w14:textId="77777777" w:rsidR="00D8203F" w:rsidRPr="00A2355B" w:rsidRDefault="00D8203F" w:rsidP="00F363E5">
      <w:pPr>
        <w:spacing w:after="0"/>
        <w:jc w:val="center"/>
        <w:rPr>
          <w:rFonts w:eastAsia="Times New Roman" w:cs="Tahoma"/>
          <w:b/>
          <w:color w:val="auto"/>
          <w:lang w:val="es-ES" w:eastAsia="es-ES"/>
        </w:rPr>
      </w:pPr>
      <w:r w:rsidRPr="00A2355B">
        <w:rPr>
          <w:rFonts w:eastAsia="Times New Roman" w:cs="Tahoma"/>
          <w:b/>
          <w:color w:val="auto"/>
          <w:lang w:val="es-ES" w:eastAsia="es-ES"/>
        </w:rPr>
        <w:t>C O N S I D E R A N D O S:</w:t>
      </w:r>
    </w:p>
    <w:p w14:paraId="33FAEC0B" w14:textId="77777777" w:rsidR="00D8203F" w:rsidRPr="00A2355B" w:rsidRDefault="00D8203F" w:rsidP="00F363E5">
      <w:pPr>
        <w:autoSpaceDE w:val="0"/>
        <w:autoSpaceDN w:val="0"/>
        <w:adjustRightInd w:val="0"/>
        <w:spacing w:after="0"/>
        <w:rPr>
          <w:rFonts w:eastAsia="Times New Roman" w:cs="Tahoma"/>
          <w:b/>
          <w:color w:val="auto"/>
          <w:szCs w:val="24"/>
          <w:lang w:val="es-ES" w:eastAsia="es-ES"/>
        </w:rPr>
      </w:pPr>
      <w:r w:rsidRPr="00A2355B">
        <w:rPr>
          <w:rFonts w:eastAsia="Calibri" w:cs="Tahoma"/>
          <w:b/>
          <w:color w:val="000000"/>
          <w:szCs w:val="24"/>
          <w:lang w:val="es-ES" w:eastAsia="es-MX"/>
        </w:rPr>
        <w:lastRenderedPageBreak/>
        <w:t>PRIMERO</w:t>
      </w:r>
      <w:r w:rsidRPr="00A2355B">
        <w:rPr>
          <w:rFonts w:eastAsia="Calibri" w:cs="Tahoma"/>
          <w:color w:val="000000"/>
          <w:szCs w:val="24"/>
          <w:lang w:val="es-ES" w:eastAsia="es-MX"/>
        </w:rPr>
        <w:t xml:space="preserve">. </w:t>
      </w:r>
      <w:r w:rsidRPr="00A2355B">
        <w:rPr>
          <w:rFonts w:eastAsia="Times New Roman" w:cs="Tahoma"/>
          <w:b/>
          <w:color w:val="auto"/>
          <w:szCs w:val="24"/>
          <w:lang w:val="es-ES" w:eastAsia="es-ES"/>
        </w:rPr>
        <w:t>Competencia.</w:t>
      </w:r>
    </w:p>
    <w:p w14:paraId="3C3E37F0" w14:textId="77777777" w:rsidR="00D8203F" w:rsidRPr="00A2355B" w:rsidRDefault="00D8203F" w:rsidP="00F363E5">
      <w:pPr>
        <w:autoSpaceDE w:val="0"/>
        <w:autoSpaceDN w:val="0"/>
        <w:adjustRightInd w:val="0"/>
        <w:spacing w:after="0"/>
        <w:rPr>
          <w:rFonts w:eastAsia="Times New Roman" w:cs="Tahoma"/>
          <w:b/>
          <w:color w:val="auto"/>
          <w:szCs w:val="24"/>
          <w:lang w:val="es-ES" w:eastAsia="es-ES"/>
        </w:rPr>
      </w:pPr>
    </w:p>
    <w:p w14:paraId="39F4D924" w14:textId="6214F536" w:rsidR="00D8203F" w:rsidRPr="00A2355B" w:rsidRDefault="00D8203F" w:rsidP="00F363E5">
      <w:pPr>
        <w:spacing w:after="0"/>
        <w:rPr>
          <w:rFonts w:eastAsia="Calibri" w:cs="Times New Roman"/>
          <w:color w:val="000000"/>
        </w:rPr>
      </w:pPr>
      <w:r w:rsidRPr="00A2355B">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A1B00" w:rsidRPr="00A2355B">
        <w:rPr>
          <w:rFonts w:eastAsia="Calibri" w:cs="Times New Roman"/>
          <w:color w:val="000000"/>
        </w:rPr>
        <w:t>trigésimo, trigésimo primero y trigésimo segundo</w:t>
      </w:r>
      <w:r w:rsidRPr="00A2355B">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0035784F" w:rsidRPr="00A2355B">
        <w:rPr>
          <w:rFonts w:eastAsia="Calibri" w:cs="Times New Roman"/>
          <w:color w:val="000000"/>
        </w:rPr>
        <w:t xml:space="preserve"> </w:t>
      </w:r>
      <w:r w:rsidRPr="00A2355B">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13B0396" w14:textId="77777777" w:rsidR="00D8203F" w:rsidRPr="00A2355B" w:rsidRDefault="00D8203F" w:rsidP="00F363E5">
      <w:pPr>
        <w:spacing w:after="0"/>
        <w:rPr>
          <w:rFonts w:eastAsia="Times New Roman" w:cs="Tahoma"/>
          <w:bCs/>
          <w:color w:val="auto"/>
          <w:lang w:eastAsia="es-ES"/>
        </w:rPr>
      </w:pPr>
    </w:p>
    <w:p w14:paraId="50054C3C" w14:textId="77777777" w:rsidR="00D8203F" w:rsidRPr="00A2355B" w:rsidRDefault="00D8203F" w:rsidP="00F363E5">
      <w:pPr>
        <w:spacing w:after="0"/>
        <w:rPr>
          <w:rFonts w:eastAsia="Times New Roman" w:cs="Tahoma"/>
          <w:b/>
          <w:color w:val="auto"/>
          <w:lang w:eastAsia="es-ES"/>
        </w:rPr>
      </w:pPr>
      <w:r w:rsidRPr="00A2355B">
        <w:rPr>
          <w:rFonts w:eastAsia="Times New Roman" w:cs="Tahoma"/>
          <w:b/>
          <w:color w:val="auto"/>
          <w:lang w:eastAsia="es-ES"/>
        </w:rPr>
        <w:t>SEGUNDO. Causales de procedencia y sobreseimiento.</w:t>
      </w:r>
    </w:p>
    <w:p w14:paraId="764A8338" w14:textId="77777777" w:rsidR="00D8203F" w:rsidRPr="00A2355B" w:rsidRDefault="00D8203F" w:rsidP="00F363E5">
      <w:pPr>
        <w:spacing w:after="0"/>
        <w:rPr>
          <w:rFonts w:eastAsia="Times New Roman" w:cs="Tahoma"/>
          <w:bCs/>
          <w:color w:val="auto"/>
          <w:lang w:eastAsia="es-ES"/>
        </w:rPr>
      </w:pPr>
    </w:p>
    <w:p w14:paraId="2398F674" w14:textId="0A84A89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1E445D88" w14:textId="77777777" w:rsidR="00C3697C" w:rsidRPr="00A2355B" w:rsidRDefault="00C3697C" w:rsidP="00F363E5">
      <w:pPr>
        <w:spacing w:after="0"/>
        <w:rPr>
          <w:rFonts w:eastAsia="Times New Roman" w:cs="Tahoma"/>
          <w:bCs/>
          <w:color w:val="auto"/>
          <w:lang w:eastAsia="es-ES"/>
        </w:rPr>
      </w:pPr>
    </w:p>
    <w:p w14:paraId="3E338467" w14:textId="77777777" w:rsidR="00D8203F" w:rsidRPr="00A2355B" w:rsidRDefault="00D8203F" w:rsidP="00F363E5">
      <w:pPr>
        <w:spacing w:after="0"/>
        <w:rPr>
          <w:rFonts w:eastAsia="Times New Roman" w:cs="Tahoma"/>
          <w:b/>
          <w:color w:val="auto"/>
          <w:lang w:eastAsia="es-ES"/>
        </w:rPr>
      </w:pPr>
      <w:r w:rsidRPr="00A2355B">
        <w:rPr>
          <w:rFonts w:eastAsia="Times New Roman" w:cs="Tahoma"/>
          <w:b/>
          <w:color w:val="auto"/>
          <w:lang w:eastAsia="es-ES"/>
        </w:rPr>
        <w:t xml:space="preserve">Causales de improcedencia. </w:t>
      </w:r>
    </w:p>
    <w:p w14:paraId="596B291A" w14:textId="77777777" w:rsidR="00D8203F" w:rsidRPr="00A2355B" w:rsidRDefault="00D8203F" w:rsidP="00F363E5">
      <w:pPr>
        <w:spacing w:after="0"/>
        <w:rPr>
          <w:rFonts w:eastAsia="Times New Roman" w:cs="Tahoma"/>
          <w:bCs/>
          <w:color w:val="auto"/>
          <w:lang w:eastAsia="es-ES"/>
        </w:rPr>
      </w:pPr>
    </w:p>
    <w:p w14:paraId="7F14A16F"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w:t>
      </w:r>
      <w:r w:rsidRPr="00A2355B">
        <w:rPr>
          <w:rFonts w:eastAsia="Times New Roman" w:cs="Tahoma"/>
          <w:bCs/>
          <w:color w:val="auto"/>
          <w:lang w:eastAsia="es-ES"/>
        </w:rPr>
        <w:lastRenderedPageBreak/>
        <w:t>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5821B1B"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 </w:t>
      </w:r>
    </w:p>
    <w:p w14:paraId="7B56B757"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48C49152" w14:textId="77777777" w:rsidR="00D8203F" w:rsidRPr="00A2355B" w:rsidRDefault="00D8203F" w:rsidP="00F363E5">
      <w:pPr>
        <w:spacing w:after="0"/>
        <w:rPr>
          <w:rFonts w:eastAsia="Times New Roman" w:cs="Tahoma"/>
          <w:bCs/>
          <w:color w:val="auto"/>
          <w:lang w:eastAsia="es-ES"/>
        </w:rPr>
      </w:pPr>
    </w:p>
    <w:p w14:paraId="3807D56D" w14:textId="18E381FF"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Asimismo,</w:t>
      </w:r>
      <w:r w:rsidR="00730406" w:rsidRPr="00A2355B">
        <w:rPr>
          <w:rFonts w:eastAsia="Times New Roman" w:cs="Tahoma"/>
          <w:bCs/>
          <w:color w:val="auto"/>
          <w:lang w:eastAsia="es-ES"/>
        </w:rPr>
        <w:t xml:space="preserve"> </w:t>
      </w:r>
      <w:r w:rsidRPr="00A2355B">
        <w:rPr>
          <w:rFonts w:eastAsia="Times New Roman" w:cs="Tahoma"/>
          <w:bCs/>
          <w:color w:val="auto"/>
          <w:lang w:eastAsia="es-ES"/>
        </w:rPr>
        <w:t>se actualiza la causal de procedencia del Recurso de Revisión señalada en el artículo 179, fracciones V</w:t>
      </w:r>
      <w:r w:rsidR="00C71B79">
        <w:rPr>
          <w:rFonts w:eastAsia="Times New Roman" w:cs="Tahoma"/>
          <w:bCs/>
          <w:color w:val="auto"/>
          <w:lang w:eastAsia="es-ES"/>
        </w:rPr>
        <w:t>I</w:t>
      </w:r>
      <w:r w:rsidRPr="00A2355B">
        <w:rPr>
          <w:rFonts w:eastAsia="Times New Roman" w:cs="Tahoma"/>
          <w:bCs/>
          <w:color w:val="auto"/>
          <w:lang w:eastAsia="es-ES"/>
        </w:rPr>
        <w:t xml:space="preserve"> de la Ley en cita, pues el Recurrente se inconformó con la entrega de información </w:t>
      </w:r>
      <w:r w:rsidR="00C71B79">
        <w:rPr>
          <w:rFonts w:eastAsia="Times New Roman" w:cs="Tahoma"/>
          <w:bCs/>
          <w:color w:val="auto"/>
          <w:lang w:eastAsia="es-ES"/>
        </w:rPr>
        <w:t>que no corresponde con lo solicitado</w:t>
      </w:r>
      <w:r w:rsidR="00DD3DE5" w:rsidRPr="00A2355B">
        <w:rPr>
          <w:rFonts w:eastAsia="Times New Roman" w:cs="Tahoma"/>
          <w:bCs/>
          <w:color w:val="auto"/>
          <w:lang w:eastAsia="es-ES"/>
        </w:rPr>
        <w:t>.</w:t>
      </w:r>
    </w:p>
    <w:p w14:paraId="1F9379E3" w14:textId="77777777" w:rsidR="00D8203F" w:rsidRPr="00A2355B" w:rsidRDefault="00D8203F" w:rsidP="00F363E5">
      <w:pPr>
        <w:spacing w:after="0"/>
        <w:rPr>
          <w:rFonts w:eastAsia="Times New Roman" w:cs="Tahoma"/>
          <w:bCs/>
          <w:color w:val="auto"/>
          <w:lang w:eastAsia="es-ES"/>
        </w:rPr>
      </w:pPr>
    </w:p>
    <w:p w14:paraId="77B7B149" w14:textId="77777777" w:rsidR="00D8203F" w:rsidRPr="00A2355B" w:rsidRDefault="00D8203F" w:rsidP="00F363E5">
      <w:pPr>
        <w:spacing w:after="0"/>
        <w:rPr>
          <w:rFonts w:eastAsia="Times New Roman" w:cs="Tahoma"/>
          <w:b/>
          <w:color w:val="auto"/>
          <w:lang w:eastAsia="es-ES"/>
        </w:rPr>
      </w:pPr>
      <w:r w:rsidRPr="00A2355B">
        <w:rPr>
          <w:rFonts w:eastAsia="Times New Roman" w:cs="Tahoma"/>
          <w:b/>
          <w:color w:val="auto"/>
          <w:lang w:eastAsia="es-ES"/>
        </w:rPr>
        <w:t>Causales de sobreseimiento.</w:t>
      </w:r>
    </w:p>
    <w:p w14:paraId="5D1923B8" w14:textId="77777777" w:rsidR="00D8203F" w:rsidRPr="00A2355B" w:rsidRDefault="00D8203F" w:rsidP="00F363E5">
      <w:pPr>
        <w:spacing w:after="0"/>
        <w:rPr>
          <w:rFonts w:eastAsia="Times New Roman" w:cs="Tahoma"/>
          <w:bCs/>
          <w:color w:val="auto"/>
          <w:lang w:eastAsia="es-ES"/>
        </w:rPr>
      </w:pPr>
    </w:p>
    <w:p w14:paraId="287C40C2"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Por ser de previo y especial pronunciamiento, este Instituto analiza si se actualiza alguna causal de sobreseimiento.</w:t>
      </w:r>
    </w:p>
    <w:p w14:paraId="41CD1011" w14:textId="77777777" w:rsidR="00D8203F" w:rsidRPr="00A2355B" w:rsidRDefault="00D8203F" w:rsidP="00F363E5">
      <w:pPr>
        <w:spacing w:after="0"/>
        <w:rPr>
          <w:rFonts w:eastAsia="Times New Roman" w:cs="Tahoma"/>
          <w:bCs/>
          <w:color w:val="auto"/>
          <w:lang w:eastAsia="es-ES"/>
        </w:rPr>
      </w:pPr>
    </w:p>
    <w:p w14:paraId="72EE41DA"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w:t>
      </w:r>
      <w:r w:rsidRPr="00A2355B">
        <w:rPr>
          <w:rFonts w:eastAsia="Times New Roman" w:cs="Tahoma"/>
          <w:bCs/>
          <w:color w:val="auto"/>
          <w:lang w:eastAsia="es-ES"/>
        </w:rPr>
        <w:lastRenderedPageBreak/>
        <w:t>expediente en que se actúa, de que el Recurrente se haya desistido del recurso, haya fallecido, sobreviniera alguna causal de improcedencia, que el Sujeto Obligado hubiese modificado o revocado el acto impugnado o bien, haya quedado sin materia.</w:t>
      </w:r>
    </w:p>
    <w:p w14:paraId="396134B1" w14:textId="77777777" w:rsidR="00D8203F" w:rsidRPr="00A2355B" w:rsidRDefault="00D8203F" w:rsidP="00F363E5">
      <w:pPr>
        <w:spacing w:after="0"/>
        <w:rPr>
          <w:rFonts w:eastAsia="Times New Roman" w:cs="Tahoma"/>
          <w:bCs/>
          <w:color w:val="auto"/>
          <w:lang w:eastAsia="es-ES"/>
        </w:rPr>
      </w:pPr>
    </w:p>
    <w:p w14:paraId="612F44BD"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 xml:space="preserve">Por tales motivos, se considera procedente entrar al fondo del presente asunto. </w:t>
      </w:r>
    </w:p>
    <w:p w14:paraId="6D6CE9B7" w14:textId="77777777" w:rsidR="00D8203F" w:rsidRPr="00A2355B" w:rsidRDefault="00D8203F" w:rsidP="00F363E5">
      <w:pPr>
        <w:spacing w:after="0"/>
        <w:rPr>
          <w:rFonts w:eastAsia="Times New Roman" w:cs="Tahoma"/>
          <w:bCs/>
          <w:color w:val="auto"/>
          <w:lang w:eastAsia="es-ES"/>
        </w:rPr>
      </w:pPr>
    </w:p>
    <w:p w14:paraId="064EF045" w14:textId="77777777" w:rsidR="00D8203F" w:rsidRPr="00A2355B" w:rsidRDefault="00D8203F" w:rsidP="00F363E5">
      <w:pPr>
        <w:spacing w:after="0"/>
        <w:rPr>
          <w:rFonts w:eastAsia="Times New Roman" w:cs="Tahoma"/>
          <w:b/>
          <w:color w:val="auto"/>
          <w:lang w:eastAsia="es-ES"/>
        </w:rPr>
      </w:pPr>
      <w:r w:rsidRPr="00A2355B">
        <w:rPr>
          <w:rFonts w:eastAsia="Times New Roman" w:cs="Tahoma"/>
          <w:b/>
          <w:color w:val="auto"/>
          <w:lang w:eastAsia="es-ES"/>
        </w:rPr>
        <w:t xml:space="preserve">TERCERO. Determinación de la Controversia. </w:t>
      </w:r>
    </w:p>
    <w:p w14:paraId="1D643201" w14:textId="77777777" w:rsidR="00D8203F" w:rsidRPr="00A2355B" w:rsidRDefault="00D8203F" w:rsidP="00F363E5">
      <w:pPr>
        <w:spacing w:after="0"/>
        <w:rPr>
          <w:rFonts w:eastAsia="Times New Roman" w:cs="Tahoma"/>
          <w:bCs/>
          <w:color w:val="auto"/>
          <w:lang w:eastAsia="es-ES"/>
        </w:rPr>
      </w:pPr>
    </w:p>
    <w:p w14:paraId="2BB0201D" w14:textId="59647859" w:rsidR="00353712" w:rsidRDefault="00D8203F" w:rsidP="00F363E5">
      <w:pPr>
        <w:tabs>
          <w:tab w:val="left" w:pos="4962"/>
        </w:tabs>
        <w:spacing w:after="0"/>
        <w:rPr>
          <w:rFonts w:eastAsia="Calibri" w:cs="Tahoma"/>
          <w:iCs/>
          <w:lang w:val="es-ES" w:eastAsia="es-ES_tradnl"/>
        </w:rPr>
      </w:pPr>
      <w:r w:rsidRPr="00A2355B">
        <w:rPr>
          <w:rFonts w:eastAsia="Calibri" w:cs="Tahoma"/>
          <w:iCs/>
          <w:lang w:val="es-ES" w:eastAsia="es-ES_tradnl"/>
        </w:rPr>
        <w:t>Una vez realizado el estudio de las constancias que integran el expediente en que se actúa</w:t>
      </w:r>
      <w:r w:rsidR="00353712">
        <w:rPr>
          <w:rFonts w:eastAsia="Calibri" w:cs="Tahoma"/>
          <w:iCs/>
          <w:lang w:val="es-ES" w:eastAsia="es-ES_tradnl"/>
        </w:rPr>
        <w:t xml:space="preserve"> y con el fin de tener claridad entre la solicitud, la respuesta, el agravio hecho valer y el Informe Justificado, se desarrolla el siguiente cuadro:</w:t>
      </w:r>
    </w:p>
    <w:p w14:paraId="7E69D3C8" w14:textId="3CEE9D9C" w:rsidR="00353712" w:rsidRDefault="00353712" w:rsidP="00F363E5">
      <w:pPr>
        <w:tabs>
          <w:tab w:val="left" w:pos="4962"/>
        </w:tabs>
        <w:spacing w:after="0"/>
        <w:rPr>
          <w:rFonts w:eastAsia="Calibri" w:cs="Tahoma"/>
          <w:iCs/>
          <w:lang w:val="es-ES" w:eastAsia="es-ES_tradnl"/>
        </w:rPr>
      </w:pPr>
    </w:p>
    <w:tbl>
      <w:tblPr>
        <w:tblStyle w:val="Tablaconcuadrcula"/>
        <w:tblW w:w="0" w:type="auto"/>
        <w:tblLook w:val="04A0" w:firstRow="1" w:lastRow="0" w:firstColumn="1" w:lastColumn="0" w:noHBand="0" w:noVBand="1"/>
      </w:tblPr>
      <w:tblGrid>
        <w:gridCol w:w="1555"/>
        <w:gridCol w:w="3402"/>
        <w:gridCol w:w="1876"/>
        <w:gridCol w:w="2278"/>
      </w:tblGrid>
      <w:tr w:rsidR="00353712" w:rsidRPr="00C17F37" w14:paraId="6CF955D4" w14:textId="77777777" w:rsidTr="00C17F37">
        <w:tc>
          <w:tcPr>
            <w:tcW w:w="1555" w:type="dxa"/>
            <w:shd w:val="clear" w:color="auto" w:fill="BFBFBF" w:themeFill="background1" w:themeFillShade="BF"/>
          </w:tcPr>
          <w:p w14:paraId="548914FA" w14:textId="01C3B523" w:rsidR="00353712" w:rsidRPr="00C17F37" w:rsidRDefault="00353712" w:rsidP="00F363E5">
            <w:pPr>
              <w:tabs>
                <w:tab w:val="left" w:pos="4962"/>
              </w:tabs>
              <w:jc w:val="center"/>
              <w:rPr>
                <w:rFonts w:eastAsia="Calibri" w:cs="Tahoma"/>
                <w:b/>
                <w:bCs/>
                <w:iCs/>
                <w:sz w:val="18"/>
                <w:szCs w:val="18"/>
                <w:lang w:val="es-ES" w:eastAsia="es-ES_tradnl"/>
              </w:rPr>
            </w:pPr>
            <w:r w:rsidRPr="00C17F37">
              <w:rPr>
                <w:rFonts w:eastAsia="Calibri" w:cs="Tahoma"/>
                <w:b/>
                <w:bCs/>
                <w:iCs/>
                <w:sz w:val="18"/>
                <w:szCs w:val="18"/>
                <w:lang w:val="es-ES" w:eastAsia="es-ES_tradnl"/>
              </w:rPr>
              <w:t>Solicitud de Información</w:t>
            </w:r>
          </w:p>
        </w:tc>
        <w:tc>
          <w:tcPr>
            <w:tcW w:w="3402" w:type="dxa"/>
            <w:shd w:val="clear" w:color="auto" w:fill="BFBFBF" w:themeFill="background1" w:themeFillShade="BF"/>
          </w:tcPr>
          <w:p w14:paraId="29F692CA" w14:textId="423A9293" w:rsidR="00353712" w:rsidRPr="00C17F37" w:rsidRDefault="00353712" w:rsidP="00F363E5">
            <w:pPr>
              <w:tabs>
                <w:tab w:val="left" w:pos="4962"/>
              </w:tabs>
              <w:jc w:val="center"/>
              <w:rPr>
                <w:rFonts w:eastAsia="Calibri" w:cs="Tahoma"/>
                <w:b/>
                <w:bCs/>
                <w:iCs/>
                <w:sz w:val="18"/>
                <w:szCs w:val="18"/>
                <w:lang w:val="es-ES" w:eastAsia="es-ES_tradnl"/>
              </w:rPr>
            </w:pPr>
            <w:r w:rsidRPr="00C17F37">
              <w:rPr>
                <w:rFonts w:eastAsia="Calibri" w:cs="Tahoma"/>
                <w:b/>
                <w:bCs/>
                <w:iCs/>
                <w:sz w:val="18"/>
                <w:szCs w:val="18"/>
                <w:lang w:val="es-ES" w:eastAsia="es-ES_tradnl"/>
              </w:rPr>
              <w:t>Respuesta de la Dirección de Catastro</w:t>
            </w:r>
          </w:p>
        </w:tc>
        <w:tc>
          <w:tcPr>
            <w:tcW w:w="1876" w:type="dxa"/>
            <w:shd w:val="clear" w:color="auto" w:fill="BFBFBF" w:themeFill="background1" w:themeFillShade="BF"/>
          </w:tcPr>
          <w:p w14:paraId="736A0C4C" w14:textId="176931DA" w:rsidR="00353712" w:rsidRPr="00C17F37" w:rsidRDefault="00353712" w:rsidP="00F363E5">
            <w:pPr>
              <w:tabs>
                <w:tab w:val="left" w:pos="4962"/>
              </w:tabs>
              <w:jc w:val="center"/>
              <w:rPr>
                <w:rFonts w:eastAsia="Calibri" w:cs="Tahoma"/>
                <w:b/>
                <w:bCs/>
                <w:iCs/>
                <w:sz w:val="18"/>
                <w:szCs w:val="18"/>
                <w:lang w:val="es-ES" w:eastAsia="es-ES_tradnl"/>
              </w:rPr>
            </w:pPr>
            <w:r w:rsidRPr="00C17F37">
              <w:rPr>
                <w:rFonts w:eastAsia="Calibri" w:cs="Tahoma"/>
                <w:b/>
                <w:bCs/>
                <w:iCs/>
                <w:sz w:val="18"/>
                <w:szCs w:val="18"/>
                <w:lang w:val="es-ES" w:eastAsia="es-ES_tradnl"/>
              </w:rPr>
              <w:t>Recurso de Revisión</w:t>
            </w:r>
          </w:p>
        </w:tc>
        <w:tc>
          <w:tcPr>
            <w:tcW w:w="2278" w:type="dxa"/>
            <w:shd w:val="clear" w:color="auto" w:fill="BFBFBF" w:themeFill="background1" w:themeFillShade="BF"/>
          </w:tcPr>
          <w:p w14:paraId="4666B34C" w14:textId="3B764FA9" w:rsidR="00353712" w:rsidRPr="00C17F37" w:rsidRDefault="00353712" w:rsidP="00F363E5">
            <w:pPr>
              <w:tabs>
                <w:tab w:val="left" w:pos="4962"/>
              </w:tabs>
              <w:jc w:val="center"/>
              <w:rPr>
                <w:rFonts w:eastAsia="Calibri" w:cs="Tahoma"/>
                <w:b/>
                <w:bCs/>
                <w:iCs/>
                <w:sz w:val="18"/>
                <w:szCs w:val="18"/>
                <w:lang w:val="es-ES" w:eastAsia="es-ES_tradnl"/>
              </w:rPr>
            </w:pPr>
            <w:r w:rsidRPr="00C17F37">
              <w:rPr>
                <w:rFonts w:eastAsia="Calibri" w:cs="Tahoma"/>
                <w:b/>
                <w:bCs/>
                <w:iCs/>
                <w:sz w:val="18"/>
                <w:szCs w:val="18"/>
                <w:lang w:val="es-ES" w:eastAsia="es-ES_tradnl"/>
              </w:rPr>
              <w:t>Informe Justificado</w:t>
            </w:r>
          </w:p>
        </w:tc>
      </w:tr>
      <w:tr w:rsidR="00353712" w:rsidRPr="00C17F37" w14:paraId="2AD40A2C" w14:textId="77777777" w:rsidTr="00C17F37">
        <w:tc>
          <w:tcPr>
            <w:tcW w:w="1555" w:type="dxa"/>
          </w:tcPr>
          <w:p w14:paraId="345EA372" w14:textId="1F4DDF73" w:rsidR="00353712" w:rsidRPr="00C17F37" w:rsidRDefault="00353712"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1.- Fundamento legal y administrativo para tener que subdividir algún predio.</w:t>
            </w:r>
          </w:p>
        </w:tc>
        <w:tc>
          <w:tcPr>
            <w:tcW w:w="3402" w:type="dxa"/>
          </w:tcPr>
          <w:p w14:paraId="2DB128F4" w14:textId="040F3079" w:rsidR="00353712" w:rsidRPr="00C17F37" w:rsidRDefault="008634D4"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Precisó que de conformidad con</w:t>
            </w:r>
            <w:r w:rsidR="00E5548A" w:rsidRPr="00C17F37">
              <w:rPr>
                <w:rFonts w:eastAsia="Calibri" w:cs="Tahoma"/>
                <w:iCs/>
                <w:sz w:val="18"/>
                <w:szCs w:val="18"/>
                <w:lang w:val="es-ES" w:eastAsia="es-ES_tradnl"/>
              </w:rPr>
              <w:t xml:space="preserve"> el artículo 4° del Reglamento del Libro Quinto del Código Administrativo del Estado de México, toda subdivisión requiere la autorización previa y expresa de las autoridades estatales o municipales competentes, conforme a los requisitos establecidos.</w:t>
            </w:r>
          </w:p>
        </w:tc>
        <w:tc>
          <w:tcPr>
            <w:tcW w:w="1876" w:type="dxa"/>
            <w:vMerge w:val="restart"/>
          </w:tcPr>
          <w:p w14:paraId="007CD8A2" w14:textId="027A6437" w:rsidR="00353712" w:rsidRPr="00C17F37" w:rsidRDefault="00C17F37" w:rsidP="00F363E5">
            <w:pPr>
              <w:tabs>
                <w:tab w:val="left" w:pos="4962"/>
              </w:tabs>
              <w:rPr>
                <w:rFonts w:eastAsia="Calibri" w:cs="Tahoma"/>
                <w:iCs/>
                <w:sz w:val="18"/>
                <w:szCs w:val="18"/>
                <w:lang w:val="es-ES" w:eastAsia="es-ES_tradnl"/>
              </w:rPr>
            </w:pPr>
            <w:r>
              <w:rPr>
                <w:rFonts w:eastAsia="Calibri" w:cs="Tahoma"/>
                <w:iCs/>
                <w:sz w:val="18"/>
                <w:szCs w:val="18"/>
                <w:lang w:val="es-ES" w:eastAsia="es-ES_tradnl"/>
              </w:rPr>
              <w:t xml:space="preserve">Se inconformó de la entrega de información que no corresponde con lo solicitado, al señalar que no le habían dado respuesta concreta a cada uno de sus cuestionamientos, lo cual actualiza la causal de procedencia establecida en el artículo 179, fracción </w:t>
            </w:r>
            <w:r>
              <w:rPr>
                <w:rFonts w:eastAsia="Calibri" w:cs="Tahoma"/>
                <w:iCs/>
                <w:sz w:val="18"/>
                <w:szCs w:val="18"/>
                <w:lang w:val="es-ES" w:eastAsia="es-ES_tradnl"/>
              </w:rPr>
              <w:lastRenderedPageBreak/>
              <w:t xml:space="preserve">VI, de la Ley de la Materia. </w:t>
            </w:r>
          </w:p>
        </w:tc>
        <w:tc>
          <w:tcPr>
            <w:tcW w:w="2278" w:type="dxa"/>
            <w:vMerge w:val="restart"/>
          </w:tcPr>
          <w:p w14:paraId="508F76F9" w14:textId="479ABC9C" w:rsidR="00353712" w:rsidRPr="00C17F37" w:rsidRDefault="00C17F37" w:rsidP="00F363E5">
            <w:pPr>
              <w:tabs>
                <w:tab w:val="left" w:pos="4962"/>
              </w:tabs>
              <w:jc w:val="center"/>
              <w:rPr>
                <w:rFonts w:eastAsia="Calibri" w:cs="Tahoma"/>
                <w:iCs/>
                <w:sz w:val="18"/>
                <w:szCs w:val="18"/>
                <w:lang w:val="es-ES" w:eastAsia="es-ES_tradnl"/>
              </w:rPr>
            </w:pPr>
            <w:r>
              <w:rPr>
                <w:rFonts w:eastAsia="Calibri" w:cs="Tahoma"/>
                <w:iCs/>
                <w:sz w:val="18"/>
                <w:szCs w:val="18"/>
                <w:lang w:val="es-ES" w:eastAsia="es-ES_tradnl"/>
              </w:rPr>
              <w:lastRenderedPageBreak/>
              <w:t>La Dirección de Catastro ratificó su respuesta primigenia.</w:t>
            </w:r>
          </w:p>
        </w:tc>
      </w:tr>
      <w:tr w:rsidR="00353712" w:rsidRPr="00C17F37" w14:paraId="318A734D" w14:textId="77777777" w:rsidTr="00C17F37">
        <w:tc>
          <w:tcPr>
            <w:tcW w:w="1555" w:type="dxa"/>
          </w:tcPr>
          <w:p w14:paraId="23970584" w14:textId="557FD7A2" w:rsidR="00353712" w:rsidRPr="00C17F37" w:rsidRDefault="00353712"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 xml:space="preserve">2.- </w:t>
            </w:r>
            <w:r w:rsidR="008634D4" w:rsidRPr="00C17F37">
              <w:rPr>
                <w:rFonts w:eastAsia="Calibri" w:cs="Tahoma"/>
                <w:iCs/>
                <w:sz w:val="18"/>
                <w:szCs w:val="18"/>
                <w:lang w:val="es-ES" w:eastAsia="es-ES_tradnl"/>
              </w:rPr>
              <w:t>Fundamento legal y administrativo para obtener una nueva cuenta catastral.</w:t>
            </w:r>
          </w:p>
        </w:tc>
        <w:tc>
          <w:tcPr>
            <w:tcW w:w="3402" w:type="dxa"/>
          </w:tcPr>
          <w:p w14:paraId="4FCCA0A3" w14:textId="77777777" w:rsidR="00353712" w:rsidRPr="00C17F37" w:rsidRDefault="00E5548A"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 xml:space="preserve">De conformidad con el artículo 175 del Código Financiero del Estado de México y Municipios, los propietarios o poseedores de inmuebles están obligados a inscribir dichos ante el catastro del Ayuntamiento; por lo que, cuando se fusione, subdivida, lotifique, </w:t>
            </w:r>
            <w:proofErr w:type="spellStart"/>
            <w:r w:rsidRPr="00C17F37">
              <w:rPr>
                <w:rFonts w:eastAsia="Calibri" w:cs="Tahoma"/>
                <w:iCs/>
                <w:sz w:val="18"/>
                <w:szCs w:val="18"/>
                <w:lang w:val="es-ES" w:eastAsia="es-ES_tradnl"/>
              </w:rPr>
              <w:lastRenderedPageBreak/>
              <w:t>relotifique</w:t>
            </w:r>
            <w:proofErr w:type="spellEnd"/>
            <w:r w:rsidRPr="00C17F37">
              <w:rPr>
                <w:rFonts w:eastAsia="Calibri" w:cs="Tahoma"/>
                <w:iCs/>
                <w:sz w:val="18"/>
                <w:szCs w:val="18"/>
                <w:lang w:val="es-ES" w:eastAsia="es-ES_tradnl"/>
              </w:rPr>
              <w:t>, entre otros, es necesario actualizar los datos técnicos, administrativos y el valor en el padrón catastral y, en su caso, asignar nuevas claves.</w:t>
            </w:r>
          </w:p>
          <w:p w14:paraId="0E282BE0" w14:textId="77777777" w:rsidR="00C17F37" w:rsidRPr="00C17F37" w:rsidRDefault="00C17F37" w:rsidP="00F363E5">
            <w:pPr>
              <w:tabs>
                <w:tab w:val="left" w:pos="4962"/>
              </w:tabs>
              <w:rPr>
                <w:rFonts w:eastAsia="Calibri" w:cs="Tahoma"/>
                <w:iCs/>
                <w:sz w:val="18"/>
                <w:szCs w:val="18"/>
                <w:lang w:val="es-ES" w:eastAsia="es-ES_tradnl"/>
              </w:rPr>
            </w:pPr>
          </w:p>
          <w:p w14:paraId="73BB5006" w14:textId="7F8A395C" w:rsidR="00C17F37" w:rsidRPr="00C17F37" w:rsidRDefault="00C17F37"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 xml:space="preserve">Situación que se robustece con la política </w:t>
            </w:r>
            <w:r w:rsidRPr="00C17F37">
              <w:rPr>
                <w:rFonts w:eastAsia="Calibri" w:cs="Tahoma"/>
                <w:iCs/>
                <w:sz w:val="18"/>
                <w:szCs w:val="18"/>
                <w:lang w:eastAsia="es-ES_tradnl"/>
              </w:rPr>
              <w:t>ACGC014, del Manual Catastral del Estado de México.</w:t>
            </w:r>
          </w:p>
        </w:tc>
        <w:tc>
          <w:tcPr>
            <w:tcW w:w="1876" w:type="dxa"/>
            <w:vMerge/>
          </w:tcPr>
          <w:p w14:paraId="73F9E36C" w14:textId="77777777" w:rsidR="00353712" w:rsidRPr="00C17F37" w:rsidRDefault="00353712" w:rsidP="00F363E5">
            <w:pPr>
              <w:tabs>
                <w:tab w:val="left" w:pos="4962"/>
              </w:tabs>
              <w:rPr>
                <w:rFonts w:eastAsia="Calibri" w:cs="Tahoma"/>
                <w:iCs/>
                <w:sz w:val="18"/>
                <w:szCs w:val="18"/>
                <w:lang w:val="es-ES" w:eastAsia="es-ES_tradnl"/>
              </w:rPr>
            </w:pPr>
          </w:p>
        </w:tc>
        <w:tc>
          <w:tcPr>
            <w:tcW w:w="2278" w:type="dxa"/>
            <w:vMerge/>
          </w:tcPr>
          <w:p w14:paraId="5496A024" w14:textId="77777777" w:rsidR="00353712" w:rsidRPr="00C17F37" w:rsidRDefault="00353712" w:rsidP="00F363E5">
            <w:pPr>
              <w:tabs>
                <w:tab w:val="left" w:pos="4962"/>
              </w:tabs>
              <w:rPr>
                <w:rFonts w:eastAsia="Calibri" w:cs="Tahoma"/>
                <w:iCs/>
                <w:sz w:val="18"/>
                <w:szCs w:val="18"/>
                <w:lang w:val="es-ES" w:eastAsia="es-ES_tradnl"/>
              </w:rPr>
            </w:pPr>
          </w:p>
        </w:tc>
      </w:tr>
      <w:tr w:rsidR="00353712" w:rsidRPr="00C17F37" w14:paraId="738B7F1D" w14:textId="77777777" w:rsidTr="00C17F37">
        <w:tc>
          <w:tcPr>
            <w:tcW w:w="1555" w:type="dxa"/>
          </w:tcPr>
          <w:p w14:paraId="27760BDE" w14:textId="23353B62" w:rsidR="00353712" w:rsidRPr="00C17F37" w:rsidRDefault="008634D4"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3.- Fundamento Legal y administrativo, para que el Cabildo de un Municipio, pueda subdividir un terreno.</w:t>
            </w:r>
          </w:p>
        </w:tc>
        <w:tc>
          <w:tcPr>
            <w:tcW w:w="3402" w:type="dxa"/>
          </w:tcPr>
          <w:p w14:paraId="76B214A5" w14:textId="14B2CDDD" w:rsidR="00353712" w:rsidRPr="00C17F37" w:rsidRDefault="00C17F37" w:rsidP="00F363E5">
            <w:pPr>
              <w:tabs>
                <w:tab w:val="left" w:pos="4962"/>
              </w:tabs>
              <w:rPr>
                <w:rFonts w:eastAsia="Calibri" w:cs="Tahoma"/>
                <w:iCs/>
                <w:sz w:val="18"/>
                <w:szCs w:val="18"/>
                <w:lang w:val="es-ES" w:eastAsia="es-ES_tradnl"/>
              </w:rPr>
            </w:pPr>
            <w:r w:rsidRPr="00C17F37">
              <w:rPr>
                <w:rFonts w:eastAsia="Calibri" w:cs="Tahoma"/>
                <w:iCs/>
                <w:sz w:val="18"/>
                <w:szCs w:val="18"/>
                <w:lang w:val="es-ES" w:eastAsia="es-ES_tradnl"/>
              </w:rPr>
              <w:t>Precisó que de conformidad con el artículo 31 de la Ley Orgánica Municipal del Estado de México y la fracción I, del 89, del Reglamento del Libro Quinto del Código Administrativo del Estado de México, el Cabildo no cuenta con facultades para subdividir un terreno, pues dicha atribución recae en la Secretaría de Desarrollo Urbano y Obra del Gobierno del Estado de México.</w:t>
            </w:r>
          </w:p>
        </w:tc>
        <w:tc>
          <w:tcPr>
            <w:tcW w:w="1876" w:type="dxa"/>
            <w:vMerge/>
          </w:tcPr>
          <w:p w14:paraId="28CEE558" w14:textId="77777777" w:rsidR="00353712" w:rsidRPr="00C17F37" w:rsidRDefault="00353712" w:rsidP="00F363E5">
            <w:pPr>
              <w:tabs>
                <w:tab w:val="left" w:pos="4962"/>
              </w:tabs>
              <w:rPr>
                <w:rFonts w:eastAsia="Calibri" w:cs="Tahoma"/>
                <w:iCs/>
                <w:sz w:val="18"/>
                <w:szCs w:val="18"/>
                <w:lang w:val="es-ES" w:eastAsia="es-ES_tradnl"/>
              </w:rPr>
            </w:pPr>
          </w:p>
        </w:tc>
        <w:tc>
          <w:tcPr>
            <w:tcW w:w="2278" w:type="dxa"/>
            <w:vMerge/>
          </w:tcPr>
          <w:p w14:paraId="24412DEC" w14:textId="77777777" w:rsidR="00353712" w:rsidRPr="00C17F37" w:rsidRDefault="00353712" w:rsidP="00F363E5">
            <w:pPr>
              <w:tabs>
                <w:tab w:val="left" w:pos="4962"/>
              </w:tabs>
              <w:rPr>
                <w:rFonts w:eastAsia="Calibri" w:cs="Tahoma"/>
                <w:iCs/>
                <w:sz w:val="18"/>
                <w:szCs w:val="18"/>
                <w:lang w:val="es-ES" w:eastAsia="es-ES_tradnl"/>
              </w:rPr>
            </w:pPr>
          </w:p>
        </w:tc>
      </w:tr>
    </w:tbl>
    <w:p w14:paraId="2921508D" w14:textId="77777777" w:rsidR="00353712" w:rsidRDefault="00353712" w:rsidP="00F363E5">
      <w:pPr>
        <w:tabs>
          <w:tab w:val="left" w:pos="4962"/>
        </w:tabs>
        <w:spacing w:after="0"/>
        <w:rPr>
          <w:rFonts w:eastAsia="Calibri" w:cs="Tahoma"/>
          <w:iCs/>
          <w:lang w:val="es-ES" w:eastAsia="es-ES_tradnl"/>
        </w:rPr>
      </w:pPr>
    </w:p>
    <w:p w14:paraId="633D5E44" w14:textId="2A18EF4F" w:rsidR="002B7026" w:rsidRPr="00A2355B" w:rsidRDefault="002B7026" w:rsidP="00F363E5">
      <w:pPr>
        <w:spacing w:after="0"/>
        <w:rPr>
          <w:rFonts w:eastAsia="Times New Roman" w:cs="Tahoma"/>
          <w:bCs/>
          <w:iCs/>
          <w:color w:val="auto"/>
          <w:lang w:eastAsia="es-ES"/>
        </w:rPr>
      </w:pPr>
      <w:r w:rsidRPr="00A2355B">
        <w:rPr>
          <w:rFonts w:eastAsia="Times New Roman" w:cs="Tahoma"/>
          <w:bCs/>
          <w:iCs/>
          <w:color w:val="auto"/>
          <w:lang w:eastAsia="es-ES"/>
        </w:rPr>
        <w:t>Lo anterior, se desprende de las documentales que obran en los expedientes de referencia, materia de la presente resolución, consistente en: la solicitud de acceso a la información</w:t>
      </w:r>
      <w:r w:rsidR="00376DE8" w:rsidRPr="00A2355B">
        <w:rPr>
          <w:rFonts w:eastAsia="Times New Roman" w:cs="Tahoma"/>
          <w:bCs/>
          <w:iCs/>
          <w:color w:val="auto"/>
          <w:lang w:eastAsia="es-ES"/>
        </w:rPr>
        <w:t>;</w:t>
      </w:r>
      <w:r w:rsidRPr="00A2355B">
        <w:rPr>
          <w:rFonts w:eastAsia="Times New Roman" w:cs="Tahoma"/>
          <w:bCs/>
          <w:iCs/>
          <w:color w:val="auto"/>
          <w:lang w:eastAsia="es-ES"/>
        </w:rPr>
        <w:t xml:space="preserve"> la respuesta del Ente Recurrido</w:t>
      </w:r>
      <w:r w:rsidR="00376DE8" w:rsidRPr="00A2355B">
        <w:rPr>
          <w:rFonts w:eastAsia="Times New Roman" w:cs="Tahoma"/>
          <w:bCs/>
          <w:iCs/>
          <w:color w:val="auto"/>
          <w:lang w:eastAsia="es-ES"/>
        </w:rPr>
        <w:t>;</w:t>
      </w:r>
      <w:r w:rsidRPr="00A2355B">
        <w:rPr>
          <w:rFonts w:eastAsia="Times New Roman" w:cs="Tahoma"/>
          <w:bCs/>
          <w:iCs/>
          <w:color w:val="auto"/>
          <w:lang w:eastAsia="es-ES"/>
        </w:rPr>
        <w:t xml:space="preserve"> el escrito recursal</w:t>
      </w:r>
      <w:r w:rsidR="00376DE8" w:rsidRPr="00A2355B">
        <w:rPr>
          <w:rFonts w:eastAsia="Times New Roman" w:cs="Tahoma"/>
          <w:bCs/>
          <w:iCs/>
          <w:color w:val="auto"/>
          <w:lang w:eastAsia="es-ES"/>
        </w:rPr>
        <w:t>,</w:t>
      </w:r>
      <w:r w:rsidRPr="00A2355B">
        <w:rPr>
          <w:rFonts w:eastAsia="Times New Roman" w:cs="Tahoma"/>
          <w:bCs/>
          <w:iCs/>
          <w:color w:val="auto"/>
          <w:lang w:eastAsia="es-ES"/>
        </w:rPr>
        <w:t xml:space="preserve"> y el Informe Justificado del Sujeto Obligado </w:t>
      </w:r>
      <w:r w:rsidRPr="00A2355B">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14:paraId="38FB9C26" w14:textId="77777777" w:rsidR="00D8203F" w:rsidRPr="00A2355B" w:rsidRDefault="00D8203F" w:rsidP="00F363E5">
      <w:pPr>
        <w:spacing w:after="0"/>
        <w:rPr>
          <w:rFonts w:eastAsia="Times New Roman" w:cs="Tahoma"/>
          <w:bCs/>
          <w:color w:val="auto"/>
          <w:lang w:eastAsia="es-ES"/>
        </w:rPr>
      </w:pPr>
    </w:p>
    <w:p w14:paraId="27A23459" w14:textId="77777777" w:rsidR="00D8203F" w:rsidRPr="00A2355B" w:rsidRDefault="00D8203F" w:rsidP="00F363E5">
      <w:pPr>
        <w:spacing w:after="0"/>
        <w:rPr>
          <w:rFonts w:eastAsia="Times New Roman" w:cs="Tahoma"/>
          <w:b/>
          <w:bCs/>
          <w:color w:val="auto"/>
          <w:lang w:eastAsia="es-ES"/>
        </w:rPr>
      </w:pPr>
      <w:r w:rsidRPr="00A2355B">
        <w:rPr>
          <w:rFonts w:eastAsia="Times New Roman" w:cs="Tahoma"/>
          <w:b/>
          <w:bCs/>
          <w:color w:val="auto"/>
          <w:lang w:val="es-ES" w:eastAsia="es-ES"/>
        </w:rPr>
        <w:t xml:space="preserve">CUARTO. </w:t>
      </w:r>
      <w:r w:rsidRPr="00A2355B">
        <w:rPr>
          <w:rFonts w:eastAsia="Times New Roman" w:cs="Tahoma"/>
          <w:b/>
          <w:bCs/>
          <w:color w:val="auto"/>
          <w:lang w:eastAsia="es-ES"/>
        </w:rPr>
        <w:t>Marco normativo aplicable en materia de transparencia y acceso a la información pública.</w:t>
      </w:r>
    </w:p>
    <w:p w14:paraId="0047DB3D"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lastRenderedPageBreak/>
        <w:t xml:space="preserve">El artículo 6°, Apartado A), fracción I de la Constitución Política de los Estados Unidos Mexicanos, establece que toda la información en posesión de cualquier </w:t>
      </w:r>
      <w:proofErr w:type="gramStart"/>
      <w:r w:rsidRPr="00A2355B">
        <w:rPr>
          <w:rFonts w:eastAsia="Times New Roman" w:cs="Tahoma"/>
          <w:bCs/>
          <w:color w:val="auto"/>
          <w:lang w:eastAsia="es-ES"/>
        </w:rPr>
        <w:t>autoridad,</w:t>
      </w:r>
      <w:proofErr w:type="gramEnd"/>
      <w:r w:rsidRPr="00A2355B">
        <w:rPr>
          <w:rFonts w:eastAsia="Times New Roman" w:cs="Tahoma"/>
          <w:bCs/>
          <w:color w:val="auto"/>
          <w:lang w:eastAsia="es-ES"/>
        </w:rPr>
        <w:t xml:space="preserve"> es pública y sólo podrá ser reservada temporalmente por razones de interés público.</w:t>
      </w:r>
    </w:p>
    <w:p w14:paraId="5FB270E6" w14:textId="77777777" w:rsidR="00D8203F" w:rsidRPr="00A2355B" w:rsidRDefault="00D8203F" w:rsidP="00F363E5">
      <w:pPr>
        <w:spacing w:after="0"/>
        <w:rPr>
          <w:rFonts w:eastAsia="Times New Roman" w:cs="Tahoma"/>
          <w:bCs/>
          <w:color w:val="auto"/>
          <w:lang w:eastAsia="es-ES"/>
        </w:rPr>
      </w:pPr>
    </w:p>
    <w:p w14:paraId="5BA21B2B" w14:textId="7CD74CCC"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4F93342" w14:textId="77777777" w:rsidR="00D8203F" w:rsidRPr="00A2355B" w:rsidRDefault="00D8203F" w:rsidP="00F363E5">
      <w:pPr>
        <w:spacing w:after="0"/>
        <w:rPr>
          <w:rFonts w:eastAsia="Times New Roman" w:cs="Tahoma"/>
          <w:bCs/>
          <w:color w:val="auto"/>
          <w:lang w:eastAsia="es-ES"/>
        </w:rPr>
      </w:pPr>
    </w:p>
    <w:p w14:paraId="173067BC"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7085B68" w14:textId="77777777" w:rsidR="00D8203F" w:rsidRPr="00A2355B" w:rsidRDefault="00D8203F" w:rsidP="00F363E5">
      <w:pPr>
        <w:spacing w:after="0"/>
        <w:rPr>
          <w:rFonts w:eastAsia="Times New Roman" w:cs="Tahoma"/>
          <w:bCs/>
          <w:color w:val="auto"/>
          <w:lang w:eastAsia="es-ES"/>
        </w:rPr>
      </w:pPr>
    </w:p>
    <w:p w14:paraId="56A782E4"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Por su parte, la Ley de Transparencia y Acceso a la Información Pública del Estado de México y Municipios (Reglamentaria del artículo 5° de la Constitución Local), establece lo siguiente:</w:t>
      </w:r>
    </w:p>
    <w:p w14:paraId="7355440F" w14:textId="77777777" w:rsidR="00D8203F" w:rsidRPr="00A2355B" w:rsidRDefault="00D8203F" w:rsidP="00F363E5">
      <w:pPr>
        <w:spacing w:after="0"/>
        <w:rPr>
          <w:rFonts w:eastAsia="Times New Roman" w:cs="Tahoma"/>
          <w:bCs/>
          <w:color w:val="auto"/>
          <w:lang w:eastAsia="es-ES"/>
        </w:rPr>
      </w:pPr>
    </w:p>
    <w:p w14:paraId="2920EE7C"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El artículo 12, que, quienes generen, recopilen, administren, manejen, procesen, archiven o conserven información pública serán responsables de la misma.</w:t>
      </w:r>
    </w:p>
    <w:p w14:paraId="6F69C869" w14:textId="77777777" w:rsidR="00D8203F" w:rsidRPr="00A2355B" w:rsidRDefault="00D8203F" w:rsidP="00F363E5">
      <w:pPr>
        <w:spacing w:after="0"/>
        <w:rPr>
          <w:rFonts w:eastAsia="Times New Roman" w:cs="Tahoma"/>
          <w:bCs/>
          <w:color w:val="auto"/>
          <w:lang w:eastAsia="es-ES"/>
        </w:rPr>
      </w:pPr>
    </w:p>
    <w:p w14:paraId="483A5B48" w14:textId="77777777"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01CCABCE" w14:textId="77777777" w:rsidR="00D8203F" w:rsidRPr="00A2355B" w:rsidRDefault="00D8203F" w:rsidP="00F363E5">
      <w:pPr>
        <w:spacing w:after="0"/>
        <w:rPr>
          <w:rFonts w:eastAsia="Times New Roman" w:cs="Tahoma"/>
          <w:bCs/>
          <w:color w:val="auto"/>
          <w:lang w:eastAsia="es-ES"/>
        </w:rPr>
      </w:pPr>
    </w:p>
    <w:p w14:paraId="23E7BEBA" w14:textId="1B6B124F" w:rsidR="00D8203F" w:rsidRPr="00A2355B" w:rsidRDefault="00D8203F" w:rsidP="00F363E5">
      <w:pPr>
        <w:spacing w:after="0"/>
        <w:rPr>
          <w:rFonts w:eastAsia="Times New Roman" w:cs="Tahoma"/>
          <w:bCs/>
          <w:color w:val="auto"/>
          <w:lang w:eastAsia="es-ES"/>
        </w:rPr>
      </w:pPr>
      <w:r w:rsidRPr="00A2355B">
        <w:rPr>
          <w:rFonts w:eastAsia="Times New Roman" w:cs="Tahoma"/>
          <w:bCs/>
          <w:color w:val="auto"/>
          <w:lang w:eastAsia="es-ES"/>
        </w:rPr>
        <w:t xml:space="preserve">El artículo 19, que, se presume que la información debe existir si se refiere a las facultades, competencias y funciones que los ordenamientos jurídicos aplicables otorgan a los sujetos </w:t>
      </w:r>
      <w:r w:rsidRPr="00A2355B">
        <w:rPr>
          <w:rFonts w:eastAsia="Times New Roman" w:cs="Tahoma"/>
          <w:bCs/>
          <w:color w:val="auto"/>
          <w:lang w:eastAsia="es-ES"/>
        </w:rPr>
        <w:lastRenderedPageBreak/>
        <w:t>obligados y en caso de que dichas facultades no se hayan ejercido, se deberá motivar la respuesta en función de las causas que motivaron tal circunstancia.</w:t>
      </w:r>
    </w:p>
    <w:p w14:paraId="75AA1D77" w14:textId="77777777" w:rsidR="003C67AD" w:rsidRPr="00A2355B" w:rsidRDefault="003C67AD" w:rsidP="00F363E5">
      <w:pPr>
        <w:spacing w:after="0"/>
        <w:rPr>
          <w:rFonts w:eastAsia="Times New Roman" w:cs="Tahoma"/>
          <w:bCs/>
          <w:color w:val="auto"/>
          <w:lang w:eastAsia="es-ES"/>
        </w:rPr>
      </w:pPr>
    </w:p>
    <w:p w14:paraId="42F8BEC1" w14:textId="77777777" w:rsidR="00D8203F" w:rsidRPr="00A2355B" w:rsidRDefault="00D8203F" w:rsidP="00F363E5">
      <w:pPr>
        <w:spacing w:after="0"/>
        <w:rPr>
          <w:rFonts w:eastAsia="Times New Roman" w:cs="Tahoma"/>
          <w:b/>
          <w:bCs/>
          <w:color w:val="auto"/>
          <w:lang w:val="es-ES" w:eastAsia="es-ES"/>
        </w:rPr>
      </w:pPr>
      <w:r w:rsidRPr="00A2355B">
        <w:rPr>
          <w:rFonts w:eastAsia="Times New Roman" w:cs="Tahoma"/>
          <w:b/>
          <w:bCs/>
          <w:color w:val="auto"/>
          <w:lang w:val="es-ES" w:eastAsia="es-ES"/>
        </w:rPr>
        <w:t>Quinto. Estudio de Fondo.</w:t>
      </w:r>
    </w:p>
    <w:p w14:paraId="5BBAD47E" w14:textId="46363FEF" w:rsidR="00D8203F" w:rsidRDefault="00D8203F" w:rsidP="00F363E5">
      <w:pPr>
        <w:spacing w:after="0"/>
        <w:rPr>
          <w:rFonts w:eastAsia="Times New Roman" w:cs="Tahoma"/>
          <w:bCs/>
          <w:color w:val="auto"/>
          <w:lang w:eastAsia="es-ES"/>
        </w:rPr>
      </w:pPr>
    </w:p>
    <w:p w14:paraId="00EAA0DE" w14:textId="0CFB8DC3" w:rsidR="00B76E72" w:rsidRPr="00B76E72" w:rsidRDefault="005B080B" w:rsidP="00F363E5">
      <w:pPr>
        <w:tabs>
          <w:tab w:val="left" w:pos="4962"/>
        </w:tabs>
        <w:spacing w:after="0"/>
        <w:rPr>
          <w:rFonts w:eastAsia="Calibri" w:cs="Tahoma"/>
          <w:iCs/>
          <w:color w:val="auto"/>
          <w:lang w:val="es-ES" w:eastAsia="es-ES_tradnl"/>
        </w:rPr>
      </w:pPr>
      <w:r>
        <w:rPr>
          <w:rFonts w:eastAsia="Calibri" w:cs="Tahoma"/>
          <w:iCs/>
          <w:color w:val="auto"/>
          <w:lang w:val="es-ES" w:eastAsia="es-ES_tradnl"/>
        </w:rPr>
        <w:t>Como se logra observar de las solicitudes de información</w:t>
      </w:r>
      <w:r w:rsidR="00B76E72" w:rsidRPr="00B76E72">
        <w:rPr>
          <w:rFonts w:eastAsia="Calibri" w:cs="Tahoma"/>
          <w:iCs/>
          <w:color w:val="auto"/>
          <w:lang w:val="es-ES" w:eastAsia="es-ES_tradnl"/>
        </w:rPr>
        <w:t>,</w:t>
      </w:r>
      <w:r>
        <w:rPr>
          <w:rFonts w:eastAsia="Calibri" w:cs="Tahoma"/>
          <w:iCs/>
          <w:color w:val="auto"/>
          <w:lang w:val="es-ES" w:eastAsia="es-ES_tradnl"/>
        </w:rPr>
        <w:t xml:space="preserve"> el ahora Recurrente</w:t>
      </w:r>
      <w:r w:rsidR="00B76E72" w:rsidRPr="00B76E72">
        <w:rPr>
          <w:rFonts w:eastAsia="Calibri" w:cs="Tahoma"/>
          <w:iCs/>
          <w:color w:val="auto"/>
          <w:lang w:val="es-ES" w:eastAsia="es-ES_tradnl"/>
        </w:rPr>
        <w:t xml:space="preserve"> requirió, se le diera respuesta, a diversos cuestionamientos; con lo cual, de su simple lectura, se logra desprender que, para atender dicha solicitud, el Sujeto Obligado tendría que elaborar un documento </w:t>
      </w:r>
      <w:r w:rsidR="00B76E72" w:rsidRPr="00B76E72">
        <w:rPr>
          <w:rFonts w:eastAsia="Calibri" w:cs="Tahoma"/>
          <w:i/>
          <w:iCs/>
          <w:color w:val="auto"/>
          <w:lang w:val="es-ES" w:eastAsia="es-ES_tradnl"/>
        </w:rPr>
        <w:t>ad hoc.</w:t>
      </w:r>
    </w:p>
    <w:p w14:paraId="442A1C8C" w14:textId="77777777" w:rsidR="00B76E72" w:rsidRPr="00B76E72" w:rsidRDefault="00B76E72" w:rsidP="00F363E5">
      <w:pPr>
        <w:tabs>
          <w:tab w:val="left" w:pos="4962"/>
        </w:tabs>
        <w:spacing w:after="0"/>
        <w:rPr>
          <w:rFonts w:eastAsia="Calibri" w:cs="Tahoma"/>
          <w:iCs/>
          <w:color w:val="auto"/>
          <w:lang w:val="es-ES" w:eastAsia="es-ES_tradnl"/>
        </w:rPr>
      </w:pPr>
    </w:p>
    <w:p w14:paraId="1E95EDAC" w14:textId="77777777" w:rsidR="00B76E72" w:rsidRPr="00B76E72" w:rsidRDefault="00B76E72" w:rsidP="00F363E5">
      <w:pPr>
        <w:spacing w:after="0"/>
        <w:rPr>
          <w:rFonts w:eastAsia="Times New Roman" w:cs="Times New Roman"/>
          <w:lang w:val="es-ES" w:eastAsia="es-MX"/>
        </w:rPr>
      </w:pPr>
      <w:r w:rsidRPr="00B76E72">
        <w:rPr>
          <w:rFonts w:eastAsia="Times New Roman" w:cs="Times New Roman"/>
          <w:lang w:val="es-ES" w:eastAsia="es-MX"/>
        </w:rPr>
        <w:t>Sobre el particular, cabe traer a colación los artículos 2°, fracción II, </w:t>
      </w:r>
      <w:r w:rsidRPr="00B76E72">
        <w:rPr>
          <w:rFonts w:eastAsia="Times New Roman" w:cs="Times New Roman"/>
          <w:lang w:eastAsia="es-MX"/>
        </w:rPr>
        <w:t>3°, fracción XI y 18 de </w:t>
      </w:r>
      <w:r w:rsidRPr="00B76E72">
        <w:rPr>
          <w:rFonts w:eastAsia="Times New Roman" w:cs="Times New Roman"/>
          <w:lang w:val="es-ES" w:eastAsia="es-MX"/>
        </w:rPr>
        <w:t>la Ley de Transparencia y Acceso a la Información Pública del Estado de México y Municipios, que disponen lo siguiente:</w:t>
      </w:r>
    </w:p>
    <w:p w14:paraId="78CB9102" w14:textId="77777777" w:rsidR="00B76E72" w:rsidRPr="00B76E72" w:rsidRDefault="00B76E72" w:rsidP="00F363E5">
      <w:pPr>
        <w:spacing w:after="0"/>
        <w:rPr>
          <w:rFonts w:eastAsia="Times New Roman" w:cs="Times New Roman"/>
          <w:lang w:val="es-ES" w:eastAsia="es-MX"/>
        </w:rPr>
      </w:pPr>
    </w:p>
    <w:p w14:paraId="3486FC67" w14:textId="77777777" w:rsidR="00B76E72" w:rsidRPr="005B080B" w:rsidRDefault="00B76E72" w:rsidP="00F363E5">
      <w:pPr>
        <w:pStyle w:val="Prrafodelista"/>
        <w:numPr>
          <w:ilvl w:val="0"/>
          <w:numId w:val="36"/>
        </w:numPr>
        <w:spacing w:after="0"/>
        <w:rPr>
          <w:rFonts w:eastAsia="Times New Roman" w:cs="Times New Roman"/>
          <w:lang w:eastAsia="es-MX"/>
        </w:rPr>
      </w:pPr>
      <w:r w:rsidRPr="005B080B">
        <w:rPr>
          <w:rFonts w:eastAsia="Times New Roman" w:cs="Times New Roman"/>
          <w:lang w:eastAsia="es-MX"/>
        </w:rPr>
        <w:t xml:space="preserve">Que uno de los objetivos de la Ley es proveer lo necesario para garantizar a toda persona el derecho de acceso a la información pública; </w:t>
      </w:r>
    </w:p>
    <w:p w14:paraId="398DCCDE" w14:textId="77777777" w:rsidR="00B76E72" w:rsidRPr="00B76E72" w:rsidRDefault="00B76E72" w:rsidP="00F363E5">
      <w:pPr>
        <w:spacing w:after="0"/>
        <w:rPr>
          <w:rFonts w:eastAsia="Times New Roman" w:cs="Times New Roman"/>
          <w:lang w:eastAsia="es-MX"/>
        </w:rPr>
      </w:pPr>
    </w:p>
    <w:p w14:paraId="0FF92523" w14:textId="77777777" w:rsidR="00B76E72" w:rsidRPr="005B080B" w:rsidRDefault="00B76E72" w:rsidP="00F363E5">
      <w:pPr>
        <w:pStyle w:val="Prrafodelista"/>
        <w:numPr>
          <w:ilvl w:val="0"/>
          <w:numId w:val="36"/>
        </w:numPr>
        <w:spacing w:after="0"/>
        <w:rPr>
          <w:rFonts w:eastAsia="Times New Roman" w:cs="Times New Roman"/>
          <w:lang w:eastAsia="es-MX"/>
        </w:rPr>
      </w:pPr>
      <w:r w:rsidRPr="005B080B">
        <w:rPr>
          <w:rFonts w:eastAsia="Times New Roman" w:cs="Times New Roman"/>
          <w:lang w:eastAsia="es-MX"/>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641263F0"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eastAsia="es-MX"/>
        </w:rPr>
        <w:t> </w:t>
      </w:r>
    </w:p>
    <w:p w14:paraId="3090DF2E"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eastAsia="es-MX"/>
        </w:rPr>
        <w:lastRenderedPageBreak/>
        <w:t>Aunado a lo anterior, el artículo 4° de dicho ordenamiento jurídico, establece que la información es aquella </w:t>
      </w:r>
      <w:r w:rsidRPr="00B76E72">
        <w:rPr>
          <w:rFonts w:eastAsia="Times New Roman" w:cs="Times New Roman"/>
          <w:b/>
          <w:bCs/>
          <w:lang w:eastAsia="es-MX"/>
        </w:rPr>
        <w:t>generada, obtenida, adquirida, transformada</w:t>
      </w:r>
      <w:r w:rsidRPr="00B76E72">
        <w:rPr>
          <w:rFonts w:eastAsia="Times New Roman" w:cs="Times New Roman"/>
          <w:lang w:eastAsia="es-MX"/>
        </w:rPr>
        <w:t> por los sujetos obligados, o en su caso, </w:t>
      </w:r>
      <w:r w:rsidRPr="00B76E72">
        <w:rPr>
          <w:rFonts w:eastAsia="Times New Roman" w:cs="Times New Roman"/>
          <w:b/>
          <w:bCs/>
          <w:lang w:eastAsia="es-MX"/>
        </w:rPr>
        <w:t>la tengan en su posesión, será pública y accesible para cualquier persona.</w:t>
      </w:r>
    </w:p>
    <w:p w14:paraId="40CEBE41"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 </w:t>
      </w:r>
    </w:p>
    <w:p w14:paraId="56659595" w14:textId="77777777" w:rsidR="00B76E72" w:rsidRPr="00B76E72" w:rsidRDefault="00B76E72" w:rsidP="00F363E5">
      <w:pPr>
        <w:spacing w:after="0"/>
        <w:rPr>
          <w:rFonts w:ascii="Times New Roman" w:eastAsia="Times New Roman" w:hAnsi="Times New Roman" w:cs="Times New Roman"/>
          <w:b/>
          <w:lang w:eastAsia="es-MX"/>
        </w:rPr>
      </w:pPr>
      <w:r w:rsidRPr="00B76E72">
        <w:rPr>
          <w:rFonts w:eastAsia="Times New Roman" w:cs="Times New Roman"/>
          <w:lang w:val="es-ES" w:eastAsia="es-MX"/>
        </w:rPr>
        <w:t xml:space="preserve">Así, se advierte que el derecho de acceso a la </w:t>
      </w:r>
      <w:proofErr w:type="gramStart"/>
      <w:r w:rsidRPr="00B76E72">
        <w:rPr>
          <w:rFonts w:eastAsia="Times New Roman" w:cs="Times New Roman"/>
          <w:lang w:val="es-ES" w:eastAsia="es-MX"/>
        </w:rPr>
        <w:t>información,</w:t>
      </w:r>
      <w:proofErr w:type="gramEnd"/>
      <w:r w:rsidRPr="00B76E72">
        <w:rPr>
          <w:rFonts w:eastAsia="Times New Roman" w:cs="Times New Roman"/>
          <w:lang w:val="es-ES" w:eastAsia="es-MX"/>
        </w:rPr>
        <w:t xml:space="preserve"> consiste en una prerrogativa de cualquier persona, a solicitar información pública que conste en </w:t>
      </w:r>
      <w:r w:rsidRPr="00B76E72">
        <w:rPr>
          <w:rFonts w:eastAsia="Times New Roman" w:cs="Times New Roman"/>
          <w:b/>
          <w:lang w:val="es-ES" w:eastAsia="es-MX"/>
        </w:rPr>
        <w:t>documentos generados, obtenidos, adquiridos, transformados o que tengan en posesión los sujetos obligados.</w:t>
      </w:r>
    </w:p>
    <w:p w14:paraId="12286A65"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 </w:t>
      </w:r>
    </w:p>
    <w:p w14:paraId="3386626F"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57B0993"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 </w:t>
      </w:r>
    </w:p>
    <w:p w14:paraId="1C2B30A9"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 xml:space="preserve">De tales circunstancias, se colige que los sujetos obligados únicamente están constreñidos a proporcionar </w:t>
      </w:r>
      <w:r w:rsidRPr="00B76E72">
        <w:rPr>
          <w:rFonts w:eastAsia="Times New Roman" w:cs="Times New Roman"/>
          <w:b/>
          <w:lang w:val="es-ES" w:eastAsia="es-MX"/>
        </w:rPr>
        <w:t>la documentación que obre en sus archivos</w:t>
      </w:r>
      <w:r w:rsidRPr="00B76E72">
        <w:rPr>
          <w:rFonts w:eastAsia="Times New Roman" w:cs="Times New Roman"/>
          <w:lang w:val="es-ES" w:eastAsia="es-MX"/>
        </w:rPr>
        <w:t>; por lo que, no están obligados a generar o elaborar documentos </w:t>
      </w:r>
      <w:r w:rsidRPr="00B76E72">
        <w:rPr>
          <w:rFonts w:eastAsia="Times New Roman" w:cs="Times New Roman"/>
          <w:i/>
          <w:iCs/>
          <w:lang w:val="es-ES" w:eastAsia="es-MX"/>
        </w:rPr>
        <w:t>ad hoc, </w:t>
      </w:r>
      <w:r w:rsidRPr="00B76E72">
        <w:rPr>
          <w:rFonts w:eastAsia="Times New Roman" w:cs="Times New Roman"/>
          <w:lang w:val="es-ES" w:eastAsia="es-MX"/>
        </w:rPr>
        <w:t>como es el caso de proporcionar respuesta a un cuestionamiento.</w:t>
      </w:r>
    </w:p>
    <w:p w14:paraId="3FF67838"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 </w:t>
      </w:r>
    </w:p>
    <w:p w14:paraId="6D6ED85A"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Robustece lo anterior el Criterio 03/17 emitido por el Instituto Nacional de Transparencia, Acceso a la Información y Protección de Datos Personales, que a continuación se cita:</w:t>
      </w:r>
    </w:p>
    <w:p w14:paraId="506EF6FF" w14:textId="77777777" w:rsidR="00B76E72" w:rsidRPr="00B76E72" w:rsidRDefault="00B76E72" w:rsidP="00F363E5">
      <w:pPr>
        <w:spacing w:after="0"/>
        <w:rPr>
          <w:rFonts w:ascii="Times New Roman" w:eastAsia="Times New Roman" w:hAnsi="Times New Roman" w:cs="Times New Roman"/>
          <w:lang w:eastAsia="es-MX"/>
        </w:rPr>
      </w:pPr>
      <w:r w:rsidRPr="00B76E72">
        <w:rPr>
          <w:rFonts w:eastAsia="Times New Roman" w:cs="Times New Roman"/>
          <w:lang w:val="es-ES" w:eastAsia="es-MX"/>
        </w:rPr>
        <w:t> </w:t>
      </w:r>
    </w:p>
    <w:p w14:paraId="4C0669AE" w14:textId="77777777" w:rsidR="00B76E72" w:rsidRPr="00B76E72" w:rsidRDefault="00B76E72" w:rsidP="00F363E5">
      <w:pPr>
        <w:spacing w:after="0"/>
        <w:ind w:left="567" w:right="567"/>
        <w:rPr>
          <w:rFonts w:ascii="Times New Roman" w:eastAsia="Times New Roman" w:hAnsi="Times New Roman" w:cs="Times New Roman"/>
          <w:i/>
          <w:sz w:val="20"/>
          <w:szCs w:val="20"/>
          <w:lang w:eastAsia="es-MX"/>
        </w:rPr>
      </w:pPr>
      <w:r w:rsidRPr="00B76E72">
        <w:rPr>
          <w:rFonts w:eastAsia="Times New Roman" w:cs="Times New Roman"/>
          <w:b/>
          <w:bCs/>
          <w:i/>
          <w:sz w:val="20"/>
          <w:szCs w:val="20"/>
          <w:lang w:eastAsia="es-MX"/>
        </w:rPr>
        <w:t>“No existe obligación de elaborar </w:t>
      </w:r>
      <w:r w:rsidRPr="00B76E72">
        <w:rPr>
          <w:rFonts w:eastAsia="Times New Roman" w:cs="Times New Roman"/>
          <w:b/>
          <w:bCs/>
          <w:i/>
          <w:spacing w:val="-3"/>
          <w:sz w:val="20"/>
          <w:szCs w:val="20"/>
          <w:lang w:eastAsia="es-MX"/>
        </w:rPr>
        <w:t>d</w:t>
      </w:r>
      <w:r w:rsidRPr="00B76E72">
        <w:rPr>
          <w:rFonts w:eastAsia="Times New Roman" w:cs="Times New Roman"/>
          <w:b/>
          <w:bCs/>
          <w:i/>
          <w:sz w:val="20"/>
          <w:szCs w:val="20"/>
          <w:lang w:eastAsia="es-MX"/>
        </w:rPr>
        <w:t>ocum</w:t>
      </w:r>
      <w:r w:rsidRPr="00B76E72">
        <w:rPr>
          <w:rFonts w:eastAsia="Times New Roman" w:cs="Times New Roman"/>
          <w:b/>
          <w:bCs/>
          <w:i/>
          <w:spacing w:val="1"/>
          <w:sz w:val="20"/>
          <w:szCs w:val="20"/>
          <w:lang w:eastAsia="es-MX"/>
        </w:rPr>
        <w:t>e</w:t>
      </w:r>
      <w:r w:rsidRPr="00B76E72">
        <w:rPr>
          <w:rFonts w:eastAsia="Times New Roman" w:cs="Times New Roman"/>
          <w:b/>
          <w:bCs/>
          <w:i/>
          <w:sz w:val="20"/>
          <w:szCs w:val="20"/>
          <w:lang w:eastAsia="es-MX"/>
        </w:rPr>
        <w:t>n</w:t>
      </w:r>
      <w:r w:rsidRPr="00B76E72">
        <w:rPr>
          <w:rFonts w:eastAsia="Times New Roman" w:cs="Times New Roman"/>
          <w:b/>
          <w:bCs/>
          <w:i/>
          <w:spacing w:val="-1"/>
          <w:sz w:val="20"/>
          <w:szCs w:val="20"/>
          <w:lang w:eastAsia="es-MX"/>
        </w:rPr>
        <w:t>t</w:t>
      </w:r>
      <w:r w:rsidRPr="00B76E72">
        <w:rPr>
          <w:rFonts w:eastAsia="Times New Roman" w:cs="Times New Roman"/>
          <w:b/>
          <w:bCs/>
          <w:i/>
          <w:sz w:val="20"/>
          <w:szCs w:val="20"/>
          <w:lang w:eastAsia="es-MX"/>
        </w:rPr>
        <w:t>os </w:t>
      </w:r>
      <w:r w:rsidRPr="00B76E72">
        <w:rPr>
          <w:rFonts w:eastAsia="Times New Roman" w:cs="Times New Roman"/>
          <w:b/>
          <w:bCs/>
          <w:i/>
          <w:iCs/>
          <w:spacing w:val="-1"/>
          <w:sz w:val="20"/>
          <w:szCs w:val="20"/>
          <w:lang w:eastAsia="es-MX"/>
        </w:rPr>
        <w:t>ad </w:t>
      </w:r>
      <w:r w:rsidRPr="00B76E72">
        <w:rPr>
          <w:rFonts w:eastAsia="Times New Roman" w:cs="Times New Roman"/>
          <w:b/>
          <w:bCs/>
          <w:i/>
          <w:iCs/>
          <w:sz w:val="20"/>
          <w:szCs w:val="20"/>
          <w:lang w:eastAsia="es-MX"/>
        </w:rPr>
        <w:t>hoc </w:t>
      </w:r>
      <w:r w:rsidRPr="00B76E72">
        <w:rPr>
          <w:rFonts w:eastAsia="Times New Roman" w:cs="Times New Roman"/>
          <w:b/>
          <w:bCs/>
          <w:i/>
          <w:sz w:val="20"/>
          <w:szCs w:val="20"/>
          <w:lang w:eastAsia="es-MX"/>
        </w:rPr>
        <w:t>para atender las sol</w:t>
      </w:r>
      <w:r w:rsidRPr="00B76E72">
        <w:rPr>
          <w:rFonts w:eastAsia="Times New Roman" w:cs="Times New Roman"/>
          <w:b/>
          <w:bCs/>
          <w:i/>
          <w:spacing w:val="-2"/>
          <w:sz w:val="20"/>
          <w:szCs w:val="20"/>
          <w:lang w:eastAsia="es-MX"/>
        </w:rPr>
        <w:t>i</w:t>
      </w:r>
      <w:r w:rsidRPr="00B76E72">
        <w:rPr>
          <w:rFonts w:eastAsia="Times New Roman" w:cs="Times New Roman"/>
          <w:b/>
          <w:bCs/>
          <w:i/>
          <w:spacing w:val="1"/>
          <w:sz w:val="20"/>
          <w:szCs w:val="20"/>
          <w:lang w:eastAsia="es-MX"/>
        </w:rPr>
        <w:t>c</w:t>
      </w:r>
      <w:r w:rsidRPr="00B76E72">
        <w:rPr>
          <w:rFonts w:eastAsia="Times New Roman" w:cs="Times New Roman"/>
          <w:b/>
          <w:bCs/>
          <w:i/>
          <w:sz w:val="20"/>
          <w:szCs w:val="20"/>
          <w:lang w:eastAsia="es-MX"/>
        </w:rPr>
        <w:t>itudes de </w:t>
      </w:r>
      <w:r w:rsidRPr="00B76E72">
        <w:rPr>
          <w:rFonts w:eastAsia="Times New Roman" w:cs="Times New Roman"/>
          <w:b/>
          <w:bCs/>
          <w:i/>
          <w:spacing w:val="1"/>
          <w:sz w:val="20"/>
          <w:szCs w:val="20"/>
          <w:lang w:eastAsia="es-MX"/>
        </w:rPr>
        <w:t>ac</w:t>
      </w:r>
      <w:r w:rsidRPr="00B76E72">
        <w:rPr>
          <w:rFonts w:eastAsia="Times New Roman" w:cs="Times New Roman"/>
          <w:b/>
          <w:bCs/>
          <w:i/>
          <w:spacing w:val="-1"/>
          <w:sz w:val="20"/>
          <w:szCs w:val="20"/>
          <w:lang w:eastAsia="es-MX"/>
        </w:rPr>
        <w:t>c</w:t>
      </w:r>
      <w:r w:rsidRPr="00B76E72">
        <w:rPr>
          <w:rFonts w:eastAsia="Times New Roman" w:cs="Times New Roman"/>
          <w:b/>
          <w:bCs/>
          <w:i/>
          <w:spacing w:val="1"/>
          <w:sz w:val="20"/>
          <w:szCs w:val="20"/>
          <w:lang w:eastAsia="es-MX"/>
        </w:rPr>
        <w:t>es</w:t>
      </w:r>
      <w:r w:rsidRPr="00B76E72">
        <w:rPr>
          <w:rFonts w:eastAsia="Times New Roman" w:cs="Times New Roman"/>
          <w:b/>
          <w:bCs/>
          <w:i/>
          <w:sz w:val="20"/>
          <w:szCs w:val="20"/>
          <w:lang w:eastAsia="es-MX"/>
        </w:rPr>
        <w:t>o a la informa</w:t>
      </w:r>
      <w:r w:rsidRPr="00B76E72">
        <w:rPr>
          <w:rFonts w:eastAsia="Times New Roman" w:cs="Times New Roman"/>
          <w:b/>
          <w:bCs/>
          <w:i/>
          <w:spacing w:val="1"/>
          <w:sz w:val="20"/>
          <w:szCs w:val="20"/>
          <w:lang w:eastAsia="es-MX"/>
        </w:rPr>
        <w:t>c</w:t>
      </w:r>
      <w:r w:rsidRPr="00B76E72">
        <w:rPr>
          <w:rFonts w:eastAsia="Times New Roman" w:cs="Times New Roman"/>
          <w:b/>
          <w:bCs/>
          <w:i/>
          <w:sz w:val="20"/>
          <w:szCs w:val="20"/>
          <w:lang w:eastAsia="es-MX"/>
        </w:rPr>
        <w:t>ió</w:t>
      </w:r>
      <w:r w:rsidRPr="00B76E72">
        <w:rPr>
          <w:rFonts w:eastAsia="Times New Roman" w:cs="Times New Roman"/>
          <w:b/>
          <w:bCs/>
          <w:i/>
          <w:spacing w:val="-2"/>
          <w:sz w:val="20"/>
          <w:szCs w:val="20"/>
          <w:lang w:eastAsia="es-MX"/>
        </w:rPr>
        <w:t>n</w:t>
      </w:r>
      <w:r w:rsidRPr="00B76E72">
        <w:rPr>
          <w:rFonts w:eastAsia="Times New Roman" w:cs="Times New Roman"/>
          <w:b/>
          <w:bCs/>
          <w:i/>
          <w:sz w:val="20"/>
          <w:szCs w:val="20"/>
          <w:lang w:eastAsia="es-MX"/>
        </w:rPr>
        <w:t>. </w:t>
      </w:r>
      <w:r w:rsidRPr="00B76E72">
        <w:rPr>
          <w:rFonts w:eastAsia="Times New Roman" w:cs="Times New Roman"/>
          <w:i/>
          <w:spacing w:val="18"/>
          <w:sz w:val="20"/>
          <w:szCs w:val="20"/>
          <w:lang w:eastAsia="es-MX"/>
        </w:rPr>
        <w:t>L</w:t>
      </w:r>
      <w:r w:rsidRPr="00B76E72">
        <w:rPr>
          <w:rFonts w:eastAsia="Times New Roman" w:cs="Times New Roman"/>
          <w:i/>
          <w:spacing w:val="-1"/>
          <w:sz w:val="20"/>
          <w:szCs w:val="20"/>
          <w:lang w:eastAsia="es-MX"/>
        </w:rPr>
        <w:t>os </w:t>
      </w:r>
      <w:r w:rsidRPr="00B76E72">
        <w:rPr>
          <w:rFonts w:eastAsia="Times New Roman" w:cs="Times New Roman"/>
          <w:i/>
          <w:spacing w:val="1"/>
          <w:sz w:val="20"/>
          <w:szCs w:val="20"/>
          <w:lang w:eastAsia="es-MX"/>
        </w:rPr>
        <w:t>a</w:t>
      </w:r>
      <w:r w:rsidRPr="00B76E72">
        <w:rPr>
          <w:rFonts w:eastAsia="Times New Roman" w:cs="Times New Roman"/>
          <w:i/>
          <w:sz w:val="20"/>
          <w:szCs w:val="20"/>
          <w:lang w:eastAsia="es-MX"/>
        </w:rPr>
        <w:t>rt</w:t>
      </w:r>
      <w:r w:rsidRPr="00B76E72">
        <w:rPr>
          <w:rFonts w:eastAsia="Times New Roman" w:cs="Times New Roman"/>
          <w:i/>
          <w:spacing w:val="-2"/>
          <w:sz w:val="20"/>
          <w:szCs w:val="20"/>
          <w:lang w:eastAsia="es-MX"/>
        </w:rPr>
        <w:t>í</w:t>
      </w:r>
      <w:r w:rsidRPr="00B76E72">
        <w:rPr>
          <w:rFonts w:eastAsia="Times New Roman" w:cs="Times New Roman"/>
          <w:i/>
          <w:sz w:val="20"/>
          <w:szCs w:val="20"/>
          <w:lang w:eastAsia="es-MX"/>
        </w:rPr>
        <w:t>c</w:t>
      </w:r>
      <w:r w:rsidRPr="00B76E72">
        <w:rPr>
          <w:rFonts w:eastAsia="Times New Roman" w:cs="Times New Roman"/>
          <w:i/>
          <w:spacing w:val="1"/>
          <w:sz w:val="20"/>
          <w:szCs w:val="20"/>
          <w:lang w:eastAsia="es-MX"/>
        </w:rPr>
        <w:t>u</w:t>
      </w:r>
      <w:r w:rsidRPr="00B76E72">
        <w:rPr>
          <w:rFonts w:eastAsia="Times New Roman" w:cs="Times New Roman"/>
          <w:i/>
          <w:sz w:val="20"/>
          <w:szCs w:val="20"/>
          <w:lang w:eastAsia="es-MX"/>
        </w:rPr>
        <w:t>los</w:t>
      </w:r>
      <w:r w:rsidRPr="00B76E72">
        <w:rPr>
          <w:rFonts w:eastAsia="Times New Roman" w:cs="Times New Roman"/>
          <w:i/>
          <w:spacing w:val="8"/>
          <w:sz w:val="20"/>
          <w:szCs w:val="20"/>
          <w:lang w:eastAsia="es-MX"/>
        </w:rPr>
        <w:t> 129 </w:t>
      </w:r>
      <w:r w:rsidRPr="00B76E72">
        <w:rPr>
          <w:rFonts w:eastAsia="Times New Roman" w:cs="Times New Roman"/>
          <w:i/>
          <w:spacing w:val="1"/>
          <w:sz w:val="20"/>
          <w:szCs w:val="20"/>
          <w:lang w:eastAsia="es-MX"/>
        </w:rPr>
        <w:t>d</w:t>
      </w:r>
      <w:r w:rsidRPr="00B76E72">
        <w:rPr>
          <w:rFonts w:eastAsia="Times New Roman" w:cs="Times New Roman"/>
          <w:i/>
          <w:sz w:val="20"/>
          <w:szCs w:val="20"/>
          <w:lang w:eastAsia="es-MX"/>
        </w:rPr>
        <w:t>e la </w:t>
      </w:r>
      <w:r w:rsidRPr="00B76E72">
        <w:rPr>
          <w:rFonts w:eastAsia="Times New Roman" w:cs="Times New Roman"/>
          <w:i/>
          <w:spacing w:val="-1"/>
          <w:sz w:val="20"/>
          <w:szCs w:val="20"/>
          <w:lang w:eastAsia="es-MX"/>
        </w:rPr>
        <w:t>L</w:t>
      </w:r>
      <w:r w:rsidRPr="00B76E72">
        <w:rPr>
          <w:rFonts w:eastAsia="Times New Roman" w:cs="Times New Roman"/>
          <w:i/>
          <w:spacing w:val="1"/>
          <w:sz w:val="20"/>
          <w:szCs w:val="20"/>
          <w:lang w:eastAsia="es-MX"/>
        </w:rPr>
        <w:t>e</w:t>
      </w:r>
      <w:r w:rsidRPr="00B76E72">
        <w:rPr>
          <w:rFonts w:eastAsia="Times New Roman" w:cs="Times New Roman"/>
          <w:i/>
          <w:sz w:val="20"/>
          <w:szCs w:val="20"/>
          <w:lang w:eastAsia="es-MX"/>
        </w:rPr>
        <w:t>y General </w:t>
      </w:r>
      <w:r w:rsidRPr="00B76E72">
        <w:rPr>
          <w:rFonts w:eastAsia="Times New Roman" w:cs="Times New Roman"/>
          <w:i/>
          <w:spacing w:val="-1"/>
          <w:sz w:val="20"/>
          <w:szCs w:val="20"/>
          <w:lang w:eastAsia="es-MX"/>
        </w:rPr>
        <w:t>d</w:t>
      </w:r>
      <w:r w:rsidRPr="00B76E72">
        <w:rPr>
          <w:rFonts w:eastAsia="Times New Roman" w:cs="Times New Roman"/>
          <w:i/>
          <w:sz w:val="20"/>
          <w:szCs w:val="20"/>
          <w:lang w:eastAsia="es-MX"/>
        </w:rPr>
        <w:t xml:space="preserve">e </w:t>
      </w:r>
      <w:r w:rsidRPr="00B76E72">
        <w:rPr>
          <w:rFonts w:eastAsia="Times New Roman" w:cs="Times New Roman"/>
          <w:i/>
          <w:spacing w:val="2"/>
          <w:sz w:val="20"/>
          <w:szCs w:val="20"/>
          <w:lang w:eastAsia="es-MX"/>
        </w:rPr>
        <w:t>T</w:t>
      </w:r>
      <w:r w:rsidRPr="00B76E72">
        <w:rPr>
          <w:rFonts w:eastAsia="Times New Roman" w:cs="Times New Roman"/>
          <w:i/>
          <w:sz w:val="20"/>
          <w:szCs w:val="20"/>
          <w:lang w:eastAsia="es-MX"/>
        </w:rPr>
        <w:t>r</w:t>
      </w:r>
      <w:r w:rsidRPr="00B76E72">
        <w:rPr>
          <w:rFonts w:eastAsia="Times New Roman" w:cs="Times New Roman"/>
          <w:i/>
          <w:spacing w:val="-2"/>
          <w:sz w:val="20"/>
          <w:szCs w:val="20"/>
          <w:lang w:eastAsia="es-MX"/>
        </w:rPr>
        <w:t>a</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s</w:t>
      </w:r>
      <w:r w:rsidRPr="00B76E72">
        <w:rPr>
          <w:rFonts w:eastAsia="Times New Roman" w:cs="Times New Roman"/>
          <w:i/>
          <w:spacing w:val="1"/>
          <w:sz w:val="20"/>
          <w:szCs w:val="20"/>
          <w:lang w:eastAsia="es-MX"/>
        </w:rPr>
        <w:t>pa</w:t>
      </w:r>
      <w:r w:rsidRPr="00B76E72">
        <w:rPr>
          <w:rFonts w:eastAsia="Times New Roman" w:cs="Times New Roman"/>
          <w:i/>
          <w:sz w:val="20"/>
          <w:szCs w:val="20"/>
          <w:lang w:eastAsia="es-MX"/>
        </w:rPr>
        <w:t>r</w:t>
      </w:r>
      <w:r w:rsidRPr="00B76E72">
        <w:rPr>
          <w:rFonts w:eastAsia="Times New Roman" w:cs="Times New Roman"/>
          <w:i/>
          <w:spacing w:val="-2"/>
          <w:sz w:val="20"/>
          <w:szCs w:val="20"/>
          <w:lang w:eastAsia="es-MX"/>
        </w:rPr>
        <w:t>e</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cia y Acc</w:t>
      </w:r>
      <w:r w:rsidRPr="00B76E72">
        <w:rPr>
          <w:rFonts w:eastAsia="Times New Roman" w:cs="Times New Roman"/>
          <w:i/>
          <w:spacing w:val="1"/>
          <w:sz w:val="20"/>
          <w:szCs w:val="20"/>
          <w:lang w:eastAsia="es-MX"/>
        </w:rPr>
        <w:t>e</w:t>
      </w:r>
      <w:r w:rsidRPr="00B76E72">
        <w:rPr>
          <w:rFonts w:eastAsia="Times New Roman" w:cs="Times New Roman"/>
          <w:i/>
          <w:sz w:val="20"/>
          <w:szCs w:val="20"/>
          <w:lang w:eastAsia="es-MX"/>
        </w:rPr>
        <w:t>so a la I</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f</w:t>
      </w:r>
      <w:r w:rsidRPr="00B76E72">
        <w:rPr>
          <w:rFonts w:eastAsia="Times New Roman" w:cs="Times New Roman"/>
          <w:i/>
          <w:spacing w:val="1"/>
          <w:sz w:val="20"/>
          <w:szCs w:val="20"/>
          <w:lang w:eastAsia="es-MX"/>
        </w:rPr>
        <w:t>o</w:t>
      </w:r>
      <w:r w:rsidRPr="00B76E72">
        <w:rPr>
          <w:rFonts w:eastAsia="Times New Roman" w:cs="Times New Roman"/>
          <w:i/>
          <w:spacing w:val="-3"/>
          <w:sz w:val="20"/>
          <w:szCs w:val="20"/>
          <w:lang w:eastAsia="es-MX"/>
        </w:rPr>
        <w:t>r</w:t>
      </w:r>
      <w:r w:rsidRPr="00B76E72">
        <w:rPr>
          <w:rFonts w:eastAsia="Times New Roman" w:cs="Times New Roman"/>
          <w:i/>
          <w:spacing w:val="1"/>
          <w:sz w:val="20"/>
          <w:szCs w:val="20"/>
          <w:lang w:eastAsia="es-MX"/>
        </w:rPr>
        <w:t>ma</w:t>
      </w:r>
      <w:r w:rsidRPr="00B76E72">
        <w:rPr>
          <w:rFonts w:eastAsia="Times New Roman" w:cs="Times New Roman"/>
          <w:i/>
          <w:sz w:val="20"/>
          <w:szCs w:val="20"/>
          <w:lang w:eastAsia="es-MX"/>
        </w:rPr>
        <w:t>ci</w:t>
      </w:r>
      <w:r w:rsidRPr="00B76E72">
        <w:rPr>
          <w:rFonts w:eastAsia="Times New Roman" w:cs="Times New Roman"/>
          <w:i/>
          <w:spacing w:val="-2"/>
          <w:sz w:val="20"/>
          <w:szCs w:val="20"/>
          <w:lang w:eastAsia="es-MX"/>
        </w:rPr>
        <w:t>ó</w:t>
      </w:r>
      <w:r w:rsidRPr="00B76E72">
        <w:rPr>
          <w:rFonts w:eastAsia="Times New Roman" w:cs="Times New Roman"/>
          <w:i/>
          <w:sz w:val="20"/>
          <w:szCs w:val="20"/>
          <w:lang w:eastAsia="es-MX"/>
        </w:rPr>
        <w:t>n </w:t>
      </w:r>
      <w:r w:rsidRPr="00B76E72">
        <w:rPr>
          <w:rFonts w:eastAsia="Times New Roman" w:cs="Times New Roman"/>
          <w:i/>
          <w:spacing w:val="-2"/>
          <w:sz w:val="20"/>
          <w:szCs w:val="20"/>
          <w:lang w:eastAsia="es-MX"/>
        </w:rPr>
        <w:t>P</w:t>
      </w:r>
      <w:r w:rsidRPr="00B76E72">
        <w:rPr>
          <w:rFonts w:eastAsia="Times New Roman" w:cs="Times New Roman"/>
          <w:i/>
          <w:spacing w:val="1"/>
          <w:sz w:val="20"/>
          <w:szCs w:val="20"/>
          <w:lang w:eastAsia="es-MX"/>
        </w:rPr>
        <w:t>úb</w:t>
      </w:r>
      <w:r w:rsidRPr="00B76E72">
        <w:rPr>
          <w:rFonts w:eastAsia="Times New Roman" w:cs="Times New Roman"/>
          <w:i/>
          <w:sz w:val="20"/>
          <w:szCs w:val="20"/>
          <w:lang w:eastAsia="es-MX"/>
        </w:rPr>
        <w:t>l</w:t>
      </w:r>
      <w:r w:rsidRPr="00B76E72">
        <w:rPr>
          <w:rFonts w:eastAsia="Times New Roman" w:cs="Times New Roman"/>
          <w:i/>
          <w:spacing w:val="-1"/>
          <w:sz w:val="20"/>
          <w:szCs w:val="20"/>
          <w:lang w:eastAsia="es-MX"/>
        </w:rPr>
        <w:t>i</w:t>
      </w:r>
      <w:r w:rsidRPr="00B76E72">
        <w:rPr>
          <w:rFonts w:eastAsia="Times New Roman" w:cs="Times New Roman"/>
          <w:i/>
          <w:sz w:val="20"/>
          <w:szCs w:val="20"/>
          <w:lang w:eastAsia="es-MX"/>
        </w:rPr>
        <w:t>ca y </w:t>
      </w:r>
      <w:r w:rsidRPr="00B76E72">
        <w:rPr>
          <w:rFonts w:eastAsia="Times New Roman" w:cs="Times New Roman"/>
          <w:i/>
          <w:spacing w:val="8"/>
          <w:sz w:val="20"/>
          <w:szCs w:val="20"/>
          <w:lang w:eastAsia="es-MX"/>
        </w:rPr>
        <w:t>130, párrafo cuarto, </w:t>
      </w:r>
      <w:r w:rsidRPr="00B76E72">
        <w:rPr>
          <w:rFonts w:eastAsia="Times New Roman" w:cs="Times New Roman"/>
          <w:i/>
          <w:spacing w:val="1"/>
          <w:sz w:val="20"/>
          <w:szCs w:val="20"/>
          <w:lang w:eastAsia="es-MX"/>
        </w:rPr>
        <w:t>d</w:t>
      </w:r>
      <w:r w:rsidRPr="00B76E72">
        <w:rPr>
          <w:rFonts w:eastAsia="Times New Roman" w:cs="Times New Roman"/>
          <w:i/>
          <w:sz w:val="20"/>
          <w:szCs w:val="20"/>
          <w:lang w:eastAsia="es-MX"/>
        </w:rPr>
        <w:t xml:space="preserve">e la </w:t>
      </w:r>
      <w:r w:rsidRPr="00B76E72">
        <w:rPr>
          <w:rFonts w:eastAsia="Times New Roman" w:cs="Times New Roman"/>
          <w:i/>
          <w:spacing w:val="-1"/>
          <w:sz w:val="20"/>
          <w:szCs w:val="20"/>
          <w:lang w:eastAsia="es-MX"/>
        </w:rPr>
        <w:t>L</w:t>
      </w:r>
      <w:r w:rsidRPr="00B76E72">
        <w:rPr>
          <w:rFonts w:eastAsia="Times New Roman" w:cs="Times New Roman"/>
          <w:i/>
          <w:spacing w:val="1"/>
          <w:sz w:val="20"/>
          <w:szCs w:val="20"/>
          <w:lang w:eastAsia="es-MX"/>
        </w:rPr>
        <w:t>e</w:t>
      </w:r>
      <w:r w:rsidRPr="00B76E72">
        <w:rPr>
          <w:rFonts w:eastAsia="Times New Roman" w:cs="Times New Roman"/>
          <w:i/>
          <w:sz w:val="20"/>
          <w:szCs w:val="20"/>
          <w:lang w:eastAsia="es-MX"/>
        </w:rPr>
        <w:t>y Fe</w:t>
      </w:r>
      <w:r w:rsidRPr="00B76E72">
        <w:rPr>
          <w:rFonts w:eastAsia="Times New Roman" w:cs="Times New Roman"/>
          <w:i/>
          <w:spacing w:val="1"/>
          <w:sz w:val="20"/>
          <w:szCs w:val="20"/>
          <w:lang w:eastAsia="es-MX"/>
        </w:rPr>
        <w:t>de</w:t>
      </w:r>
      <w:r w:rsidRPr="00B76E72">
        <w:rPr>
          <w:rFonts w:eastAsia="Times New Roman" w:cs="Times New Roman"/>
          <w:i/>
          <w:sz w:val="20"/>
          <w:szCs w:val="20"/>
          <w:lang w:eastAsia="es-MX"/>
        </w:rPr>
        <w:t>ral </w:t>
      </w:r>
      <w:r w:rsidRPr="00B76E72">
        <w:rPr>
          <w:rFonts w:eastAsia="Times New Roman" w:cs="Times New Roman"/>
          <w:i/>
          <w:spacing w:val="-1"/>
          <w:sz w:val="20"/>
          <w:szCs w:val="20"/>
          <w:lang w:eastAsia="es-MX"/>
        </w:rPr>
        <w:t>d</w:t>
      </w:r>
      <w:r w:rsidRPr="00B76E72">
        <w:rPr>
          <w:rFonts w:eastAsia="Times New Roman" w:cs="Times New Roman"/>
          <w:i/>
          <w:sz w:val="20"/>
          <w:szCs w:val="20"/>
          <w:lang w:eastAsia="es-MX"/>
        </w:rPr>
        <w:t>e </w:t>
      </w:r>
      <w:r w:rsidRPr="00B76E72">
        <w:rPr>
          <w:rFonts w:eastAsia="Times New Roman" w:cs="Times New Roman"/>
          <w:i/>
          <w:spacing w:val="2"/>
          <w:sz w:val="20"/>
          <w:szCs w:val="20"/>
          <w:lang w:eastAsia="es-MX"/>
        </w:rPr>
        <w:t>T</w:t>
      </w:r>
      <w:r w:rsidRPr="00B76E72">
        <w:rPr>
          <w:rFonts w:eastAsia="Times New Roman" w:cs="Times New Roman"/>
          <w:i/>
          <w:sz w:val="20"/>
          <w:szCs w:val="20"/>
          <w:lang w:eastAsia="es-MX"/>
        </w:rPr>
        <w:t>r</w:t>
      </w:r>
      <w:r w:rsidRPr="00B76E72">
        <w:rPr>
          <w:rFonts w:eastAsia="Times New Roman" w:cs="Times New Roman"/>
          <w:i/>
          <w:spacing w:val="-2"/>
          <w:sz w:val="20"/>
          <w:szCs w:val="20"/>
          <w:lang w:eastAsia="es-MX"/>
        </w:rPr>
        <w:t>a</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s</w:t>
      </w:r>
      <w:r w:rsidRPr="00B76E72">
        <w:rPr>
          <w:rFonts w:eastAsia="Times New Roman" w:cs="Times New Roman"/>
          <w:i/>
          <w:spacing w:val="1"/>
          <w:sz w:val="20"/>
          <w:szCs w:val="20"/>
          <w:lang w:eastAsia="es-MX"/>
        </w:rPr>
        <w:t>pa</w:t>
      </w:r>
      <w:r w:rsidRPr="00B76E72">
        <w:rPr>
          <w:rFonts w:eastAsia="Times New Roman" w:cs="Times New Roman"/>
          <w:i/>
          <w:sz w:val="20"/>
          <w:szCs w:val="20"/>
          <w:lang w:eastAsia="es-MX"/>
        </w:rPr>
        <w:t>r</w:t>
      </w:r>
      <w:r w:rsidRPr="00B76E72">
        <w:rPr>
          <w:rFonts w:eastAsia="Times New Roman" w:cs="Times New Roman"/>
          <w:i/>
          <w:spacing w:val="-2"/>
          <w:sz w:val="20"/>
          <w:szCs w:val="20"/>
          <w:lang w:eastAsia="es-MX"/>
        </w:rPr>
        <w:t>e</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cia y Acc</w:t>
      </w:r>
      <w:r w:rsidRPr="00B76E72">
        <w:rPr>
          <w:rFonts w:eastAsia="Times New Roman" w:cs="Times New Roman"/>
          <w:i/>
          <w:spacing w:val="1"/>
          <w:sz w:val="20"/>
          <w:szCs w:val="20"/>
          <w:lang w:eastAsia="es-MX"/>
        </w:rPr>
        <w:t>e</w:t>
      </w:r>
      <w:r w:rsidRPr="00B76E72">
        <w:rPr>
          <w:rFonts w:eastAsia="Times New Roman" w:cs="Times New Roman"/>
          <w:i/>
          <w:sz w:val="20"/>
          <w:szCs w:val="20"/>
          <w:lang w:eastAsia="es-MX"/>
        </w:rPr>
        <w:t>so a la I</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f</w:t>
      </w:r>
      <w:r w:rsidRPr="00B76E72">
        <w:rPr>
          <w:rFonts w:eastAsia="Times New Roman" w:cs="Times New Roman"/>
          <w:i/>
          <w:spacing w:val="1"/>
          <w:sz w:val="20"/>
          <w:szCs w:val="20"/>
          <w:lang w:eastAsia="es-MX"/>
        </w:rPr>
        <w:t>o</w:t>
      </w:r>
      <w:r w:rsidRPr="00B76E72">
        <w:rPr>
          <w:rFonts w:eastAsia="Times New Roman" w:cs="Times New Roman"/>
          <w:i/>
          <w:spacing w:val="-3"/>
          <w:sz w:val="20"/>
          <w:szCs w:val="20"/>
          <w:lang w:eastAsia="es-MX"/>
        </w:rPr>
        <w:t>r</w:t>
      </w:r>
      <w:r w:rsidRPr="00B76E72">
        <w:rPr>
          <w:rFonts w:eastAsia="Times New Roman" w:cs="Times New Roman"/>
          <w:i/>
          <w:spacing w:val="1"/>
          <w:sz w:val="20"/>
          <w:szCs w:val="20"/>
          <w:lang w:eastAsia="es-MX"/>
        </w:rPr>
        <w:t>ma</w:t>
      </w:r>
      <w:r w:rsidRPr="00B76E72">
        <w:rPr>
          <w:rFonts w:eastAsia="Times New Roman" w:cs="Times New Roman"/>
          <w:i/>
          <w:sz w:val="20"/>
          <w:szCs w:val="20"/>
          <w:lang w:eastAsia="es-MX"/>
        </w:rPr>
        <w:t>ci</w:t>
      </w:r>
      <w:r w:rsidRPr="00B76E72">
        <w:rPr>
          <w:rFonts w:eastAsia="Times New Roman" w:cs="Times New Roman"/>
          <w:i/>
          <w:spacing w:val="-2"/>
          <w:sz w:val="20"/>
          <w:szCs w:val="20"/>
          <w:lang w:eastAsia="es-MX"/>
        </w:rPr>
        <w:t>ó</w:t>
      </w:r>
      <w:r w:rsidRPr="00B76E72">
        <w:rPr>
          <w:rFonts w:eastAsia="Times New Roman" w:cs="Times New Roman"/>
          <w:i/>
          <w:sz w:val="20"/>
          <w:szCs w:val="20"/>
          <w:lang w:eastAsia="es-MX"/>
        </w:rPr>
        <w:t>n </w:t>
      </w:r>
      <w:r w:rsidRPr="00B76E72">
        <w:rPr>
          <w:rFonts w:eastAsia="Times New Roman" w:cs="Times New Roman"/>
          <w:i/>
          <w:spacing w:val="-2"/>
          <w:sz w:val="20"/>
          <w:szCs w:val="20"/>
          <w:lang w:eastAsia="es-MX"/>
        </w:rPr>
        <w:t>P</w:t>
      </w:r>
      <w:r w:rsidRPr="00B76E72">
        <w:rPr>
          <w:rFonts w:eastAsia="Times New Roman" w:cs="Times New Roman"/>
          <w:i/>
          <w:spacing w:val="1"/>
          <w:sz w:val="20"/>
          <w:szCs w:val="20"/>
          <w:lang w:eastAsia="es-MX"/>
        </w:rPr>
        <w:t>úb</w:t>
      </w:r>
      <w:r w:rsidRPr="00B76E72">
        <w:rPr>
          <w:rFonts w:eastAsia="Times New Roman" w:cs="Times New Roman"/>
          <w:i/>
          <w:sz w:val="20"/>
          <w:szCs w:val="20"/>
          <w:lang w:eastAsia="es-MX"/>
        </w:rPr>
        <w:t>l</w:t>
      </w:r>
      <w:r w:rsidRPr="00B76E72">
        <w:rPr>
          <w:rFonts w:eastAsia="Times New Roman" w:cs="Times New Roman"/>
          <w:i/>
          <w:spacing w:val="-1"/>
          <w:sz w:val="20"/>
          <w:szCs w:val="20"/>
          <w:lang w:eastAsia="es-MX"/>
        </w:rPr>
        <w:t>i</w:t>
      </w:r>
      <w:r w:rsidRPr="00B76E72">
        <w:rPr>
          <w:rFonts w:eastAsia="Times New Roman" w:cs="Times New Roman"/>
          <w:i/>
          <w:sz w:val="20"/>
          <w:szCs w:val="20"/>
          <w:lang w:eastAsia="es-MX"/>
        </w:rPr>
        <w:t>ca, </w:t>
      </w:r>
      <w:r w:rsidRPr="00B76E72">
        <w:rPr>
          <w:rFonts w:eastAsia="Times New Roman" w:cs="Times New Roman"/>
          <w:i/>
          <w:spacing w:val="-1"/>
          <w:sz w:val="20"/>
          <w:szCs w:val="20"/>
          <w:lang w:eastAsia="es-MX"/>
        </w:rPr>
        <w:t>señalan q</w:t>
      </w:r>
      <w:r w:rsidRPr="00B76E72">
        <w:rPr>
          <w:rFonts w:eastAsia="Times New Roman" w:cs="Times New Roman"/>
          <w:i/>
          <w:spacing w:val="1"/>
          <w:sz w:val="20"/>
          <w:szCs w:val="20"/>
          <w:lang w:eastAsia="es-MX"/>
        </w:rPr>
        <w:t>u</w:t>
      </w:r>
      <w:r w:rsidRPr="00B76E72">
        <w:rPr>
          <w:rFonts w:eastAsia="Times New Roman" w:cs="Times New Roman"/>
          <w:i/>
          <w:sz w:val="20"/>
          <w:szCs w:val="20"/>
          <w:lang w:eastAsia="es-MX"/>
        </w:rPr>
        <w:t xml:space="preserve">e los sujetos obligados deberán otorgar acceso a los documentos que se encuentren en sus archivos o que estén obligados a documentar, de acuerdo con sus facultades, </w:t>
      </w:r>
      <w:r w:rsidRPr="00B76E72">
        <w:rPr>
          <w:rFonts w:eastAsia="Times New Roman" w:cs="Times New Roman"/>
          <w:i/>
          <w:sz w:val="20"/>
          <w:szCs w:val="20"/>
          <w:lang w:eastAsia="es-MX"/>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76E72">
        <w:rPr>
          <w:rFonts w:eastAsia="Times New Roman" w:cs="Times New Roman"/>
          <w:i/>
          <w:spacing w:val="-1"/>
          <w:sz w:val="20"/>
          <w:szCs w:val="20"/>
          <w:lang w:eastAsia="es-MX"/>
        </w:rPr>
        <w:t> sin necesidad de</w:t>
      </w:r>
      <w:r w:rsidRPr="00B76E72">
        <w:rPr>
          <w:rFonts w:eastAsia="Times New Roman" w:cs="Times New Roman"/>
          <w:i/>
          <w:spacing w:val="1"/>
          <w:sz w:val="20"/>
          <w:szCs w:val="20"/>
          <w:lang w:eastAsia="es-MX"/>
        </w:rPr>
        <w:t> e</w:t>
      </w:r>
      <w:r w:rsidRPr="00B76E72">
        <w:rPr>
          <w:rFonts w:eastAsia="Times New Roman" w:cs="Times New Roman"/>
          <w:i/>
          <w:sz w:val="20"/>
          <w:szCs w:val="20"/>
          <w:lang w:eastAsia="es-MX"/>
        </w:rPr>
        <w:t>la</w:t>
      </w:r>
      <w:r w:rsidRPr="00B76E72">
        <w:rPr>
          <w:rFonts w:eastAsia="Times New Roman" w:cs="Times New Roman"/>
          <w:i/>
          <w:spacing w:val="1"/>
          <w:sz w:val="20"/>
          <w:szCs w:val="20"/>
          <w:lang w:eastAsia="es-MX"/>
        </w:rPr>
        <w:t>bo</w:t>
      </w:r>
      <w:r w:rsidRPr="00B76E72">
        <w:rPr>
          <w:rFonts w:eastAsia="Times New Roman" w:cs="Times New Roman"/>
          <w:i/>
          <w:sz w:val="20"/>
          <w:szCs w:val="20"/>
          <w:lang w:eastAsia="es-MX"/>
        </w:rPr>
        <w:t>rar </w:t>
      </w:r>
      <w:r w:rsidRPr="00B76E72">
        <w:rPr>
          <w:rFonts w:eastAsia="Times New Roman" w:cs="Times New Roman"/>
          <w:i/>
          <w:spacing w:val="1"/>
          <w:sz w:val="20"/>
          <w:szCs w:val="20"/>
          <w:lang w:eastAsia="es-MX"/>
        </w:rPr>
        <w:t>do</w:t>
      </w:r>
      <w:r w:rsidRPr="00B76E72">
        <w:rPr>
          <w:rFonts w:eastAsia="Times New Roman" w:cs="Times New Roman"/>
          <w:i/>
          <w:spacing w:val="-2"/>
          <w:sz w:val="20"/>
          <w:szCs w:val="20"/>
          <w:lang w:eastAsia="es-MX"/>
        </w:rPr>
        <w:t>c</w:t>
      </w:r>
      <w:r w:rsidRPr="00B76E72">
        <w:rPr>
          <w:rFonts w:eastAsia="Times New Roman" w:cs="Times New Roman"/>
          <w:i/>
          <w:spacing w:val="1"/>
          <w:sz w:val="20"/>
          <w:szCs w:val="20"/>
          <w:lang w:eastAsia="es-MX"/>
        </w:rPr>
        <w:t>u</w:t>
      </w:r>
      <w:r w:rsidRPr="00B76E72">
        <w:rPr>
          <w:rFonts w:eastAsia="Times New Roman" w:cs="Times New Roman"/>
          <w:i/>
          <w:spacing w:val="-1"/>
          <w:sz w:val="20"/>
          <w:szCs w:val="20"/>
          <w:lang w:eastAsia="es-MX"/>
        </w:rPr>
        <w:t>m</w:t>
      </w:r>
      <w:r w:rsidRPr="00B76E72">
        <w:rPr>
          <w:rFonts w:eastAsia="Times New Roman" w:cs="Times New Roman"/>
          <w:i/>
          <w:spacing w:val="1"/>
          <w:sz w:val="20"/>
          <w:szCs w:val="20"/>
          <w:lang w:eastAsia="es-MX"/>
        </w:rPr>
        <w:t>en</w:t>
      </w:r>
      <w:r w:rsidRPr="00B76E72">
        <w:rPr>
          <w:rFonts w:eastAsia="Times New Roman" w:cs="Times New Roman"/>
          <w:i/>
          <w:spacing w:val="-2"/>
          <w:sz w:val="20"/>
          <w:szCs w:val="20"/>
          <w:lang w:eastAsia="es-MX"/>
        </w:rPr>
        <w:t>t</w:t>
      </w:r>
      <w:r w:rsidRPr="00B76E72">
        <w:rPr>
          <w:rFonts w:eastAsia="Times New Roman" w:cs="Times New Roman"/>
          <w:i/>
          <w:spacing w:val="1"/>
          <w:sz w:val="20"/>
          <w:szCs w:val="20"/>
          <w:lang w:eastAsia="es-MX"/>
        </w:rPr>
        <w:t>o</w:t>
      </w:r>
      <w:r w:rsidRPr="00B76E72">
        <w:rPr>
          <w:rFonts w:eastAsia="Times New Roman" w:cs="Times New Roman"/>
          <w:i/>
          <w:sz w:val="20"/>
          <w:szCs w:val="20"/>
          <w:lang w:eastAsia="es-MX"/>
        </w:rPr>
        <w:t>s </w:t>
      </w:r>
      <w:r w:rsidRPr="00B76E72">
        <w:rPr>
          <w:rFonts w:eastAsia="Times New Roman" w:cs="Times New Roman"/>
          <w:i/>
          <w:iCs/>
          <w:spacing w:val="1"/>
          <w:sz w:val="20"/>
          <w:szCs w:val="20"/>
          <w:lang w:eastAsia="es-MX"/>
        </w:rPr>
        <w:t>a</w:t>
      </w:r>
      <w:r w:rsidRPr="00B76E72">
        <w:rPr>
          <w:rFonts w:eastAsia="Times New Roman" w:cs="Times New Roman"/>
          <w:i/>
          <w:iCs/>
          <w:sz w:val="20"/>
          <w:szCs w:val="20"/>
          <w:lang w:eastAsia="es-MX"/>
        </w:rPr>
        <w:t>d</w:t>
      </w:r>
      <w:r w:rsidRPr="00B76E72">
        <w:rPr>
          <w:rFonts w:eastAsia="Times New Roman" w:cs="Times New Roman"/>
          <w:i/>
          <w:iCs/>
          <w:spacing w:val="1"/>
          <w:sz w:val="20"/>
          <w:szCs w:val="20"/>
          <w:lang w:eastAsia="es-MX"/>
        </w:rPr>
        <w:t> ho</w:t>
      </w:r>
      <w:r w:rsidRPr="00B76E72">
        <w:rPr>
          <w:rFonts w:eastAsia="Times New Roman" w:cs="Times New Roman"/>
          <w:i/>
          <w:iCs/>
          <w:sz w:val="20"/>
          <w:szCs w:val="20"/>
          <w:lang w:eastAsia="es-MX"/>
        </w:rPr>
        <w:t>c </w:t>
      </w:r>
      <w:r w:rsidRPr="00B76E72">
        <w:rPr>
          <w:rFonts w:eastAsia="Times New Roman" w:cs="Times New Roman"/>
          <w:i/>
          <w:spacing w:val="1"/>
          <w:sz w:val="20"/>
          <w:szCs w:val="20"/>
          <w:lang w:eastAsia="es-MX"/>
        </w:rPr>
        <w:t>pa</w:t>
      </w:r>
      <w:r w:rsidRPr="00B76E72">
        <w:rPr>
          <w:rFonts w:eastAsia="Times New Roman" w:cs="Times New Roman"/>
          <w:i/>
          <w:sz w:val="20"/>
          <w:szCs w:val="20"/>
          <w:lang w:eastAsia="es-MX"/>
        </w:rPr>
        <w:t xml:space="preserve">ra </w:t>
      </w:r>
      <w:r w:rsidRPr="00B76E72">
        <w:rPr>
          <w:rFonts w:eastAsia="Times New Roman" w:cs="Times New Roman"/>
          <w:i/>
          <w:spacing w:val="1"/>
          <w:sz w:val="20"/>
          <w:szCs w:val="20"/>
          <w:lang w:eastAsia="es-MX"/>
        </w:rPr>
        <w:t>a</w:t>
      </w:r>
      <w:r w:rsidRPr="00B76E72">
        <w:rPr>
          <w:rFonts w:eastAsia="Times New Roman" w:cs="Times New Roman"/>
          <w:i/>
          <w:sz w:val="20"/>
          <w:szCs w:val="20"/>
          <w:lang w:eastAsia="es-MX"/>
        </w:rPr>
        <w:t>t</w:t>
      </w:r>
      <w:r w:rsidRPr="00B76E72">
        <w:rPr>
          <w:rFonts w:eastAsia="Times New Roman" w:cs="Times New Roman"/>
          <w:i/>
          <w:spacing w:val="-1"/>
          <w:sz w:val="20"/>
          <w:szCs w:val="20"/>
          <w:lang w:eastAsia="es-MX"/>
        </w:rPr>
        <w:t>e</w:t>
      </w:r>
      <w:r w:rsidRPr="00B76E72">
        <w:rPr>
          <w:rFonts w:eastAsia="Times New Roman" w:cs="Times New Roman"/>
          <w:i/>
          <w:spacing w:val="1"/>
          <w:sz w:val="20"/>
          <w:szCs w:val="20"/>
          <w:lang w:eastAsia="es-MX"/>
        </w:rPr>
        <w:t>n</w:t>
      </w:r>
      <w:r w:rsidRPr="00B76E72">
        <w:rPr>
          <w:rFonts w:eastAsia="Times New Roman" w:cs="Times New Roman"/>
          <w:i/>
          <w:spacing w:val="-1"/>
          <w:sz w:val="20"/>
          <w:szCs w:val="20"/>
          <w:lang w:eastAsia="es-MX"/>
        </w:rPr>
        <w:t>d</w:t>
      </w:r>
      <w:r w:rsidRPr="00B76E72">
        <w:rPr>
          <w:rFonts w:eastAsia="Times New Roman" w:cs="Times New Roman"/>
          <w:i/>
          <w:spacing w:val="1"/>
          <w:sz w:val="20"/>
          <w:szCs w:val="20"/>
          <w:lang w:eastAsia="es-MX"/>
        </w:rPr>
        <w:t>e</w:t>
      </w:r>
      <w:r w:rsidRPr="00B76E72">
        <w:rPr>
          <w:rFonts w:eastAsia="Times New Roman" w:cs="Times New Roman"/>
          <w:i/>
          <w:sz w:val="20"/>
          <w:szCs w:val="20"/>
          <w:lang w:eastAsia="es-MX"/>
        </w:rPr>
        <w:t>rl</w:t>
      </w:r>
      <w:r w:rsidRPr="00B76E72">
        <w:rPr>
          <w:rFonts w:eastAsia="Times New Roman" w:cs="Times New Roman"/>
          <w:i/>
          <w:spacing w:val="-2"/>
          <w:sz w:val="20"/>
          <w:szCs w:val="20"/>
          <w:lang w:eastAsia="es-MX"/>
        </w:rPr>
        <w:t>a</w:t>
      </w:r>
      <w:r w:rsidRPr="00B76E72">
        <w:rPr>
          <w:rFonts w:eastAsia="Times New Roman" w:cs="Times New Roman"/>
          <w:i/>
          <w:sz w:val="20"/>
          <w:szCs w:val="20"/>
          <w:lang w:eastAsia="es-MX"/>
        </w:rPr>
        <w:t>s s</w:t>
      </w:r>
      <w:r w:rsidRPr="00B76E72">
        <w:rPr>
          <w:rFonts w:eastAsia="Times New Roman" w:cs="Times New Roman"/>
          <w:i/>
          <w:spacing w:val="1"/>
          <w:sz w:val="20"/>
          <w:szCs w:val="20"/>
          <w:lang w:eastAsia="es-MX"/>
        </w:rPr>
        <w:t>o</w:t>
      </w:r>
      <w:r w:rsidRPr="00B76E72">
        <w:rPr>
          <w:rFonts w:eastAsia="Times New Roman" w:cs="Times New Roman"/>
          <w:i/>
          <w:sz w:val="20"/>
          <w:szCs w:val="20"/>
          <w:lang w:eastAsia="es-MX"/>
        </w:rPr>
        <w:t>l</w:t>
      </w:r>
      <w:r w:rsidRPr="00B76E72">
        <w:rPr>
          <w:rFonts w:eastAsia="Times New Roman" w:cs="Times New Roman"/>
          <w:i/>
          <w:spacing w:val="-1"/>
          <w:sz w:val="20"/>
          <w:szCs w:val="20"/>
          <w:lang w:eastAsia="es-MX"/>
        </w:rPr>
        <w:t>i</w:t>
      </w:r>
      <w:r w:rsidRPr="00B76E72">
        <w:rPr>
          <w:rFonts w:eastAsia="Times New Roman" w:cs="Times New Roman"/>
          <w:i/>
          <w:sz w:val="20"/>
          <w:szCs w:val="20"/>
          <w:lang w:eastAsia="es-MX"/>
        </w:rPr>
        <w:t>cit</w:t>
      </w:r>
      <w:r w:rsidRPr="00B76E72">
        <w:rPr>
          <w:rFonts w:eastAsia="Times New Roman" w:cs="Times New Roman"/>
          <w:i/>
          <w:spacing w:val="1"/>
          <w:sz w:val="20"/>
          <w:szCs w:val="20"/>
          <w:lang w:eastAsia="es-MX"/>
        </w:rPr>
        <w:t>ude</w:t>
      </w:r>
      <w:r w:rsidRPr="00B76E72">
        <w:rPr>
          <w:rFonts w:eastAsia="Times New Roman" w:cs="Times New Roman"/>
          <w:i/>
          <w:sz w:val="20"/>
          <w:szCs w:val="20"/>
          <w:lang w:eastAsia="es-MX"/>
        </w:rPr>
        <w:t>s </w:t>
      </w:r>
      <w:r w:rsidRPr="00B76E72">
        <w:rPr>
          <w:rFonts w:eastAsia="Times New Roman" w:cs="Times New Roman"/>
          <w:i/>
          <w:spacing w:val="-1"/>
          <w:sz w:val="20"/>
          <w:szCs w:val="20"/>
          <w:lang w:eastAsia="es-MX"/>
        </w:rPr>
        <w:t>d</w:t>
      </w:r>
      <w:r w:rsidRPr="00B76E72">
        <w:rPr>
          <w:rFonts w:eastAsia="Times New Roman" w:cs="Times New Roman"/>
          <w:i/>
          <w:sz w:val="20"/>
          <w:szCs w:val="20"/>
          <w:lang w:eastAsia="es-MX"/>
        </w:rPr>
        <w:t>e i</w:t>
      </w:r>
      <w:r w:rsidRPr="00B76E72">
        <w:rPr>
          <w:rFonts w:eastAsia="Times New Roman" w:cs="Times New Roman"/>
          <w:i/>
          <w:spacing w:val="-2"/>
          <w:sz w:val="20"/>
          <w:szCs w:val="20"/>
          <w:lang w:eastAsia="es-MX"/>
        </w:rPr>
        <w:t>n</w:t>
      </w:r>
      <w:r w:rsidRPr="00B76E72">
        <w:rPr>
          <w:rFonts w:eastAsia="Times New Roman" w:cs="Times New Roman"/>
          <w:i/>
          <w:sz w:val="20"/>
          <w:szCs w:val="20"/>
          <w:lang w:eastAsia="es-MX"/>
        </w:rPr>
        <w:t>f</w:t>
      </w:r>
      <w:r w:rsidRPr="00B76E72">
        <w:rPr>
          <w:rFonts w:eastAsia="Times New Roman" w:cs="Times New Roman"/>
          <w:i/>
          <w:spacing w:val="1"/>
          <w:sz w:val="20"/>
          <w:szCs w:val="20"/>
          <w:lang w:eastAsia="es-MX"/>
        </w:rPr>
        <w:t>o</w:t>
      </w:r>
      <w:r w:rsidRPr="00B76E72">
        <w:rPr>
          <w:rFonts w:eastAsia="Times New Roman" w:cs="Times New Roman"/>
          <w:i/>
          <w:sz w:val="20"/>
          <w:szCs w:val="20"/>
          <w:lang w:eastAsia="es-MX"/>
        </w:rPr>
        <w:t>r</w:t>
      </w:r>
      <w:r w:rsidRPr="00B76E72">
        <w:rPr>
          <w:rFonts w:eastAsia="Times New Roman" w:cs="Times New Roman"/>
          <w:i/>
          <w:spacing w:val="-1"/>
          <w:sz w:val="20"/>
          <w:szCs w:val="20"/>
          <w:lang w:eastAsia="es-MX"/>
        </w:rPr>
        <w:t>m</w:t>
      </w:r>
      <w:r w:rsidRPr="00B76E72">
        <w:rPr>
          <w:rFonts w:eastAsia="Times New Roman" w:cs="Times New Roman"/>
          <w:i/>
          <w:spacing w:val="1"/>
          <w:sz w:val="20"/>
          <w:szCs w:val="20"/>
          <w:lang w:eastAsia="es-MX"/>
        </w:rPr>
        <w:t>a</w:t>
      </w:r>
      <w:r w:rsidRPr="00B76E72">
        <w:rPr>
          <w:rFonts w:eastAsia="Times New Roman" w:cs="Times New Roman"/>
          <w:i/>
          <w:sz w:val="20"/>
          <w:szCs w:val="20"/>
          <w:lang w:eastAsia="es-MX"/>
        </w:rPr>
        <w:t>ció</w:t>
      </w:r>
      <w:r w:rsidRPr="00B76E72">
        <w:rPr>
          <w:rFonts w:eastAsia="Times New Roman" w:cs="Times New Roman"/>
          <w:i/>
          <w:spacing w:val="1"/>
          <w:sz w:val="20"/>
          <w:szCs w:val="20"/>
          <w:lang w:eastAsia="es-MX"/>
        </w:rPr>
        <w:t>n</w:t>
      </w:r>
      <w:r w:rsidRPr="00B76E72">
        <w:rPr>
          <w:rFonts w:eastAsia="Times New Roman" w:cs="Times New Roman"/>
          <w:i/>
          <w:sz w:val="20"/>
          <w:szCs w:val="20"/>
          <w:lang w:eastAsia="es-MX"/>
        </w:rPr>
        <w:t>.”</w:t>
      </w:r>
    </w:p>
    <w:p w14:paraId="2D111845" w14:textId="77777777" w:rsidR="00B76E72" w:rsidRPr="00B76E72" w:rsidRDefault="00B76E72" w:rsidP="00F363E5">
      <w:pPr>
        <w:spacing w:after="0"/>
        <w:rPr>
          <w:rFonts w:eastAsia="Calibri" w:cs="Arial"/>
          <w:bCs/>
          <w:lang w:val="es-ES"/>
        </w:rPr>
      </w:pPr>
    </w:p>
    <w:p w14:paraId="03DCE3AA" w14:textId="77777777" w:rsidR="00B76E72" w:rsidRPr="00B76E72" w:rsidRDefault="00B76E72" w:rsidP="00F363E5">
      <w:pPr>
        <w:spacing w:after="0"/>
        <w:rPr>
          <w:rFonts w:eastAsia="Calibri" w:cs="Arial"/>
          <w:b/>
          <w:bCs/>
          <w:lang w:val="es-ES"/>
        </w:rPr>
      </w:pPr>
      <w:r w:rsidRPr="00B76E72">
        <w:rPr>
          <w:rFonts w:eastAsia="Calibri" w:cs="Arial"/>
          <w:bCs/>
          <w:lang w:val="es-ES"/>
        </w:rPr>
        <w:t xml:space="preserve">Conforme a lo anterior, se advierte que las respuestas a los cuestionamientos realizados por la Solicitante, en primera instancia, son una consulta y no así una solicitud de acceso a información pública que pueda ser atendida mediante una expresión documental; pues corresponde a varias preguntas que implicarían elaborar un documento </w:t>
      </w:r>
      <w:r w:rsidRPr="00B76E72">
        <w:rPr>
          <w:rFonts w:eastAsia="Calibri" w:cs="Arial"/>
          <w:bCs/>
          <w:i/>
          <w:lang w:val="es-ES"/>
        </w:rPr>
        <w:t>ad hoc.</w:t>
      </w:r>
      <w:r w:rsidRPr="00B76E72">
        <w:rPr>
          <w:rFonts w:eastAsia="Calibri" w:cs="Arial"/>
          <w:b/>
          <w:bCs/>
          <w:lang w:val="es-ES"/>
        </w:rPr>
        <w:t xml:space="preserve"> </w:t>
      </w:r>
    </w:p>
    <w:p w14:paraId="4C16A701" w14:textId="77777777" w:rsidR="00B76E72" w:rsidRPr="00B76E72" w:rsidRDefault="00B76E72" w:rsidP="00F363E5">
      <w:pPr>
        <w:spacing w:after="0"/>
        <w:rPr>
          <w:rFonts w:eastAsia="Calibri" w:cs="Arial"/>
          <w:b/>
          <w:bCs/>
          <w:lang w:val="es-ES"/>
        </w:rPr>
      </w:pPr>
    </w:p>
    <w:p w14:paraId="1C11BEB0" w14:textId="77777777" w:rsidR="00B76E72" w:rsidRPr="00B76E72" w:rsidRDefault="00B76E72" w:rsidP="00F363E5">
      <w:pPr>
        <w:spacing w:after="0"/>
        <w:rPr>
          <w:rFonts w:eastAsia="Calibri" w:cs="Arial"/>
          <w:bCs/>
        </w:rPr>
      </w:pPr>
      <w:r w:rsidRPr="00B76E72">
        <w:rPr>
          <w:rFonts w:eastAsia="Calibri" w:cs="Arial"/>
          <w:bCs/>
          <w:lang w:val="es-ES"/>
        </w:rPr>
        <w:t xml:space="preserve">Lo anterior, toma sustento </w:t>
      </w:r>
      <w:r w:rsidRPr="00B76E72">
        <w:rPr>
          <w:rFonts w:eastAsia="Calibri" w:cs="Arial"/>
          <w:bCs/>
        </w:rPr>
        <w:t xml:space="preserve">la Jurisprudencia XXI.1o.P.A. J/27, de los Tribunales Colegiados de Circuito, localizada en la página 1406, del Semanario Judicial de la Federación y su Gaceta, Tomo </w:t>
      </w:r>
      <w:r w:rsidRPr="00B76E72">
        <w:rPr>
          <w:rFonts w:ascii="Calibri" w:eastAsia="Calibri" w:hAnsi="Calibri" w:cs="Calibri"/>
          <w:sz w:val="26"/>
          <w:szCs w:val="26"/>
          <w:lang w:val="es-ES"/>
        </w:rPr>
        <w:t>XXXIII</w:t>
      </w:r>
      <w:r w:rsidRPr="00B76E72">
        <w:rPr>
          <w:rFonts w:eastAsia="Calibri" w:cs="Arial"/>
          <w:bCs/>
        </w:rPr>
        <w:t>, marzo 2011, Novena Época, que establece lo siguiente:</w:t>
      </w:r>
    </w:p>
    <w:p w14:paraId="6FCD19EF" w14:textId="77777777" w:rsidR="00B76E72" w:rsidRPr="00B76E72" w:rsidRDefault="00B76E72" w:rsidP="00F363E5">
      <w:pPr>
        <w:spacing w:after="0"/>
        <w:rPr>
          <w:rFonts w:eastAsia="Calibri" w:cs="Arial"/>
          <w:bCs/>
        </w:rPr>
      </w:pPr>
    </w:p>
    <w:p w14:paraId="2A68E847" w14:textId="77777777" w:rsidR="00B76E72" w:rsidRPr="00B76E72" w:rsidRDefault="00B76E72" w:rsidP="00F363E5">
      <w:pPr>
        <w:spacing w:after="0"/>
        <w:ind w:left="567" w:right="567"/>
        <w:rPr>
          <w:rFonts w:eastAsia="Calibri" w:cs="Arial"/>
          <w:bCs/>
          <w:i/>
          <w:sz w:val="20"/>
          <w:szCs w:val="20"/>
          <w:lang w:val="es-ES"/>
        </w:rPr>
      </w:pPr>
      <w:r w:rsidRPr="00B76E72">
        <w:rPr>
          <w:rFonts w:eastAsia="Calibri" w:cs="Arial"/>
          <w:b/>
          <w:bCs/>
          <w:i/>
          <w:sz w:val="20"/>
          <w:szCs w:val="20"/>
          <w:lang w:val="es-ES"/>
        </w:rPr>
        <w:t xml:space="preserve">“DERECHO DE PETICIÓN. SUS ELEMENTOS. </w:t>
      </w:r>
      <w:r w:rsidRPr="00B76E72">
        <w:rPr>
          <w:rFonts w:eastAsia="Calibri" w:cs="Arial"/>
          <w:bCs/>
          <w:i/>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w:t>
      </w:r>
      <w:r w:rsidRPr="00B76E72">
        <w:rPr>
          <w:rFonts w:eastAsia="Calibri" w:cs="Arial"/>
          <w:bCs/>
          <w:i/>
          <w:sz w:val="20"/>
          <w:szCs w:val="20"/>
          <w:lang w:val="es-ES"/>
        </w:rPr>
        <w:lastRenderedPageBreak/>
        <w:t>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15A3A86A" w14:textId="77777777" w:rsidR="00B76E72" w:rsidRPr="00B76E72" w:rsidRDefault="00B76E72" w:rsidP="00F363E5">
      <w:pPr>
        <w:spacing w:after="0"/>
        <w:rPr>
          <w:rFonts w:eastAsia="Calibri" w:cs="Arial"/>
          <w:bCs/>
          <w:lang w:val="es-ES"/>
        </w:rPr>
      </w:pPr>
    </w:p>
    <w:p w14:paraId="42809BF6" w14:textId="77777777" w:rsidR="00B76E72" w:rsidRPr="00B76E72" w:rsidRDefault="00B76E72" w:rsidP="00F363E5">
      <w:pPr>
        <w:spacing w:after="0"/>
        <w:rPr>
          <w:rFonts w:eastAsia="Calibri" w:cs="Arial"/>
          <w:bCs/>
          <w:lang w:val="es-ES"/>
        </w:rPr>
      </w:pPr>
      <w:r w:rsidRPr="00B76E72">
        <w:rPr>
          <w:rFonts w:eastAsia="Calibri" w:cs="Arial"/>
          <w:bCs/>
          <w:lang w:val="es-ES"/>
        </w:rPr>
        <w:t xml:space="preserve">De la Jurisprudencia citada, se advierte que el derecho de </w:t>
      </w:r>
      <w:proofErr w:type="gramStart"/>
      <w:r w:rsidRPr="00B76E72">
        <w:rPr>
          <w:rFonts w:eastAsia="Calibri" w:cs="Arial"/>
          <w:bCs/>
          <w:lang w:val="es-ES"/>
        </w:rPr>
        <w:t>petición,</w:t>
      </w:r>
      <w:proofErr w:type="gramEnd"/>
      <w:r w:rsidRPr="00B76E72">
        <w:rPr>
          <w:rFonts w:eastAsia="Calibri" w:cs="Arial"/>
          <w:bCs/>
          <w:lang w:val="es-ES"/>
        </w:rPr>
        <w:t xml:space="preserve">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AEC01B6" w14:textId="77777777" w:rsidR="00B76E72" w:rsidRPr="00B76E72" w:rsidRDefault="00B76E72" w:rsidP="00F363E5">
      <w:pPr>
        <w:tabs>
          <w:tab w:val="left" w:pos="4962"/>
        </w:tabs>
        <w:spacing w:after="0"/>
        <w:rPr>
          <w:rFonts w:eastAsia="Calibri" w:cs="Tahoma"/>
          <w:iCs/>
          <w:lang w:val="es-ES" w:eastAsia="es-ES_tradnl"/>
        </w:rPr>
      </w:pPr>
    </w:p>
    <w:p w14:paraId="2B0A78B0" w14:textId="77777777" w:rsidR="00B76E72" w:rsidRPr="00B76E72" w:rsidRDefault="00B76E72" w:rsidP="00F363E5">
      <w:pPr>
        <w:spacing w:after="0"/>
        <w:rPr>
          <w:rFonts w:eastAsia="Times New Roman" w:cs="Tahoma"/>
          <w:color w:val="auto"/>
          <w:lang w:val="es-ES" w:eastAsia="es-ES"/>
        </w:rPr>
      </w:pPr>
      <w:r w:rsidRPr="00B76E72">
        <w:rPr>
          <w:rFonts w:eastAsia="Calibri" w:cs="Tahoma"/>
          <w:iCs/>
          <w:lang w:val="es-ES" w:eastAsia="es-ES_tradnl"/>
        </w:rPr>
        <w:t>No obstante, resulta necesario traer a colación el C</w:t>
      </w:r>
      <w:r w:rsidRPr="00B76E72">
        <w:rPr>
          <w:rFonts w:eastAsia="Times New Roman" w:cs="Tahoma"/>
          <w:color w:val="auto"/>
          <w:lang w:val="es-ES" w:eastAsia="es-ES"/>
        </w:rPr>
        <w:t>riterio 16/17, emitido por el Instituto Nacional de Transparencia, Acceso a la Información y Protección de Datos Personales, que establece:</w:t>
      </w:r>
    </w:p>
    <w:p w14:paraId="4BC4BC0C" w14:textId="77777777" w:rsidR="00B76E72" w:rsidRPr="00B76E72" w:rsidRDefault="00B76E72" w:rsidP="00F363E5">
      <w:pPr>
        <w:spacing w:after="0"/>
        <w:rPr>
          <w:rFonts w:eastAsia="Times New Roman" w:cs="Tahoma"/>
          <w:color w:val="auto"/>
          <w:lang w:val="es-ES" w:eastAsia="es-ES"/>
        </w:rPr>
      </w:pPr>
    </w:p>
    <w:p w14:paraId="556EF678" w14:textId="77777777" w:rsidR="00B76E72" w:rsidRPr="00B76E72" w:rsidRDefault="00B76E72" w:rsidP="00F363E5">
      <w:pPr>
        <w:spacing w:after="0"/>
        <w:ind w:left="567" w:right="567"/>
        <w:rPr>
          <w:rFonts w:eastAsia="Times New Roman" w:cs="Tahoma"/>
          <w:i/>
          <w:color w:val="auto"/>
          <w:sz w:val="20"/>
          <w:szCs w:val="20"/>
          <w:lang w:val="es-ES" w:eastAsia="es-ES"/>
        </w:rPr>
      </w:pPr>
      <w:r w:rsidRPr="00B76E72">
        <w:rPr>
          <w:rFonts w:eastAsia="Times New Roman" w:cs="Tahoma"/>
          <w:b/>
          <w:i/>
          <w:color w:val="auto"/>
          <w:sz w:val="20"/>
          <w:szCs w:val="20"/>
          <w:lang w:val="es-ES" w:eastAsia="es-ES"/>
        </w:rPr>
        <w:t>“Expresión documental.</w:t>
      </w:r>
      <w:r w:rsidRPr="00B76E72">
        <w:rPr>
          <w:rFonts w:eastAsia="Times New Roman" w:cs="Tahoma"/>
          <w:i/>
          <w:color w:val="auto"/>
          <w:sz w:val="20"/>
          <w:szCs w:val="20"/>
          <w:lang w:val="es-ES"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CF238D4" w14:textId="77777777" w:rsidR="00B76E72" w:rsidRPr="00B76E72" w:rsidRDefault="00B76E72" w:rsidP="00F363E5">
      <w:pPr>
        <w:spacing w:after="0"/>
        <w:rPr>
          <w:rFonts w:eastAsia="Times New Roman" w:cs="Tahoma"/>
          <w:color w:val="auto"/>
          <w:lang w:val="es-ES" w:eastAsia="es-ES"/>
        </w:rPr>
      </w:pPr>
    </w:p>
    <w:p w14:paraId="137AF1B0" w14:textId="77777777" w:rsidR="00B76E72" w:rsidRPr="00B76E72" w:rsidRDefault="00B76E72" w:rsidP="00F363E5">
      <w:pPr>
        <w:spacing w:after="0"/>
        <w:rPr>
          <w:rFonts w:eastAsia="Times New Roman" w:cs="Tahoma"/>
          <w:color w:val="auto"/>
          <w:lang w:val="es-ES" w:eastAsia="es-ES"/>
        </w:rPr>
      </w:pPr>
      <w:r w:rsidRPr="00B76E72">
        <w:rPr>
          <w:rFonts w:eastAsia="Times New Roman" w:cs="Tahoma"/>
          <w:color w:val="auto"/>
          <w:lang w:val="es-ES" w:eastAsia="es-ES"/>
        </w:rPr>
        <w:t>Del criterio citado, se desprende que cuando los particulares realicen una consulta, pero la respuesta pudiera obrar en algún documento en poder de los Sujetos Obligados, estos deben de proporcionar la expresión documental, que dé cuenta de lo requerido.</w:t>
      </w:r>
    </w:p>
    <w:p w14:paraId="2A3F9D66" w14:textId="65862945" w:rsidR="00B76E72" w:rsidRDefault="00B76E72" w:rsidP="00F363E5">
      <w:pPr>
        <w:spacing w:after="0"/>
        <w:rPr>
          <w:rFonts w:eastAsia="Times New Roman" w:cs="Tahoma"/>
          <w:bCs/>
          <w:color w:val="auto"/>
          <w:lang w:eastAsia="es-ES"/>
        </w:rPr>
      </w:pPr>
    </w:p>
    <w:p w14:paraId="66EA2663" w14:textId="14932570" w:rsidR="00B76E72" w:rsidRDefault="005B080B" w:rsidP="00F363E5">
      <w:pPr>
        <w:spacing w:after="0"/>
        <w:rPr>
          <w:rFonts w:eastAsia="Times New Roman" w:cs="Tahoma"/>
          <w:bCs/>
          <w:color w:val="auto"/>
          <w:lang w:eastAsia="es-ES"/>
        </w:rPr>
      </w:pPr>
      <w:r>
        <w:rPr>
          <w:rFonts w:eastAsia="Times New Roman" w:cs="Tahoma"/>
          <w:bCs/>
          <w:color w:val="auto"/>
          <w:lang w:eastAsia="es-ES"/>
        </w:rPr>
        <w:t xml:space="preserve">Conforme a lo anterior, se logra advertir que la pretensión del ahora </w:t>
      </w:r>
      <w:proofErr w:type="gramStart"/>
      <w:r>
        <w:rPr>
          <w:rFonts w:eastAsia="Times New Roman" w:cs="Tahoma"/>
          <w:bCs/>
          <w:color w:val="auto"/>
          <w:lang w:eastAsia="es-ES"/>
        </w:rPr>
        <w:t>Recurrente,</w:t>
      </w:r>
      <w:proofErr w:type="gramEnd"/>
      <w:r>
        <w:rPr>
          <w:rFonts w:eastAsia="Times New Roman" w:cs="Tahoma"/>
          <w:bCs/>
          <w:color w:val="auto"/>
          <w:lang w:eastAsia="es-ES"/>
        </w:rPr>
        <w:t xml:space="preserve"> es obtener la siguiente información:</w:t>
      </w:r>
    </w:p>
    <w:p w14:paraId="4A4802B2" w14:textId="5ED2D2E9" w:rsidR="005B080B" w:rsidRPr="005B080B" w:rsidRDefault="005B080B" w:rsidP="00F363E5">
      <w:pPr>
        <w:pStyle w:val="Prrafodelista"/>
        <w:numPr>
          <w:ilvl w:val="0"/>
          <w:numId w:val="37"/>
        </w:numPr>
        <w:spacing w:after="0"/>
        <w:rPr>
          <w:rFonts w:eastAsia="Times New Roman" w:cs="Tahoma"/>
          <w:bCs/>
          <w:color w:val="auto"/>
          <w:lang w:eastAsia="es-ES"/>
        </w:rPr>
      </w:pPr>
      <w:r w:rsidRPr="005B080B">
        <w:rPr>
          <w:rFonts w:eastAsia="Times New Roman" w:cs="Tahoma"/>
          <w:bCs/>
          <w:color w:val="auto"/>
          <w:lang w:eastAsia="es-ES"/>
        </w:rPr>
        <w:lastRenderedPageBreak/>
        <w:t>Fundamento legal y administrativo para tener que subdividir algún predio</w:t>
      </w:r>
      <w:r>
        <w:rPr>
          <w:rFonts w:eastAsia="Times New Roman" w:cs="Tahoma"/>
          <w:bCs/>
          <w:color w:val="auto"/>
          <w:lang w:eastAsia="es-ES"/>
        </w:rPr>
        <w:t>;</w:t>
      </w:r>
    </w:p>
    <w:p w14:paraId="479C3FE7" w14:textId="50E12CBD" w:rsidR="005B080B" w:rsidRPr="005B080B" w:rsidRDefault="005B080B" w:rsidP="00F363E5">
      <w:pPr>
        <w:pStyle w:val="Prrafodelista"/>
        <w:numPr>
          <w:ilvl w:val="0"/>
          <w:numId w:val="37"/>
        </w:numPr>
        <w:spacing w:after="0"/>
        <w:rPr>
          <w:rFonts w:eastAsia="Times New Roman" w:cs="Tahoma"/>
          <w:bCs/>
          <w:color w:val="auto"/>
          <w:lang w:eastAsia="es-ES"/>
        </w:rPr>
      </w:pPr>
      <w:r w:rsidRPr="005B080B">
        <w:rPr>
          <w:rFonts w:eastAsia="Times New Roman" w:cs="Tahoma"/>
          <w:bCs/>
          <w:color w:val="auto"/>
          <w:lang w:eastAsia="es-ES"/>
        </w:rPr>
        <w:t>Fundamento legal y administrativo para obtener una nueva cuenta catastral</w:t>
      </w:r>
      <w:r>
        <w:rPr>
          <w:rFonts w:eastAsia="Times New Roman" w:cs="Tahoma"/>
          <w:bCs/>
          <w:color w:val="auto"/>
          <w:lang w:eastAsia="es-ES"/>
        </w:rPr>
        <w:t>, y</w:t>
      </w:r>
    </w:p>
    <w:p w14:paraId="6C0FF242" w14:textId="74A2C021" w:rsidR="005B080B" w:rsidRPr="005B080B" w:rsidRDefault="005B080B" w:rsidP="00F363E5">
      <w:pPr>
        <w:pStyle w:val="Prrafodelista"/>
        <w:numPr>
          <w:ilvl w:val="0"/>
          <w:numId w:val="37"/>
        </w:numPr>
        <w:spacing w:after="0"/>
        <w:rPr>
          <w:rFonts w:eastAsia="Times New Roman" w:cs="Tahoma"/>
          <w:bCs/>
          <w:color w:val="auto"/>
          <w:lang w:eastAsia="es-ES"/>
        </w:rPr>
      </w:pPr>
      <w:r w:rsidRPr="005B080B">
        <w:rPr>
          <w:rFonts w:eastAsia="Times New Roman" w:cs="Tahoma"/>
          <w:bCs/>
          <w:color w:val="auto"/>
          <w:lang w:eastAsia="es-ES"/>
        </w:rPr>
        <w:t xml:space="preserve">Fundamento </w:t>
      </w:r>
      <w:r w:rsidR="00436B7E">
        <w:rPr>
          <w:rFonts w:eastAsia="Times New Roman" w:cs="Tahoma"/>
          <w:bCs/>
          <w:color w:val="auto"/>
          <w:lang w:eastAsia="es-ES"/>
        </w:rPr>
        <w:t>l</w:t>
      </w:r>
      <w:r w:rsidRPr="005B080B">
        <w:rPr>
          <w:rFonts w:eastAsia="Times New Roman" w:cs="Tahoma"/>
          <w:bCs/>
          <w:color w:val="auto"/>
          <w:lang w:eastAsia="es-ES"/>
        </w:rPr>
        <w:t>egal y administrativo, para que el Cabildo de un Municipio, pueda subdividir un terreno</w:t>
      </w:r>
      <w:r>
        <w:rPr>
          <w:rFonts w:eastAsia="Times New Roman" w:cs="Tahoma"/>
          <w:bCs/>
          <w:color w:val="auto"/>
          <w:lang w:eastAsia="es-ES"/>
        </w:rPr>
        <w:t>.</w:t>
      </w:r>
    </w:p>
    <w:p w14:paraId="7F77E590" w14:textId="77777777" w:rsidR="005B080B" w:rsidRPr="00A2355B" w:rsidRDefault="005B080B" w:rsidP="00F363E5">
      <w:pPr>
        <w:spacing w:after="0"/>
        <w:rPr>
          <w:rFonts w:eastAsia="Times New Roman" w:cs="Tahoma"/>
          <w:bCs/>
          <w:color w:val="auto"/>
          <w:lang w:eastAsia="es-ES"/>
        </w:rPr>
      </w:pPr>
    </w:p>
    <w:p w14:paraId="0FC406BC" w14:textId="24F4BAEA" w:rsidR="005B080B" w:rsidRPr="002D5C0F" w:rsidRDefault="005B080B" w:rsidP="00F363E5">
      <w:pPr>
        <w:spacing w:after="0"/>
        <w:rPr>
          <w:rFonts w:eastAsia="Times New Roman" w:cs="Tahoma"/>
          <w:iCs/>
          <w:lang w:val="es-ES" w:eastAsia="es-ES"/>
        </w:rPr>
      </w:pPr>
      <w:r>
        <w:rPr>
          <w:rFonts w:eastAsia="Times New Roman" w:cs="Tahoma"/>
          <w:bCs/>
          <w:iCs/>
          <w:color w:val="auto"/>
          <w:lang w:eastAsia="es-ES"/>
        </w:rPr>
        <w:t xml:space="preserve">Establecida dicha circunstancia, es de señalar que el Sujeto Obligado tanto en respuesta, como en Informe Justificado, turno la solicitud de información, a la Dirección de Catastro; </w:t>
      </w:r>
      <w:r w:rsidRPr="002D5C0F">
        <w:t xml:space="preserve">razón por la cual es </w:t>
      </w:r>
      <w:r w:rsidRPr="002D5C0F">
        <w:rPr>
          <w:rFonts w:eastAsia="Times New Roman" w:cs="Tahoma"/>
          <w:bCs/>
          <w:iCs/>
          <w:lang w:eastAsia="es-ES"/>
        </w:rPr>
        <w:t>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6E4301DB" w14:textId="77777777" w:rsidR="005B080B" w:rsidRPr="002D5C0F" w:rsidRDefault="005B080B" w:rsidP="00F363E5">
      <w:pPr>
        <w:spacing w:after="0"/>
        <w:rPr>
          <w:rFonts w:eastAsia="Times New Roman" w:cs="Tahoma"/>
          <w:bCs/>
          <w:iCs/>
          <w:lang w:eastAsia="es-ES"/>
        </w:rPr>
      </w:pPr>
    </w:p>
    <w:p w14:paraId="1BAB2B2B" w14:textId="77777777" w:rsidR="005B080B" w:rsidRPr="002D5C0F" w:rsidRDefault="005B080B" w:rsidP="00F363E5">
      <w:pPr>
        <w:numPr>
          <w:ilvl w:val="0"/>
          <w:numId w:val="1"/>
        </w:numPr>
        <w:spacing w:after="0"/>
        <w:rPr>
          <w:rFonts w:eastAsia="Times New Roman" w:cs="Tahoma"/>
          <w:bCs/>
          <w:iCs/>
          <w:lang w:val="es-ES" w:eastAsia="es-ES"/>
        </w:rPr>
      </w:pPr>
      <w:r w:rsidRPr="002D5C0F">
        <w:rPr>
          <w:rFonts w:eastAsia="Times New Roman" w:cs="Tahoma"/>
          <w:bCs/>
          <w:iCs/>
          <w:lang w:val="es-ES"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A3C6CC" w14:textId="77777777" w:rsidR="005B080B" w:rsidRPr="002D5C0F" w:rsidRDefault="005B080B" w:rsidP="00F363E5">
      <w:pPr>
        <w:spacing w:after="0"/>
        <w:rPr>
          <w:rFonts w:eastAsia="Times New Roman" w:cs="Tahoma"/>
          <w:bCs/>
          <w:iCs/>
          <w:lang w:val="es-ES" w:eastAsia="es-ES"/>
        </w:rPr>
      </w:pPr>
    </w:p>
    <w:p w14:paraId="760E4018" w14:textId="77777777" w:rsidR="005B080B" w:rsidRPr="002D5C0F" w:rsidRDefault="005B080B" w:rsidP="00F363E5">
      <w:pPr>
        <w:numPr>
          <w:ilvl w:val="0"/>
          <w:numId w:val="1"/>
        </w:numPr>
        <w:spacing w:after="0"/>
        <w:rPr>
          <w:rFonts w:eastAsia="Times New Roman" w:cs="Tahoma"/>
          <w:bCs/>
          <w:iCs/>
          <w:lang w:val="es-ES" w:eastAsia="es-ES"/>
        </w:rPr>
      </w:pPr>
      <w:r w:rsidRPr="002D5C0F">
        <w:rPr>
          <w:rFonts w:eastAsia="Times New Roman" w:cs="Tahoma"/>
          <w:bCs/>
          <w:iCs/>
          <w:lang w:val="es-ES" w:eastAsia="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20951FC" w14:textId="1BBDDD92" w:rsidR="00AB598B" w:rsidRDefault="00AB598B" w:rsidP="00F363E5">
      <w:pPr>
        <w:spacing w:after="0"/>
        <w:rPr>
          <w:rFonts w:eastAsia="Times New Roman" w:cs="Tahoma"/>
          <w:bCs/>
          <w:iCs/>
          <w:color w:val="auto"/>
          <w:lang w:eastAsia="es-ES"/>
        </w:rPr>
      </w:pPr>
    </w:p>
    <w:p w14:paraId="2AAA883B" w14:textId="0130B00F" w:rsidR="005B080B" w:rsidRDefault="005B080B" w:rsidP="00F363E5">
      <w:pPr>
        <w:spacing w:after="0"/>
        <w:rPr>
          <w:rFonts w:eastAsia="Times New Roman" w:cs="Tahoma"/>
          <w:bCs/>
          <w:iCs/>
          <w:color w:val="auto"/>
          <w:lang w:eastAsia="es-ES"/>
        </w:rPr>
      </w:pPr>
      <w:r>
        <w:rPr>
          <w:rFonts w:eastAsia="Calibri" w:cs="Tahoma"/>
          <w:bCs/>
          <w:color w:val="000000"/>
        </w:rPr>
        <w:t xml:space="preserve">Así, a efecto de verificar que el Ente Recurrido haya cumplido con dicho procedimiento, </w:t>
      </w:r>
      <w:r w:rsidRPr="008E778A">
        <w:rPr>
          <w:rFonts w:eastAsia="Calibri" w:cs="Tahoma"/>
          <w:bCs/>
          <w:color w:val="000000"/>
        </w:rPr>
        <w:t>resulta necesario citar</w:t>
      </w:r>
      <w:r w:rsidR="00B8081C">
        <w:rPr>
          <w:rFonts w:eastAsia="Calibri" w:cs="Tahoma"/>
          <w:bCs/>
          <w:color w:val="000000"/>
        </w:rPr>
        <w:t xml:space="preserve"> los artículos 11, fracción III, y 16 del Reglamento Interior del </w:t>
      </w:r>
      <w:r w:rsidR="00B8081C" w:rsidRPr="00CF56B9">
        <w:rPr>
          <w:rFonts w:eastAsia="Calibri" w:cs="Tahoma"/>
        </w:rPr>
        <w:t>Instituto de Información e Investigación Geográfica, Estadística y Catastral del Estado de México</w:t>
      </w:r>
      <w:r w:rsidR="00B8081C">
        <w:rPr>
          <w:rFonts w:eastAsia="Calibri" w:cs="Tahoma"/>
        </w:rPr>
        <w:t xml:space="preserve">, que </w:t>
      </w:r>
      <w:r w:rsidR="00B8081C">
        <w:rPr>
          <w:rFonts w:eastAsia="Calibri" w:cs="Tahoma"/>
        </w:rPr>
        <w:lastRenderedPageBreak/>
        <w:t xml:space="preserve">precisa que el Sujeto Obligado cuenta con diversas unidades administrativas para el ejercicio de sus funciones, entre las cuales se encuentra la Dirección de Catastro, encargada de integrar y </w:t>
      </w:r>
      <w:r w:rsidR="00B8081C">
        <w:t>mantener actualizado el sistema de información catastral del Estado; promover y vigilar la correcta aplicación de las normas, procedimientos, metodologías, criterios técnicos y administrativos para la realización de actividades catastrales en los municipios del Estado, así como, emitir opinión técnica sobre los términos de referencia para la realización o contratación de estudios o investigaciones en materia catastral que pretendan llevar a cabo las dependencias u organismos auxiliares estatales y municipales.</w:t>
      </w:r>
    </w:p>
    <w:p w14:paraId="05696830" w14:textId="37CEAB6A" w:rsidR="005B080B" w:rsidRDefault="005B080B" w:rsidP="00F363E5">
      <w:pPr>
        <w:spacing w:after="0"/>
        <w:rPr>
          <w:rFonts w:eastAsia="Times New Roman" w:cs="Tahoma"/>
          <w:bCs/>
          <w:iCs/>
          <w:color w:val="auto"/>
          <w:lang w:eastAsia="es-ES"/>
        </w:rPr>
      </w:pPr>
    </w:p>
    <w:p w14:paraId="2CE4525C" w14:textId="4FE38469" w:rsidR="00B8081C" w:rsidRDefault="00B8081C" w:rsidP="00F363E5">
      <w:pPr>
        <w:spacing w:after="0"/>
        <w:rPr>
          <w:rFonts w:eastAsia="Calibri" w:cs="Tahoma"/>
          <w:bCs/>
          <w:color w:val="000000"/>
        </w:rPr>
      </w:pPr>
      <w:r w:rsidRPr="008E778A">
        <w:rPr>
          <w:rFonts w:cs="Tahoma"/>
          <w:bCs/>
        </w:rPr>
        <w:t xml:space="preserve">Conforme a lo anterior, se advierte que el Ente Recurrido cuenta con </w:t>
      </w:r>
      <w:r>
        <w:rPr>
          <w:rFonts w:cs="Tahoma"/>
          <w:bCs/>
        </w:rPr>
        <w:t>un área específica</w:t>
      </w:r>
      <w:r w:rsidRPr="008E778A">
        <w:rPr>
          <w:rFonts w:cs="Tahoma"/>
          <w:bCs/>
        </w:rPr>
        <w:t xml:space="preserve"> para conocer de la solicitud de información, a saber, </w:t>
      </w:r>
      <w:r w:rsidR="00CB4142">
        <w:rPr>
          <w:rFonts w:cs="Tahoma"/>
          <w:bCs/>
        </w:rPr>
        <w:t>la Dirección de Catastro</w:t>
      </w:r>
      <w:r w:rsidR="00CB4142">
        <w:rPr>
          <w:rFonts w:eastAsia="Calibri" w:cs="Tahoma"/>
          <w:bCs/>
          <w:color w:val="000000"/>
        </w:rPr>
        <w:t>, por lo que, se considera que se cumplió con el procedimiento de búsqueda establecido en el artículo 162 de la Ley de Transparencia y Acceso a la Información Pública del Estado de México y Municipios</w:t>
      </w:r>
      <w:r w:rsidR="00CB3C32">
        <w:rPr>
          <w:rFonts w:eastAsia="Calibri" w:cs="Tahoma"/>
          <w:bCs/>
          <w:color w:val="000000"/>
        </w:rPr>
        <w:t>. Establecida dicha circunstancia, se procede al análisis de la respuesta entregada por dicha área, a cada uno de los pedimentos de información.</w:t>
      </w:r>
    </w:p>
    <w:p w14:paraId="665B7F28" w14:textId="5F29FCF1" w:rsidR="00CB3C32" w:rsidRDefault="00CB3C32" w:rsidP="00F363E5">
      <w:pPr>
        <w:spacing w:after="0"/>
        <w:rPr>
          <w:rFonts w:eastAsia="Calibri" w:cs="Tahoma"/>
          <w:bCs/>
          <w:color w:val="000000"/>
        </w:rPr>
      </w:pPr>
    </w:p>
    <w:p w14:paraId="68D99A77" w14:textId="66F0F0B6" w:rsidR="00CB3C32" w:rsidRPr="00CB3C32" w:rsidRDefault="00CB3C32" w:rsidP="00F363E5">
      <w:pPr>
        <w:spacing w:after="0"/>
        <w:rPr>
          <w:rFonts w:cs="Tahoma"/>
          <w:b/>
        </w:rPr>
      </w:pPr>
      <w:r w:rsidRPr="00CB3C32">
        <w:rPr>
          <w:rFonts w:eastAsia="Times New Roman" w:cs="Tahoma"/>
          <w:b/>
          <w:color w:val="auto"/>
          <w:lang w:eastAsia="es-ES"/>
        </w:rPr>
        <w:t>Fundamento legal y administrativo para tener que subdividir algún predio</w:t>
      </w:r>
    </w:p>
    <w:p w14:paraId="0E92E145" w14:textId="667EF1A8" w:rsidR="005B080B" w:rsidRDefault="005B080B" w:rsidP="00F363E5">
      <w:pPr>
        <w:spacing w:after="0"/>
        <w:rPr>
          <w:rFonts w:eastAsia="Times New Roman" w:cs="Tahoma"/>
          <w:bCs/>
          <w:iCs/>
          <w:color w:val="auto"/>
          <w:lang w:eastAsia="es-ES"/>
        </w:rPr>
      </w:pPr>
    </w:p>
    <w:p w14:paraId="2F099CCA" w14:textId="0B6D8836" w:rsidR="00CB3C32" w:rsidRDefault="00CB3C32" w:rsidP="00F363E5">
      <w:pPr>
        <w:spacing w:after="0"/>
        <w:rPr>
          <w:rFonts w:eastAsia="Times New Roman" w:cs="Tahoma"/>
          <w:bCs/>
          <w:iCs/>
          <w:color w:val="auto"/>
          <w:lang w:eastAsia="es-ES"/>
        </w:rPr>
      </w:pPr>
      <w:r>
        <w:rPr>
          <w:rFonts w:eastAsia="Times New Roman" w:cs="Tahoma"/>
          <w:bCs/>
          <w:iCs/>
          <w:color w:val="auto"/>
          <w:lang w:eastAsia="es-ES"/>
        </w:rPr>
        <w:t xml:space="preserve">La Dirección de Catastro Precisó que en términos del </w:t>
      </w:r>
      <w:r w:rsidRPr="00CB3C32">
        <w:rPr>
          <w:rFonts w:eastAsia="Times New Roman" w:cs="Tahoma"/>
          <w:bCs/>
          <w:iCs/>
          <w:color w:val="auto"/>
          <w:lang w:eastAsia="es-ES"/>
        </w:rPr>
        <w:t xml:space="preserve">artículo 4° del Reglamento del Libro Quinto del Código Administrativo del Estado de México, toda subdivisión </w:t>
      </w:r>
      <w:r w:rsidR="008B6C46" w:rsidRPr="00CB3C32">
        <w:rPr>
          <w:rFonts w:eastAsia="Times New Roman" w:cs="Tahoma"/>
          <w:bCs/>
          <w:iCs/>
          <w:color w:val="auto"/>
          <w:lang w:eastAsia="es-ES"/>
        </w:rPr>
        <w:t>requerí</w:t>
      </w:r>
      <w:r w:rsidR="008B6C46">
        <w:rPr>
          <w:rFonts w:eastAsia="Times New Roman" w:cs="Tahoma"/>
          <w:bCs/>
          <w:iCs/>
          <w:color w:val="auto"/>
          <w:lang w:eastAsia="es-ES"/>
        </w:rPr>
        <w:t>a</w:t>
      </w:r>
      <w:r w:rsidRPr="00CB3C32">
        <w:rPr>
          <w:rFonts w:eastAsia="Times New Roman" w:cs="Tahoma"/>
          <w:bCs/>
          <w:iCs/>
          <w:color w:val="auto"/>
          <w:lang w:eastAsia="es-ES"/>
        </w:rPr>
        <w:t xml:space="preserve"> la autorización previa y expresa de las autoridades estatales o municipales competentes, conforme a los requisitos establecidos</w:t>
      </w:r>
      <w:r w:rsidR="008B6C46">
        <w:rPr>
          <w:rFonts w:eastAsia="Times New Roman" w:cs="Tahoma"/>
          <w:bCs/>
          <w:iCs/>
          <w:color w:val="auto"/>
          <w:lang w:eastAsia="es-ES"/>
        </w:rPr>
        <w:t>; al respecto dichos artículos precisan lo siguiente:</w:t>
      </w:r>
    </w:p>
    <w:p w14:paraId="520C71B3" w14:textId="4272C15C" w:rsidR="008B6C46" w:rsidRDefault="008B6C46" w:rsidP="00F363E5">
      <w:pPr>
        <w:spacing w:after="0"/>
        <w:rPr>
          <w:rFonts w:eastAsia="Times New Roman" w:cs="Tahoma"/>
          <w:bCs/>
          <w:iCs/>
          <w:color w:val="auto"/>
          <w:lang w:eastAsia="es-ES"/>
        </w:rPr>
      </w:pPr>
    </w:p>
    <w:p w14:paraId="19861841" w14:textId="3548BC80" w:rsidR="008B6C46" w:rsidRPr="008B6C46" w:rsidRDefault="008B6C46" w:rsidP="00F363E5">
      <w:pPr>
        <w:spacing w:after="0"/>
        <w:ind w:left="567" w:right="567"/>
        <w:rPr>
          <w:rFonts w:eastAsia="Times New Roman" w:cs="Tahoma"/>
          <w:bCs/>
          <w:i/>
          <w:color w:val="auto"/>
          <w:sz w:val="20"/>
          <w:szCs w:val="20"/>
          <w:lang w:eastAsia="es-ES"/>
        </w:rPr>
      </w:pPr>
      <w:r>
        <w:rPr>
          <w:rFonts w:eastAsia="Times New Roman" w:cs="Tahoma"/>
          <w:b/>
          <w:i/>
          <w:color w:val="auto"/>
          <w:sz w:val="20"/>
          <w:szCs w:val="20"/>
          <w:lang w:eastAsia="es-ES"/>
        </w:rPr>
        <w:t>“</w:t>
      </w:r>
      <w:r w:rsidRPr="008B6C46">
        <w:rPr>
          <w:rFonts w:eastAsia="Times New Roman" w:cs="Tahoma"/>
          <w:b/>
          <w:i/>
          <w:color w:val="auto"/>
          <w:sz w:val="20"/>
          <w:szCs w:val="20"/>
          <w:lang w:eastAsia="es-ES"/>
        </w:rPr>
        <w:t>Artículo 4.</w:t>
      </w:r>
      <w:r w:rsidRPr="008B6C46">
        <w:rPr>
          <w:rFonts w:eastAsia="Times New Roman" w:cs="Tahoma"/>
          <w:bCs/>
          <w:i/>
          <w:color w:val="auto"/>
          <w:sz w:val="20"/>
          <w:szCs w:val="20"/>
          <w:lang w:eastAsia="es-ES"/>
        </w:rPr>
        <w:t xml:space="preserve"> La fusión o subdivisión del suelo, condominio o conjunto urbano, relotificación, la construcción en, sobre o bajo la tierra, la realización de cualquier cambio físico de su estructura, de uso o ampliación en edificios existentes, así como todo uso o aprovechamiento del suelo regulado por </w:t>
      </w:r>
      <w:r w:rsidRPr="008B6C46">
        <w:rPr>
          <w:rFonts w:eastAsia="Times New Roman" w:cs="Tahoma"/>
          <w:bCs/>
          <w:i/>
          <w:color w:val="auto"/>
          <w:sz w:val="20"/>
          <w:szCs w:val="20"/>
          <w:lang w:eastAsia="es-ES"/>
        </w:rPr>
        <w:lastRenderedPageBreak/>
        <w:t>las disposiciones jurídicas aplicables en materia de desarrollo urbano, requerirá autorización previa y expresa de las autoridades estatales o municipales competentes.</w:t>
      </w:r>
      <w:r>
        <w:rPr>
          <w:rFonts w:eastAsia="Times New Roman" w:cs="Tahoma"/>
          <w:bCs/>
          <w:i/>
          <w:color w:val="auto"/>
          <w:sz w:val="20"/>
          <w:szCs w:val="20"/>
          <w:lang w:eastAsia="es-ES"/>
        </w:rPr>
        <w:t>”</w:t>
      </w:r>
    </w:p>
    <w:p w14:paraId="4670FDC5" w14:textId="77C44F85" w:rsidR="00CB3C32" w:rsidRDefault="00CB3C32" w:rsidP="00F363E5">
      <w:pPr>
        <w:spacing w:after="0"/>
        <w:rPr>
          <w:rFonts w:eastAsia="Times New Roman" w:cs="Tahoma"/>
          <w:bCs/>
          <w:iCs/>
          <w:color w:val="auto"/>
          <w:lang w:eastAsia="es-ES"/>
        </w:rPr>
      </w:pPr>
    </w:p>
    <w:p w14:paraId="412BA32B" w14:textId="1BA9F680" w:rsidR="00CB3C32" w:rsidRDefault="008B6C46" w:rsidP="00F363E5">
      <w:pPr>
        <w:spacing w:after="0"/>
        <w:rPr>
          <w:rFonts w:eastAsia="Times New Roman" w:cs="Tahoma"/>
          <w:bCs/>
          <w:iCs/>
          <w:color w:val="auto"/>
          <w:lang w:eastAsia="es-ES"/>
        </w:rPr>
      </w:pPr>
      <w:r>
        <w:rPr>
          <w:rFonts w:eastAsia="Times New Roman" w:cs="Tahoma"/>
          <w:bCs/>
          <w:iCs/>
          <w:color w:val="auto"/>
          <w:lang w:eastAsia="es-ES"/>
        </w:rPr>
        <w:t xml:space="preserve">Conforme a lo anterior, se logra observar que para cualquier subdivisión de predio se requería </w:t>
      </w:r>
      <w:r w:rsidR="004F4DE7">
        <w:rPr>
          <w:rFonts w:eastAsia="Times New Roman" w:cs="Tahoma"/>
          <w:bCs/>
          <w:iCs/>
          <w:color w:val="auto"/>
          <w:lang w:eastAsia="es-ES"/>
        </w:rPr>
        <w:t xml:space="preserve">autorización expresa de la autoridad competente; situación que se robustece con el artículo 98 y 99 de dicho ordenamiento jurídico que precisan las reglas y el procedimiento de subdivisión </w:t>
      </w:r>
      <w:r w:rsidR="001A186C">
        <w:rPr>
          <w:rFonts w:eastAsia="Times New Roman" w:cs="Tahoma"/>
          <w:bCs/>
          <w:iCs/>
          <w:color w:val="auto"/>
          <w:lang w:eastAsia="es-ES"/>
        </w:rPr>
        <w:t>de predios e inmuebles.</w:t>
      </w:r>
    </w:p>
    <w:p w14:paraId="62625DA5" w14:textId="72AF7847" w:rsidR="001A186C" w:rsidRDefault="001A186C" w:rsidP="00F363E5">
      <w:pPr>
        <w:spacing w:after="0"/>
        <w:rPr>
          <w:rFonts w:eastAsia="Times New Roman" w:cs="Tahoma"/>
          <w:bCs/>
          <w:iCs/>
          <w:color w:val="auto"/>
          <w:lang w:eastAsia="es-ES"/>
        </w:rPr>
      </w:pPr>
    </w:p>
    <w:p w14:paraId="7BA66E9F" w14:textId="77777777" w:rsidR="001A186C" w:rsidRPr="001A186C" w:rsidRDefault="001A186C" w:rsidP="00F363E5">
      <w:pPr>
        <w:widowControl w:val="0"/>
        <w:spacing w:after="0"/>
        <w:rPr>
          <w:rFonts w:eastAsia="Times New Roman" w:cs="Tahoma"/>
          <w:iCs/>
          <w:color w:val="auto"/>
          <w:lang w:val="es-ES" w:eastAsia="es-ES"/>
        </w:rPr>
      </w:pPr>
      <w:r>
        <w:rPr>
          <w:rFonts w:eastAsia="Times New Roman" w:cs="Tahoma"/>
          <w:bCs/>
          <w:iCs/>
          <w:color w:val="auto"/>
          <w:lang w:eastAsia="es-ES"/>
        </w:rPr>
        <w:t xml:space="preserve">Conforme a lo anterior, se logra advertir que el Sujeto Obligado proporcionó el fundamento legal que precisa que toda subdivisión de predio, debe ser autorizada por la autoridad competente, lo cual, da cuenta de lo solicitado; </w:t>
      </w:r>
      <w:r w:rsidRPr="001A186C">
        <w:rPr>
          <w:rFonts w:cs="Tahoma"/>
        </w:rPr>
        <w:t>d</w:t>
      </w:r>
      <w:r w:rsidRPr="001A186C">
        <w:rPr>
          <w:bCs/>
          <w:iCs/>
        </w:rPr>
        <w:t>icha situación toma sustento en</w:t>
      </w:r>
      <w:r w:rsidRPr="001A186C">
        <w:rPr>
          <w:bCs/>
        </w:rPr>
        <w:t xml:space="preserve"> el</w:t>
      </w:r>
      <w:r w:rsidRPr="001A186C">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1A186C">
        <w:rPr>
          <w:rFonts w:eastAsia="Times New Roman" w:cs="Tahoma"/>
          <w:iCs/>
          <w:color w:val="auto"/>
          <w:lang w:val="es-ES" w:eastAsia="es-ES"/>
        </w:rPr>
        <w:t>misma, ni presentarla conforme al interés del Solicitante.</w:t>
      </w:r>
    </w:p>
    <w:p w14:paraId="3AEECA31" w14:textId="77777777" w:rsidR="001A186C" w:rsidRPr="001A186C" w:rsidRDefault="001A186C" w:rsidP="00F363E5">
      <w:pPr>
        <w:spacing w:after="0"/>
        <w:rPr>
          <w:rFonts w:eastAsia="Times New Roman" w:cs="Tahoma"/>
          <w:iCs/>
          <w:color w:val="auto"/>
          <w:lang w:val="es-ES" w:eastAsia="es-ES"/>
        </w:rPr>
      </w:pPr>
    </w:p>
    <w:p w14:paraId="75CF7A29" w14:textId="77777777" w:rsidR="001A186C" w:rsidRPr="001A186C" w:rsidRDefault="001A186C" w:rsidP="00F363E5">
      <w:pPr>
        <w:spacing w:after="0"/>
      </w:pPr>
      <w:r w:rsidRPr="001A186C">
        <w:rPr>
          <w:rFonts w:eastAsia="Times New Roman" w:cs="Tahoma"/>
          <w:iCs/>
          <w:color w:val="auto"/>
          <w:lang w:val="es-ES" w:eastAsia="es-ES"/>
        </w:rPr>
        <w:t>De esta manera, el derecho de acceso a la información pública se satisface en aquellos casos en que se entregue el soporte documental en el que conste la información solicitada, sin necesidad</w:t>
      </w:r>
      <w:r w:rsidRPr="001A186C">
        <w:rPr>
          <w:lang w:val="es-ES"/>
        </w:rPr>
        <w:t xml:space="preserve"> de elaborar documentos </w:t>
      </w:r>
      <w:r w:rsidRPr="001A186C">
        <w:rPr>
          <w:i/>
        </w:rPr>
        <w:t>ad hoc</w:t>
      </w:r>
      <w:r w:rsidRPr="001A186C">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38E7839" w14:textId="77777777" w:rsidR="001A186C" w:rsidRPr="001A186C" w:rsidRDefault="001A186C" w:rsidP="00F363E5">
      <w:pPr>
        <w:spacing w:after="0"/>
        <w:rPr>
          <w:rFonts w:eastAsia="Times New Roman" w:cs="Tahoma"/>
          <w:iCs/>
          <w:color w:val="auto"/>
          <w:lang w:eastAsia="es-ES"/>
        </w:rPr>
      </w:pPr>
    </w:p>
    <w:p w14:paraId="7BA6E9F6" w14:textId="6668687E" w:rsidR="001A186C" w:rsidRPr="001A186C" w:rsidRDefault="001A186C" w:rsidP="00F363E5">
      <w:pPr>
        <w:spacing w:after="0"/>
        <w:rPr>
          <w:lang w:val="es-ES"/>
        </w:rPr>
      </w:pPr>
      <w:r w:rsidRPr="001A186C">
        <w:rPr>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w:t>
      </w:r>
      <w:r w:rsidRPr="001A186C">
        <w:rPr>
          <w:lang w:val="es-ES"/>
        </w:rPr>
        <w:lastRenderedPageBreak/>
        <w:t xml:space="preserve">aconteció, pues la Dirección </w:t>
      </w:r>
      <w:r>
        <w:rPr>
          <w:lang w:val="es-ES"/>
        </w:rPr>
        <w:t>de Catastro proporcionó la información que obraba en sus archivos y daba cuenta de lo solicitado, a saber, el artículo específico que precisa que para subdividir un predio, es necesario tener autorización de la autoridad competente.</w:t>
      </w:r>
    </w:p>
    <w:p w14:paraId="50A626DD" w14:textId="4E7DA03C" w:rsidR="001A186C" w:rsidRDefault="001A186C" w:rsidP="00F363E5">
      <w:pPr>
        <w:spacing w:after="0"/>
        <w:rPr>
          <w:rFonts w:eastAsia="Times New Roman" w:cs="Tahoma"/>
          <w:bCs/>
          <w:iCs/>
          <w:color w:val="auto"/>
          <w:lang w:eastAsia="es-ES"/>
        </w:rPr>
      </w:pPr>
    </w:p>
    <w:p w14:paraId="4478FE4E" w14:textId="52006B28" w:rsidR="001A186C" w:rsidRDefault="001A186C" w:rsidP="00F363E5">
      <w:pPr>
        <w:spacing w:after="0"/>
        <w:rPr>
          <w:rFonts w:eastAsia="Times New Roman" w:cs="Tahoma"/>
          <w:b/>
          <w:color w:val="auto"/>
          <w:lang w:eastAsia="es-ES"/>
        </w:rPr>
      </w:pPr>
      <w:r w:rsidRPr="001A186C">
        <w:rPr>
          <w:rFonts w:eastAsia="Times New Roman" w:cs="Tahoma"/>
          <w:b/>
          <w:color w:val="auto"/>
          <w:lang w:eastAsia="es-ES"/>
        </w:rPr>
        <w:t>Fundamento legal y administrativo para obtener una nueva cuenta catastral</w:t>
      </w:r>
      <w:r>
        <w:rPr>
          <w:rFonts w:eastAsia="Times New Roman" w:cs="Tahoma"/>
          <w:b/>
          <w:color w:val="auto"/>
          <w:lang w:eastAsia="es-ES"/>
        </w:rPr>
        <w:t>.</w:t>
      </w:r>
    </w:p>
    <w:p w14:paraId="751BB57F" w14:textId="430EAC6B" w:rsidR="00F566C0" w:rsidRDefault="00F566C0" w:rsidP="00F363E5">
      <w:pPr>
        <w:spacing w:after="0"/>
        <w:rPr>
          <w:rFonts w:eastAsia="Times New Roman" w:cs="Tahoma"/>
          <w:b/>
          <w:color w:val="auto"/>
          <w:lang w:eastAsia="es-ES"/>
        </w:rPr>
      </w:pPr>
    </w:p>
    <w:p w14:paraId="6E788FD4" w14:textId="2A743E0C" w:rsidR="00F566C0" w:rsidRDefault="00F566C0" w:rsidP="00F363E5">
      <w:pPr>
        <w:spacing w:after="0"/>
        <w:rPr>
          <w:rFonts w:eastAsia="Times New Roman" w:cs="Tahoma"/>
          <w:bCs/>
          <w:iCs/>
          <w:color w:val="auto"/>
          <w:lang w:eastAsia="es-ES"/>
        </w:rPr>
      </w:pPr>
      <w:r>
        <w:rPr>
          <w:rFonts w:eastAsia="Times New Roman" w:cs="Tahoma"/>
          <w:bCs/>
          <w:color w:val="auto"/>
          <w:lang w:eastAsia="es-ES"/>
        </w:rPr>
        <w:t xml:space="preserve">La Dirección de Catastro indicó que en términos del artículo </w:t>
      </w:r>
      <w:r w:rsidRPr="00F566C0">
        <w:rPr>
          <w:rFonts w:eastAsia="Times New Roman" w:cs="Tahoma"/>
          <w:bCs/>
          <w:iCs/>
          <w:color w:val="auto"/>
          <w:lang w:eastAsia="es-ES"/>
        </w:rPr>
        <w:t>175 del Código Financiero del Estado de México y Municipios, los propietarios o poseedores de inmuebles</w:t>
      </w:r>
      <w:r>
        <w:rPr>
          <w:rFonts w:eastAsia="Times New Roman" w:cs="Tahoma"/>
          <w:bCs/>
          <w:iCs/>
          <w:color w:val="auto"/>
          <w:lang w:eastAsia="es-ES"/>
        </w:rPr>
        <w:t>,</w:t>
      </w:r>
      <w:r w:rsidRPr="00F566C0">
        <w:rPr>
          <w:rFonts w:eastAsia="Times New Roman" w:cs="Tahoma"/>
          <w:bCs/>
          <w:iCs/>
          <w:color w:val="auto"/>
          <w:lang w:eastAsia="es-ES"/>
        </w:rPr>
        <w:t xml:space="preserve"> </w:t>
      </w:r>
      <w:r>
        <w:rPr>
          <w:rFonts w:eastAsia="Times New Roman" w:cs="Tahoma"/>
          <w:bCs/>
          <w:iCs/>
          <w:color w:val="auto"/>
          <w:lang w:eastAsia="es-ES"/>
        </w:rPr>
        <w:t xml:space="preserve">estaban </w:t>
      </w:r>
      <w:r w:rsidRPr="00F566C0">
        <w:rPr>
          <w:rFonts w:eastAsia="Times New Roman" w:cs="Tahoma"/>
          <w:bCs/>
          <w:iCs/>
          <w:color w:val="auto"/>
          <w:lang w:eastAsia="es-ES"/>
        </w:rPr>
        <w:t xml:space="preserve">obligados a inscribir </w:t>
      </w:r>
      <w:r>
        <w:rPr>
          <w:rFonts w:eastAsia="Times New Roman" w:cs="Tahoma"/>
          <w:bCs/>
          <w:iCs/>
          <w:color w:val="auto"/>
          <w:lang w:eastAsia="es-ES"/>
        </w:rPr>
        <w:t xml:space="preserve">estos, </w:t>
      </w:r>
      <w:r w:rsidRPr="00F566C0">
        <w:rPr>
          <w:rFonts w:eastAsia="Times New Roman" w:cs="Tahoma"/>
          <w:bCs/>
          <w:iCs/>
          <w:color w:val="auto"/>
          <w:lang w:eastAsia="es-ES"/>
        </w:rPr>
        <w:t xml:space="preserve">ante el catastro del Ayuntamiento; </w:t>
      </w:r>
      <w:r>
        <w:rPr>
          <w:rFonts w:eastAsia="Times New Roman" w:cs="Tahoma"/>
          <w:bCs/>
          <w:iCs/>
          <w:color w:val="auto"/>
          <w:lang w:eastAsia="es-ES"/>
        </w:rPr>
        <w:t>además, que</w:t>
      </w:r>
      <w:r w:rsidRPr="00F566C0">
        <w:rPr>
          <w:rFonts w:eastAsia="Times New Roman" w:cs="Tahoma"/>
          <w:bCs/>
          <w:iCs/>
          <w:color w:val="auto"/>
          <w:lang w:eastAsia="es-ES"/>
        </w:rPr>
        <w:t xml:space="preserve"> cuando </w:t>
      </w:r>
      <w:r w:rsidR="003536D4" w:rsidRPr="00F566C0">
        <w:rPr>
          <w:rFonts w:eastAsia="Times New Roman" w:cs="Tahoma"/>
          <w:bCs/>
          <w:iCs/>
          <w:color w:val="auto"/>
          <w:lang w:eastAsia="es-ES"/>
        </w:rPr>
        <w:t xml:space="preserve">se </w:t>
      </w:r>
      <w:r w:rsidR="003536D4">
        <w:rPr>
          <w:rFonts w:eastAsia="Times New Roman" w:cs="Tahoma"/>
          <w:bCs/>
          <w:iCs/>
          <w:color w:val="auto"/>
          <w:lang w:eastAsia="es-ES"/>
        </w:rPr>
        <w:t>subdividía</w:t>
      </w:r>
      <w:r>
        <w:rPr>
          <w:rFonts w:eastAsia="Times New Roman" w:cs="Tahoma"/>
          <w:bCs/>
          <w:iCs/>
          <w:color w:val="auto"/>
          <w:lang w:eastAsia="es-ES"/>
        </w:rPr>
        <w:t xml:space="preserve"> un predio era </w:t>
      </w:r>
      <w:r w:rsidRPr="00F566C0">
        <w:rPr>
          <w:rFonts w:eastAsia="Times New Roman" w:cs="Tahoma"/>
          <w:bCs/>
          <w:iCs/>
          <w:color w:val="auto"/>
          <w:lang w:eastAsia="es-ES"/>
        </w:rPr>
        <w:t>necesario actualizar los datos técnicos, administrativos y el valor en el padrón catastral y, en su caso, asignar nuevas claves</w:t>
      </w:r>
      <w:r w:rsidR="003536D4">
        <w:rPr>
          <w:rFonts w:eastAsia="Times New Roman" w:cs="Tahoma"/>
          <w:bCs/>
          <w:iCs/>
          <w:color w:val="auto"/>
          <w:lang w:eastAsia="es-ES"/>
        </w:rPr>
        <w:t>.</w:t>
      </w:r>
    </w:p>
    <w:p w14:paraId="487D2C7F" w14:textId="0520F1B0" w:rsidR="003536D4" w:rsidRDefault="003536D4" w:rsidP="00F363E5">
      <w:pPr>
        <w:spacing w:after="0"/>
        <w:rPr>
          <w:rFonts w:eastAsia="Times New Roman" w:cs="Tahoma"/>
          <w:bCs/>
          <w:iCs/>
          <w:color w:val="auto"/>
          <w:lang w:eastAsia="es-ES"/>
        </w:rPr>
      </w:pPr>
    </w:p>
    <w:p w14:paraId="0F844613" w14:textId="53D8AE60" w:rsidR="00F566C0" w:rsidRPr="00F566C0" w:rsidRDefault="003536D4" w:rsidP="00F363E5">
      <w:pPr>
        <w:spacing w:after="0"/>
        <w:rPr>
          <w:rFonts w:eastAsia="Times New Roman" w:cs="Tahoma"/>
          <w:bCs/>
          <w:iCs/>
          <w:color w:val="auto"/>
          <w:lang w:eastAsia="es-ES"/>
        </w:rPr>
      </w:pPr>
      <w:r>
        <w:rPr>
          <w:rFonts w:eastAsia="Times New Roman" w:cs="Tahoma"/>
          <w:bCs/>
          <w:iCs/>
          <w:color w:val="auto"/>
          <w:lang w:eastAsia="es-ES"/>
        </w:rPr>
        <w:t xml:space="preserve">Al respecto el artículo 175 y 175 Bis, establecen que cuando se modifique la superficie de un terreno, los propietarios o poseedores del inmueble, deberán declarar ante la autoridad catastral municipal dichas modificaciones, mediante manifestación catastral </w:t>
      </w:r>
      <w:r w:rsidR="00436B7E">
        <w:rPr>
          <w:rFonts w:eastAsia="Times New Roman" w:cs="Tahoma"/>
          <w:bCs/>
          <w:iCs/>
          <w:color w:val="auto"/>
          <w:lang w:eastAsia="es-ES"/>
        </w:rPr>
        <w:t xml:space="preserve">y en su caso, la expedición de una nueva cuenta catastral; situación que robusteció con </w:t>
      </w:r>
      <w:r w:rsidR="00F566C0" w:rsidRPr="00F566C0">
        <w:rPr>
          <w:rFonts w:eastAsia="Times New Roman" w:cs="Tahoma"/>
          <w:bCs/>
          <w:iCs/>
          <w:color w:val="auto"/>
          <w:lang w:eastAsia="es-ES"/>
        </w:rPr>
        <w:t>la política ACGC014, del Manual Catastral del Estado de México</w:t>
      </w:r>
      <w:r w:rsidR="00436B7E">
        <w:rPr>
          <w:rFonts w:eastAsia="Times New Roman" w:cs="Tahoma"/>
          <w:bCs/>
          <w:iCs/>
          <w:color w:val="auto"/>
          <w:lang w:eastAsia="es-ES"/>
        </w:rPr>
        <w:t xml:space="preserve">, el cual precisa que entre los servicios catastrales que presta el Ayuntamiento, se encuentra la inscripción de inmuebles en el padrón catastral, actualización del padrón catastral derivada de la subdivisión, así como, la asignación, baja y reasignación de clave catastral. </w:t>
      </w:r>
    </w:p>
    <w:p w14:paraId="60810DEF" w14:textId="77777777" w:rsidR="00F566C0" w:rsidRPr="00F566C0" w:rsidRDefault="00F566C0" w:rsidP="00F363E5">
      <w:pPr>
        <w:spacing w:after="0"/>
        <w:rPr>
          <w:rFonts w:eastAsia="Times New Roman" w:cs="Tahoma"/>
          <w:bCs/>
          <w:iCs/>
          <w:color w:val="auto"/>
          <w:lang w:eastAsia="es-ES"/>
        </w:rPr>
      </w:pPr>
    </w:p>
    <w:p w14:paraId="6303A053" w14:textId="1F3C0932" w:rsidR="00F566C0" w:rsidRPr="00436B7E" w:rsidRDefault="00436B7E" w:rsidP="00F363E5">
      <w:pPr>
        <w:spacing w:after="0"/>
        <w:rPr>
          <w:rFonts w:eastAsia="Times New Roman" w:cs="Tahoma"/>
          <w:bCs/>
          <w:color w:val="auto"/>
          <w:lang w:eastAsia="es-ES"/>
        </w:rPr>
      </w:pPr>
      <w:r>
        <w:rPr>
          <w:rFonts w:eastAsia="Times New Roman" w:cs="Tahoma"/>
          <w:bCs/>
          <w:color w:val="auto"/>
          <w:lang w:eastAsia="es-ES"/>
        </w:rPr>
        <w:t>Conforme a lo anterior, se logra advertir que el Sujeto Obligado proporcionó la información que da cuenta de lo solicitado, al proporcionar los artículos y políticas de los ordenamientos jurídicos que aluden a la asignación de una nueva clave catastral, con lo cual da cumplimiento a los artículos 12 y 160 de la Ley de Transparencia y Acceso a la Información Pública del Estado de México y Municipios y se tiene por atendido el presente requerimiento.</w:t>
      </w:r>
    </w:p>
    <w:p w14:paraId="1524FE1A" w14:textId="77777777" w:rsidR="00436B7E" w:rsidRPr="00436B7E" w:rsidRDefault="00436B7E" w:rsidP="00F363E5">
      <w:pPr>
        <w:spacing w:after="0"/>
        <w:rPr>
          <w:rFonts w:eastAsia="Times New Roman" w:cs="Tahoma"/>
          <w:b/>
          <w:color w:val="auto"/>
          <w:lang w:eastAsia="es-ES"/>
        </w:rPr>
      </w:pPr>
      <w:r w:rsidRPr="00436B7E">
        <w:rPr>
          <w:rFonts w:eastAsia="Times New Roman" w:cs="Tahoma"/>
          <w:b/>
          <w:color w:val="auto"/>
          <w:lang w:eastAsia="es-ES"/>
        </w:rPr>
        <w:lastRenderedPageBreak/>
        <w:t>Fundamento legal y administrativo, para que el Cabildo de un Municipio, pueda subdividir un terreno.</w:t>
      </w:r>
    </w:p>
    <w:p w14:paraId="0324D96D" w14:textId="5D398CE4" w:rsidR="00F566C0" w:rsidRDefault="00F566C0" w:rsidP="00F363E5">
      <w:pPr>
        <w:spacing w:after="0"/>
        <w:rPr>
          <w:rFonts w:eastAsia="Times New Roman" w:cs="Tahoma"/>
          <w:b/>
          <w:iCs/>
          <w:color w:val="auto"/>
          <w:lang w:eastAsia="es-ES"/>
        </w:rPr>
      </w:pPr>
    </w:p>
    <w:p w14:paraId="14B63733" w14:textId="7CFE9E6A" w:rsidR="004A1F44" w:rsidRDefault="004A1F44" w:rsidP="00F363E5">
      <w:pPr>
        <w:spacing w:after="0"/>
        <w:rPr>
          <w:rFonts w:cs="Tahoma"/>
        </w:rPr>
      </w:pPr>
      <w:r>
        <w:rPr>
          <w:rFonts w:eastAsia="Times New Roman" w:cs="Tahoma"/>
          <w:bCs/>
          <w:iCs/>
          <w:color w:val="auto"/>
          <w:lang w:eastAsia="es-ES"/>
        </w:rPr>
        <w:t xml:space="preserve">Al respecto, la Dirección de Catastro precisó que conforme al artículo 31 de la Ley Orgánica de la Administración Pública Municipal del Estado de México, el Cabildo carecía de atribuciones para subdividir un predio; es decir, aludió a que la información era inexistente; </w:t>
      </w:r>
      <w:r w:rsidRPr="004A1F44">
        <w:rPr>
          <w:rFonts w:cs="Tahoma"/>
          <w:bCs/>
        </w:rPr>
        <w:t>al</w:t>
      </w:r>
      <w:r w:rsidRPr="004A1F44">
        <w:rPr>
          <w:rFonts w:cs="Tahoma"/>
        </w:rPr>
        <w:t xml:space="preserve"> respecto, el Criterio 14/17, emitido por el Instituto Nacional de Transparencia, Acceso a la Información Pública y Protección de Datos Personales en el Estado de México y Municipios, señala lo siguiente:</w:t>
      </w:r>
    </w:p>
    <w:p w14:paraId="4F10318F" w14:textId="3B4A07E7" w:rsidR="004A1F44" w:rsidRDefault="004A1F44" w:rsidP="00F363E5">
      <w:pPr>
        <w:spacing w:after="0"/>
        <w:rPr>
          <w:rFonts w:cs="Tahoma"/>
        </w:rPr>
      </w:pPr>
    </w:p>
    <w:p w14:paraId="2D7054BA" w14:textId="77777777" w:rsidR="004A1F44" w:rsidRPr="004A1F44" w:rsidRDefault="004A1F44" w:rsidP="00F363E5">
      <w:pPr>
        <w:spacing w:after="0"/>
        <w:ind w:left="567" w:right="567"/>
        <w:rPr>
          <w:rFonts w:cs="Tahoma"/>
          <w:bCs/>
          <w:i/>
          <w:sz w:val="20"/>
          <w:lang w:val="es-ES"/>
        </w:rPr>
      </w:pPr>
      <w:r w:rsidRPr="004A1F44">
        <w:rPr>
          <w:rFonts w:cs="Tahoma"/>
          <w:bCs/>
          <w:i/>
          <w:sz w:val="20"/>
          <w:lang w:val="es-ES"/>
        </w:rPr>
        <w:t>“</w:t>
      </w:r>
      <w:r w:rsidRPr="004A1F44">
        <w:rPr>
          <w:rFonts w:cs="Tahoma"/>
          <w:b/>
          <w:bCs/>
          <w:i/>
          <w:sz w:val="20"/>
          <w:lang w:val="es-ES"/>
        </w:rPr>
        <w:t xml:space="preserve">Inexistencia. </w:t>
      </w:r>
      <w:r w:rsidRPr="004A1F44">
        <w:rPr>
          <w:rFonts w:cs="Tahoma"/>
          <w:bCs/>
          <w:i/>
          <w:sz w:val="20"/>
          <w:lang w:val="es-ES"/>
        </w:rPr>
        <w:t>La inexistencia es una cuestión de hecho que se atribuye a la información solicitada e implica que ésta no se encuentra en los archivos del sujeto obligado, no obstante que cuenta con facultades para poseerla.”</w:t>
      </w:r>
    </w:p>
    <w:p w14:paraId="496F3C0F" w14:textId="77777777" w:rsidR="004A1F44" w:rsidRPr="004A1F44" w:rsidRDefault="004A1F44" w:rsidP="00F363E5">
      <w:pPr>
        <w:spacing w:after="0"/>
        <w:rPr>
          <w:rFonts w:cs="Tahoma"/>
        </w:rPr>
      </w:pPr>
    </w:p>
    <w:p w14:paraId="4B5FF925" w14:textId="77777777" w:rsidR="004A1F44" w:rsidRPr="004A1F44" w:rsidRDefault="004A1F44" w:rsidP="00F363E5">
      <w:pPr>
        <w:spacing w:after="0"/>
        <w:rPr>
          <w:rFonts w:cs="Tahoma"/>
        </w:rPr>
      </w:pPr>
      <w:r w:rsidRPr="004A1F44">
        <w:rPr>
          <w:rFonts w:cs="Tahoma"/>
        </w:rPr>
        <w:t xml:space="preserve">Del citado criterio, se desprende que la inexistencia de la </w:t>
      </w:r>
      <w:proofErr w:type="gramStart"/>
      <w:r w:rsidRPr="004A1F44">
        <w:rPr>
          <w:rFonts w:cs="Tahoma"/>
        </w:rPr>
        <w:t>información,</w:t>
      </w:r>
      <w:proofErr w:type="gramEnd"/>
      <w:r w:rsidRPr="004A1F44">
        <w:rPr>
          <w:rFonts w:cs="Tahoma"/>
        </w:rPr>
        <w:t xml:space="preserve"> es una cuestión de hecho que se le atribuye a la misma, cuando ésta no se encuentra en los archivos del sujeto obligado.</w:t>
      </w:r>
    </w:p>
    <w:p w14:paraId="3BE5D749" w14:textId="77777777" w:rsidR="004A1F44" w:rsidRPr="004A1F44" w:rsidRDefault="004A1F44" w:rsidP="00F363E5">
      <w:pPr>
        <w:spacing w:after="0"/>
        <w:rPr>
          <w:rFonts w:cs="Tahoma"/>
          <w:lang w:val="es-ES"/>
        </w:rPr>
      </w:pPr>
    </w:p>
    <w:p w14:paraId="7B80D2FF" w14:textId="77777777" w:rsidR="004A1F44" w:rsidRPr="004A1F44" w:rsidRDefault="004A1F44" w:rsidP="00F363E5">
      <w:pPr>
        <w:spacing w:after="0"/>
        <w:rPr>
          <w:rFonts w:cs="Tahoma"/>
          <w:lang w:val="es-ES"/>
        </w:rPr>
      </w:pPr>
      <w:r w:rsidRPr="004A1F44">
        <w:rPr>
          <w:rFonts w:cs="Tahoma"/>
          <w:lang w:val="es-ES"/>
        </w:rPr>
        <w:t xml:space="preserve">En ese orden de ideas, según Trujillo, Humberto (2019), en el “Diccionario de Transparencia y Acceso a la Información Pública” (p. 171), la inexistencia de la </w:t>
      </w:r>
      <w:proofErr w:type="gramStart"/>
      <w:r w:rsidRPr="004A1F44">
        <w:rPr>
          <w:rFonts w:cs="Tahoma"/>
          <w:lang w:val="es-ES"/>
        </w:rPr>
        <w:t>información,</w:t>
      </w:r>
      <w:proofErr w:type="gramEnd"/>
      <w:r w:rsidRPr="004A1F44">
        <w:rPr>
          <w:rFonts w:cs="Tahoma"/>
          <w:lang w:val="es-ES"/>
        </w:rPr>
        <w:t xml:space="preserve"> es cuando la información requerida no se encuentra en los archivos públicos, reservados o clasificados, de los sujetos obligados.</w:t>
      </w:r>
    </w:p>
    <w:p w14:paraId="182B8BC8" w14:textId="77777777" w:rsidR="004A1F44" w:rsidRPr="004A1F44" w:rsidRDefault="004A1F44" w:rsidP="00F363E5">
      <w:pPr>
        <w:spacing w:after="0"/>
        <w:rPr>
          <w:rFonts w:cs="Tahoma"/>
          <w:lang w:val="es-ES"/>
        </w:rPr>
      </w:pPr>
    </w:p>
    <w:p w14:paraId="599E36F8" w14:textId="77777777" w:rsidR="004A1F44" w:rsidRPr="004A1F44" w:rsidRDefault="004A1F44" w:rsidP="00F363E5">
      <w:pPr>
        <w:spacing w:after="0"/>
        <w:rPr>
          <w:rFonts w:cs="Tahoma"/>
          <w:bCs/>
        </w:rPr>
      </w:pPr>
      <w:r w:rsidRPr="004A1F44">
        <w:rPr>
          <w:rFonts w:cs="Tahoma"/>
          <w:lang w:val="es-ES"/>
        </w:rPr>
        <w:t>Así</w:t>
      </w:r>
      <w:r w:rsidRPr="004A1F44">
        <w:rPr>
          <w:rFonts w:cs="Tahoma"/>
        </w:rPr>
        <w:t xml:space="preserve">, es posible concluir que la </w:t>
      </w:r>
      <w:r w:rsidRPr="004A1F44">
        <w:rPr>
          <w:rFonts w:cs="Tahoma"/>
          <w:b/>
        </w:rPr>
        <w:t>inexistencia</w:t>
      </w:r>
      <w:r w:rsidRPr="004A1F44">
        <w:rPr>
          <w:rFonts w:cs="Tahoma"/>
        </w:rPr>
        <w:t xml:space="preserve"> presupone la competencia del sujeto obligado para conocer de la información, pero por alguna circunstancia, la documentación solicitada no obra en sus archivos. </w:t>
      </w:r>
      <w:r w:rsidRPr="004A1F44">
        <w:rPr>
          <w:rFonts w:cs="Tahoma"/>
          <w:bCs/>
        </w:rPr>
        <w:t xml:space="preserve">Para tal situación, no basta con que los sujetos obligados señalen dicha </w:t>
      </w:r>
      <w:r w:rsidRPr="004A1F44">
        <w:rPr>
          <w:rFonts w:cs="Tahoma"/>
          <w:bCs/>
        </w:rPr>
        <w:lastRenderedPageBreak/>
        <w:t>circunstancia, sino que también debe de señalar las razones por las cuales no cuentan con lo peticionado, es decir, las circunstancias que dan lugar a la inexistencia.</w:t>
      </w:r>
    </w:p>
    <w:p w14:paraId="25AFB498" w14:textId="77777777" w:rsidR="004A1F44" w:rsidRPr="004A1F44" w:rsidRDefault="004A1F44" w:rsidP="00F363E5">
      <w:pPr>
        <w:spacing w:after="0"/>
        <w:rPr>
          <w:rFonts w:cs="Tahoma"/>
          <w:bCs/>
        </w:rPr>
      </w:pPr>
    </w:p>
    <w:p w14:paraId="0F4AD1B6" w14:textId="05DC6DBA" w:rsidR="00F363E5" w:rsidRDefault="00F363E5" w:rsidP="00F363E5">
      <w:pPr>
        <w:tabs>
          <w:tab w:val="left" w:pos="4962"/>
        </w:tabs>
        <w:spacing w:after="0"/>
        <w:ind w:right="-28"/>
        <w:rPr>
          <w:rFonts w:cs="Tahoma"/>
          <w:iCs/>
          <w:lang w:val="es-ES"/>
        </w:rPr>
      </w:pPr>
      <w:r>
        <w:rPr>
          <w:rFonts w:cs="Tahoma"/>
          <w:iCs/>
          <w:lang w:val="es-ES"/>
        </w:rPr>
        <w:t>Al respecto, el artículo 31 de la Ley Orgánica Municipal del Estado de México y Municipios, que precisa que el Ayuntamiento de Atenco, tendrá las siguientes atribuciones:</w:t>
      </w:r>
    </w:p>
    <w:p w14:paraId="445BE58B" w14:textId="77777777" w:rsidR="00F363E5" w:rsidRDefault="00F363E5" w:rsidP="00F363E5">
      <w:pPr>
        <w:tabs>
          <w:tab w:val="left" w:pos="4962"/>
        </w:tabs>
        <w:spacing w:after="0"/>
        <w:ind w:right="-28"/>
        <w:rPr>
          <w:rFonts w:cs="Tahoma"/>
          <w:iCs/>
          <w:lang w:val="es-ES"/>
        </w:rPr>
      </w:pPr>
    </w:p>
    <w:p w14:paraId="1481E8B4" w14:textId="77777777" w:rsidR="00F363E5" w:rsidRDefault="00F363E5" w:rsidP="00F363E5">
      <w:pPr>
        <w:pStyle w:val="Prrafodelista"/>
        <w:numPr>
          <w:ilvl w:val="0"/>
          <w:numId w:val="39"/>
        </w:numPr>
        <w:tabs>
          <w:tab w:val="left" w:pos="4962"/>
        </w:tabs>
        <w:spacing w:after="0"/>
        <w:ind w:right="-28"/>
        <w:rPr>
          <w:rFonts w:cs="Tahoma"/>
          <w:iCs/>
          <w:lang w:val="es-ES"/>
        </w:rPr>
      </w:pPr>
      <w:r>
        <w:rPr>
          <w:rFonts w:cs="Tahoma"/>
          <w:iCs/>
          <w:lang w:val="es-ES"/>
        </w:rPr>
        <w:t>Expedir y reformar el Bando Municipal y demás ordenamientos jurídicos;</w:t>
      </w:r>
    </w:p>
    <w:p w14:paraId="56C907BF" w14:textId="77777777" w:rsidR="00F363E5" w:rsidRDefault="00F363E5" w:rsidP="00F363E5">
      <w:pPr>
        <w:pStyle w:val="Prrafodelista"/>
        <w:numPr>
          <w:ilvl w:val="0"/>
          <w:numId w:val="39"/>
        </w:numPr>
        <w:tabs>
          <w:tab w:val="left" w:pos="4962"/>
        </w:tabs>
        <w:spacing w:after="0"/>
        <w:ind w:right="-28"/>
        <w:rPr>
          <w:rFonts w:cs="Tahoma"/>
          <w:iCs/>
          <w:lang w:val="es-ES"/>
        </w:rPr>
      </w:pPr>
      <w:r>
        <w:rPr>
          <w:rFonts w:cs="Tahoma"/>
          <w:iCs/>
          <w:lang w:val="es-ES"/>
        </w:rPr>
        <w:t>Aprobar e implementar programas y acciones que promuevan la mejora regulatoria, el otorgamiento de licencias o permisos;</w:t>
      </w:r>
    </w:p>
    <w:p w14:paraId="793B19BA" w14:textId="77777777" w:rsidR="00F363E5" w:rsidRDefault="00F363E5" w:rsidP="00F363E5">
      <w:pPr>
        <w:pStyle w:val="Prrafodelista"/>
        <w:numPr>
          <w:ilvl w:val="0"/>
          <w:numId w:val="39"/>
        </w:numPr>
        <w:tabs>
          <w:tab w:val="left" w:pos="4962"/>
        </w:tabs>
        <w:spacing w:after="0"/>
        <w:ind w:right="-28"/>
        <w:rPr>
          <w:rFonts w:cs="Tahoma"/>
          <w:iCs/>
          <w:lang w:val="es-ES"/>
        </w:rPr>
      </w:pPr>
      <w:r w:rsidRPr="00174DAF">
        <w:rPr>
          <w:rFonts w:cs="Tahoma"/>
          <w:iCs/>
          <w:lang w:val="es-ES"/>
        </w:rPr>
        <w:t>Formular, aprobar, implementar y ejecutar las políticas, programas y acciones en materia de Gobierno Digital</w:t>
      </w:r>
      <w:r>
        <w:rPr>
          <w:rFonts w:cs="Tahoma"/>
          <w:iCs/>
          <w:lang w:val="es-ES"/>
        </w:rPr>
        <w:t>;</w:t>
      </w:r>
    </w:p>
    <w:p w14:paraId="6B56F1A0" w14:textId="77777777" w:rsidR="00F363E5" w:rsidRPr="00773F45" w:rsidRDefault="00F363E5" w:rsidP="00F363E5">
      <w:pPr>
        <w:pStyle w:val="Prrafodelista"/>
        <w:numPr>
          <w:ilvl w:val="0"/>
          <w:numId w:val="39"/>
        </w:numPr>
        <w:tabs>
          <w:tab w:val="left" w:pos="4962"/>
        </w:tabs>
        <w:spacing w:after="0"/>
        <w:ind w:right="-28"/>
        <w:rPr>
          <w:rFonts w:cs="Tahoma"/>
          <w:iCs/>
          <w:lang w:val="es-ES"/>
        </w:rPr>
      </w:pPr>
      <w:r w:rsidRPr="00174DAF">
        <w:rPr>
          <w:rFonts w:cs="Tahoma"/>
          <w:iCs/>
        </w:rPr>
        <w:t>Formular, aprobar, implementar y ejecutar los programas y acciones para la prevención, atención y el pago de las responsabilidades económicas en los conflictos laborales</w:t>
      </w:r>
      <w:r>
        <w:rPr>
          <w:rFonts w:cs="Tahoma"/>
          <w:iCs/>
        </w:rPr>
        <w:t>;</w:t>
      </w:r>
    </w:p>
    <w:p w14:paraId="4910D4B7" w14:textId="77777777" w:rsidR="00F363E5" w:rsidRPr="00174DAF" w:rsidRDefault="00F363E5" w:rsidP="00F363E5">
      <w:pPr>
        <w:pStyle w:val="Prrafodelista"/>
        <w:numPr>
          <w:ilvl w:val="0"/>
          <w:numId w:val="39"/>
        </w:numPr>
        <w:tabs>
          <w:tab w:val="left" w:pos="4962"/>
        </w:tabs>
        <w:spacing w:after="0"/>
        <w:ind w:right="-28"/>
        <w:rPr>
          <w:rFonts w:cs="Tahoma"/>
          <w:iCs/>
          <w:lang w:val="es-ES"/>
        </w:rPr>
      </w:pPr>
      <w:r>
        <w:rPr>
          <w:rFonts w:cs="Tahoma"/>
          <w:iCs/>
        </w:rPr>
        <w:t>C</w:t>
      </w:r>
      <w:r w:rsidRPr="00174DAF">
        <w:rPr>
          <w:rFonts w:cs="Tahoma"/>
          <w:iCs/>
        </w:rPr>
        <w:t xml:space="preserve">onocer y </w:t>
      </w:r>
      <w:r>
        <w:rPr>
          <w:rFonts w:cs="Tahoma"/>
          <w:iCs/>
        </w:rPr>
        <w:t>aprobar</w:t>
      </w:r>
      <w:r w:rsidRPr="00174DAF">
        <w:rPr>
          <w:rFonts w:cs="Tahoma"/>
          <w:iCs/>
        </w:rPr>
        <w:t xml:space="preserve"> las acciones que en materia de terminación o recisión de las relaciones de trabajo se presenten</w:t>
      </w:r>
      <w:r>
        <w:rPr>
          <w:rFonts w:cs="Tahoma"/>
          <w:iCs/>
        </w:rPr>
        <w:t>;</w:t>
      </w:r>
    </w:p>
    <w:p w14:paraId="25BD3E68" w14:textId="77777777" w:rsidR="00F363E5" w:rsidRPr="00174DAF" w:rsidRDefault="00F363E5" w:rsidP="00F363E5">
      <w:pPr>
        <w:pStyle w:val="Prrafodelista"/>
        <w:numPr>
          <w:ilvl w:val="0"/>
          <w:numId w:val="39"/>
        </w:numPr>
        <w:tabs>
          <w:tab w:val="left" w:pos="4962"/>
        </w:tabs>
        <w:spacing w:after="0"/>
        <w:ind w:right="-28"/>
        <w:rPr>
          <w:rFonts w:cs="Tahoma"/>
          <w:iCs/>
          <w:lang w:val="es-ES"/>
        </w:rPr>
      </w:pPr>
      <w:r w:rsidRPr="00174DAF">
        <w:rPr>
          <w:rFonts w:cs="Tahoma"/>
          <w:iCs/>
        </w:rPr>
        <w:t>Celebrar convenios con las autoridades estatales competentes</w:t>
      </w:r>
      <w:r>
        <w:rPr>
          <w:rFonts w:cs="Tahoma"/>
          <w:iCs/>
        </w:rPr>
        <w:t>;</w:t>
      </w:r>
    </w:p>
    <w:p w14:paraId="680FF206" w14:textId="77777777" w:rsidR="00F363E5" w:rsidRPr="00174DAF" w:rsidRDefault="00F363E5" w:rsidP="00F363E5">
      <w:pPr>
        <w:pStyle w:val="Prrafodelista"/>
        <w:numPr>
          <w:ilvl w:val="0"/>
          <w:numId w:val="39"/>
        </w:numPr>
        <w:tabs>
          <w:tab w:val="left" w:pos="4962"/>
        </w:tabs>
        <w:spacing w:after="0"/>
        <w:ind w:right="-28"/>
        <w:rPr>
          <w:rFonts w:cs="Tahoma"/>
          <w:iCs/>
          <w:lang w:val="es-ES"/>
        </w:rPr>
      </w:pPr>
      <w:r w:rsidRPr="00174DAF">
        <w:rPr>
          <w:rFonts w:cs="Tahoma"/>
          <w:iCs/>
        </w:rPr>
        <w:t>Presentar ante la Legislatura iniciativas de leyes o decretos</w:t>
      </w:r>
      <w:r>
        <w:rPr>
          <w:rFonts w:cs="Tahoma"/>
          <w:iCs/>
        </w:rPr>
        <w:t>;</w:t>
      </w:r>
    </w:p>
    <w:p w14:paraId="46C4ACA4" w14:textId="77777777" w:rsidR="00F363E5" w:rsidRPr="00174DAF" w:rsidRDefault="00F363E5" w:rsidP="00F363E5">
      <w:pPr>
        <w:pStyle w:val="Prrafodelista"/>
        <w:numPr>
          <w:ilvl w:val="0"/>
          <w:numId w:val="39"/>
        </w:numPr>
        <w:tabs>
          <w:tab w:val="left" w:pos="4962"/>
        </w:tabs>
        <w:spacing w:after="0"/>
        <w:ind w:right="-28"/>
        <w:rPr>
          <w:rFonts w:cs="Tahoma"/>
          <w:iCs/>
          <w:lang w:val="es-ES"/>
        </w:rPr>
      </w:pPr>
      <w:r w:rsidRPr="00174DAF">
        <w:rPr>
          <w:rFonts w:cs="Tahoma"/>
          <w:iCs/>
        </w:rPr>
        <w:t>Convenir, contratar o concesionar, en términos de ley, la ejecución de obras y la prestación de servicios públicos</w:t>
      </w:r>
      <w:r>
        <w:rPr>
          <w:rFonts w:cs="Tahoma"/>
          <w:iCs/>
        </w:rPr>
        <w:t>;</w:t>
      </w:r>
    </w:p>
    <w:p w14:paraId="021FEEF7" w14:textId="77777777" w:rsidR="00F363E5" w:rsidRPr="00EB04F2" w:rsidRDefault="00F363E5" w:rsidP="00F363E5">
      <w:pPr>
        <w:pStyle w:val="Prrafodelista"/>
        <w:numPr>
          <w:ilvl w:val="0"/>
          <w:numId w:val="39"/>
        </w:numPr>
        <w:tabs>
          <w:tab w:val="left" w:pos="4962"/>
        </w:tabs>
        <w:spacing w:after="0"/>
        <w:ind w:right="-28"/>
        <w:rPr>
          <w:rFonts w:cs="Tahoma"/>
          <w:iCs/>
          <w:lang w:val="es-ES"/>
        </w:rPr>
      </w:pPr>
      <w:r w:rsidRPr="00EB04F2">
        <w:rPr>
          <w:rFonts w:cs="Tahoma"/>
          <w:iCs/>
        </w:rPr>
        <w:t>Crear en el ámbito de sus respectivas competencias una Defensoría Municipal de Derechos Humanos</w:t>
      </w:r>
      <w:r>
        <w:rPr>
          <w:rFonts w:cs="Tahoma"/>
          <w:iCs/>
        </w:rPr>
        <w:t>;</w:t>
      </w:r>
    </w:p>
    <w:p w14:paraId="1E1F35FA" w14:textId="77777777" w:rsidR="00F363E5" w:rsidRPr="00EB04F2" w:rsidRDefault="00F363E5" w:rsidP="00F363E5">
      <w:pPr>
        <w:pStyle w:val="Prrafodelista"/>
        <w:numPr>
          <w:ilvl w:val="0"/>
          <w:numId w:val="39"/>
        </w:numPr>
        <w:tabs>
          <w:tab w:val="left" w:pos="4962"/>
        </w:tabs>
        <w:spacing w:after="0"/>
        <w:ind w:right="-28"/>
        <w:rPr>
          <w:rFonts w:cs="Tahoma"/>
          <w:iCs/>
          <w:lang w:val="es-ES"/>
        </w:rPr>
      </w:pPr>
      <w:r w:rsidRPr="00EB04F2">
        <w:rPr>
          <w:rFonts w:cs="Tahoma"/>
          <w:iCs/>
        </w:rPr>
        <w:t>Crear en el ámbito de sus respectivas competencias una Defensoría Municipal de Derechos Humanos</w:t>
      </w:r>
      <w:r>
        <w:rPr>
          <w:rFonts w:cs="Tahoma"/>
          <w:iCs/>
        </w:rPr>
        <w:t>;</w:t>
      </w:r>
    </w:p>
    <w:p w14:paraId="2E666CCC" w14:textId="77777777" w:rsidR="00F363E5" w:rsidRDefault="00F363E5" w:rsidP="00F363E5">
      <w:pPr>
        <w:pStyle w:val="Prrafodelista"/>
        <w:numPr>
          <w:ilvl w:val="0"/>
          <w:numId w:val="39"/>
        </w:numPr>
        <w:tabs>
          <w:tab w:val="left" w:pos="4962"/>
        </w:tabs>
        <w:spacing w:after="0"/>
        <w:ind w:right="-28"/>
        <w:rPr>
          <w:rFonts w:cs="Tahoma"/>
          <w:iCs/>
          <w:lang w:val="es-ES"/>
        </w:rPr>
      </w:pPr>
      <w:r w:rsidRPr="00EB04F2">
        <w:rPr>
          <w:rFonts w:cs="Tahoma"/>
          <w:iCs/>
          <w:lang w:val="es-ES"/>
        </w:rPr>
        <w:t xml:space="preserve">Administrar su hacienda y controlar </w:t>
      </w:r>
      <w:r>
        <w:rPr>
          <w:rFonts w:cs="Tahoma"/>
          <w:iCs/>
          <w:lang w:val="es-ES"/>
        </w:rPr>
        <w:t>l</w:t>
      </w:r>
      <w:r w:rsidRPr="00EB04F2">
        <w:rPr>
          <w:rFonts w:cs="Tahoma"/>
          <w:iCs/>
          <w:lang w:val="es-ES"/>
        </w:rPr>
        <w:t>a aplicación del presupuesto de egresos del municipio</w:t>
      </w:r>
      <w:r>
        <w:rPr>
          <w:rFonts w:cs="Tahoma"/>
          <w:iCs/>
          <w:lang w:val="es-ES"/>
        </w:rPr>
        <w:t>, y</w:t>
      </w:r>
    </w:p>
    <w:p w14:paraId="2A68A8B3" w14:textId="77777777" w:rsidR="00F363E5" w:rsidRPr="00EB04F2" w:rsidRDefault="00F363E5" w:rsidP="00F363E5">
      <w:pPr>
        <w:pStyle w:val="Prrafodelista"/>
        <w:numPr>
          <w:ilvl w:val="0"/>
          <w:numId w:val="39"/>
        </w:numPr>
        <w:tabs>
          <w:tab w:val="left" w:pos="4962"/>
        </w:tabs>
        <w:spacing w:after="0"/>
        <w:ind w:right="-28"/>
        <w:rPr>
          <w:rFonts w:cs="Tahoma"/>
          <w:iCs/>
          <w:lang w:val="es-ES"/>
        </w:rPr>
      </w:pPr>
      <w:r w:rsidRPr="00EB04F2">
        <w:rPr>
          <w:rFonts w:cs="Tahoma"/>
          <w:iCs/>
        </w:rPr>
        <w:lastRenderedPageBreak/>
        <w:t>Formular, aprobar y ejecutar los planes de desarrollo municipal y los Programas correspondientes</w:t>
      </w:r>
      <w:r>
        <w:rPr>
          <w:rFonts w:cs="Tahoma"/>
          <w:iCs/>
        </w:rPr>
        <w:t>, entre otras.</w:t>
      </w:r>
    </w:p>
    <w:p w14:paraId="0C1CA5A9" w14:textId="77777777" w:rsidR="00F363E5" w:rsidRDefault="00F363E5" w:rsidP="00F363E5">
      <w:pPr>
        <w:tabs>
          <w:tab w:val="left" w:pos="4962"/>
        </w:tabs>
        <w:spacing w:after="0"/>
        <w:ind w:right="-28"/>
        <w:rPr>
          <w:rFonts w:eastAsia="Calibri" w:cs="Tahoma"/>
          <w:iCs/>
          <w:szCs w:val="24"/>
          <w:lang w:val="es-ES" w:eastAsia="es-ES_tradnl"/>
        </w:rPr>
      </w:pPr>
    </w:p>
    <w:p w14:paraId="420BF493" w14:textId="11D9A15D" w:rsidR="00F363E5" w:rsidRDefault="00F363E5" w:rsidP="00F363E5">
      <w:pPr>
        <w:tabs>
          <w:tab w:val="left" w:pos="4962"/>
        </w:tabs>
        <w:spacing w:after="0"/>
        <w:ind w:right="-28"/>
        <w:rPr>
          <w:rFonts w:eastAsia="Calibri" w:cs="Tahoma"/>
          <w:iCs/>
          <w:szCs w:val="24"/>
          <w:lang w:val="es-ES" w:eastAsia="es-ES_tradnl"/>
        </w:rPr>
      </w:pPr>
      <w:r>
        <w:rPr>
          <w:rFonts w:eastAsia="Calibri" w:cs="Tahoma"/>
          <w:iCs/>
          <w:szCs w:val="24"/>
          <w:lang w:val="es-ES" w:eastAsia="es-ES_tradnl"/>
        </w:rPr>
        <w:t xml:space="preserve">En ese orden de ideas, de la revisión de dicho ordenamiento jurídico, se logra advertir que el Cabildo no cuenta con atribuciones para </w:t>
      </w:r>
      <w:r w:rsidR="001063BF">
        <w:rPr>
          <w:rFonts w:eastAsia="Calibri" w:cs="Tahoma"/>
          <w:iCs/>
          <w:szCs w:val="24"/>
          <w:lang w:val="es-ES" w:eastAsia="es-ES_tradnl"/>
        </w:rPr>
        <w:t>subdividir un predio y por lo tanto, la información es inexistente; situación que toma sustento, con los artículos 5.3, fracción XLIII, y 5.9, fracción IV, del Código Administrativo del Estado de México, que precisan que la Secretaría de Desarrollo Urbano y Obra será la encargada de emitir las autorizaciones de subdivisiones.</w:t>
      </w:r>
    </w:p>
    <w:p w14:paraId="1EB026B4" w14:textId="0AFEC21C" w:rsidR="004A1F44" w:rsidRDefault="004A1F44" w:rsidP="00F363E5">
      <w:pPr>
        <w:spacing w:after="0"/>
        <w:rPr>
          <w:rFonts w:cs="Tahoma"/>
          <w:lang w:val="es-ES"/>
        </w:rPr>
      </w:pPr>
    </w:p>
    <w:p w14:paraId="66C976F8" w14:textId="77D53BB1" w:rsidR="004A1F44" w:rsidRPr="004A1F44" w:rsidRDefault="004A1F44" w:rsidP="00F363E5">
      <w:pPr>
        <w:spacing w:after="0"/>
        <w:rPr>
          <w:rFonts w:cs="Tahoma"/>
          <w:lang w:val="es-ES"/>
        </w:rPr>
      </w:pPr>
      <w:r w:rsidRPr="004A1F44">
        <w:rPr>
          <w:rFonts w:cs="Tahoma"/>
          <w:lang w:val="es-ES"/>
        </w:rPr>
        <w:t xml:space="preserve">Así, se logra colegir que la información solicitada por la ahora Recurrente es inexistente, pues el Sujeto Obligado, realizó una búsqueda de manera exhaustiva y razonable en sus archivos, al gestionar la solicitud de información al área competente, realizar la indagación minuciosa en todos sus archivos y finalmente, señalar los motivos por las cuales no contaba con la peticionado, a saber, que no </w:t>
      </w:r>
      <w:r w:rsidR="001063BF">
        <w:rPr>
          <w:rFonts w:cs="Tahoma"/>
          <w:lang w:val="es-ES"/>
        </w:rPr>
        <w:t>existía algún fundamente jurídico que permitiera al Cabildo subdividir predios, pues la Secretaría de Desarrollo Urbano y Obra, es la única autoridad Estatal, que puede realizar dicha acción</w:t>
      </w:r>
      <w:r w:rsidRPr="004A1F44">
        <w:rPr>
          <w:rFonts w:cs="Tahoma"/>
          <w:lang w:val="es-ES"/>
        </w:rPr>
        <w:t>.</w:t>
      </w:r>
    </w:p>
    <w:p w14:paraId="59E5EF0B" w14:textId="77777777" w:rsidR="004A1F44" w:rsidRPr="004A1F44" w:rsidRDefault="004A1F44" w:rsidP="00F363E5">
      <w:pPr>
        <w:spacing w:after="0"/>
        <w:rPr>
          <w:rFonts w:cs="Tahoma"/>
          <w:lang w:val="es-ES"/>
        </w:rPr>
      </w:pPr>
    </w:p>
    <w:p w14:paraId="651068DD" w14:textId="081C3DFE" w:rsidR="004A1F44" w:rsidRPr="004A1F44" w:rsidRDefault="004A1F44" w:rsidP="00F363E5">
      <w:pPr>
        <w:spacing w:after="0"/>
        <w:rPr>
          <w:rFonts w:cs="Tahoma"/>
          <w:lang w:val="es-ES"/>
        </w:rPr>
      </w:pPr>
      <w:r w:rsidRPr="004A1F44">
        <w:rPr>
          <w:rFonts w:cs="Tahoma"/>
          <w:lang w:val="es-ES"/>
        </w:rPr>
        <w:t xml:space="preserve">Por tales consideraciones, se desprende que </w:t>
      </w:r>
      <w:r w:rsidR="001063BF">
        <w:rPr>
          <w:rFonts w:cs="Tahoma"/>
          <w:lang w:val="es-ES"/>
        </w:rPr>
        <w:t>el Ente Recurrido</w:t>
      </w:r>
      <w:r w:rsidRPr="004A1F44">
        <w:rPr>
          <w:rFonts w:cs="Tahoma"/>
          <w:lang w:val="es-ES"/>
        </w:rPr>
        <w:t xml:space="preserve">, señaló las razones por las cuales no contaba con lo peticionado; </w:t>
      </w:r>
      <w:r w:rsidRPr="004A1F44">
        <w:rPr>
          <w:rFonts w:cs="Tahoma"/>
        </w:rPr>
        <w:t xml:space="preserve">al respecto, se trae a colación, el </w:t>
      </w:r>
      <w:r w:rsidRPr="004A1F44">
        <w:rPr>
          <w:rFonts w:cs="Tahoma"/>
          <w:lang w:val="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4193C764" w14:textId="77777777" w:rsidR="004A1F44" w:rsidRPr="004A1F44" w:rsidRDefault="004A1F44" w:rsidP="00F363E5">
      <w:pPr>
        <w:spacing w:after="0"/>
        <w:rPr>
          <w:rFonts w:cs="Tahoma"/>
          <w:lang w:val="es-ES"/>
        </w:rPr>
      </w:pPr>
    </w:p>
    <w:p w14:paraId="26735FE5" w14:textId="00170106" w:rsidR="004A1F44" w:rsidRPr="004A1F44" w:rsidRDefault="004A1F44" w:rsidP="00F363E5">
      <w:pPr>
        <w:spacing w:after="0"/>
      </w:pPr>
      <w:r w:rsidRPr="004A1F44">
        <w:rPr>
          <w:rFonts w:cs="Tahoma"/>
          <w:lang w:val="es-ES"/>
        </w:rPr>
        <w:t xml:space="preserve">De la misma manera, </w:t>
      </w:r>
      <w:r w:rsidRPr="004A1F44">
        <w:rPr>
          <w:rFonts w:cs="Tahoma"/>
          <w:bCs/>
        </w:rPr>
        <w:t xml:space="preserve">el Criterio 07/17, emitido por el Instituto Nacional de Transparencia, Acceso a la Información y Protección de Datos Personales, establece que no será necesario que </w:t>
      </w:r>
      <w:r w:rsidRPr="004A1F44">
        <w:rPr>
          <w:rFonts w:cs="Tahoma"/>
          <w:bCs/>
        </w:rPr>
        <w:lastRenderedPageBreak/>
        <w:t>el Comité de Transparencia declare formalmente la inexistencia, cuando del análisis a la normatividad aplicables no se desprenda obligación alguna de contar con la información solicitada, ni se advierta algún otro elemento de convicción que apunto a su existencia.</w:t>
      </w:r>
      <w:r w:rsidR="00403E63">
        <w:rPr>
          <w:rFonts w:cs="Tahoma"/>
          <w:bCs/>
        </w:rPr>
        <w:t xml:space="preserve"> </w:t>
      </w:r>
      <w:r w:rsidR="00403E63">
        <w:t>Así</w:t>
      </w:r>
      <w:r w:rsidRPr="004A1F44">
        <w:t xml:space="preserve">, se logra vislumbrar que </w:t>
      </w:r>
      <w:r w:rsidR="00552DCA">
        <w:t>la Dirección de Catastro</w:t>
      </w:r>
      <w:r w:rsidRPr="004A1F44">
        <w:t>, señaló las razones por las cuales no contaba con la información solicitada</w:t>
      </w:r>
      <w:r w:rsidR="00552DCA">
        <w:t>, en términos del artículo 19, párrafo segundo de la Ley de Transparencia y Acceso a la Información Pública del Estado de México y Municipios, por lo que, se tiene por atendido el requerimiento de información.</w:t>
      </w:r>
    </w:p>
    <w:p w14:paraId="03DEFCD8" w14:textId="3332A39E" w:rsidR="00436B7E" w:rsidRPr="004A1F44" w:rsidRDefault="00436B7E" w:rsidP="00F363E5">
      <w:pPr>
        <w:spacing w:after="0"/>
        <w:rPr>
          <w:rFonts w:eastAsia="Times New Roman" w:cs="Tahoma"/>
          <w:bCs/>
          <w:iCs/>
          <w:color w:val="auto"/>
          <w:lang w:eastAsia="es-ES"/>
        </w:rPr>
      </w:pPr>
    </w:p>
    <w:p w14:paraId="41AFCFDE" w14:textId="0E8077FC" w:rsidR="00147995" w:rsidRPr="00552DCA" w:rsidRDefault="00552DCA" w:rsidP="00F363E5">
      <w:pPr>
        <w:spacing w:after="0"/>
        <w:rPr>
          <w:rFonts w:eastAsia="Times New Roman" w:cs="Tahoma"/>
          <w:b/>
          <w:iCs/>
          <w:color w:val="auto"/>
          <w:lang w:eastAsia="es-ES"/>
        </w:rPr>
      </w:pPr>
      <w:r>
        <w:rPr>
          <w:rFonts w:eastAsia="Times New Roman" w:cs="Tahoma"/>
          <w:bCs/>
          <w:iCs/>
          <w:color w:val="auto"/>
          <w:lang w:eastAsia="es-ES"/>
        </w:rPr>
        <w:t xml:space="preserve">En ese orden de ideas, se considera que el Sujeto Obligado desde respuesta, proporcionó la información que obraba en sus archivos y daba cuenta de lo solicitado en los puntos 1 y 2 del requerimiento, así como, las razones por las cuales no contaba con la información del punto 3, con lo cual dio cumplimiento a los artículos 12, 19, párrafo segundo, 160 y 162 de la Ley de la materia y, por lo tanto, el agravio deviene de </w:t>
      </w:r>
      <w:r>
        <w:rPr>
          <w:rFonts w:eastAsia="Times New Roman" w:cs="Tahoma"/>
          <w:b/>
          <w:iCs/>
          <w:color w:val="auto"/>
          <w:lang w:eastAsia="es-ES"/>
        </w:rPr>
        <w:t>INFUNDADO.</w:t>
      </w:r>
    </w:p>
    <w:p w14:paraId="76026E91" w14:textId="77777777" w:rsidR="00552DCA" w:rsidRPr="00A2355B" w:rsidRDefault="00552DCA" w:rsidP="00F363E5">
      <w:pPr>
        <w:spacing w:after="0"/>
        <w:rPr>
          <w:rFonts w:eastAsia="Times New Roman" w:cs="Tahoma"/>
          <w:bCs/>
          <w:color w:val="auto"/>
          <w:lang w:val="es-ES" w:eastAsia="es-ES"/>
        </w:rPr>
      </w:pPr>
    </w:p>
    <w:p w14:paraId="0C0FCDA9" w14:textId="77777777" w:rsidR="00FA4CDC" w:rsidRPr="00A2355B" w:rsidRDefault="00FA4CDC" w:rsidP="00F363E5">
      <w:pPr>
        <w:spacing w:after="0"/>
        <w:rPr>
          <w:rFonts w:eastAsia="Times New Roman" w:cs="Tahoma"/>
          <w:b/>
          <w:color w:val="auto"/>
          <w:lang w:eastAsia="es-ES"/>
        </w:rPr>
      </w:pPr>
      <w:r w:rsidRPr="00A2355B">
        <w:rPr>
          <w:rFonts w:eastAsia="Times New Roman" w:cs="Tahoma"/>
          <w:b/>
          <w:color w:val="auto"/>
          <w:lang w:eastAsia="es-ES"/>
        </w:rPr>
        <w:t xml:space="preserve">SEXTO. Decisión. </w:t>
      </w:r>
    </w:p>
    <w:p w14:paraId="55517800" w14:textId="77777777" w:rsidR="00FA4CDC" w:rsidRPr="00A2355B" w:rsidRDefault="00FA4CDC" w:rsidP="00F363E5">
      <w:pPr>
        <w:spacing w:after="0"/>
        <w:rPr>
          <w:rFonts w:eastAsia="Times New Roman" w:cs="Tahoma"/>
          <w:bCs/>
          <w:color w:val="auto"/>
          <w:lang w:eastAsia="es-ES"/>
        </w:rPr>
      </w:pPr>
    </w:p>
    <w:p w14:paraId="31758D44" w14:textId="77777777" w:rsidR="00FA4CDC" w:rsidRPr="00A2355B" w:rsidRDefault="00FA4CDC" w:rsidP="00F363E5">
      <w:pPr>
        <w:spacing w:after="0"/>
        <w:rPr>
          <w:rFonts w:eastAsia="Times New Roman" w:cs="Tahoma"/>
          <w:bCs/>
          <w:color w:val="auto"/>
          <w:lang w:eastAsia="es-ES"/>
        </w:rPr>
      </w:pPr>
      <w:r w:rsidRPr="00A2355B">
        <w:rPr>
          <w:rFonts w:eastAsia="Times New Roman" w:cs="Tahoma"/>
          <w:bCs/>
          <w:color w:val="auto"/>
          <w:lang w:eastAsia="es-ES"/>
        </w:rPr>
        <w:t xml:space="preserve">Con fundamento en el artículo 186, fracción II, de la Ley de Transparencia y Acceso a la Información Pública del Estado de México y Municipios, este Instituto considera procedente </w:t>
      </w:r>
      <w:r w:rsidRPr="00A2355B">
        <w:rPr>
          <w:rFonts w:eastAsia="Times New Roman" w:cs="Tahoma"/>
          <w:b/>
          <w:color w:val="auto"/>
          <w:lang w:eastAsia="es-ES"/>
        </w:rPr>
        <w:t>CONFIRMAR</w:t>
      </w:r>
      <w:r w:rsidRPr="00A2355B">
        <w:rPr>
          <w:rFonts w:eastAsia="Times New Roman" w:cs="Tahoma"/>
          <w:bCs/>
          <w:color w:val="auto"/>
          <w:lang w:eastAsia="es-ES"/>
        </w:rPr>
        <w:t xml:space="preserve"> la respuesta otorgada por el Sujeto Obligado. </w:t>
      </w:r>
    </w:p>
    <w:p w14:paraId="05B92773" w14:textId="77777777" w:rsidR="00FA4CDC" w:rsidRPr="00A2355B" w:rsidRDefault="00FA4CDC" w:rsidP="00F363E5">
      <w:pPr>
        <w:spacing w:after="0"/>
        <w:rPr>
          <w:rFonts w:eastAsia="Times New Roman" w:cs="Tahoma"/>
          <w:bCs/>
          <w:color w:val="auto"/>
          <w:lang w:eastAsia="es-ES"/>
        </w:rPr>
      </w:pPr>
    </w:p>
    <w:p w14:paraId="2B2B0DAB" w14:textId="77777777" w:rsidR="00FA4CDC" w:rsidRPr="00A2355B" w:rsidRDefault="00FA4CDC" w:rsidP="00F363E5">
      <w:pPr>
        <w:spacing w:after="0"/>
        <w:rPr>
          <w:rFonts w:eastAsia="Times New Roman" w:cs="Tahoma"/>
          <w:b/>
          <w:color w:val="auto"/>
          <w:lang w:eastAsia="es-ES"/>
        </w:rPr>
      </w:pPr>
      <w:r w:rsidRPr="00A2355B">
        <w:rPr>
          <w:rFonts w:eastAsia="Times New Roman" w:cs="Tahoma"/>
          <w:b/>
          <w:color w:val="auto"/>
          <w:lang w:eastAsia="es-ES"/>
        </w:rPr>
        <w:t>Términos de la Resolución para conocimiento del Particular.</w:t>
      </w:r>
    </w:p>
    <w:p w14:paraId="2DB81703" w14:textId="77777777" w:rsidR="00FA4CDC" w:rsidRPr="00A2355B" w:rsidRDefault="00FA4CDC" w:rsidP="00F363E5">
      <w:pPr>
        <w:spacing w:after="0"/>
        <w:rPr>
          <w:rFonts w:eastAsia="Times New Roman" w:cs="Tahoma"/>
          <w:bCs/>
          <w:color w:val="auto"/>
          <w:lang w:eastAsia="es-ES"/>
        </w:rPr>
      </w:pPr>
    </w:p>
    <w:p w14:paraId="0A57A948" w14:textId="1173F210" w:rsidR="00FA4CDC" w:rsidRPr="00A2355B" w:rsidRDefault="00FA4CDC" w:rsidP="00F363E5">
      <w:pPr>
        <w:spacing w:after="0"/>
        <w:rPr>
          <w:rFonts w:eastAsia="Times New Roman" w:cs="Tahoma"/>
          <w:bCs/>
          <w:color w:val="auto"/>
          <w:lang w:eastAsia="es-ES"/>
        </w:rPr>
      </w:pPr>
      <w:r w:rsidRPr="00A2355B">
        <w:rPr>
          <w:rFonts w:eastAsia="Times New Roman" w:cs="Tahoma"/>
          <w:bCs/>
          <w:color w:val="auto"/>
          <w:lang w:eastAsia="es-ES"/>
        </w:rPr>
        <w:t>Se le hace del conocimiento al Particular, que, en el presente caso, no se le da la razón pues el Sujeto Obligado</w:t>
      </w:r>
      <w:r w:rsidR="009F273D">
        <w:rPr>
          <w:rFonts w:eastAsia="Times New Roman" w:cs="Tahoma"/>
          <w:bCs/>
          <w:color w:val="auto"/>
          <w:lang w:eastAsia="es-ES"/>
        </w:rPr>
        <w:t xml:space="preserve"> </w:t>
      </w:r>
      <w:r w:rsidR="00552DCA">
        <w:rPr>
          <w:rFonts w:eastAsia="Times New Roman" w:cs="Tahoma"/>
          <w:bCs/>
          <w:color w:val="auto"/>
          <w:lang w:eastAsia="es-ES"/>
        </w:rPr>
        <w:t xml:space="preserve">le proporcionó los fundamentos legales y administrativos que daban cuenta de lo peticionado. </w:t>
      </w:r>
      <w:r w:rsidRPr="00A2355B">
        <w:rPr>
          <w:rFonts w:eastAsia="Times New Roman" w:cs="Tahoma"/>
          <w:bCs/>
          <w:color w:val="auto"/>
          <w:lang w:eastAsia="es-ES"/>
        </w:rPr>
        <w:t xml:space="preserve">La labor de este </w:t>
      </w:r>
      <w:proofErr w:type="gramStart"/>
      <w:r w:rsidRPr="00A2355B">
        <w:rPr>
          <w:rFonts w:eastAsia="Times New Roman" w:cs="Tahoma"/>
          <w:bCs/>
          <w:color w:val="auto"/>
          <w:lang w:eastAsia="es-ES"/>
        </w:rPr>
        <w:t>Instituto,</w:t>
      </w:r>
      <w:proofErr w:type="gramEnd"/>
      <w:r w:rsidRPr="00A2355B">
        <w:rPr>
          <w:rFonts w:eastAsia="Times New Roman" w:cs="Tahoma"/>
          <w:bCs/>
          <w:color w:val="auto"/>
          <w:lang w:eastAsia="es-ES"/>
        </w:rPr>
        <w:t xml:space="preserve"> es apoyar a la población para acceder a la información pública y garantizar la protección de sus datos personales.</w:t>
      </w:r>
    </w:p>
    <w:p w14:paraId="6005E4CE" w14:textId="77777777" w:rsidR="00FA4CDC" w:rsidRPr="00A2355B" w:rsidRDefault="00FA4CDC" w:rsidP="00F363E5">
      <w:pPr>
        <w:spacing w:after="0"/>
        <w:rPr>
          <w:rFonts w:eastAsia="Times New Roman" w:cs="Tahoma"/>
          <w:bCs/>
          <w:color w:val="auto"/>
          <w:lang w:eastAsia="es-ES"/>
        </w:rPr>
      </w:pPr>
    </w:p>
    <w:p w14:paraId="5D278EC6" w14:textId="77777777" w:rsidR="00FA4CDC" w:rsidRPr="00A2355B" w:rsidRDefault="00FA4CDC" w:rsidP="00F363E5">
      <w:pPr>
        <w:spacing w:after="0"/>
        <w:rPr>
          <w:rFonts w:eastAsia="Times New Roman" w:cs="Tahoma"/>
          <w:bCs/>
          <w:color w:val="auto"/>
          <w:lang w:eastAsia="es-ES"/>
        </w:rPr>
      </w:pPr>
      <w:r w:rsidRPr="00A2355B">
        <w:rPr>
          <w:rFonts w:eastAsia="Times New Roman" w:cs="Tahoma"/>
          <w:bCs/>
          <w:color w:val="auto"/>
          <w:lang w:eastAsia="es-ES"/>
        </w:rPr>
        <w:t>Por lo expuesto y fundado, este Pleno:</w:t>
      </w:r>
    </w:p>
    <w:p w14:paraId="519D16E6" w14:textId="77777777" w:rsidR="00FA4CDC" w:rsidRPr="00A2355B" w:rsidRDefault="00FA4CDC" w:rsidP="00F363E5">
      <w:pPr>
        <w:spacing w:after="0"/>
        <w:rPr>
          <w:rFonts w:eastAsia="Times New Roman" w:cs="Tahoma"/>
          <w:bCs/>
          <w:color w:val="auto"/>
          <w:lang w:eastAsia="es-ES"/>
        </w:rPr>
      </w:pPr>
    </w:p>
    <w:p w14:paraId="12844EA6" w14:textId="77777777" w:rsidR="00FA4CDC" w:rsidRPr="00A2355B" w:rsidRDefault="00FA4CDC" w:rsidP="00F363E5">
      <w:pPr>
        <w:spacing w:after="0"/>
        <w:jc w:val="center"/>
        <w:rPr>
          <w:rFonts w:eastAsia="Times New Roman" w:cs="Tahoma"/>
          <w:b/>
          <w:color w:val="auto"/>
          <w:lang w:eastAsia="es-ES"/>
        </w:rPr>
      </w:pPr>
      <w:r w:rsidRPr="00A2355B">
        <w:rPr>
          <w:rFonts w:eastAsia="Times New Roman" w:cs="Tahoma"/>
          <w:b/>
          <w:color w:val="auto"/>
          <w:lang w:eastAsia="es-ES"/>
        </w:rPr>
        <w:t>R E S U E L V E:</w:t>
      </w:r>
    </w:p>
    <w:p w14:paraId="78C9E8A7" w14:textId="77777777" w:rsidR="00FA4CDC" w:rsidRPr="00A2355B" w:rsidRDefault="00FA4CDC" w:rsidP="00F363E5">
      <w:pPr>
        <w:spacing w:after="0"/>
        <w:rPr>
          <w:rFonts w:eastAsia="Times New Roman" w:cs="Tahoma"/>
          <w:bCs/>
          <w:color w:val="auto"/>
          <w:lang w:eastAsia="es-ES"/>
        </w:rPr>
      </w:pPr>
    </w:p>
    <w:p w14:paraId="74EF5144" w14:textId="52CE6529" w:rsidR="00FA4CDC" w:rsidRPr="00A2355B" w:rsidRDefault="00FA4CDC" w:rsidP="00F363E5">
      <w:pPr>
        <w:spacing w:after="0"/>
        <w:rPr>
          <w:rFonts w:eastAsia="Times New Roman" w:cs="Tahoma"/>
          <w:bCs/>
          <w:color w:val="auto"/>
          <w:lang w:eastAsia="es-ES"/>
        </w:rPr>
      </w:pPr>
      <w:r w:rsidRPr="00A2355B">
        <w:rPr>
          <w:rFonts w:eastAsia="Times New Roman" w:cs="Tahoma"/>
          <w:b/>
          <w:color w:val="auto"/>
          <w:lang w:eastAsia="es-ES"/>
        </w:rPr>
        <w:t>PRIMERO</w:t>
      </w:r>
      <w:r w:rsidRPr="00A2355B">
        <w:rPr>
          <w:rFonts w:eastAsia="Times New Roman" w:cs="Tahoma"/>
          <w:bCs/>
          <w:color w:val="auto"/>
          <w:lang w:eastAsia="es-ES"/>
        </w:rPr>
        <w:t xml:space="preserve">. Se </w:t>
      </w:r>
      <w:r w:rsidRPr="00A2355B">
        <w:rPr>
          <w:rFonts w:eastAsia="Times New Roman" w:cs="Tahoma"/>
          <w:b/>
          <w:color w:val="auto"/>
          <w:lang w:eastAsia="es-ES"/>
        </w:rPr>
        <w:t>CONFIRMA</w:t>
      </w:r>
      <w:r w:rsidR="00DD5874">
        <w:rPr>
          <w:rFonts w:eastAsia="Times New Roman" w:cs="Tahoma"/>
          <w:b/>
          <w:color w:val="auto"/>
          <w:lang w:eastAsia="es-ES"/>
        </w:rPr>
        <w:t>N</w:t>
      </w:r>
      <w:r w:rsidRPr="00A2355B">
        <w:rPr>
          <w:rFonts w:eastAsia="Times New Roman" w:cs="Tahoma"/>
          <w:bCs/>
          <w:color w:val="auto"/>
          <w:lang w:eastAsia="es-ES"/>
        </w:rPr>
        <w:t xml:space="preserve"> la</w:t>
      </w:r>
      <w:r w:rsidR="00DD5874">
        <w:rPr>
          <w:rFonts w:eastAsia="Times New Roman" w:cs="Tahoma"/>
          <w:bCs/>
          <w:color w:val="auto"/>
          <w:lang w:eastAsia="es-ES"/>
        </w:rPr>
        <w:t>s</w:t>
      </w:r>
      <w:r w:rsidRPr="00A2355B">
        <w:rPr>
          <w:rFonts w:eastAsia="Times New Roman" w:cs="Tahoma"/>
          <w:bCs/>
          <w:color w:val="auto"/>
          <w:lang w:eastAsia="es-ES"/>
        </w:rPr>
        <w:t xml:space="preserve"> respuesta</w:t>
      </w:r>
      <w:r w:rsidR="00DD5874">
        <w:rPr>
          <w:rFonts w:eastAsia="Times New Roman" w:cs="Tahoma"/>
          <w:bCs/>
          <w:color w:val="auto"/>
          <w:lang w:eastAsia="es-ES"/>
        </w:rPr>
        <w:t>s</w:t>
      </w:r>
      <w:r w:rsidRPr="00A2355B">
        <w:rPr>
          <w:rFonts w:eastAsia="Times New Roman" w:cs="Tahoma"/>
          <w:bCs/>
          <w:color w:val="auto"/>
          <w:lang w:eastAsia="es-ES"/>
        </w:rPr>
        <w:t xml:space="preserve"> entregada</w:t>
      </w:r>
      <w:r w:rsidR="00DD5874">
        <w:rPr>
          <w:rFonts w:eastAsia="Times New Roman" w:cs="Tahoma"/>
          <w:bCs/>
          <w:color w:val="auto"/>
          <w:lang w:eastAsia="es-ES"/>
        </w:rPr>
        <w:t>s</w:t>
      </w:r>
      <w:r w:rsidRPr="00A2355B">
        <w:rPr>
          <w:rFonts w:eastAsia="Times New Roman" w:cs="Tahoma"/>
          <w:bCs/>
          <w:color w:val="auto"/>
          <w:lang w:eastAsia="es-ES"/>
        </w:rPr>
        <w:t xml:space="preserve"> por el Sujeto Obligado</w:t>
      </w:r>
      <w:r w:rsidR="00C92198">
        <w:rPr>
          <w:rFonts w:eastAsia="Times New Roman" w:cs="Tahoma"/>
          <w:bCs/>
          <w:color w:val="auto"/>
          <w:lang w:eastAsia="es-ES"/>
        </w:rPr>
        <w:t>,</w:t>
      </w:r>
      <w:r w:rsidRPr="00A2355B">
        <w:rPr>
          <w:rFonts w:eastAsia="Times New Roman" w:cs="Tahoma"/>
          <w:bCs/>
          <w:color w:val="auto"/>
          <w:lang w:eastAsia="es-ES"/>
        </w:rPr>
        <w:t xml:space="preserve"> a la</w:t>
      </w:r>
      <w:r w:rsidR="006D790F">
        <w:rPr>
          <w:rFonts w:eastAsia="Times New Roman" w:cs="Tahoma"/>
          <w:bCs/>
          <w:color w:val="auto"/>
          <w:lang w:eastAsia="es-ES"/>
        </w:rPr>
        <w:t>s</w:t>
      </w:r>
      <w:r w:rsidRPr="00A2355B">
        <w:rPr>
          <w:rFonts w:eastAsia="Times New Roman" w:cs="Tahoma"/>
          <w:bCs/>
          <w:color w:val="auto"/>
          <w:lang w:eastAsia="es-ES"/>
        </w:rPr>
        <w:t xml:space="preserve"> solicitud</w:t>
      </w:r>
      <w:r w:rsidR="006D790F">
        <w:rPr>
          <w:rFonts w:eastAsia="Times New Roman" w:cs="Tahoma"/>
          <w:bCs/>
          <w:color w:val="auto"/>
          <w:lang w:eastAsia="es-ES"/>
        </w:rPr>
        <w:t>es</w:t>
      </w:r>
      <w:r w:rsidRPr="00A2355B">
        <w:rPr>
          <w:rFonts w:eastAsia="Times New Roman" w:cs="Tahoma"/>
          <w:bCs/>
          <w:color w:val="auto"/>
          <w:lang w:eastAsia="es-ES"/>
        </w:rPr>
        <w:t xml:space="preserve"> de acceso a la información </w:t>
      </w:r>
      <w:r w:rsidR="006D790F" w:rsidRPr="00C12603">
        <w:rPr>
          <w:b/>
        </w:rPr>
        <w:t>00001/IGECEM/IP/2022</w:t>
      </w:r>
      <w:r w:rsidR="006D790F" w:rsidRPr="006D790F">
        <w:t xml:space="preserve"> y </w:t>
      </w:r>
      <w:r w:rsidR="006D790F" w:rsidRPr="00C12603">
        <w:rPr>
          <w:b/>
        </w:rPr>
        <w:t>00002/IGECEM/IP/2022</w:t>
      </w:r>
      <w:r w:rsidRPr="00A2355B">
        <w:rPr>
          <w:rFonts w:eastAsia="Times New Roman" w:cs="Tahoma"/>
          <w:bCs/>
          <w:color w:val="auto"/>
          <w:lang w:eastAsia="es-ES"/>
        </w:rPr>
        <w:t xml:space="preserve">, por resultar </w:t>
      </w:r>
      <w:r w:rsidRPr="00A2355B">
        <w:rPr>
          <w:rFonts w:eastAsia="Times New Roman" w:cs="Tahoma"/>
          <w:b/>
          <w:color w:val="auto"/>
          <w:lang w:eastAsia="es-ES"/>
        </w:rPr>
        <w:t>INFUNDADAS</w:t>
      </w:r>
      <w:r w:rsidRPr="00A2355B">
        <w:rPr>
          <w:rFonts w:eastAsia="Times New Roman" w:cs="Tahoma"/>
          <w:bCs/>
          <w:color w:val="auto"/>
          <w:lang w:eastAsia="es-ES"/>
        </w:rPr>
        <w:t xml:space="preserve"> las razones o motivos de inconformidad hechos valer por el Recurrente, en términos de los Considerandos </w:t>
      </w:r>
      <w:r w:rsidRPr="00A2355B">
        <w:rPr>
          <w:rFonts w:eastAsia="Times New Roman" w:cs="Tahoma"/>
          <w:b/>
          <w:color w:val="auto"/>
          <w:lang w:eastAsia="es-ES"/>
        </w:rPr>
        <w:t>QUINTO</w:t>
      </w:r>
      <w:r w:rsidRPr="00A2355B">
        <w:rPr>
          <w:rFonts w:eastAsia="Times New Roman" w:cs="Tahoma"/>
          <w:bCs/>
          <w:color w:val="auto"/>
          <w:lang w:eastAsia="es-ES"/>
        </w:rPr>
        <w:t xml:space="preserve"> y </w:t>
      </w:r>
      <w:r w:rsidRPr="00A2355B">
        <w:rPr>
          <w:rFonts w:eastAsia="Times New Roman" w:cs="Tahoma"/>
          <w:b/>
          <w:color w:val="auto"/>
          <w:lang w:eastAsia="es-ES"/>
        </w:rPr>
        <w:t xml:space="preserve">SEXTO </w:t>
      </w:r>
      <w:r w:rsidRPr="00A2355B">
        <w:rPr>
          <w:rFonts w:eastAsia="Times New Roman" w:cs="Tahoma"/>
          <w:bCs/>
          <w:color w:val="auto"/>
          <w:lang w:eastAsia="es-ES"/>
        </w:rPr>
        <w:t>de esta Resolución.</w:t>
      </w:r>
    </w:p>
    <w:p w14:paraId="1C0D8E9F" w14:textId="77777777" w:rsidR="00FA4CDC" w:rsidRPr="00A2355B" w:rsidRDefault="00FA4CDC" w:rsidP="00F363E5">
      <w:pPr>
        <w:spacing w:after="0"/>
        <w:rPr>
          <w:rFonts w:eastAsia="Times New Roman" w:cs="Tahoma"/>
          <w:bCs/>
          <w:color w:val="auto"/>
          <w:lang w:eastAsia="es-ES"/>
        </w:rPr>
      </w:pPr>
    </w:p>
    <w:p w14:paraId="4F253969" w14:textId="77777777" w:rsidR="00FA4CDC" w:rsidRPr="00A2355B" w:rsidRDefault="00FA4CDC" w:rsidP="00F363E5">
      <w:pPr>
        <w:spacing w:after="0"/>
        <w:rPr>
          <w:rFonts w:eastAsia="Times New Roman" w:cs="Tahoma"/>
          <w:bCs/>
          <w:color w:val="auto"/>
          <w:lang w:eastAsia="es-ES"/>
        </w:rPr>
      </w:pPr>
      <w:r w:rsidRPr="00A2355B">
        <w:rPr>
          <w:rFonts w:eastAsia="Times New Roman" w:cs="Tahoma"/>
          <w:b/>
          <w:color w:val="auto"/>
          <w:lang w:eastAsia="es-ES"/>
        </w:rPr>
        <w:t>SEGUNDO. NOTIFÍQUESE</w:t>
      </w:r>
      <w:r w:rsidRPr="00A2355B">
        <w:rPr>
          <w:rFonts w:eastAsia="Times New Roman" w:cs="Tahoma"/>
          <w:bCs/>
          <w:color w:val="auto"/>
          <w:lang w:eastAsia="es-ES"/>
        </w:rPr>
        <w:t xml:space="preserve"> la presente resolución al Titular de la Unidad de Transparencia del Sujeto Obligado.</w:t>
      </w:r>
    </w:p>
    <w:p w14:paraId="62184E34" w14:textId="77777777" w:rsidR="00FA4CDC" w:rsidRPr="00A2355B" w:rsidRDefault="00FA4CDC" w:rsidP="00F363E5">
      <w:pPr>
        <w:spacing w:after="0"/>
        <w:rPr>
          <w:rFonts w:eastAsia="Times New Roman" w:cs="Tahoma"/>
          <w:bCs/>
          <w:color w:val="auto"/>
          <w:lang w:eastAsia="es-ES"/>
        </w:rPr>
      </w:pPr>
    </w:p>
    <w:p w14:paraId="597D11A8" w14:textId="77777777" w:rsidR="00FA4CDC" w:rsidRPr="00A2355B" w:rsidRDefault="00FA4CDC" w:rsidP="00F363E5">
      <w:pPr>
        <w:spacing w:after="0"/>
        <w:rPr>
          <w:rFonts w:eastAsia="Times New Roman" w:cs="Tahoma"/>
          <w:bCs/>
          <w:color w:val="auto"/>
          <w:lang w:eastAsia="es-ES"/>
        </w:rPr>
      </w:pPr>
      <w:r w:rsidRPr="00A2355B">
        <w:rPr>
          <w:rFonts w:eastAsia="Times New Roman" w:cs="Tahoma"/>
          <w:b/>
          <w:color w:val="auto"/>
          <w:lang w:eastAsia="es-ES"/>
        </w:rPr>
        <w:t>TERCERO. NOTIFÍQUESE</w:t>
      </w:r>
      <w:r w:rsidRPr="00A2355B">
        <w:rPr>
          <w:rFonts w:eastAsia="Times New Roman" w:cs="Tahoma"/>
          <w:bCs/>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1B4208" w14:textId="77777777" w:rsidR="00FA4CDC" w:rsidRPr="00A2355B" w:rsidRDefault="00FA4CDC" w:rsidP="00F363E5">
      <w:pPr>
        <w:spacing w:after="0"/>
        <w:rPr>
          <w:rFonts w:eastAsia="Times New Roman" w:cs="Tahoma"/>
          <w:bCs/>
          <w:color w:val="auto"/>
          <w:lang w:eastAsia="es-ES"/>
        </w:rPr>
      </w:pPr>
    </w:p>
    <w:p w14:paraId="6B043FFA" w14:textId="3F998837" w:rsidR="00D8203F" w:rsidRPr="00A2355B" w:rsidRDefault="00175C2F" w:rsidP="00F363E5">
      <w:pPr>
        <w:spacing w:after="0"/>
        <w:rPr>
          <w:rFonts w:eastAsia="Times New Roman" w:cs="Tahoma"/>
          <w:bCs/>
          <w:color w:val="auto"/>
          <w:lang w:eastAsia="es-ES"/>
        </w:rPr>
      </w:pPr>
      <w:r w:rsidRPr="00175C2F">
        <w:rPr>
          <w:rFonts w:eastAsia="Times New Roman" w:cs="Tahoma"/>
          <w:bCs/>
          <w:color w:val="auto"/>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p>
    <w:p w14:paraId="171DF2FB" w14:textId="0D8EEFFD" w:rsidR="008A050C" w:rsidRPr="00A2355B" w:rsidRDefault="00D8203F" w:rsidP="00403E63">
      <w:pPr>
        <w:spacing w:after="0"/>
        <w:jc w:val="left"/>
      </w:pPr>
      <w:r w:rsidRPr="00A2355B">
        <w:rPr>
          <w:rFonts w:eastAsia="Calibri" w:cs="Tahoma"/>
          <w:color w:val="000000"/>
        </w:rPr>
        <w:br w:type="page"/>
      </w:r>
    </w:p>
    <w:sectPr w:rsidR="008A050C" w:rsidRPr="00A2355B" w:rsidSect="001136B4">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31FE" w14:textId="77777777" w:rsidR="00077181" w:rsidRDefault="00077181" w:rsidP="00D8203F">
      <w:pPr>
        <w:spacing w:after="0" w:line="240" w:lineRule="auto"/>
      </w:pPr>
      <w:r>
        <w:separator/>
      </w:r>
    </w:p>
  </w:endnote>
  <w:endnote w:type="continuationSeparator" w:id="0">
    <w:p w14:paraId="0334DA47" w14:textId="77777777" w:rsidR="00077181" w:rsidRDefault="00077181" w:rsidP="00D8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272340"/>
      <w:docPartObj>
        <w:docPartGallery w:val="Page Numbers (Bottom of Page)"/>
        <w:docPartUnique/>
      </w:docPartObj>
    </w:sdtPr>
    <w:sdtEndPr/>
    <w:sdtContent>
      <w:sdt>
        <w:sdtPr>
          <w:id w:val="458851427"/>
          <w:docPartObj>
            <w:docPartGallery w:val="Page Numbers (Top of Page)"/>
            <w:docPartUnique/>
          </w:docPartObj>
        </w:sdtPr>
        <w:sdtEndPr/>
        <w:sdtContent>
          <w:p w14:paraId="555A052A"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984F74B" w14:textId="77777777" w:rsidR="00011C57" w:rsidRDefault="000771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14:paraId="66F7D9E7"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12603">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12603">
              <w:rPr>
                <w:b/>
                <w:bCs/>
                <w:noProof/>
              </w:rPr>
              <w:t>25</w:t>
            </w:r>
            <w:r>
              <w:rPr>
                <w:b/>
                <w:bCs/>
                <w:sz w:val="24"/>
                <w:szCs w:val="24"/>
              </w:rPr>
              <w:fldChar w:fldCharType="end"/>
            </w:r>
          </w:p>
        </w:sdtContent>
      </w:sdt>
    </w:sdtContent>
  </w:sdt>
  <w:p w14:paraId="4D6F5526" w14:textId="77777777" w:rsidR="00011C57" w:rsidRDefault="000771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08838"/>
      <w:docPartObj>
        <w:docPartGallery w:val="Page Numbers (Bottom of Page)"/>
        <w:docPartUnique/>
      </w:docPartObj>
    </w:sdtPr>
    <w:sdtEndPr/>
    <w:sdtContent>
      <w:sdt>
        <w:sdtPr>
          <w:id w:val="-1769616900"/>
          <w:docPartObj>
            <w:docPartGallery w:val="Page Numbers (Top of Page)"/>
            <w:docPartUnique/>
          </w:docPartObj>
        </w:sdtPr>
        <w:sdtEndPr/>
        <w:sdtContent>
          <w:p w14:paraId="2A6947B3"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7C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7CB0">
              <w:rPr>
                <w:b/>
                <w:bCs/>
                <w:noProof/>
              </w:rPr>
              <w:t>25</w:t>
            </w:r>
            <w:r>
              <w:rPr>
                <w:b/>
                <w:bCs/>
                <w:sz w:val="24"/>
                <w:szCs w:val="24"/>
              </w:rPr>
              <w:fldChar w:fldCharType="end"/>
            </w:r>
          </w:p>
        </w:sdtContent>
      </w:sdt>
    </w:sdtContent>
  </w:sdt>
  <w:p w14:paraId="23F05C85" w14:textId="77777777" w:rsidR="00011C57" w:rsidRDefault="000771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B12B" w14:textId="77777777" w:rsidR="00077181" w:rsidRDefault="00077181" w:rsidP="00D8203F">
      <w:pPr>
        <w:spacing w:after="0" w:line="240" w:lineRule="auto"/>
      </w:pPr>
      <w:r>
        <w:separator/>
      </w:r>
    </w:p>
  </w:footnote>
  <w:footnote w:type="continuationSeparator" w:id="0">
    <w:p w14:paraId="5B29D9A5" w14:textId="77777777" w:rsidR="00077181" w:rsidRDefault="00077181" w:rsidP="00D8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3860"/>
    </w:tblGrid>
    <w:tr w:rsidR="00011C57" w:rsidRPr="00330DA7" w14:paraId="757EF26E" w14:textId="77777777" w:rsidTr="00B0279C">
      <w:trPr>
        <w:trHeight w:val="144"/>
        <w:jc w:val="right"/>
      </w:trPr>
      <w:tc>
        <w:tcPr>
          <w:tcW w:w="2530" w:type="dxa"/>
          <w:vAlign w:val="center"/>
        </w:tcPr>
        <w:p w14:paraId="704CC7D5"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14:paraId="4C9B1B9B" w14:textId="77777777" w:rsidR="00011C57" w:rsidRPr="00330DA7" w:rsidRDefault="00924CF0" w:rsidP="00B0279C">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00011C57" w:rsidRPr="00330DA7" w14:paraId="64450472" w14:textId="77777777" w:rsidTr="00B0279C">
      <w:trPr>
        <w:trHeight w:val="283"/>
        <w:jc w:val="right"/>
      </w:trPr>
      <w:tc>
        <w:tcPr>
          <w:tcW w:w="2530" w:type="dxa"/>
          <w:vAlign w:val="center"/>
        </w:tcPr>
        <w:p w14:paraId="2227601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14:paraId="5B9E558E" w14:textId="77777777" w:rsidR="00011C57" w:rsidRPr="005754CF" w:rsidRDefault="00924CF0" w:rsidP="00B0279C">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00011C57" w:rsidRPr="00330DA7" w14:paraId="2A4EE535" w14:textId="77777777" w:rsidTr="00B0279C">
      <w:trPr>
        <w:trHeight w:val="283"/>
        <w:jc w:val="right"/>
      </w:trPr>
      <w:tc>
        <w:tcPr>
          <w:tcW w:w="2530" w:type="dxa"/>
          <w:vAlign w:val="center"/>
        </w:tcPr>
        <w:p w14:paraId="46C87DC7"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14:paraId="148E1882"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2FBBDBA6" w14:textId="77777777" w:rsidR="00011C57" w:rsidRDefault="00077181" w:rsidP="00B0279C">
    <w:pPr>
      <w:pStyle w:val="Encabezado"/>
    </w:pPr>
    <w:r>
      <w:rPr>
        <w:noProof/>
      </w:rPr>
      <w:pict w14:anchorId="7EB53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5"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4700"/>
    </w:tblGrid>
    <w:tr w:rsidR="00011C57" w:rsidRPr="00330DA7" w14:paraId="542E7F84" w14:textId="77777777" w:rsidTr="00CA1B00">
      <w:trPr>
        <w:trHeight w:val="144"/>
        <w:jc w:val="right"/>
      </w:trPr>
      <w:tc>
        <w:tcPr>
          <w:tcW w:w="2530" w:type="dxa"/>
          <w:vAlign w:val="center"/>
        </w:tcPr>
        <w:p w14:paraId="225A191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700" w:type="dxa"/>
          <w:vAlign w:val="center"/>
        </w:tcPr>
        <w:p w14:paraId="75804045" w14:textId="52FC9590" w:rsidR="00011C57" w:rsidRPr="00D65B00" w:rsidRDefault="00A946F3" w:rsidP="00B0279C">
          <w:pPr>
            <w:tabs>
              <w:tab w:val="right" w:pos="8838"/>
            </w:tabs>
            <w:spacing w:line="276" w:lineRule="auto"/>
            <w:ind w:left="-74" w:right="-105"/>
            <w:jc w:val="left"/>
            <w:rPr>
              <w:rFonts w:eastAsia="Calibri" w:cs="Tahoma"/>
            </w:rPr>
          </w:pPr>
          <w:r>
            <w:rPr>
              <w:rFonts w:eastAsia="Calibri" w:cs="Tahoma"/>
            </w:rPr>
            <w:t xml:space="preserve">00226/INFOEM/IP/RR/2022 </w:t>
          </w:r>
          <w:r w:rsidR="00CF56B9">
            <w:rPr>
              <w:rFonts w:eastAsia="Calibri" w:cs="Tahoma"/>
            </w:rPr>
            <w:t>y acumulado</w:t>
          </w:r>
        </w:p>
      </w:tc>
    </w:tr>
    <w:tr w:rsidR="00011C57" w:rsidRPr="00330DA7" w14:paraId="12309B75" w14:textId="77777777" w:rsidTr="00CA1B00">
      <w:trPr>
        <w:trHeight w:val="283"/>
        <w:jc w:val="right"/>
      </w:trPr>
      <w:tc>
        <w:tcPr>
          <w:tcW w:w="2530" w:type="dxa"/>
        </w:tcPr>
        <w:p w14:paraId="16DECCE3"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4700" w:type="dxa"/>
          <w:vAlign w:val="center"/>
        </w:tcPr>
        <w:p w14:paraId="7C66E373" w14:textId="563E5D29" w:rsidR="00011C57" w:rsidRPr="00D65B00" w:rsidRDefault="00CF56B9" w:rsidP="00D65B00">
          <w:pPr>
            <w:tabs>
              <w:tab w:val="left" w:pos="2834"/>
              <w:tab w:val="right" w:pos="8838"/>
            </w:tabs>
            <w:spacing w:line="276" w:lineRule="auto"/>
            <w:ind w:left="-74" w:right="-105"/>
            <w:rPr>
              <w:rFonts w:eastAsia="Calibri" w:cs="Tahoma"/>
              <w:highlight w:val="yellow"/>
            </w:rPr>
          </w:pPr>
          <w:r w:rsidRPr="00CF56B9">
            <w:rPr>
              <w:rFonts w:eastAsia="Calibri" w:cs="Tahoma"/>
            </w:rPr>
            <w:t>Instituto de Información e Investigación Geográfica, Estadística y Catastral del Estado de México</w:t>
          </w:r>
        </w:p>
      </w:tc>
    </w:tr>
    <w:tr w:rsidR="00011C57" w:rsidRPr="00330DA7" w14:paraId="6881DCB9" w14:textId="77777777" w:rsidTr="00CA1B00">
      <w:trPr>
        <w:trHeight w:val="283"/>
        <w:jc w:val="right"/>
      </w:trPr>
      <w:tc>
        <w:tcPr>
          <w:tcW w:w="2530" w:type="dxa"/>
          <w:vAlign w:val="center"/>
        </w:tcPr>
        <w:p w14:paraId="6DC8818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700" w:type="dxa"/>
          <w:vAlign w:val="center"/>
        </w:tcPr>
        <w:p w14:paraId="401E6127"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58FD90F4" w14:textId="77777777" w:rsidR="00011C57" w:rsidRDefault="00077181">
    <w:pPr>
      <w:pStyle w:val="Encabezado"/>
    </w:pPr>
    <w:r>
      <w:rPr>
        <w:noProof/>
      </w:rPr>
      <w:pict w14:anchorId="087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6" o:spid="_x0000_s1027" type="#_x0000_t75" style="position:absolute;left:0;text-align:left;margin-left:-104.6pt;margin-top:-126.5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820"/>
    </w:tblGrid>
    <w:tr w:rsidR="00011C57" w:rsidRPr="00330DA7" w14:paraId="2FB24069" w14:textId="77777777" w:rsidTr="0099703C">
      <w:trPr>
        <w:trHeight w:val="144"/>
        <w:jc w:val="right"/>
      </w:trPr>
      <w:tc>
        <w:tcPr>
          <w:tcW w:w="2410" w:type="dxa"/>
          <w:vAlign w:val="center"/>
        </w:tcPr>
        <w:p w14:paraId="1B6F5EF3"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4820" w:type="dxa"/>
          <w:vAlign w:val="center"/>
        </w:tcPr>
        <w:p w14:paraId="1A9A621A" w14:textId="5F4927B4" w:rsidR="00011C57" w:rsidRPr="00D8203F" w:rsidRDefault="00FB2EA1" w:rsidP="0099703C">
          <w:pPr>
            <w:tabs>
              <w:tab w:val="right" w:pos="8838"/>
            </w:tabs>
            <w:spacing w:line="276" w:lineRule="auto"/>
            <w:ind w:right="-105"/>
            <w:jc w:val="left"/>
            <w:rPr>
              <w:rFonts w:eastAsia="Calibri" w:cs="Tahoma"/>
            </w:rPr>
          </w:pPr>
          <w:r>
            <w:rPr>
              <w:rFonts w:eastAsia="Calibri" w:cs="Tahoma"/>
            </w:rPr>
            <w:t>0</w:t>
          </w:r>
          <w:r w:rsidR="00A946F3">
            <w:rPr>
              <w:rFonts w:eastAsia="Calibri" w:cs="Tahoma"/>
            </w:rPr>
            <w:t xml:space="preserve">00226/INFOEM/IP/RR/2022 </w:t>
          </w:r>
          <w:r>
            <w:rPr>
              <w:rFonts w:eastAsia="Calibri" w:cs="Tahoma"/>
            </w:rPr>
            <w:t>y Acumulado</w:t>
          </w:r>
        </w:p>
      </w:tc>
    </w:tr>
    <w:tr w:rsidR="00011C57" w:rsidRPr="00330DA7" w14:paraId="569CFEB5" w14:textId="77777777" w:rsidTr="0099703C">
      <w:trPr>
        <w:trHeight w:val="144"/>
        <w:jc w:val="right"/>
      </w:trPr>
      <w:tc>
        <w:tcPr>
          <w:tcW w:w="2410" w:type="dxa"/>
          <w:vAlign w:val="center"/>
        </w:tcPr>
        <w:p w14:paraId="645DC22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Recurrente:</w:t>
          </w:r>
        </w:p>
      </w:tc>
      <w:tc>
        <w:tcPr>
          <w:tcW w:w="4820" w:type="dxa"/>
          <w:vAlign w:val="center"/>
        </w:tcPr>
        <w:p w14:paraId="7BED387D" w14:textId="564635C3" w:rsidR="00011C57" w:rsidRPr="00330DA7" w:rsidRDefault="00FB2EA1" w:rsidP="0099703C">
          <w:pPr>
            <w:tabs>
              <w:tab w:val="left" w:pos="3122"/>
              <w:tab w:val="right" w:pos="8838"/>
            </w:tabs>
            <w:spacing w:line="276" w:lineRule="auto"/>
            <w:ind w:right="-105"/>
            <w:jc w:val="left"/>
            <w:rPr>
              <w:rFonts w:eastAsia="Calibri" w:cs="Tahoma"/>
            </w:rPr>
          </w:pPr>
          <w:r>
            <w:rPr>
              <w:rFonts w:eastAsia="Calibri" w:cs="Tahoma"/>
            </w:rPr>
            <w:t xml:space="preserve"> </w:t>
          </w:r>
        </w:p>
      </w:tc>
    </w:tr>
    <w:tr w:rsidR="00011C57" w:rsidRPr="00330DA7" w14:paraId="2CCCDD19" w14:textId="77777777" w:rsidTr="0099703C">
      <w:trPr>
        <w:trHeight w:val="283"/>
        <w:jc w:val="right"/>
      </w:trPr>
      <w:tc>
        <w:tcPr>
          <w:tcW w:w="2410" w:type="dxa"/>
        </w:tcPr>
        <w:p w14:paraId="5FE443CA"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4820" w:type="dxa"/>
          <w:vAlign w:val="center"/>
        </w:tcPr>
        <w:p w14:paraId="530974A6" w14:textId="29864657" w:rsidR="00011C57" w:rsidRPr="00D8203F" w:rsidRDefault="00FB2EA1" w:rsidP="0099703C">
          <w:pPr>
            <w:tabs>
              <w:tab w:val="left" w:pos="2834"/>
              <w:tab w:val="right" w:pos="8838"/>
            </w:tabs>
            <w:spacing w:line="276" w:lineRule="auto"/>
            <w:ind w:right="-105"/>
            <w:rPr>
              <w:rFonts w:eastAsia="Calibri" w:cs="Tahoma"/>
              <w:highlight w:val="yellow"/>
            </w:rPr>
          </w:pPr>
          <w:r w:rsidRPr="00FB2EA1">
            <w:rPr>
              <w:rFonts w:eastAsia="Calibri" w:cs="Tahoma"/>
            </w:rPr>
            <w:t>Instituto de Información e Investigación Geográfica, Estadística y Catastral del Estado de México</w:t>
          </w:r>
        </w:p>
      </w:tc>
    </w:tr>
    <w:tr w:rsidR="00011C57" w:rsidRPr="00330DA7" w14:paraId="6A0D177B" w14:textId="77777777" w:rsidTr="0099703C">
      <w:trPr>
        <w:trHeight w:val="283"/>
        <w:jc w:val="right"/>
      </w:trPr>
      <w:tc>
        <w:tcPr>
          <w:tcW w:w="2410" w:type="dxa"/>
          <w:vAlign w:val="center"/>
        </w:tcPr>
        <w:p w14:paraId="4A4AC4EC"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4820" w:type="dxa"/>
          <w:vAlign w:val="center"/>
        </w:tcPr>
        <w:p w14:paraId="31717E75" w14:textId="77777777" w:rsidR="00011C57" w:rsidRPr="005754CF" w:rsidRDefault="00924CF0" w:rsidP="0099703C">
          <w:pPr>
            <w:tabs>
              <w:tab w:val="right" w:pos="8838"/>
            </w:tabs>
            <w:spacing w:line="276" w:lineRule="auto"/>
            <w:ind w:right="-105"/>
            <w:jc w:val="left"/>
            <w:rPr>
              <w:rFonts w:eastAsia="Calibri" w:cs="Tahoma"/>
            </w:rPr>
          </w:pPr>
          <w:r w:rsidRPr="00330DA7">
            <w:rPr>
              <w:rFonts w:eastAsia="Calibri" w:cs="Tahoma"/>
            </w:rPr>
            <w:t>Luis Gustavo Parra Noriega</w:t>
          </w:r>
        </w:p>
      </w:tc>
    </w:tr>
  </w:tbl>
  <w:p w14:paraId="134AC6BE" w14:textId="77777777" w:rsidR="00011C57" w:rsidRDefault="00077181" w:rsidP="00B0279C">
    <w:pPr>
      <w:pStyle w:val="Encabezado"/>
    </w:pPr>
    <w:r>
      <w:rPr>
        <w:noProof/>
      </w:rPr>
      <w:pict w14:anchorId="26A3A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style="position:absolute;left:0;text-align:left;margin-left:0;margin-top:0;width:663.5pt;height:12in;z-index:-251657728;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400"/>
    <w:multiLevelType w:val="hybridMultilevel"/>
    <w:tmpl w:val="3D74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2E554F"/>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D675C"/>
    <w:multiLevelType w:val="hybridMultilevel"/>
    <w:tmpl w:val="1DFCD368"/>
    <w:lvl w:ilvl="0" w:tplc="DA5A3ECE">
      <w:start w:val="1"/>
      <w:numFmt w:val="lowerRoman"/>
      <w:lvlText w:val="%1."/>
      <w:lvlJc w:val="left"/>
      <w:pPr>
        <w:ind w:left="1440" w:hanging="360"/>
      </w:pPr>
      <w:rPr>
        <w:rFonts w:ascii="Palatino Linotype" w:hAnsi="Palatino Linotype"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F060AC4"/>
    <w:multiLevelType w:val="hybridMultilevel"/>
    <w:tmpl w:val="6812F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9754F"/>
    <w:multiLevelType w:val="hybridMultilevel"/>
    <w:tmpl w:val="4ABC7128"/>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81149B"/>
    <w:multiLevelType w:val="hybridMultilevel"/>
    <w:tmpl w:val="B018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BA29DD"/>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1B794B"/>
    <w:multiLevelType w:val="hybridMultilevel"/>
    <w:tmpl w:val="178CC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086AB4"/>
    <w:multiLevelType w:val="hybridMultilevel"/>
    <w:tmpl w:val="961C5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28A924B3"/>
    <w:multiLevelType w:val="hybridMultilevel"/>
    <w:tmpl w:val="2EAA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CEA5692"/>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A53034"/>
    <w:multiLevelType w:val="hybridMultilevel"/>
    <w:tmpl w:val="D972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6B91F5B"/>
    <w:multiLevelType w:val="hybridMultilevel"/>
    <w:tmpl w:val="E78EE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432A6F72"/>
    <w:multiLevelType w:val="hybridMultilevel"/>
    <w:tmpl w:val="71F43B6E"/>
    <w:lvl w:ilvl="0" w:tplc="080A0001">
      <w:start w:val="1"/>
      <w:numFmt w:val="bullet"/>
      <w:lvlText w:val=""/>
      <w:lvlJc w:val="left"/>
      <w:pPr>
        <w:ind w:left="720" w:hanging="360"/>
      </w:pPr>
      <w:rPr>
        <w:rFonts w:ascii="Symbol" w:hAnsi="Symbol" w:hint="default"/>
      </w:rPr>
    </w:lvl>
    <w:lvl w:ilvl="1" w:tplc="DA5A3ECE">
      <w:start w:val="1"/>
      <w:numFmt w:val="lowerRoman"/>
      <w:lvlText w:val="%2."/>
      <w:lvlJc w:val="left"/>
      <w:pPr>
        <w:ind w:left="1440" w:hanging="360"/>
      </w:pPr>
      <w:rPr>
        <w:rFonts w:ascii="Palatino Linotype" w:hAnsi="Palatino Linotype" w:hint="default"/>
        <w:sz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261DD0"/>
    <w:multiLevelType w:val="hybridMultilevel"/>
    <w:tmpl w:val="C1CE6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3E785D"/>
    <w:multiLevelType w:val="hybridMultilevel"/>
    <w:tmpl w:val="A2D4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A603DD"/>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A81A85"/>
    <w:multiLevelType w:val="hybridMultilevel"/>
    <w:tmpl w:val="0A7A5E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1D1768"/>
    <w:multiLevelType w:val="hybridMultilevel"/>
    <w:tmpl w:val="3364C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0036345"/>
    <w:multiLevelType w:val="hybridMultilevel"/>
    <w:tmpl w:val="3BE06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837861"/>
    <w:multiLevelType w:val="hybridMultilevel"/>
    <w:tmpl w:val="036EF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F51759"/>
    <w:multiLevelType w:val="hybridMultilevel"/>
    <w:tmpl w:val="D972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1A2A4C"/>
    <w:multiLevelType w:val="hybridMultilevel"/>
    <w:tmpl w:val="313C472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469104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594910">
    <w:abstractNumId w:val="11"/>
  </w:num>
  <w:num w:numId="3" w16cid:durableId="247539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93727">
    <w:abstractNumId w:val="34"/>
  </w:num>
  <w:num w:numId="5" w16cid:durableId="230890898">
    <w:abstractNumId w:val="2"/>
  </w:num>
  <w:num w:numId="6" w16cid:durableId="2006587291">
    <w:abstractNumId w:val="12"/>
  </w:num>
  <w:num w:numId="7" w16cid:durableId="496848738">
    <w:abstractNumId w:val="25"/>
  </w:num>
  <w:num w:numId="8" w16cid:durableId="46613783">
    <w:abstractNumId w:val="27"/>
  </w:num>
  <w:num w:numId="9" w16cid:durableId="1416517584">
    <w:abstractNumId w:val="8"/>
  </w:num>
  <w:num w:numId="10" w16cid:durableId="1620989485">
    <w:abstractNumId w:val="26"/>
  </w:num>
  <w:num w:numId="11" w16cid:durableId="1538009303">
    <w:abstractNumId w:val="28"/>
  </w:num>
  <w:num w:numId="12" w16cid:durableId="329724067">
    <w:abstractNumId w:val="9"/>
  </w:num>
  <w:num w:numId="13" w16cid:durableId="2000886627">
    <w:abstractNumId w:val="3"/>
  </w:num>
  <w:num w:numId="14" w16cid:durableId="2017538162">
    <w:abstractNumId w:val="14"/>
  </w:num>
  <w:num w:numId="15" w16cid:durableId="1462380169">
    <w:abstractNumId w:val="17"/>
  </w:num>
  <w:num w:numId="16" w16cid:durableId="150104562">
    <w:abstractNumId w:val="7"/>
  </w:num>
  <w:num w:numId="17" w16cid:durableId="1403405260">
    <w:abstractNumId w:val="6"/>
  </w:num>
  <w:num w:numId="18" w16cid:durableId="498271056">
    <w:abstractNumId w:val="23"/>
  </w:num>
  <w:num w:numId="19" w16cid:durableId="1223827824">
    <w:abstractNumId w:val="5"/>
  </w:num>
  <w:num w:numId="20" w16cid:durableId="802046276">
    <w:abstractNumId w:val="10"/>
  </w:num>
  <w:num w:numId="21" w16cid:durableId="2061126392">
    <w:abstractNumId w:val="32"/>
  </w:num>
  <w:num w:numId="22" w16cid:durableId="1187669573">
    <w:abstractNumId w:val="13"/>
  </w:num>
  <w:num w:numId="23" w16cid:durableId="139273860">
    <w:abstractNumId w:val="15"/>
  </w:num>
  <w:num w:numId="24" w16cid:durableId="533814617">
    <w:abstractNumId w:val="20"/>
  </w:num>
  <w:num w:numId="25" w16cid:durableId="743258236">
    <w:abstractNumId w:val="16"/>
  </w:num>
  <w:num w:numId="26" w16cid:durableId="1231960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7365776">
    <w:abstractNumId w:val="33"/>
  </w:num>
  <w:num w:numId="28" w16cid:durableId="683899253">
    <w:abstractNumId w:val="1"/>
  </w:num>
  <w:num w:numId="29" w16cid:durableId="57631899">
    <w:abstractNumId w:val="22"/>
  </w:num>
  <w:num w:numId="30" w16cid:durableId="864169392">
    <w:abstractNumId w:val="19"/>
  </w:num>
  <w:num w:numId="31" w16cid:durableId="2117553858">
    <w:abstractNumId w:val="36"/>
  </w:num>
  <w:num w:numId="32" w16cid:durableId="129641383">
    <w:abstractNumId w:val="21"/>
  </w:num>
  <w:num w:numId="33" w16cid:durableId="1009067278">
    <w:abstractNumId w:val="24"/>
  </w:num>
  <w:num w:numId="34" w16cid:durableId="235945955">
    <w:abstractNumId w:val="29"/>
  </w:num>
  <w:num w:numId="35" w16cid:durableId="603926784">
    <w:abstractNumId w:val="4"/>
  </w:num>
  <w:num w:numId="36" w16cid:durableId="1414207387">
    <w:abstractNumId w:val="30"/>
  </w:num>
  <w:num w:numId="37" w16cid:durableId="1346981226">
    <w:abstractNumId w:val="35"/>
  </w:num>
  <w:num w:numId="38" w16cid:durableId="692993673">
    <w:abstractNumId w:val="18"/>
  </w:num>
  <w:num w:numId="39" w16cid:durableId="182847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3F"/>
    <w:rsid w:val="00002000"/>
    <w:rsid w:val="00005411"/>
    <w:rsid w:val="00005B94"/>
    <w:rsid w:val="0001464C"/>
    <w:rsid w:val="00015D26"/>
    <w:rsid w:val="00033495"/>
    <w:rsid w:val="00036CA1"/>
    <w:rsid w:val="00041034"/>
    <w:rsid w:val="000437E4"/>
    <w:rsid w:val="000530D1"/>
    <w:rsid w:val="00060676"/>
    <w:rsid w:val="0006659E"/>
    <w:rsid w:val="00072F70"/>
    <w:rsid w:val="00077108"/>
    <w:rsid w:val="00077181"/>
    <w:rsid w:val="000805DC"/>
    <w:rsid w:val="00092BC4"/>
    <w:rsid w:val="000B38F1"/>
    <w:rsid w:val="000D5539"/>
    <w:rsid w:val="000E518D"/>
    <w:rsid w:val="000E7811"/>
    <w:rsid w:val="001063BF"/>
    <w:rsid w:val="0010753F"/>
    <w:rsid w:val="001136B4"/>
    <w:rsid w:val="00115A2B"/>
    <w:rsid w:val="001269EA"/>
    <w:rsid w:val="0013003D"/>
    <w:rsid w:val="0014480C"/>
    <w:rsid w:val="00147995"/>
    <w:rsid w:val="00152501"/>
    <w:rsid w:val="00154A3D"/>
    <w:rsid w:val="00155617"/>
    <w:rsid w:val="0016479F"/>
    <w:rsid w:val="00175C2F"/>
    <w:rsid w:val="00176419"/>
    <w:rsid w:val="00191AE4"/>
    <w:rsid w:val="00192BF8"/>
    <w:rsid w:val="00193B5F"/>
    <w:rsid w:val="001971E7"/>
    <w:rsid w:val="001A0FE6"/>
    <w:rsid w:val="001A186C"/>
    <w:rsid w:val="001A721E"/>
    <w:rsid w:val="001B1F7E"/>
    <w:rsid w:val="001B2967"/>
    <w:rsid w:val="001B4FE3"/>
    <w:rsid w:val="001B5B28"/>
    <w:rsid w:val="001B6B5E"/>
    <w:rsid w:val="001C12E6"/>
    <w:rsid w:val="001C5F8F"/>
    <w:rsid w:val="001D4BEF"/>
    <w:rsid w:val="001E601D"/>
    <w:rsid w:val="001E61B0"/>
    <w:rsid w:val="001F6315"/>
    <w:rsid w:val="00202FD6"/>
    <w:rsid w:val="00205C3E"/>
    <w:rsid w:val="00212C5B"/>
    <w:rsid w:val="00221964"/>
    <w:rsid w:val="00224C52"/>
    <w:rsid w:val="00232543"/>
    <w:rsid w:val="002351AB"/>
    <w:rsid w:val="0023761E"/>
    <w:rsid w:val="00241763"/>
    <w:rsid w:val="002419D5"/>
    <w:rsid w:val="002513F1"/>
    <w:rsid w:val="002625D0"/>
    <w:rsid w:val="00273C8F"/>
    <w:rsid w:val="00273D56"/>
    <w:rsid w:val="002751C6"/>
    <w:rsid w:val="00277532"/>
    <w:rsid w:val="00283FB5"/>
    <w:rsid w:val="002878DE"/>
    <w:rsid w:val="00292E42"/>
    <w:rsid w:val="00296195"/>
    <w:rsid w:val="002B22F0"/>
    <w:rsid w:val="002B7026"/>
    <w:rsid w:val="002C425A"/>
    <w:rsid w:val="002C6689"/>
    <w:rsid w:val="002D1940"/>
    <w:rsid w:val="002D426D"/>
    <w:rsid w:val="002D4507"/>
    <w:rsid w:val="002E32AB"/>
    <w:rsid w:val="002E5BC9"/>
    <w:rsid w:val="002F13CE"/>
    <w:rsid w:val="002F1649"/>
    <w:rsid w:val="002F7105"/>
    <w:rsid w:val="0030159C"/>
    <w:rsid w:val="00304EDC"/>
    <w:rsid w:val="00313025"/>
    <w:rsid w:val="00324ADE"/>
    <w:rsid w:val="00324EC3"/>
    <w:rsid w:val="00325503"/>
    <w:rsid w:val="00327C5F"/>
    <w:rsid w:val="0033169F"/>
    <w:rsid w:val="00335515"/>
    <w:rsid w:val="00337795"/>
    <w:rsid w:val="0034646A"/>
    <w:rsid w:val="00351215"/>
    <w:rsid w:val="003512B5"/>
    <w:rsid w:val="00351BBE"/>
    <w:rsid w:val="003536D4"/>
    <w:rsid w:val="00353712"/>
    <w:rsid w:val="00353F3B"/>
    <w:rsid w:val="0035784F"/>
    <w:rsid w:val="0037052D"/>
    <w:rsid w:val="00371D10"/>
    <w:rsid w:val="0037486D"/>
    <w:rsid w:val="00376DE8"/>
    <w:rsid w:val="003778C6"/>
    <w:rsid w:val="00384899"/>
    <w:rsid w:val="00395577"/>
    <w:rsid w:val="00396975"/>
    <w:rsid w:val="003B0D6C"/>
    <w:rsid w:val="003B1737"/>
    <w:rsid w:val="003B2792"/>
    <w:rsid w:val="003B5A0A"/>
    <w:rsid w:val="003B7B49"/>
    <w:rsid w:val="003C67AD"/>
    <w:rsid w:val="003D66E7"/>
    <w:rsid w:val="003E713C"/>
    <w:rsid w:val="003E7CB0"/>
    <w:rsid w:val="003F0EAA"/>
    <w:rsid w:val="003F3FDB"/>
    <w:rsid w:val="003F5815"/>
    <w:rsid w:val="00403E63"/>
    <w:rsid w:val="00416FD2"/>
    <w:rsid w:val="0042089F"/>
    <w:rsid w:val="0042237E"/>
    <w:rsid w:val="00426064"/>
    <w:rsid w:val="00431386"/>
    <w:rsid w:val="00436B7E"/>
    <w:rsid w:val="004436D4"/>
    <w:rsid w:val="00444B06"/>
    <w:rsid w:val="00446040"/>
    <w:rsid w:val="00450E27"/>
    <w:rsid w:val="00454109"/>
    <w:rsid w:val="0046018F"/>
    <w:rsid w:val="004820EA"/>
    <w:rsid w:val="004954EF"/>
    <w:rsid w:val="00495E03"/>
    <w:rsid w:val="004A1F44"/>
    <w:rsid w:val="004B71D1"/>
    <w:rsid w:val="004D102C"/>
    <w:rsid w:val="004D3EDF"/>
    <w:rsid w:val="004D556A"/>
    <w:rsid w:val="004E0763"/>
    <w:rsid w:val="004E5C8E"/>
    <w:rsid w:val="004F4DE7"/>
    <w:rsid w:val="00501BDA"/>
    <w:rsid w:val="00502445"/>
    <w:rsid w:val="00503B9B"/>
    <w:rsid w:val="00523A2F"/>
    <w:rsid w:val="0052654D"/>
    <w:rsid w:val="005345A9"/>
    <w:rsid w:val="00541061"/>
    <w:rsid w:val="00543DD3"/>
    <w:rsid w:val="00552DCA"/>
    <w:rsid w:val="0055608D"/>
    <w:rsid w:val="0056275B"/>
    <w:rsid w:val="00562EBC"/>
    <w:rsid w:val="005670FF"/>
    <w:rsid w:val="005703B8"/>
    <w:rsid w:val="0058799A"/>
    <w:rsid w:val="00590E15"/>
    <w:rsid w:val="00593B72"/>
    <w:rsid w:val="005A0835"/>
    <w:rsid w:val="005A4818"/>
    <w:rsid w:val="005B080B"/>
    <w:rsid w:val="005B3BAB"/>
    <w:rsid w:val="005C64C9"/>
    <w:rsid w:val="005E03C3"/>
    <w:rsid w:val="005E0F61"/>
    <w:rsid w:val="005E21DD"/>
    <w:rsid w:val="005F2AA8"/>
    <w:rsid w:val="005F4D3B"/>
    <w:rsid w:val="005F573C"/>
    <w:rsid w:val="00601EA2"/>
    <w:rsid w:val="0060238A"/>
    <w:rsid w:val="00606F85"/>
    <w:rsid w:val="00616387"/>
    <w:rsid w:val="00616923"/>
    <w:rsid w:val="00621403"/>
    <w:rsid w:val="00623791"/>
    <w:rsid w:val="006311A9"/>
    <w:rsid w:val="006319BF"/>
    <w:rsid w:val="00635D9F"/>
    <w:rsid w:val="0065125A"/>
    <w:rsid w:val="00652BB7"/>
    <w:rsid w:val="00652D8D"/>
    <w:rsid w:val="00654565"/>
    <w:rsid w:val="0067778A"/>
    <w:rsid w:val="006900B8"/>
    <w:rsid w:val="00691F6B"/>
    <w:rsid w:val="006956C3"/>
    <w:rsid w:val="006A2FB4"/>
    <w:rsid w:val="006A4ACF"/>
    <w:rsid w:val="006C0BE4"/>
    <w:rsid w:val="006C526C"/>
    <w:rsid w:val="006D790F"/>
    <w:rsid w:val="006E6D2A"/>
    <w:rsid w:val="006F0034"/>
    <w:rsid w:val="006F47EF"/>
    <w:rsid w:val="007000A0"/>
    <w:rsid w:val="0070107C"/>
    <w:rsid w:val="00701FDE"/>
    <w:rsid w:val="00711D42"/>
    <w:rsid w:val="0071218A"/>
    <w:rsid w:val="007138B4"/>
    <w:rsid w:val="00716C22"/>
    <w:rsid w:val="00722333"/>
    <w:rsid w:val="00730406"/>
    <w:rsid w:val="00740517"/>
    <w:rsid w:val="00740AC4"/>
    <w:rsid w:val="00752CBF"/>
    <w:rsid w:val="00764A1C"/>
    <w:rsid w:val="0077306F"/>
    <w:rsid w:val="00777341"/>
    <w:rsid w:val="00782C2E"/>
    <w:rsid w:val="00784A13"/>
    <w:rsid w:val="007851A6"/>
    <w:rsid w:val="00792F4F"/>
    <w:rsid w:val="007A23FE"/>
    <w:rsid w:val="007B0411"/>
    <w:rsid w:val="007C5768"/>
    <w:rsid w:val="007D4E6D"/>
    <w:rsid w:val="007E5CAF"/>
    <w:rsid w:val="007F329C"/>
    <w:rsid w:val="007F4B96"/>
    <w:rsid w:val="007F6748"/>
    <w:rsid w:val="007F6888"/>
    <w:rsid w:val="007F68DC"/>
    <w:rsid w:val="007F79FE"/>
    <w:rsid w:val="00806798"/>
    <w:rsid w:val="00813C48"/>
    <w:rsid w:val="008145EC"/>
    <w:rsid w:val="00814BE4"/>
    <w:rsid w:val="00821623"/>
    <w:rsid w:val="00830C85"/>
    <w:rsid w:val="0084321B"/>
    <w:rsid w:val="0084339B"/>
    <w:rsid w:val="008441BB"/>
    <w:rsid w:val="00846D35"/>
    <w:rsid w:val="00847200"/>
    <w:rsid w:val="00852035"/>
    <w:rsid w:val="008634D4"/>
    <w:rsid w:val="0086681E"/>
    <w:rsid w:val="0087558A"/>
    <w:rsid w:val="00875A4D"/>
    <w:rsid w:val="00887C2C"/>
    <w:rsid w:val="008A050C"/>
    <w:rsid w:val="008A0F99"/>
    <w:rsid w:val="008A5840"/>
    <w:rsid w:val="008B6A10"/>
    <w:rsid w:val="008B6C46"/>
    <w:rsid w:val="008C1900"/>
    <w:rsid w:val="008D0436"/>
    <w:rsid w:val="008D06D2"/>
    <w:rsid w:val="008D2AA0"/>
    <w:rsid w:val="008D4095"/>
    <w:rsid w:val="008D589F"/>
    <w:rsid w:val="008D72BE"/>
    <w:rsid w:val="008D7A9B"/>
    <w:rsid w:val="008E2904"/>
    <w:rsid w:val="008E61D4"/>
    <w:rsid w:val="008F0993"/>
    <w:rsid w:val="0090299E"/>
    <w:rsid w:val="00903752"/>
    <w:rsid w:val="00917722"/>
    <w:rsid w:val="00924CF0"/>
    <w:rsid w:val="009278D9"/>
    <w:rsid w:val="00941F99"/>
    <w:rsid w:val="009479DF"/>
    <w:rsid w:val="0095259E"/>
    <w:rsid w:val="00953BD3"/>
    <w:rsid w:val="00954749"/>
    <w:rsid w:val="009638C6"/>
    <w:rsid w:val="009639F0"/>
    <w:rsid w:val="00966490"/>
    <w:rsid w:val="00966655"/>
    <w:rsid w:val="00976739"/>
    <w:rsid w:val="009900F6"/>
    <w:rsid w:val="009B05A5"/>
    <w:rsid w:val="009B2E42"/>
    <w:rsid w:val="009B44DB"/>
    <w:rsid w:val="009C55B6"/>
    <w:rsid w:val="009D03C4"/>
    <w:rsid w:val="009D3092"/>
    <w:rsid w:val="009E048A"/>
    <w:rsid w:val="009E13D1"/>
    <w:rsid w:val="009E7049"/>
    <w:rsid w:val="009F273D"/>
    <w:rsid w:val="00A021D0"/>
    <w:rsid w:val="00A0231D"/>
    <w:rsid w:val="00A10F3C"/>
    <w:rsid w:val="00A22A88"/>
    <w:rsid w:val="00A2355B"/>
    <w:rsid w:val="00A300C4"/>
    <w:rsid w:val="00A43DE3"/>
    <w:rsid w:val="00A47768"/>
    <w:rsid w:val="00A636D9"/>
    <w:rsid w:val="00A65096"/>
    <w:rsid w:val="00A66BE0"/>
    <w:rsid w:val="00A71605"/>
    <w:rsid w:val="00A92E13"/>
    <w:rsid w:val="00A93BEA"/>
    <w:rsid w:val="00A946F3"/>
    <w:rsid w:val="00A95528"/>
    <w:rsid w:val="00A955E1"/>
    <w:rsid w:val="00AA2C3A"/>
    <w:rsid w:val="00AA478B"/>
    <w:rsid w:val="00AA7D70"/>
    <w:rsid w:val="00AB598B"/>
    <w:rsid w:val="00AC3E38"/>
    <w:rsid w:val="00AC473C"/>
    <w:rsid w:val="00AC59DD"/>
    <w:rsid w:val="00AD046B"/>
    <w:rsid w:val="00AD0556"/>
    <w:rsid w:val="00AD1619"/>
    <w:rsid w:val="00AD4046"/>
    <w:rsid w:val="00AD4556"/>
    <w:rsid w:val="00AD6A80"/>
    <w:rsid w:val="00AE03DF"/>
    <w:rsid w:val="00AF09A1"/>
    <w:rsid w:val="00B033BC"/>
    <w:rsid w:val="00B248AF"/>
    <w:rsid w:val="00B33B4C"/>
    <w:rsid w:val="00B662F8"/>
    <w:rsid w:val="00B7264D"/>
    <w:rsid w:val="00B76E72"/>
    <w:rsid w:val="00B8081C"/>
    <w:rsid w:val="00B82893"/>
    <w:rsid w:val="00B92E09"/>
    <w:rsid w:val="00B96BE1"/>
    <w:rsid w:val="00BA1F27"/>
    <w:rsid w:val="00BB394B"/>
    <w:rsid w:val="00BC3B00"/>
    <w:rsid w:val="00BD016C"/>
    <w:rsid w:val="00BD08C5"/>
    <w:rsid w:val="00BD4FE0"/>
    <w:rsid w:val="00BE14C6"/>
    <w:rsid w:val="00BE3263"/>
    <w:rsid w:val="00BE3F5F"/>
    <w:rsid w:val="00BF27BE"/>
    <w:rsid w:val="00BF3C00"/>
    <w:rsid w:val="00BF44C3"/>
    <w:rsid w:val="00C035DB"/>
    <w:rsid w:val="00C07FA6"/>
    <w:rsid w:val="00C108C3"/>
    <w:rsid w:val="00C12603"/>
    <w:rsid w:val="00C138ED"/>
    <w:rsid w:val="00C17F37"/>
    <w:rsid w:val="00C24420"/>
    <w:rsid w:val="00C25690"/>
    <w:rsid w:val="00C3697C"/>
    <w:rsid w:val="00C376BD"/>
    <w:rsid w:val="00C40AC9"/>
    <w:rsid w:val="00C435D5"/>
    <w:rsid w:val="00C43F93"/>
    <w:rsid w:val="00C44AF0"/>
    <w:rsid w:val="00C47C15"/>
    <w:rsid w:val="00C54877"/>
    <w:rsid w:val="00C60536"/>
    <w:rsid w:val="00C65A34"/>
    <w:rsid w:val="00C70651"/>
    <w:rsid w:val="00C71B79"/>
    <w:rsid w:val="00C831F7"/>
    <w:rsid w:val="00C86FBC"/>
    <w:rsid w:val="00C92198"/>
    <w:rsid w:val="00C92DAA"/>
    <w:rsid w:val="00C93CBC"/>
    <w:rsid w:val="00CA1B00"/>
    <w:rsid w:val="00CB3C32"/>
    <w:rsid w:val="00CB4142"/>
    <w:rsid w:val="00CC42FB"/>
    <w:rsid w:val="00CC7B75"/>
    <w:rsid w:val="00CD6D1B"/>
    <w:rsid w:val="00CE17DA"/>
    <w:rsid w:val="00CF56B9"/>
    <w:rsid w:val="00D03BBC"/>
    <w:rsid w:val="00D0584A"/>
    <w:rsid w:val="00D06558"/>
    <w:rsid w:val="00D142A7"/>
    <w:rsid w:val="00D34ADA"/>
    <w:rsid w:val="00D4040E"/>
    <w:rsid w:val="00D41BDB"/>
    <w:rsid w:val="00D451C6"/>
    <w:rsid w:val="00D50360"/>
    <w:rsid w:val="00D56A74"/>
    <w:rsid w:val="00D678B4"/>
    <w:rsid w:val="00D715B0"/>
    <w:rsid w:val="00D75842"/>
    <w:rsid w:val="00D8203F"/>
    <w:rsid w:val="00D8468C"/>
    <w:rsid w:val="00D86243"/>
    <w:rsid w:val="00D86DC2"/>
    <w:rsid w:val="00D91B6D"/>
    <w:rsid w:val="00D93C72"/>
    <w:rsid w:val="00D974CF"/>
    <w:rsid w:val="00DD1AF9"/>
    <w:rsid w:val="00DD3DE5"/>
    <w:rsid w:val="00DD5874"/>
    <w:rsid w:val="00DE45C9"/>
    <w:rsid w:val="00DF084F"/>
    <w:rsid w:val="00DF5F5D"/>
    <w:rsid w:val="00E1071F"/>
    <w:rsid w:val="00E24DAE"/>
    <w:rsid w:val="00E27548"/>
    <w:rsid w:val="00E30966"/>
    <w:rsid w:val="00E33C78"/>
    <w:rsid w:val="00E461AC"/>
    <w:rsid w:val="00E53178"/>
    <w:rsid w:val="00E5479A"/>
    <w:rsid w:val="00E5548A"/>
    <w:rsid w:val="00E56D77"/>
    <w:rsid w:val="00E56E00"/>
    <w:rsid w:val="00E637F3"/>
    <w:rsid w:val="00E77820"/>
    <w:rsid w:val="00E91068"/>
    <w:rsid w:val="00E915C0"/>
    <w:rsid w:val="00E93CA8"/>
    <w:rsid w:val="00EA776B"/>
    <w:rsid w:val="00EC0586"/>
    <w:rsid w:val="00EC3F60"/>
    <w:rsid w:val="00EC7552"/>
    <w:rsid w:val="00ED0BAC"/>
    <w:rsid w:val="00EF640A"/>
    <w:rsid w:val="00EF700D"/>
    <w:rsid w:val="00EF75FB"/>
    <w:rsid w:val="00F053C6"/>
    <w:rsid w:val="00F10871"/>
    <w:rsid w:val="00F16379"/>
    <w:rsid w:val="00F22CD0"/>
    <w:rsid w:val="00F236A7"/>
    <w:rsid w:val="00F304F0"/>
    <w:rsid w:val="00F363E5"/>
    <w:rsid w:val="00F42CAA"/>
    <w:rsid w:val="00F45A0F"/>
    <w:rsid w:val="00F46BC9"/>
    <w:rsid w:val="00F551BD"/>
    <w:rsid w:val="00F566C0"/>
    <w:rsid w:val="00F61040"/>
    <w:rsid w:val="00F61205"/>
    <w:rsid w:val="00F66D38"/>
    <w:rsid w:val="00F875E3"/>
    <w:rsid w:val="00F97409"/>
    <w:rsid w:val="00F97C83"/>
    <w:rsid w:val="00FA4CDC"/>
    <w:rsid w:val="00FA4CF7"/>
    <w:rsid w:val="00FB1779"/>
    <w:rsid w:val="00FB2EA1"/>
    <w:rsid w:val="00FB6C24"/>
    <w:rsid w:val="00FC5E8D"/>
    <w:rsid w:val="00FC60F9"/>
    <w:rsid w:val="00FC6764"/>
    <w:rsid w:val="00FD3A19"/>
    <w:rsid w:val="00FD4D46"/>
    <w:rsid w:val="00FE03F9"/>
    <w:rsid w:val="00FE1E4A"/>
    <w:rsid w:val="00FE3DC1"/>
    <w:rsid w:val="00FF7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94"/>
    <w:pPr>
      <w:spacing w:line="360" w:lineRule="auto"/>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customStyle="1" w:styleId="AsuntodelcomentarioCar">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customStyle="1" w:styleId="Mencinsinresolver1">
    <w:name w:val="Mención sin resolver1"/>
    <w:basedOn w:val="Fuentedeprrafopredeter"/>
    <w:uiPriority w:val="99"/>
    <w:semiHidden/>
    <w:unhideWhenUsed/>
    <w:rsid w:val="002513F1"/>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363E5"/>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1783-781C-464F-8F41-D088ACCD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6706</Words>
  <Characters>36886</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2022-05-18T02:38:00Z</dcterms:created>
  <dcterms:modified xsi:type="dcterms:W3CDTF">2022-05-18T02:38:00Z</dcterms:modified>
</cp:coreProperties>
</file>