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7D17" w:rsidRDefault="00207D17" w:rsidP="00C673EE">
      <w:pPr>
        <w:tabs>
          <w:tab w:val="left" w:pos="3465"/>
        </w:tabs>
        <w:spacing w:line="360" w:lineRule="auto"/>
        <w:jc w:val="both"/>
        <w:rPr>
          <w:rFonts w:ascii="Palatino Linotype" w:hAnsi="Palatino Linotype"/>
        </w:rPr>
      </w:pPr>
      <w:r w:rsidRPr="00C673EE">
        <w:rPr>
          <w:rFonts w:ascii="Palatino Linotype" w:hAnsi="Palatino Linotype"/>
        </w:rPr>
        <w:t>Resolución del Pleno del Instituto de Transparencia, Acceso a la Información Pública y Protección de Datos Personales del Estado de México y Municipios, con domicilio en Metepec, Estado de Méx</w:t>
      </w:r>
      <w:r w:rsidR="005023FA">
        <w:rPr>
          <w:rFonts w:ascii="Palatino Linotype" w:hAnsi="Palatino Linotype"/>
        </w:rPr>
        <w:t>ico; de veintinueve (29) de junio</w:t>
      </w:r>
      <w:r w:rsidRPr="00C673EE">
        <w:rPr>
          <w:rFonts w:ascii="Palatino Linotype" w:hAnsi="Palatino Linotype"/>
        </w:rPr>
        <w:t xml:space="preserve"> de dos mil veintidós.</w:t>
      </w:r>
    </w:p>
    <w:p w:rsidR="00C673EE" w:rsidRPr="00C673EE" w:rsidRDefault="00C673EE" w:rsidP="00C673EE">
      <w:pPr>
        <w:tabs>
          <w:tab w:val="left" w:pos="3465"/>
        </w:tabs>
        <w:spacing w:line="360" w:lineRule="auto"/>
        <w:jc w:val="both"/>
        <w:rPr>
          <w:rFonts w:ascii="Palatino Linotype" w:hAnsi="Palatino Linotype"/>
        </w:rPr>
      </w:pPr>
    </w:p>
    <w:p w:rsidR="00207D17" w:rsidRDefault="00207D17" w:rsidP="00C673EE">
      <w:pPr>
        <w:spacing w:line="360" w:lineRule="auto"/>
        <w:jc w:val="both"/>
        <w:rPr>
          <w:rFonts w:ascii="Palatino Linotype" w:hAnsi="Palatino Linotype"/>
        </w:rPr>
      </w:pPr>
      <w:r w:rsidRPr="00C673EE">
        <w:rPr>
          <w:rFonts w:ascii="Palatino Linotype" w:hAnsi="Palatino Linotype"/>
          <w:b/>
        </w:rPr>
        <w:t>VISTO</w:t>
      </w:r>
      <w:r w:rsidRPr="00C673EE">
        <w:rPr>
          <w:rFonts w:ascii="Palatino Linotype" w:hAnsi="Palatino Linotype"/>
        </w:rPr>
        <w:t xml:space="preserve"> el expediente electrónico formado con motivo del recurso de revisión </w:t>
      </w:r>
      <w:r w:rsidR="005023FA">
        <w:rPr>
          <w:rFonts w:ascii="Palatino Linotype" w:hAnsi="Palatino Linotype"/>
          <w:b/>
        </w:rPr>
        <w:t>08818</w:t>
      </w:r>
      <w:r w:rsidRPr="00C673EE">
        <w:rPr>
          <w:rFonts w:ascii="Palatino Linotype" w:hAnsi="Palatino Linotype"/>
          <w:b/>
        </w:rPr>
        <w:t>/INFOEM/IP/RR/2021</w:t>
      </w:r>
      <w:r w:rsidRPr="00C673EE">
        <w:rPr>
          <w:rFonts w:ascii="Palatino Linotype" w:hAnsi="Palatino Linotype" w:cs="Arial"/>
          <w:b/>
          <w:bCs/>
        </w:rPr>
        <w:t xml:space="preserve">; </w:t>
      </w:r>
      <w:r w:rsidRPr="00C673EE">
        <w:rPr>
          <w:rFonts w:ascii="Palatino Linotype" w:hAnsi="Palatino Linotype"/>
        </w:rPr>
        <w:t xml:space="preserve">promovido por </w:t>
      </w:r>
      <w:r w:rsidR="004F386D">
        <w:rPr>
          <w:rFonts w:ascii="Palatino Linotype" w:hAnsi="Palatino Linotype"/>
          <w:b/>
          <w:szCs w:val="22"/>
        </w:rPr>
        <w:t>XXXX</w:t>
      </w:r>
      <w:r w:rsidRPr="00C673EE">
        <w:rPr>
          <w:rFonts w:ascii="Palatino Linotype" w:hAnsi="Palatino Linotype"/>
          <w:szCs w:val="22"/>
        </w:rPr>
        <w:t xml:space="preserve">, quien </w:t>
      </w:r>
      <w:r w:rsidRPr="00C673EE">
        <w:rPr>
          <w:rFonts w:ascii="Palatino Linotype" w:hAnsi="Palatino Linotype"/>
        </w:rPr>
        <w:t xml:space="preserve">en lo sucesivo se le identificará </w:t>
      </w:r>
      <w:r w:rsidRPr="00C673EE">
        <w:rPr>
          <w:rFonts w:ascii="Palatino Linotype" w:hAnsi="Palatino Linotype" w:cs="Arial"/>
        </w:rPr>
        <w:t xml:space="preserve">como  </w:t>
      </w:r>
      <w:r w:rsidRPr="00C673EE">
        <w:rPr>
          <w:rFonts w:ascii="Palatino Linotype" w:hAnsi="Palatino Linotype" w:cs="Arial"/>
          <w:b/>
        </w:rPr>
        <w:t>RECURRENTE</w:t>
      </w:r>
      <w:r w:rsidRPr="00C673EE">
        <w:rPr>
          <w:rFonts w:ascii="Palatino Linotype" w:hAnsi="Palatino Linotype" w:cs="Arial"/>
        </w:rPr>
        <w:t>, en contra de la respuesta del</w:t>
      </w:r>
      <w:r w:rsidRPr="00C673EE">
        <w:rPr>
          <w:rFonts w:ascii="Palatino Linotype" w:hAnsi="Palatino Linotype"/>
        </w:rPr>
        <w:t xml:space="preserve"> </w:t>
      </w:r>
      <w:r w:rsidR="005023FA">
        <w:rPr>
          <w:rFonts w:ascii="Palatino Linotype" w:eastAsia="Calibri" w:hAnsi="Palatino Linotype" w:cs="Tahoma"/>
          <w:b/>
          <w:szCs w:val="22"/>
          <w:lang w:eastAsia="en-US"/>
        </w:rPr>
        <w:t>Ayuntamiento de Aculco</w:t>
      </w:r>
      <w:r w:rsidRPr="00C673EE">
        <w:rPr>
          <w:rFonts w:ascii="Palatino Linotype" w:hAnsi="Palatino Linotype"/>
          <w:b/>
        </w:rPr>
        <w:t xml:space="preserve">, </w:t>
      </w:r>
      <w:r w:rsidRPr="00C673EE">
        <w:rPr>
          <w:rFonts w:ascii="Palatino Linotype" w:hAnsi="Palatino Linotype"/>
        </w:rPr>
        <w:t>en lo sucesivo el</w:t>
      </w:r>
      <w:r w:rsidRPr="00C673EE">
        <w:rPr>
          <w:rFonts w:ascii="Palatino Linotype" w:hAnsi="Palatino Linotype"/>
          <w:b/>
        </w:rPr>
        <w:t xml:space="preserve"> SUJETO OBLIGADO, </w:t>
      </w:r>
      <w:r w:rsidRPr="00C673EE">
        <w:rPr>
          <w:rFonts w:ascii="Palatino Linotype" w:hAnsi="Palatino Linotype"/>
        </w:rPr>
        <w:t>se procede a dictar la presente resolución, con base en los siguientes:</w:t>
      </w:r>
    </w:p>
    <w:p w:rsidR="00C673EE" w:rsidRPr="00C673EE" w:rsidRDefault="00C673EE" w:rsidP="00C673EE">
      <w:pPr>
        <w:spacing w:line="360" w:lineRule="auto"/>
        <w:jc w:val="both"/>
        <w:rPr>
          <w:rFonts w:ascii="Palatino Linotype" w:hAnsi="Palatino Linotype"/>
          <w:b/>
        </w:rPr>
      </w:pPr>
    </w:p>
    <w:p w:rsidR="00207D17" w:rsidRDefault="00207D17" w:rsidP="00C673EE">
      <w:pPr>
        <w:pStyle w:val="Ttulo1"/>
        <w:spacing w:before="0" w:line="360" w:lineRule="auto"/>
        <w:jc w:val="center"/>
        <w:rPr>
          <w:rFonts w:ascii="Palatino Linotype" w:hAnsi="Palatino Linotype"/>
          <w:b/>
          <w:color w:val="auto"/>
          <w:sz w:val="24"/>
        </w:rPr>
      </w:pPr>
      <w:bookmarkStart w:id="0" w:name="_Toc461555884"/>
      <w:bookmarkStart w:id="1" w:name="_Toc466371847"/>
      <w:bookmarkStart w:id="2" w:name="_Toc81233123"/>
      <w:r w:rsidRPr="00C673EE">
        <w:rPr>
          <w:rFonts w:ascii="Palatino Linotype" w:hAnsi="Palatino Linotype"/>
          <w:b/>
          <w:color w:val="auto"/>
          <w:sz w:val="24"/>
        </w:rPr>
        <w:t>ANTECEDENTES</w:t>
      </w:r>
      <w:bookmarkEnd w:id="0"/>
      <w:bookmarkEnd w:id="1"/>
      <w:bookmarkEnd w:id="2"/>
    </w:p>
    <w:p w:rsidR="00C673EE" w:rsidRPr="00C673EE" w:rsidRDefault="00C673EE" w:rsidP="00C673EE"/>
    <w:p w:rsidR="00207D17" w:rsidRPr="00C673EE" w:rsidRDefault="005023FA" w:rsidP="00C673EE">
      <w:pPr>
        <w:pStyle w:val="Prrafodelista"/>
        <w:numPr>
          <w:ilvl w:val="0"/>
          <w:numId w:val="2"/>
        </w:numPr>
        <w:tabs>
          <w:tab w:val="left" w:pos="284"/>
        </w:tabs>
        <w:spacing w:line="360" w:lineRule="auto"/>
        <w:ind w:left="0" w:firstLine="0"/>
        <w:jc w:val="both"/>
        <w:rPr>
          <w:rFonts w:ascii="Palatino Linotype" w:eastAsia="Calibri" w:hAnsi="Palatino Linotype" w:cs="Arial"/>
          <w:sz w:val="24"/>
          <w:lang w:val="es-ES"/>
        </w:rPr>
      </w:pPr>
      <w:r>
        <w:rPr>
          <w:rFonts w:ascii="Palatino Linotype" w:eastAsia="Calibri" w:hAnsi="Palatino Linotype" w:cs="Arial"/>
          <w:sz w:val="24"/>
          <w:lang w:val="es-ES"/>
        </w:rPr>
        <w:t>El veintinueve (29) de marzo de dos mil veintidós</w:t>
      </w:r>
      <w:r w:rsidR="00207D17" w:rsidRPr="00C673EE">
        <w:rPr>
          <w:rFonts w:ascii="Palatino Linotype" w:hAnsi="Palatino Linotype"/>
          <w:b/>
          <w:sz w:val="24"/>
        </w:rPr>
        <w:t xml:space="preserve">, </w:t>
      </w:r>
      <w:r w:rsidR="00207D17" w:rsidRPr="00C673EE">
        <w:rPr>
          <w:rFonts w:ascii="Palatino Linotype" w:eastAsia="Calibri" w:hAnsi="Palatino Linotype" w:cs="Arial"/>
          <w:sz w:val="24"/>
          <w:lang w:val="es-ES"/>
        </w:rPr>
        <w:t xml:space="preserve">se presentó ante el </w:t>
      </w:r>
      <w:r w:rsidR="00207D17" w:rsidRPr="00C673EE">
        <w:rPr>
          <w:rFonts w:ascii="Palatino Linotype" w:eastAsia="Calibri" w:hAnsi="Palatino Linotype" w:cs="Arial"/>
          <w:b/>
          <w:sz w:val="24"/>
          <w:lang w:val="es-ES"/>
        </w:rPr>
        <w:t>SUJETO OBLIGADO</w:t>
      </w:r>
      <w:r w:rsidR="00207D17" w:rsidRPr="00C673EE">
        <w:rPr>
          <w:rFonts w:ascii="Palatino Linotype" w:eastAsia="Calibri" w:hAnsi="Palatino Linotype" w:cs="Arial"/>
          <w:sz w:val="24"/>
        </w:rPr>
        <w:t xml:space="preserve"> vía </w:t>
      </w:r>
      <w:r w:rsidR="00207D17" w:rsidRPr="00C673EE">
        <w:rPr>
          <w:rFonts w:ascii="Palatino Linotype" w:eastAsia="Calibri" w:hAnsi="Palatino Linotype" w:cs="Arial"/>
          <w:sz w:val="24"/>
          <w:lang w:val="es-ES"/>
        </w:rPr>
        <w:t xml:space="preserve">Sistema de Acceso a la Información Mexiquense </w:t>
      </w:r>
      <w:r w:rsidR="00207D17" w:rsidRPr="00C673EE">
        <w:rPr>
          <w:rFonts w:ascii="Palatino Linotype" w:eastAsia="Calibri" w:hAnsi="Palatino Linotype" w:cs="Arial"/>
          <w:b/>
          <w:sz w:val="24"/>
          <w:lang w:val="es-ES"/>
        </w:rPr>
        <w:t>SAIMEX</w:t>
      </w:r>
      <w:r w:rsidR="00207D17" w:rsidRPr="00C673EE">
        <w:rPr>
          <w:rFonts w:ascii="Palatino Linotype" w:eastAsia="Calibri" w:hAnsi="Palatino Linotype" w:cs="Arial"/>
          <w:sz w:val="24"/>
          <w:lang w:val="es-ES"/>
        </w:rPr>
        <w:t xml:space="preserve">, la solicitud de información pública registrada con el número </w:t>
      </w:r>
      <w:r w:rsidRPr="005023FA">
        <w:rPr>
          <w:rFonts w:ascii="Palatino Linotype" w:hAnsi="Palatino Linotype"/>
          <w:b/>
          <w:bCs/>
          <w:color w:val="000000" w:themeColor="text1"/>
          <w:sz w:val="24"/>
        </w:rPr>
        <w:t>00065/ACULCO/IP/2022</w:t>
      </w:r>
      <w:r>
        <w:rPr>
          <w:rFonts w:ascii="Palatino Linotype" w:hAnsi="Palatino Linotype"/>
          <w:b/>
          <w:bCs/>
          <w:color w:val="000000" w:themeColor="text1"/>
          <w:sz w:val="24"/>
        </w:rPr>
        <w:t xml:space="preserve"> </w:t>
      </w:r>
      <w:r w:rsidR="00207D17" w:rsidRPr="00C673EE">
        <w:rPr>
          <w:rFonts w:ascii="Palatino Linotype" w:eastAsia="Calibri" w:hAnsi="Palatino Linotype" w:cs="Arial"/>
          <w:sz w:val="24"/>
          <w:lang w:val="es-ES"/>
        </w:rPr>
        <w:t>mediante la cual solicitó:</w:t>
      </w:r>
    </w:p>
    <w:p w:rsidR="00207D17" w:rsidRPr="00C673EE" w:rsidRDefault="00207D17" w:rsidP="00C673EE">
      <w:pPr>
        <w:pStyle w:val="Prrafodelista"/>
        <w:spacing w:line="360" w:lineRule="auto"/>
        <w:ind w:left="360"/>
        <w:jc w:val="both"/>
        <w:rPr>
          <w:rFonts w:ascii="Palatino Linotype" w:hAnsi="Palatino Linotype"/>
          <w:i/>
          <w:color w:val="000000"/>
          <w:szCs w:val="22"/>
        </w:rPr>
      </w:pPr>
    </w:p>
    <w:p w:rsidR="00207D17" w:rsidRPr="00C673EE" w:rsidRDefault="00207D17" w:rsidP="00C673EE">
      <w:pPr>
        <w:pStyle w:val="Prrafodelista"/>
        <w:spacing w:line="360" w:lineRule="auto"/>
        <w:ind w:left="567" w:right="567"/>
        <w:jc w:val="both"/>
        <w:rPr>
          <w:rFonts w:ascii="Palatino Linotype" w:hAnsi="Palatino Linotype"/>
          <w:color w:val="000000"/>
        </w:rPr>
      </w:pPr>
      <w:r w:rsidRPr="00C673EE">
        <w:rPr>
          <w:rFonts w:ascii="Palatino Linotype" w:hAnsi="Palatino Linotype"/>
          <w:i/>
          <w:color w:val="000000"/>
          <w:szCs w:val="22"/>
        </w:rPr>
        <w:t>“</w:t>
      </w:r>
      <w:r w:rsidR="005023FA" w:rsidRPr="005023FA">
        <w:rPr>
          <w:rFonts w:ascii="Palatino Linotype" w:hAnsi="Palatino Linotype"/>
          <w:i/>
          <w:color w:val="000000"/>
          <w:szCs w:val="22"/>
        </w:rPr>
        <w:t>Respuesta a las siguientes preguntas:</w:t>
      </w:r>
      <w:r w:rsidRPr="00C673EE">
        <w:rPr>
          <w:rFonts w:ascii="Palatino Linotype" w:hAnsi="Palatino Linotype"/>
          <w:i/>
          <w:color w:val="000000"/>
        </w:rPr>
        <w:t>”</w:t>
      </w:r>
      <w:r w:rsidRPr="00C673EE">
        <w:rPr>
          <w:rFonts w:ascii="Palatino Linotype" w:hAnsi="Palatino Linotype"/>
          <w:color w:val="000000"/>
        </w:rPr>
        <w:t xml:space="preserve"> (Sic)</w:t>
      </w:r>
    </w:p>
    <w:p w:rsidR="007A668C" w:rsidRPr="00C673EE" w:rsidRDefault="007A668C" w:rsidP="00C673EE">
      <w:pPr>
        <w:pStyle w:val="Prrafodelista"/>
        <w:tabs>
          <w:tab w:val="left" w:pos="284"/>
        </w:tabs>
        <w:spacing w:line="360" w:lineRule="auto"/>
        <w:ind w:left="0"/>
        <w:jc w:val="both"/>
        <w:rPr>
          <w:rFonts w:ascii="Palatino Linotype" w:eastAsia="MS Mincho" w:hAnsi="Palatino Linotype"/>
        </w:rPr>
      </w:pPr>
    </w:p>
    <w:p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MS Mincho" w:hAnsi="Palatino Linotype"/>
          <w:sz w:val="24"/>
        </w:rPr>
      </w:pPr>
      <w:r w:rsidRPr="00C673EE">
        <w:rPr>
          <w:rFonts w:ascii="Palatino Linotype" w:eastAsia="Calibri" w:hAnsi="Palatino Linotype" w:cs="Arial"/>
          <w:sz w:val="24"/>
          <w:lang w:val="es-AR"/>
        </w:rPr>
        <w:t>Se señaló</w:t>
      </w:r>
      <w:r w:rsidRPr="00C673EE">
        <w:rPr>
          <w:rFonts w:ascii="Palatino Linotype" w:hAnsi="Palatino Linotype" w:cs="Arial"/>
          <w:sz w:val="24"/>
          <w:lang w:val="es-ES"/>
        </w:rPr>
        <w:t xml:space="preserve"> como modalidad de entrega de la información a través de </w:t>
      </w:r>
      <w:r w:rsidRPr="00C673EE">
        <w:rPr>
          <w:rFonts w:ascii="Palatino Linotype" w:hAnsi="Palatino Linotype" w:cs="Arial"/>
          <w:b/>
          <w:sz w:val="24"/>
          <w:lang w:val="es-ES"/>
        </w:rPr>
        <w:t>SAIMEX</w:t>
      </w:r>
      <w:r w:rsidRPr="00C673EE">
        <w:rPr>
          <w:rFonts w:ascii="Palatino Linotype" w:hAnsi="Palatino Linotype" w:cs="Arial"/>
          <w:sz w:val="24"/>
          <w:lang w:val="es-ES"/>
        </w:rPr>
        <w:t>.</w:t>
      </w:r>
    </w:p>
    <w:p w:rsidR="00207D17" w:rsidRPr="00C673EE" w:rsidRDefault="00207D17" w:rsidP="00C673EE">
      <w:pPr>
        <w:pStyle w:val="Prrafodelista"/>
        <w:tabs>
          <w:tab w:val="left" w:pos="284"/>
        </w:tabs>
        <w:spacing w:line="360" w:lineRule="auto"/>
        <w:ind w:left="0" w:right="34"/>
        <w:jc w:val="both"/>
        <w:rPr>
          <w:rFonts w:ascii="Palatino Linotype" w:hAnsi="Palatino Linotype" w:cs="Arial"/>
          <w:sz w:val="24"/>
          <w:szCs w:val="22"/>
        </w:rPr>
      </w:pPr>
    </w:p>
    <w:p w:rsidR="005023FA" w:rsidRPr="005023FA" w:rsidRDefault="005023FA" w:rsidP="00C673EE">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Pr>
          <w:rFonts w:ascii="Palatino Linotype" w:hAnsi="Palatino Linotype" w:cs="Arial"/>
          <w:sz w:val="24"/>
          <w:szCs w:val="22"/>
        </w:rPr>
        <w:t>El cuatro (04) de abril de dos mil veintidós, el Sujeto obligado realizó una solicitud de aclaración en el siguiente sentido:</w:t>
      </w:r>
    </w:p>
    <w:p w:rsidR="005023FA" w:rsidRDefault="005023FA" w:rsidP="005023FA">
      <w:pPr>
        <w:pStyle w:val="Prrafodelista"/>
        <w:tabs>
          <w:tab w:val="left" w:pos="284"/>
        </w:tabs>
        <w:spacing w:line="360" w:lineRule="auto"/>
        <w:ind w:left="0" w:right="34"/>
        <w:jc w:val="both"/>
        <w:rPr>
          <w:rFonts w:ascii="Palatino Linotype" w:hAnsi="Palatino Linotype" w:cs="Arial"/>
          <w:i/>
          <w:sz w:val="24"/>
          <w:szCs w:val="22"/>
        </w:rPr>
      </w:pPr>
    </w:p>
    <w:tbl>
      <w:tblPr>
        <w:tblW w:w="7330" w:type="dxa"/>
        <w:jc w:val="center"/>
        <w:tblCellSpacing w:w="0" w:type="dxa"/>
        <w:tblCellMar>
          <w:left w:w="0" w:type="dxa"/>
          <w:right w:w="0" w:type="dxa"/>
        </w:tblCellMar>
        <w:tblLook w:val="04A0" w:firstRow="1" w:lastRow="0" w:firstColumn="1" w:lastColumn="0" w:noHBand="0" w:noVBand="1"/>
      </w:tblPr>
      <w:tblGrid>
        <w:gridCol w:w="7330"/>
      </w:tblGrid>
      <w:tr w:rsidR="005023FA" w:rsidRPr="005023FA" w:rsidTr="005023FA">
        <w:trPr>
          <w:trHeight w:val="156"/>
          <w:tblCellSpacing w:w="0" w:type="dxa"/>
          <w:jc w:val="center"/>
        </w:trPr>
        <w:tc>
          <w:tcPr>
            <w:tcW w:w="0" w:type="auto"/>
            <w:vAlign w:val="center"/>
            <w:hideMark/>
          </w:tcPr>
          <w:p w:rsidR="005023FA" w:rsidRPr="005023FA" w:rsidRDefault="005023FA" w:rsidP="005023FA">
            <w:pPr>
              <w:rPr>
                <w:sz w:val="20"/>
                <w:szCs w:val="20"/>
              </w:rPr>
            </w:pPr>
          </w:p>
        </w:tc>
      </w:tr>
      <w:tr w:rsidR="005023FA" w:rsidRPr="005023FA" w:rsidTr="005023FA">
        <w:trPr>
          <w:trHeight w:val="468"/>
          <w:tblCellSpacing w:w="0" w:type="dxa"/>
          <w:jc w:val="center"/>
        </w:trPr>
        <w:tc>
          <w:tcPr>
            <w:tcW w:w="0" w:type="auto"/>
            <w:vAlign w:val="center"/>
            <w:hideMark/>
          </w:tcPr>
          <w:p w:rsidR="005023FA" w:rsidRPr="005023FA" w:rsidRDefault="005023FA" w:rsidP="005023FA">
            <w:pPr>
              <w:rPr>
                <w:sz w:val="20"/>
                <w:szCs w:val="20"/>
              </w:rPr>
            </w:pPr>
          </w:p>
        </w:tc>
      </w:tr>
      <w:tr w:rsidR="005023FA" w:rsidRPr="005023FA" w:rsidTr="005023FA">
        <w:trPr>
          <w:trHeight w:val="312"/>
          <w:tblCellSpacing w:w="0" w:type="dxa"/>
          <w:jc w:val="center"/>
        </w:trPr>
        <w:tc>
          <w:tcPr>
            <w:tcW w:w="0" w:type="auto"/>
            <w:vAlign w:val="center"/>
            <w:hideMark/>
          </w:tcPr>
          <w:p w:rsidR="005023FA" w:rsidRPr="005023FA" w:rsidRDefault="005023FA" w:rsidP="005023FA">
            <w:pPr>
              <w:jc w:val="right"/>
              <w:rPr>
                <w:rFonts w:ascii="Palatino Linotype" w:hAnsi="Palatino Linotype"/>
                <w:i/>
                <w:sz w:val="22"/>
              </w:rPr>
            </w:pPr>
            <w:r w:rsidRPr="005023FA">
              <w:rPr>
                <w:rFonts w:ascii="Palatino Linotype" w:hAnsi="Palatino Linotype"/>
                <w:i/>
                <w:sz w:val="22"/>
                <w:szCs w:val="18"/>
              </w:rPr>
              <w:lastRenderedPageBreak/>
              <w:t>Aculco, México a 04 de Abril de 2022</w:t>
            </w:r>
          </w:p>
        </w:tc>
      </w:tr>
      <w:tr w:rsidR="005023FA" w:rsidRPr="005023FA" w:rsidTr="005023FA">
        <w:trPr>
          <w:trHeight w:val="312"/>
          <w:tblCellSpacing w:w="0" w:type="dxa"/>
          <w:jc w:val="center"/>
        </w:trPr>
        <w:tc>
          <w:tcPr>
            <w:tcW w:w="0" w:type="auto"/>
            <w:vAlign w:val="center"/>
            <w:hideMark/>
          </w:tcPr>
          <w:p w:rsidR="005023FA" w:rsidRPr="005023FA" w:rsidRDefault="005023FA" w:rsidP="005023FA">
            <w:pPr>
              <w:jc w:val="right"/>
              <w:rPr>
                <w:rFonts w:ascii="Palatino Linotype" w:hAnsi="Palatino Linotype"/>
                <w:i/>
                <w:sz w:val="22"/>
              </w:rPr>
            </w:pPr>
            <w:r w:rsidRPr="005023FA">
              <w:rPr>
                <w:rFonts w:ascii="Palatino Linotype" w:hAnsi="Palatino Linotype"/>
                <w:i/>
                <w:sz w:val="22"/>
                <w:szCs w:val="18"/>
              </w:rPr>
              <w:t>Nombre del solicitante: C. Solicitante</w:t>
            </w:r>
          </w:p>
        </w:tc>
      </w:tr>
      <w:tr w:rsidR="005023FA" w:rsidRPr="005023FA" w:rsidTr="005023FA">
        <w:trPr>
          <w:trHeight w:val="312"/>
          <w:tblCellSpacing w:w="0" w:type="dxa"/>
          <w:jc w:val="center"/>
        </w:trPr>
        <w:tc>
          <w:tcPr>
            <w:tcW w:w="0" w:type="auto"/>
            <w:vAlign w:val="center"/>
            <w:hideMark/>
          </w:tcPr>
          <w:p w:rsidR="005023FA" w:rsidRPr="005023FA" w:rsidRDefault="005023FA" w:rsidP="005023FA">
            <w:pPr>
              <w:jc w:val="right"/>
              <w:rPr>
                <w:rFonts w:ascii="Palatino Linotype" w:hAnsi="Palatino Linotype"/>
                <w:i/>
                <w:sz w:val="22"/>
              </w:rPr>
            </w:pPr>
            <w:r w:rsidRPr="005023FA">
              <w:rPr>
                <w:rFonts w:ascii="Palatino Linotype" w:hAnsi="Palatino Linotype"/>
                <w:i/>
                <w:sz w:val="22"/>
                <w:szCs w:val="18"/>
              </w:rPr>
              <w:t>Folio de la solicitud: 00065/ACULCO/IP/2022</w:t>
            </w:r>
          </w:p>
        </w:tc>
      </w:tr>
      <w:tr w:rsidR="005023FA" w:rsidRPr="005023FA" w:rsidTr="005023FA">
        <w:trPr>
          <w:trHeight w:val="468"/>
          <w:tblCellSpacing w:w="0" w:type="dxa"/>
          <w:jc w:val="center"/>
        </w:trPr>
        <w:tc>
          <w:tcPr>
            <w:tcW w:w="0" w:type="auto"/>
            <w:vAlign w:val="center"/>
            <w:hideMark/>
          </w:tcPr>
          <w:p w:rsidR="005023FA" w:rsidRPr="005023FA" w:rsidRDefault="005023FA" w:rsidP="005023FA">
            <w:pPr>
              <w:jc w:val="right"/>
              <w:rPr>
                <w:rFonts w:ascii="Palatino Linotype" w:hAnsi="Palatino Linotype"/>
                <w:i/>
                <w:sz w:val="22"/>
              </w:rPr>
            </w:pP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jc w:val="both"/>
              <w:rPr>
                <w:rFonts w:ascii="Palatino Linotype" w:hAnsi="Palatino Linotype"/>
                <w:i/>
                <w:sz w:val="22"/>
              </w:rPr>
            </w:pPr>
            <w:r w:rsidRPr="005023FA">
              <w:rPr>
                <w:rFonts w:ascii="Palatino Linotype" w:hAnsi="Palatino Linotype"/>
                <w:i/>
                <w:sz w:val="22"/>
                <w:szCs w:val="18"/>
              </w:rPr>
              <w:t>Con fundamento en el articulo 159 de la Ley de Transparencia y Acceso a la Información Pública del Estado de México y Municipios, se le requiere para que dentro del plazo de diez días hábiles realice lo siguiente:</w:t>
            </w:r>
          </w:p>
        </w:tc>
      </w:tr>
      <w:tr w:rsidR="005023FA" w:rsidRPr="005023FA" w:rsidTr="005023FA">
        <w:trPr>
          <w:trHeight w:val="390"/>
          <w:tblCellSpacing w:w="0" w:type="dxa"/>
          <w:jc w:val="center"/>
        </w:trPr>
        <w:tc>
          <w:tcPr>
            <w:tcW w:w="0" w:type="auto"/>
            <w:vAlign w:val="center"/>
            <w:hideMark/>
          </w:tcPr>
          <w:p w:rsidR="005023FA" w:rsidRPr="005023FA" w:rsidRDefault="005023FA" w:rsidP="005023FA">
            <w:pPr>
              <w:jc w:val="both"/>
              <w:rPr>
                <w:rFonts w:ascii="Palatino Linotype" w:hAnsi="Palatino Linotype"/>
                <w:i/>
                <w:sz w:val="22"/>
              </w:rPr>
            </w:pP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jc w:val="both"/>
              <w:rPr>
                <w:rFonts w:ascii="Palatino Linotype" w:hAnsi="Palatino Linotype"/>
                <w:i/>
                <w:sz w:val="22"/>
              </w:rPr>
            </w:pPr>
            <w:r w:rsidRPr="005023FA">
              <w:rPr>
                <w:rFonts w:ascii="Palatino Linotype" w:hAnsi="Palatino Linotype"/>
                <w:i/>
                <w:sz w:val="22"/>
                <w:szCs w:val="18"/>
              </w:rPr>
              <w:t>Buenos días, sería tan amable de colocar las preguntas de las cuales desea tener información, ya que su solicitud con número de folio 00065/ACULCO/IP/2022, no se colocaron dichas preguntas.</w:t>
            </w:r>
          </w:p>
        </w:tc>
      </w:tr>
      <w:tr w:rsidR="005023FA" w:rsidRPr="005023FA" w:rsidTr="005023FA">
        <w:trPr>
          <w:trHeight w:val="390"/>
          <w:tblCellSpacing w:w="0" w:type="dxa"/>
          <w:jc w:val="center"/>
        </w:trPr>
        <w:tc>
          <w:tcPr>
            <w:tcW w:w="0" w:type="auto"/>
            <w:vAlign w:val="center"/>
            <w:hideMark/>
          </w:tcPr>
          <w:p w:rsidR="005023FA" w:rsidRPr="005023FA" w:rsidRDefault="005023FA" w:rsidP="005023FA">
            <w:pPr>
              <w:jc w:val="both"/>
              <w:rPr>
                <w:rFonts w:ascii="Palatino Linotype" w:hAnsi="Palatino Linotype"/>
                <w:i/>
                <w:sz w:val="22"/>
              </w:rPr>
            </w:pP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jc w:val="both"/>
              <w:rPr>
                <w:rFonts w:ascii="Palatino Linotype" w:hAnsi="Palatino Linotype"/>
                <w:i/>
                <w:sz w:val="22"/>
              </w:rPr>
            </w:pPr>
            <w:r w:rsidRPr="005023FA">
              <w:rPr>
                <w:rFonts w:ascii="Palatino Linotype" w:hAnsi="Palatino Linotype"/>
                <w:i/>
                <w:sz w:val="22"/>
                <w:szCs w:val="18"/>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rPr>
                <w:rFonts w:ascii="Palatino Linotype" w:hAnsi="Palatino Linotype"/>
                <w:i/>
                <w:sz w:val="22"/>
              </w:rPr>
            </w:pP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rPr>
                <w:rFonts w:ascii="Palatino Linotype" w:hAnsi="Palatino Linotype"/>
                <w:i/>
                <w:sz w:val="22"/>
              </w:rPr>
            </w:pPr>
            <w:r w:rsidRPr="005023FA">
              <w:rPr>
                <w:rFonts w:ascii="Palatino Linotype" w:hAnsi="Palatino Linotype"/>
                <w:i/>
                <w:sz w:val="22"/>
                <w:szCs w:val="18"/>
              </w:rPr>
              <w:t>ATENTAMENTE</w:t>
            </w:r>
          </w:p>
        </w:tc>
      </w:tr>
      <w:tr w:rsidR="005023FA" w:rsidRPr="005023FA" w:rsidTr="005023FA">
        <w:trPr>
          <w:trHeight w:val="234"/>
          <w:tblCellSpacing w:w="0" w:type="dxa"/>
          <w:jc w:val="center"/>
        </w:trPr>
        <w:tc>
          <w:tcPr>
            <w:tcW w:w="0" w:type="auto"/>
            <w:vAlign w:val="center"/>
            <w:hideMark/>
          </w:tcPr>
          <w:p w:rsidR="005023FA" w:rsidRPr="005023FA" w:rsidRDefault="005023FA" w:rsidP="005023FA">
            <w:pPr>
              <w:rPr>
                <w:rFonts w:ascii="Palatino Linotype" w:hAnsi="Palatino Linotype"/>
                <w:i/>
                <w:sz w:val="22"/>
              </w:rPr>
            </w:pPr>
          </w:p>
        </w:tc>
      </w:tr>
      <w:tr w:rsidR="005023FA" w:rsidRPr="005023FA" w:rsidTr="005023FA">
        <w:trPr>
          <w:trHeight w:val="156"/>
          <w:tblCellSpacing w:w="0" w:type="dxa"/>
          <w:jc w:val="center"/>
        </w:trPr>
        <w:tc>
          <w:tcPr>
            <w:tcW w:w="0" w:type="auto"/>
            <w:vAlign w:val="center"/>
            <w:hideMark/>
          </w:tcPr>
          <w:p w:rsidR="005023FA" w:rsidRPr="005023FA" w:rsidRDefault="005023FA" w:rsidP="005023FA">
            <w:pPr>
              <w:rPr>
                <w:rFonts w:ascii="Palatino Linotype" w:hAnsi="Palatino Linotype"/>
                <w:i/>
                <w:sz w:val="22"/>
              </w:rPr>
            </w:pPr>
            <w:r w:rsidRPr="005023FA">
              <w:rPr>
                <w:rFonts w:ascii="Palatino Linotype" w:hAnsi="Palatino Linotype"/>
                <w:i/>
                <w:sz w:val="22"/>
                <w:szCs w:val="18"/>
              </w:rPr>
              <w:t>LIC. MARIA DEL CARMEN YAÑEZ PEREZ</w:t>
            </w:r>
          </w:p>
        </w:tc>
      </w:tr>
    </w:tbl>
    <w:p w:rsidR="005023FA" w:rsidRPr="005023FA" w:rsidRDefault="005023FA" w:rsidP="005023FA">
      <w:pPr>
        <w:pStyle w:val="Prrafodelista"/>
        <w:tabs>
          <w:tab w:val="left" w:pos="284"/>
        </w:tabs>
        <w:spacing w:line="360" w:lineRule="auto"/>
        <w:ind w:left="0" w:right="34"/>
        <w:jc w:val="both"/>
        <w:rPr>
          <w:rFonts w:ascii="Palatino Linotype" w:hAnsi="Palatino Linotype" w:cs="Arial"/>
          <w:i/>
          <w:sz w:val="24"/>
          <w:szCs w:val="22"/>
        </w:rPr>
      </w:pPr>
    </w:p>
    <w:p w:rsidR="005023FA" w:rsidRPr="005023FA" w:rsidRDefault="005023FA" w:rsidP="005023FA">
      <w:pPr>
        <w:pStyle w:val="Prrafodelista"/>
        <w:rPr>
          <w:rFonts w:ascii="Palatino Linotype" w:eastAsia="Calibri" w:hAnsi="Palatino Linotype" w:cs="Arial"/>
          <w:sz w:val="24"/>
          <w:lang w:val="es-AR"/>
        </w:rPr>
      </w:pPr>
    </w:p>
    <w:p w:rsidR="005023FA" w:rsidRPr="005023FA" w:rsidRDefault="005023FA" w:rsidP="00C673EE">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Pr>
          <w:rFonts w:ascii="Palatino Linotype" w:hAnsi="Palatino Linotype" w:cs="Arial"/>
          <w:sz w:val="24"/>
          <w:szCs w:val="22"/>
        </w:rPr>
        <w:t>El veintidós (22) de abril de dos mil veintidós, el particular realizó la aclaración en el siguiente sentido:</w:t>
      </w:r>
    </w:p>
    <w:p w:rsidR="005023FA" w:rsidRDefault="005023FA" w:rsidP="005023FA">
      <w:pPr>
        <w:pStyle w:val="Prrafodelista"/>
        <w:tabs>
          <w:tab w:val="left" w:pos="284"/>
        </w:tabs>
        <w:spacing w:line="360" w:lineRule="auto"/>
        <w:ind w:left="0" w:right="34"/>
        <w:jc w:val="both"/>
        <w:rPr>
          <w:rFonts w:ascii="Palatino Linotype" w:hAnsi="Palatino Linotype" w:cs="Arial"/>
          <w:i/>
          <w:sz w:val="24"/>
          <w:szCs w:val="22"/>
        </w:rPr>
      </w:pPr>
    </w:p>
    <w:p w:rsidR="005023FA" w:rsidRPr="005023FA" w:rsidRDefault="005023FA" w:rsidP="005023FA">
      <w:pPr>
        <w:pStyle w:val="Prrafodelista"/>
        <w:tabs>
          <w:tab w:val="left" w:pos="284"/>
        </w:tabs>
        <w:spacing w:line="360" w:lineRule="auto"/>
        <w:ind w:left="851" w:right="822"/>
        <w:jc w:val="both"/>
        <w:rPr>
          <w:rFonts w:ascii="Palatino Linotype" w:hAnsi="Palatino Linotype"/>
          <w:i/>
          <w:color w:val="000000"/>
          <w:szCs w:val="14"/>
        </w:rPr>
      </w:pPr>
      <w:r>
        <w:rPr>
          <w:rFonts w:ascii="Palatino Linotype" w:hAnsi="Palatino Linotype"/>
          <w:i/>
          <w:color w:val="000000"/>
          <w:szCs w:val="14"/>
        </w:rPr>
        <w:t>“</w:t>
      </w:r>
      <w:r w:rsidRPr="005023FA">
        <w:rPr>
          <w:rFonts w:ascii="Palatino Linotype" w:hAnsi="Palatino Linotype"/>
          <w:i/>
          <w:color w:val="000000"/>
          <w:szCs w:val="14"/>
        </w:rPr>
        <w:t>Buenas noches, disculpe, solicito la información referente a las siguientes preguntas: Solicito saber cuáles bienes inmuebles ha adquirido el ayuntamiento, ¿cuál fue el costo de los mismos de enero del 2021 a la fecha? ¿Cuándo fueron ingresados al patrimonio municipal? Solicito copia de las actas y contratos ¿Qué bienes se han dado de baja del patrimonio municipal desde enero de 2022? Especificando cada bien y motivos de la baja ¿Qué bienes inmuebles renta el h. ayuntamiento y que costo mensual tienen? Copia del contrato</w:t>
      </w:r>
      <w:r w:rsidR="00E00511">
        <w:rPr>
          <w:rFonts w:ascii="Palatino Linotype" w:hAnsi="Palatino Linotype"/>
          <w:i/>
          <w:color w:val="000000"/>
          <w:szCs w:val="14"/>
        </w:rPr>
        <w:t>” (Sic)</w:t>
      </w:r>
    </w:p>
    <w:p w:rsidR="005023FA" w:rsidRPr="005023FA" w:rsidRDefault="005023FA" w:rsidP="005023FA">
      <w:pPr>
        <w:pStyle w:val="Prrafodelista"/>
        <w:tabs>
          <w:tab w:val="left" w:pos="284"/>
        </w:tabs>
        <w:spacing w:line="360" w:lineRule="auto"/>
        <w:ind w:left="0" w:right="34"/>
        <w:jc w:val="both"/>
        <w:rPr>
          <w:rFonts w:ascii="Palatino Linotype" w:hAnsi="Palatino Linotype" w:cs="Arial"/>
          <w:i/>
          <w:sz w:val="24"/>
          <w:szCs w:val="22"/>
        </w:rPr>
      </w:pPr>
    </w:p>
    <w:p w:rsidR="00E00511" w:rsidRPr="00E00511" w:rsidRDefault="00E00511" w:rsidP="00C673EE">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Pr>
          <w:rFonts w:ascii="Palatino Linotype" w:hAnsi="Palatino Linotype" w:cs="Arial"/>
          <w:sz w:val="24"/>
          <w:szCs w:val="22"/>
        </w:rPr>
        <w:lastRenderedPageBreak/>
        <w:t>El veintiséis (26) de abril de dos mil veintidós, se realizó un requerimiento al Servidor Público habilitado.</w:t>
      </w:r>
    </w:p>
    <w:p w:rsidR="00E00511" w:rsidRPr="00E00511" w:rsidRDefault="00E00511" w:rsidP="00E00511">
      <w:pPr>
        <w:pStyle w:val="Prrafodelista"/>
        <w:tabs>
          <w:tab w:val="left" w:pos="284"/>
        </w:tabs>
        <w:spacing w:line="360" w:lineRule="auto"/>
        <w:ind w:left="0" w:right="34"/>
        <w:jc w:val="both"/>
        <w:rPr>
          <w:rFonts w:ascii="Palatino Linotype" w:hAnsi="Palatino Linotype" w:cs="Arial"/>
          <w:i/>
          <w:sz w:val="24"/>
          <w:szCs w:val="22"/>
        </w:rPr>
      </w:pPr>
    </w:p>
    <w:p w:rsidR="00207D17" w:rsidRPr="00C673EE" w:rsidRDefault="00207D17" w:rsidP="00C673EE">
      <w:pPr>
        <w:pStyle w:val="Prrafodelista"/>
        <w:numPr>
          <w:ilvl w:val="0"/>
          <w:numId w:val="2"/>
        </w:numPr>
        <w:tabs>
          <w:tab w:val="left" w:pos="284"/>
        </w:tabs>
        <w:spacing w:line="360" w:lineRule="auto"/>
        <w:ind w:left="0" w:right="34" w:firstLine="0"/>
        <w:jc w:val="both"/>
        <w:rPr>
          <w:rFonts w:ascii="Palatino Linotype" w:hAnsi="Palatino Linotype" w:cs="Arial"/>
          <w:i/>
          <w:sz w:val="24"/>
          <w:szCs w:val="22"/>
        </w:rPr>
      </w:pPr>
      <w:r w:rsidRPr="00C673EE">
        <w:rPr>
          <w:rFonts w:ascii="Palatino Linotype" w:eastAsia="Calibri" w:hAnsi="Palatino Linotype" w:cs="Arial"/>
          <w:sz w:val="24"/>
          <w:lang w:val="es-AR"/>
        </w:rPr>
        <w:t>E</w:t>
      </w:r>
      <w:r w:rsidR="00E00511">
        <w:rPr>
          <w:rFonts w:ascii="Palatino Linotype" w:eastAsia="Calibri" w:hAnsi="Palatino Linotype" w:cs="Arial"/>
          <w:sz w:val="24"/>
          <w:lang w:val="es-AR"/>
        </w:rPr>
        <w:t>l dieciséis (16) de mayo de dos mil veintidós</w:t>
      </w:r>
      <w:r w:rsidRPr="00C673EE">
        <w:rPr>
          <w:rFonts w:ascii="Palatino Linotype" w:eastAsia="Calibri" w:hAnsi="Palatino Linotype" w:cs="Arial"/>
          <w:sz w:val="24"/>
          <w:lang w:val="es-AR"/>
        </w:rPr>
        <w:t xml:space="preserve">, el </w:t>
      </w:r>
      <w:r w:rsidRPr="00C673EE">
        <w:rPr>
          <w:rFonts w:ascii="Palatino Linotype" w:eastAsia="Calibri" w:hAnsi="Palatino Linotype" w:cs="Arial"/>
          <w:b/>
          <w:sz w:val="24"/>
          <w:lang w:val="es-AR"/>
        </w:rPr>
        <w:t>SUJETO OBLIGADO</w:t>
      </w:r>
      <w:r w:rsidRPr="00C673EE">
        <w:rPr>
          <w:rFonts w:ascii="Palatino Linotype" w:eastAsia="Calibri" w:hAnsi="Palatino Linotype" w:cs="Arial"/>
          <w:bCs/>
          <w:sz w:val="24"/>
          <w:lang w:val="es-AR"/>
        </w:rPr>
        <w:t xml:space="preserve"> emitió su respuesta en los siguientes términos:</w:t>
      </w:r>
    </w:p>
    <w:p w:rsidR="00207D17" w:rsidRPr="00C673EE" w:rsidRDefault="00207D17" w:rsidP="00C673EE">
      <w:pPr>
        <w:pStyle w:val="Prrafodelista"/>
        <w:tabs>
          <w:tab w:val="left" w:pos="284"/>
        </w:tabs>
        <w:spacing w:line="360" w:lineRule="auto"/>
        <w:ind w:left="0" w:right="34"/>
        <w:jc w:val="both"/>
        <w:rPr>
          <w:rFonts w:ascii="Palatino Linotype" w:hAnsi="Palatino Linotype" w:cs="Arial"/>
          <w:i/>
          <w:sz w:val="24"/>
          <w:szCs w:val="22"/>
        </w:rPr>
      </w:pPr>
    </w:p>
    <w:p w:rsidR="00207D17" w:rsidRPr="00C673EE" w:rsidRDefault="00207D17" w:rsidP="00C673EE">
      <w:pPr>
        <w:pStyle w:val="Prrafodelista"/>
        <w:spacing w:line="360" w:lineRule="auto"/>
        <w:ind w:left="851" w:right="822"/>
        <w:jc w:val="both"/>
        <w:rPr>
          <w:rFonts w:ascii="Palatino Linotype" w:hAnsi="Palatino Linotype"/>
          <w:i/>
          <w:color w:val="000000"/>
          <w:szCs w:val="18"/>
        </w:rPr>
      </w:pPr>
      <w:r w:rsidRPr="00C673EE">
        <w:rPr>
          <w:rFonts w:ascii="Palatino Linotype" w:hAnsi="Palatino Linotype"/>
          <w:i/>
          <w:color w:val="000000"/>
          <w:szCs w:val="18"/>
        </w:rPr>
        <w:t>“…</w:t>
      </w:r>
    </w:p>
    <w:tbl>
      <w:tblPr>
        <w:tblW w:w="8862" w:type="dxa"/>
        <w:jc w:val="center"/>
        <w:tblCellSpacing w:w="0" w:type="dxa"/>
        <w:tblCellMar>
          <w:left w:w="0" w:type="dxa"/>
          <w:right w:w="0" w:type="dxa"/>
        </w:tblCellMar>
        <w:tblLook w:val="04A0" w:firstRow="1" w:lastRow="0" w:firstColumn="1" w:lastColumn="0" w:noHBand="0" w:noVBand="1"/>
      </w:tblPr>
      <w:tblGrid>
        <w:gridCol w:w="8862"/>
      </w:tblGrid>
      <w:tr w:rsidR="00E00511" w:rsidRPr="00E00511" w:rsidTr="00E00511">
        <w:trPr>
          <w:trHeight w:val="136"/>
          <w:tblCellSpacing w:w="0" w:type="dxa"/>
          <w:jc w:val="center"/>
        </w:trPr>
        <w:tc>
          <w:tcPr>
            <w:tcW w:w="0" w:type="auto"/>
            <w:vAlign w:val="center"/>
            <w:hideMark/>
          </w:tcPr>
          <w:p w:rsidR="00E00511" w:rsidRPr="00E00511" w:rsidRDefault="00E00511" w:rsidP="00E00511">
            <w:pPr>
              <w:pStyle w:val="Prrafodelista"/>
              <w:spacing w:line="360" w:lineRule="auto"/>
              <w:ind w:left="851" w:right="822"/>
              <w:jc w:val="both"/>
              <w:rPr>
                <w:rFonts w:ascii="Palatino Linotype" w:hAnsi="Palatino Linotype"/>
                <w:i/>
                <w:color w:val="000000"/>
                <w:szCs w:val="18"/>
              </w:rPr>
            </w:pPr>
            <w:r w:rsidRPr="00E00511">
              <w:rPr>
                <w:rFonts w:ascii="Palatino Linotype" w:hAnsi="Palatino Linotype"/>
                <w:i/>
                <w:color w:val="000000"/>
                <w:szCs w:val="18"/>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E00511" w:rsidRPr="00E00511" w:rsidTr="00E00511">
        <w:trPr>
          <w:trHeight w:val="340"/>
          <w:tblCellSpacing w:w="0" w:type="dxa"/>
          <w:jc w:val="center"/>
        </w:trPr>
        <w:tc>
          <w:tcPr>
            <w:tcW w:w="0" w:type="auto"/>
            <w:vAlign w:val="center"/>
            <w:hideMark/>
          </w:tcPr>
          <w:p w:rsidR="00E00511" w:rsidRPr="00E00511" w:rsidRDefault="00E00511" w:rsidP="00E00511">
            <w:pPr>
              <w:pStyle w:val="Prrafodelista"/>
              <w:spacing w:line="360" w:lineRule="auto"/>
              <w:ind w:left="851" w:right="822"/>
              <w:jc w:val="both"/>
              <w:rPr>
                <w:rFonts w:ascii="Palatino Linotype" w:hAnsi="Palatino Linotype"/>
                <w:i/>
                <w:color w:val="000000"/>
                <w:szCs w:val="18"/>
              </w:rPr>
            </w:pPr>
          </w:p>
        </w:tc>
      </w:tr>
      <w:tr w:rsidR="00E00511" w:rsidRPr="00E00511" w:rsidTr="00E00511">
        <w:trPr>
          <w:trHeight w:val="136"/>
          <w:tblCellSpacing w:w="0" w:type="dxa"/>
          <w:jc w:val="center"/>
        </w:trPr>
        <w:tc>
          <w:tcPr>
            <w:tcW w:w="0" w:type="auto"/>
            <w:vAlign w:val="center"/>
            <w:hideMark/>
          </w:tcPr>
          <w:p w:rsidR="00E00511" w:rsidRPr="00E00511" w:rsidRDefault="00E00511" w:rsidP="00E00511">
            <w:pPr>
              <w:pStyle w:val="Prrafodelista"/>
              <w:spacing w:line="360" w:lineRule="auto"/>
              <w:ind w:left="851" w:right="822"/>
              <w:jc w:val="both"/>
              <w:rPr>
                <w:rFonts w:ascii="Palatino Linotype" w:hAnsi="Palatino Linotype"/>
                <w:i/>
                <w:color w:val="000000"/>
                <w:szCs w:val="18"/>
              </w:rPr>
            </w:pPr>
            <w:r w:rsidRPr="00E00511">
              <w:rPr>
                <w:rFonts w:ascii="Palatino Linotype" w:hAnsi="Palatino Linotype"/>
                <w:i/>
                <w:color w:val="000000"/>
                <w:szCs w:val="18"/>
              </w:rPr>
              <w:t>Buenas tardes, anexo encontrará la información solicitada.</w:t>
            </w:r>
          </w:p>
        </w:tc>
      </w:tr>
      <w:tr w:rsidR="00E00511" w:rsidRPr="00E00511" w:rsidTr="00E00511">
        <w:trPr>
          <w:trHeight w:val="130"/>
          <w:tblCellSpacing w:w="0" w:type="dxa"/>
          <w:jc w:val="center"/>
        </w:trPr>
        <w:tc>
          <w:tcPr>
            <w:tcW w:w="0" w:type="auto"/>
            <w:vAlign w:val="center"/>
            <w:hideMark/>
          </w:tcPr>
          <w:p w:rsidR="00E00511" w:rsidRPr="00E00511" w:rsidRDefault="00E00511" w:rsidP="00E00511">
            <w:pPr>
              <w:pStyle w:val="Prrafodelista"/>
              <w:spacing w:line="360" w:lineRule="auto"/>
              <w:ind w:left="851" w:right="822"/>
              <w:jc w:val="both"/>
              <w:rPr>
                <w:rFonts w:ascii="Palatino Linotype" w:hAnsi="Palatino Linotype"/>
                <w:i/>
                <w:color w:val="000000"/>
                <w:szCs w:val="18"/>
              </w:rPr>
            </w:pPr>
          </w:p>
        </w:tc>
      </w:tr>
    </w:tbl>
    <w:p w:rsidR="00207D17" w:rsidRPr="00C673EE" w:rsidRDefault="00207D17" w:rsidP="00C673EE">
      <w:pPr>
        <w:pStyle w:val="Prrafodelista"/>
        <w:spacing w:line="360" w:lineRule="auto"/>
        <w:ind w:left="851" w:right="822"/>
        <w:jc w:val="both"/>
        <w:rPr>
          <w:rFonts w:ascii="Palatino Linotype" w:hAnsi="Palatino Linotype"/>
          <w:i/>
          <w:color w:val="000000"/>
          <w:szCs w:val="18"/>
        </w:rPr>
      </w:pPr>
      <w:r w:rsidRPr="00C673EE">
        <w:rPr>
          <w:rFonts w:ascii="Palatino Linotype" w:hAnsi="Palatino Linotype"/>
          <w:i/>
          <w:color w:val="000000"/>
          <w:szCs w:val="18"/>
        </w:rPr>
        <w:t>…”</w:t>
      </w:r>
    </w:p>
    <w:p w:rsidR="00207D17" w:rsidRPr="00C673EE" w:rsidRDefault="00207D17" w:rsidP="00C673EE">
      <w:pPr>
        <w:pStyle w:val="Prrafodelista"/>
        <w:spacing w:line="360" w:lineRule="auto"/>
        <w:ind w:left="0" w:right="34"/>
        <w:jc w:val="both"/>
        <w:rPr>
          <w:rFonts w:ascii="Palatino Linotype" w:hAnsi="Palatino Linotype" w:cs="Arial"/>
          <w:i/>
          <w:iCs/>
          <w:sz w:val="28"/>
          <w:szCs w:val="22"/>
        </w:rPr>
      </w:pPr>
    </w:p>
    <w:p w:rsidR="00207D17" w:rsidRDefault="00E00511" w:rsidP="00C673EE">
      <w:pPr>
        <w:pStyle w:val="Prrafodelista"/>
        <w:spacing w:line="360" w:lineRule="auto"/>
        <w:ind w:right="34"/>
        <w:jc w:val="both"/>
        <w:rPr>
          <w:rFonts w:ascii="Palatino Linotype" w:hAnsi="Palatino Linotype" w:cs="Arial"/>
          <w:sz w:val="24"/>
          <w:szCs w:val="22"/>
        </w:rPr>
      </w:pPr>
      <w:r>
        <w:rPr>
          <w:rFonts w:ascii="Palatino Linotype" w:hAnsi="Palatino Linotype" w:cs="Arial"/>
          <w:sz w:val="24"/>
          <w:szCs w:val="22"/>
        </w:rPr>
        <w:t>A la</w:t>
      </w:r>
      <w:r w:rsidR="00207D17" w:rsidRPr="00C673EE">
        <w:rPr>
          <w:rFonts w:ascii="Palatino Linotype" w:hAnsi="Palatino Linotype" w:cs="Arial"/>
          <w:sz w:val="24"/>
          <w:szCs w:val="22"/>
        </w:rPr>
        <w:t xml:space="preserve"> respuesta, </w:t>
      </w:r>
      <w:r w:rsidR="000363C0" w:rsidRPr="00C673EE">
        <w:rPr>
          <w:rFonts w:ascii="Palatino Linotype" w:hAnsi="Palatino Linotype" w:cs="Arial"/>
          <w:sz w:val="24"/>
          <w:szCs w:val="22"/>
        </w:rPr>
        <w:t xml:space="preserve">se </w:t>
      </w:r>
      <w:r>
        <w:rPr>
          <w:rFonts w:ascii="Palatino Linotype" w:hAnsi="Palatino Linotype" w:cs="Arial"/>
          <w:sz w:val="24"/>
          <w:szCs w:val="22"/>
        </w:rPr>
        <w:t>adjuntaron los documentos que se describen a continuación:</w:t>
      </w:r>
    </w:p>
    <w:p w:rsidR="00E44A58" w:rsidRDefault="00E44A58" w:rsidP="00C673EE">
      <w:pPr>
        <w:pStyle w:val="Prrafodelista"/>
        <w:spacing w:line="360" w:lineRule="auto"/>
        <w:ind w:right="34"/>
        <w:jc w:val="both"/>
        <w:rPr>
          <w:rFonts w:ascii="Palatino Linotype" w:hAnsi="Palatino Linotype" w:cs="Arial"/>
          <w:sz w:val="24"/>
          <w:szCs w:val="22"/>
        </w:rPr>
      </w:pPr>
    </w:p>
    <w:p w:rsidR="00E44A58" w:rsidRPr="0098599A" w:rsidRDefault="005E5E3F" w:rsidP="00E44A58">
      <w:pPr>
        <w:pStyle w:val="Prrafodelista"/>
        <w:numPr>
          <w:ilvl w:val="0"/>
          <w:numId w:val="8"/>
        </w:numPr>
        <w:spacing w:line="360" w:lineRule="auto"/>
        <w:ind w:right="34"/>
        <w:jc w:val="both"/>
        <w:rPr>
          <w:rFonts w:ascii="Palatino Linotype" w:hAnsi="Palatino Linotype" w:cs="Arial"/>
          <w:i/>
          <w:szCs w:val="22"/>
        </w:rPr>
      </w:pPr>
      <w:hyperlink r:id="rId7" w:tgtFrame="_blank" w:history="1">
        <w:r w:rsidR="00E44A58" w:rsidRPr="00E44A58">
          <w:rPr>
            <w:rStyle w:val="Hipervnculo"/>
            <w:rFonts w:ascii="Palatino Linotype" w:eastAsiaTheme="majorEastAsia" w:hAnsi="Palatino Linotype" w:cs="Arial"/>
            <w:b/>
            <w:bCs/>
            <w:color w:val="auto"/>
            <w:szCs w:val="22"/>
          </w:rPr>
          <w:t>0065-ACULCO-IP-2022.pdf</w:t>
        </w:r>
      </w:hyperlink>
      <w:r w:rsidR="00E44A58" w:rsidRPr="00E44A58">
        <w:rPr>
          <w:rFonts w:ascii="Palatino Linotype" w:hAnsi="Palatino Linotype"/>
          <w:szCs w:val="22"/>
        </w:rPr>
        <w:t>:</w:t>
      </w:r>
      <w:r w:rsidR="00E44A58">
        <w:rPr>
          <w:rFonts w:ascii="Palatino Linotype" w:hAnsi="Palatino Linotype"/>
          <w:szCs w:val="22"/>
        </w:rPr>
        <w:t xml:space="preserve"> oficio PMA/OCIM/087/2022 de fecha tres (03) de mayo de dos mil veintidós, suscrito por el Titular del Órgano de Control Interno, mediante el cual manifestó </w:t>
      </w:r>
      <w:r w:rsidR="00E44A58" w:rsidRPr="0098599A">
        <w:rPr>
          <w:rFonts w:ascii="Palatino Linotype" w:hAnsi="Palatino Linotype"/>
          <w:i/>
          <w:szCs w:val="22"/>
        </w:rPr>
        <w:t xml:space="preserve">“Le comento que dicha información puede ser consultada en el siguiente link </w:t>
      </w:r>
      <w:hyperlink r:id="rId8" w:history="1">
        <w:r w:rsidR="00E44A58" w:rsidRPr="0098599A">
          <w:rPr>
            <w:rStyle w:val="Hipervnculo"/>
            <w:rFonts w:ascii="Palatino Linotype" w:hAnsi="Palatino Linotype"/>
            <w:i/>
            <w:szCs w:val="22"/>
          </w:rPr>
          <w:t>https://www.ipomex.org.mx/ipo/lgt/indice/ACULCO/art_92_xxxiii:d.web</w:t>
        </w:r>
      </w:hyperlink>
      <w:r w:rsidR="00E44A58" w:rsidRPr="0098599A">
        <w:rPr>
          <w:rFonts w:ascii="Palatino Linotype" w:hAnsi="Palatino Linotype"/>
          <w:i/>
          <w:szCs w:val="22"/>
        </w:rPr>
        <w:t xml:space="preserve"> en el que encontrara todos los bienes inmuebles que ha adquirido el Ayuntamiento de Aculco desde el año 2021 a la fecha…”.</w:t>
      </w:r>
    </w:p>
    <w:p w:rsidR="00E44A58" w:rsidRPr="0098599A" w:rsidRDefault="00E44A58" w:rsidP="00E44A58">
      <w:pPr>
        <w:pStyle w:val="Prrafodelista"/>
        <w:spacing w:line="360" w:lineRule="auto"/>
        <w:ind w:left="1440" w:right="34"/>
        <w:jc w:val="both"/>
        <w:rPr>
          <w:rFonts w:ascii="Palatino Linotype" w:hAnsi="Palatino Linotype" w:cs="Arial"/>
          <w:i/>
          <w:szCs w:val="22"/>
        </w:rPr>
      </w:pPr>
      <w:r w:rsidRPr="0098599A">
        <w:rPr>
          <w:rFonts w:ascii="Palatino Linotype" w:hAnsi="Palatino Linotype"/>
          <w:i/>
          <w:szCs w:val="22"/>
        </w:rPr>
        <w:t xml:space="preserve">“Para los bienes que se han dado de baja le comento que en el siguiente link </w:t>
      </w:r>
      <w:hyperlink r:id="rId9" w:history="1">
        <w:r w:rsidR="0098599A" w:rsidRPr="0098599A">
          <w:rPr>
            <w:rStyle w:val="Hipervnculo"/>
            <w:rFonts w:ascii="Palatino Linotype" w:hAnsi="Palatino Linotype"/>
            <w:i/>
            <w:szCs w:val="22"/>
          </w:rPr>
          <w:t>https://www.ipoex.org.mx/ipo3/lgt/indice/ACULCO/art:92_xxxviii_f/3.web</w:t>
        </w:r>
      </w:hyperlink>
      <w:r w:rsidR="0098599A" w:rsidRPr="0098599A">
        <w:rPr>
          <w:rFonts w:ascii="Palatino Linotype" w:hAnsi="Palatino Linotype"/>
          <w:i/>
          <w:szCs w:val="22"/>
        </w:rPr>
        <w:t xml:space="preserve">, puede </w:t>
      </w:r>
      <w:r w:rsidR="0098599A" w:rsidRPr="0098599A">
        <w:rPr>
          <w:rFonts w:ascii="Palatino Linotype" w:hAnsi="Palatino Linotype"/>
          <w:i/>
          <w:szCs w:val="22"/>
        </w:rPr>
        <w:lastRenderedPageBreak/>
        <w:t>consultar la información, respecto del año 2022 me permito informar que aún no se ha realizado el procedimiento correspondiente para la desincorporación de algún bien mueble o inmueble propiedad del ayuntamiento de Aculco…”</w:t>
      </w:r>
    </w:p>
    <w:p w:rsidR="00E44A58" w:rsidRPr="00E44A58" w:rsidRDefault="00E44A58" w:rsidP="00E44A58">
      <w:pPr>
        <w:pStyle w:val="Prrafodelista"/>
        <w:spacing w:line="360" w:lineRule="auto"/>
        <w:ind w:left="1440" w:right="34"/>
        <w:jc w:val="both"/>
        <w:rPr>
          <w:rFonts w:ascii="Palatino Linotype" w:hAnsi="Palatino Linotype" w:cs="Arial"/>
          <w:szCs w:val="22"/>
        </w:rPr>
      </w:pPr>
    </w:p>
    <w:p w:rsidR="00E44A58" w:rsidRPr="00E44A58" w:rsidRDefault="005E5E3F" w:rsidP="00E44A58">
      <w:pPr>
        <w:pStyle w:val="Prrafodelista"/>
        <w:numPr>
          <w:ilvl w:val="0"/>
          <w:numId w:val="8"/>
        </w:numPr>
        <w:spacing w:line="360" w:lineRule="auto"/>
        <w:ind w:right="34"/>
        <w:jc w:val="both"/>
        <w:rPr>
          <w:rFonts w:ascii="Palatino Linotype" w:hAnsi="Palatino Linotype" w:cs="Arial"/>
          <w:szCs w:val="22"/>
        </w:rPr>
      </w:pPr>
      <w:hyperlink r:id="rId10" w:tgtFrame="_blank" w:history="1">
        <w:r w:rsidR="00E44A58" w:rsidRPr="00E44A58">
          <w:rPr>
            <w:rStyle w:val="Hipervnculo"/>
            <w:rFonts w:ascii="Palatino Linotype" w:eastAsiaTheme="majorEastAsia" w:hAnsi="Palatino Linotype" w:cs="Arial"/>
            <w:b/>
            <w:bCs/>
            <w:color w:val="auto"/>
            <w:szCs w:val="22"/>
          </w:rPr>
          <w:t>SOL 65.pdf</w:t>
        </w:r>
      </w:hyperlink>
      <w:r w:rsidR="00E44A58" w:rsidRPr="00E44A58">
        <w:rPr>
          <w:rFonts w:ascii="Palatino Linotype" w:hAnsi="Palatino Linotype"/>
          <w:szCs w:val="22"/>
        </w:rPr>
        <w:t xml:space="preserve">: </w:t>
      </w:r>
      <w:r w:rsidR="00FD4A30">
        <w:rPr>
          <w:rFonts w:ascii="Palatino Linotype" w:hAnsi="Palatino Linotype"/>
          <w:szCs w:val="22"/>
        </w:rPr>
        <w:t xml:space="preserve">consta del </w:t>
      </w:r>
      <w:r w:rsidR="0098599A">
        <w:rPr>
          <w:rFonts w:ascii="Palatino Linotype" w:hAnsi="Palatino Linotype"/>
          <w:szCs w:val="22"/>
        </w:rPr>
        <w:t>oficio 15/</w:t>
      </w:r>
      <w:r w:rsidR="00FD4A30">
        <w:rPr>
          <w:rFonts w:ascii="Palatino Linotype" w:hAnsi="Palatino Linotype"/>
          <w:szCs w:val="22"/>
        </w:rPr>
        <w:t xml:space="preserve">RECMAT/2022 de fecha dieciséis (16) de mayo de dos mil veintidós, suscrito por el subdirector de recursos materiales, en el que se refirió </w:t>
      </w:r>
      <w:r w:rsidR="00FD4A30" w:rsidRPr="00FD4A30">
        <w:rPr>
          <w:rFonts w:ascii="Palatino Linotype" w:hAnsi="Palatino Linotype"/>
          <w:i/>
          <w:szCs w:val="22"/>
        </w:rPr>
        <w:t>“Solo se renta una bodega con un costo mensual de $30,000.00 Treinta Mil Pesos 00/100 MN, se anexa copia del contrato”</w:t>
      </w:r>
      <w:r w:rsidR="00FD4A30">
        <w:rPr>
          <w:rFonts w:ascii="Palatino Linotype" w:hAnsi="Palatino Linotype"/>
          <w:szCs w:val="22"/>
        </w:rPr>
        <w:t>; asimismo, se adjuntó el contrato de servicio de arrendamiento de inmueble celebrado por el  municipio de Aculco.</w:t>
      </w:r>
    </w:p>
    <w:p w:rsidR="000363C0" w:rsidRPr="00FD4A30" w:rsidRDefault="000363C0" w:rsidP="00FD4A30">
      <w:pPr>
        <w:spacing w:line="360" w:lineRule="auto"/>
        <w:ind w:right="34"/>
        <w:jc w:val="both"/>
        <w:rPr>
          <w:rFonts w:ascii="Palatino Linotype" w:hAnsi="Palatino Linotype" w:cs="Arial"/>
        </w:rPr>
      </w:pPr>
    </w:p>
    <w:p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hAnsi="Palatino Linotype"/>
          <w:b/>
          <w:i/>
          <w:sz w:val="24"/>
        </w:rPr>
      </w:pPr>
      <w:r w:rsidRPr="00C673EE">
        <w:rPr>
          <w:rFonts w:ascii="Palatino Linotype" w:hAnsi="Palatino Linotype" w:cs="Arial"/>
          <w:sz w:val="24"/>
        </w:rPr>
        <w:t>Derivado de la respuesta, el</w:t>
      </w:r>
      <w:r w:rsidRPr="00C673EE">
        <w:rPr>
          <w:rFonts w:ascii="Palatino Linotype" w:hAnsi="Palatino Linotype" w:cs="Arial"/>
          <w:sz w:val="24"/>
          <w:lang w:val="es-ES"/>
        </w:rPr>
        <w:t xml:space="preserve"> </w:t>
      </w:r>
      <w:r w:rsidR="001641A3">
        <w:rPr>
          <w:rFonts w:ascii="Palatino Linotype" w:hAnsi="Palatino Linotype" w:cs="Arial"/>
          <w:sz w:val="24"/>
          <w:lang w:val="es-ES"/>
        </w:rPr>
        <w:t xml:space="preserve">veintitrés </w:t>
      </w:r>
      <w:r w:rsidR="00504CA4">
        <w:rPr>
          <w:rFonts w:ascii="Palatino Linotype" w:hAnsi="Palatino Linotype" w:cs="Arial"/>
          <w:sz w:val="24"/>
          <w:lang w:val="es-ES"/>
        </w:rPr>
        <w:t xml:space="preserve">(23) </w:t>
      </w:r>
      <w:r w:rsidR="001641A3">
        <w:rPr>
          <w:rFonts w:ascii="Palatino Linotype" w:hAnsi="Palatino Linotype" w:cs="Arial"/>
          <w:sz w:val="24"/>
          <w:lang w:val="es-ES"/>
        </w:rPr>
        <w:t>de mayo de dos mil veintidós</w:t>
      </w:r>
      <w:r w:rsidRPr="00C673EE">
        <w:rPr>
          <w:rFonts w:ascii="Palatino Linotype" w:hAnsi="Palatino Linotype" w:cs="Arial"/>
          <w:sz w:val="24"/>
          <w:lang w:val="es-ES"/>
        </w:rPr>
        <w:t>, el particular interpuso el recurso de revisión señalando como:</w:t>
      </w:r>
    </w:p>
    <w:p w:rsidR="00207D17" w:rsidRPr="00C673EE" w:rsidRDefault="00207D17" w:rsidP="00C673EE">
      <w:pPr>
        <w:pStyle w:val="Prrafodelista"/>
        <w:tabs>
          <w:tab w:val="left" w:pos="284"/>
        </w:tabs>
        <w:spacing w:line="360" w:lineRule="auto"/>
        <w:ind w:left="0"/>
        <w:jc w:val="both"/>
        <w:rPr>
          <w:rFonts w:ascii="Palatino Linotype" w:hAnsi="Palatino Linotype"/>
          <w:b/>
          <w:i/>
          <w:sz w:val="10"/>
          <w:szCs w:val="22"/>
        </w:rPr>
      </w:pPr>
    </w:p>
    <w:p w:rsidR="00207D17" w:rsidRPr="00C673EE" w:rsidRDefault="00207D17" w:rsidP="00C673EE">
      <w:pPr>
        <w:pStyle w:val="Prrafodelista"/>
        <w:tabs>
          <w:tab w:val="left" w:pos="426"/>
          <w:tab w:val="left" w:pos="993"/>
        </w:tabs>
        <w:spacing w:line="360" w:lineRule="auto"/>
        <w:ind w:left="1004"/>
        <w:jc w:val="both"/>
        <w:rPr>
          <w:rFonts w:ascii="Palatino Linotype" w:hAnsi="Palatino Linotype" w:cs="Arial"/>
          <w:lang w:val="es-ES"/>
        </w:rPr>
      </w:pPr>
      <w:r w:rsidRPr="00C673EE">
        <w:rPr>
          <w:rFonts w:ascii="Palatino Linotype" w:hAnsi="Palatino Linotype" w:cs="Arial"/>
          <w:b/>
          <w:lang w:val="es-ES"/>
        </w:rPr>
        <w:t>Acto impugnado:</w:t>
      </w:r>
      <w:r w:rsidRPr="00C673EE">
        <w:rPr>
          <w:rFonts w:ascii="Palatino Linotype" w:hAnsi="Palatino Linotype" w:cs="Arial"/>
          <w:lang w:val="es-ES"/>
        </w:rPr>
        <w:t xml:space="preserve"> “</w:t>
      </w:r>
      <w:r w:rsidR="001641A3" w:rsidRPr="001641A3">
        <w:rPr>
          <w:rFonts w:ascii="Palatino Linotype" w:hAnsi="Palatino Linotype" w:cs="Arial"/>
          <w:i/>
        </w:rPr>
        <w:t>GRACIAS</w:t>
      </w:r>
      <w:r w:rsidRPr="00C673EE">
        <w:rPr>
          <w:rFonts w:ascii="Palatino Linotype" w:hAnsi="Palatino Linotype" w:cs="Arial"/>
          <w:i/>
          <w:lang w:val="es-ES"/>
        </w:rPr>
        <w:t>”</w:t>
      </w:r>
      <w:r w:rsidRPr="00C673EE">
        <w:rPr>
          <w:rFonts w:ascii="Palatino Linotype" w:hAnsi="Palatino Linotype" w:cs="Arial"/>
          <w:lang w:val="es-ES"/>
        </w:rPr>
        <w:t xml:space="preserve"> (Sic).</w:t>
      </w:r>
    </w:p>
    <w:p w:rsidR="00207D17" w:rsidRPr="00C673EE" w:rsidRDefault="001641A3" w:rsidP="001641A3">
      <w:pPr>
        <w:pStyle w:val="Prrafodelista"/>
        <w:tabs>
          <w:tab w:val="left" w:pos="426"/>
          <w:tab w:val="left" w:pos="3750"/>
        </w:tabs>
        <w:spacing w:line="360" w:lineRule="auto"/>
        <w:ind w:left="567"/>
        <w:jc w:val="both"/>
        <w:rPr>
          <w:rFonts w:ascii="Palatino Linotype" w:hAnsi="Palatino Linotype" w:cs="Arial"/>
          <w:lang w:val="es-ES"/>
        </w:rPr>
      </w:pPr>
      <w:r>
        <w:rPr>
          <w:rFonts w:ascii="Palatino Linotype" w:hAnsi="Palatino Linotype" w:cs="Arial"/>
          <w:lang w:val="es-ES"/>
        </w:rPr>
        <w:tab/>
      </w:r>
    </w:p>
    <w:p w:rsidR="00207D17" w:rsidRPr="00C673EE" w:rsidRDefault="00207D17" w:rsidP="00C673EE">
      <w:pPr>
        <w:pStyle w:val="Prrafodelista"/>
        <w:tabs>
          <w:tab w:val="left" w:pos="426"/>
          <w:tab w:val="left" w:pos="993"/>
        </w:tabs>
        <w:spacing w:line="360" w:lineRule="auto"/>
        <w:ind w:left="1004"/>
        <w:jc w:val="both"/>
        <w:rPr>
          <w:rFonts w:ascii="Palatino Linotype" w:hAnsi="Palatino Linotype" w:cs="Arial"/>
          <w:lang w:val="es-ES"/>
        </w:rPr>
      </w:pPr>
      <w:r w:rsidRPr="00C673EE">
        <w:rPr>
          <w:rFonts w:ascii="Palatino Linotype" w:hAnsi="Palatino Linotype" w:cs="Arial"/>
          <w:b/>
          <w:lang w:val="es-ES"/>
        </w:rPr>
        <w:t>Razones o motivos de inconformidad:</w:t>
      </w:r>
      <w:r w:rsidRPr="00C673EE">
        <w:rPr>
          <w:rFonts w:ascii="Palatino Linotype" w:hAnsi="Palatino Linotype" w:cs="Arial"/>
          <w:lang w:val="es-ES"/>
        </w:rPr>
        <w:t xml:space="preserve"> “</w:t>
      </w:r>
      <w:r w:rsidR="001641A3" w:rsidRPr="001641A3">
        <w:rPr>
          <w:rFonts w:ascii="Palatino Linotype" w:hAnsi="Palatino Linotype" w:cs="Arial"/>
          <w:i/>
        </w:rPr>
        <w:t>Gracias por la información</w:t>
      </w:r>
      <w:r w:rsidRPr="00C673EE">
        <w:rPr>
          <w:rFonts w:ascii="Palatino Linotype" w:hAnsi="Palatino Linotype" w:cs="Arial"/>
          <w:i/>
          <w:lang w:val="es-ES"/>
        </w:rPr>
        <w:t>”</w:t>
      </w:r>
      <w:r w:rsidRPr="00C673EE">
        <w:rPr>
          <w:rFonts w:ascii="Palatino Linotype" w:hAnsi="Palatino Linotype" w:cs="Arial"/>
          <w:lang w:val="es-ES"/>
        </w:rPr>
        <w:t xml:space="preserve"> (Sic).</w:t>
      </w:r>
    </w:p>
    <w:p w:rsidR="00207D17" w:rsidRPr="00C673EE" w:rsidRDefault="00207D17" w:rsidP="00C673EE">
      <w:pPr>
        <w:spacing w:line="360" w:lineRule="auto"/>
        <w:ind w:left="360" w:right="34"/>
        <w:jc w:val="both"/>
        <w:rPr>
          <w:rStyle w:val="Ttulo2Car"/>
          <w:rFonts w:ascii="Palatino Linotype" w:hAnsi="Palatino Linotype"/>
          <w:b/>
          <w:lang w:val="es-ES"/>
        </w:rPr>
      </w:pPr>
    </w:p>
    <w:p w:rsidR="00207D17" w:rsidRPr="00C673EE" w:rsidRDefault="00207D17" w:rsidP="00C673EE">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673EE">
        <w:rPr>
          <w:rFonts w:ascii="Palatino Linotype" w:eastAsia="Calibri" w:hAnsi="Palatino Linotype" w:cs="Arial"/>
          <w:sz w:val="24"/>
          <w:lang w:val="es-ES"/>
        </w:rPr>
        <w:t xml:space="preserve">Se registró el recurso de revisión bajo el número de expediente al rubro indicado, asimismo, con fundamento en lo dispuesto por el artículo 185 fracción I de la </w:t>
      </w:r>
      <w:r w:rsidRPr="00C673EE">
        <w:rPr>
          <w:rFonts w:ascii="Palatino Linotype" w:eastAsia="Calibri" w:hAnsi="Palatino Linotype" w:cs="Arial"/>
          <w:b/>
          <w:sz w:val="24"/>
          <w:lang w:val="es-ES"/>
        </w:rPr>
        <w:t>Ley de Transparencia y Acceso a la Información Pública del Estado de México y Municipios</w:t>
      </w:r>
      <w:r w:rsidRPr="00C673EE">
        <w:rPr>
          <w:rFonts w:ascii="Palatino Linotype" w:eastAsia="Calibri" w:hAnsi="Palatino Linotype" w:cs="Arial"/>
          <w:sz w:val="24"/>
          <w:lang w:val="es-ES"/>
        </w:rPr>
        <w:t xml:space="preserve">, se turnó a la </w:t>
      </w:r>
      <w:r w:rsidRPr="00C673EE">
        <w:rPr>
          <w:rFonts w:ascii="Palatino Linotype" w:eastAsia="Calibri" w:hAnsi="Palatino Linotype" w:cs="Arial"/>
          <w:b/>
          <w:sz w:val="24"/>
          <w:lang w:val="es-ES"/>
        </w:rPr>
        <w:t xml:space="preserve">Comisionada </w:t>
      </w:r>
      <w:r w:rsidR="007A668C" w:rsidRPr="00C673EE">
        <w:rPr>
          <w:rFonts w:ascii="Palatino Linotype" w:eastAsia="Calibri" w:hAnsi="Palatino Linotype" w:cs="Arial"/>
          <w:b/>
          <w:sz w:val="24"/>
          <w:lang w:val="es-ES"/>
        </w:rPr>
        <w:t>María del Rosario Mejía Ayala</w:t>
      </w:r>
      <w:r w:rsidRPr="00C673EE">
        <w:rPr>
          <w:rFonts w:ascii="Palatino Linotype" w:eastAsia="Calibri" w:hAnsi="Palatino Linotype" w:cs="Arial"/>
          <w:sz w:val="24"/>
          <w:lang w:val="es-ES"/>
        </w:rPr>
        <w:t>, con el objeto de su análisis.</w:t>
      </w:r>
    </w:p>
    <w:p w:rsidR="00207D17" w:rsidRPr="00C673EE" w:rsidRDefault="00207D17" w:rsidP="00C673EE">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207D17" w:rsidRPr="001641A3" w:rsidRDefault="00207D17" w:rsidP="00C673EE">
      <w:pPr>
        <w:pStyle w:val="Prrafodelista"/>
        <w:numPr>
          <w:ilvl w:val="0"/>
          <w:numId w:val="2"/>
        </w:numPr>
        <w:tabs>
          <w:tab w:val="left" w:pos="284"/>
        </w:tabs>
        <w:spacing w:line="360" w:lineRule="auto"/>
        <w:ind w:left="0" w:firstLine="0"/>
        <w:jc w:val="both"/>
        <w:rPr>
          <w:rFonts w:ascii="Palatino Linotype" w:eastAsia="Calibri" w:hAnsi="Palatino Linotype" w:cs="Arial"/>
          <w:color w:val="000000" w:themeColor="text1"/>
          <w:sz w:val="24"/>
          <w:lang w:val="es-ES"/>
        </w:rPr>
      </w:pPr>
      <w:r w:rsidRPr="00C673EE">
        <w:rPr>
          <w:rFonts w:ascii="Palatino Linotype" w:eastAsia="Calibri" w:hAnsi="Palatino Linotype" w:cs="Arial"/>
          <w:sz w:val="24"/>
          <w:lang w:val="es-ES"/>
        </w:rPr>
        <w:t xml:space="preserve">El Comisionado Ponente, con fundamento en lo dispuesto por el artículo 185 fracción II de la ley de la materia, a través del acuerdo de admisión de </w:t>
      </w:r>
      <w:r w:rsidR="001641A3">
        <w:rPr>
          <w:rFonts w:ascii="Palatino Linotype" w:eastAsia="Calibri" w:hAnsi="Palatino Linotype" w:cs="Arial"/>
          <w:sz w:val="24"/>
          <w:lang w:val="es-ES"/>
        </w:rPr>
        <w:t xml:space="preserve">veintisiete (27) </w:t>
      </w:r>
      <w:r w:rsidR="001641A3">
        <w:rPr>
          <w:rFonts w:ascii="Palatino Linotype" w:eastAsia="Calibri" w:hAnsi="Palatino Linotype" w:cs="Arial"/>
          <w:sz w:val="24"/>
          <w:lang w:val="es-ES"/>
        </w:rPr>
        <w:lastRenderedPageBreak/>
        <w:t>de mayo de dos mil veintidós</w:t>
      </w:r>
      <w:r w:rsidRPr="00C673EE">
        <w:rPr>
          <w:rFonts w:ascii="Palatino Linotype" w:eastAsia="Calibri" w:hAnsi="Palatino Linotype" w:cs="Arial"/>
          <w:sz w:val="24"/>
          <w:lang w:val="es-ES"/>
        </w:rPr>
        <w:t xml:space="preserve">, puso a disposición de las partes el expediente electrónico </w:t>
      </w:r>
      <w:r w:rsidRPr="00C673EE">
        <w:rPr>
          <w:rFonts w:ascii="Palatino Linotype" w:eastAsia="Calibri" w:hAnsi="Palatino Linotype" w:cs="Arial"/>
          <w:sz w:val="24"/>
        </w:rPr>
        <w:t xml:space="preserve">vía </w:t>
      </w:r>
      <w:r w:rsidRPr="00C673EE">
        <w:rPr>
          <w:rFonts w:ascii="Palatino Linotype" w:eastAsia="Calibri" w:hAnsi="Palatino Linotype" w:cs="Arial"/>
          <w:sz w:val="24"/>
          <w:lang w:val="es-ES"/>
        </w:rPr>
        <w:t xml:space="preserve">Sistema de Acceso a la Información Mexiquense </w:t>
      </w:r>
      <w:r w:rsidRPr="00C673EE">
        <w:rPr>
          <w:rFonts w:ascii="Palatino Linotype" w:eastAsia="Calibri" w:hAnsi="Palatino Linotype" w:cs="Arial"/>
          <w:b/>
          <w:sz w:val="24"/>
          <w:lang w:val="es-ES"/>
        </w:rPr>
        <w:t xml:space="preserve">SAIMEX </w:t>
      </w:r>
      <w:r w:rsidRPr="00C673EE">
        <w:rPr>
          <w:rFonts w:ascii="Palatino Linotype" w:eastAsia="Calibri" w:hAnsi="Palatino Linotype" w:cs="Arial"/>
          <w:sz w:val="24"/>
          <w:lang w:val="es-ES"/>
        </w:rPr>
        <w:t xml:space="preserve">a efecto de que en un plazo máximo de siete días manifestaran lo que a su derecho conviniera, ofrecieran pruebas y alegatos según correspondiera a los casos concretos, de esta forma para que el </w:t>
      </w:r>
      <w:r w:rsidRPr="00C673EE">
        <w:rPr>
          <w:rFonts w:ascii="Palatino Linotype" w:eastAsia="Calibri" w:hAnsi="Palatino Linotype" w:cs="Arial"/>
          <w:b/>
          <w:sz w:val="24"/>
          <w:lang w:val="es-ES"/>
        </w:rPr>
        <w:t>SUJETO OBLIGADO</w:t>
      </w:r>
      <w:r w:rsidRPr="00C673EE">
        <w:rPr>
          <w:rFonts w:ascii="Palatino Linotype" w:eastAsia="Calibri" w:hAnsi="Palatino Linotype" w:cs="Arial"/>
          <w:sz w:val="24"/>
          <w:lang w:val="es-ES"/>
        </w:rPr>
        <w:t xml:space="preserve"> presentara el Informe Justificado procedente.</w:t>
      </w:r>
      <w:bookmarkStart w:id="3" w:name="_Toc461555889"/>
      <w:bookmarkStart w:id="4" w:name="_Toc466371858"/>
    </w:p>
    <w:p w:rsidR="001641A3" w:rsidRPr="00C673EE" w:rsidRDefault="001641A3" w:rsidP="001641A3">
      <w:pPr>
        <w:pStyle w:val="Prrafodelista"/>
        <w:tabs>
          <w:tab w:val="left" w:pos="284"/>
        </w:tabs>
        <w:spacing w:line="360" w:lineRule="auto"/>
        <w:ind w:left="0"/>
        <w:jc w:val="both"/>
        <w:rPr>
          <w:rFonts w:ascii="Palatino Linotype" w:eastAsia="Calibri" w:hAnsi="Palatino Linotype" w:cs="Arial"/>
          <w:color w:val="000000" w:themeColor="text1"/>
          <w:sz w:val="24"/>
          <w:lang w:val="es-ES"/>
        </w:rPr>
      </w:pPr>
    </w:p>
    <w:p w:rsidR="007A668C" w:rsidRDefault="007A668C" w:rsidP="00C673EE">
      <w:pPr>
        <w:pStyle w:val="Prrafodelista"/>
        <w:numPr>
          <w:ilvl w:val="0"/>
          <w:numId w:val="2"/>
        </w:numPr>
        <w:tabs>
          <w:tab w:val="left" w:pos="426"/>
        </w:tabs>
        <w:spacing w:line="360" w:lineRule="auto"/>
        <w:ind w:left="0" w:firstLine="0"/>
        <w:jc w:val="both"/>
        <w:rPr>
          <w:rFonts w:ascii="Palatino Linotype" w:hAnsi="Palatino Linotype"/>
          <w:sz w:val="24"/>
        </w:rPr>
      </w:pPr>
      <w:r w:rsidRPr="00C673EE">
        <w:rPr>
          <w:rFonts w:ascii="Palatino Linotype" w:hAnsi="Palatino Linotype"/>
          <w:sz w:val="24"/>
        </w:rPr>
        <w:t xml:space="preserve">De las constancias que obran en el expediente electrónico SAIMEX, </w:t>
      </w:r>
      <w:r w:rsidR="001641A3">
        <w:rPr>
          <w:rFonts w:ascii="Palatino Linotype" w:hAnsi="Palatino Linotype"/>
          <w:sz w:val="24"/>
        </w:rPr>
        <w:t xml:space="preserve">de advierte que el particular no realizó manifestaciones; por su parte el Sujeto Obligado remitió informe justificado el siete (07) de junio de dos mil veintidós, mismo que se puso a la vista del particular el veinte </w:t>
      </w:r>
      <w:r w:rsidR="00504CA4">
        <w:rPr>
          <w:rFonts w:ascii="Palatino Linotype" w:hAnsi="Palatino Linotype"/>
          <w:sz w:val="24"/>
        </w:rPr>
        <w:t xml:space="preserve">(20) </w:t>
      </w:r>
      <w:r w:rsidR="001641A3">
        <w:rPr>
          <w:rFonts w:ascii="Palatino Linotype" w:hAnsi="Palatino Linotype"/>
          <w:sz w:val="24"/>
        </w:rPr>
        <w:t>de junio del mismo año y que se describe a continuación:</w:t>
      </w:r>
    </w:p>
    <w:p w:rsidR="001641A3" w:rsidRPr="001641A3" w:rsidRDefault="001641A3" w:rsidP="001641A3">
      <w:pPr>
        <w:pStyle w:val="Prrafodelista"/>
        <w:rPr>
          <w:rFonts w:ascii="Palatino Linotype" w:hAnsi="Palatino Linotype"/>
          <w:sz w:val="24"/>
        </w:rPr>
      </w:pPr>
    </w:p>
    <w:p w:rsidR="001641A3" w:rsidRPr="001641A3" w:rsidRDefault="005E5E3F" w:rsidP="001641A3">
      <w:pPr>
        <w:pStyle w:val="Prrafodelista"/>
        <w:numPr>
          <w:ilvl w:val="0"/>
          <w:numId w:val="8"/>
        </w:numPr>
        <w:tabs>
          <w:tab w:val="left" w:pos="426"/>
        </w:tabs>
        <w:spacing w:line="360" w:lineRule="auto"/>
        <w:ind w:left="851" w:firstLine="0"/>
        <w:jc w:val="both"/>
        <w:rPr>
          <w:rFonts w:ascii="Palatino Linotype" w:hAnsi="Palatino Linotype"/>
          <w:szCs w:val="22"/>
        </w:rPr>
      </w:pPr>
      <w:hyperlink r:id="rId11" w:history="1">
        <w:r w:rsidR="001641A3" w:rsidRPr="001641A3">
          <w:rPr>
            <w:rStyle w:val="Hipervnculo"/>
            <w:rFonts w:ascii="Palatino Linotype" w:eastAsiaTheme="majorEastAsia" w:hAnsi="Palatino Linotype" w:cs="Arial"/>
            <w:b/>
            <w:bCs/>
            <w:color w:val="auto"/>
            <w:szCs w:val="22"/>
          </w:rPr>
          <w:t>INFORME JUSTIFICADO RR 08818.pdf</w:t>
        </w:r>
      </w:hyperlink>
      <w:r w:rsidR="001641A3">
        <w:rPr>
          <w:rFonts w:ascii="Palatino Linotype" w:hAnsi="Palatino Linotype"/>
          <w:szCs w:val="22"/>
        </w:rPr>
        <w:t xml:space="preserve">: </w:t>
      </w:r>
      <w:r w:rsidR="00F60D37">
        <w:rPr>
          <w:rFonts w:ascii="Palatino Linotype" w:hAnsi="Palatino Linotype"/>
          <w:szCs w:val="22"/>
        </w:rPr>
        <w:t xml:space="preserve">oficio 196/UIPPE/2022, de fecha seis (06) de junio de dos mil veintidós, suscrito por la Directora de la Unidad de Información, Planeación, Programación, Evaluación y Transparencia de Aculco, Estado de México, que consta del informe justificado mediante el cual se solicitó dejar sin efectos el recurso de revisión interpuesto en su contra. </w:t>
      </w:r>
    </w:p>
    <w:p w:rsidR="007A668C" w:rsidRPr="00C673EE" w:rsidRDefault="007A668C" w:rsidP="00C673EE">
      <w:pPr>
        <w:pStyle w:val="Prrafodelista"/>
        <w:tabs>
          <w:tab w:val="left" w:pos="426"/>
        </w:tabs>
        <w:spacing w:line="360" w:lineRule="auto"/>
        <w:ind w:left="0"/>
        <w:jc w:val="both"/>
        <w:rPr>
          <w:rFonts w:ascii="Palatino Linotype" w:hAnsi="Palatino Linotype"/>
          <w:sz w:val="24"/>
        </w:rPr>
      </w:pPr>
    </w:p>
    <w:p w:rsidR="00207D17" w:rsidRPr="00C673EE" w:rsidRDefault="00207D17" w:rsidP="00C673EE">
      <w:pPr>
        <w:pStyle w:val="Prrafodelista"/>
        <w:numPr>
          <w:ilvl w:val="0"/>
          <w:numId w:val="2"/>
        </w:numPr>
        <w:tabs>
          <w:tab w:val="left" w:pos="426"/>
        </w:tabs>
        <w:spacing w:line="360" w:lineRule="auto"/>
        <w:ind w:left="0" w:firstLine="0"/>
        <w:jc w:val="both"/>
        <w:rPr>
          <w:rFonts w:ascii="Palatino Linotype" w:hAnsi="Palatino Linotype"/>
          <w:sz w:val="24"/>
        </w:rPr>
      </w:pPr>
      <w:r w:rsidRPr="00C673EE">
        <w:rPr>
          <w:rFonts w:ascii="Palatino Linotype" w:eastAsia="Calibri" w:hAnsi="Palatino Linotype" w:cs="Arial"/>
          <w:sz w:val="24"/>
        </w:rPr>
        <w:t>E</w:t>
      </w:r>
      <w:r w:rsidRPr="00C673EE">
        <w:rPr>
          <w:rFonts w:ascii="Palatino Linotype" w:eastAsia="Calibri" w:hAnsi="Palatino Linotype" w:cs="Arial"/>
          <w:sz w:val="24"/>
          <w:lang w:val="es-ES"/>
        </w:rPr>
        <w:t>l</w:t>
      </w:r>
      <w:r w:rsidRPr="00C673EE">
        <w:rPr>
          <w:rFonts w:ascii="Palatino Linotype" w:hAnsi="Palatino Linotype"/>
          <w:sz w:val="24"/>
        </w:rPr>
        <w:t xml:space="preserve"> Comisionado Ponente decretó el cierre del periodo de instrucción</w:t>
      </w:r>
      <w:r w:rsidRPr="00C673EE">
        <w:rPr>
          <w:rFonts w:ascii="Palatino Linotype" w:hAnsi="Palatino Linotype" w:cs="Arial"/>
          <w:sz w:val="24"/>
        </w:rPr>
        <w:t xml:space="preserve"> </w:t>
      </w:r>
      <w:r w:rsidRPr="00C673EE">
        <w:rPr>
          <w:rFonts w:ascii="Palatino Linotype" w:hAnsi="Palatino Linotype"/>
          <w:sz w:val="24"/>
        </w:rPr>
        <w:t xml:space="preserve">mediante acuerdo de </w:t>
      </w:r>
      <w:r w:rsidR="00F60D37">
        <w:rPr>
          <w:rFonts w:ascii="Palatino Linotype" w:hAnsi="Palatino Linotype"/>
          <w:sz w:val="24"/>
        </w:rPr>
        <w:t>fecha veinticuatro (24) de junio de dos mil veintidós</w:t>
      </w:r>
      <w:r w:rsidRPr="00C673EE">
        <w:rPr>
          <w:rFonts w:ascii="Palatino Linotype" w:hAnsi="Palatino Linotype"/>
          <w:sz w:val="24"/>
        </w:rPr>
        <w:t>.</w:t>
      </w:r>
    </w:p>
    <w:p w:rsidR="00207D17" w:rsidRPr="00C673EE" w:rsidRDefault="00207D17" w:rsidP="00C673EE">
      <w:pPr>
        <w:pStyle w:val="Prrafodelista"/>
        <w:spacing w:line="360" w:lineRule="auto"/>
        <w:ind w:left="0" w:right="48"/>
        <w:jc w:val="both"/>
        <w:rPr>
          <w:rFonts w:ascii="Palatino Linotype" w:hAnsi="Palatino Linotype"/>
          <w:b/>
          <w:sz w:val="24"/>
        </w:rPr>
      </w:pPr>
    </w:p>
    <w:p w:rsidR="00207D17" w:rsidRPr="00C673EE" w:rsidRDefault="00207D17" w:rsidP="00C673EE">
      <w:pPr>
        <w:pStyle w:val="Ttulo2"/>
        <w:spacing w:before="0" w:line="360" w:lineRule="auto"/>
        <w:jc w:val="center"/>
        <w:rPr>
          <w:rFonts w:ascii="Palatino Linotype" w:hAnsi="Palatino Linotype"/>
          <w:b/>
          <w:color w:val="000000" w:themeColor="text1"/>
          <w:sz w:val="24"/>
        </w:rPr>
      </w:pPr>
      <w:bookmarkStart w:id="5" w:name="_Toc81233124"/>
      <w:r w:rsidRPr="00C673EE">
        <w:rPr>
          <w:rFonts w:ascii="Palatino Linotype" w:hAnsi="Palatino Linotype"/>
          <w:b/>
          <w:color w:val="000000" w:themeColor="text1"/>
          <w:sz w:val="24"/>
        </w:rPr>
        <w:t>CONSIDERANDO</w:t>
      </w:r>
      <w:bookmarkEnd w:id="3"/>
      <w:bookmarkEnd w:id="4"/>
      <w:bookmarkEnd w:id="5"/>
    </w:p>
    <w:p w:rsidR="00207D17" w:rsidRPr="00C673EE" w:rsidRDefault="00207D17" w:rsidP="00C673EE">
      <w:pPr>
        <w:spacing w:line="360" w:lineRule="auto"/>
        <w:rPr>
          <w:rFonts w:ascii="Palatino Linotype" w:hAnsi="Palatino Linotype"/>
          <w:lang w:eastAsia="en-US"/>
        </w:rPr>
      </w:pPr>
    </w:p>
    <w:p w:rsidR="00207D17" w:rsidRPr="00C673EE" w:rsidRDefault="00207D17" w:rsidP="00C673EE">
      <w:pPr>
        <w:pStyle w:val="Ttulo2"/>
        <w:spacing w:before="0" w:line="360" w:lineRule="auto"/>
        <w:rPr>
          <w:rFonts w:ascii="Palatino Linotype" w:hAnsi="Palatino Linotype"/>
          <w:b/>
          <w:color w:val="auto"/>
          <w:sz w:val="24"/>
        </w:rPr>
      </w:pPr>
      <w:bookmarkStart w:id="6" w:name="_Toc461555890"/>
      <w:bookmarkStart w:id="7" w:name="_Toc466371859"/>
      <w:bookmarkStart w:id="8" w:name="_Toc81233125"/>
      <w:r w:rsidRPr="00C673EE">
        <w:rPr>
          <w:rFonts w:ascii="Palatino Linotype" w:hAnsi="Palatino Linotype"/>
          <w:b/>
          <w:color w:val="auto"/>
          <w:sz w:val="24"/>
        </w:rPr>
        <w:t>PRIMERO. De la competencia</w:t>
      </w:r>
      <w:bookmarkEnd w:id="6"/>
      <w:bookmarkEnd w:id="7"/>
      <w:bookmarkEnd w:id="8"/>
    </w:p>
    <w:p w:rsidR="00207D17" w:rsidRPr="00C673EE" w:rsidRDefault="00207D17" w:rsidP="00C673EE">
      <w:pPr>
        <w:spacing w:line="360" w:lineRule="auto"/>
        <w:rPr>
          <w:rFonts w:ascii="Palatino Linotype" w:hAnsi="Palatino Linotype"/>
          <w:lang w:eastAsia="en-US"/>
        </w:rPr>
      </w:pPr>
    </w:p>
    <w:p w:rsidR="00812CDC" w:rsidRPr="00C673EE" w:rsidRDefault="00812CDC" w:rsidP="00C673EE">
      <w:pPr>
        <w:numPr>
          <w:ilvl w:val="0"/>
          <w:numId w:val="2"/>
        </w:numPr>
        <w:spacing w:line="360" w:lineRule="auto"/>
        <w:ind w:left="0" w:firstLine="0"/>
        <w:jc w:val="both"/>
        <w:rPr>
          <w:rFonts w:ascii="Palatino Linotype" w:eastAsia="Calibri" w:hAnsi="Palatino Linotype"/>
          <w:b/>
          <w:lang w:val="es-ES"/>
        </w:rPr>
      </w:pPr>
      <w:r w:rsidRPr="00C673EE">
        <w:rPr>
          <w:rFonts w:ascii="Palatino Linotype" w:eastAsia="Calibri" w:hAnsi="Palatino Linotype"/>
          <w:lang w:val="es-ES"/>
        </w:rPr>
        <w:lastRenderedPageBreak/>
        <w:t xml:space="preserve">Este  Instituto de Transparencia, Acceso a la Información Pública y Protección de Datos Personales del Estado de México y Municipios, es competente para conocer y resolver el presente recurso de conformidad con el artículo: 6, apartado A, fracción IV de la </w:t>
      </w:r>
      <w:r w:rsidRPr="00C673EE">
        <w:rPr>
          <w:rFonts w:ascii="Palatino Linotype" w:eastAsia="Calibri" w:hAnsi="Palatino Linotype"/>
          <w:b/>
          <w:lang w:val="es-ES"/>
        </w:rPr>
        <w:t>Constitución Política de los Estados Unidos Mexicanos</w:t>
      </w:r>
      <w:r w:rsidRPr="00C673EE">
        <w:rPr>
          <w:rFonts w:ascii="Palatino Linotype" w:eastAsia="Calibri" w:hAnsi="Palatino Linotype"/>
          <w:lang w:val="es-ES"/>
        </w:rPr>
        <w:t xml:space="preserve">; 5, párrafos trigésimo, trigésimo primero y trigésimo segundo, fracciones IV y V, de la </w:t>
      </w:r>
      <w:r w:rsidRPr="00C673EE">
        <w:rPr>
          <w:rFonts w:ascii="Palatino Linotype" w:eastAsia="Calibri" w:hAnsi="Palatino Linotype"/>
          <w:b/>
          <w:lang w:val="es-ES"/>
        </w:rPr>
        <w:t>Constitución Política del Estado Libre y Soberano de México</w:t>
      </w:r>
      <w:r w:rsidRPr="00C673EE">
        <w:rPr>
          <w:rFonts w:ascii="Palatino Linotype" w:eastAsia="Calibri" w:hAnsi="Palatino Linotype"/>
          <w:lang w:val="es-ES"/>
        </w:rPr>
        <w:t xml:space="preserve">; artículos 1, 2 fracción II, 13, 29, 36 fracciones I y II, 176, 178, 179, 181 párrafo tercero y 185 de la </w:t>
      </w:r>
      <w:r w:rsidRPr="00C673EE">
        <w:rPr>
          <w:rFonts w:ascii="Palatino Linotype" w:eastAsia="Calibri" w:hAnsi="Palatino Linotype"/>
          <w:b/>
          <w:lang w:val="es-ES"/>
        </w:rPr>
        <w:t>Ley de Transparencia y Acceso a la Información Pública del Estado de México y Municipios</w:t>
      </w:r>
      <w:r w:rsidRPr="00C673EE">
        <w:rPr>
          <w:rFonts w:ascii="Palatino Linotype" w:eastAsia="Calibri" w:hAnsi="Palatino Linotype"/>
          <w:lang w:val="es-ES"/>
        </w:rPr>
        <w:t xml:space="preserve">; y 10, 7, 9 fracciones I y XXIV, y 11 del </w:t>
      </w:r>
      <w:r w:rsidRPr="00C673EE">
        <w:rPr>
          <w:rFonts w:ascii="Palatino Linotype" w:eastAsia="Calibri" w:hAnsi="Palatino Linotype"/>
          <w:b/>
          <w:lang w:val="es-ES"/>
        </w:rPr>
        <w:t>Reglamento Interior del Instituto de Transparencia, Acceso a la Información Pública y Protección de Datos Personales del Estado de México y Municipios.</w:t>
      </w:r>
    </w:p>
    <w:p w:rsidR="00207D17" w:rsidRPr="00C673EE" w:rsidRDefault="00207D17" w:rsidP="00C673EE">
      <w:pPr>
        <w:pStyle w:val="Prrafodelista"/>
        <w:tabs>
          <w:tab w:val="left" w:pos="284"/>
          <w:tab w:val="left" w:pos="426"/>
        </w:tabs>
        <w:spacing w:line="360" w:lineRule="auto"/>
        <w:ind w:left="0"/>
        <w:jc w:val="both"/>
        <w:rPr>
          <w:rFonts w:ascii="Palatino Linotype" w:eastAsia="Calibri" w:hAnsi="Palatino Linotype"/>
          <w:b/>
          <w:lang w:val="es-ES"/>
        </w:rPr>
      </w:pPr>
    </w:p>
    <w:p w:rsidR="00207D17" w:rsidRDefault="00207D17" w:rsidP="00C673EE">
      <w:pPr>
        <w:pStyle w:val="Ttulo2"/>
        <w:tabs>
          <w:tab w:val="left" w:pos="284"/>
          <w:tab w:val="left" w:pos="426"/>
        </w:tabs>
        <w:spacing w:before="0" w:line="360" w:lineRule="auto"/>
        <w:rPr>
          <w:rFonts w:ascii="Palatino Linotype" w:hAnsi="Palatino Linotype"/>
          <w:b/>
          <w:color w:val="auto"/>
          <w:sz w:val="24"/>
        </w:rPr>
      </w:pPr>
      <w:bookmarkStart w:id="9" w:name="_Toc461555891"/>
      <w:bookmarkStart w:id="10" w:name="_Toc466371860"/>
      <w:bookmarkStart w:id="11" w:name="_Toc81233126"/>
      <w:r w:rsidRPr="00C673EE">
        <w:rPr>
          <w:rFonts w:ascii="Palatino Linotype" w:hAnsi="Palatino Linotype"/>
          <w:b/>
          <w:color w:val="auto"/>
          <w:sz w:val="24"/>
        </w:rPr>
        <w:t>SEGUNDO. De la oportunidad y procedencia.</w:t>
      </w:r>
      <w:bookmarkEnd w:id="9"/>
      <w:bookmarkEnd w:id="10"/>
      <w:bookmarkEnd w:id="11"/>
    </w:p>
    <w:p w:rsidR="00C673EE" w:rsidRPr="00C673EE" w:rsidRDefault="00C673EE" w:rsidP="00C673EE">
      <w:pPr>
        <w:rPr>
          <w:lang w:eastAsia="en-US"/>
        </w:rPr>
      </w:pPr>
    </w:p>
    <w:p w:rsidR="00207D17" w:rsidRPr="00C673EE" w:rsidRDefault="00207D17"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bCs/>
        </w:rPr>
      </w:pPr>
      <w:r w:rsidRPr="00C673EE">
        <w:rPr>
          <w:rFonts w:ascii="Palatino Linotype" w:eastAsia="Calibri" w:hAnsi="Palatino Linotype" w:cs="Arial"/>
          <w:sz w:val="24"/>
        </w:rPr>
        <w:t xml:space="preserve">El medio de impugnación fue presentado a través del </w:t>
      </w:r>
      <w:r w:rsidRPr="00C673EE">
        <w:rPr>
          <w:rFonts w:ascii="Palatino Linotype" w:eastAsia="Calibri" w:hAnsi="Palatino Linotype" w:cs="Arial"/>
          <w:b/>
          <w:sz w:val="24"/>
        </w:rPr>
        <w:t>SAIMEX</w:t>
      </w:r>
      <w:r w:rsidRPr="00C673EE">
        <w:rPr>
          <w:rFonts w:ascii="Palatino Linotype" w:eastAsia="Calibri" w:hAnsi="Palatino Linotype" w:cs="Arial"/>
          <w:sz w:val="24"/>
        </w:rPr>
        <w:t xml:space="preserve"> en el formato previamente aprobado para tal efecto y dentro del plazo legal de quince días hábiles otorgados; siendo así que el </w:t>
      </w:r>
      <w:r w:rsidRPr="00C673EE">
        <w:rPr>
          <w:rFonts w:ascii="Palatino Linotype" w:eastAsia="Calibri" w:hAnsi="Palatino Linotype" w:cs="Arial"/>
          <w:b/>
          <w:sz w:val="24"/>
        </w:rPr>
        <w:t>SUJETO OBLIGADO</w:t>
      </w:r>
      <w:r w:rsidRPr="00C673EE">
        <w:rPr>
          <w:rFonts w:ascii="Palatino Linotype" w:eastAsia="Calibri" w:hAnsi="Palatino Linotype" w:cs="Arial"/>
          <w:sz w:val="24"/>
        </w:rPr>
        <w:t xml:space="preserve"> entregó respuesta el </w:t>
      </w:r>
      <w:r w:rsidR="000C2EB0">
        <w:rPr>
          <w:rFonts w:ascii="Palatino Linotype" w:eastAsia="Calibri" w:hAnsi="Palatino Linotype" w:cs="Arial"/>
          <w:sz w:val="24"/>
        </w:rPr>
        <w:t>dieciséis (16) de mayo de dos mil veintidós</w:t>
      </w:r>
      <w:r w:rsidRPr="00C673EE">
        <w:rPr>
          <w:rFonts w:ascii="Palatino Linotype" w:eastAsia="Calibri" w:hAnsi="Palatino Linotype" w:cs="Arial"/>
          <w:sz w:val="24"/>
        </w:rPr>
        <w:t xml:space="preserve">, </w:t>
      </w:r>
      <w:r w:rsidRPr="00C673EE">
        <w:rPr>
          <w:rFonts w:ascii="Palatino Linotype" w:hAnsi="Palatino Linotype" w:cs="Arial"/>
          <w:sz w:val="24"/>
        </w:rPr>
        <w:t xml:space="preserve">de tal forma que el plazo para interponer el recurso de revisión transcurrió del </w:t>
      </w:r>
      <w:r w:rsidR="000C2EB0">
        <w:rPr>
          <w:rFonts w:ascii="Palatino Linotype" w:hAnsi="Palatino Linotype" w:cs="Arial"/>
          <w:sz w:val="24"/>
        </w:rPr>
        <w:t>diecisiete (17) de mayo</w:t>
      </w:r>
      <w:r w:rsidRPr="00C673EE">
        <w:rPr>
          <w:rFonts w:ascii="Palatino Linotype" w:hAnsi="Palatino Linotype" w:cs="Arial"/>
          <w:sz w:val="24"/>
        </w:rPr>
        <w:t xml:space="preserve">  al </w:t>
      </w:r>
      <w:r w:rsidR="000C2EB0">
        <w:rPr>
          <w:rFonts w:ascii="Palatino Linotype" w:hAnsi="Palatino Linotype" w:cs="Arial"/>
          <w:sz w:val="24"/>
        </w:rPr>
        <w:t>seis (06) de junio</w:t>
      </w:r>
      <w:r w:rsidR="00896EBF">
        <w:rPr>
          <w:rFonts w:ascii="Palatino Linotype" w:hAnsi="Palatino Linotype" w:cs="Arial"/>
          <w:sz w:val="24"/>
        </w:rPr>
        <w:t xml:space="preserve"> </w:t>
      </w:r>
      <w:r w:rsidRPr="00C673EE">
        <w:rPr>
          <w:rFonts w:ascii="Palatino Linotype" w:hAnsi="Palatino Linotype" w:cs="Arial"/>
          <w:sz w:val="24"/>
        </w:rPr>
        <w:t xml:space="preserve"> de dos mil veintiuno; en consecuencia, presentó su inconformidad el </w:t>
      </w:r>
      <w:r w:rsidR="005E692D">
        <w:rPr>
          <w:rFonts w:ascii="Palatino Linotype" w:hAnsi="Palatino Linotype" w:cs="Arial"/>
          <w:sz w:val="24"/>
        </w:rPr>
        <w:t>veintitrés (23) de mayo de dos mil veintidós</w:t>
      </w:r>
      <w:r w:rsidRPr="00C673EE">
        <w:rPr>
          <w:rFonts w:ascii="Palatino Linotype" w:hAnsi="Palatino Linotype" w:cs="Arial"/>
          <w:sz w:val="24"/>
        </w:rPr>
        <w:t xml:space="preserve">,  </w:t>
      </w:r>
      <w:r w:rsidRPr="00C673EE">
        <w:rPr>
          <w:rFonts w:ascii="Palatino Linotype" w:eastAsiaTheme="minorEastAsia" w:hAnsi="Palatino Linotype" w:cs="Arial"/>
          <w:sz w:val="24"/>
          <w:lang w:val="es-ES_tradnl" w:eastAsia="es-ES"/>
        </w:rPr>
        <w:t xml:space="preserve">por lo que se encuentra dentro de los márgenes temporales previstos en el artículo 178 de la </w:t>
      </w:r>
      <w:r w:rsidRPr="00C673EE">
        <w:rPr>
          <w:rFonts w:ascii="Palatino Linotype" w:eastAsiaTheme="minorEastAsia" w:hAnsi="Palatino Linotype" w:cs="Arial"/>
          <w:b/>
          <w:sz w:val="24"/>
          <w:lang w:val="es-ES_tradnl" w:eastAsia="es-ES"/>
        </w:rPr>
        <w:t xml:space="preserve">Ley de Transparencia y Acceso a la Información Pública del Estado de México y Municipios </w:t>
      </w:r>
      <w:r w:rsidRPr="00C673EE">
        <w:rPr>
          <w:rFonts w:ascii="Palatino Linotype" w:eastAsiaTheme="minorEastAsia" w:hAnsi="Palatino Linotype" w:cs="Arial"/>
          <w:sz w:val="24"/>
          <w:lang w:val="es-ES_tradnl" w:eastAsia="es-ES"/>
        </w:rPr>
        <w:t>vigente.</w:t>
      </w:r>
    </w:p>
    <w:p w:rsidR="00207D17" w:rsidRPr="00C673EE" w:rsidRDefault="00207D17" w:rsidP="00C673EE">
      <w:pPr>
        <w:pStyle w:val="Prrafodelista"/>
        <w:spacing w:line="360" w:lineRule="auto"/>
        <w:ind w:left="0"/>
        <w:rPr>
          <w:rFonts w:ascii="Palatino Linotype" w:eastAsia="Calibri" w:hAnsi="Palatino Linotype" w:cs="Arial"/>
          <w:sz w:val="24"/>
          <w:lang w:val="es-ES_tradnl" w:eastAsia="es-ES"/>
        </w:rPr>
      </w:pPr>
    </w:p>
    <w:p w:rsidR="00207D17" w:rsidRPr="00C673EE" w:rsidRDefault="00207D17" w:rsidP="00C673EE">
      <w:pPr>
        <w:pStyle w:val="Prrafodelista"/>
        <w:numPr>
          <w:ilvl w:val="0"/>
          <w:numId w:val="2"/>
        </w:numPr>
        <w:spacing w:line="360" w:lineRule="auto"/>
        <w:ind w:left="0" w:right="48" w:firstLine="0"/>
        <w:jc w:val="both"/>
        <w:rPr>
          <w:rFonts w:ascii="Palatino Linotype" w:eastAsiaTheme="minorEastAsia" w:hAnsi="Palatino Linotype"/>
          <w:sz w:val="24"/>
          <w:lang w:val="es-ES_tradnl" w:eastAsia="es-ES"/>
        </w:rPr>
      </w:pPr>
      <w:r w:rsidRPr="00C673EE">
        <w:rPr>
          <w:rFonts w:ascii="Palatino Linotype" w:eastAsia="Calibri" w:hAnsi="Palatino Linotype" w:cs="Arial"/>
          <w:sz w:val="24"/>
          <w:lang w:val="es-ES_tradnl" w:eastAsia="es-ES"/>
        </w:rPr>
        <w:lastRenderedPageBreak/>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207D17" w:rsidRPr="00C673EE" w:rsidRDefault="00207D17" w:rsidP="00C673EE">
      <w:pPr>
        <w:pStyle w:val="Prrafodelista"/>
        <w:tabs>
          <w:tab w:val="left" w:pos="284"/>
          <w:tab w:val="left" w:pos="426"/>
        </w:tabs>
        <w:spacing w:line="360" w:lineRule="auto"/>
        <w:ind w:left="0"/>
        <w:rPr>
          <w:rFonts w:ascii="Palatino Linotype" w:hAnsi="Palatino Linotype"/>
        </w:rPr>
      </w:pPr>
    </w:p>
    <w:p w:rsidR="00207D17" w:rsidRDefault="00207D17" w:rsidP="00C673EE">
      <w:pPr>
        <w:pStyle w:val="Ttulo1"/>
        <w:tabs>
          <w:tab w:val="left" w:pos="284"/>
          <w:tab w:val="left" w:pos="426"/>
        </w:tabs>
        <w:spacing w:before="0" w:line="360" w:lineRule="auto"/>
        <w:rPr>
          <w:rFonts w:ascii="Palatino Linotype" w:hAnsi="Palatino Linotype"/>
          <w:b/>
          <w:color w:val="auto"/>
          <w:sz w:val="24"/>
          <w:szCs w:val="24"/>
        </w:rPr>
      </w:pPr>
      <w:bookmarkStart w:id="12" w:name="_Toc500360400"/>
      <w:bookmarkStart w:id="13" w:name="_Toc81233127"/>
      <w:bookmarkStart w:id="14" w:name="_Toc459174366"/>
      <w:bookmarkStart w:id="15" w:name="_Toc459659884"/>
      <w:bookmarkStart w:id="16" w:name="_Toc461687280"/>
      <w:bookmarkStart w:id="17" w:name="_Toc462771051"/>
      <w:bookmarkStart w:id="18" w:name="_Toc464139201"/>
      <w:bookmarkStart w:id="19" w:name="_Toc495427545"/>
      <w:bookmarkStart w:id="20" w:name="_Toc499296549"/>
      <w:r w:rsidRPr="00C673EE">
        <w:rPr>
          <w:rFonts w:ascii="Palatino Linotype" w:hAnsi="Palatino Linotype"/>
          <w:b/>
          <w:color w:val="auto"/>
          <w:sz w:val="24"/>
          <w:szCs w:val="24"/>
        </w:rPr>
        <w:t>TERCERO. De las causales del sobreseimiento.</w:t>
      </w:r>
      <w:bookmarkEnd w:id="12"/>
      <w:bookmarkEnd w:id="13"/>
    </w:p>
    <w:p w:rsidR="00C673EE" w:rsidRPr="00C673EE" w:rsidRDefault="00C673EE" w:rsidP="00C673EE"/>
    <w:p w:rsidR="00302FA6" w:rsidRPr="00C673EE" w:rsidRDefault="00207D17"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bookmarkStart w:id="21" w:name="_Toc455991148"/>
      <w:bookmarkStart w:id="22" w:name="_Toc450120669"/>
      <w:bookmarkStart w:id="23" w:name="_Toc461555896"/>
      <w:bookmarkStart w:id="24" w:name="_Toc462154385"/>
      <w:bookmarkStart w:id="25" w:name="_Toc462660376"/>
      <w:bookmarkStart w:id="26" w:name="_Toc462660687"/>
      <w:bookmarkStart w:id="27" w:name="_Toc462660766"/>
      <w:bookmarkStart w:id="28" w:name="_Toc465264624"/>
      <w:bookmarkStart w:id="29" w:name="_Toc465264870"/>
      <w:bookmarkStart w:id="30" w:name="_Toc465266520"/>
      <w:bookmarkStart w:id="31" w:name="_Toc466302258"/>
      <w:bookmarkStart w:id="32" w:name="_Toc466371866"/>
      <w:bookmarkStart w:id="33" w:name="_Toc466371925"/>
      <w:bookmarkStart w:id="34" w:name="_Toc466377654"/>
      <w:bookmarkStart w:id="35" w:name="_Toc478549736"/>
      <w:bookmarkStart w:id="36" w:name="_Toc478572850"/>
      <w:bookmarkStart w:id="37" w:name="_Toc479238537"/>
      <w:bookmarkEnd w:id="14"/>
      <w:bookmarkEnd w:id="15"/>
      <w:bookmarkEnd w:id="16"/>
      <w:bookmarkEnd w:id="17"/>
      <w:bookmarkEnd w:id="18"/>
      <w:bookmarkEnd w:id="19"/>
      <w:bookmarkEnd w:id="20"/>
      <w:r w:rsidRPr="00C673EE">
        <w:rPr>
          <w:rFonts w:ascii="Palatino Linotype" w:hAnsi="Palatino Linotype" w:cs="Arial"/>
          <w:sz w:val="24"/>
          <w:szCs w:val="23"/>
        </w:rPr>
        <w:t xml:space="preserve">El recurso revisión tiene como finalidad reparar cualquier posible afectación al Derecho de Acceso a la Información Pública en términos del Título Octavo de la Ley de </w:t>
      </w:r>
      <w:r w:rsidRPr="00C673EE">
        <w:rPr>
          <w:rFonts w:ascii="Palatino Linotype" w:eastAsia="Calibri" w:hAnsi="Palatino Linotype" w:cs="Arial"/>
          <w:sz w:val="24"/>
        </w:rPr>
        <w:t>Transparencia, Acceso a la Información Pública del Estado de México y Municipios</w:t>
      </w:r>
      <w:r w:rsidRPr="00C673EE">
        <w:rPr>
          <w:rFonts w:ascii="Palatino Linotype" w:hAnsi="Palatino Linotype" w:cs="Arial"/>
          <w:sz w:val="24"/>
          <w:szCs w:val="23"/>
        </w:rPr>
        <w:t xml:space="preserve">, y determinar la confirmación; revocación o modificación; desechamiento o </w:t>
      </w:r>
      <w:r w:rsidRPr="00C673EE">
        <w:rPr>
          <w:rFonts w:ascii="Palatino Linotype" w:hAnsi="Palatino Linotype" w:cs="Arial"/>
          <w:b/>
          <w:sz w:val="24"/>
          <w:szCs w:val="23"/>
          <w:u w:val="single"/>
        </w:rPr>
        <w:t>sobreseimiento</w:t>
      </w:r>
      <w:r w:rsidRPr="00C673EE">
        <w:rPr>
          <w:rFonts w:ascii="Palatino Linotype" w:hAnsi="Palatino Linotype" w:cs="Arial"/>
          <w:sz w:val="24"/>
          <w:szCs w:val="23"/>
        </w:rPr>
        <w:t xml:space="preserve">; y, en su caso, ordenar la entrega de la información respecto a la falta de respuesta por parte del </w:t>
      </w:r>
      <w:r w:rsidRPr="00C673EE">
        <w:rPr>
          <w:rFonts w:ascii="Palatino Linotype" w:hAnsi="Palatino Linotype" w:cs="Arial"/>
          <w:b/>
          <w:sz w:val="24"/>
          <w:szCs w:val="23"/>
        </w:rPr>
        <w:t>SUJETO</w:t>
      </w:r>
      <w:r w:rsidRPr="00C673EE">
        <w:rPr>
          <w:rFonts w:ascii="Palatino Linotype" w:hAnsi="Palatino Linotype" w:cs="Arial"/>
          <w:sz w:val="24"/>
          <w:szCs w:val="23"/>
        </w:rPr>
        <w:t xml:space="preserve"> </w:t>
      </w:r>
      <w:r w:rsidRPr="00C673EE">
        <w:rPr>
          <w:rFonts w:ascii="Palatino Linotype" w:hAnsi="Palatino Linotype" w:cs="Arial"/>
          <w:b/>
          <w:sz w:val="24"/>
          <w:szCs w:val="23"/>
        </w:rPr>
        <w:t>OBLIGADO</w:t>
      </w:r>
      <w:r w:rsidRPr="00C673EE">
        <w:rPr>
          <w:rFonts w:ascii="Palatino Linotype" w:hAnsi="Palatino Linotype" w:cs="Arial"/>
          <w:sz w:val="24"/>
          <w:szCs w:val="23"/>
        </w:rPr>
        <w:t>.</w:t>
      </w:r>
    </w:p>
    <w:p w:rsidR="000967D3" w:rsidRPr="00C673EE" w:rsidRDefault="000967D3" w:rsidP="00C673EE">
      <w:pPr>
        <w:pStyle w:val="Prrafodelista"/>
        <w:tabs>
          <w:tab w:val="left" w:pos="284"/>
          <w:tab w:val="left" w:pos="426"/>
        </w:tabs>
        <w:spacing w:line="360" w:lineRule="auto"/>
        <w:ind w:left="0" w:right="49"/>
        <w:jc w:val="both"/>
        <w:rPr>
          <w:rFonts w:ascii="Palatino Linotype" w:hAnsi="Palatino Linotype" w:cs="Arial"/>
          <w:sz w:val="24"/>
        </w:rPr>
      </w:pPr>
    </w:p>
    <w:p w:rsidR="005A630D" w:rsidRPr="005E692D" w:rsidRDefault="00037E34" w:rsidP="00ED5631">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5E692D">
        <w:rPr>
          <w:rFonts w:ascii="Palatino Linotype" w:hAnsi="Palatino Linotype" w:cs="Arial"/>
          <w:sz w:val="24"/>
        </w:rPr>
        <w:t xml:space="preserve">Primeramente debemos recordar que la particular solicitó </w:t>
      </w:r>
      <w:r w:rsidR="00471AD6" w:rsidRPr="005E692D">
        <w:rPr>
          <w:rFonts w:ascii="Palatino Linotype" w:hAnsi="Palatino Linotype"/>
          <w:i/>
          <w:color w:val="000000"/>
          <w:szCs w:val="22"/>
        </w:rPr>
        <w:t>“</w:t>
      </w:r>
      <w:r w:rsidR="005E692D">
        <w:rPr>
          <w:rFonts w:ascii="Palatino Linotype" w:hAnsi="Palatino Linotype"/>
          <w:i/>
          <w:color w:val="000000"/>
          <w:szCs w:val="22"/>
        </w:rPr>
        <w:t>…</w:t>
      </w:r>
      <w:r w:rsidR="005E692D" w:rsidRPr="005023FA">
        <w:rPr>
          <w:rFonts w:ascii="Palatino Linotype" w:hAnsi="Palatino Linotype"/>
          <w:i/>
          <w:color w:val="000000"/>
          <w:szCs w:val="14"/>
        </w:rPr>
        <w:t>la información referente a las siguientes preguntas: Solicito saber cuáles bienes inmuebles ha adquirido el ayuntamiento, ¿cuál fue el costo de los mismos de enero del 2021 a la fecha? ¿Cuándo fueron ingresados al patrimonio municipal? Solicito copia de las actas y contratos ¿Qué bienes se han dado de baja del patrimonio municipal desde enero de 2022? Especificando cada bien y motivos de la baja ¿Qué bienes inmuebles renta el h. ayuntamiento y que costo mensual tienen? Copia del contrato</w:t>
      </w:r>
      <w:r w:rsidR="005E692D">
        <w:rPr>
          <w:rFonts w:ascii="Palatino Linotype" w:hAnsi="Palatino Linotype"/>
          <w:i/>
          <w:color w:val="000000"/>
          <w:szCs w:val="14"/>
        </w:rPr>
        <w:t>”.</w:t>
      </w:r>
    </w:p>
    <w:p w:rsidR="005E692D" w:rsidRPr="005E692D" w:rsidRDefault="005E692D" w:rsidP="005E692D">
      <w:pPr>
        <w:pStyle w:val="Prrafodelista"/>
        <w:tabs>
          <w:tab w:val="left" w:pos="284"/>
          <w:tab w:val="left" w:pos="426"/>
        </w:tabs>
        <w:spacing w:line="360" w:lineRule="auto"/>
        <w:ind w:left="0" w:right="49"/>
        <w:jc w:val="both"/>
        <w:rPr>
          <w:rFonts w:ascii="Palatino Linotype" w:hAnsi="Palatino Linotype" w:cs="Arial"/>
          <w:sz w:val="24"/>
        </w:rPr>
      </w:pPr>
    </w:p>
    <w:p w:rsidR="005E692D" w:rsidRPr="005E692D" w:rsidRDefault="005A630D"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i/>
          <w:sz w:val="44"/>
        </w:rPr>
      </w:pPr>
      <w:r w:rsidRPr="00C673EE">
        <w:rPr>
          <w:rFonts w:ascii="Palatino Linotype" w:hAnsi="Palatino Linotype" w:cs="Arial"/>
          <w:sz w:val="24"/>
        </w:rPr>
        <w:t xml:space="preserve">En respuesta, el Sujeto Obligado </w:t>
      </w:r>
      <w:r w:rsidR="005E692D">
        <w:rPr>
          <w:rFonts w:ascii="Palatino Linotype" w:hAnsi="Palatino Linotype" w:cs="Arial"/>
          <w:sz w:val="24"/>
        </w:rPr>
        <w:t xml:space="preserve">señaló que la información solicitada podía ser consultada en dos ligas electrónicas que remitió, aunado a ello adjuntó un contrato de arrendamiento celebrado por el Ayuntamiento de Aculco. </w:t>
      </w:r>
    </w:p>
    <w:p w:rsidR="005E692D" w:rsidRPr="005E692D" w:rsidRDefault="005E692D" w:rsidP="005E692D">
      <w:pPr>
        <w:pStyle w:val="Prrafodelista"/>
        <w:rPr>
          <w:rFonts w:ascii="Palatino Linotype" w:hAnsi="Palatino Linotype" w:cs="Arial"/>
          <w:sz w:val="24"/>
        </w:rPr>
      </w:pPr>
    </w:p>
    <w:p w:rsidR="00266345" w:rsidRPr="00266345" w:rsidRDefault="005E692D" w:rsidP="00266345">
      <w:pPr>
        <w:pStyle w:val="Prrafodelista"/>
        <w:numPr>
          <w:ilvl w:val="0"/>
          <w:numId w:val="2"/>
        </w:numPr>
        <w:tabs>
          <w:tab w:val="left" w:pos="284"/>
          <w:tab w:val="left" w:pos="426"/>
        </w:tabs>
        <w:spacing w:line="360" w:lineRule="auto"/>
        <w:ind w:left="0" w:right="49" w:firstLine="0"/>
        <w:jc w:val="both"/>
        <w:rPr>
          <w:rFonts w:ascii="Palatino Linotype" w:hAnsi="Palatino Linotype" w:cs="Arial"/>
          <w:i/>
          <w:sz w:val="44"/>
        </w:rPr>
      </w:pPr>
      <w:r>
        <w:rPr>
          <w:rFonts w:ascii="Palatino Linotype" w:hAnsi="Palatino Linotype" w:cs="Arial"/>
          <w:sz w:val="24"/>
        </w:rPr>
        <w:lastRenderedPageBreak/>
        <w:t>Consecuentemente, el</w:t>
      </w:r>
      <w:r w:rsidR="005A630D" w:rsidRPr="00C673EE">
        <w:rPr>
          <w:rFonts w:ascii="Palatino Linotype" w:hAnsi="Palatino Linotype" w:cs="Arial"/>
          <w:sz w:val="24"/>
        </w:rPr>
        <w:t xml:space="preserve"> particular interpuso recurso de revisión; manifestó en sus motivos </w:t>
      </w:r>
      <w:r>
        <w:rPr>
          <w:rFonts w:ascii="Palatino Linotype" w:hAnsi="Palatino Linotype" w:cs="Arial"/>
          <w:sz w:val="24"/>
        </w:rPr>
        <w:t xml:space="preserve">de inconformidad </w:t>
      </w:r>
      <w:r w:rsidRPr="00C673EE">
        <w:rPr>
          <w:rFonts w:ascii="Palatino Linotype" w:hAnsi="Palatino Linotype" w:cs="Arial"/>
          <w:lang w:val="es-ES"/>
        </w:rPr>
        <w:t>“</w:t>
      </w:r>
      <w:r w:rsidRPr="001641A3">
        <w:rPr>
          <w:rFonts w:ascii="Palatino Linotype" w:hAnsi="Palatino Linotype" w:cs="Arial"/>
          <w:i/>
        </w:rPr>
        <w:t>Gracias por la información</w:t>
      </w:r>
      <w:r w:rsidRPr="00C673EE">
        <w:rPr>
          <w:rFonts w:ascii="Palatino Linotype" w:hAnsi="Palatino Linotype" w:cs="Arial"/>
          <w:i/>
          <w:lang w:val="es-ES"/>
        </w:rPr>
        <w:t>”</w:t>
      </w:r>
      <w:r>
        <w:rPr>
          <w:rFonts w:ascii="Palatino Linotype" w:hAnsi="Palatino Linotype" w:cs="Arial"/>
          <w:i/>
          <w:lang w:val="es-ES"/>
        </w:rPr>
        <w:t>.</w:t>
      </w:r>
    </w:p>
    <w:p w:rsidR="00266345" w:rsidRPr="00266345" w:rsidRDefault="00266345" w:rsidP="00266345">
      <w:pPr>
        <w:pStyle w:val="Prrafodelista"/>
        <w:tabs>
          <w:tab w:val="left" w:pos="284"/>
          <w:tab w:val="left" w:pos="426"/>
        </w:tabs>
        <w:spacing w:line="360" w:lineRule="auto"/>
        <w:ind w:left="0" w:right="49"/>
        <w:jc w:val="both"/>
        <w:rPr>
          <w:rFonts w:ascii="Palatino Linotype" w:hAnsi="Palatino Linotype" w:cs="Arial"/>
          <w:i/>
          <w:sz w:val="24"/>
        </w:rPr>
      </w:pPr>
    </w:p>
    <w:p w:rsidR="00266345" w:rsidRPr="00266345" w:rsidRDefault="00266345" w:rsidP="00266345">
      <w:pPr>
        <w:pStyle w:val="Prrafodelista"/>
        <w:numPr>
          <w:ilvl w:val="0"/>
          <w:numId w:val="2"/>
        </w:numPr>
        <w:spacing w:line="360" w:lineRule="auto"/>
        <w:ind w:left="0" w:right="49" w:firstLine="0"/>
        <w:jc w:val="both"/>
        <w:rPr>
          <w:rFonts w:ascii="Palatino Linotype" w:hAnsi="Palatino Linotype" w:cs="Arial"/>
          <w:color w:val="000000"/>
          <w:sz w:val="24"/>
        </w:rPr>
      </w:pPr>
      <w:r w:rsidRPr="00266345">
        <w:rPr>
          <w:rFonts w:ascii="Palatino Linotype" w:hAnsi="Palatino Linotype" w:cs="Arial"/>
          <w:color w:val="000000"/>
          <w:sz w:val="24"/>
        </w:rPr>
        <w:t xml:space="preserve">De lo anterior, se advierte que los motivos o razones de inconformidad no guardan relación ni con la solicitud de acceso a la información, ni con la respuesta emitida por el Sujeto Obligado. </w:t>
      </w:r>
      <w:r>
        <w:rPr>
          <w:rFonts w:ascii="Palatino Linotype" w:hAnsi="Palatino Linotype" w:cs="Arial"/>
          <w:color w:val="000000"/>
          <w:sz w:val="24"/>
        </w:rPr>
        <w:t xml:space="preserve">Si bien, el particular interpuso recurso de revisión, también se advierte que los motivos de inconformidad son para agradecer la entrega de la información, en consecuencia son inoperantes los agravios hechos vales por el Recurrente, </w:t>
      </w:r>
      <w:r w:rsidRPr="00266345">
        <w:rPr>
          <w:rFonts w:ascii="Palatino Linotype" w:hAnsi="Palatino Linotype" w:cs="Arial"/>
          <w:color w:val="000000"/>
          <w:sz w:val="24"/>
        </w:rPr>
        <w:t>determinándose improcedentes.</w:t>
      </w:r>
    </w:p>
    <w:p w:rsidR="00266345" w:rsidRPr="00F06E5B" w:rsidRDefault="00266345" w:rsidP="00266345">
      <w:pPr>
        <w:pStyle w:val="Prrafodelista"/>
        <w:rPr>
          <w:rFonts w:ascii="Palatino Linotype" w:hAnsi="Palatino Linotype" w:cs="Arial"/>
          <w:color w:val="000000"/>
        </w:rPr>
      </w:pPr>
    </w:p>
    <w:p w:rsidR="00266345" w:rsidRPr="00266345" w:rsidRDefault="00266345" w:rsidP="00266345">
      <w:pPr>
        <w:pStyle w:val="Prrafodelista"/>
        <w:numPr>
          <w:ilvl w:val="0"/>
          <w:numId w:val="2"/>
        </w:numPr>
        <w:spacing w:line="360" w:lineRule="auto"/>
        <w:ind w:left="0" w:right="49" w:firstLine="0"/>
        <w:jc w:val="both"/>
        <w:rPr>
          <w:rFonts w:ascii="Palatino Linotype" w:hAnsi="Palatino Linotype" w:cs="Arial"/>
          <w:color w:val="000000"/>
          <w:sz w:val="24"/>
        </w:rPr>
      </w:pPr>
      <w:r w:rsidRPr="00266345">
        <w:rPr>
          <w:rFonts w:ascii="Palatino Linotype" w:hAnsi="Palatino Linotype" w:cs="Arial"/>
          <w:color w:val="000000"/>
          <w:sz w:val="24"/>
        </w:rPr>
        <w:t xml:space="preserve">Sirve de sustento </w:t>
      </w:r>
      <w:r w:rsidRPr="00266345">
        <w:rPr>
          <w:rFonts w:ascii="Palatino Linotype" w:hAnsi="Palatino Linotype"/>
          <w:color w:val="000000"/>
          <w:sz w:val="24"/>
        </w:rPr>
        <w:t>la Jurisprudencia No. 29 visible a foja 19 del Apéndice al Semanario Judicial de la Federación 1917-1995, Torno VI, Materia Común, Primera Parte, Tesis de la Suprema Corte de Justicia, que contiene:</w:t>
      </w:r>
    </w:p>
    <w:p w:rsidR="00471AD6" w:rsidRPr="00266345" w:rsidRDefault="00266345" w:rsidP="00266345">
      <w:pPr>
        <w:shd w:val="clear" w:color="auto" w:fill="FFFFFF"/>
        <w:spacing w:before="240" w:after="240" w:line="360" w:lineRule="auto"/>
        <w:ind w:left="567" w:right="567"/>
        <w:jc w:val="both"/>
        <w:rPr>
          <w:rFonts w:ascii="Palatino Linotype" w:hAnsi="Palatino Linotype"/>
          <w:i/>
          <w:iCs/>
          <w:color w:val="000000"/>
          <w:sz w:val="22"/>
          <w:szCs w:val="22"/>
        </w:rPr>
      </w:pPr>
      <w:r w:rsidRPr="00B9068E">
        <w:rPr>
          <w:rFonts w:ascii="Palatino Linotype" w:hAnsi="Palatino Linotype"/>
          <w:b/>
          <w:bCs/>
          <w:i/>
          <w:iCs/>
          <w:color w:val="000000"/>
          <w:sz w:val="22"/>
          <w:szCs w:val="22"/>
        </w:rPr>
        <w:t>AGRAVIOS EN LA REVISION. DEBEN ESTAR EN RELACION DIRECTA CON LOS FUNDAMENTOS Y CONSIDERACIONES DE LA SENTENCIA</w:t>
      </w:r>
      <w:r w:rsidRPr="00B9068E">
        <w:rPr>
          <w:rFonts w:ascii="Palatino Linotype" w:hAnsi="Palatino Linotype"/>
          <w:i/>
          <w:iCs/>
          <w:color w:val="000000"/>
          <w:sz w:val="22"/>
          <w:szCs w:val="22"/>
        </w:rPr>
        <w:t xml:space="preserve">.- Los agravios deben estar en relación directa e inmediata con los fundamentos contenidos en la sentencia que se recurre, y forzosamente deben contener, no sólo la cita de las disposiciones legales que se estimen infringidas y su concepto, sino también la concordancia entre aquellas, este y las consideraciones que fundamenten esa propia sentencia, pues de adoptar lo contrario, resultaría la introducción de nuevas cuestiones en la revisión, que no constituyen su materia, toda vez que esta se limita al estudio integral del fallo que se combate, con vista de los motivos de inconformidad que plantean los recurrentes. </w:t>
      </w:r>
    </w:p>
    <w:p w:rsidR="005E692D" w:rsidRPr="005E692D" w:rsidRDefault="00471AD6" w:rsidP="00C673EE">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sidRPr="00C673EE">
        <w:rPr>
          <w:rFonts w:ascii="Palatino Linotype" w:hAnsi="Palatino Linotype" w:cs="Arial"/>
          <w:sz w:val="24"/>
        </w:rPr>
        <w:t>En este caso, este Órgano Garante</w:t>
      </w:r>
      <w:r w:rsidRPr="00C673EE">
        <w:rPr>
          <w:rFonts w:ascii="Palatino Linotype" w:hAnsi="Palatino Linotype"/>
          <w:color w:val="000000" w:themeColor="text1"/>
          <w:sz w:val="24"/>
        </w:rPr>
        <w:t xml:space="preserve"> advierte que </w:t>
      </w:r>
      <w:r w:rsidR="005A630D" w:rsidRPr="00C673EE">
        <w:rPr>
          <w:rFonts w:ascii="Palatino Linotype" w:hAnsi="Palatino Linotype"/>
          <w:color w:val="000000" w:themeColor="text1"/>
          <w:sz w:val="24"/>
        </w:rPr>
        <w:t xml:space="preserve">las </w:t>
      </w:r>
      <w:r w:rsidRPr="00C673EE">
        <w:rPr>
          <w:rFonts w:ascii="Palatino Linotype" w:hAnsi="Palatino Linotype"/>
          <w:bCs/>
          <w:sz w:val="24"/>
        </w:rPr>
        <w:t xml:space="preserve">manifestaciones </w:t>
      </w:r>
      <w:r w:rsidR="005A630D" w:rsidRPr="00C673EE">
        <w:rPr>
          <w:rFonts w:ascii="Palatino Linotype" w:hAnsi="Palatino Linotype"/>
          <w:bCs/>
          <w:sz w:val="24"/>
        </w:rPr>
        <w:t xml:space="preserve">vertidas por el </w:t>
      </w:r>
      <w:r w:rsidR="005A630D" w:rsidRPr="00C673EE">
        <w:rPr>
          <w:rFonts w:ascii="Palatino Linotype" w:hAnsi="Palatino Linotype"/>
          <w:b/>
          <w:bCs/>
          <w:sz w:val="24"/>
        </w:rPr>
        <w:t>RECURRENTE</w:t>
      </w:r>
      <w:r w:rsidR="005A630D" w:rsidRPr="00C673EE">
        <w:rPr>
          <w:rFonts w:ascii="Palatino Linotype" w:hAnsi="Palatino Linotype"/>
          <w:bCs/>
          <w:sz w:val="24"/>
        </w:rPr>
        <w:t xml:space="preserve"> </w:t>
      </w:r>
      <w:r w:rsidRPr="00C673EE">
        <w:rPr>
          <w:rFonts w:ascii="Palatino Linotype" w:hAnsi="Palatino Linotype"/>
          <w:bCs/>
          <w:sz w:val="24"/>
        </w:rPr>
        <w:t>resultan inoperantes en e</w:t>
      </w:r>
      <w:r w:rsidR="005E692D">
        <w:rPr>
          <w:rFonts w:ascii="Palatino Linotype" w:hAnsi="Palatino Linotype"/>
          <w:bCs/>
          <w:sz w:val="24"/>
        </w:rPr>
        <w:t>l presente recurso de revisión.</w:t>
      </w:r>
    </w:p>
    <w:p w:rsidR="005E692D" w:rsidRPr="005E692D" w:rsidRDefault="005E692D" w:rsidP="005E692D">
      <w:pPr>
        <w:pStyle w:val="Prrafodelista"/>
        <w:rPr>
          <w:rFonts w:ascii="Palatino Linotype" w:eastAsia="MS Mincho" w:hAnsi="Palatino Linotype" w:cs="Arial"/>
          <w:sz w:val="24"/>
          <w:lang w:val="es-ES_tradnl" w:eastAsia="es-ES"/>
        </w:rPr>
      </w:pPr>
    </w:p>
    <w:p w:rsidR="004342F1" w:rsidRPr="00A51DE7" w:rsidRDefault="00A51DE7" w:rsidP="00A51DE7">
      <w:pPr>
        <w:pStyle w:val="Prrafodelista"/>
        <w:numPr>
          <w:ilvl w:val="0"/>
          <w:numId w:val="2"/>
        </w:numPr>
        <w:tabs>
          <w:tab w:val="left" w:pos="284"/>
          <w:tab w:val="left" w:pos="426"/>
        </w:tabs>
        <w:spacing w:line="360" w:lineRule="auto"/>
        <w:ind w:left="0" w:right="49" w:firstLine="0"/>
        <w:jc w:val="both"/>
        <w:rPr>
          <w:rFonts w:ascii="Palatino Linotype" w:hAnsi="Palatino Linotype" w:cs="Arial"/>
          <w:sz w:val="24"/>
        </w:rPr>
      </w:pPr>
      <w:r>
        <w:rPr>
          <w:rFonts w:ascii="Palatino Linotype" w:eastAsia="MS Mincho" w:hAnsi="Palatino Linotype" w:cs="Arial"/>
          <w:sz w:val="24"/>
          <w:lang w:val="es-ES_tradnl" w:eastAsia="es-ES"/>
        </w:rPr>
        <w:lastRenderedPageBreak/>
        <w:t>Bajo ese contexto</w:t>
      </w:r>
      <w:r w:rsidR="004342F1" w:rsidRPr="00A51DE7">
        <w:rPr>
          <w:rFonts w:ascii="Palatino Linotype" w:hAnsi="Palatino Linotype" w:cs="Arial"/>
          <w:sz w:val="24"/>
        </w:rPr>
        <w:t>, es importante precisar que este Instituto de Transparencia como Órgano Garante de la difusión, protección y respeto al derecho de acceso a la información pública y a la protección de datos personales, conforme a su naturaleza jurídica y en términos del artículo 179 de la Ley de Transparencia y Acceso a la Información Pública del Estado de México, es competente para resolver los recursos de revisión, cuando se actualice cualquiera de las siguientes causas:</w:t>
      </w:r>
    </w:p>
    <w:p w:rsidR="004342F1" w:rsidRPr="00C673EE" w:rsidRDefault="004342F1" w:rsidP="00C673EE">
      <w:pPr>
        <w:pStyle w:val="Prrafodelista"/>
        <w:spacing w:line="360" w:lineRule="auto"/>
        <w:ind w:left="360"/>
        <w:jc w:val="both"/>
        <w:rPr>
          <w:rFonts w:ascii="Palatino Linotype" w:hAnsi="Palatino Linotype"/>
          <w:bCs/>
        </w:rPr>
      </w:pP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w:t>
      </w:r>
      <w:r w:rsidRPr="00C673EE">
        <w:rPr>
          <w:rFonts w:ascii="Palatino Linotype" w:hAnsi="Palatino Linotype" w:cs="Arial"/>
          <w:b/>
          <w:i/>
        </w:rPr>
        <w:t>Artículo 179</w:t>
      </w:r>
      <w:r w:rsidRPr="00C673EE">
        <w:rPr>
          <w:rFonts w:ascii="Palatino Linotype" w:hAnsi="Palatino Linotype" w:cs="Arial"/>
          <w:i/>
        </w:rPr>
        <w:t>. El recurso de revisión es un medio de protección que la Ley otorga a los particulares, para hacer valer su derecho de acceso a la información pública, y procederá en contra de las siguientes causas:</w:t>
      </w:r>
    </w:p>
    <w:p w:rsidR="004342F1" w:rsidRPr="00C673EE" w:rsidRDefault="004342F1" w:rsidP="00C673EE">
      <w:pPr>
        <w:pStyle w:val="Prrafodelista"/>
        <w:spacing w:line="360" w:lineRule="auto"/>
        <w:ind w:left="360" w:right="757"/>
        <w:jc w:val="both"/>
        <w:rPr>
          <w:rFonts w:ascii="Palatino Linotype" w:hAnsi="Palatino Linotype" w:cs="Arial"/>
          <w:i/>
        </w:rPr>
      </w:pP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 La negativa a la información solicitada;</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II. La clasificación de la información;</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III. La declaración de inexistencia de la información;</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IV. La declaración de incompetencia por el sujeto obligado;</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 La entrega de información incompleta;</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 La entrega de información que no corresponda con lo solicitado;</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VII. La falta de respuesta a una solicitud de acceso a la información;</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VIII. La notificación, entrega o puesta a disposición de información en una modalidad o formato distinto al solicitado;</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IX. La entrega o puesta a disposición de información en un formato incomprensible y/o no accesible para el solicitante;</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 Los costos o tiempos de entrega de la información;</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 La falta de trámite a una solicitud;</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XII. La negativa a permitir la consulta directa de la información;</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lastRenderedPageBreak/>
        <w:t>XIII. La falta, deficiencia o insuficiencia de la fundamentación y/o motivación en la respuesta; y</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XIV. La orientación a un trámite específico.</w:t>
      </w:r>
    </w:p>
    <w:p w:rsidR="004342F1" w:rsidRPr="00C673EE" w:rsidRDefault="004342F1" w:rsidP="00C673EE">
      <w:pPr>
        <w:pStyle w:val="Prrafodelista"/>
        <w:spacing w:line="360" w:lineRule="auto"/>
        <w:ind w:left="360" w:right="757"/>
        <w:jc w:val="both"/>
        <w:rPr>
          <w:rFonts w:ascii="Palatino Linotype" w:hAnsi="Palatino Linotype" w:cs="Arial"/>
          <w:i/>
        </w:rPr>
      </w:pPr>
      <w:r w:rsidRPr="00C673EE">
        <w:rPr>
          <w:rFonts w:ascii="Palatino Linotype" w:hAnsi="Palatino Linotype" w:cs="Arial"/>
          <w:i/>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rsidR="004342F1" w:rsidRPr="00C673EE" w:rsidRDefault="004342F1" w:rsidP="00C673EE">
      <w:pPr>
        <w:pStyle w:val="Prrafodelista"/>
        <w:spacing w:line="360" w:lineRule="auto"/>
        <w:ind w:left="360" w:right="757"/>
        <w:jc w:val="both"/>
        <w:rPr>
          <w:rFonts w:ascii="Palatino Linotype" w:hAnsi="Palatino Linotype" w:cs="Arial"/>
          <w:i/>
          <w:sz w:val="24"/>
        </w:rPr>
      </w:pPr>
    </w:p>
    <w:p w:rsidR="00794522" w:rsidRPr="00794522" w:rsidRDefault="004342F1" w:rsidP="00794522">
      <w:pPr>
        <w:pStyle w:val="Prrafodelista"/>
        <w:numPr>
          <w:ilvl w:val="0"/>
          <w:numId w:val="2"/>
        </w:numPr>
        <w:tabs>
          <w:tab w:val="left" w:pos="567"/>
        </w:tabs>
        <w:spacing w:line="360" w:lineRule="auto"/>
        <w:ind w:left="0" w:firstLine="0"/>
        <w:jc w:val="both"/>
        <w:rPr>
          <w:rFonts w:ascii="Palatino Linotype" w:eastAsia="Calibri" w:hAnsi="Palatino Linotype" w:cs="Arial"/>
          <w:sz w:val="24"/>
        </w:rPr>
      </w:pPr>
      <w:r w:rsidRPr="004F386D">
        <w:rPr>
          <w:rFonts w:ascii="Palatino Linotype" w:hAnsi="Palatino Linotype" w:cs="Arial"/>
          <w:sz w:val="24"/>
        </w:rPr>
        <w:t xml:space="preserve">En tal virtud, al no actualizarse ninguno de los supuestos aludidos, </w:t>
      </w:r>
      <w:r w:rsidR="00794522" w:rsidRPr="004F386D">
        <w:rPr>
          <w:rFonts w:ascii="Palatino Linotype" w:eastAsia="Calibri" w:hAnsi="Palatino Linotype" w:cs="Arial"/>
          <w:sz w:val="24"/>
        </w:rPr>
        <w:t xml:space="preserve">el recurso de revisión deben ser desechados por improcedentes; </w:t>
      </w:r>
      <w:r w:rsidR="00BD13E0" w:rsidRPr="004F386D">
        <w:rPr>
          <w:rFonts w:ascii="Palatino Linotype" w:eastAsia="Calibri" w:hAnsi="Palatino Linotype" w:cs="Arial"/>
          <w:sz w:val="24"/>
        </w:rPr>
        <w:t>ello de conformidad con el artículo 191 fracción III, por lo que</w:t>
      </w:r>
      <w:r w:rsidR="00BD13E0">
        <w:rPr>
          <w:rFonts w:ascii="Palatino Linotype" w:eastAsia="Calibri" w:hAnsi="Palatino Linotype" w:cs="Arial"/>
          <w:sz w:val="24"/>
        </w:rPr>
        <w:t xml:space="preserve"> </w:t>
      </w:r>
      <w:r w:rsidR="00794522" w:rsidRPr="00794522">
        <w:rPr>
          <w:rFonts w:ascii="Palatino Linotype" w:eastAsia="Calibri" w:hAnsi="Palatino Linotype" w:cs="Arial"/>
          <w:sz w:val="24"/>
        </w:rPr>
        <w:t xml:space="preserve"> una vez admitido, procederá el sobreseimiento de acuerdo a lo que establece el artículo 192 fracción IV, de la multicitada Ley de Transparencia:</w:t>
      </w:r>
    </w:p>
    <w:p w:rsidR="00C673EE" w:rsidRPr="00794522" w:rsidRDefault="00C673EE" w:rsidP="00794522">
      <w:pPr>
        <w:pStyle w:val="Prrafodelista"/>
        <w:spacing w:line="360" w:lineRule="auto"/>
        <w:ind w:left="0" w:right="51"/>
        <w:jc w:val="both"/>
        <w:rPr>
          <w:rFonts w:ascii="Palatino Linotype" w:hAnsi="Palatino Linotype" w:cs="Arial"/>
          <w:i/>
        </w:rPr>
      </w:pPr>
    </w:p>
    <w:p w:rsidR="004342F1" w:rsidRPr="00C673EE" w:rsidRDefault="004342F1" w:rsidP="00C673EE">
      <w:pPr>
        <w:pStyle w:val="Prrafodelista"/>
        <w:spacing w:line="360" w:lineRule="auto"/>
        <w:ind w:left="851" w:right="822"/>
        <w:jc w:val="both"/>
        <w:rPr>
          <w:rFonts w:ascii="Palatino Linotype" w:hAnsi="Palatino Linotype"/>
          <w:i/>
        </w:rPr>
      </w:pPr>
      <w:r w:rsidRPr="00C673EE">
        <w:rPr>
          <w:rFonts w:ascii="Palatino Linotype" w:hAnsi="Palatino Linotype" w:cs="Arial"/>
          <w:i/>
        </w:rPr>
        <w:t>“</w:t>
      </w:r>
      <w:r w:rsidRPr="00C673EE">
        <w:rPr>
          <w:rFonts w:ascii="Palatino Linotype" w:hAnsi="Palatino Linotype"/>
          <w:i/>
        </w:rPr>
        <w:t xml:space="preserve">Artículo 192. El recurso será sobreseído, en todo o en parte, cuando una vez admitido, se actualicen alguno de los siguientes supuestos: </w:t>
      </w:r>
    </w:p>
    <w:p w:rsidR="004342F1" w:rsidRPr="00C673EE" w:rsidRDefault="004342F1" w:rsidP="00C673EE">
      <w:pPr>
        <w:pStyle w:val="Prrafodelista"/>
        <w:spacing w:line="360" w:lineRule="auto"/>
        <w:ind w:left="851" w:right="822"/>
        <w:jc w:val="both"/>
        <w:rPr>
          <w:rFonts w:ascii="Palatino Linotype" w:hAnsi="Palatino Linotype"/>
          <w:i/>
        </w:rPr>
      </w:pPr>
      <w:r w:rsidRPr="00C673EE">
        <w:rPr>
          <w:rFonts w:ascii="Palatino Linotype" w:hAnsi="Palatino Linotype"/>
          <w:i/>
        </w:rPr>
        <w:t xml:space="preserve">I. El recurrente se desista expresamente del recurso; </w:t>
      </w:r>
    </w:p>
    <w:p w:rsidR="004342F1" w:rsidRPr="00C673EE" w:rsidRDefault="004342F1" w:rsidP="00C673EE">
      <w:pPr>
        <w:pStyle w:val="Prrafodelista"/>
        <w:spacing w:line="360" w:lineRule="auto"/>
        <w:ind w:left="851" w:right="822"/>
        <w:rPr>
          <w:rFonts w:ascii="Palatino Linotype" w:hAnsi="Palatino Linotype"/>
          <w:i/>
        </w:rPr>
      </w:pPr>
      <w:r w:rsidRPr="00C673EE">
        <w:rPr>
          <w:rFonts w:ascii="Palatino Linotype" w:hAnsi="Palatino Linotype"/>
          <w:i/>
        </w:rPr>
        <w:t xml:space="preserve">II. El recurrente fallezca o, tratándose de personas jurídicas colectivas, se disuelva; </w:t>
      </w:r>
    </w:p>
    <w:p w:rsidR="004342F1" w:rsidRPr="00C673EE" w:rsidRDefault="004342F1" w:rsidP="00C673EE">
      <w:pPr>
        <w:pStyle w:val="Prrafodelista"/>
        <w:spacing w:line="360" w:lineRule="auto"/>
        <w:ind w:left="851" w:right="822"/>
        <w:rPr>
          <w:rFonts w:ascii="Palatino Linotype" w:hAnsi="Palatino Linotype"/>
          <w:i/>
        </w:rPr>
      </w:pPr>
      <w:r w:rsidRPr="00C673EE">
        <w:rPr>
          <w:rFonts w:ascii="Palatino Linotype" w:hAnsi="Palatino Linotype"/>
          <w:i/>
        </w:rPr>
        <w:t xml:space="preserve">III. El sujeto obligado responsable del acto lo modifique o revoque de tal manera que el recurso de revisión quede sin materia; </w:t>
      </w:r>
    </w:p>
    <w:p w:rsidR="004342F1" w:rsidRPr="00C673EE" w:rsidRDefault="004342F1" w:rsidP="00BD13E0">
      <w:pPr>
        <w:pStyle w:val="Prrafodelista"/>
        <w:spacing w:line="360" w:lineRule="auto"/>
        <w:ind w:left="851" w:right="822"/>
        <w:jc w:val="both"/>
        <w:rPr>
          <w:rFonts w:ascii="Palatino Linotype" w:hAnsi="Palatino Linotype"/>
          <w:i/>
        </w:rPr>
      </w:pPr>
      <w:r w:rsidRPr="00C673EE">
        <w:rPr>
          <w:rFonts w:ascii="Palatino Linotype" w:hAnsi="Palatino Linotype"/>
          <w:i/>
        </w:rPr>
        <w:t xml:space="preserve">IV. </w:t>
      </w:r>
      <w:r w:rsidRPr="00C673EE">
        <w:rPr>
          <w:rFonts w:ascii="Palatino Linotype" w:hAnsi="Palatino Linotype"/>
          <w:b/>
          <w:i/>
        </w:rPr>
        <w:t>Admitido el recurso de revisión, aparezca alguna causal de improcedencia en los términos de la presente Ley; y</w:t>
      </w:r>
      <w:r w:rsidRPr="00C673EE">
        <w:rPr>
          <w:rFonts w:ascii="Palatino Linotype" w:hAnsi="Palatino Linotype"/>
          <w:i/>
        </w:rPr>
        <w:t xml:space="preserve"> </w:t>
      </w:r>
    </w:p>
    <w:p w:rsidR="004342F1" w:rsidRPr="00C673EE" w:rsidRDefault="004342F1" w:rsidP="00C673EE">
      <w:pPr>
        <w:pStyle w:val="Prrafodelista"/>
        <w:spacing w:line="360" w:lineRule="auto"/>
        <w:ind w:left="851" w:right="822"/>
        <w:rPr>
          <w:rFonts w:ascii="Palatino Linotype" w:hAnsi="Palatino Linotype" w:cs="Arial"/>
          <w:b/>
          <w:i/>
        </w:rPr>
      </w:pPr>
      <w:r w:rsidRPr="00C673EE">
        <w:rPr>
          <w:rFonts w:ascii="Palatino Linotype" w:hAnsi="Palatino Linotype"/>
          <w:i/>
        </w:rPr>
        <w:t>V. Cuando por cualquier motivo quede sin materia el recurso.</w:t>
      </w:r>
      <w:r w:rsidRPr="00C673EE">
        <w:rPr>
          <w:rFonts w:ascii="Palatino Linotype" w:hAnsi="Palatino Linotype" w:cs="Arial"/>
          <w:i/>
        </w:rPr>
        <w:t>”</w:t>
      </w:r>
    </w:p>
    <w:p w:rsidR="004342F1" w:rsidRPr="00C673EE" w:rsidRDefault="004342F1" w:rsidP="00C673EE">
      <w:pPr>
        <w:pStyle w:val="Prrafodelista"/>
        <w:spacing w:line="360" w:lineRule="auto"/>
        <w:ind w:left="851" w:right="822"/>
        <w:jc w:val="both"/>
        <w:rPr>
          <w:rFonts w:ascii="Palatino Linotype" w:hAnsi="Palatino Linotype" w:cs="Arial"/>
        </w:rPr>
      </w:pPr>
      <w:r w:rsidRPr="00C673EE">
        <w:rPr>
          <w:rFonts w:ascii="Palatino Linotype" w:hAnsi="Palatino Linotype" w:cs="Arial"/>
        </w:rPr>
        <w:t>(Énfasis añadido)</w:t>
      </w:r>
    </w:p>
    <w:p w:rsidR="003C7587" w:rsidRPr="00C673EE" w:rsidRDefault="003C7587" w:rsidP="00C673EE">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rsidR="00C673EE" w:rsidRPr="00C673EE" w:rsidRDefault="004342F1" w:rsidP="00C673EE">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sidRPr="00C673EE">
        <w:rPr>
          <w:rFonts w:ascii="Palatino Linotype" w:hAnsi="Palatino Linotype"/>
          <w:color w:val="000000"/>
          <w:sz w:val="24"/>
        </w:rPr>
        <w:t xml:space="preserve">En consecuencia, </w:t>
      </w:r>
      <w:r w:rsidRPr="00C673EE">
        <w:rPr>
          <w:rFonts w:ascii="Palatino Linotype" w:hAnsi="Palatino Linotype"/>
          <w:sz w:val="24"/>
        </w:rPr>
        <w:t xml:space="preserve">se </w:t>
      </w:r>
      <w:r w:rsidRPr="00C673EE">
        <w:rPr>
          <w:rFonts w:ascii="Palatino Linotype" w:hAnsi="Palatino Linotype" w:cs="Arial"/>
          <w:sz w:val="24"/>
          <w:lang w:val="es-ES_tradnl"/>
        </w:rPr>
        <w:t xml:space="preserve">determina </w:t>
      </w:r>
      <w:r w:rsidRPr="00C673EE">
        <w:rPr>
          <w:rFonts w:ascii="Palatino Linotype" w:hAnsi="Palatino Linotype" w:cs="Arial"/>
          <w:b/>
          <w:sz w:val="24"/>
          <w:lang w:val="es-ES_tradnl"/>
        </w:rPr>
        <w:t>SOBRESEER</w:t>
      </w:r>
      <w:r w:rsidRPr="00C673EE">
        <w:rPr>
          <w:rFonts w:ascii="Palatino Linotype" w:hAnsi="Palatino Linotype" w:cs="Arial"/>
          <w:sz w:val="24"/>
          <w:lang w:val="es-ES_tradnl"/>
        </w:rPr>
        <w:t xml:space="preserve"> el presente recurso de revisión, en </w:t>
      </w:r>
      <w:r w:rsidRPr="00C673EE">
        <w:rPr>
          <w:rFonts w:ascii="Palatino Linotype" w:hAnsi="Palatino Linotype"/>
          <w:bCs/>
          <w:sz w:val="24"/>
        </w:rPr>
        <w:t>términos</w:t>
      </w:r>
      <w:r w:rsidRPr="00C673EE">
        <w:rPr>
          <w:rFonts w:ascii="Palatino Linotype" w:hAnsi="Palatino Linotype" w:cs="Arial"/>
          <w:sz w:val="24"/>
          <w:lang w:val="es-ES_tradnl"/>
        </w:rPr>
        <w:t xml:space="preserve"> del artículo 186, fracción I, de la </w:t>
      </w:r>
      <w:r w:rsidRPr="00C673EE">
        <w:rPr>
          <w:rFonts w:ascii="Palatino Linotype" w:eastAsia="Calibri" w:hAnsi="Palatino Linotype" w:cs="Arial"/>
          <w:sz w:val="24"/>
        </w:rPr>
        <w:t xml:space="preserve">Ley de Transparencia y Acceso a la </w:t>
      </w:r>
      <w:r w:rsidRPr="00C673EE">
        <w:rPr>
          <w:rFonts w:ascii="Palatino Linotype" w:eastAsia="Calibri" w:hAnsi="Palatino Linotype" w:cs="Arial"/>
          <w:sz w:val="24"/>
        </w:rPr>
        <w:lastRenderedPageBreak/>
        <w:t xml:space="preserve">Información Pública del Estado de México y Municipios dado a que la solicitud de mérito no constituye el Derecho de </w:t>
      </w:r>
      <w:r w:rsidR="00C673EE" w:rsidRPr="00C673EE">
        <w:rPr>
          <w:rFonts w:ascii="Palatino Linotype" w:eastAsia="Calibri" w:hAnsi="Palatino Linotype" w:cs="Arial"/>
          <w:sz w:val="24"/>
        </w:rPr>
        <w:t>Acceso a la Información Pública.</w:t>
      </w:r>
      <w:bookmarkStart w:id="38" w:name="_Toc466371865"/>
      <w:bookmarkStart w:id="39" w:name="_Toc466377653"/>
      <w:bookmarkStart w:id="40" w:name="_Toc495427547"/>
      <w:bookmarkStart w:id="41" w:name="_Toc497905366"/>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C673EE" w:rsidRPr="00C673EE" w:rsidRDefault="00C673EE" w:rsidP="00C673EE">
      <w:pPr>
        <w:pStyle w:val="Prrafodelista"/>
        <w:widowControl w:val="0"/>
        <w:autoSpaceDE w:val="0"/>
        <w:autoSpaceDN w:val="0"/>
        <w:adjustRightInd w:val="0"/>
        <w:spacing w:line="360" w:lineRule="auto"/>
        <w:ind w:left="0"/>
        <w:jc w:val="both"/>
        <w:rPr>
          <w:rFonts w:ascii="Palatino Linotype" w:eastAsia="Calibri" w:hAnsi="Palatino Linotype" w:cs="Arial"/>
          <w:sz w:val="24"/>
        </w:rPr>
      </w:pPr>
    </w:p>
    <w:p w:rsidR="00C673EE" w:rsidRPr="00A51DE7" w:rsidRDefault="00207D17" w:rsidP="00C673EE">
      <w:pPr>
        <w:pStyle w:val="Prrafodelista"/>
        <w:widowControl w:val="0"/>
        <w:numPr>
          <w:ilvl w:val="0"/>
          <w:numId w:val="2"/>
        </w:numPr>
        <w:autoSpaceDE w:val="0"/>
        <w:autoSpaceDN w:val="0"/>
        <w:adjustRightInd w:val="0"/>
        <w:spacing w:line="360" w:lineRule="auto"/>
        <w:ind w:left="0" w:firstLine="0"/>
        <w:jc w:val="both"/>
        <w:rPr>
          <w:rFonts w:ascii="Palatino Linotype" w:eastAsia="Calibri" w:hAnsi="Palatino Linotype" w:cs="Arial"/>
          <w:sz w:val="24"/>
        </w:rPr>
      </w:pPr>
      <w:r w:rsidRPr="00C673EE">
        <w:rPr>
          <w:rFonts w:ascii="Palatino Linotype" w:eastAsia="MS Mincho" w:hAnsi="Palatino Linotype"/>
          <w:color w:val="000000"/>
          <w:sz w:val="24"/>
        </w:rPr>
        <w:t xml:space="preserve">Por lo anteriormente expuesto y fundado, este Órgano Garante emite los siguientes: </w:t>
      </w:r>
    </w:p>
    <w:p w:rsidR="00C673EE" w:rsidRPr="00C673EE" w:rsidRDefault="00C673EE" w:rsidP="00C673EE">
      <w:pPr>
        <w:spacing w:line="360" w:lineRule="auto"/>
        <w:rPr>
          <w:rFonts w:ascii="Palatino Linotype" w:eastAsia="MS Mincho" w:hAnsi="Palatino Linotype"/>
          <w:color w:val="000000"/>
        </w:rPr>
      </w:pPr>
    </w:p>
    <w:p w:rsidR="00207D17" w:rsidRPr="00C673EE" w:rsidRDefault="00207D17" w:rsidP="00C673EE">
      <w:pPr>
        <w:pStyle w:val="Ttulo1"/>
        <w:spacing w:before="0" w:line="360" w:lineRule="auto"/>
        <w:jc w:val="center"/>
        <w:rPr>
          <w:rFonts w:ascii="Palatino Linotype" w:hAnsi="Palatino Linotype"/>
          <w:b/>
          <w:color w:val="000000" w:themeColor="text1"/>
          <w:sz w:val="24"/>
          <w:szCs w:val="24"/>
        </w:rPr>
      </w:pPr>
      <w:bookmarkStart w:id="42" w:name="_Toc81233128"/>
      <w:r w:rsidRPr="00C673EE">
        <w:rPr>
          <w:rFonts w:ascii="Palatino Linotype" w:hAnsi="Palatino Linotype"/>
          <w:b/>
          <w:color w:val="000000" w:themeColor="text1"/>
          <w:sz w:val="24"/>
          <w:szCs w:val="24"/>
        </w:rPr>
        <w:t>R E S O L U T I V O S</w:t>
      </w:r>
      <w:bookmarkEnd w:id="38"/>
      <w:bookmarkEnd w:id="39"/>
      <w:bookmarkEnd w:id="40"/>
      <w:bookmarkEnd w:id="41"/>
      <w:bookmarkEnd w:id="42"/>
    </w:p>
    <w:p w:rsidR="00207D17" w:rsidRPr="00C673EE" w:rsidRDefault="00207D17" w:rsidP="00C673EE">
      <w:pPr>
        <w:spacing w:line="360" w:lineRule="auto"/>
        <w:rPr>
          <w:rFonts w:ascii="Palatino Linotype" w:hAnsi="Palatino Linotype"/>
        </w:rPr>
      </w:pPr>
    </w:p>
    <w:p w:rsidR="000967D3" w:rsidRPr="00C673EE" w:rsidRDefault="000967D3" w:rsidP="00BD13E0">
      <w:pPr>
        <w:pStyle w:val="Sinespaciado"/>
        <w:spacing w:line="360" w:lineRule="auto"/>
        <w:jc w:val="both"/>
        <w:rPr>
          <w:rFonts w:ascii="Palatino Linotype" w:hAnsi="Palatino Linotype"/>
        </w:rPr>
      </w:pPr>
      <w:r w:rsidRPr="004F386D">
        <w:rPr>
          <w:rFonts w:ascii="Palatino Linotype" w:hAnsi="Palatino Linotype"/>
          <w:b/>
        </w:rPr>
        <w:t>PRIMERO</w:t>
      </w:r>
      <w:r w:rsidRPr="004F386D">
        <w:rPr>
          <w:rFonts w:ascii="Palatino Linotype" w:hAnsi="Palatino Linotype"/>
        </w:rPr>
        <w:t xml:space="preserve">. </w:t>
      </w:r>
      <w:r w:rsidR="00BD13E0" w:rsidRPr="004F386D">
        <w:rPr>
          <w:rFonts w:ascii="Palatino Linotype" w:hAnsi="Palatino Linotype"/>
          <w:szCs w:val="20"/>
        </w:rPr>
        <w:t xml:space="preserve">Se </w:t>
      </w:r>
      <w:r w:rsidR="00BD13E0" w:rsidRPr="004F386D">
        <w:rPr>
          <w:rFonts w:ascii="Palatino Linotype" w:eastAsia="Calibri" w:hAnsi="Palatino Linotype" w:cs="Arial"/>
          <w:b/>
          <w:bCs/>
          <w:sz w:val="24"/>
          <w:szCs w:val="24"/>
          <w:lang w:val="es-ES"/>
        </w:rPr>
        <w:t>SOBRESEE</w:t>
      </w:r>
      <w:r w:rsidR="00BD13E0" w:rsidRPr="004F386D">
        <w:rPr>
          <w:rFonts w:ascii="Palatino Linotype" w:eastAsia="Calibri" w:hAnsi="Palatino Linotype" w:cs="Arial"/>
          <w:bCs/>
          <w:sz w:val="24"/>
          <w:szCs w:val="24"/>
          <w:lang w:val="es-ES"/>
        </w:rPr>
        <w:t xml:space="preserve"> el recurso de revisión número </w:t>
      </w:r>
      <w:r w:rsidR="00BD13E0" w:rsidRPr="004F386D">
        <w:rPr>
          <w:rFonts w:ascii="Palatino Linotype" w:eastAsia="Calibri" w:hAnsi="Palatino Linotype" w:cs="Arial"/>
          <w:b/>
          <w:bCs/>
          <w:sz w:val="24"/>
          <w:szCs w:val="24"/>
          <w:lang w:val="es-ES"/>
        </w:rPr>
        <w:t>08818/INFOEM/IP/RR/2021</w:t>
      </w:r>
      <w:r w:rsidR="00BD13E0" w:rsidRPr="004F386D">
        <w:rPr>
          <w:rFonts w:ascii="Palatino Linotype" w:eastAsia="Calibri" w:hAnsi="Palatino Linotype" w:cs="Arial"/>
          <w:bCs/>
          <w:sz w:val="24"/>
          <w:szCs w:val="24"/>
          <w:lang w:val="es-ES"/>
        </w:rPr>
        <w:t xml:space="preserve"> conforme al artículo 192 fracción IV de la Ley de Transparencia y Acceso a la Información Pública del Estado de México y Municipios, en términos del Considerando TERCERO de la presente resolución.</w:t>
      </w:r>
      <w:r w:rsidR="00BD13E0" w:rsidRPr="00BD13E0">
        <w:rPr>
          <w:rFonts w:ascii="Palatino Linotype" w:hAnsi="Palatino Linotype"/>
          <w:szCs w:val="20"/>
        </w:rPr>
        <w:t xml:space="preserve"> </w:t>
      </w:r>
      <w:bookmarkStart w:id="43" w:name="_GoBack"/>
      <w:bookmarkEnd w:id="43"/>
    </w:p>
    <w:p w:rsidR="000967D3" w:rsidRPr="00C673EE" w:rsidRDefault="000967D3" w:rsidP="00C673EE">
      <w:pPr>
        <w:pStyle w:val="Sinespaciado"/>
        <w:spacing w:line="360" w:lineRule="auto"/>
        <w:ind w:left="851"/>
        <w:jc w:val="both"/>
        <w:rPr>
          <w:rFonts w:ascii="Palatino Linotype" w:hAnsi="Palatino Linotype"/>
          <w:sz w:val="20"/>
          <w:szCs w:val="20"/>
        </w:rPr>
      </w:pPr>
    </w:p>
    <w:p w:rsidR="000967D3" w:rsidRPr="00C673EE" w:rsidRDefault="000967D3" w:rsidP="00C673EE">
      <w:pPr>
        <w:pStyle w:val="Sinespaciado"/>
        <w:spacing w:line="360" w:lineRule="auto"/>
        <w:jc w:val="both"/>
        <w:rPr>
          <w:rFonts w:ascii="Palatino Linotype" w:eastAsia="Calibri" w:hAnsi="Palatino Linotype" w:cs="Arial"/>
          <w:b/>
          <w:bCs/>
          <w:sz w:val="24"/>
          <w:szCs w:val="24"/>
          <w:lang w:val="es-ES"/>
        </w:rPr>
      </w:pPr>
      <w:r w:rsidRPr="00C673EE">
        <w:rPr>
          <w:rFonts w:ascii="Palatino Linotype" w:eastAsia="Calibri" w:hAnsi="Palatino Linotype" w:cs="Arial"/>
          <w:b/>
          <w:bCs/>
          <w:sz w:val="24"/>
          <w:szCs w:val="24"/>
          <w:lang w:val="es-ES"/>
        </w:rPr>
        <w:t xml:space="preserve">SEGUNDO. REMÍTASE </w:t>
      </w:r>
      <w:r w:rsidRPr="00C673EE">
        <w:rPr>
          <w:rFonts w:ascii="Palatino Linotype" w:eastAsia="Calibri" w:hAnsi="Palatino Linotype" w:cs="Arial"/>
          <w:bCs/>
          <w:sz w:val="24"/>
          <w:szCs w:val="24"/>
          <w:lang w:val="es-ES"/>
        </w:rPr>
        <w:t xml:space="preserve">a través del Sistema de Acceso a la Información Mexiquense </w:t>
      </w:r>
      <w:r w:rsidRPr="00C673EE">
        <w:rPr>
          <w:rFonts w:ascii="Palatino Linotype" w:eastAsia="Calibri" w:hAnsi="Palatino Linotype" w:cs="Arial"/>
          <w:b/>
          <w:bCs/>
          <w:sz w:val="24"/>
          <w:szCs w:val="24"/>
          <w:lang w:val="es-ES"/>
        </w:rPr>
        <w:t xml:space="preserve">(SAIMEX) </w:t>
      </w:r>
      <w:r w:rsidRPr="00C673EE">
        <w:rPr>
          <w:rFonts w:ascii="Palatino Linotype" w:eastAsia="Calibri" w:hAnsi="Palatino Linotype" w:cs="Arial"/>
          <w:bCs/>
          <w:sz w:val="24"/>
          <w:szCs w:val="24"/>
          <w:lang w:val="es-ES"/>
        </w:rPr>
        <w:t>la presente resolución al Titular de la Unidad de Transparencia del</w:t>
      </w:r>
      <w:r w:rsidRPr="00C673EE">
        <w:rPr>
          <w:rFonts w:ascii="Palatino Linotype" w:eastAsia="Calibri" w:hAnsi="Palatino Linotype" w:cs="Arial"/>
          <w:b/>
          <w:bCs/>
          <w:sz w:val="24"/>
          <w:szCs w:val="24"/>
          <w:lang w:val="es-ES"/>
        </w:rPr>
        <w:t xml:space="preserve"> SUJETO OBLIGADO. </w:t>
      </w:r>
    </w:p>
    <w:p w:rsidR="000967D3" w:rsidRPr="00C673EE" w:rsidRDefault="000967D3" w:rsidP="00C673EE">
      <w:pPr>
        <w:pStyle w:val="Sinespaciado"/>
        <w:spacing w:line="360" w:lineRule="auto"/>
        <w:jc w:val="both"/>
        <w:rPr>
          <w:rFonts w:ascii="Palatino Linotype" w:eastAsia="Palatino Linotype" w:hAnsi="Palatino Linotype" w:cs="Palatino Linotype"/>
          <w:b/>
          <w:sz w:val="24"/>
          <w:szCs w:val="24"/>
        </w:rPr>
      </w:pPr>
    </w:p>
    <w:p w:rsidR="000967D3" w:rsidRDefault="000967D3" w:rsidP="00C673EE">
      <w:pPr>
        <w:pStyle w:val="Sinespaciado"/>
        <w:spacing w:line="360" w:lineRule="auto"/>
        <w:jc w:val="both"/>
        <w:rPr>
          <w:rFonts w:ascii="Palatino Linotype" w:eastAsia="Times New Roman" w:hAnsi="Palatino Linotype" w:cs="Times New Roman"/>
          <w:color w:val="222222"/>
          <w:sz w:val="24"/>
          <w:szCs w:val="24"/>
          <w:lang w:val="es-ES" w:eastAsia="es-MX"/>
        </w:rPr>
      </w:pPr>
      <w:r w:rsidRPr="00C673EE">
        <w:rPr>
          <w:rFonts w:ascii="Palatino Linotype" w:eastAsia="Times New Roman" w:hAnsi="Palatino Linotype" w:cs="Arial"/>
          <w:b/>
          <w:sz w:val="24"/>
          <w:szCs w:val="24"/>
        </w:rPr>
        <w:t xml:space="preserve">TERCERO. </w:t>
      </w:r>
      <w:r w:rsidRPr="00C673EE">
        <w:rPr>
          <w:rFonts w:ascii="Palatino Linotype" w:eastAsia="Times New Roman" w:hAnsi="Palatino Linotype" w:cs="Times New Roman"/>
          <w:b/>
          <w:bCs/>
          <w:color w:val="222222"/>
          <w:sz w:val="24"/>
          <w:szCs w:val="24"/>
          <w:lang w:val="es-ES"/>
        </w:rPr>
        <w:t xml:space="preserve">Notifíquese </w:t>
      </w:r>
      <w:r w:rsidRPr="00C673EE">
        <w:rPr>
          <w:rFonts w:ascii="Palatino Linotype" w:eastAsia="Times New Roman" w:hAnsi="Palatino Linotype" w:cs="Times New Roman"/>
          <w:bCs/>
          <w:color w:val="222222"/>
          <w:sz w:val="24"/>
          <w:szCs w:val="24"/>
          <w:lang w:val="es-ES"/>
        </w:rPr>
        <w:t xml:space="preserve">a la </w:t>
      </w:r>
      <w:r w:rsidRPr="00C673EE">
        <w:rPr>
          <w:rFonts w:ascii="Palatino Linotype" w:hAnsi="Palatino Linotype"/>
          <w:b/>
          <w:sz w:val="24"/>
          <w:szCs w:val="24"/>
        </w:rPr>
        <w:t xml:space="preserve">RECURRENTE </w:t>
      </w:r>
      <w:r w:rsidRPr="00C673EE">
        <w:rPr>
          <w:rFonts w:ascii="Palatino Linotype" w:eastAsia="Times New Roman" w:hAnsi="Palatino Linotype" w:cs="Times New Roman"/>
          <w:color w:val="222222"/>
          <w:sz w:val="24"/>
          <w:szCs w:val="24"/>
          <w:lang w:val="es-ES" w:eastAsia="es-MX"/>
        </w:rPr>
        <w:t>la presente resolución.</w:t>
      </w:r>
    </w:p>
    <w:p w:rsidR="00DB5D82" w:rsidRPr="00C673EE" w:rsidRDefault="00DB5D82" w:rsidP="00C673EE">
      <w:pPr>
        <w:pStyle w:val="Sinespaciado"/>
        <w:spacing w:line="360" w:lineRule="auto"/>
        <w:jc w:val="both"/>
        <w:rPr>
          <w:rFonts w:ascii="Palatino Linotype" w:eastAsia="Times New Roman" w:hAnsi="Palatino Linotype" w:cs="Times New Roman"/>
          <w:color w:val="222222"/>
          <w:sz w:val="24"/>
          <w:szCs w:val="24"/>
          <w:lang w:val="es-ES" w:eastAsia="es-MX"/>
        </w:rPr>
      </w:pPr>
    </w:p>
    <w:p w:rsidR="000967D3" w:rsidRPr="00C673EE" w:rsidRDefault="000967D3" w:rsidP="00C673EE">
      <w:pPr>
        <w:shd w:val="clear" w:color="auto" w:fill="FFFFFF"/>
        <w:spacing w:line="360" w:lineRule="auto"/>
        <w:jc w:val="both"/>
        <w:rPr>
          <w:rFonts w:ascii="Palatino Linotype" w:eastAsia="MS Mincho" w:hAnsi="Palatino Linotype"/>
          <w:lang w:val="es-ES"/>
        </w:rPr>
      </w:pPr>
      <w:r w:rsidRPr="00C673EE">
        <w:rPr>
          <w:rFonts w:ascii="Palatino Linotype" w:eastAsia="MS Mincho" w:hAnsi="Palatino Linotype"/>
          <w:b/>
        </w:rPr>
        <w:t>CUARTO.</w:t>
      </w:r>
      <w:r w:rsidRPr="00C673EE">
        <w:rPr>
          <w:rFonts w:ascii="Palatino Linotype" w:eastAsia="MS Mincho" w:hAnsi="Palatino Linotype"/>
        </w:rPr>
        <w:t xml:space="preserve"> </w:t>
      </w:r>
      <w:r w:rsidRPr="00C673EE">
        <w:rPr>
          <w:rFonts w:ascii="Palatino Linotype" w:eastAsia="MS Mincho" w:hAnsi="Palatino Linotype"/>
          <w:lang w:val="es-ES"/>
        </w:rPr>
        <w:t xml:space="preserve">Se hace del conocimiento del </w:t>
      </w:r>
      <w:r w:rsidRPr="00C673EE">
        <w:rPr>
          <w:rFonts w:ascii="Palatino Linotype" w:hAnsi="Palatino Linotype"/>
          <w:b/>
        </w:rPr>
        <w:t>RECURRENTE</w:t>
      </w:r>
      <w:r w:rsidRPr="00C673EE">
        <w:rPr>
          <w:rFonts w:ascii="Palatino Linotype" w:eastAsia="MS Mincho" w:hAnsi="Palatino Linotype"/>
          <w:lang w:val="es-ES"/>
        </w:rPr>
        <w:t xml:space="preserve"> que, de conformidad con lo establecido en el artículo 196 de la Ley de Transparencia y Acceso a la Información Pública del Estado de México y Municipios, en caso de que considere que la resolución le cause algún perjuicio podrá impugnarla </w:t>
      </w:r>
      <w:r w:rsidRPr="00C673EE">
        <w:rPr>
          <w:rFonts w:ascii="Palatino Linotype" w:eastAsia="MS Mincho" w:hAnsi="Palatino Linotype"/>
          <w:bCs/>
          <w:lang w:val="es-ES"/>
        </w:rPr>
        <w:t>vía juicio de amparo</w:t>
      </w:r>
      <w:r w:rsidRPr="00C673EE">
        <w:rPr>
          <w:rFonts w:ascii="Palatino Linotype" w:eastAsia="MS Mincho" w:hAnsi="Palatino Linotype"/>
          <w:lang w:val="es-ES"/>
        </w:rPr>
        <w:t> en los términos de las leyes aplicables.</w:t>
      </w:r>
    </w:p>
    <w:p w:rsidR="00207D17" w:rsidRPr="00C673EE" w:rsidRDefault="00207D17" w:rsidP="00C673EE">
      <w:pPr>
        <w:pStyle w:val="Prrafodelista"/>
        <w:spacing w:line="360" w:lineRule="auto"/>
        <w:ind w:left="0"/>
        <w:jc w:val="both"/>
        <w:rPr>
          <w:rFonts w:ascii="Palatino Linotype" w:hAnsi="Palatino Linotype"/>
          <w:color w:val="000000" w:themeColor="text1"/>
        </w:rPr>
      </w:pPr>
    </w:p>
    <w:p w:rsidR="007F013B" w:rsidRDefault="007F013B" w:rsidP="007F013B">
      <w:pPr>
        <w:spacing w:before="240" w:after="240" w:line="360" w:lineRule="auto"/>
        <w:jc w:val="both"/>
        <w:rPr>
          <w:rFonts w:ascii="Palatino Linotype" w:hAnsi="Palatino Linotype"/>
        </w:rPr>
      </w:pPr>
      <w:r w:rsidRPr="00A0054B">
        <w:rPr>
          <w:rFonts w:ascii="Palatino Linotype" w:hAnsi="Palatino Linotype"/>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176064">
        <w:rPr>
          <w:rFonts w:ascii="Palatino Linotype" w:hAnsi="Palatino Linotype"/>
        </w:rPr>
        <w:t xml:space="preserve"> (AUSENCIA JUSTIFICADA)</w:t>
      </w:r>
      <w:r>
        <w:rPr>
          <w:rFonts w:ascii="Palatino Linotype" w:hAnsi="Palatino Linotype"/>
        </w:rPr>
        <w:t xml:space="preserve">; </w:t>
      </w:r>
      <w:r w:rsidRPr="00A0054B">
        <w:rPr>
          <w:rFonts w:ascii="Palatino Linotype" w:hAnsi="Palatino Linotype"/>
        </w:rPr>
        <w:t xml:space="preserve">LUIS GUSTAVO PARRA NORIEGA Y GUADALUPE RAMÍREZ PEÑA EN LA </w:t>
      </w:r>
      <w:r>
        <w:rPr>
          <w:rFonts w:ascii="Palatino Linotype" w:hAnsi="Palatino Linotype"/>
        </w:rPr>
        <w:t xml:space="preserve">VIGÉSIMA CUARTA </w:t>
      </w:r>
      <w:r w:rsidRPr="00A0054B">
        <w:rPr>
          <w:rFonts w:ascii="Palatino Linotype" w:hAnsi="Palatino Linotype"/>
        </w:rPr>
        <w:t xml:space="preserve">SESIÓN ORDINARIA CELEBRADA EL </w:t>
      </w:r>
      <w:r>
        <w:rPr>
          <w:rFonts w:ascii="Palatino Linotype" w:hAnsi="Palatino Linotype"/>
        </w:rPr>
        <w:t>VEINTINUEVE (29)</w:t>
      </w:r>
      <w:r w:rsidRPr="00A0054B">
        <w:rPr>
          <w:rFonts w:ascii="Palatino Linotype" w:hAnsi="Palatino Linotype"/>
        </w:rPr>
        <w:t xml:space="preserve"> DE </w:t>
      </w:r>
      <w:r>
        <w:rPr>
          <w:rFonts w:ascii="Palatino Linotype" w:hAnsi="Palatino Linotype"/>
        </w:rPr>
        <w:t>JUNIO</w:t>
      </w:r>
      <w:r w:rsidRPr="00A0054B">
        <w:rPr>
          <w:rFonts w:ascii="Palatino Linotype" w:hAnsi="Palatino Linotype"/>
        </w:rPr>
        <w:t xml:space="preserve"> DE DOS MIL VEINTIDÓS, ANTE EL SECRETARIO TÉCNICO DEL PLENO ALEXIS TAPIA RAMÍREZ</w:t>
      </w:r>
      <w:r>
        <w:rPr>
          <w:rFonts w:ascii="Palatino Linotype" w:hAnsi="Palatino Linotype"/>
        </w:rPr>
        <w:t>.</w:t>
      </w:r>
      <w:r w:rsidRPr="00624AAD">
        <w:rPr>
          <w:rFonts w:ascii="Palatino Linotype" w:hAnsi="Palatino Linotype"/>
        </w:rPr>
        <w:t xml:space="preserve"> </w:t>
      </w: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207D17" w:rsidRPr="00C673EE" w:rsidRDefault="00207D17" w:rsidP="00C673EE">
      <w:pPr>
        <w:spacing w:line="360" w:lineRule="auto"/>
        <w:rPr>
          <w:rFonts w:ascii="Palatino Linotype" w:hAnsi="Palatino Linotype"/>
        </w:rPr>
      </w:pPr>
    </w:p>
    <w:p w:rsidR="004E1710" w:rsidRPr="00C673EE" w:rsidRDefault="005E5E3F" w:rsidP="00C673EE">
      <w:pPr>
        <w:spacing w:line="360" w:lineRule="auto"/>
        <w:rPr>
          <w:rFonts w:ascii="Palatino Linotype" w:hAnsi="Palatino Linotype"/>
        </w:rPr>
      </w:pPr>
    </w:p>
    <w:sectPr w:rsidR="004E1710" w:rsidRPr="00C673EE" w:rsidSect="00BB456B">
      <w:headerReference w:type="even" r:id="rId12"/>
      <w:headerReference w:type="default" r:id="rId13"/>
      <w:footerReference w:type="default" r:id="rId14"/>
      <w:headerReference w:type="first" r:id="rId15"/>
      <w:footerReference w:type="first" r:id="rId16"/>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5E3F" w:rsidRDefault="005E5E3F" w:rsidP="00207D17">
      <w:r>
        <w:separator/>
      </w:r>
    </w:p>
  </w:endnote>
  <w:endnote w:type="continuationSeparator" w:id="0">
    <w:p w:rsidR="005E5E3F" w:rsidRDefault="005E5E3F" w:rsidP="00207D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1D031F">
    <w:pPr>
      <w:pStyle w:val="Piedepgina"/>
      <w:jc w:val="right"/>
    </w:pPr>
    <w:r>
      <w:rPr>
        <w:lang w:val="es-ES"/>
      </w:rPr>
      <w:t xml:space="preserve">Página </w:t>
    </w:r>
    <w:r>
      <w:rPr>
        <w:b/>
        <w:bCs/>
      </w:rPr>
      <w:fldChar w:fldCharType="begin"/>
    </w:r>
    <w:r>
      <w:rPr>
        <w:b/>
        <w:bCs/>
      </w:rPr>
      <w:instrText>PAGE</w:instrText>
    </w:r>
    <w:r>
      <w:rPr>
        <w:b/>
        <w:bCs/>
      </w:rPr>
      <w:fldChar w:fldCharType="separate"/>
    </w:r>
    <w:r w:rsidR="004F386D">
      <w:rPr>
        <w:b/>
        <w:bCs/>
        <w:noProof/>
      </w:rPr>
      <w:t>12</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F386D">
      <w:rPr>
        <w:b/>
        <w:bCs/>
        <w:noProof/>
      </w:rPr>
      <w:t>13</w:t>
    </w:r>
    <w:r>
      <w:rPr>
        <w:b/>
        <w:bCs/>
      </w:rPr>
      <w:fldChar w:fldCharType="end"/>
    </w:r>
  </w:p>
  <w:p w:rsidR="00BB456B" w:rsidRDefault="005E5E3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1D031F">
    <w:pPr>
      <w:pStyle w:val="Piedepgina"/>
      <w:jc w:val="right"/>
    </w:pPr>
    <w:r>
      <w:rPr>
        <w:lang w:val="es-ES"/>
      </w:rPr>
      <w:t xml:space="preserve">Página </w:t>
    </w:r>
    <w:r>
      <w:rPr>
        <w:b/>
        <w:bCs/>
      </w:rPr>
      <w:fldChar w:fldCharType="begin"/>
    </w:r>
    <w:r>
      <w:rPr>
        <w:b/>
        <w:bCs/>
      </w:rPr>
      <w:instrText>PAGE</w:instrText>
    </w:r>
    <w:r>
      <w:rPr>
        <w:b/>
        <w:bCs/>
      </w:rPr>
      <w:fldChar w:fldCharType="separate"/>
    </w:r>
    <w:r w:rsidR="004F386D">
      <w:rPr>
        <w:b/>
        <w:bCs/>
        <w:noProof/>
      </w:rPr>
      <w:t>1</w:t>
    </w:r>
    <w:r>
      <w:rPr>
        <w:b/>
        <w:bCs/>
      </w:rPr>
      <w:fldChar w:fldCharType="end"/>
    </w:r>
    <w:r>
      <w:rPr>
        <w:lang w:val="es-ES"/>
      </w:rPr>
      <w:t xml:space="preserve"> de </w:t>
    </w:r>
    <w:r>
      <w:rPr>
        <w:b/>
        <w:bCs/>
      </w:rPr>
      <w:fldChar w:fldCharType="begin"/>
    </w:r>
    <w:r>
      <w:rPr>
        <w:b/>
        <w:bCs/>
      </w:rPr>
      <w:instrText>NUMPAGES</w:instrText>
    </w:r>
    <w:r>
      <w:rPr>
        <w:b/>
        <w:bCs/>
      </w:rPr>
      <w:fldChar w:fldCharType="separate"/>
    </w:r>
    <w:r w:rsidR="004F386D">
      <w:rPr>
        <w:b/>
        <w:bCs/>
        <w:noProof/>
      </w:rPr>
      <w:t>13</w:t>
    </w:r>
    <w:r>
      <w:rPr>
        <w:b/>
        <w:bCs/>
      </w:rPr>
      <w:fldChar w:fldCharType="end"/>
    </w:r>
  </w:p>
  <w:p w:rsidR="00BB456B" w:rsidRDefault="005E5E3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5E3F" w:rsidRDefault="005E5E3F" w:rsidP="00207D17">
      <w:r>
        <w:separator/>
      </w:r>
    </w:p>
  </w:footnote>
  <w:footnote w:type="continuationSeparator" w:id="0">
    <w:p w:rsidR="005E5E3F" w:rsidRDefault="005E5E3F" w:rsidP="00207D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456B" w:rsidRDefault="005E5E3F">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3" o:spid="_x0000_s2049" type="#_x0000_t75" alt="" style="position:absolute;margin-left:0;margin-top:0;width:589.8pt;height:768pt;z-index:-251657216;mso-wrap-edited:f;mso-width-percent:0;mso-height-percent:0;mso-position-horizontal:center;mso-position-horizontal-relative:margin;mso-position-vertical:center;mso-position-vertical-relative:margin;mso-width-percent:0;mso-height-percent:0" o:allowincell="f">
          <v:imagedata r:id="rId1" o:title="resolución infoem image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14" w:type="dxa"/>
      <w:tblLayout w:type="fixed"/>
      <w:tblLook w:val="04A0" w:firstRow="1" w:lastRow="0" w:firstColumn="1" w:lastColumn="0" w:noHBand="0" w:noVBand="1"/>
    </w:tblPr>
    <w:tblGrid>
      <w:gridCol w:w="2268"/>
      <w:gridCol w:w="6946"/>
    </w:tblGrid>
    <w:tr w:rsidR="00BB456B" w:rsidRPr="005C106F" w:rsidTr="00BB456B">
      <w:trPr>
        <w:trHeight w:val="1435"/>
      </w:trPr>
      <w:tc>
        <w:tcPr>
          <w:tcW w:w="2268" w:type="dxa"/>
          <w:shd w:val="clear" w:color="auto" w:fill="auto"/>
        </w:tcPr>
        <w:p w:rsidR="00BB456B" w:rsidRPr="005C106F" w:rsidRDefault="005E5E3F" w:rsidP="00BB456B">
          <w:pPr>
            <w:tabs>
              <w:tab w:val="right" w:pos="4273"/>
            </w:tabs>
            <w:rPr>
              <w:rFonts w:ascii="Garamond" w:eastAsia="Calibri" w:hAnsi="Garamond"/>
              <w:sz w:val="16"/>
              <w:szCs w:val="16"/>
              <w:lang w:eastAsia="en-US"/>
            </w:rPr>
          </w:pPr>
        </w:p>
      </w:tc>
      <w:tc>
        <w:tcPr>
          <w:tcW w:w="6946" w:type="dxa"/>
          <w:shd w:val="clear" w:color="auto" w:fill="auto"/>
        </w:tcPr>
        <w:p w:rsidR="00BB456B" w:rsidRDefault="005E5E3F" w:rsidP="00BB456B"/>
        <w:tbl>
          <w:tblPr>
            <w:tblW w:w="6662" w:type="dxa"/>
            <w:tblInd w:w="40" w:type="dxa"/>
            <w:tblLayout w:type="fixed"/>
            <w:tblLook w:val="0420" w:firstRow="1" w:lastRow="0" w:firstColumn="0" w:lastColumn="0" w:noHBand="0" w:noVBand="1"/>
          </w:tblPr>
          <w:tblGrid>
            <w:gridCol w:w="2551"/>
            <w:gridCol w:w="4111"/>
          </w:tblGrid>
          <w:tr w:rsidR="00BB456B" w:rsidTr="00BB456B">
            <w:trPr>
              <w:trHeight w:val="150"/>
            </w:trPr>
            <w:tc>
              <w:tcPr>
                <w:tcW w:w="2551" w:type="dxa"/>
                <w:shd w:val="clear" w:color="auto" w:fill="auto"/>
              </w:tcPr>
              <w:p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111" w:type="dxa"/>
                <w:shd w:val="clear" w:color="auto" w:fill="auto"/>
              </w:tcPr>
              <w:p w:rsidR="00BB456B" w:rsidRPr="00020E73" w:rsidRDefault="005023FA" w:rsidP="00BB456B">
                <w:pPr>
                  <w:tabs>
                    <w:tab w:val="right" w:pos="8838"/>
                  </w:tabs>
                  <w:ind w:left="-108" w:right="-102"/>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eastAsia="en-US"/>
                  </w:rPr>
                  <w:t>08818</w:t>
                </w:r>
                <w:r w:rsidR="001D031F" w:rsidRPr="009E7B0A">
                  <w:rPr>
                    <w:rFonts w:ascii="Palatino Linotype" w:eastAsia="Calibri" w:hAnsi="Palatino Linotype" w:cs="Tahoma"/>
                    <w:bCs/>
                    <w:sz w:val="22"/>
                    <w:szCs w:val="22"/>
                    <w:lang w:eastAsia="en-US"/>
                  </w:rPr>
                  <w:t>/INFOEM/IP/RR/2021</w:t>
                </w:r>
                <w:r w:rsidR="001D031F" w:rsidRPr="009E7B0A">
                  <w:rPr>
                    <w:rFonts w:ascii="Palatino Linotype" w:eastAsia="Calibri" w:hAnsi="Palatino Linotype" w:cs="Tahoma"/>
                    <w:b/>
                    <w:bCs/>
                    <w:sz w:val="22"/>
                    <w:szCs w:val="22"/>
                    <w:lang w:eastAsia="en-US"/>
                  </w:rPr>
                  <w:t xml:space="preserve"> </w:t>
                </w:r>
              </w:p>
            </w:tc>
          </w:tr>
          <w:tr w:rsidR="00BB456B" w:rsidTr="00BB456B">
            <w:trPr>
              <w:trHeight w:val="295"/>
            </w:trPr>
            <w:tc>
              <w:tcPr>
                <w:tcW w:w="2551" w:type="dxa"/>
                <w:shd w:val="clear" w:color="auto" w:fill="auto"/>
              </w:tcPr>
              <w:p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111" w:type="dxa"/>
                <w:shd w:val="clear" w:color="auto" w:fill="auto"/>
              </w:tcPr>
              <w:p w:rsidR="00BB456B" w:rsidRPr="00020E73" w:rsidRDefault="005023FA" w:rsidP="00D262C2">
                <w:pPr>
                  <w:tabs>
                    <w:tab w:val="left" w:pos="2834"/>
                    <w:tab w:val="right" w:pos="8838"/>
                  </w:tabs>
                  <w:ind w:right="-102"/>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eastAsia="en-US"/>
                  </w:rPr>
                  <w:t>Ayuntamiento de Aculco</w:t>
                </w:r>
              </w:p>
            </w:tc>
          </w:tr>
          <w:tr w:rsidR="00BB456B" w:rsidTr="00BB456B">
            <w:trPr>
              <w:trHeight w:val="295"/>
            </w:trPr>
            <w:tc>
              <w:tcPr>
                <w:tcW w:w="2551" w:type="dxa"/>
                <w:shd w:val="clear" w:color="auto" w:fill="auto"/>
              </w:tcPr>
              <w:p w:rsidR="00BB456B" w:rsidRPr="00020E73" w:rsidRDefault="001D031F" w:rsidP="00BB456B">
                <w:pPr>
                  <w:tabs>
                    <w:tab w:val="right" w:pos="8838"/>
                  </w:tabs>
                  <w:ind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111" w:type="dxa"/>
                <w:shd w:val="clear" w:color="auto" w:fill="auto"/>
              </w:tcPr>
              <w:p w:rsidR="00BB456B" w:rsidRPr="00020E73" w:rsidRDefault="001D031F" w:rsidP="00BB456B">
                <w:pPr>
                  <w:tabs>
                    <w:tab w:val="right" w:pos="8838"/>
                  </w:tabs>
                  <w:ind w:left="-108" w:right="171"/>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r>
        </w:tbl>
        <w:p w:rsidR="00BB456B" w:rsidRPr="005C106F" w:rsidRDefault="005E5E3F" w:rsidP="00BB456B">
          <w:pPr>
            <w:tabs>
              <w:tab w:val="right" w:pos="8838"/>
            </w:tabs>
            <w:ind w:left="-28"/>
            <w:jc w:val="both"/>
            <w:rPr>
              <w:rFonts w:ascii="Arial" w:eastAsia="Calibri" w:hAnsi="Arial" w:cs="Arial"/>
              <w:b/>
              <w:sz w:val="22"/>
              <w:szCs w:val="22"/>
              <w:lang w:eastAsia="en-US"/>
            </w:rPr>
          </w:pPr>
        </w:p>
      </w:tc>
    </w:tr>
  </w:tbl>
  <w:p w:rsidR="00BB456B" w:rsidRPr="00443C6B" w:rsidRDefault="005E5E3F" w:rsidP="00BB456B">
    <w:pPr>
      <w:pStyle w:val="Encabezado"/>
      <w:rPr>
        <w:sz w:val="14"/>
      </w:rPr>
    </w:pPr>
    <w:r>
      <w:rPr>
        <w:noProof/>
        <w:sz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50" type="#_x0000_t75" alt="" style="position:absolute;margin-left:-68.8pt;margin-top:-120.5pt;width:589.8pt;height:768pt;z-index:-251656192;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072" w:type="dxa"/>
      <w:tblLayout w:type="fixed"/>
      <w:tblLook w:val="04A0" w:firstRow="1" w:lastRow="0" w:firstColumn="1" w:lastColumn="0" w:noHBand="0" w:noVBand="1"/>
    </w:tblPr>
    <w:tblGrid>
      <w:gridCol w:w="2268"/>
      <w:gridCol w:w="6804"/>
    </w:tblGrid>
    <w:tr w:rsidR="00BB456B" w:rsidRPr="00330DA7" w:rsidTr="00BB456B">
      <w:trPr>
        <w:trHeight w:val="1435"/>
      </w:trPr>
      <w:tc>
        <w:tcPr>
          <w:tcW w:w="2268" w:type="dxa"/>
          <w:shd w:val="clear" w:color="auto" w:fill="auto"/>
        </w:tcPr>
        <w:p w:rsidR="00BB456B" w:rsidRPr="00330DA7" w:rsidRDefault="005E5E3F" w:rsidP="00BB456B">
          <w:pPr>
            <w:tabs>
              <w:tab w:val="right" w:pos="4273"/>
            </w:tabs>
            <w:rPr>
              <w:rFonts w:ascii="Garamond" w:eastAsia="Calibri" w:hAnsi="Garamond"/>
              <w:sz w:val="22"/>
              <w:szCs w:val="22"/>
              <w:lang w:eastAsia="en-US"/>
            </w:rPr>
          </w:pPr>
        </w:p>
      </w:tc>
      <w:tc>
        <w:tcPr>
          <w:tcW w:w="6804" w:type="dxa"/>
          <w:shd w:val="clear" w:color="auto" w:fill="auto"/>
        </w:tcPr>
        <w:tbl>
          <w:tblPr>
            <w:tblW w:w="10880" w:type="dxa"/>
            <w:tblInd w:w="40" w:type="dxa"/>
            <w:tblLayout w:type="fixed"/>
            <w:tblLook w:val="0420" w:firstRow="1" w:lastRow="0" w:firstColumn="0" w:lastColumn="0" w:noHBand="0" w:noVBand="1"/>
          </w:tblPr>
          <w:tblGrid>
            <w:gridCol w:w="2444"/>
            <w:gridCol w:w="4218"/>
            <w:gridCol w:w="4218"/>
          </w:tblGrid>
          <w:tr w:rsidR="00BB456B" w:rsidRPr="00330DA7" w:rsidTr="00B4318F">
            <w:trPr>
              <w:trHeight w:val="144"/>
            </w:trPr>
            <w:tc>
              <w:tcPr>
                <w:tcW w:w="2444" w:type="dxa"/>
                <w:shd w:val="clear" w:color="auto" w:fill="auto"/>
              </w:tcPr>
              <w:p w:rsidR="00BB456B" w:rsidRPr="00020E73" w:rsidRDefault="001D031F" w:rsidP="00BB456B">
                <w:pPr>
                  <w:tabs>
                    <w:tab w:val="right" w:pos="8838"/>
                  </w:tabs>
                  <w:ind w:left="-264" w:right="-105" w:firstLine="19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Recurso de Revisión:</w:t>
                </w:r>
              </w:p>
            </w:tc>
            <w:tc>
              <w:tcPr>
                <w:tcW w:w="4218" w:type="dxa"/>
                <w:shd w:val="clear" w:color="auto" w:fill="auto"/>
              </w:tcPr>
              <w:p w:rsidR="00BB456B" w:rsidRPr="00020E73" w:rsidRDefault="005023FA" w:rsidP="00BB456B">
                <w:pPr>
                  <w:tabs>
                    <w:tab w:val="right" w:pos="8838"/>
                  </w:tabs>
                  <w:ind w:left="-74" w:right="-105"/>
                  <w:jc w:val="both"/>
                  <w:rPr>
                    <w:rFonts w:ascii="Palatino Linotype" w:eastAsia="Calibri" w:hAnsi="Palatino Linotype" w:cs="Tahoma"/>
                    <w:bCs/>
                    <w:sz w:val="22"/>
                    <w:szCs w:val="22"/>
                    <w:lang w:val="es-ES" w:eastAsia="en-US"/>
                  </w:rPr>
                </w:pPr>
                <w:r>
                  <w:rPr>
                    <w:rFonts w:ascii="Palatino Linotype" w:eastAsia="Calibri" w:hAnsi="Palatino Linotype" w:cs="Tahoma"/>
                    <w:sz w:val="22"/>
                    <w:szCs w:val="22"/>
                    <w:lang w:eastAsia="en-US"/>
                  </w:rPr>
                  <w:t>08818/INFOEM/IP/RR/2022</w:t>
                </w:r>
                <w:r w:rsidR="001D031F">
                  <w:rPr>
                    <w:rFonts w:ascii="Palatino Linotype" w:eastAsia="Calibri" w:hAnsi="Palatino Linotype" w:cs="Tahoma"/>
                    <w:b/>
                    <w:bCs/>
                    <w:sz w:val="22"/>
                    <w:szCs w:val="22"/>
                    <w:lang w:eastAsia="en-US"/>
                  </w:rPr>
                  <w:t xml:space="preserve"> </w:t>
                </w:r>
              </w:p>
            </w:tc>
            <w:tc>
              <w:tcPr>
                <w:tcW w:w="4218" w:type="dxa"/>
              </w:tcPr>
              <w:p w:rsidR="00BB456B" w:rsidRDefault="005E5E3F" w:rsidP="00BB456B">
                <w:pPr>
                  <w:tabs>
                    <w:tab w:val="right" w:pos="8838"/>
                  </w:tabs>
                  <w:ind w:left="-74" w:right="-105"/>
                  <w:jc w:val="both"/>
                  <w:rPr>
                    <w:rFonts w:ascii="Palatino Linotype" w:eastAsia="Calibri" w:hAnsi="Palatino Linotype" w:cs="Tahoma"/>
                    <w:sz w:val="22"/>
                    <w:szCs w:val="22"/>
                    <w:lang w:eastAsia="en-US"/>
                  </w:rPr>
                </w:pPr>
              </w:p>
            </w:tc>
          </w:tr>
          <w:tr w:rsidR="00BB456B" w:rsidRPr="00330DA7" w:rsidTr="00B4318F">
            <w:trPr>
              <w:trHeight w:val="144"/>
            </w:trPr>
            <w:tc>
              <w:tcPr>
                <w:tcW w:w="2444" w:type="dxa"/>
                <w:shd w:val="clear" w:color="auto" w:fill="auto"/>
              </w:tcPr>
              <w:p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Recurrente:</w:t>
                </w:r>
              </w:p>
            </w:tc>
            <w:tc>
              <w:tcPr>
                <w:tcW w:w="4218" w:type="dxa"/>
                <w:shd w:val="clear" w:color="auto" w:fill="auto"/>
              </w:tcPr>
              <w:p w:rsidR="00BB456B" w:rsidRPr="00020E73" w:rsidRDefault="004F386D" w:rsidP="00BB456B">
                <w:pPr>
                  <w:tabs>
                    <w:tab w:val="left" w:pos="3122"/>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val="es-ES" w:eastAsia="en-US"/>
                  </w:rPr>
                  <w:t>XXXX</w:t>
                </w:r>
              </w:p>
            </w:tc>
            <w:tc>
              <w:tcPr>
                <w:tcW w:w="4218" w:type="dxa"/>
              </w:tcPr>
              <w:p w:rsidR="00BB456B" w:rsidRPr="00020E73" w:rsidRDefault="005E5E3F" w:rsidP="00BB456B">
                <w:pPr>
                  <w:tabs>
                    <w:tab w:val="left" w:pos="3122"/>
                    <w:tab w:val="right" w:pos="8838"/>
                  </w:tabs>
                  <w:ind w:left="-74" w:right="-105"/>
                  <w:jc w:val="both"/>
                  <w:rPr>
                    <w:rFonts w:ascii="Palatino Linotype" w:eastAsia="Calibri" w:hAnsi="Palatino Linotype" w:cs="Tahoma"/>
                    <w:sz w:val="22"/>
                    <w:szCs w:val="22"/>
                    <w:lang w:val="es-ES" w:eastAsia="en-US"/>
                  </w:rPr>
                </w:pPr>
              </w:p>
            </w:tc>
          </w:tr>
          <w:tr w:rsidR="00BB456B" w:rsidRPr="00330DA7" w:rsidTr="00B4318F">
            <w:trPr>
              <w:trHeight w:val="283"/>
            </w:trPr>
            <w:tc>
              <w:tcPr>
                <w:tcW w:w="2444" w:type="dxa"/>
                <w:shd w:val="clear" w:color="auto" w:fill="auto"/>
              </w:tcPr>
              <w:p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sidRPr="00020E73">
                  <w:rPr>
                    <w:rFonts w:ascii="Palatino Linotype" w:eastAsia="Calibri" w:hAnsi="Palatino Linotype" w:cs="Tahoma"/>
                    <w:b/>
                    <w:sz w:val="22"/>
                    <w:szCs w:val="22"/>
                    <w:lang w:val="es-ES" w:eastAsia="en-US"/>
                  </w:rPr>
                  <w:t>Sujeto Obligado:</w:t>
                </w:r>
              </w:p>
            </w:tc>
            <w:tc>
              <w:tcPr>
                <w:tcW w:w="4218" w:type="dxa"/>
                <w:shd w:val="clear" w:color="auto" w:fill="auto"/>
              </w:tcPr>
              <w:p w:rsidR="00BB456B" w:rsidRPr="009E7B0A" w:rsidRDefault="005023FA" w:rsidP="00BB456B">
                <w:pPr>
                  <w:tabs>
                    <w:tab w:val="left" w:pos="2834"/>
                    <w:tab w:val="right" w:pos="8838"/>
                  </w:tabs>
                  <w:ind w:left="-74" w:right="-105"/>
                  <w:jc w:val="both"/>
                  <w:rPr>
                    <w:rFonts w:ascii="Palatino Linotype" w:eastAsia="Calibri" w:hAnsi="Palatino Linotype" w:cs="Tahoma"/>
                    <w:sz w:val="22"/>
                    <w:szCs w:val="22"/>
                    <w:lang w:val="es-ES" w:eastAsia="en-US"/>
                  </w:rPr>
                </w:pPr>
                <w:r>
                  <w:rPr>
                    <w:rFonts w:ascii="Palatino Linotype" w:eastAsia="Calibri" w:hAnsi="Palatino Linotype" w:cs="Tahoma"/>
                    <w:sz w:val="22"/>
                    <w:szCs w:val="22"/>
                    <w:lang w:eastAsia="en-US"/>
                  </w:rPr>
                  <w:t>Ayuntamiento de Aculco</w:t>
                </w:r>
              </w:p>
            </w:tc>
            <w:tc>
              <w:tcPr>
                <w:tcW w:w="4218" w:type="dxa"/>
              </w:tcPr>
              <w:p w:rsidR="00BB456B" w:rsidRDefault="005E5E3F" w:rsidP="00BB456B">
                <w:pPr>
                  <w:tabs>
                    <w:tab w:val="left" w:pos="2834"/>
                    <w:tab w:val="right" w:pos="8838"/>
                  </w:tabs>
                  <w:ind w:left="-74" w:right="-105"/>
                  <w:jc w:val="both"/>
                  <w:rPr>
                    <w:rFonts w:ascii="Palatino Linotype" w:eastAsia="Calibri" w:hAnsi="Palatino Linotype" w:cs="Tahoma"/>
                    <w:sz w:val="22"/>
                    <w:szCs w:val="22"/>
                    <w:lang w:eastAsia="en-US"/>
                  </w:rPr>
                </w:pPr>
              </w:p>
            </w:tc>
          </w:tr>
          <w:tr w:rsidR="00BB456B" w:rsidRPr="00330DA7" w:rsidTr="00B4318F">
            <w:trPr>
              <w:trHeight w:val="283"/>
            </w:trPr>
            <w:tc>
              <w:tcPr>
                <w:tcW w:w="2444" w:type="dxa"/>
                <w:shd w:val="clear" w:color="auto" w:fill="auto"/>
              </w:tcPr>
              <w:p w:rsidR="00BB456B" w:rsidRPr="00020E73" w:rsidRDefault="001D031F" w:rsidP="00BB456B">
                <w:pPr>
                  <w:tabs>
                    <w:tab w:val="right" w:pos="8838"/>
                  </w:tabs>
                  <w:ind w:left="-74" w:right="-105"/>
                  <w:rPr>
                    <w:rFonts w:ascii="Palatino Linotype" w:eastAsia="Calibri" w:hAnsi="Palatino Linotype" w:cs="Tahoma"/>
                    <w:b/>
                    <w:sz w:val="22"/>
                    <w:szCs w:val="22"/>
                    <w:lang w:val="es-ES" w:eastAsia="en-US"/>
                  </w:rPr>
                </w:pPr>
                <w:r>
                  <w:rPr>
                    <w:rFonts w:ascii="Palatino Linotype" w:eastAsia="Calibri" w:hAnsi="Palatino Linotype" w:cs="Tahoma"/>
                    <w:b/>
                    <w:sz w:val="22"/>
                    <w:szCs w:val="22"/>
                    <w:lang w:val="es-ES" w:eastAsia="en-US"/>
                  </w:rPr>
                  <w:t>Comisionada ponente</w:t>
                </w:r>
                <w:r w:rsidRPr="00020E73">
                  <w:rPr>
                    <w:rFonts w:ascii="Palatino Linotype" w:eastAsia="Calibri" w:hAnsi="Palatino Linotype" w:cs="Tahoma"/>
                    <w:b/>
                    <w:sz w:val="22"/>
                    <w:szCs w:val="22"/>
                    <w:lang w:val="es-ES" w:eastAsia="en-US"/>
                  </w:rPr>
                  <w:t>:</w:t>
                </w:r>
              </w:p>
            </w:tc>
            <w:tc>
              <w:tcPr>
                <w:tcW w:w="4218" w:type="dxa"/>
                <w:shd w:val="clear" w:color="auto" w:fill="auto"/>
              </w:tcPr>
              <w:p w:rsidR="00BB456B" w:rsidRPr="00020E73" w:rsidRDefault="001D031F" w:rsidP="00BB456B">
                <w:pPr>
                  <w:tabs>
                    <w:tab w:val="right" w:pos="8838"/>
                  </w:tabs>
                  <w:ind w:left="-74" w:right="-105"/>
                  <w:jc w:val="both"/>
                  <w:rPr>
                    <w:rFonts w:ascii="Palatino Linotype" w:eastAsia="Calibri" w:hAnsi="Palatino Linotype" w:cs="Tahoma"/>
                    <w:b/>
                    <w:sz w:val="22"/>
                    <w:szCs w:val="22"/>
                    <w:lang w:val="es-ES" w:eastAsia="en-US"/>
                  </w:rPr>
                </w:pPr>
                <w:r>
                  <w:rPr>
                    <w:rFonts w:ascii="Palatino Linotype" w:eastAsia="Calibri" w:hAnsi="Palatino Linotype" w:cs="Tahoma"/>
                    <w:sz w:val="22"/>
                    <w:szCs w:val="22"/>
                    <w:lang w:val="es-ES" w:eastAsia="en-US"/>
                  </w:rPr>
                  <w:t>María del Rosario Mejía Ayala</w:t>
                </w:r>
              </w:p>
            </w:tc>
            <w:tc>
              <w:tcPr>
                <w:tcW w:w="4218" w:type="dxa"/>
              </w:tcPr>
              <w:p w:rsidR="00BB456B" w:rsidRDefault="005E5E3F" w:rsidP="00BB456B">
                <w:pPr>
                  <w:tabs>
                    <w:tab w:val="right" w:pos="8838"/>
                  </w:tabs>
                  <w:ind w:left="-74" w:right="-105"/>
                  <w:jc w:val="both"/>
                  <w:rPr>
                    <w:rFonts w:ascii="Palatino Linotype" w:eastAsia="Calibri" w:hAnsi="Palatino Linotype" w:cs="Tahoma"/>
                    <w:sz w:val="22"/>
                    <w:szCs w:val="22"/>
                    <w:lang w:val="es-ES" w:eastAsia="en-US"/>
                  </w:rPr>
                </w:pPr>
              </w:p>
            </w:tc>
          </w:tr>
        </w:tbl>
        <w:p w:rsidR="00BB456B" w:rsidRPr="00330DA7" w:rsidRDefault="005E5E3F" w:rsidP="00BB456B">
          <w:pPr>
            <w:tabs>
              <w:tab w:val="right" w:pos="8838"/>
            </w:tabs>
            <w:ind w:left="-28"/>
            <w:jc w:val="both"/>
            <w:rPr>
              <w:rFonts w:ascii="Arial" w:eastAsia="Calibri" w:hAnsi="Arial" w:cs="Arial"/>
              <w:b/>
              <w:sz w:val="22"/>
              <w:szCs w:val="22"/>
              <w:lang w:eastAsia="en-US"/>
            </w:rPr>
          </w:pPr>
        </w:p>
      </w:tc>
    </w:tr>
  </w:tbl>
  <w:p w:rsidR="00BB456B" w:rsidRPr="00827FA0" w:rsidRDefault="005E5E3F" w:rsidP="00BB456B">
    <w:pPr>
      <w:pStyle w:val="Encabezado"/>
      <w:rPr>
        <w:sz w:val="2"/>
        <w:szCs w:val="22"/>
      </w:rPr>
    </w:pPr>
    <w:r>
      <w:rPr>
        <w:noProof/>
        <w:sz w:val="2"/>
        <w:szCs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2" o:spid="_x0000_s2051" type="#_x0000_t75" alt="" style="position:absolute;margin-left:-68.8pt;margin-top:-117.6pt;width:589.8pt;height:768pt;z-index:-251655168;mso-wrap-edited:f;mso-width-percent:0;mso-height-percent:0;mso-position-horizontal-relative:margin;mso-position-vertical-relative:margin;mso-width-percent:0;mso-height-percent:0" o:allowincell="f">
          <v:imagedata r:id="rId1" o:title="resolución infoem image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6196B"/>
    <w:multiLevelType w:val="hybridMultilevel"/>
    <w:tmpl w:val="91A6FBFE"/>
    <w:lvl w:ilvl="0" w:tplc="E36EB920">
      <w:start w:val="1"/>
      <w:numFmt w:val="decimal"/>
      <w:lvlText w:val="%1."/>
      <w:lvlJc w:val="left"/>
      <w:pPr>
        <w:ind w:left="360"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B94EDB"/>
    <w:multiLevelType w:val="hybridMultilevel"/>
    <w:tmpl w:val="FCBEB3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22FA775B"/>
    <w:multiLevelType w:val="multilevel"/>
    <w:tmpl w:val="55B0B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317490"/>
    <w:multiLevelType w:val="hybridMultilevel"/>
    <w:tmpl w:val="91A6FBFE"/>
    <w:lvl w:ilvl="0" w:tplc="E36EB920">
      <w:start w:val="1"/>
      <w:numFmt w:val="decimal"/>
      <w:lvlText w:val="%1."/>
      <w:lvlJc w:val="left"/>
      <w:pPr>
        <w:ind w:left="7874" w:hanging="360"/>
      </w:pPr>
      <w:rPr>
        <w:rFonts w:ascii="Palatino Linotype" w:hAnsi="Palatino Linotype" w:hint="default"/>
        <w:b/>
        <w:i w:val="0"/>
        <w:color w:val="auto"/>
        <w:sz w:val="24"/>
      </w:rPr>
    </w:lvl>
    <w:lvl w:ilvl="1" w:tplc="080A000B">
      <w:start w:val="1"/>
      <w:numFmt w:val="bullet"/>
      <w:lvlText w:val=""/>
      <w:lvlJc w:val="left"/>
      <w:pPr>
        <w:ind w:left="360" w:hanging="360"/>
      </w:pPr>
      <w:rPr>
        <w:rFonts w:ascii="Wingdings" w:hAnsi="Wingding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4402D0B"/>
    <w:multiLevelType w:val="multilevel"/>
    <w:tmpl w:val="C99A92C2"/>
    <w:lvl w:ilvl="0">
      <w:start w:val="13"/>
      <w:numFmt w:val="decimal"/>
      <w:lvlText w:val="%1."/>
      <w:lvlJc w:val="left"/>
      <w:pPr>
        <w:ind w:left="36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D7852D6"/>
    <w:multiLevelType w:val="hybridMultilevel"/>
    <w:tmpl w:val="344259B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6" w15:restartNumberingAfterBreak="0">
    <w:nsid w:val="439A38B3"/>
    <w:multiLevelType w:val="hybridMultilevel"/>
    <w:tmpl w:val="7C2C0BB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7" w15:restartNumberingAfterBreak="0">
    <w:nsid w:val="602B190D"/>
    <w:multiLevelType w:val="hybridMultilevel"/>
    <w:tmpl w:val="8BF827DA"/>
    <w:lvl w:ilvl="0" w:tplc="3EF4873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4"/>
  </w:num>
  <w:num w:numId="2">
    <w:abstractNumId w:val="3"/>
  </w:num>
  <w:num w:numId="3">
    <w:abstractNumId w:val="1"/>
  </w:num>
  <w:num w:numId="4">
    <w:abstractNumId w:val="5"/>
  </w:num>
  <w:num w:numId="5">
    <w:abstractNumId w:val="2"/>
  </w:num>
  <w:num w:numId="6">
    <w:abstractNumId w:val="7"/>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7D17"/>
    <w:rsid w:val="00007A3C"/>
    <w:rsid w:val="000363C0"/>
    <w:rsid w:val="00037E34"/>
    <w:rsid w:val="000967D3"/>
    <w:rsid w:val="000C2EB0"/>
    <w:rsid w:val="001641A3"/>
    <w:rsid w:val="00176064"/>
    <w:rsid w:val="001D031F"/>
    <w:rsid w:val="00207D17"/>
    <w:rsid w:val="00214EBE"/>
    <w:rsid w:val="00266345"/>
    <w:rsid w:val="002A76F0"/>
    <w:rsid w:val="00302FA6"/>
    <w:rsid w:val="003B52E4"/>
    <w:rsid w:val="003C7587"/>
    <w:rsid w:val="003F101E"/>
    <w:rsid w:val="004342F1"/>
    <w:rsid w:val="00471AD6"/>
    <w:rsid w:val="004F386D"/>
    <w:rsid w:val="005023FA"/>
    <w:rsid w:val="00504CA4"/>
    <w:rsid w:val="005A630D"/>
    <w:rsid w:val="005B3333"/>
    <w:rsid w:val="005B60E3"/>
    <w:rsid w:val="005E5E3F"/>
    <w:rsid w:val="005E692D"/>
    <w:rsid w:val="00604567"/>
    <w:rsid w:val="00722ED7"/>
    <w:rsid w:val="0076643E"/>
    <w:rsid w:val="00772369"/>
    <w:rsid w:val="00794522"/>
    <w:rsid w:val="007A668C"/>
    <w:rsid w:val="007F013B"/>
    <w:rsid w:val="00812CDC"/>
    <w:rsid w:val="00844231"/>
    <w:rsid w:val="00896EBF"/>
    <w:rsid w:val="0098599A"/>
    <w:rsid w:val="00A51DE7"/>
    <w:rsid w:val="00BC5EDE"/>
    <w:rsid w:val="00BD13E0"/>
    <w:rsid w:val="00BF5865"/>
    <w:rsid w:val="00C100D7"/>
    <w:rsid w:val="00C35F09"/>
    <w:rsid w:val="00C673EE"/>
    <w:rsid w:val="00DB5D82"/>
    <w:rsid w:val="00DB781E"/>
    <w:rsid w:val="00E00511"/>
    <w:rsid w:val="00E44A58"/>
    <w:rsid w:val="00F60D37"/>
    <w:rsid w:val="00FD4A3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1278B12-09F4-487B-AFD7-A3F201B4D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7D17"/>
    <w:pPr>
      <w:spacing w:after="0" w:line="240" w:lineRule="auto"/>
    </w:pPr>
    <w:rPr>
      <w:rFonts w:ascii="Times New Roman" w:eastAsia="Times New Roman" w:hAnsi="Times New Roman" w:cs="Times New Roman"/>
      <w:sz w:val="24"/>
      <w:szCs w:val="24"/>
      <w:lang w:val="es-MX" w:eastAsia="es-MX"/>
    </w:rPr>
  </w:style>
  <w:style w:type="paragraph" w:styleId="Ttulo1">
    <w:name w:val="heading 1"/>
    <w:basedOn w:val="Normal"/>
    <w:next w:val="Normal"/>
    <w:link w:val="Ttulo1Car"/>
    <w:uiPriority w:val="9"/>
    <w:qFormat/>
    <w:rsid w:val="00207D1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207D17"/>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7D17"/>
    <w:rPr>
      <w:rFonts w:asciiTheme="majorHAnsi" w:eastAsiaTheme="majorEastAsia" w:hAnsiTheme="majorHAnsi" w:cstheme="majorBidi"/>
      <w:color w:val="2E74B5" w:themeColor="accent1" w:themeShade="BF"/>
      <w:sz w:val="32"/>
      <w:szCs w:val="32"/>
      <w:lang w:val="es-MX" w:eastAsia="es-MX"/>
    </w:rPr>
  </w:style>
  <w:style w:type="character" w:customStyle="1" w:styleId="Ttulo2Car">
    <w:name w:val="Título 2 Car"/>
    <w:basedOn w:val="Fuentedeprrafopredeter"/>
    <w:link w:val="Ttulo2"/>
    <w:uiPriority w:val="9"/>
    <w:rsid w:val="00207D17"/>
    <w:rPr>
      <w:rFonts w:asciiTheme="majorHAnsi" w:eastAsiaTheme="majorEastAsia" w:hAnsiTheme="majorHAnsi" w:cstheme="majorBidi"/>
      <w:color w:val="2E74B5" w:themeColor="accent1" w:themeShade="BF"/>
      <w:sz w:val="26"/>
      <w:szCs w:val="26"/>
      <w:lang w:val="es-MX"/>
    </w:rPr>
  </w:style>
  <w:style w:type="paragraph" w:styleId="Encabezado">
    <w:name w:val="header"/>
    <w:basedOn w:val="Normal"/>
    <w:link w:val="EncabezadoCar"/>
    <w:uiPriority w:val="99"/>
    <w:unhideWhenUsed/>
    <w:rsid w:val="00207D17"/>
    <w:pPr>
      <w:tabs>
        <w:tab w:val="center" w:pos="4419"/>
        <w:tab w:val="right" w:pos="8838"/>
      </w:tabs>
    </w:pPr>
  </w:style>
  <w:style w:type="character" w:customStyle="1" w:styleId="EncabezadoCar">
    <w:name w:val="Encabezado Car"/>
    <w:basedOn w:val="Fuentedeprrafopredeter"/>
    <w:link w:val="Encabezado"/>
    <w:uiPriority w:val="99"/>
    <w:rsid w:val="00207D17"/>
    <w:rPr>
      <w:rFonts w:ascii="Times New Roman" w:eastAsia="Times New Roman" w:hAnsi="Times New Roman" w:cs="Times New Roman"/>
      <w:sz w:val="24"/>
      <w:szCs w:val="24"/>
      <w:lang w:val="es-MX" w:eastAsia="es-MX"/>
    </w:rPr>
  </w:style>
  <w:style w:type="paragraph" w:styleId="Piedepgina">
    <w:name w:val="footer"/>
    <w:basedOn w:val="Normal"/>
    <w:link w:val="PiedepginaCar"/>
    <w:uiPriority w:val="99"/>
    <w:unhideWhenUsed/>
    <w:rsid w:val="00207D17"/>
    <w:pPr>
      <w:tabs>
        <w:tab w:val="center" w:pos="4419"/>
        <w:tab w:val="right" w:pos="8838"/>
      </w:tabs>
    </w:pPr>
  </w:style>
  <w:style w:type="character" w:customStyle="1" w:styleId="PiedepginaCar">
    <w:name w:val="Pie de página Car"/>
    <w:basedOn w:val="Fuentedeprrafopredeter"/>
    <w:link w:val="Piedepgina"/>
    <w:uiPriority w:val="99"/>
    <w:rsid w:val="00207D17"/>
    <w:rPr>
      <w:rFonts w:ascii="Times New Roman" w:eastAsia="Times New Roman" w:hAnsi="Times New Roman" w:cs="Times New Roman"/>
      <w:sz w:val="24"/>
      <w:szCs w:val="24"/>
      <w:lang w:val="es-MX"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07D17"/>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207D17"/>
    <w:rPr>
      <w:rFonts w:ascii="Century Gothic" w:eastAsia="Times New Roman" w:hAnsi="Century Gothic" w:cs="Times New Roman"/>
      <w:szCs w:val="24"/>
      <w:lang w:val="es-MX" w:eastAsia="es-MX"/>
    </w:rPr>
  </w:style>
  <w:style w:type="character" w:styleId="Hipervnculo">
    <w:name w:val="Hyperlink"/>
    <w:aliases w:val="Hipervínculo1,Hipervínculo11,Hipervínculo12,Hipervínculo13,Hipervínculo14,Hipervínculo15"/>
    <w:uiPriority w:val="99"/>
    <w:unhideWhenUsed/>
    <w:rsid w:val="00207D17"/>
    <w:rPr>
      <w:color w:val="0563C1"/>
      <w:u w:val="single"/>
    </w:rPr>
  </w:style>
  <w:style w:type="paragraph" w:styleId="Sinespaciado">
    <w:name w:val="No Spacing"/>
    <w:aliases w:val="Francesa,INAI"/>
    <w:link w:val="SinespaciadoCar"/>
    <w:uiPriority w:val="1"/>
    <w:qFormat/>
    <w:rsid w:val="00207D17"/>
    <w:pPr>
      <w:spacing w:after="0" w:line="240" w:lineRule="auto"/>
    </w:pPr>
    <w:rPr>
      <w:lang w:val="es-MX"/>
    </w:rPr>
  </w:style>
  <w:style w:type="character" w:customStyle="1" w:styleId="SinespaciadoCar">
    <w:name w:val="Sin espaciado Car"/>
    <w:aliases w:val="Francesa Car,INAI Car"/>
    <w:link w:val="Sinespaciado"/>
    <w:uiPriority w:val="1"/>
    <w:locked/>
    <w:rsid w:val="00207D17"/>
    <w:rPr>
      <w:lang w:val="es-MX"/>
    </w:rPr>
  </w:style>
  <w:style w:type="paragraph" w:styleId="TDC1">
    <w:name w:val="toc 1"/>
    <w:basedOn w:val="Normal"/>
    <w:next w:val="Normal"/>
    <w:autoRedefine/>
    <w:uiPriority w:val="39"/>
    <w:unhideWhenUsed/>
    <w:rsid w:val="00207D17"/>
    <w:pPr>
      <w:spacing w:after="100" w:line="259" w:lineRule="auto"/>
    </w:pPr>
    <w:rPr>
      <w:rFonts w:asciiTheme="minorHAnsi" w:eastAsiaTheme="minorHAnsi" w:hAnsiTheme="minorHAnsi" w:cstheme="minorBidi"/>
      <w:sz w:val="22"/>
      <w:szCs w:val="22"/>
      <w:lang w:eastAsia="en-US"/>
    </w:rPr>
  </w:style>
  <w:style w:type="paragraph" w:styleId="TDC2">
    <w:name w:val="toc 2"/>
    <w:basedOn w:val="Normal"/>
    <w:next w:val="Normal"/>
    <w:autoRedefine/>
    <w:uiPriority w:val="39"/>
    <w:unhideWhenUsed/>
    <w:rsid w:val="00207D17"/>
    <w:pPr>
      <w:spacing w:after="100" w:line="259" w:lineRule="auto"/>
      <w:ind w:left="220"/>
    </w:pPr>
    <w:rPr>
      <w:rFonts w:asciiTheme="minorHAnsi" w:eastAsiaTheme="minorHAnsi" w:hAnsiTheme="minorHAnsi" w:cstheme="minorBidi"/>
      <w:sz w:val="22"/>
      <w:szCs w:val="22"/>
      <w:lang w:eastAsia="en-US"/>
    </w:rPr>
  </w:style>
  <w:style w:type="paragraph" w:styleId="TtulodeTDC">
    <w:name w:val="TOC Heading"/>
    <w:basedOn w:val="Ttulo1"/>
    <w:next w:val="Normal"/>
    <w:uiPriority w:val="39"/>
    <w:semiHidden/>
    <w:unhideWhenUsed/>
    <w:qFormat/>
    <w:rsid w:val="00207D17"/>
    <w:pPr>
      <w:outlineLvl w:val="9"/>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471AD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71AD6"/>
    <w:rPr>
      <w:sz w:val="20"/>
      <w:szCs w:val="20"/>
      <w:lang w:val="es-MX"/>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471AD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245506">
      <w:bodyDiv w:val="1"/>
      <w:marLeft w:val="0"/>
      <w:marRight w:val="0"/>
      <w:marTop w:val="0"/>
      <w:marBottom w:val="0"/>
      <w:divBdr>
        <w:top w:val="none" w:sz="0" w:space="0" w:color="auto"/>
        <w:left w:val="none" w:sz="0" w:space="0" w:color="auto"/>
        <w:bottom w:val="none" w:sz="0" w:space="0" w:color="auto"/>
        <w:right w:val="none" w:sz="0" w:space="0" w:color="auto"/>
      </w:divBdr>
    </w:div>
    <w:div w:id="351230771">
      <w:bodyDiv w:val="1"/>
      <w:marLeft w:val="0"/>
      <w:marRight w:val="0"/>
      <w:marTop w:val="0"/>
      <w:marBottom w:val="0"/>
      <w:divBdr>
        <w:top w:val="none" w:sz="0" w:space="0" w:color="auto"/>
        <w:left w:val="none" w:sz="0" w:space="0" w:color="auto"/>
        <w:bottom w:val="none" w:sz="0" w:space="0" w:color="auto"/>
        <w:right w:val="none" w:sz="0" w:space="0" w:color="auto"/>
      </w:divBdr>
    </w:div>
    <w:div w:id="439909118">
      <w:bodyDiv w:val="1"/>
      <w:marLeft w:val="0"/>
      <w:marRight w:val="0"/>
      <w:marTop w:val="0"/>
      <w:marBottom w:val="0"/>
      <w:divBdr>
        <w:top w:val="none" w:sz="0" w:space="0" w:color="auto"/>
        <w:left w:val="none" w:sz="0" w:space="0" w:color="auto"/>
        <w:bottom w:val="none" w:sz="0" w:space="0" w:color="auto"/>
        <w:right w:val="none" w:sz="0" w:space="0" w:color="auto"/>
      </w:divBdr>
    </w:div>
    <w:div w:id="640621443">
      <w:bodyDiv w:val="1"/>
      <w:marLeft w:val="0"/>
      <w:marRight w:val="0"/>
      <w:marTop w:val="0"/>
      <w:marBottom w:val="0"/>
      <w:divBdr>
        <w:top w:val="none" w:sz="0" w:space="0" w:color="auto"/>
        <w:left w:val="none" w:sz="0" w:space="0" w:color="auto"/>
        <w:bottom w:val="none" w:sz="0" w:space="0" w:color="auto"/>
        <w:right w:val="none" w:sz="0" w:space="0" w:color="auto"/>
      </w:divBdr>
    </w:div>
    <w:div w:id="1085230119">
      <w:bodyDiv w:val="1"/>
      <w:marLeft w:val="0"/>
      <w:marRight w:val="0"/>
      <w:marTop w:val="0"/>
      <w:marBottom w:val="0"/>
      <w:divBdr>
        <w:top w:val="none" w:sz="0" w:space="0" w:color="auto"/>
        <w:left w:val="none" w:sz="0" w:space="0" w:color="auto"/>
        <w:bottom w:val="none" w:sz="0" w:space="0" w:color="auto"/>
        <w:right w:val="none" w:sz="0" w:space="0" w:color="auto"/>
      </w:divBdr>
    </w:div>
    <w:div w:id="1395392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lgt/indice/ACULCO/art_92_xxxiii:d.web"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aimex.org.mx/saimex/solicitud/downloadAttach/1423758.page"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imex.org.mx/saimex/solicitud/downloadAttach/1468842.page" TargetMode="Externa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saimex.org.mx/saimex/solicitud/downloadAttach/1438209.page" TargetMode="External"/><Relationship Id="rId4" Type="http://schemas.openxmlformats.org/officeDocument/2006/relationships/webSettings" Target="webSettings.xml"/><Relationship Id="rId9" Type="http://schemas.openxmlformats.org/officeDocument/2006/relationships/hyperlink" Target="https://www.ipoex.org.mx/ipo3/lgt/indice/ACULCO/art:92_xxxviii_f/3.web"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2550</Words>
  <Characters>14031</Characters>
  <Application>Microsoft Office Word</Application>
  <DocSecurity>0</DocSecurity>
  <Lines>116</Lines>
  <Paragraphs>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16548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dcterms:created xsi:type="dcterms:W3CDTF">2022-07-12T03:02:00Z</dcterms:created>
  <dcterms:modified xsi:type="dcterms:W3CDTF">2022-07-12T03:02:00Z</dcterms:modified>
</cp:coreProperties>
</file>