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3EA888" w14:textId="77777777" w:rsidR="00B7758C" w:rsidRPr="00C938B6" w:rsidRDefault="00B7758C" w:rsidP="005B031E">
      <w:pPr>
        <w:spacing w:line="360" w:lineRule="auto"/>
        <w:contextualSpacing/>
        <w:jc w:val="both"/>
        <w:rPr>
          <w:rFonts w:ascii="Palatino Linotype" w:hAnsi="Palatino Linotype" w:cs="Tahoma"/>
          <w:bCs/>
          <w:sz w:val="22"/>
          <w:szCs w:val="22"/>
        </w:rPr>
      </w:pPr>
    </w:p>
    <w:p w14:paraId="2DD45082" w14:textId="30E3C06B" w:rsidR="00801872" w:rsidRPr="00C938B6" w:rsidRDefault="00801872" w:rsidP="005B031E">
      <w:pPr>
        <w:spacing w:line="360" w:lineRule="auto"/>
        <w:contextualSpacing/>
        <w:jc w:val="both"/>
        <w:rPr>
          <w:rFonts w:ascii="Palatino Linotype" w:hAnsi="Palatino Linotype"/>
          <w:noProof/>
          <w:sz w:val="22"/>
          <w:szCs w:val="22"/>
          <w:lang w:val="es-ES"/>
        </w:rPr>
      </w:pPr>
      <w:r w:rsidRPr="00C938B6">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297583">
        <w:rPr>
          <w:rFonts w:ascii="Palatino Linotype" w:hAnsi="Palatino Linotype" w:cs="Tahoma"/>
          <w:bCs/>
          <w:sz w:val="22"/>
          <w:szCs w:val="22"/>
        </w:rPr>
        <w:t xml:space="preserve">dieciséis </w:t>
      </w:r>
      <w:r w:rsidR="00A14307">
        <w:rPr>
          <w:rFonts w:ascii="Palatino Linotype" w:hAnsi="Palatino Linotype" w:cs="Tahoma"/>
          <w:bCs/>
          <w:sz w:val="22"/>
          <w:szCs w:val="22"/>
        </w:rPr>
        <w:t xml:space="preserve">de </w:t>
      </w:r>
      <w:r w:rsidR="00411021">
        <w:rPr>
          <w:rFonts w:ascii="Palatino Linotype" w:hAnsi="Palatino Linotype" w:cs="Tahoma"/>
          <w:bCs/>
          <w:sz w:val="22"/>
          <w:szCs w:val="22"/>
        </w:rPr>
        <w:t>febrero</w:t>
      </w:r>
      <w:r w:rsidR="00A14307">
        <w:rPr>
          <w:rFonts w:ascii="Palatino Linotype" w:hAnsi="Palatino Linotype" w:cs="Tahoma"/>
          <w:bCs/>
          <w:sz w:val="22"/>
          <w:szCs w:val="22"/>
        </w:rPr>
        <w:t xml:space="preserve"> de dos mil veintidós</w:t>
      </w:r>
      <w:r w:rsidRPr="00C938B6">
        <w:rPr>
          <w:rFonts w:ascii="Palatino Linotype" w:hAnsi="Palatino Linotype" w:cs="Tahoma"/>
          <w:bCs/>
          <w:sz w:val="22"/>
          <w:szCs w:val="22"/>
        </w:rPr>
        <w:t>.</w:t>
      </w:r>
    </w:p>
    <w:p w14:paraId="452162AB" w14:textId="77777777" w:rsidR="00801872" w:rsidRPr="00C938B6" w:rsidRDefault="00801872" w:rsidP="005B031E">
      <w:pPr>
        <w:spacing w:line="360" w:lineRule="auto"/>
        <w:contextualSpacing/>
        <w:jc w:val="both"/>
        <w:rPr>
          <w:rFonts w:ascii="Palatino Linotype" w:hAnsi="Palatino Linotype"/>
          <w:noProof/>
          <w:sz w:val="22"/>
          <w:szCs w:val="22"/>
          <w:lang w:val="es-ES"/>
        </w:rPr>
      </w:pPr>
    </w:p>
    <w:p w14:paraId="2CD312FD" w14:textId="0885D082" w:rsidR="00801872" w:rsidRPr="00C938B6" w:rsidRDefault="5301E4D7" w:rsidP="005B031E">
      <w:pPr>
        <w:spacing w:line="360" w:lineRule="auto"/>
        <w:contextualSpacing/>
        <w:jc w:val="both"/>
        <w:rPr>
          <w:rFonts w:ascii="Palatino Linotype" w:eastAsia="Calibri" w:hAnsi="Palatino Linotype" w:cs="Tahoma"/>
          <w:sz w:val="22"/>
          <w:szCs w:val="22"/>
          <w:lang w:eastAsia="en-US"/>
        </w:rPr>
      </w:pPr>
      <w:r w:rsidRPr="5301E4D7">
        <w:rPr>
          <w:rFonts w:ascii="Palatino Linotype" w:hAnsi="Palatino Linotype" w:cs="Tahoma"/>
          <w:b/>
          <w:bCs/>
          <w:color w:val="0D0D0D" w:themeColor="text1" w:themeTint="F2"/>
          <w:sz w:val="22"/>
          <w:szCs w:val="22"/>
        </w:rPr>
        <w:t>VISTO</w:t>
      </w:r>
      <w:r w:rsidRPr="5301E4D7">
        <w:rPr>
          <w:rFonts w:ascii="Palatino Linotype" w:hAnsi="Palatino Linotype" w:cs="Tahoma"/>
          <w:color w:val="0D0D0D" w:themeColor="text1" w:themeTint="F2"/>
          <w:sz w:val="22"/>
          <w:szCs w:val="22"/>
        </w:rPr>
        <w:t xml:space="preserve"> el expediente conformado con motivo del Recurso de Revisión </w:t>
      </w:r>
      <w:r w:rsidRPr="5301E4D7">
        <w:rPr>
          <w:rFonts w:ascii="Palatino Linotype" w:eastAsia="Calibri" w:hAnsi="Palatino Linotype" w:cs="Tahoma"/>
          <w:sz w:val="22"/>
          <w:szCs w:val="22"/>
          <w:lang w:eastAsia="en-US"/>
        </w:rPr>
        <w:t xml:space="preserve">00021/INFOEM/IP/RR/2022, </w:t>
      </w:r>
      <w:r w:rsidRPr="5301E4D7">
        <w:rPr>
          <w:rFonts w:ascii="Palatino Linotype" w:hAnsi="Palatino Linotype" w:cs="Tahoma"/>
          <w:color w:val="0D0D0D" w:themeColor="text1" w:themeTint="F2"/>
          <w:sz w:val="22"/>
          <w:szCs w:val="22"/>
        </w:rPr>
        <w:t>interpuesto por</w:t>
      </w:r>
      <w:r w:rsidRPr="5301E4D7">
        <w:rPr>
          <w:rFonts w:ascii="Palatino Linotype" w:eastAsia="Calibri" w:hAnsi="Palatino Linotype" w:cs="Tahoma"/>
          <w:sz w:val="22"/>
          <w:szCs w:val="22"/>
          <w:lang w:eastAsia="en-US"/>
        </w:rPr>
        <w:t xml:space="preserve"> </w:t>
      </w:r>
      <w:r w:rsidRPr="5301E4D7">
        <w:rPr>
          <w:rFonts w:ascii="Palatino Linotype" w:eastAsia="Calibri" w:hAnsi="Palatino Linotype" w:cs="Tahoma"/>
          <w:sz w:val="22"/>
          <w:szCs w:val="22"/>
          <w:highlight w:val="black"/>
          <w:lang w:eastAsia="en-US"/>
        </w:rPr>
        <w:t>XXXXXXXXXXXXXXXXXX</w:t>
      </w:r>
      <w:r w:rsidRPr="5301E4D7">
        <w:rPr>
          <w:rFonts w:ascii="Palatino Linotype" w:hAnsi="Palatino Linotype" w:cs="Tahoma"/>
          <w:color w:val="0D0D0D" w:themeColor="text1" w:themeTint="F2"/>
          <w:sz w:val="22"/>
          <w:szCs w:val="22"/>
        </w:rPr>
        <w:t xml:space="preserve"> en lo sucesivo Recurrente o Particular, </w:t>
      </w:r>
      <w:r w:rsidRPr="5301E4D7">
        <w:rPr>
          <w:rFonts w:ascii="Palatino Linotype" w:eastAsia="Calibri" w:hAnsi="Palatino Linotype" w:cs="Tahoma"/>
          <w:sz w:val="22"/>
          <w:szCs w:val="22"/>
          <w:lang w:val="es-ES" w:eastAsia="en-US"/>
        </w:rPr>
        <w:t xml:space="preserve">en contra de la respuesta del Sujeto Obligado, </w:t>
      </w:r>
      <w:r w:rsidRPr="5301E4D7">
        <w:rPr>
          <w:rFonts w:ascii="Palatino Linotype" w:eastAsia="Calibri" w:hAnsi="Palatino Linotype" w:cs="Tahoma"/>
          <w:sz w:val="22"/>
          <w:szCs w:val="22"/>
          <w:lang w:eastAsia="en-US"/>
        </w:rPr>
        <w:t xml:space="preserve">Ayuntamiento de Metepec, </w:t>
      </w:r>
      <w:r w:rsidRPr="5301E4D7">
        <w:rPr>
          <w:rFonts w:ascii="Palatino Linotype" w:eastAsia="Calibri" w:hAnsi="Palatino Linotype" w:cs="Tahoma"/>
          <w:sz w:val="22"/>
          <w:szCs w:val="22"/>
          <w:lang w:val="es-ES" w:eastAsia="en-US"/>
        </w:rPr>
        <w:t>a la solicitud de acceso a la información</w:t>
      </w:r>
      <w:r w:rsidRPr="5301E4D7">
        <w:rPr>
          <w:rFonts w:ascii="Palatino Linotype" w:eastAsia="Calibri" w:hAnsi="Palatino Linotype" w:cs="Tahoma"/>
          <w:sz w:val="22"/>
          <w:szCs w:val="22"/>
          <w:lang w:eastAsia="en-US"/>
        </w:rPr>
        <w:t xml:space="preserve"> 00695/METEPEC/IP/2021</w:t>
      </w:r>
      <w:r w:rsidRPr="5301E4D7">
        <w:rPr>
          <w:rFonts w:ascii="Palatino Linotype" w:eastAsia="Calibri" w:hAnsi="Palatino Linotype" w:cs="Tahoma"/>
          <w:sz w:val="22"/>
          <w:szCs w:val="22"/>
          <w:lang w:val="es-ES" w:eastAsia="en-US"/>
        </w:rPr>
        <w:t>, se emite la presente Resolución, con base en los Antecedentes y Consideraciones que a continuación se exponen:</w:t>
      </w:r>
    </w:p>
    <w:p w14:paraId="388C37B9" w14:textId="77777777" w:rsidR="00801872" w:rsidRPr="00C938B6" w:rsidRDefault="00801872" w:rsidP="005B031E">
      <w:pPr>
        <w:tabs>
          <w:tab w:val="left" w:pos="2835"/>
        </w:tabs>
        <w:spacing w:line="360" w:lineRule="auto"/>
        <w:ind w:right="-93"/>
        <w:contextualSpacing/>
        <w:jc w:val="both"/>
        <w:rPr>
          <w:rFonts w:ascii="Palatino Linotype" w:eastAsia="Calibri" w:hAnsi="Palatino Linotype" w:cs="Tahoma"/>
          <w:b/>
          <w:bCs/>
          <w:sz w:val="22"/>
          <w:szCs w:val="22"/>
          <w:lang w:eastAsia="en-US"/>
        </w:rPr>
      </w:pPr>
    </w:p>
    <w:p w14:paraId="76427671" w14:textId="77777777" w:rsidR="00801872" w:rsidRPr="00C938B6" w:rsidRDefault="00801872" w:rsidP="005B031E">
      <w:pPr>
        <w:spacing w:line="360" w:lineRule="auto"/>
        <w:ind w:right="-93"/>
        <w:contextualSpacing/>
        <w:jc w:val="center"/>
        <w:rPr>
          <w:rFonts w:ascii="Palatino Linotype" w:eastAsia="Calibri" w:hAnsi="Palatino Linotype" w:cs="Tahoma"/>
          <w:b/>
          <w:bCs/>
          <w:sz w:val="22"/>
          <w:szCs w:val="22"/>
          <w:lang w:eastAsia="en-US"/>
        </w:rPr>
      </w:pPr>
      <w:r w:rsidRPr="00C938B6">
        <w:rPr>
          <w:rFonts w:ascii="Palatino Linotype" w:eastAsia="Calibri" w:hAnsi="Palatino Linotype" w:cs="Tahoma"/>
          <w:b/>
          <w:bCs/>
          <w:sz w:val="22"/>
          <w:szCs w:val="22"/>
          <w:lang w:eastAsia="en-US"/>
        </w:rPr>
        <w:t>A N T E C E D E N T E S:</w:t>
      </w:r>
    </w:p>
    <w:p w14:paraId="6EC6BCC4" w14:textId="77777777" w:rsidR="00801872" w:rsidRPr="00C938B6" w:rsidRDefault="00801872" w:rsidP="005B031E">
      <w:pPr>
        <w:spacing w:line="360" w:lineRule="auto"/>
        <w:ind w:right="-93"/>
        <w:contextualSpacing/>
        <w:jc w:val="both"/>
        <w:rPr>
          <w:rFonts w:ascii="Palatino Linotype" w:eastAsia="Calibri" w:hAnsi="Palatino Linotype" w:cs="Tahoma"/>
          <w:bCs/>
          <w:sz w:val="22"/>
          <w:szCs w:val="22"/>
          <w:lang w:eastAsia="en-US"/>
        </w:rPr>
      </w:pPr>
    </w:p>
    <w:p w14:paraId="5944A4CF" w14:textId="77777777" w:rsidR="00801872" w:rsidRPr="00C938B6" w:rsidRDefault="00801872" w:rsidP="005B031E">
      <w:pPr>
        <w:spacing w:line="360" w:lineRule="auto"/>
        <w:contextualSpacing/>
        <w:jc w:val="both"/>
        <w:rPr>
          <w:rFonts w:ascii="Palatino Linotype" w:eastAsia="Calibri" w:hAnsi="Palatino Linotype" w:cs="Tahoma"/>
          <w:b/>
          <w:bCs/>
          <w:sz w:val="22"/>
          <w:szCs w:val="22"/>
          <w:lang w:eastAsia="en-US"/>
        </w:rPr>
      </w:pPr>
      <w:r w:rsidRPr="00C938B6">
        <w:rPr>
          <w:rFonts w:ascii="Palatino Linotype" w:eastAsia="Calibri" w:hAnsi="Palatino Linotype" w:cs="Tahoma"/>
          <w:b/>
          <w:bCs/>
          <w:sz w:val="22"/>
          <w:szCs w:val="22"/>
          <w:lang w:eastAsia="en-US"/>
        </w:rPr>
        <w:t xml:space="preserve">I. Presentación de la solicitud de información.  </w:t>
      </w:r>
    </w:p>
    <w:p w14:paraId="397391E9" w14:textId="77777777" w:rsidR="00801872" w:rsidRPr="00C938B6" w:rsidRDefault="00801872" w:rsidP="005B031E">
      <w:pPr>
        <w:autoSpaceDE w:val="0"/>
        <w:autoSpaceDN w:val="0"/>
        <w:adjustRightInd w:val="0"/>
        <w:spacing w:line="360" w:lineRule="auto"/>
        <w:jc w:val="both"/>
        <w:rPr>
          <w:rFonts w:ascii="Palatino Linotype" w:hAnsi="Palatino Linotype" w:cs="Tahoma"/>
          <w:sz w:val="22"/>
          <w:szCs w:val="22"/>
        </w:rPr>
      </w:pPr>
    </w:p>
    <w:p w14:paraId="7BF8DBE2" w14:textId="21560945" w:rsidR="00801872" w:rsidRDefault="00801872" w:rsidP="005B031E">
      <w:pPr>
        <w:autoSpaceDE w:val="0"/>
        <w:autoSpaceDN w:val="0"/>
        <w:adjustRightInd w:val="0"/>
        <w:spacing w:line="360" w:lineRule="auto"/>
        <w:jc w:val="both"/>
        <w:rPr>
          <w:rFonts w:ascii="Palatino Linotype" w:hAnsi="Palatino Linotype" w:cs="Tahoma"/>
          <w:sz w:val="22"/>
          <w:szCs w:val="22"/>
        </w:rPr>
      </w:pPr>
      <w:r w:rsidRPr="00C938B6">
        <w:rPr>
          <w:rFonts w:ascii="Palatino Linotype" w:hAnsi="Palatino Linotype" w:cs="Tahoma"/>
          <w:sz w:val="22"/>
          <w:szCs w:val="22"/>
        </w:rPr>
        <w:t xml:space="preserve">Con fecha </w:t>
      </w:r>
      <w:r w:rsidR="0021516F">
        <w:rPr>
          <w:rFonts w:ascii="Palatino Linotype" w:hAnsi="Palatino Linotype" w:cs="Tahoma"/>
          <w:sz w:val="22"/>
          <w:szCs w:val="22"/>
        </w:rPr>
        <w:t>veintidós</w:t>
      </w:r>
      <w:r w:rsidR="00A14307">
        <w:rPr>
          <w:rFonts w:ascii="Palatino Linotype" w:hAnsi="Palatino Linotype" w:cs="Tahoma"/>
          <w:sz w:val="22"/>
          <w:szCs w:val="22"/>
        </w:rPr>
        <w:t xml:space="preserve"> de </w:t>
      </w:r>
      <w:r w:rsidR="008B6C61">
        <w:rPr>
          <w:rFonts w:ascii="Palatino Linotype" w:hAnsi="Palatino Linotype" w:cs="Tahoma"/>
          <w:sz w:val="22"/>
          <w:szCs w:val="22"/>
        </w:rPr>
        <w:t>noviembre</w:t>
      </w:r>
      <w:r w:rsidR="00A14307">
        <w:rPr>
          <w:rFonts w:ascii="Palatino Linotype" w:hAnsi="Palatino Linotype" w:cs="Tahoma"/>
          <w:sz w:val="22"/>
          <w:szCs w:val="22"/>
        </w:rPr>
        <w:t xml:space="preserve"> de dos mil veintiuno, el Particular presentó una solicitud de acceso a la información pública a través del Sistema de Acceso a la Información Mexiquense (SAIMEX)</w:t>
      </w:r>
      <w:r w:rsidR="002D46B4">
        <w:rPr>
          <w:rFonts w:ascii="Palatino Linotype" w:hAnsi="Palatino Linotype" w:cs="Tahoma"/>
          <w:sz w:val="22"/>
          <w:szCs w:val="22"/>
        </w:rPr>
        <w:t xml:space="preserve"> </w:t>
      </w:r>
      <w:r w:rsidR="00BE73E6" w:rsidRPr="00C938B6">
        <w:rPr>
          <w:rFonts w:ascii="Palatino Linotype" w:eastAsia="Calibri" w:hAnsi="Palatino Linotype" w:cs="Tahoma"/>
          <w:color w:val="000000"/>
          <w:sz w:val="22"/>
          <w:szCs w:val="22"/>
          <w:lang w:eastAsia="en-US"/>
        </w:rPr>
        <w:t>mediante la cual requirió:</w:t>
      </w:r>
    </w:p>
    <w:p w14:paraId="0EEE8EAF" w14:textId="77777777" w:rsidR="002D46B4" w:rsidRPr="002D46B4" w:rsidRDefault="002D46B4" w:rsidP="005B031E">
      <w:pPr>
        <w:autoSpaceDE w:val="0"/>
        <w:autoSpaceDN w:val="0"/>
        <w:adjustRightInd w:val="0"/>
        <w:spacing w:line="360" w:lineRule="auto"/>
        <w:jc w:val="both"/>
        <w:rPr>
          <w:rFonts w:ascii="Palatino Linotype" w:hAnsi="Palatino Linotype" w:cs="Tahoma"/>
          <w:sz w:val="22"/>
          <w:szCs w:val="22"/>
        </w:rPr>
      </w:pPr>
    </w:p>
    <w:p w14:paraId="2FEEFDB3" w14:textId="1526AC83" w:rsidR="000343A4" w:rsidRDefault="000343A4" w:rsidP="005B031E">
      <w:pPr>
        <w:spacing w:line="360" w:lineRule="auto"/>
        <w:ind w:left="567" w:right="567"/>
        <w:contextualSpacing/>
        <w:rPr>
          <w:rFonts w:ascii="Palatino Linotype" w:hAnsi="Palatino Linotype" w:cs="Tahoma"/>
          <w:b/>
          <w:i/>
          <w:iCs/>
        </w:rPr>
      </w:pPr>
      <w:r w:rsidRPr="000343A4">
        <w:rPr>
          <w:rFonts w:ascii="Palatino Linotype" w:hAnsi="Palatino Linotype" w:cs="Tahoma"/>
          <w:b/>
          <w:bCs/>
          <w:i/>
          <w:iCs/>
        </w:rPr>
        <w:t>00</w:t>
      </w:r>
      <w:r w:rsidR="00984EC2">
        <w:rPr>
          <w:rFonts w:ascii="Palatino Linotype" w:hAnsi="Palatino Linotype" w:cs="Tahoma"/>
          <w:b/>
          <w:bCs/>
          <w:i/>
          <w:iCs/>
        </w:rPr>
        <w:t>695</w:t>
      </w:r>
      <w:r w:rsidRPr="000343A4">
        <w:rPr>
          <w:rFonts w:ascii="Palatino Linotype" w:hAnsi="Palatino Linotype" w:cs="Tahoma"/>
          <w:b/>
          <w:bCs/>
          <w:i/>
          <w:iCs/>
        </w:rPr>
        <w:t>/</w:t>
      </w:r>
      <w:r w:rsidR="00984EC2">
        <w:rPr>
          <w:rFonts w:ascii="Palatino Linotype" w:hAnsi="Palatino Linotype" w:cs="Tahoma"/>
          <w:b/>
          <w:bCs/>
          <w:i/>
          <w:iCs/>
        </w:rPr>
        <w:t>METEPEC</w:t>
      </w:r>
      <w:r w:rsidRPr="000343A4">
        <w:rPr>
          <w:rFonts w:ascii="Palatino Linotype" w:hAnsi="Palatino Linotype" w:cs="Tahoma"/>
          <w:b/>
          <w:bCs/>
          <w:i/>
          <w:iCs/>
        </w:rPr>
        <w:t>/IP/2021</w:t>
      </w:r>
    </w:p>
    <w:p w14:paraId="15187AB8" w14:textId="1EEAC75D" w:rsidR="00801872" w:rsidRPr="00C938B6" w:rsidRDefault="00801872" w:rsidP="005B031E">
      <w:pPr>
        <w:spacing w:line="360" w:lineRule="auto"/>
        <w:ind w:left="567" w:right="567"/>
        <w:contextualSpacing/>
        <w:rPr>
          <w:rFonts w:ascii="Palatino Linotype" w:hAnsi="Palatino Linotype" w:cs="Tahoma"/>
          <w:b/>
          <w:i/>
          <w:iCs/>
        </w:rPr>
      </w:pPr>
      <w:r w:rsidRPr="00C938B6">
        <w:rPr>
          <w:rFonts w:ascii="Palatino Linotype" w:hAnsi="Palatino Linotype" w:cs="Tahoma"/>
          <w:b/>
          <w:i/>
          <w:iCs/>
        </w:rPr>
        <w:t>DESCRIPCIÓN CLARA Y PRECISA DE LA INFORMACIÓN SOLICITADA</w:t>
      </w:r>
    </w:p>
    <w:p w14:paraId="6728A402" w14:textId="7875EF0E" w:rsidR="00801872" w:rsidRPr="00C938B6" w:rsidRDefault="002D46B4" w:rsidP="005B031E">
      <w:pPr>
        <w:spacing w:line="360" w:lineRule="auto"/>
        <w:ind w:left="567" w:right="567"/>
        <w:contextualSpacing/>
        <w:jc w:val="both"/>
        <w:rPr>
          <w:rFonts w:ascii="Palatino Linotype" w:hAnsi="Palatino Linotype"/>
          <w:bCs/>
          <w:i/>
          <w:iCs/>
          <w:color w:val="000000"/>
        </w:rPr>
      </w:pPr>
      <w:bookmarkStart w:id="0" w:name="_Hlk93400387"/>
      <w:r>
        <w:rPr>
          <w:rFonts w:ascii="Palatino Linotype" w:hAnsi="Palatino Linotype"/>
          <w:bCs/>
          <w:i/>
          <w:iCs/>
          <w:color w:val="000000"/>
        </w:rPr>
        <w:t>“</w:t>
      </w:r>
      <w:r w:rsidR="00984EC2" w:rsidRPr="00984EC2">
        <w:rPr>
          <w:rFonts w:ascii="Palatino Linotype" w:hAnsi="Palatino Linotype"/>
          <w:bCs/>
          <w:i/>
          <w:iCs/>
          <w:color w:val="000000"/>
        </w:rPr>
        <w:t>Se solicita de la manera más atenta y respetuosa, con fundamento en el artículo 6° de la Constitución Política de los Estados Unidos Mexicanos, que se proporcione la información solicitada en el archivo adjunto de nombre "CensoAP"</w:t>
      </w:r>
      <w:r w:rsidR="00801872" w:rsidRPr="00C938B6">
        <w:rPr>
          <w:rFonts w:ascii="Palatino Linotype" w:hAnsi="Palatino Linotype"/>
          <w:bCs/>
          <w:i/>
          <w:iCs/>
          <w:color w:val="000000"/>
        </w:rPr>
        <w:t>”</w:t>
      </w:r>
      <w:r>
        <w:rPr>
          <w:rFonts w:ascii="Palatino Linotype" w:hAnsi="Palatino Linotype"/>
          <w:bCs/>
          <w:i/>
          <w:iCs/>
          <w:color w:val="000000"/>
        </w:rPr>
        <w:t xml:space="preserve">. </w:t>
      </w:r>
      <w:r w:rsidR="00801872" w:rsidRPr="00C938B6">
        <w:rPr>
          <w:rFonts w:ascii="Palatino Linotype" w:hAnsi="Palatino Linotype"/>
          <w:bCs/>
          <w:i/>
          <w:iCs/>
          <w:color w:val="000000"/>
        </w:rPr>
        <w:t xml:space="preserve">(Sic) </w:t>
      </w:r>
    </w:p>
    <w:bookmarkEnd w:id="0"/>
    <w:p w14:paraId="1D28BF4A" w14:textId="77777777" w:rsidR="00801872" w:rsidRPr="00C938B6" w:rsidRDefault="00801872" w:rsidP="005B031E">
      <w:pPr>
        <w:spacing w:line="360" w:lineRule="auto"/>
        <w:ind w:left="567" w:right="567"/>
        <w:contextualSpacing/>
        <w:jc w:val="both"/>
        <w:rPr>
          <w:rFonts w:ascii="Palatino Linotype" w:hAnsi="Palatino Linotype"/>
          <w:bCs/>
          <w:i/>
          <w:iCs/>
          <w:color w:val="000000"/>
        </w:rPr>
      </w:pPr>
    </w:p>
    <w:p w14:paraId="3F3F3633" w14:textId="77777777" w:rsidR="00801872" w:rsidRPr="00C938B6" w:rsidRDefault="00801872" w:rsidP="005B031E">
      <w:pPr>
        <w:tabs>
          <w:tab w:val="left" w:pos="4667"/>
        </w:tabs>
        <w:spacing w:line="360" w:lineRule="auto"/>
        <w:ind w:left="567" w:right="567"/>
        <w:rPr>
          <w:rFonts w:ascii="Palatino Linotype" w:hAnsi="Palatino Linotype" w:cs="Tahoma"/>
          <w:b/>
          <w:bCs/>
          <w:i/>
          <w:iCs/>
        </w:rPr>
      </w:pPr>
      <w:r w:rsidRPr="00C938B6">
        <w:rPr>
          <w:rFonts w:ascii="Palatino Linotype" w:hAnsi="Palatino Linotype" w:cs="Tahoma"/>
          <w:b/>
          <w:bCs/>
          <w:i/>
          <w:iCs/>
        </w:rPr>
        <w:t>“MODALIDAD DE ENTREGA</w:t>
      </w:r>
    </w:p>
    <w:p w14:paraId="67741AF7" w14:textId="02912BD3" w:rsidR="00CB6F34" w:rsidRPr="001663C7" w:rsidRDefault="00801872" w:rsidP="001663C7">
      <w:pPr>
        <w:spacing w:line="360" w:lineRule="auto"/>
        <w:ind w:left="567" w:right="567"/>
        <w:rPr>
          <w:rFonts w:ascii="Palatino Linotype" w:hAnsi="Palatino Linotype" w:cs="Arial"/>
          <w:bCs/>
          <w:i/>
          <w:iCs/>
        </w:rPr>
      </w:pPr>
      <w:r w:rsidRPr="00C938B6">
        <w:rPr>
          <w:rFonts w:ascii="Palatino Linotype" w:hAnsi="Palatino Linotype" w:cs="Arial"/>
          <w:bCs/>
          <w:i/>
          <w:iCs/>
        </w:rPr>
        <w:t>A través del SAIMEX</w:t>
      </w:r>
      <w:r w:rsidR="00AA77D7">
        <w:rPr>
          <w:rFonts w:ascii="Palatino Linotype" w:hAnsi="Palatino Linotype" w:cs="Arial"/>
          <w:bCs/>
          <w:i/>
          <w:iCs/>
        </w:rPr>
        <w:t xml:space="preserve">. </w:t>
      </w:r>
    </w:p>
    <w:p w14:paraId="3BFAD39B" w14:textId="2509D734" w:rsidR="00CB6F34" w:rsidRDefault="00CB6F34" w:rsidP="00292718">
      <w:pPr>
        <w:spacing w:line="360" w:lineRule="auto"/>
        <w:ind w:right="-28"/>
        <w:rPr>
          <w:rFonts w:ascii="Palatino Linotype" w:hAnsi="Palatino Linotype" w:cs="Arial"/>
          <w:bCs/>
          <w:sz w:val="22"/>
          <w:szCs w:val="22"/>
        </w:rPr>
      </w:pPr>
      <w:r w:rsidRPr="00CB6F34">
        <w:rPr>
          <w:rFonts w:ascii="Palatino Linotype" w:hAnsi="Palatino Linotype" w:cs="Arial"/>
          <w:bCs/>
          <w:sz w:val="22"/>
          <w:szCs w:val="22"/>
        </w:rPr>
        <w:lastRenderedPageBreak/>
        <w:t>Asimismo</w:t>
      </w:r>
      <w:r>
        <w:rPr>
          <w:rFonts w:ascii="Palatino Linotype" w:hAnsi="Palatino Linotype" w:cs="Arial"/>
          <w:bCs/>
          <w:sz w:val="22"/>
          <w:szCs w:val="22"/>
        </w:rPr>
        <w:t>, adjunt</w:t>
      </w:r>
      <w:r w:rsidR="009F383A">
        <w:rPr>
          <w:rFonts w:ascii="Palatino Linotype" w:hAnsi="Palatino Linotype" w:cs="Arial"/>
          <w:bCs/>
          <w:sz w:val="22"/>
          <w:szCs w:val="22"/>
        </w:rPr>
        <w:t xml:space="preserve">ó a su solicitud un archivo de nombre </w:t>
      </w:r>
      <w:r w:rsidR="00984EC2">
        <w:rPr>
          <w:rFonts w:ascii="Palatino Linotype" w:hAnsi="Palatino Linotype" w:cs="Arial"/>
          <w:b/>
          <w:sz w:val="22"/>
          <w:szCs w:val="22"/>
        </w:rPr>
        <w:t>CensoAP.docx</w:t>
      </w:r>
      <w:r w:rsidR="00903608">
        <w:rPr>
          <w:rFonts w:ascii="Palatino Linotype" w:hAnsi="Palatino Linotype" w:cs="Arial"/>
          <w:b/>
          <w:sz w:val="22"/>
          <w:szCs w:val="22"/>
        </w:rPr>
        <w:t xml:space="preserve"> </w:t>
      </w:r>
      <w:r w:rsidR="00903608">
        <w:rPr>
          <w:rFonts w:ascii="Palatino Linotype" w:hAnsi="Palatino Linotype" w:cs="Arial"/>
          <w:bCs/>
          <w:sz w:val="22"/>
          <w:szCs w:val="22"/>
        </w:rPr>
        <w:t xml:space="preserve">el cual contiene lo siguiente: </w:t>
      </w:r>
    </w:p>
    <w:p w14:paraId="3AE8E5A8" w14:textId="0E52641E" w:rsidR="00903608" w:rsidRDefault="00903608" w:rsidP="00CB6F34">
      <w:pPr>
        <w:spacing w:line="360" w:lineRule="auto"/>
        <w:ind w:right="567"/>
        <w:rPr>
          <w:rFonts w:ascii="Palatino Linotype" w:hAnsi="Palatino Linotype" w:cs="Arial"/>
          <w:bCs/>
          <w:sz w:val="22"/>
          <w:szCs w:val="22"/>
        </w:rPr>
      </w:pPr>
    </w:p>
    <w:p w14:paraId="5A5EB6AE" w14:textId="6CCC3EB9" w:rsidR="00F4000A" w:rsidRDefault="00F4000A" w:rsidP="001663C7">
      <w:pPr>
        <w:spacing w:line="360" w:lineRule="auto"/>
        <w:ind w:right="567"/>
        <w:jc w:val="both"/>
        <w:rPr>
          <w:rFonts w:ascii="Palatino Linotype" w:hAnsi="Palatino Linotype" w:cs="Arial"/>
          <w:bCs/>
          <w:sz w:val="22"/>
          <w:szCs w:val="22"/>
        </w:rPr>
      </w:pPr>
      <w:r w:rsidRPr="00F4000A">
        <w:rPr>
          <w:rFonts w:ascii="Palatino Linotype" w:hAnsi="Palatino Linotype" w:cs="Arial"/>
          <w:bCs/>
          <w:sz w:val="22"/>
          <w:szCs w:val="22"/>
        </w:rPr>
        <w:t>Se solicita</w:t>
      </w:r>
      <w:r w:rsidR="008F7168">
        <w:rPr>
          <w:rFonts w:ascii="Palatino Linotype" w:hAnsi="Palatino Linotype" w:cs="Arial"/>
          <w:bCs/>
          <w:sz w:val="22"/>
          <w:szCs w:val="22"/>
        </w:rPr>
        <w:t>:</w:t>
      </w:r>
    </w:p>
    <w:p w14:paraId="728F2C13" w14:textId="77777777" w:rsidR="008F7168" w:rsidRPr="00F4000A" w:rsidRDefault="008F7168" w:rsidP="001663C7">
      <w:pPr>
        <w:spacing w:line="360" w:lineRule="auto"/>
        <w:ind w:right="567"/>
        <w:jc w:val="both"/>
        <w:rPr>
          <w:rFonts w:ascii="Palatino Linotype" w:hAnsi="Palatino Linotype" w:cs="Arial"/>
          <w:bCs/>
          <w:sz w:val="22"/>
          <w:szCs w:val="22"/>
        </w:rPr>
      </w:pPr>
    </w:p>
    <w:p w14:paraId="7E930906" w14:textId="77777777" w:rsidR="00F4000A" w:rsidRPr="00F4000A" w:rsidRDefault="00F4000A" w:rsidP="001663C7">
      <w:pPr>
        <w:numPr>
          <w:ilvl w:val="0"/>
          <w:numId w:val="9"/>
        </w:numPr>
        <w:spacing w:line="360" w:lineRule="auto"/>
        <w:ind w:right="567"/>
        <w:jc w:val="both"/>
        <w:rPr>
          <w:rFonts w:ascii="Palatino Linotype" w:hAnsi="Palatino Linotype" w:cs="Arial"/>
          <w:bCs/>
          <w:sz w:val="22"/>
          <w:szCs w:val="22"/>
        </w:rPr>
      </w:pPr>
      <w:r w:rsidRPr="00F4000A">
        <w:rPr>
          <w:rFonts w:ascii="Palatino Linotype" w:hAnsi="Palatino Linotype" w:cs="Arial"/>
          <w:bCs/>
          <w:sz w:val="22"/>
          <w:szCs w:val="22"/>
        </w:rPr>
        <w:t>Censo de luminarios de alumbrado público realizado y firmado por la Comisión Federal de Electricidad (CFE), correspondiente a los años 2018, 2019, 2020 y 2021;</w:t>
      </w:r>
    </w:p>
    <w:p w14:paraId="53670C37" w14:textId="77777777" w:rsidR="00F4000A" w:rsidRDefault="00F4000A" w:rsidP="001663C7">
      <w:pPr>
        <w:numPr>
          <w:ilvl w:val="0"/>
          <w:numId w:val="9"/>
        </w:numPr>
        <w:spacing w:line="360" w:lineRule="auto"/>
        <w:ind w:right="567"/>
        <w:jc w:val="both"/>
        <w:rPr>
          <w:rFonts w:ascii="Palatino Linotype" w:hAnsi="Palatino Linotype" w:cs="Arial"/>
          <w:bCs/>
          <w:sz w:val="22"/>
          <w:szCs w:val="22"/>
        </w:rPr>
      </w:pPr>
      <w:r w:rsidRPr="00F4000A">
        <w:rPr>
          <w:rFonts w:ascii="Palatino Linotype" w:hAnsi="Palatino Linotype" w:cs="Arial"/>
          <w:bCs/>
          <w:sz w:val="22"/>
          <w:szCs w:val="22"/>
        </w:rPr>
        <w:t>Convenio para la recaudación del Derecho de Alumbrado Público (DAP), entre la CFE y el Municipio, correspondiente a los años 2018, 2019, 2020 y 2021;</w:t>
      </w:r>
    </w:p>
    <w:p w14:paraId="651C2D1B" w14:textId="6EF5A018" w:rsidR="001E7C34" w:rsidRDefault="00F4000A" w:rsidP="001663C7">
      <w:pPr>
        <w:numPr>
          <w:ilvl w:val="0"/>
          <w:numId w:val="9"/>
        </w:numPr>
        <w:spacing w:line="360" w:lineRule="auto"/>
        <w:ind w:right="567"/>
        <w:jc w:val="both"/>
        <w:rPr>
          <w:rFonts w:ascii="Palatino Linotype" w:hAnsi="Palatino Linotype" w:cs="Arial"/>
          <w:bCs/>
          <w:sz w:val="22"/>
          <w:szCs w:val="22"/>
        </w:rPr>
      </w:pPr>
      <w:r w:rsidRPr="00F4000A">
        <w:rPr>
          <w:rFonts w:ascii="Palatino Linotype" w:hAnsi="Palatino Linotype" w:cs="Arial"/>
          <w:bCs/>
          <w:sz w:val="22"/>
          <w:szCs w:val="22"/>
        </w:rPr>
        <w:t>Facturación por el consumo de energía eléctrica en el alumbrado público municipal, así como la recaudación del DAP, ambos desglosados de manera mensual, correspondiente a los años 2018, 2019, 2020 y 2021 (se adjunta tabla para el fácil llenado de la información).</w:t>
      </w:r>
    </w:p>
    <w:p w14:paraId="79DEEF50" w14:textId="38763EF1" w:rsidR="00984EC2" w:rsidRDefault="001E7C34" w:rsidP="001663C7">
      <w:pPr>
        <w:spacing w:line="360" w:lineRule="auto"/>
        <w:ind w:left="720" w:right="567"/>
        <w:jc w:val="both"/>
        <w:rPr>
          <w:rFonts w:ascii="Palatino Linotype" w:hAnsi="Palatino Linotype" w:cs="Arial"/>
          <w:bCs/>
          <w:sz w:val="22"/>
          <w:szCs w:val="22"/>
        </w:rPr>
      </w:pPr>
      <w:r>
        <w:rPr>
          <w:rFonts w:ascii="Palatino Linotype" w:hAnsi="Palatino Linotype" w:cs="Arial"/>
          <w:bCs/>
          <w:sz w:val="22"/>
          <w:szCs w:val="22"/>
        </w:rPr>
        <w:t>*se anexan tres tablas que refieren el mes, la facturación de alumbrado público y DAP, de los años 2018, 2019 y 2020</w:t>
      </w:r>
      <w:r w:rsidR="000F7848">
        <w:rPr>
          <w:rFonts w:ascii="Palatino Linotype" w:hAnsi="Palatino Linotype" w:cs="Arial"/>
          <w:bCs/>
          <w:sz w:val="22"/>
          <w:szCs w:val="22"/>
        </w:rPr>
        <w:t>*</w:t>
      </w:r>
    </w:p>
    <w:p w14:paraId="213CE6FD" w14:textId="77777777" w:rsidR="000F7848" w:rsidRPr="00903608" w:rsidRDefault="000F7848" w:rsidP="000F7848">
      <w:pPr>
        <w:spacing w:line="360" w:lineRule="auto"/>
        <w:ind w:left="720" w:right="567"/>
        <w:rPr>
          <w:rFonts w:ascii="Palatino Linotype" w:hAnsi="Palatino Linotype" w:cs="Arial"/>
          <w:bCs/>
          <w:sz w:val="22"/>
          <w:szCs w:val="22"/>
        </w:rPr>
      </w:pPr>
    </w:p>
    <w:p w14:paraId="25D9F666" w14:textId="77777777" w:rsidR="00801872" w:rsidRPr="00C938B6" w:rsidRDefault="00801872" w:rsidP="005B031E">
      <w:pPr>
        <w:pStyle w:val="Prrafodelista"/>
        <w:tabs>
          <w:tab w:val="left" w:pos="567"/>
        </w:tabs>
        <w:spacing w:line="360" w:lineRule="auto"/>
        <w:ind w:left="0"/>
        <w:jc w:val="both"/>
        <w:rPr>
          <w:rFonts w:ascii="Palatino Linotype" w:hAnsi="Palatino Linotype" w:cs="Tahoma"/>
          <w:szCs w:val="22"/>
        </w:rPr>
      </w:pPr>
      <w:r w:rsidRPr="00C938B6">
        <w:rPr>
          <w:rFonts w:ascii="Palatino Linotype" w:hAnsi="Palatino Linotype" w:cs="Tahoma"/>
          <w:b/>
          <w:szCs w:val="22"/>
        </w:rPr>
        <w:t>II. Respuesta del Sujeto Obligado.</w:t>
      </w:r>
    </w:p>
    <w:p w14:paraId="420E2315" w14:textId="11B2FA1B" w:rsidR="001439DF" w:rsidRDefault="001439DF" w:rsidP="005B031E">
      <w:pPr>
        <w:autoSpaceDE w:val="0"/>
        <w:autoSpaceDN w:val="0"/>
        <w:adjustRightInd w:val="0"/>
        <w:spacing w:line="360" w:lineRule="auto"/>
        <w:ind w:right="-28"/>
        <w:jc w:val="both"/>
        <w:rPr>
          <w:rFonts w:ascii="Palatino Linotype" w:hAnsi="Palatino Linotype" w:cs="Tahoma"/>
          <w:bCs/>
          <w:sz w:val="22"/>
          <w:szCs w:val="22"/>
        </w:rPr>
      </w:pPr>
      <w:bookmarkStart w:id="1" w:name="_Hlk93400407"/>
    </w:p>
    <w:p w14:paraId="30A9230F" w14:textId="77777777" w:rsidR="00E4647A" w:rsidRDefault="005E0B88" w:rsidP="005B031E">
      <w:pPr>
        <w:autoSpaceDE w:val="0"/>
        <w:autoSpaceDN w:val="0"/>
        <w:adjustRightInd w:val="0"/>
        <w:spacing w:line="360" w:lineRule="auto"/>
        <w:ind w:right="-28"/>
        <w:jc w:val="both"/>
        <w:rPr>
          <w:rFonts w:ascii="Palatino Linotype" w:hAnsi="Palatino Linotype" w:cs="Tahoma"/>
          <w:bCs/>
          <w:sz w:val="22"/>
          <w:szCs w:val="22"/>
        </w:rPr>
      </w:pPr>
      <w:r>
        <w:rPr>
          <w:rFonts w:ascii="Palatino Linotype" w:hAnsi="Palatino Linotype" w:cs="Tahoma"/>
          <w:bCs/>
          <w:sz w:val="22"/>
          <w:szCs w:val="22"/>
        </w:rPr>
        <w:t xml:space="preserve">En fecha veintiuno de diciembre de dos mil veintiuno, el Sujeto Obligado </w:t>
      </w:r>
      <w:r w:rsidR="007F47DD">
        <w:rPr>
          <w:rFonts w:ascii="Palatino Linotype" w:hAnsi="Palatino Linotype" w:cs="Tahoma"/>
          <w:bCs/>
          <w:sz w:val="22"/>
          <w:szCs w:val="22"/>
        </w:rPr>
        <w:t xml:space="preserve">notificó a través del Sistema de Acceso a la Información Mexiquense (SAIMEX), la respuesta a la solicitud de acceso a la información, al tenor de lo siguiente: </w:t>
      </w:r>
    </w:p>
    <w:p w14:paraId="5D9FDC0C" w14:textId="77777777" w:rsidR="00E4647A" w:rsidRDefault="00E4647A" w:rsidP="005B031E">
      <w:pPr>
        <w:autoSpaceDE w:val="0"/>
        <w:autoSpaceDN w:val="0"/>
        <w:adjustRightInd w:val="0"/>
        <w:spacing w:line="360" w:lineRule="auto"/>
        <w:ind w:right="-28"/>
        <w:jc w:val="both"/>
        <w:rPr>
          <w:rFonts w:ascii="Palatino Linotype" w:hAnsi="Palatino Linotype" w:cs="Tahoma"/>
          <w:bCs/>
          <w:sz w:val="22"/>
          <w:szCs w:val="22"/>
        </w:rPr>
      </w:pPr>
    </w:p>
    <w:p w14:paraId="1A318B98" w14:textId="4A3ADC8D" w:rsidR="005E0B88" w:rsidRPr="00E4647A" w:rsidRDefault="00E4647A" w:rsidP="00E4647A">
      <w:pPr>
        <w:autoSpaceDE w:val="0"/>
        <w:autoSpaceDN w:val="0"/>
        <w:adjustRightInd w:val="0"/>
        <w:spacing w:line="360" w:lineRule="auto"/>
        <w:ind w:left="567" w:right="539"/>
        <w:jc w:val="both"/>
        <w:rPr>
          <w:rFonts w:ascii="Palatino Linotype" w:hAnsi="Palatino Linotype" w:cs="Tahoma"/>
          <w:bCs/>
          <w:i/>
          <w:iCs/>
          <w:sz w:val="28"/>
          <w:szCs w:val="28"/>
        </w:rPr>
      </w:pPr>
      <w:r w:rsidRPr="00E4647A">
        <w:rPr>
          <w:rFonts w:ascii="Palatino Linotype" w:hAnsi="Palatino Linotype"/>
          <w:i/>
          <w:iCs/>
          <w:color w:val="000000"/>
          <w:sz w:val="22"/>
          <w:szCs w:val="22"/>
        </w:rPr>
        <w:t xml:space="preserve">Posterior al análisis correspondiente, se determinó que si bien fundamenta su solicitud en la Ley de Transparencia y Acceso a la Información Pública del Estado de México y Municipios, equivoca el derecho de acceso a la información pública con el de petición, motivo por el cual se debe considerar como necesario señalar que la naturaleza de la atención a las solicitudes de información radica en lo estatuido por el artículo 6º de la Constitución </w:t>
      </w:r>
      <w:r w:rsidRPr="00E4647A">
        <w:rPr>
          <w:rFonts w:ascii="Palatino Linotype" w:hAnsi="Palatino Linotype"/>
          <w:i/>
          <w:iCs/>
          <w:color w:val="000000"/>
          <w:sz w:val="22"/>
          <w:szCs w:val="22"/>
        </w:rPr>
        <w:lastRenderedPageBreak/>
        <w:t xml:space="preserve">Política de los Estados Unidos Mexicanos, mismo que dispone los principios relativos a la publicidad de la información, así como las restricciones de la misma. Por lo tanto, se arriba que el derecho de acceso a la información se garantiza mediante el manejo y la conservación del patrimonio documental para posteriormente facilitar el acceso a la información en posesión de sujetos obligados. En relación directa con ello, los artículos 4, 12 y 24 último párrafo de la Ley de Transparencia y Acceso a la Información Pública del Estado de México y Municipios, disponen lo siguiente: “Artículo 4. El derecho humano de acceso a la información pública es la prerrogativa de las personas para buscar, difundir, investigar, recabar, recibir y solicitar información pública, sin necesidad de acreditar personalidad ni interés jurídico.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 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 Artículo 24. … Los sujetos obligados solo proporcionarán la información pública que generen, administren o posean en el ejercicio de sus atribuciones.” (SIC) De lo anterior, se tiene que el derecho de acceso a la información pública consiste en solicitar la información en posesión de la autoridad municipal en los términos que obre dentro de sus archivos; esto es; no se tiene el deber de procesarla o resumirla, ni realizar cálculos o investigaciones, en la intención de dar respuesta a una solicitud. Conforme a ello, el derecho de acceso a la información se satisface con la entrega del documento en los </w:t>
      </w:r>
      <w:r w:rsidRPr="00E4647A">
        <w:rPr>
          <w:rFonts w:ascii="Palatino Linotype" w:hAnsi="Palatino Linotype"/>
          <w:i/>
          <w:iCs/>
          <w:color w:val="000000"/>
          <w:sz w:val="22"/>
          <w:szCs w:val="22"/>
        </w:rPr>
        <w:lastRenderedPageBreak/>
        <w:t xml:space="preserve">archivos, sin que ello implique generar un documento ad hoc para satisfacer su requerimiento. Sirve de sustento el criterio 03/17 emitido por el Instituto Nacional de Transparencia, Acceso a la Información y Protección de Datos Personales (INAI), que es del rubro y texto siguiente: “No existe obligación de elaborar documentos ad hoc para atender las solicitudes de acceso a la información.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Caso contrario en la solicitud que nos ocupa, estamos ante la presencia del derecho de petición, reconocido por el artículo 8º de Constitución Política de los Estados Unidos Mexicanos. Lo anterior es definido por el Mtro. Ignacio Burgoa Orihuela en el Diccionario de Derecho Constitucional, Garantías y Amparo, como “… un Derecho Público subjetivo individual de la Garantía Respectiva Consagrada en el Artículo 8 de la Ley Fundamental. En tal virtud, la persona tiene la facultad de acudir a cualquier autoridad, formulando una solicitud o instancia escrita de cualquier índole, la cual adopta, específicamente, el carácter de simple petición administrativa, acción o recurso” En ese contexto, se puede concluir que la distinción entre el derecho de petición y el derecho de acceso a la información pública estriba, principalmente, en que en el primero, la pretensión del peticionario consiste de manera general en obligar a la autoridad responsable a que actúe en el sentido de contestar lo solicitado, mientras que en el segundo, al acceso a los documentos que obran en los archivos. Por lo comentarios antes señalados, se le solicita de manera respetuosa tenga a bien comprender lo expuesto en el presente, a efecto de </w:t>
      </w:r>
      <w:r w:rsidRPr="00E4647A">
        <w:rPr>
          <w:rFonts w:ascii="Palatino Linotype" w:hAnsi="Palatino Linotype"/>
          <w:i/>
          <w:iCs/>
          <w:color w:val="000000"/>
          <w:sz w:val="22"/>
          <w:szCs w:val="22"/>
        </w:rPr>
        <w:lastRenderedPageBreak/>
        <w:t>considerar el alcance del derecho de acceso a la información, quedando a salvo su derecho de presentar su solicitud posteriormente, a efecto de poder atender, en su caso, oportunamente su requerimiento. Lo anterior en cumplimiento a lo establecido en los artículos 1, 2, 3, fracción XLIV, 4, 12, 16, 23, fracción IV, 24, fracción XI y último párrafo, 50, 51, 52, 53, fracciones II, IV, V y VI de la Ley de Transparencia y Acceso a la Información Pública del Estado de México y Municipios. Se hace de su conocimiento el derecho que tiene de acuerdo con lo establecido en los artículos 176, 177 y 178 de la Ley invocada. Sin otro particular, reciba un cordial saludo.</w:t>
      </w:r>
      <w:r w:rsidR="005E0B88" w:rsidRPr="00E4647A">
        <w:rPr>
          <w:rFonts w:ascii="Palatino Linotype" w:hAnsi="Palatino Linotype" w:cs="Tahoma"/>
          <w:bCs/>
          <w:i/>
          <w:iCs/>
          <w:sz w:val="28"/>
          <w:szCs w:val="28"/>
        </w:rPr>
        <w:t xml:space="preserve"> </w:t>
      </w:r>
    </w:p>
    <w:p w14:paraId="13A4312A" w14:textId="77777777" w:rsidR="005E0B88" w:rsidRPr="00C938B6" w:rsidRDefault="005E0B88" w:rsidP="005B031E">
      <w:pPr>
        <w:autoSpaceDE w:val="0"/>
        <w:autoSpaceDN w:val="0"/>
        <w:adjustRightInd w:val="0"/>
        <w:spacing w:line="360" w:lineRule="auto"/>
        <w:ind w:right="-28"/>
        <w:jc w:val="both"/>
        <w:rPr>
          <w:rFonts w:ascii="Palatino Linotype" w:hAnsi="Palatino Linotype" w:cs="Tahoma"/>
          <w:sz w:val="22"/>
          <w:szCs w:val="22"/>
        </w:rPr>
      </w:pPr>
    </w:p>
    <w:bookmarkEnd w:id="1"/>
    <w:p w14:paraId="17843F84" w14:textId="77777777" w:rsidR="00801872" w:rsidRPr="00C938B6" w:rsidRDefault="00801872" w:rsidP="005B031E">
      <w:pPr>
        <w:autoSpaceDE w:val="0"/>
        <w:autoSpaceDN w:val="0"/>
        <w:adjustRightInd w:val="0"/>
        <w:spacing w:line="360" w:lineRule="auto"/>
        <w:jc w:val="both"/>
        <w:rPr>
          <w:rFonts w:ascii="Palatino Linotype" w:hAnsi="Palatino Linotype" w:cs="Tahoma"/>
          <w:b/>
          <w:sz w:val="22"/>
          <w:szCs w:val="22"/>
        </w:rPr>
      </w:pPr>
      <w:r w:rsidRPr="00C938B6">
        <w:rPr>
          <w:rFonts w:ascii="Palatino Linotype" w:hAnsi="Palatino Linotype" w:cs="Tahoma"/>
          <w:b/>
          <w:sz w:val="22"/>
          <w:szCs w:val="22"/>
        </w:rPr>
        <w:t>III. Interposición del Recurso de Revisión.</w:t>
      </w:r>
    </w:p>
    <w:p w14:paraId="47856147" w14:textId="77777777" w:rsidR="00801872" w:rsidRPr="00C938B6" w:rsidRDefault="00801872" w:rsidP="005B031E">
      <w:pPr>
        <w:widowControl w:val="0"/>
        <w:spacing w:line="360" w:lineRule="auto"/>
        <w:jc w:val="both"/>
        <w:rPr>
          <w:rFonts w:ascii="Palatino Linotype" w:hAnsi="Palatino Linotype" w:cs="Tahoma"/>
          <w:sz w:val="22"/>
          <w:szCs w:val="22"/>
        </w:rPr>
      </w:pPr>
    </w:p>
    <w:p w14:paraId="62F1AEB7" w14:textId="657B1D52" w:rsidR="00801872" w:rsidRPr="00C938B6" w:rsidRDefault="00787658" w:rsidP="005B031E">
      <w:pPr>
        <w:widowControl w:val="0"/>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En fecha </w:t>
      </w:r>
      <w:r w:rsidR="0068523B">
        <w:rPr>
          <w:rFonts w:ascii="Palatino Linotype" w:hAnsi="Palatino Linotype" w:cs="Tahoma"/>
          <w:sz w:val="22"/>
          <w:szCs w:val="22"/>
          <w:lang w:val="es-ES"/>
        </w:rPr>
        <w:t xml:space="preserve">diez </w:t>
      </w:r>
      <w:r w:rsidR="00D611AA">
        <w:rPr>
          <w:rFonts w:ascii="Palatino Linotype" w:hAnsi="Palatino Linotype" w:cs="Tahoma"/>
          <w:sz w:val="22"/>
          <w:szCs w:val="22"/>
          <w:lang w:val="es-ES"/>
        </w:rPr>
        <w:t xml:space="preserve">de </w:t>
      </w:r>
      <w:r w:rsidR="0068523B">
        <w:rPr>
          <w:rFonts w:ascii="Palatino Linotype" w:hAnsi="Palatino Linotype" w:cs="Tahoma"/>
          <w:sz w:val="22"/>
          <w:szCs w:val="22"/>
          <w:lang w:val="es-ES"/>
        </w:rPr>
        <w:t>enero</w:t>
      </w:r>
      <w:r>
        <w:rPr>
          <w:rFonts w:ascii="Palatino Linotype" w:hAnsi="Palatino Linotype" w:cs="Tahoma"/>
          <w:sz w:val="22"/>
          <w:szCs w:val="22"/>
          <w:lang w:val="es-ES"/>
        </w:rPr>
        <w:t xml:space="preserve"> </w:t>
      </w:r>
      <w:r w:rsidR="0068523B">
        <w:rPr>
          <w:rFonts w:ascii="Palatino Linotype" w:hAnsi="Palatino Linotype" w:cs="Tahoma"/>
          <w:sz w:val="22"/>
          <w:szCs w:val="22"/>
          <w:lang w:val="es-ES"/>
        </w:rPr>
        <w:t>de</w:t>
      </w:r>
      <w:r>
        <w:rPr>
          <w:rFonts w:ascii="Palatino Linotype" w:hAnsi="Palatino Linotype" w:cs="Tahoma"/>
          <w:sz w:val="22"/>
          <w:szCs w:val="22"/>
          <w:lang w:val="es-ES"/>
        </w:rPr>
        <w:t xml:space="preserve"> dos mil veintiuno, a través del </w:t>
      </w:r>
      <w:r w:rsidRPr="00C938B6">
        <w:rPr>
          <w:rFonts w:ascii="Palatino Linotype" w:hAnsi="Palatino Linotype" w:cs="Tahoma"/>
          <w:sz w:val="22"/>
          <w:szCs w:val="22"/>
          <w:lang w:val="es-ES"/>
        </w:rPr>
        <w:t>Sistema de Acceso a la Información Mexiquense (SAIMEX)</w:t>
      </w:r>
      <w:r>
        <w:rPr>
          <w:rFonts w:ascii="Palatino Linotype" w:hAnsi="Palatino Linotype" w:cs="Tahoma"/>
          <w:sz w:val="22"/>
          <w:szCs w:val="22"/>
          <w:lang w:val="es-ES"/>
        </w:rPr>
        <w:t xml:space="preserve">, el Particular </w:t>
      </w:r>
      <w:r w:rsidR="00801872" w:rsidRPr="00C938B6">
        <w:rPr>
          <w:rFonts w:ascii="Palatino Linotype" w:hAnsi="Palatino Linotype" w:cs="Tahoma"/>
          <w:sz w:val="22"/>
          <w:szCs w:val="22"/>
          <w:lang w:val="es-ES"/>
        </w:rPr>
        <w:t>interpuso Recurso de Revisión ante este Instituto</w:t>
      </w:r>
      <w:r>
        <w:rPr>
          <w:rFonts w:ascii="Palatino Linotype" w:hAnsi="Palatino Linotype" w:cs="Tahoma"/>
          <w:sz w:val="22"/>
          <w:szCs w:val="22"/>
          <w:lang w:val="es-ES"/>
        </w:rPr>
        <w:t xml:space="preserve"> </w:t>
      </w:r>
      <w:r w:rsidR="00801872" w:rsidRPr="00C938B6">
        <w:rPr>
          <w:rFonts w:ascii="Palatino Linotype" w:hAnsi="Palatino Linotype" w:cs="Tahoma"/>
          <w:sz w:val="22"/>
          <w:szCs w:val="22"/>
          <w:lang w:val="es-ES"/>
        </w:rPr>
        <w:t>en</w:t>
      </w:r>
      <w:r w:rsidR="00670EBB">
        <w:rPr>
          <w:rFonts w:ascii="Palatino Linotype" w:hAnsi="Palatino Linotype" w:cs="Tahoma"/>
          <w:sz w:val="22"/>
          <w:szCs w:val="22"/>
          <w:lang w:val="es-ES"/>
        </w:rPr>
        <w:t xml:space="preserve"> conta de la respuesta del Sujeto Obligado, en el que señaló lo siguiente:</w:t>
      </w:r>
    </w:p>
    <w:p w14:paraId="6CC89F15" w14:textId="77777777" w:rsidR="00801872" w:rsidRPr="00C938B6" w:rsidRDefault="00801872" w:rsidP="005B031E">
      <w:pPr>
        <w:widowControl w:val="0"/>
        <w:spacing w:line="360" w:lineRule="auto"/>
        <w:jc w:val="both"/>
        <w:rPr>
          <w:rFonts w:ascii="Palatino Linotype" w:hAnsi="Palatino Linotype" w:cs="Tahoma"/>
          <w:b/>
          <w:bCs/>
          <w:sz w:val="22"/>
          <w:szCs w:val="22"/>
          <w:lang w:val="es-ES"/>
        </w:rPr>
      </w:pPr>
    </w:p>
    <w:p w14:paraId="678BEB74" w14:textId="50E99A83" w:rsidR="00801872" w:rsidRPr="00C938B6" w:rsidRDefault="00787658" w:rsidP="005B031E">
      <w:pPr>
        <w:spacing w:line="360" w:lineRule="auto"/>
        <w:ind w:left="567" w:right="567"/>
        <w:contextualSpacing/>
        <w:jc w:val="both"/>
        <w:rPr>
          <w:rFonts w:ascii="Palatino Linotype" w:hAnsi="Palatino Linotype" w:cs="Tahoma"/>
          <w:b/>
          <w:i/>
          <w:iCs/>
        </w:rPr>
      </w:pPr>
      <w:r>
        <w:rPr>
          <w:rFonts w:ascii="Palatino Linotype" w:hAnsi="Palatino Linotype" w:cs="Tahoma"/>
          <w:b/>
          <w:i/>
          <w:iCs/>
        </w:rPr>
        <w:t xml:space="preserve"> </w:t>
      </w:r>
      <w:r w:rsidR="00801872" w:rsidRPr="00C938B6">
        <w:rPr>
          <w:rFonts w:ascii="Palatino Linotype" w:hAnsi="Palatino Linotype" w:cs="Tahoma"/>
          <w:b/>
          <w:i/>
          <w:iCs/>
        </w:rPr>
        <w:t>ACTO IMPUGNADO</w:t>
      </w:r>
    </w:p>
    <w:p w14:paraId="7D0F48DA" w14:textId="6E9917CD" w:rsidR="00DE416D" w:rsidRDefault="00787658" w:rsidP="00670EBB">
      <w:pPr>
        <w:spacing w:line="360" w:lineRule="auto"/>
        <w:ind w:left="567" w:right="567"/>
        <w:contextualSpacing/>
        <w:jc w:val="both"/>
        <w:rPr>
          <w:rFonts w:ascii="Palatino Linotype" w:hAnsi="Palatino Linotype" w:cs="Tahoma"/>
          <w:i/>
          <w:iCs/>
        </w:rPr>
      </w:pPr>
      <w:r>
        <w:rPr>
          <w:rFonts w:ascii="Palatino Linotype" w:hAnsi="Palatino Linotype" w:cs="Tahoma"/>
          <w:i/>
          <w:iCs/>
        </w:rPr>
        <w:t>“</w:t>
      </w:r>
      <w:r w:rsidR="00670EBB" w:rsidRPr="00670EBB">
        <w:rPr>
          <w:rFonts w:ascii="Palatino Linotype" w:hAnsi="Palatino Linotype" w:cs="Tahoma"/>
          <w:i/>
          <w:iCs/>
        </w:rPr>
        <w:t>La respuesta del Sujeto Obligado</w:t>
      </w:r>
      <w:r w:rsidR="00801872" w:rsidRPr="00C938B6">
        <w:rPr>
          <w:rFonts w:ascii="Palatino Linotype" w:hAnsi="Palatino Linotype" w:cs="Tahoma"/>
          <w:i/>
          <w:iCs/>
        </w:rPr>
        <w:t>”</w:t>
      </w:r>
      <w:r w:rsidR="00DE416D">
        <w:rPr>
          <w:rFonts w:ascii="Palatino Linotype" w:hAnsi="Palatino Linotype" w:cs="Tahoma"/>
          <w:i/>
          <w:iCs/>
        </w:rPr>
        <w:t>.</w:t>
      </w:r>
      <w:r w:rsidR="00801872" w:rsidRPr="00C938B6">
        <w:rPr>
          <w:rFonts w:ascii="Palatino Linotype" w:hAnsi="Palatino Linotype" w:cs="Tahoma"/>
          <w:i/>
          <w:iCs/>
        </w:rPr>
        <w:t xml:space="preserve"> (Sic)</w:t>
      </w:r>
    </w:p>
    <w:p w14:paraId="023302E5" w14:textId="77777777" w:rsidR="00670EBB" w:rsidRPr="00670EBB" w:rsidRDefault="00670EBB" w:rsidP="00670EBB">
      <w:pPr>
        <w:spacing w:line="360" w:lineRule="auto"/>
        <w:ind w:left="567" w:right="567"/>
        <w:contextualSpacing/>
        <w:jc w:val="both"/>
        <w:rPr>
          <w:rFonts w:ascii="Palatino Linotype" w:hAnsi="Palatino Linotype" w:cs="Tahoma"/>
          <w:i/>
          <w:iCs/>
        </w:rPr>
      </w:pPr>
    </w:p>
    <w:p w14:paraId="5D59FAC9" w14:textId="57CDF813" w:rsidR="00801872" w:rsidRPr="00C938B6" w:rsidRDefault="00801872" w:rsidP="005B031E">
      <w:pPr>
        <w:spacing w:line="360" w:lineRule="auto"/>
        <w:ind w:left="567" w:right="567"/>
        <w:contextualSpacing/>
        <w:jc w:val="both"/>
        <w:rPr>
          <w:rFonts w:ascii="Palatino Linotype" w:hAnsi="Palatino Linotype" w:cs="Tahoma"/>
          <w:b/>
          <w:i/>
          <w:iCs/>
        </w:rPr>
      </w:pPr>
      <w:r w:rsidRPr="00C938B6">
        <w:rPr>
          <w:rFonts w:ascii="Palatino Linotype" w:hAnsi="Palatino Linotype" w:cs="Tahoma"/>
          <w:b/>
          <w:i/>
          <w:iCs/>
        </w:rPr>
        <w:t>RAZONES O MOTIVOS DE LA INCONFORMIDAD</w:t>
      </w:r>
    </w:p>
    <w:p w14:paraId="0FDD199C" w14:textId="228FE4C6" w:rsidR="001B04D6" w:rsidRDefault="00787658" w:rsidP="00BD1E55">
      <w:pPr>
        <w:spacing w:line="360" w:lineRule="auto"/>
        <w:ind w:left="567" w:right="567"/>
        <w:contextualSpacing/>
        <w:jc w:val="both"/>
        <w:rPr>
          <w:rFonts w:ascii="Palatino Linotype" w:eastAsia="Calibri" w:hAnsi="Palatino Linotype" w:cs="Tahoma"/>
          <w:bCs/>
          <w:i/>
          <w:iCs/>
          <w:lang w:eastAsia="en-US"/>
        </w:rPr>
      </w:pPr>
      <w:bookmarkStart w:id="2" w:name="_Hlk93400426"/>
      <w:r>
        <w:rPr>
          <w:rFonts w:ascii="Palatino Linotype" w:eastAsia="Calibri" w:hAnsi="Palatino Linotype" w:cs="Tahoma"/>
          <w:bCs/>
          <w:i/>
          <w:iCs/>
          <w:lang w:eastAsia="en-US"/>
        </w:rPr>
        <w:t>“</w:t>
      </w:r>
      <w:r w:rsidR="00670EBB" w:rsidRPr="00670EBB">
        <w:rPr>
          <w:rFonts w:ascii="Palatino Linotype" w:eastAsia="Calibri" w:hAnsi="Palatino Linotype" w:cs="Tahoma"/>
          <w:bCs/>
          <w:i/>
          <w:iCs/>
          <w:lang w:eastAsia="en-US"/>
        </w:rPr>
        <w:t>Las razones de la inconformidad son expuestos en el archivo adjunto de nombre "Recurso_Metepec</w:t>
      </w:r>
      <w:r w:rsidR="00801872" w:rsidRPr="00C938B6">
        <w:rPr>
          <w:rFonts w:ascii="Palatino Linotype" w:eastAsia="Calibri" w:hAnsi="Palatino Linotype" w:cs="Tahoma"/>
          <w:bCs/>
          <w:i/>
          <w:iCs/>
          <w:lang w:eastAsia="en-US"/>
        </w:rPr>
        <w:t>”</w:t>
      </w:r>
      <w:r>
        <w:rPr>
          <w:rFonts w:ascii="Palatino Linotype" w:eastAsia="Calibri" w:hAnsi="Palatino Linotype" w:cs="Tahoma"/>
          <w:bCs/>
          <w:i/>
          <w:iCs/>
          <w:lang w:eastAsia="en-US"/>
        </w:rPr>
        <w:t>.</w:t>
      </w:r>
      <w:r w:rsidR="00801872" w:rsidRPr="00C938B6">
        <w:rPr>
          <w:rFonts w:ascii="Palatino Linotype" w:eastAsia="Calibri" w:hAnsi="Palatino Linotype" w:cs="Tahoma"/>
          <w:bCs/>
          <w:i/>
          <w:iCs/>
          <w:lang w:eastAsia="en-US"/>
        </w:rPr>
        <w:t xml:space="preserve"> (Sic)</w:t>
      </w:r>
      <w:bookmarkEnd w:id="2"/>
    </w:p>
    <w:p w14:paraId="1D6FE286" w14:textId="05AFB6CD" w:rsidR="00BD1E55" w:rsidRDefault="00BD1E55" w:rsidP="00BD1E55">
      <w:pPr>
        <w:spacing w:line="360" w:lineRule="auto"/>
        <w:ind w:right="567"/>
        <w:contextualSpacing/>
        <w:jc w:val="both"/>
        <w:rPr>
          <w:rFonts w:ascii="Palatino Linotype" w:eastAsia="Calibri" w:hAnsi="Palatino Linotype" w:cs="Tahoma"/>
          <w:bCs/>
          <w:lang w:eastAsia="en-US"/>
        </w:rPr>
      </w:pPr>
    </w:p>
    <w:p w14:paraId="41048B39" w14:textId="76A32AFA" w:rsidR="00BD1E55" w:rsidRPr="008E3FFE" w:rsidRDefault="00BD1E55" w:rsidP="00BD1E55">
      <w:pPr>
        <w:spacing w:line="360" w:lineRule="auto"/>
        <w:ind w:right="567"/>
        <w:contextualSpacing/>
        <w:jc w:val="both"/>
        <w:rPr>
          <w:rFonts w:ascii="Palatino Linotype" w:eastAsia="Calibri" w:hAnsi="Palatino Linotype" w:cs="Tahoma"/>
          <w:bCs/>
          <w:sz w:val="22"/>
          <w:lang w:eastAsia="en-US"/>
        </w:rPr>
      </w:pPr>
      <w:r>
        <w:rPr>
          <w:rFonts w:ascii="Palatino Linotype" w:eastAsia="Calibri" w:hAnsi="Palatino Linotype" w:cs="Tahoma"/>
          <w:bCs/>
          <w:sz w:val="22"/>
          <w:lang w:eastAsia="en-US"/>
        </w:rPr>
        <w:t xml:space="preserve">Asimismo, anexó </w:t>
      </w:r>
      <w:r w:rsidR="000D200B">
        <w:rPr>
          <w:rFonts w:ascii="Palatino Linotype" w:eastAsia="Calibri" w:hAnsi="Palatino Linotype" w:cs="Tahoma"/>
          <w:bCs/>
          <w:sz w:val="22"/>
          <w:lang w:eastAsia="en-US"/>
        </w:rPr>
        <w:t xml:space="preserve">un documento de nombre </w:t>
      </w:r>
      <w:r w:rsidR="000D200B">
        <w:rPr>
          <w:rFonts w:ascii="Palatino Linotype" w:eastAsia="Calibri" w:hAnsi="Palatino Linotype" w:cs="Tahoma"/>
          <w:b/>
          <w:sz w:val="22"/>
          <w:lang w:eastAsia="en-US"/>
        </w:rPr>
        <w:t>Recurso_Metepec.pdf</w:t>
      </w:r>
      <w:r w:rsidR="008E3FFE">
        <w:rPr>
          <w:rFonts w:ascii="Palatino Linotype" w:eastAsia="Calibri" w:hAnsi="Palatino Linotype" w:cs="Tahoma"/>
          <w:bCs/>
          <w:sz w:val="22"/>
          <w:lang w:eastAsia="en-US"/>
        </w:rPr>
        <w:t>, en el que medularmente refiere que el Sujeto Obligado le está negando la información</w:t>
      </w:r>
      <w:r w:rsidR="00F230F4">
        <w:rPr>
          <w:rFonts w:ascii="Palatino Linotype" w:eastAsia="Calibri" w:hAnsi="Palatino Linotype" w:cs="Tahoma"/>
          <w:bCs/>
          <w:sz w:val="22"/>
          <w:lang w:eastAsia="en-US"/>
        </w:rPr>
        <w:t>.</w:t>
      </w:r>
    </w:p>
    <w:p w14:paraId="60810BFA" w14:textId="799AD241" w:rsidR="000D200B" w:rsidRDefault="000D200B" w:rsidP="00BD1E55">
      <w:pPr>
        <w:spacing w:line="360" w:lineRule="auto"/>
        <w:ind w:right="567"/>
        <w:contextualSpacing/>
        <w:jc w:val="both"/>
        <w:rPr>
          <w:rFonts w:ascii="Palatino Linotype" w:eastAsia="Calibri" w:hAnsi="Palatino Linotype" w:cs="Tahoma"/>
          <w:b/>
          <w:sz w:val="22"/>
          <w:lang w:eastAsia="en-US"/>
        </w:rPr>
      </w:pPr>
    </w:p>
    <w:p w14:paraId="43810378" w14:textId="476EF62C" w:rsidR="008F7168" w:rsidRDefault="008F7168" w:rsidP="00BD1E55">
      <w:pPr>
        <w:spacing w:line="360" w:lineRule="auto"/>
        <w:ind w:right="567"/>
        <w:contextualSpacing/>
        <w:jc w:val="both"/>
        <w:rPr>
          <w:rFonts w:ascii="Palatino Linotype" w:eastAsia="Calibri" w:hAnsi="Palatino Linotype" w:cs="Tahoma"/>
          <w:b/>
          <w:sz w:val="22"/>
          <w:lang w:eastAsia="en-US"/>
        </w:rPr>
      </w:pPr>
    </w:p>
    <w:p w14:paraId="06E6DF30" w14:textId="620CE8D0" w:rsidR="008F7168" w:rsidRDefault="008F7168" w:rsidP="00BD1E55">
      <w:pPr>
        <w:spacing w:line="360" w:lineRule="auto"/>
        <w:ind w:right="567"/>
        <w:contextualSpacing/>
        <w:jc w:val="both"/>
        <w:rPr>
          <w:rFonts w:ascii="Palatino Linotype" w:eastAsia="Calibri" w:hAnsi="Palatino Linotype" w:cs="Tahoma"/>
          <w:b/>
          <w:sz w:val="22"/>
          <w:lang w:eastAsia="en-US"/>
        </w:rPr>
      </w:pPr>
    </w:p>
    <w:p w14:paraId="244C4C21" w14:textId="77777777" w:rsidR="008F7168" w:rsidRPr="000D200B" w:rsidRDefault="008F7168" w:rsidP="00BD1E55">
      <w:pPr>
        <w:spacing w:line="360" w:lineRule="auto"/>
        <w:ind w:right="567"/>
        <w:contextualSpacing/>
        <w:jc w:val="both"/>
        <w:rPr>
          <w:rFonts w:ascii="Palatino Linotype" w:eastAsia="Calibri" w:hAnsi="Palatino Linotype" w:cs="Tahoma"/>
          <w:b/>
          <w:sz w:val="22"/>
          <w:lang w:eastAsia="en-US"/>
        </w:rPr>
      </w:pPr>
    </w:p>
    <w:p w14:paraId="522834F7" w14:textId="77777777" w:rsidR="00801872" w:rsidRPr="00C938B6" w:rsidRDefault="00801872" w:rsidP="005B031E">
      <w:pPr>
        <w:spacing w:line="360" w:lineRule="auto"/>
        <w:jc w:val="both"/>
        <w:rPr>
          <w:rFonts w:ascii="Palatino Linotype" w:eastAsia="Batang" w:hAnsi="Palatino Linotype" w:cs="Tahoma"/>
          <w:b/>
          <w:bCs/>
          <w:sz w:val="22"/>
          <w:szCs w:val="22"/>
        </w:rPr>
      </w:pPr>
      <w:r w:rsidRPr="00C938B6">
        <w:rPr>
          <w:rFonts w:ascii="Palatino Linotype" w:hAnsi="Palatino Linotype" w:cs="Tahoma"/>
          <w:b/>
          <w:sz w:val="22"/>
          <w:szCs w:val="22"/>
        </w:rPr>
        <w:lastRenderedPageBreak/>
        <w:t xml:space="preserve">IV. </w:t>
      </w:r>
      <w:r w:rsidRPr="00C938B6">
        <w:rPr>
          <w:rFonts w:ascii="Palatino Linotype" w:eastAsia="Batang" w:hAnsi="Palatino Linotype" w:cs="Tahoma"/>
          <w:b/>
          <w:bCs/>
          <w:sz w:val="22"/>
          <w:szCs w:val="22"/>
        </w:rPr>
        <w:t>Trámite del Recurso de Revisión</w:t>
      </w:r>
      <w:r w:rsidRPr="00C938B6">
        <w:rPr>
          <w:rFonts w:ascii="Palatino Linotype" w:hAnsi="Palatino Linotype" w:cs="Tahoma"/>
          <w:b/>
          <w:sz w:val="22"/>
          <w:szCs w:val="22"/>
        </w:rPr>
        <w:t xml:space="preserve"> </w:t>
      </w:r>
      <w:r w:rsidRPr="00C938B6">
        <w:rPr>
          <w:rFonts w:ascii="Palatino Linotype" w:eastAsia="Batang" w:hAnsi="Palatino Linotype" w:cs="Tahoma"/>
          <w:b/>
          <w:bCs/>
          <w:sz w:val="22"/>
          <w:szCs w:val="22"/>
        </w:rPr>
        <w:t>ante el Instituto.</w:t>
      </w:r>
    </w:p>
    <w:p w14:paraId="6B84BD39" w14:textId="77777777" w:rsidR="00801872" w:rsidRPr="00C938B6" w:rsidRDefault="00801872" w:rsidP="005B031E">
      <w:pPr>
        <w:spacing w:line="360" w:lineRule="auto"/>
        <w:jc w:val="both"/>
        <w:rPr>
          <w:rFonts w:ascii="Palatino Linotype" w:eastAsia="Batang" w:hAnsi="Palatino Linotype" w:cs="Tahoma"/>
          <w:b/>
          <w:bCs/>
          <w:sz w:val="22"/>
          <w:szCs w:val="22"/>
        </w:rPr>
      </w:pPr>
    </w:p>
    <w:p w14:paraId="0DF354DA" w14:textId="725E82E2" w:rsidR="00801872" w:rsidRDefault="00801872" w:rsidP="005B031E">
      <w:pPr>
        <w:spacing w:line="360" w:lineRule="auto"/>
        <w:jc w:val="both"/>
        <w:rPr>
          <w:rFonts w:ascii="Palatino Linotype" w:eastAsia="Batang" w:hAnsi="Palatino Linotype" w:cs="Tahoma"/>
          <w:sz w:val="22"/>
          <w:szCs w:val="22"/>
        </w:rPr>
      </w:pPr>
      <w:r w:rsidRPr="00C938B6">
        <w:rPr>
          <w:rFonts w:ascii="Palatino Linotype" w:eastAsia="Batang" w:hAnsi="Palatino Linotype" w:cs="Tahoma"/>
          <w:b/>
          <w:bCs/>
          <w:sz w:val="22"/>
          <w:szCs w:val="22"/>
        </w:rPr>
        <w:t xml:space="preserve">a) Turno del Recurso de Revisión. </w:t>
      </w:r>
      <w:r w:rsidR="00787658">
        <w:rPr>
          <w:rFonts w:ascii="Palatino Linotype" w:eastAsia="Batang" w:hAnsi="Palatino Linotype" w:cs="Tahoma"/>
          <w:sz w:val="22"/>
          <w:szCs w:val="22"/>
        </w:rPr>
        <w:t xml:space="preserve">El </w:t>
      </w:r>
      <w:r w:rsidR="000D544B">
        <w:rPr>
          <w:rFonts w:ascii="Palatino Linotype" w:eastAsia="Batang" w:hAnsi="Palatino Linotype" w:cs="Tahoma"/>
          <w:sz w:val="22"/>
          <w:szCs w:val="22"/>
        </w:rPr>
        <w:t>diez</w:t>
      </w:r>
      <w:r w:rsidR="00787658">
        <w:rPr>
          <w:rFonts w:ascii="Palatino Linotype" w:eastAsia="Batang" w:hAnsi="Palatino Linotype" w:cs="Tahoma"/>
          <w:sz w:val="22"/>
          <w:szCs w:val="22"/>
        </w:rPr>
        <w:t xml:space="preserve"> de </w:t>
      </w:r>
      <w:r w:rsidR="00F230F4">
        <w:rPr>
          <w:rFonts w:ascii="Palatino Linotype" w:eastAsia="Batang" w:hAnsi="Palatino Linotype" w:cs="Tahoma"/>
          <w:sz w:val="22"/>
          <w:szCs w:val="22"/>
        </w:rPr>
        <w:t xml:space="preserve">enero de </w:t>
      </w:r>
      <w:r w:rsidR="00787658">
        <w:rPr>
          <w:rFonts w:ascii="Palatino Linotype" w:eastAsia="Batang" w:hAnsi="Palatino Linotype" w:cs="Tahoma"/>
          <w:sz w:val="22"/>
          <w:szCs w:val="22"/>
        </w:rPr>
        <w:t>dos mil veinti</w:t>
      </w:r>
      <w:r w:rsidR="00F230F4">
        <w:rPr>
          <w:rFonts w:ascii="Palatino Linotype" w:eastAsia="Batang" w:hAnsi="Palatino Linotype" w:cs="Tahoma"/>
          <w:sz w:val="22"/>
          <w:szCs w:val="22"/>
        </w:rPr>
        <w:t>dós</w:t>
      </w:r>
      <w:r w:rsidR="00787658">
        <w:rPr>
          <w:rFonts w:ascii="Palatino Linotype" w:eastAsia="Batang" w:hAnsi="Palatino Linotype" w:cs="Tahoma"/>
          <w:sz w:val="22"/>
          <w:szCs w:val="22"/>
        </w:rPr>
        <w:t>,</w:t>
      </w:r>
      <w:r w:rsidRPr="00C938B6">
        <w:rPr>
          <w:rFonts w:ascii="Palatino Linotype" w:eastAsia="Batang" w:hAnsi="Palatino Linotype" w:cs="Tahoma"/>
          <w:sz w:val="22"/>
          <w:szCs w:val="22"/>
        </w:rPr>
        <w:t xml:space="preserve"> el </w:t>
      </w:r>
      <w:r w:rsidRPr="00C938B6">
        <w:rPr>
          <w:rFonts w:ascii="Palatino Linotype" w:eastAsia="Batang" w:hAnsi="Palatino Linotype" w:cs="Tahoma"/>
          <w:sz w:val="22"/>
          <w:szCs w:val="22"/>
          <w:lang w:val="es-ES"/>
        </w:rPr>
        <w:t>Sistema de Acceso a la Información Mexiquense (SAIMEX),</w:t>
      </w:r>
      <w:r w:rsidRPr="00C938B6">
        <w:rPr>
          <w:rFonts w:ascii="Palatino Linotype" w:eastAsia="Batang" w:hAnsi="Palatino Linotype" w:cs="Tahoma"/>
          <w:sz w:val="22"/>
          <w:szCs w:val="22"/>
        </w:rPr>
        <w:t xml:space="preserve"> asignó el número de expediente </w:t>
      </w:r>
      <w:r w:rsidR="00787658">
        <w:rPr>
          <w:rFonts w:ascii="Palatino Linotype" w:eastAsia="Calibri" w:hAnsi="Palatino Linotype" w:cs="Tahoma"/>
          <w:b/>
          <w:bCs/>
          <w:sz w:val="22"/>
          <w:szCs w:val="22"/>
        </w:rPr>
        <w:t>0</w:t>
      </w:r>
      <w:r w:rsidR="00F230F4">
        <w:rPr>
          <w:rFonts w:ascii="Palatino Linotype" w:eastAsia="Calibri" w:hAnsi="Palatino Linotype" w:cs="Tahoma"/>
          <w:b/>
          <w:bCs/>
          <w:sz w:val="22"/>
          <w:szCs w:val="22"/>
        </w:rPr>
        <w:t>0021</w:t>
      </w:r>
      <w:r w:rsidR="00B94EEB">
        <w:rPr>
          <w:rFonts w:ascii="Palatino Linotype" w:eastAsia="Calibri" w:hAnsi="Palatino Linotype" w:cs="Tahoma"/>
          <w:b/>
          <w:bCs/>
          <w:sz w:val="22"/>
          <w:szCs w:val="22"/>
        </w:rPr>
        <w:t>/</w:t>
      </w:r>
      <w:r w:rsidRPr="00C938B6">
        <w:rPr>
          <w:rFonts w:ascii="Palatino Linotype" w:eastAsia="Calibri" w:hAnsi="Palatino Linotype" w:cs="Tahoma"/>
          <w:b/>
          <w:bCs/>
          <w:sz w:val="22"/>
          <w:szCs w:val="22"/>
        </w:rPr>
        <w:t>INFOEM/IP/RR/202</w:t>
      </w:r>
      <w:r w:rsidR="00B94EEB">
        <w:rPr>
          <w:rFonts w:ascii="Palatino Linotype" w:eastAsia="Calibri" w:hAnsi="Palatino Linotype" w:cs="Tahoma"/>
          <w:b/>
          <w:bCs/>
          <w:sz w:val="22"/>
          <w:szCs w:val="22"/>
        </w:rPr>
        <w:t>2</w:t>
      </w:r>
      <w:r w:rsidRPr="00C938B6">
        <w:rPr>
          <w:rFonts w:ascii="Palatino Linotype" w:eastAsia="Batang" w:hAnsi="Palatino Linotype" w:cs="Tahoma"/>
          <w:sz w:val="22"/>
          <w:szCs w:val="22"/>
        </w:rPr>
        <w:t xml:space="preserve">, al medio de impugnación que nos ocupa, con base en el sistema aprobado por el Pleno de este Órgano Garante </w:t>
      </w:r>
      <w:r w:rsidR="0017321F">
        <w:rPr>
          <w:rFonts w:ascii="Palatino Linotype" w:eastAsia="Batang" w:hAnsi="Palatino Linotype" w:cs="Tahoma"/>
          <w:sz w:val="22"/>
          <w:szCs w:val="22"/>
        </w:rPr>
        <w:t xml:space="preserve">y lo turnó al </w:t>
      </w:r>
      <w:r w:rsidR="0017321F">
        <w:rPr>
          <w:rFonts w:ascii="Palatino Linotype" w:eastAsia="Batang" w:hAnsi="Palatino Linotype" w:cs="Tahoma"/>
          <w:b/>
          <w:bCs/>
          <w:sz w:val="22"/>
          <w:szCs w:val="22"/>
        </w:rPr>
        <w:t>Comisionado Luis Gustavo Parra Noriega</w:t>
      </w:r>
      <w:r w:rsidR="00D22825">
        <w:rPr>
          <w:rFonts w:ascii="Palatino Linotype" w:eastAsia="Batang" w:hAnsi="Palatino Linotype" w:cs="Tahoma"/>
          <w:b/>
          <w:sz w:val="22"/>
          <w:szCs w:val="22"/>
        </w:rPr>
        <w:t xml:space="preserve"> </w:t>
      </w:r>
      <w:r w:rsidR="00D22825" w:rsidRPr="00C938B6">
        <w:rPr>
          <w:rFonts w:ascii="Palatino Linotype" w:eastAsia="Batang" w:hAnsi="Palatino Linotype" w:cs="Tahoma"/>
          <w:sz w:val="22"/>
          <w:szCs w:val="22"/>
        </w:rPr>
        <w:t>para los efectos del artículo 185, fracción I de la Ley de Transparencia y Acceso a la Información Pública del Estado de México y Municipios.</w:t>
      </w:r>
    </w:p>
    <w:p w14:paraId="2F4CB9FB" w14:textId="77777777" w:rsidR="00400954" w:rsidRPr="0017321F" w:rsidRDefault="00400954" w:rsidP="005B031E">
      <w:pPr>
        <w:spacing w:line="360" w:lineRule="auto"/>
        <w:jc w:val="both"/>
        <w:rPr>
          <w:rFonts w:ascii="Palatino Linotype" w:eastAsia="Batang" w:hAnsi="Palatino Linotype" w:cs="Tahoma"/>
          <w:b/>
          <w:sz w:val="22"/>
          <w:szCs w:val="22"/>
        </w:rPr>
      </w:pPr>
    </w:p>
    <w:p w14:paraId="4B0AE7B1" w14:textId="75C5E822" w:rsidR="00801872" w:rsidRPr="00C938B6" w:rsidRDefault="00801872" w:rsidP="005B031E">
      <w:pPr>
        <w:spacing w:line="360" w:lineRule="auto"/>
        <w:jc w:val="both"/>
        <w:rPr>
          <w:rFonts w:ascii="Palatino Linotype" w:eastAsia="Batang" w:hAnsi="Palatino Linotype" w:cs="Tahoma"/>
          <w:b/>
          <w:bCs/>
          <w:sz w:val="22"/>
          <w:szCs w:val="22"/>
        </w:rPr>
      </w:pPr>
      <w:r w:rsidRPr="00C938B6">
        <w:rPr>
          <w:rFonts w:ascii="Palatino Linotype" w:eastAsia="Batang" w:hAnsi="Palatino Linotype" w:cs="Tahoma"/>
          <w:b/>
          <w:bCs/>
          <w:sz w:val="22"/>
          <w:szCs w:val="22"/>
        </w:rPr>
        <w:t>b) Admisión del Recurso de Revisión</w:t>
      </w:r>
      <w:r w:rsidRPr="00C938B6">
        <w:rPr>
          <w:rFonts w:ascii="Palatino Linotype" w:eastAsia="Batang" w:hAnsi="Palatino Linotype" w:cs="Tahoma"/>
          <w:b/>
          <w:bCs/>
          <w:sz w:val="22"/>
          <w:szCs w:val="22"/>
          <w:lang w:val="es-ES_tradnl"/>
        </w:rPr>
        <w:t xml:space="preserve">. </w:t>
      </w:r>
      <w:r w:rsidR="00D22825">
        <w:rPr>
          <w:rFonts w:ascii="Palatino Linotype" w:eastAsia="Batang" w:hAnsi="Palatino Linotype" w:cs="Tahoma"/>
          <w:sz w:val="22"/>
          <w:szCs w:val="22"/>
          <w:lang w:val="es-ES_tradnl"/>
        </w:rPr>
        <w:t xml:space="preserve">El </w:t>
      </w:r>
      <w:r w:rsidR="00B94EEB">
        <w:rPr>
          <w:rFonts w:ascii="Palatino Linotype" w:eastAsia="Batang" w:hAnsi="Palatino Linotype" w:cs="Tahoma"/>
          <w:sz w:val="22"/>
          <w:szCs w:val="22"/>
          <w:lang w:val="es-ES_tradnl"/>
        </w:rPr>
        <w:t xml:space="preserve">diecisiete </w:t>
      </w:r>
      <w:r w:rsidR="0017321F">
        <w:rPr>
          <w:rFonts w:ascii="Palatino Linotype" w:eastAsia="Batang" w:hAnsi="Palatino Linotype" w:cs="Tahoma"/>
          <w:sz w:val="22"/>
          <w:szCs w:val="22"/>
          <w:lang w:val="es-ES_tradnl"/>
        </w:rPr>
        <w:t xml:space="preserve">de </w:t>
      </w:r>
      <w:r w:rsidR="00B94EEB">
        <w:rPr>
          <w:rFonts w:ascii="Palatino Linotype" w:eastAsia="Batang" w:hAnsi="Palatino Linotype" w:cs="Tahoma"/>
          <w:sz w:val="22"/>
          <w:szCs w:val="22"/>
          <w:lang w:val="es-ES_tradnl"/>
        </w:rPr>
        <w:t>enero</w:t>
      </w:r>
      <w:r w:rsidR="00D22825">
        <w:rPr>
          <w:rFonts w:ascii="Palatino Linotype" w:eastAsia="Batang" w:hAnsi="Palatino Linotype" w:cs="Tahoma"/>
          <w:sz w:val="22"/>
          <w:szCs w:val="22"/>
          <w:lang w:val="es-ES_tradnl"/>
        </w:rPr>
        <w:t xml:space="preserve"> de dos mil ve</w:t>
      </w:r>
      <w:r w:rsidR="00B94EEB">
        <w:rPr>
          <w:rFonts w:ascii="Palatino Linotype" w:eastAsia="Batang" w:hAnsi="Palatino Linotype" w:cs="Tahoma"/>
          <w:sz w:val="22"/>
          <w:szCs w:val="22"/>
          <w:lang w:val="es-ES_tradnl"/>
        </w:rPr>
        <w:t>intidós</w:t>
      </w:r>
      <w:r w:rsidRPr="00C938B6">
        <w:rPr>
          <w:rFonts w:ascii="Palatino Linotype" w:eastAsia="Batang" w:hAnsi="Palatino Linotype" w:cs="Tahoma"/>
          <w:sz w:val="22"/>
          <w:szCs w:val="22"/>
          <w:lang w:val="es-ES_tradnl"/>
        </w:rPr>
        <w:t>, se acordó la admisión del Recurso de Revisión interpuesto por la Recurrente en contra del Sujeto Obligado, en términos del artículo 185, fracciones I y II de la Ley de Transparencia y Acceso a la Información Pública del Estado de México y Municipios, el cual fue notificado a las pa</w:t>
      </w:r>
      <w:r w:rsidR="00D22825">
        <w:rPr>
          <w:rFonts w:ascii="Palatino Linotype" w:eastAsia="Batang" w:hAnsi="Palatino Linotype" w:cs="Tahoma"/>
          <w:sz w:val="22"/>
          <w:szCs w:val="22"/>
          <w:lang w:val="es-ES_tradnl"/>
        </w:rPr>
        <w:t>rtes en mismo día, m</w:t>
      </w:r>
      <w:r w:rsidR="00BE73E6" w:rsidRPr="00C938B6">
        <w:rPr>
          <w:rFonts w:ascii="Palatino Linotype" w:eastAsia="Batang" w:hAnsi="Palatino Linotype" w:cs="Tahoma"/>
          <w:sz w:val="22"/>
          <w:szCs w:val="22"/>
          <w:lang w:val="es-ES_tradnl"/>
        </w:rPr>
        <w:t>es y año</w:t>
      </w:r>
      <w:r w:rsidR="00D22825">
        <w:rPr>
          <w:rFonts w:ascii="Palatino Linotype" w:eastAsia="Batang" w:hAnsi="Palatino Linotype" w:cs="Tahoma"/>
          <w:sz w:val="22"/>
          <w:szCs w:val="22"/>
          <w:lang w:val="es-ES_tradnl"/>
        </w:rPr>
        <w:t>,</w:t>
      </w:r>
      <w:r w:rsidRPr="00C938B6">
        <w:rPr>
          <w:rFonts w:ascii="Palatino Linotype" w:eastAsia="Batang" w:hAnsi="Palatino Linotype" w:cs="Tahoma"/>
          <w:sz w:val="22"/>
          <w:szCs w:val="22"/>
          <w:lang w:val="es-ES_tradnl"/>
        </w:rPr>
        <w:t xml:space="preserve"> a través del Sistema de Acceso a la Información Mexiquense (SAIMEX), en el que se les otorgó un plazo de siete días hábiles posteriores a la misma, para que manifestaran lo que a su derecho conviniera y formularan alegatos.</w:t>
      </w:r>
    </w:p>
    <w:p w14:paraId="7C67497D" w14:textId="77777777" w:rsidR="00801872" w:rsidRPr="00C938B6" w:rsidRDefault="00801872" w:rsidP="005B031E">
      <w:pPr>
        <w:spacing w:line="360" w:lineRule="auto"/>
        <w:jc w:val="both"/>
        <w:rPr>
          <w:rFonts w:ascii="Palatino Linotype" w:eastAsia="Batang" w:hAnsi="Palatino Linotype" w:cs="Tahoma"/>
          <w:bCs/>
          <w:sz w:val="22"/>
          <w:szCs w:val="22"/>
        </w:rPr>
      </w:pPr>
    </w:p>
    <w:p w14:paraId="5BABFD31" w14:textId="30845FAE" w:rsidR="00A26524" w:rsidRPr="006B350A" w:rsidRDefault="00801872" w:rsidP="00B94EEB">
      <w:pPr>
        <w:widowControl w:val="0"/>
        <w:spacing w:line="360" w:lineRule="auto"/>
        <w:jc w:val="both"/>
        <w:rPr>
          <w:rFonts w:ascii="Palatino Linotype" w:hAnsi="Palatino Linotype" w:cs="Arial"/>
          <w:bCs/>
          <w:i/>
          <w:iCs/>
          <w:lang w:val="es-ES_tradnl"/>
        </w:rPr>
      </w:pPr>
      <w:r w:rsidRPr="00C938B6">
        <w:rPr>
          <w:rFonts w:ascii="Palatino Linotype" w:hAnsi="Palatino Linotype"/>
          <w:b/>
          <w:bCs/>
          <w:sz w:val="22"/>
          <w:szCs w:val="22"/>
        </w:rPr>
        <w:t xml:space="preserve">c) </w:t>
      </w:r>
      <w:r w:rsidRPr="00C938B6">
        <w:rPr>
          <w:rFonts w:ascii="Palatino Linotype" w:hAnsi="Palatino Linotype"/>
          <w:b/>
          <w:sz w:val="22"/>
          <w:szCs w:val="22"/>
          <w:lang w:val="es-ES_tradnl"/>
        </w:rPr>
        <w:t xml:space="preserve">Informe Justificado. </w:t>
      </w:r>
      <w:r w:rsidRPr="00C938B6">
        <w:rPr>
          <w:rFonts w:ascii="Palatino Linotype" w:hAnsi="Palatino Linotype"/>
          <w:bCs/>
          <w:sz w:val="22"/>
          <w:szCs w:val="22"/>
          <w:lang w:val="es-ES_tradnl"/>
        </w:rPr>
        <w:t>De las constancias que obran en el expediente electrónico, se advierte que</w:t>
      </w:r>
      <w:r w:rsidR="008F0397">
        <w:rPr>
          <w:rFonts w:ascii="Palatino Linotype" w:hAnsi="Palatino Linotype"/>
          <w:bCs/>
          <w:sz w:val="22"/>
          <w:szCs w:val="22"/>
          <w:lang w:val="es-ES_tradnl"/>
        </w:rPr>
        <w:t xml:space="preserve"> </w:t>
      </w:r>
      <w:r w:rsidR="00F7786E">
        <w:rPr>
          <w:rFonts w:ascii="Palatino Linotype" w:hAnsi="Palatino Linotype"/>
          <w:bCs/>
          <w:sz w:val="22"/>
          <w:szCs w:val="22"/>
          <w:lang w:val="es-ES_tradnl"/>
        </w:rPr>
        <w:t xml:space="preserve">el </w:t>
      </w:r>
      <w:r w:rsidR="00292718">
        <w:rPr>
          <w:rFonts w:ascii="Palatino Linotype" w:hAnsi="Palatino Linotype"/>
          <w:bCs/>
          <w:sz w:val="22"/>
          <w:szCs w:val="22"/>
          <w:lang w:val="es-ES_tradnl"/>
        </w:rPr>
        <w:t>P</w:t>
      </w:r>
      <w:r w:rsidR="00F7786E">
        <w:rPr>
          <w:rFonts w:ascii="Palatino Linotype" w:hAnsi="Palatino Linotype"/>
          <w:bCs/>
          <w:sz w:val="22"/>
          <w:szCs w:val="22"/>
          <w:lang w:val="es-ES_tradnl"/>
        </w:rPr>
        <w:t xml:space="preserve">articular no presentó manifestaciones, por su parte, el Sujeto Obligado </w:t>
      </w:r>
      <w:r w:rsidR="00B94EEB">
        <w:rPr>
          <w:rFonts w:ascii="Palatino Linotype" w:hAnsi="Palatino Linotype"/>
          <w:bCs/>
          <w:sz w:val="22"/>
          <w:szCs w:val="22"/>
          <w:lang w:val="es-ES_tradnl"/>
        </w:rPr>
        <w:t xml:space="preserve">no </w:t>
      </w:r>
      <w:r w:rsidR="00DA6DFB">
        <w:rPr>
          <w:rFonts w:ascii="Palatino Linotype" w:hAnsi="Palatino Linotype"/>
          <w:bCs/>
          <w:sz w:val="22"/>
          <w:szCs w:val="22"/>
          <w:lang w:val="es-ES_tradnl"/>
        </w:rPr>
        <w:t>rindió informe</w:t>
      </w:r>
      <w:r w:rsidR="00B94EEB">
        <w:rPr>
          <w:rFonts w:ascii="Palatino Linotype" w:hAnsi="Palatino Linotype"/>
          <w:bCs/>
          <w:sz w:val="22"/>
          <w:szCs w:val="22"/>
          <w:lang w:val="es-ES_tradnl"/>
        </w:rPr>
        <w:t xml:space="preserve"> justificado. </w:t>
      </w:r>
    </w:p>
    <w:p w14:paraId="0F37068C" w14:textId="77777777" w:rsidR="00801872" w:rsidRPr="00C938B6" w:rsidRDefault="00801872" w:rsidP="005B031E">
      <w:pPr>
        <w:spacing w:line="360" w:lineRule="auto"/>
        <w:jc w:val="both"/>
        <w:rPr>
          <w:rFonts w:ascii="Palatino Linotype" w:hAnsi="Palatino Linotype" w:cs="Tahoma"/>
          <w:b/>
          <w:sz w:val="22"/>
          <w:szCs w:val="22"/>
        </w:rPr>
      </w:pPr>
    </w:p>
    <w:p w14:paraId="7A1563DF" w14:textId="113F1536" w:rsidR="002B1A23" w:rsidRDefault="00801872" w:rsidP="005B031E">
      <w:pPr>
        <w:spacing w:line="360" w:lineRule="auto"/>
        <w:jc w:val="both"/>
        <w:rPr>
          <w:rFonts w:ascii="Palatino Linotype" w:hAnsi="Palatino Linotype" w:cs="Tahoma"/>
          <w:sz w:val="22"/>
          <w:szCs w:val="22"/>
        </w:rPr>
      </w:pPr>
      <w:r w:rsidRPr="00C938B6">
        <w:rPr>
          <w:rFonts w:ascii="Palatino Linotype" w:hAnsi="Palatino Linotype" w:cs="Tahoma"/>
          <w:b/>
          <w:sz w:val="22"/>
          <w:szCs w:val="22"/>
        </w:rPr>
        <w:t>d) Cierre de instrucción.</w:t>
      </w:r>
      <w:r w:rsidRPr="00C938B6">
        <w:rPr>
          <w:rFonts w:ascii="Palatino Linotype" w:hAnsi="Palatino Linotype" w:cs="Tahoma"/>
          <w:sz w:val="22"/>
          <w:szCs w:val="22"/>
        </w:rPr>
        <w:t xml:space="preserve"> </w:t>
      </w:r>
      <w:r w:rsidR="00A26524">
        <w:rPr>
          <w:rFonts w:ascii="Palatino Linotype" w:hAnsi="Palatino Linotype" w:cs="Tahoma"/>
          <w:sz w:val="22"/>
          <w:szCs w:val="22"/>
        </w:rPr>
        <w:t xml:space="preserve">El </w:t>
      </w:r>
      <w:r w:rsidR="00355A9A">
        <w:rPr>
          <w:rFonts w:ascii="Palatino Linotype" w:hAnsi="Palatino Linotype" w:cs="Tahoma"/>
          <w:sz w:val="22"/>
          <w:szCs w:val="22"/>
        </w:rPr>
        <w:t xml:space="preserve">diez </w:t>
      </w:r>
      <w:r w:rsidR="00A26524">
        <w:rPr>
          <w:rFonts w:ascii="Palatino Linotype" w:hAnsi="Palatino Linotype" w:cs="Tahoma"/>
          <w:sz w:val="22"/>
          <w:szCs w:val="22"/>
        </w:rPr>
        <w:t>de enero de dos mil veintidós</w:t>
      </w:r>
      <w:r w:rsidRPr="00C938B6">
        <w:rPr>
          <w:rFonts w:ascii="Palatino Linotype" w:hAnsi="Palatino Linotype" w:cs="Tahoma"/>
          <w:sz w:val="22"/>
          <w:szCs w:val="22"/>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Pr="00C938B6">
        <w:rPr>
          <w:rFonts w:ascii="Palatino Linotype" w:hAnsi="Palatino Linotype" w:cs="Tahoma"/>
          <w:sz w:val="22"/>
          <w:szCs w:val="22"/>
          <w:lang w:val="es-ES"/>
        </w:rPr>
        <w:t>Sistema de Acceso a la Información Mexiquense (SAIMEX)</w:t>
      </w:r>
      <w:r w:rsidRPr="00C938B6">
        <w:rPr>
          <w:rFonts w:ascii="Palatino Linotype" w:hAnsi="Palatino Linotype" w:cs="Tahoma"/>
          <w:sz w:val="22"/>
          <w:szCs w:val="22"/>
        </w:rPr>
        <w:t>.</w:t>
      </w:r>
    </w:p>
    <w:p w14:paraId="3278182A" w14:textId="7A1A61AB" w:rsidR="005F389E" w:rsidRDefault="00801872" w:rsidP="005B031E">
      <w:pPr>
        <w:spacing w:line="360" w:lineRule="auto"/>
        <w:jc w:val="both"/>
        <w:rPr>
          <w:rFonts w:ascii="Palatino Linotype" w:hAnsi="Palatino Linotype" w:cs="Tahoma"/>
          <w:color w:val="000000"/>
          <w:sz w:val="22"/>
          <w:szCs w:val="22"/>
        </w:rPr>
      </w:pPr>
      <w:r w:rsidRPr="00C938B6">
        <w:rPr>
          <w:rFonts w:ascii="Palatino Linotype" w:hAnsi="Palatino Linotype" w:cs="Tahoma"/>
          <w:color w:val="000000"/>
          <w:sz w:val="22"/>
          <w:szCs w:val="22"/>
        </w:rPr>
        <w:lastRenderedPageBreak/>
        <w:t xml:space="preserve">En razón de que fue debidamente sustanciado e integrado el expediente electrónico y no existe diligencia pendiente de desahogo, se emite la resolución que conforme a Derecho proceda, </w:t>
      </w:r>
      <w:r w:rsidR="002D0ADE" w:rsidRPr="00C938B6">
        <w:rPr>
          <w:rFonts w:ascii="Palatino Linotype" w:hAnsi="Palatino Linotype" w:cs="Tahoma"/>
          <w:color w:val="000000"/>
          <w:sz w:val="22"/>
          <w:szCs w:val="22"/>
        </w:rPr>
        <w:t>de acuerdo con</w:t>
      </w:r>
      <w:r w:rsidRPr="00C938B6">
        <w:rPr>
          <w:rFonts w:ascii="Palatino Linotype" w:hAnsi="Palatino Linotype" w:cs="Tahoma"/>
          <w:color w:val="000000"/>
          <w:sz w:val="22"/>
          <w:szCs w:val="22"/>
        </w:rPr>
        <w:t xml:space="preserve"> los siguientes: </w:t>
      </w:r>
    </w:p>
    <w:p w14:paraId="789A4FDE" w14:textId="77777777" w:rsidR="005F389E" w:rsidRPr="00C938B6" w:rsidRDefault="005F389E" w:rsidP="005B031E">
      <w:pPr>
        <w:spacing w:line="360" w:lineRule="auto"/>
        <w:jc w:val="both"/>
        <w:rPr>
          <w:rFonts w:ascii="Palatino Linotype" w:hAnsi="Palatino Linotype" w:cs="Tahoma"/>
          <w:color w:val="000000"/>
          <w:sz w:val="22"/>
          <w:szCs w:val="22"/>
        </w:rPr>
      </w:pPr>
    </w:p>
    <w:p w14:paraId="5140970D" w14:textId="5D203DC5" w:rsidR="00801872" w:rsidRPr="00C938B6" w:rsidRDefault="00801872" w:rsidP="005B031E">
      <w:pPr>
        <w:spacing w:line="360" w:lineRule="auto"/>
        <w:jc w:val="center"/>
        <w:rPr>
          <w:rFonts w:ascii="Palatino Linotype" w:hAnsi="Palatino Linotype" w:cs="Tahoma"/>
          <w:b/>
          <w:sz w:val="22"/>
          <w:szCs w:val="22"/>
        </w:rPr>
      </w:pPr>
      <w:r w:rsidRPr="00C938B6">
        <w:rPr>
          <w:rFonts w:ascii="Palatino Linotype" w:hAnsi="Palatino Linotype" w:cs="Tahoma"/>
          <w:b/>
          <w:sz w:val="22"/>
          <w:szCs w:val="22"/>
        </w:rPr>
        <w:t xml:space="preserve">C O N S I D E R A N D O </w:t>
      </w:r>
      <w:proofErr w:type="gramStart"/>
      <w:r w:rsidRPr="00C938B6">
        <w:rPr>
          <w:rFonts w:ascii="Palatino Linotype" w:hAnsi="Palatino Linotype" w:cs="Tahoma"/>
          <w:b/>
          <w:sz w:val="22"/>
          <w:szCs w:val="22"/>
        </w:rPr>
        <w:t>S</w:t>
      </w:r>
      <w:r w:rsidR="004846A0">
        <w:rPr>
          <w:rFonts w:ascii="Palatino Linotype" w:hAnsi="Palatino Linotype" w:cs="Tahoma"/>
          <w:b/>
          <w:sz w:val="22"/>
          <w:szCs w:val="22"/>
        </w:rPr>
        <w:t xml:space="preserve"> </w:t>
      </w:r>
      <w:r w:rsidRPr="00C938B6">
        <w:rPr>
          <w:rFonts w:ascii="Palatino Linotype" w:hAnsi="Palatino Linotype" w:cs="Tahoma"/>
          <w:b/>
          <w:sz w:val="22"/>
          <w:szCs w:val="22"/>
        </w:rPr>
        <w:t>:</w:t>
      </w:r>
      <w:proofErr w:type="gramEnd"/>
    </w:p>
    <w:p w14:paraId="35EFA683" w14:textId="77777777" w:rsidR="00801872" w:rsidRPr="00C938B6" w:rsidRDefault="00801872" w:rsidP="005B031E">
      <w:pPr>
        <w:spacing w:line="360" w:lineRule="auto"/>
        <w:rPr>
          <w:rFonts w:ascii="Palatino Linotype" w:hAnsi="Palatino Linotype" w:cs="Tahoma"/>
          <w:b/>
          <w:sz w:val="22"/>
          <w:szCs w:val="22"/>
        </w:rPr>
      </w:pPr>
    </w:p>
    <w:p w14:paraId="45D3D2CB" w14:textId="77777777" w:rsidR="00801872" w:rsidRPr="00C938B6" w:rsidRDefault="00801872" w:rsidP="005B031E">
      <w:pPr>
        <w:spacing w:line="360" w:lineRule="auto"/>
        <w:jc w:val="both"/>
        <w:rPr>
          <w:rFonts w:ascii="Palatino Linotype" w:eastAsia="Batang" w:hAnsi="Palatino Linotype" w:cs="Tahoma"/>
          <w:b/>
          <w:bCs/>
          <w:sz w:val="22"/>
          <w:szCs w:val="22"/>
        </w:rPr>
      </w:pPr>
      <w:r w:rsidRPr="00C938B6">
        <w:rPr>
          <w:rFonts w:ascii="Palatino Linotype" w:eastAsia="Batang" w:hAnsi="Palatino Linotype" w:cs="Tahoma"/>
          <w:b/>
          <w:bCs/>
          <w:sz w:val="22"/>
          <w:szCs w:val="22"/>
        </w:rPr>
        <w:t xml:space="preserve">PRIMERO. Competencia. </w:t>
      </w:r>
    </w:p>
    <w:p w14:paraId="6A4AA277" w14:textId="77777777" w:rsidR="00801872" w:rsidRPr="00C938B6" w:rsidRDefault="00801872" w:rsidP="005B031E">
      <w:pPr>
        <w:spacing w:line="360" w:lineRule="auto"/>
        <w:jc w:val="both"/>
        <w:rPr>
          <w:rFonts w:ascii="Palatino Linotype" w:eastAsia="Batang" w:hAnsi="Palatino Linotype" w:cs="Tahoma"/>
          <w:b/>
          <w:bCs/>
          <w:sz w:val="22"/>
          <w:szCs w:val="22"/>
        </w:rPr>
      </w:pPr>
    </w:p>
    <w:p w14:paraId="130CEAD1" w14:textId="1DA5F0DC" w:rsidR="00C97226" w:rsidRDefault="0003468A" w:rsidP="005B031E">
      <w:pPr>
        <w:spacing w:line="360" w:lineRule="auto"/>
        <w:jc w:val="both"/>
        <w:rPr>
          <w:rFonts w:ascii="Palatino Linotype" w:hAnsi="Palatino Linotype" w:cs="Tahoma"/>
          <w:bCs/>
          <w:sz w:val="22"/>
          <w:szCs w:val="22"/>
        </w:rPr>
      </w:pPr>
      <w:r w:rsidRPr="00C938B6">
        <w:rPr>
          <w:rFonts w:ascii="Palatino Linotype" w:hAnsi="Palatino Linotype" w:cs="Tahoma"/>
          <w:bCs/>
          <w:sz w:val="22"/>
          <w:szCs w:val="22"/>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w:t>
      </w:r>
      <w:r w:rsidRPr="00C938B6">
        <w:rPr>
          <w:rFonts w:ascii="Palatino Linotype" w:hAnsi="Palatino Linotype" w:cs="Tahoma"/>
          <w:bCs/>
          <w:sz w:val="22"/>
          <w:szCs w:val="22"/>
          <w:lang w:val="x-none"/>
        </w:rPr>
        <w:t>ésimo, trigésimo primero</w:t>
      </w:r>
      <w:r w:rsidRPr="00C938B6">
        <w:rPr>
          <w:rFonts w:ascii="Palatino Linotype" w:hAnsi="Palatino Linotype" w:cs="Tahoma"/>
          <w:bCs/>
          <w:sz w:val="22"/>
          <w:szCs w:val="22"/>
        </w:rPr>
        <w:t xml:space="preserve">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3D0EB736" w14:textId="77777777" w:rsidR="00957512" w:rsidRPr="00C97226" w:rsidRDefault="00957512" w:rsidP="005B031E">
      <w:pPr>
        <w:spacing w:line="360" w:lineRule="auto"/>
        <w:jc w:val="both"/>
        <w:rPr>
          <w:rFonts w:ascii="Palatino Linotype" w:hAnsi="Palatino Linotype" w:cs="Tahoma"/>
          <w:bCs/>
          <w:sz w:val="22"/>
          <w:szCs w:val="22"/>
        </w:rPr>
      </w:pPr>
    </w:p>
    <w:p w14:paraId="49902CA0" w14:textId="77777777" w:rsidR="00801872" w:rsidRPr="00C938B6" w:rsidRDefault="00801872" w:rsidP="005B031E">
      <w:pPr>
        <w:spacing w:line="360" w:lineRule="auto"/>
        <w:jc w:val="both"/>
        <w:rPr>
          <w:rFonts w:ascii="Palatino Linotype" w:hAnsi="Palatino Linotype"/>
          <w:color w:val="222222"/>
          <w:lang w:val="es-ES"/>
        </w:rPr>
      </w:pPr>
      <w:r w:rsidRPr="00C938B6">
        <w:rPr>
          <w:rFonts w:ascii="Palatino Linotype" w:hAnsi="Palatino Linotype"/>
          <w:b/>
          <w:bCs/>
          <w:color w:val="000000"/>
          <w:sz w:val="22"/>
          <w:szCs w:val="22"/>
          <w:lang w:val="es-ES"/>
        </w:rPr>
        <w:t>SEGUNDO. Causales de procedencia y sobreseimiento.</w:t>
      </w:r>
    </w:p>
    <w:p w14:paraId="7872E74B" w14:textId="5ADFF415" w:rsidR="00BE73E6" w:rsidRPr="00C938B6" w:rsidRDefault="00801872" w:rsidP="005B031E">
      <w:pPr>
        <w:spacing w:line="360" w:lineRule="auto"/>
        <w:jc w:val="both"/>
        <w:rPr>
          <w:rFonts w:ascii="Palatino Linotype" w:hAnsi="Palatino Linotype"/>
          <w:color w:val="222222"/>
          <w:lang w:val="es-ES"/>
        </w:rPr>
      </w:pPr>
      <w:r w:rsidRPr="00C938B6">
        <w:rPr>
          <w:rFonts w:ascii="Palatino Linotype" w:hAnsi="Palatino Linotype"/>
          <w:color w:val="000000"/>
          <w:sz w:val="22"/>
          <w:szCs w:val="22"/>
          <w:lang w:val="es-ES"/>
        </w:rPr>
        <w:t> </w:t>
      </w:r>
    </w:p>
    <w:p w14:paraId="5A803D51" w14:textId="2ECFFD7B" w:rsidR="005A67B9" w:rsidRPr="001B04D6" w:rsidRDefault="00801872" w:rsidP="001B04D6">
      <w:pPr>
        <w:spacing w:line="360" w:lineRule="auto"/>
        <w:jc w:val="both"/>
        <w:rPr>
          <w:rFonts w:ascii="Palatino Linotype" w:hAnsi="Palatino Linotype"/>
          <w:color w:val="222222"/>
          <w:lang w:val="es-ES"/>
        </w:rPr>
      </w:pPr>
      <w:r w:rsidRPr="00C938B6">
        <w:rPr>
          <w:rFonts w:ascii="Palatino Linotype" w:hAnsi="Palatino Linotype"/>
          <w:color w:val="000000"/>
          <w:sz w:val="22"/>
          <w:szCs w:val="22"/>
          <w:lang w:val="es-ES"/>
        </w:rPr>
        <w:t>De las constancias que forman parte de</w:t>
      </w:r>
      <w:r w:rsidR="00C97226">
        <w:rPr>
          <w:rFonts w:ascii="Palatino Linotype" w:hAnsi="Palatino Linotype"/>
          <w:color w:val="000000"/>
          <w:sz w:val="22"/>
          <w:szCs w:val="22"/>
          <w:lang w:val="es-ES"/>
        </w:rPr>
        <w:t xml:space="preserve">l </w:t>
      </w:r>
      <w:r w:rsidRPr="00C938B6">
        <w:rPr>
          <w:rFonts w:ascii="Palatino Linotype" w:hAnsi="Palatino Linotype"/>
          <w:color w:val="000000"/>
          <w:sz w:val="22"/>
          <w:szCs w:val="22"/>
          <w:lang w:val="es-ES"/>
        </w:rPr>
        <w:t xml:space="preserve">Recurso de Revisión que se analiza, se advierte que previo al estudio del fondo de la </w:t>
      </w:r>
      <w:r w:rsidRPr="00C938B6">
        <w:rPr>
          <w:rFonts w:ascii="Palatino Linotype" w:hAnsi="Palatino Linotype"/>
          <w:i/>
          <w:color w:val="000000"/>
          <w:sz w:val="22"/>
          <w:szCs w:val="22"/>
          <w:lang w:val="es-ES"/>
        </w:rPr>
        <w:t>litis</w:t>
      </w:r>
      <w:r w:rsidRPr="00C938B6">
        <w:rPr>
          <w:rFonts w:ascii="Palatino Linotype" w:hAnsi="Palatino Linotype"/>
          <w:color w:val="000000"/>
          <w:sz w:val="22"/>
          <w:szCs w:val="22"/>
          <w:lang w:val="es-ES"/>
        </w:rPr>
        <w:t>, es necesario estudiar las causales de improcedencia y sobreseimiento que se adviertan, para determinar lo que en Derecho proceda.</w:t>
      </w:r>
    </w:p>
    <w:p w14:paraId="7BD09D49" w14:textId="77777777" w:rsidR="00744442" w:rsidRDefault="00744442" w:rsidP="005B031E">
      <w:pPr>
        <w:shd w:val="clear" w:color="auto" w:fill="FFFFFF"/>
        <w:spacing w:line="360" w:lineRule="auto"/>
        <w:jc w:val="both"/>
        <w:rPr>
          <w:rFonts w:ascii="Palatino Linotype" w:hAnsi="Palatino Linotype"/>
          <w:b/>
          <w:bCs/>
          <w:color w:val="000000"/>
          <w:sz w:val="22"/>
          <w:szCs w:val="22"/>
          <w:lang w:val="es-ES"/>
        </w:rPr>
      </w:pPr>
    </w:p>
    <w:p w14:paraId="40B0B6C2" w14:textId="53BFB005" w:rsidR="00801872" w:rsidRPr="00C938B6" w:rsidRDefault="00801872" w:rsidP="005B031E">
      <w:pPr>
        <w:shd w:val="clear" w:color="auto" w:fill="FFFFFF"/>
        <w:spacing w:line="360" w:lineRule="auto"/>
        <w:jc w:val="both"/>
        <w:rPr>
          <w:rFonts w:ascii="Palatino Linotype" w:hAnsi="Palatino Linotype"/>
          <w:color w:val="222222"/>
          <w:lang w:val="es-ES"/>
        </w:rPr>
      </w:pPr>
      <w:r w:rsidRPr="00C938B6">
        <w:rPr>
          <w:rFonts w:ascii="Palatino Linotype" w:hAnsi="Palatino Linotype"/>
          <w:b/>
          <w:bCs/>
          <w:color w:val="000000"/>
          <w:sz w:val="22"/>
          <w:szCs w:val="22"/>
          <w:lang w:val="es-ES"/>
        </w:rPr>
        <w:lastRenderedPageBreak/>
        <w:t>Causales de improcedencia.</w:t>
      </w:r>
    </w:p>
    <w:p w14:paraId="5660127B" w14:textId="77777777" w:rsidR="00801872" w:rsidRPr="00C938B6" w:rsidRDefault="00801872" w:rsidP="005B031E">
      <w:pPr>
        <w:shd w:val="clear" w:color="auto" w:fill="FFFFFF"/>
        <w:spacing w:line="360" w:lineRule="auto"/>
        <w:jc w:val="both"/>
        <w:rPr>
          <w:rFonts w:ascii="Palatino Linotype" w:hAnsi="Palatino Linotype"/>
          <w:color w:val="222222"/>
          <w:lang w:val="es-ES"/>
        </w:rPr>
      </w:pPr>
      <w:r w:rsidRPr="00C938B6">
        <w:rPr>
          <w:rFonts w:ascii="Palatino Linotype" w:hAnsi="Palatino Linotype"/>
          <w:color w:val="000000"/>
          <w:sz w:val="22"/>
          <w:szCs w:val="22"/>
          <w:lang w:val="es-ES"/>
        </w:rPr>
        <w:t> </w:t>
      </w:r>
    </w:p>
    <w:p w14:paraId="403D37FE" w14:textId="77777777" w:rsidR="0066668A" w:rsidRPr="0066668A" w:rsidRDefault="0066668A" w:rsidP="0066668A">
      <w:pPr>
        <w:spacing w:line="360" w:lineRule="auto"/>
        <w:jc w:val="both"/>
        <w:rPr>
          <w:rFonts w:ascii="Palatino Linotype" w:hAnsi="Palatino Linotype" w:cs="Tahoma"/>
          <w:bCs/>
          <w:color w:val="000000"/>
          <w:sz w:val="22"/>
          <w:szCs w:val="22"/>
        </w:rPr>
      </w:pPr>
      <w:r w:rsidRPr="0066668A">
        <w:rPr>
          <w:rFonts w:ascii="Palatino Linotype" w:hAnsi="Palatino Linotype" w:cs="Tahoma"/>
          <w:bCs/>
          <w:color w:val="000000"/>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0799D695" w14:textId="77777777" w:rsidR="0066668A" w:rsidRPr="0066668A" w:rsidRDefault="0066668A" w:rsidP="0066668A">
      <w:pPr>
        <w:spacing w:line="360" w:lineRule="auto"/>
        <w:jc w:val="both"/>
        <w:rPr>
          <w:rFonts w:ascii="Palatino Linotype" w:hAnsi="Palatino Linotype" w:cs="Tahoma"/>
          <w:bCs/>
          <w:color w:val="000000"/>
          <w:sz w:val="22"/>
          <w:szCs w:val="22"/>
        </w:rPr>
      </w:pPr>
      <w:r w:rsidRPr="0066668A">
        <w:rPr>
          <w:rFonts w:ascii="Palatino Linotype" w:hAnsi="Palatino Linotype" w:cs="Tahoma"/>
          <w:bCs/>
          <w:color w:val="000000"/>
          <w:sz w:val="22"/>
          <w:szCs w:val="22"/>
        </w:rPr>
        <w:t> </w:t>
      </w:r>
    </w:p>
    <w:p w14:paraId="33C9B44C" w14:textId="77777777" w:rsidR="0066668A" w:rsidRPr="0066668A" w:rsidRDefault="0066668A" w:rsidP="0066668A">
      <w:pPr>
        <w:spacing w:line="360" w:lineRule="auto"/>
        <w:jc w:val="both"/>
        <w:rPr>
          <w:rFonts w:ascii="Palatino Linotype" w:hAnsi="Palatino Linotype" w:cs="Tahoma"/>
          <w:bCs/>
          <w:color w:val="000000"/>
          <w:sz w:val="22"/>
          <w:szCs w:val="22"/>
        </w:rPr>
      </w:pPr>
      <w:r w:rsidRPr="0066668A">
        <w:rPr>
          <w:rFonts w:ascii="Palatino Linotype" w:hAnsi="Palatino Linotype" w:cs="Tahoma"/>
          <w:bCs/>
          <w:color w:val="000000"/>
          <w:sz w:val="22"/>
          <w:szCs w:val="22"/>
        </w:rPr>
        <w:t>En el presente caso, no se actualiza alguna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ampliación a los alcances del requerimiento informativo.</w:t>
      </w:r>
    </w:p>
    <w:p w14:paraId="5C169ADA" w14:textId="77777777" w:rsidR="0066668A" w:rsidRPr="0066668A" w:rsidRDefault="0066668A" w:rsidP="0066668A">
      <w:pPr>
        <w:spacing w:line="360" w:lineRule="auto"/>
        <w:jc w:val="both"/>
        <w:rPr>
          <w:rFonts w:ascii="Palatino Linotype" w:hAnsi="Palatino Linotype" w:cs="Tahoma"/>
          <w:bCs/>
          <w:color w:val="000000"/>
          <w:sz w:val="22"/>
          <w:szCs w:val="22"/>
        </w:rPr>
      </w:pPr>
    </w:p>
    <w:p w14:paraId="2463D0CA" w14:textId="2AE60322" w:rsidR="0066668A" w:rsidRDefault="0066668A" w:rsidP="0066668A">
      <w:pPr>
        <w:spacing w:line="360" w:lineRule="auto"/>
        <w:jc w:val="both"/>
        <w:rPr>
          <w:rFonts w:ascii="Palatino Linotype" w:hAnsi="Palatino Linotype" w:cs="Tahoma"/>
          <w:bCs/>
          <w:color w:val="000000"/>
          <w:sz w:val="22"/>
          <w:szCs w:val="22"/>
          <w:lang w:val="es-ES"/>
        </w:rPr>
      </w:pPr>
      <w:r w:rsidRPr="0066668A">
        <w:rPr>
          <w:rFonts w:ascii="Palatino Linotype" w:hAnsi="Palatino Linotype" w:cs="Tahoma"/>
          <w:bCs/>
          <w:color w:val="000000"/>
          <w:sz w:val="22"/>
          <w:szCs w:val="22"/>
        </w:rPr>
        <w:t xml:space="preserve">Asimismo, se actualiza las causales de procedencia del Recurso de Revisión señaladas en el artículo 179, fracciones I de la Ley de Transparencia y Acceso a la Información Pública del Estado de México y Municipios, pues el Recurrente se inconformó </w:t>
      </w:r>
      <w:r w:rsidRPr="0066668A">
        <w:rPr>
          <w:rFonts w:ascii="Palatino Linotype" w:hAnsi="Palatino Linotype" w:cs="Tahoma"/>
          <w:bCs/>
          <w:color w:val="000000"/>
          <w:sz w:val="22"/>
          <w:szCs w:val="22"/>
          <w:lang w:val="es-ES"/>
        </w:rPr>
        <w:t>porque el Sujeto Obligado no hizo entrega de la información</w:t>
      </w:r>
      <w:r>
        <w:rPr>
          <w:rFonts w:ascii="Palatino Linotype" w:hAnsi="Palatino Linotype" w:cs="Tahoma"/>
          <w:bCs/>
          <w:color w:val="000000"/>
          <w:sz w:val="22"/>
          <w:szCs w:val="22"/>
          <w:lang w:val="es-ES"/>
        </w:rPr>
        <w:t xml:space="preserve">. </w:t>
      </w:r>
    </w:p>
    <w:p w14:paraId="2EFF765D" w14:textId="77777777" w:rsidR="000D544B" w:rsidRPr="0066668A" w:rsidRDefault="000D544B" w:rsidP="0066668A">
      <w:pPr>
        <w:spacing w:line="360" w:lineRule="auto"/>
        <w:jc w:val="both"/>
        <w:rPr>
          <w:rFonts w:ascii="Palatino Linotype" w:hAnsi="Palatino Linotype" w:cs="Tahoma"/>
          <w:bCs/>
          <w:color w:val="000000"/>
          <w:sz w:val="22"/>
          <w:szCs w:val="22"/>
          <w:lang w:val="es-ES"/>
        </w:rPr>
      </w:pPr>
    </w:p>
    <w:p w14:paraId="2A2CA5AC" w14:textId="77777777" w:rsidR="00801872" w:rsidRPr="00C938B6" w:rsidRDefault="00801872" w:rsidP="005B031E">
      <w:pPr>
        <w:spacing w:line="360" w:lineRule="auto"/>
        <w:jc w:val="both"/>
        <w:rPr>
          <w:rFonts w:ascii="Palatino Linotype" w:hAnsi="Palatino Linotype" w:cs="Tahoma"/>
          <w:bCs/>
          <w:color w:val="0D0D0D" w:themeColor="text1" w:themeTint="F2"/>
          <w:sz w:val="22"/>
          <w:szCs w:val="22"/>
        </w:rPr>
      </w:pPr>
      <w:r w:rsidRPr="00C938B6">
        <w:rPr>
          <w:rFonts w:ascii="Palatino Linotype" w:hAnsi="Palatino Linotype" w:cs="Tahoma"/>
          <w:b/>
          <w:bCs/>
          <w:color w:val="0D0D0D" w:themeColor="text1" w:themeTint="F2"/>
          <w:sz w:val="22"/>
          <w:szCs w:val="22"/>
        </w:rPr>
        <w:t>Causales de sobreseimiento.</w:t>
      </w:r>
    </w:p>
    <w:p w14:paraId="0DDC7168" w14:textId="77777777" w:rsidR="00801872" w:rsidRPr="00C938B6" w:rsidRDefault="00801872" w:rsidP="005B031E">
      <w:pPr>
        <w:spacing w:line="360" w:lineRule="auto"/>
        <w:jc w:val="both"/>
        <w:rPr>
          <w:rFonts w:ascii="Palatino Linotype" w:hAnsi="Palatino Linotype" w:cs="Tahoma"/>
          <w:bCs/>
          <w:color w:val="0D0D0D" w:themeColor="text1" w:themeTint="F2"/>
          <w:sz w:val="22"/>
          <w:szCs w:val="22"/>
        </w:rPr>
      </w:pPr>
    </w:p>
    <w:p w14:paraId="5CF765EA" w14:textId="77777777" w:rsidR="00801872" w:rsidRPr="00C938B6" w:rsidRDefault="00801872" w:rsidP="005B031E">
      <w:pPr>
        <w:spacing w:line="360" w:lineRule="auto"/>
        <w:jc w:val="both"/>
        <w:rPr>
          <w:rFonts w:ascii="Palatino Linotype" w:hAnsi="Palatino Linotype" w:cs="Tahoma"/>
          <w:bCs/>
          <w:color w:val="0D0D0D" w:themeColor="text1" w:themeTint="F2"/>
          <w:sz w:val="22"/>
          <w:szCs w:val="22"/>
        </w:rPr>
      </w:pPr>
      <w:r w:rsidRPr="00C938B6">
        <w:rPr>
          <w:rFonts w:ascii="Palatino Linotype" w:hAnsi="Palatino Linotype" w:cs="Tahoma"/>
          <w:bCs/>
          <w:color w:val="0D0D0D" w:themeColor="text1" w:themeTint="F2"/>
          <w:sz w:val="22"/>
          <w:szCs w:val="22"/>
        </w:rPr>
        <w:lastRenderedPageBreak/>
        <w:t>Por ser de previo y especial pronunciamiento, este Instituto analiza si se actualiza alguna causal de sobreseimiento.</w:t>
      </w:r>
    </w:p>
    <w:p w14:paraId="1A0DB89F" w14:textId="77777777" w:rsidR="00801872" w:rsidRPr="00C938B6" w:rsidRDefault="00801872" w:rsidP="005B031E">
      <w:pPr>
        <w:spacing w:line="360" w:lineRule="auto"/>
        <w:jc w:val="both"/>
        <w:rPr>
          <w:rFonts w:ascii="Palatino Linotype" w:hAnsi="Palatino Linotype" w:cs="Tahoma"/>
          <w:bCs/>
          <w:color w:val="0D0D0D" w:themeColor="text1" w:themeTint="F2"/>
          <w:sz w:val="22"/>
          <w:szCs w:val="22"/>
        </w:rPr>
      </w:pPr>
    </w:p>
    <w:p w14:paraId="1B7073D8" w14:textId="77777777" w:rsidR="00801872" w:rsidRPr="00C938B6" w:rsidRDefault="00801872" w:rsidP="005B031E">
      <w:pPr>
        <w:spacing w:line="360" w:lineRule="auto"/>
        <w:jc w:val="both"/>
        <w:rPr>
          <w:rFonts w:ascii="Palatino Linotype" w:hAnsi="Palatino Linotype" w:cs="Tahoma"/>
          <w:sz w:val="22"/>
          <w:szCs w:val="24"/>
        </w:rPr>
      </w:pPr>
      <w:r w:rsidRPr="00C938B6">
        <w:rPr>
          <w:rFonts w:ascii="Palatino Linotype" w:hAnsi="Palatino Linotype" w:cs="Tahoma"/>
          <w:sz w:val="22"/>
          <w:szCs w:val="24"/>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4418F544" w14:textId="77777777" w:rsidR="00801872" w:rsidRPr="00C938B6" w:rsidRDefault="00801872" w:rsidP="005B031E">
      <w:pPr>
        <w:spacing w:line="360" w:lineRule="auto"/>
        <w:jc w:val="both"/>
        <w:rPr>
          <w:rFonts w:ascii="Palatino Linotype" w:hAnsi="Palatino Linotype" w:cs="Tahoma"/>
          <w:bCs/>
          <w:color w:val="0D0D0D" w:themeColor="text1" w:themeTint="F2"/>
          <w:sz w:val="22"/>
          <w:szCs w:val="22"/>
        </w:rPr>
      </w:pPr>
    </w:p>
    <w:p w14:paraId="1F36DB69" w14:textId="23FB2F28" w:rsidR="009D4DA2" w:rsidRDefault="00801872" w:rsidP="003066DC">
      <w:pPr>
        <w:spacing w:line="360" w:lineRule="auto"/>
        <w:jc w:val="both"/>
        <w:rPr>
          <w:rFonts w:ascii="Palatino Linotype" w:hAnsi="Palatino Linotype" w:cs="Tahoma"/>
          <w:bCs/>
          <w:color w:val="0D0D0D" w:themeColor="text1" w:themeTint="F2"/>
          <w:sz w:val="22"/>
          <w:szCs w:val="22"/>
        </w:rPr>
      </w:pPr>
      <w:r w:rsidRPr="00C938B6">
        <w:rPr>
          <w:rFonts w:ascii="Palatino Linotype" w:hAnsi="Palatino Linotype" w:cs="Tahoma"/>
          <w:bCs/>
          <w:color w:val="0D0D0D" w:themeColor="text1" w:themeTint="F2"/>
          <w:sz w:val="22"/>
          <w:szCs w:val="22"/>
        </w:rPr>
        <w:t xml:space="preserve">Por tales motivos, se considera procedente entrar al fondo del presente asunto. </w:t>
      </w:r>
    </w:p>
    <w:p w14:paraId="764CDDE1" w14:textId="77777777" w:rsidR="0066668A" w:rsidRPr="003066DC" w:rsidRDefault="0066668A" w:rsidP="003066DC">
      <w:pPr>
        <w:spacing w:line="360" w:lineRule="auto"/>
        <w:jc w:val="both"/>
        <w:rPr>
          <w:rFonts w:ascii="Palatino Linotype" w:hAnsi="Palatino Linotype" w:cs="Tahoma"/>
          <w:bCs/>
          <w:color w:val="0D0D0D" w:themeColor="text1" w:themeTint="F2"/>
          <w:sz w:val="22"/>
          <w:szCs w:val="22"/>
        </w:rPr>
      </w:pPr>
    </w:p>
    <w:p w14:paraId="1A4AF4FA" w14:textId="77777777" w:rsidR="00801872" w:rsidRPr="00C938B6" w:rsidRDefault="00801872" w:rsidP="005B031E">
      <w:pPr>
        <w:spacing w:line="360" w:lineRule="auto"/>
        <w:jc w:val="both"/>
        <w:rPr>
          <w:rFonts w:ascii="Palatino Linotype" w:hAnsi="Palatino Linotype" w:cs="Tahoma"/>
          <w:b/>
          <w:bCs/>
          <w:iCs/>
          <w:sz w:val="22"/>
          <w:szCs w:val="22"/>
          <w:lang w:val="es-ES"/>
        </w:rPr>
      </w:pPr>
      <w:r w:rsidRPr="00C938B6">
        <w:rPr>
          <w:rFonts w:ascii="Palatino Linotype" w:hAnsi="Palatino Linotype" w:cs="Tahoma"/>
          <w:b/>
          <w:bCs/>
          <w:iCs/>
          <w:sz w:val="22"/>
          <w:szCs w:val="22"/>
          <w:lang w:val="es-ES"/>
        </w:rPr>
        <w:t xml:space="preserve">TERCERO. Determinación de la Controversia. </w:t>
      </w:r>
    </w:p>
    <w:p w14:paraId="48A4CBC0" w14:textId="77777777" w:rsidR="00801872" w:rsidRPr="00C938B6" w:rsidRDefault="00801872" w:rsidP="005B031E">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p>
    <w:p w14:paraId="5C70264B" w14:textId="52DB92C2" w:rsidR="005567AB" w:rsidRDefault="00A26524" w:rsidP="00E346C4">
      <w:pPr>
        <w:pStyle w:val="Prrafodelista"/>
        <w:autoSpaceDE w:val="0"/>
        <w:autoSpaceDN w:val="0"/>
        <w:adjustRightInd w:val="0"/>
        <w:spacing w:line="360" w:lineRule="auto"/>
        <w:ind w:left="0" w:right="-28"/>
        <w:jc w:val="both"/>
        <w:rPr>
          <w:rFonts w:ascii="Palatino Linotype" w:eastAsia="Calibri" w:hAnsi="Palatino Linotype" w:cs="Tahoma"/>
          <w:color w:val="000000"/>
          <w:lang w:val="es-ES" w:eastAsia="es-MX"/>
        </w:rPr>
      </w:pPr>
      <w:r w:rsidRPr="00A26524">
        <w:rPr>
          <w:rFonts w:ascii="Palatino Linotype" w:eastAsia="Calibri" w:hAnsi="Palatino Linotype" w:cs="Tahoma"/>
          <w:color w:val="000000"/>
          <w:lang w:val="es-ES" w:eastAsia="es-MX"/>
        </w:rPr>
        <w:t>Una vez realizado el estudio de las constancias que obran en el expediente electrónico en el que se actúa, se advierte que el Solicitante requirió conocer del Sujeto Obligado</w:t>
      </w:r>
      <w:r>
        <w:rPr>
          <w:rFonts w:ascii="Palatino Linotype" w:eastAsia="Calibri" w:hAnsi="Palatino Linotype" w:cs="Tahoma"/>
          <w:color w:val="000000"/>
          <w:lang w:val="es-ES" w:eastAsia="es-MX"/>
        </w:rPr>
        <w:t xml:space="preserve"> </w:t>
      </w:r>
      <w:r w:rsidR="007949B9">
        <w:rPr>
          <w:rFonts w:ascii="Palatino Linotype" w:eastAsia="Calibri" w:hAnsi="Palatino Linotype" w:cs="Tahoma"/>
          <w:color w:val="000000"/>
          <w:lang w:val="es-ES" w:eastAsia="es-MX"/>
        </w:rPr>
        <w:t>a través del Sistema de Acceso a la Información Mexiquense (SAIMEX),</w:t>
      </w:r>
      <w:r w:rsidR="00F52FB0">
        <w:rPr>
          <w:rFonts w:ascii="Palatino Linotype" w:eastAsia="Calibri" w:hAnsi="Palatino Linotype" w:cs="Tahoma"/>
          <w:color w:val="000000"/>
          <w:lang w:val="es-ES" w:eastAsia="es-MX"/>
        </w:rPr>
        <w:t xml:space="preserve"> </w:t>
      </w:r>
      <w:r w:rsidR="005567AB">
        <w:rPr>
          <w:rFonts w:ascii="Palatino Linotype" w:eastAsia="Calibri" w:hAnsi="Palatino Linotype" w:cs="Tahoma"/>
          <w:color w:val="000000"/>
          <w:lang w:val="es-ES" w:eastAsia="es-MX"/>
        </w:rPr>
        <w:t xml:space="preserve">lo siguiente: </w:t>
      </w:r>
    </w:p>
    <w:p w14:paraId="4C99FFC2" w14:textId="77777777" w:rsidR="005567AB" w:rsidRDefault="005567AB" w:rsidP="00E346C4">
      <w:pPr>
        <w:pStyle w:val="Prrafodelista"/>
        <w:autoSpaceDE w:val="0"/>
        <w:autoSpaceDN w:val="0"/>
        <w:adjustRightInd w:val="0"/>
        <w:spacing w:line="360" w:lineRule="auto"/>
        <w:ind w:left="0" w:right="-28"/>
        <w:jc w:val="both"/>
        <w:rPr>
          <w:rFonts w:ascii="Palatino Linotype" w:eastAsia="Calibri" w:hAnsi="Palatino Linotype" w:cs="Tahoma"/>
          <w:color w:val="000000"/>
          <w:lang w:val="es-ES" w:eastAsia="es-MX"/>
        </w:rPr>
      </w:pPr>
    </w:p>
    <w:p w14:paraId="2EB25B74" w14:textId="77777777" w:rsidR="00E562F2" w:rsidRPr="00E562F2" w:rsidRDefault="00E562F2" w:rsidP="00725CAF">
      <w:pPr>
        <w:numPr>
          <w:ilvl w:val="0"/>
          <w:numId w:val="10"/>
        </w:numPr>
        <w:adjustRightInd w:val="0"/>
        <w:spacing w:line="360" w:lineRule="auto"/>
        <w:ind w:right="539"/>
        <w:jc w:val="both"/>
        <w:rPr>
          <w:rFonts w:ascii="Palatino Linotype" w:eastAsia="Calibri" w:hAnsi="Palatino Linotype" w:cs="Tahoma"/>
          <w:color w:val="000000"/>
          <w:sz w:val="22"/>
          <w:szCs w:val="24"/>
          <w:lang w:eastAsia="es-MX"/>
        </w:rPr>
      </w:pPr>
      <w:r w:rsidRPr="00E562F2">
        <w:rPr>
          <w:rFonts w:ascii="Palatino Linotype" w:eastAsia="Calibri" w:hAnsi="Palatino Linotype" w:cs="Tahoma"/>
          <w:color w:val="000000"/>
          <w:sz w:val="22"/>
          <w:szCs w:val="24"/>
          <w:lang w:eastAsia="es-MX"/>
        </w:rPr>
        <w:t>Censo de luminarios de alumbrado público realizado y firmado por la Comisión Federal de Electricidad (CFE), correspondiente a los años 2018, 2019, 2020 y 2021;</w:t>
      </w:r>
    </w:p>
    <w:p w14:paraId="0B6B47B0" w14:textId="77777777" w:rsidR="00E562F2" w:rsidRPr="00E562F2" w:rsidRDefault="00E562F2" w:rsidP="00725CAF">
      <w:pPr>
        <w:numPr>
          <w:ilvl w:val="0"/>
          <w:numId w:val="10"/>
        </w:numPr>
        <w:adjustRightInd w:val="0"/>
        <w:spacing w:line="360" w:lineRule="auto"/>
        <w:ind w:right="539"/>
        <w:jc w:val="both"/>
        <w:rPr>
          <w:rFonts w:ascii="Palatino Linotype" w:eastAsia="Calibri" w:hAnsi="Palatino Linotype" w:cs="Tahoma"/>
          <w:color w:val="000000"/>
          <w:sz w:val="22"/>
          <w:szCs w:val="24"/>
          <w:lang w:eastAsia="es-MX"/>
        </w:rPr>
      </w:pPr>
      <w:r w:rsidRPr="00E562F2">
        <w:rPr>
          <w:rFonts w:ascii="Palatino Linotype" w:eastAsia="Calibri" w:hAnsi="Palatino Linotype" w:cs="Tahoma"/>
          <w:color w:val="000000"/>
          <w:sz w:val="22"/>
          <w:szCs w:val="24"/>
          <w:lang w:eastAsia="es-MX"/>
        </w:rPr>
        <w:t>Convenio para la recaudación del Derecho de Alumbrado Público (DAP), entre la CFE y el Municipio, correspondiente a los años 2018, 2019, 2020 y 2021;</w:t>
      </w:r>
    </w:p>
    <w:p w14:paraId="51C38787" w14:textId="01268DD3" w:rsidR="00E562F2" w:rsidRPr="00E562F2" w:rsidRDefault="00E562F2" w:rsidP="00725CAF">
      <w:pPr>
        <w:numPr>
          <w:ilvl w:val="0"/>
          <w:numId w:val="10"/>
        </w:numPr>
        <w:adjustRightInd w:val="0"/>
        <w:spacing w:line="360" w:lineRule="auto"/>
        <w:ind w:right="539"/>
        <w:jc w:val="both"/>
        <w:rPr>
          <w:rFonts w:ascii="Palatino Linotype" w:eastAsia="Calibri" w:hAnsi="Palatino Linotype" w:cs="Tahoma"/>
          <w:color w:val="000000"/>
          <w:sz w:val="22"/>
          <w:szCs w:val="24"/>
          <w:lang w:eastAsia="es-MX"/>
        </w:rPr>
      </w:pPr>
      <w:r w:rsidRPr="00E562F2">
        <w:rPr>
          <w:rFonts w:ascii="Palatino Linotype" w:eastAsia="Calibri" w:hAnsi="Palatino Linotype" w:cs="Tahoma"/>
          <w:color w:val="000000"/>
          <w:sz w:val="22"/>
          <w:szCs w:val="24"/>
          <w:lang w:eastAsia="es-MX"/>
        </w:rPr>
        <w:t>Facturación por el consumo de energía eléctrica en el alumbrado público municipal, así como la recaudación del DAP, ambos desglosados de manera mensual, correspondiente a los años 2018, 2019, 2020 y 2021 (se adjunta tabla para el fácil llenado de la información)</w:t>
      </w:r>
      <w:r>
        <w:rPr>
          <w:rFonts w:ascii="Palatino Linotype" w:eastAsia="Calibri" w:hAnsi="Palatino Linotype" w:cs="Tahoma"/>
          <w:color w:val="000000"/>
          <w:sz w:val="22"/>
          <w:szCs w:val="24"/>
          <w:lang w:eastAsia="es-MX"/>
        </w:rPr>
        <w:t xml:space="preserve">. Anexó una tabla que contiene datos relativos </w:t>
      </w:r>
      <w:r>
        <w:rPr>
          <w:rFonts w:ascii="Palatino Linotype" w:eastAsia="Calibri" w:hAnsi="Palatino Linotype" w:cs="Tahoma"/>
          <w:color w:val="000000"/>
          <w:sz w:val="22"/>
          <w:szCs w:val="24"/>
          <w:lang w:eastAsia="es-MX"/>
        </w:rPr>
        <w:lastRenderedPageBreak/>
        <w:t xml:space="preserve">al mes, facturación de alumbrado público y DAP de los años 2018,2019, 2020 y 2021. </w:t>
      </w:r>
    </w:p>
    <w:p w14:paraId="1AA9E9B3" w14:textId="77777777" w:rsidR="00D70982" w:rsidRDefault="00D70982" w:rsidP="00D70982">
      <w:pPr>
        <w:adjustRightInd w:val="0"/>
        <w:spacing w:line="360" w:lineRule="auto"/>
        <w:ind w:right="539"/>
        <w:jc w:val="both"/>
        <w:rPr>
          <w:rFonts w:ascii="Palatino Linotype" w:eastAsia="Calibri" w:hAnsi="Palatino Linotype" w:cs="Tahoma"/>
          <w:color w:val="000000"/>
          <w:lang w:val="es-ES" w:eastAsia="es-MX"/>
        </w:rPr>
      </w:pPr>
    </w:p>
    <w:p w14:paraId="434D7F4F" w14:textId="5C3DCD40" w:rsidR="00E562F2" w:rsidRDefault="00DE7266" w:rsidP="00CA0E7F">
      <w:pPr>
        <w:tabs>
          <w:tab w:val="left" w:pos="8080"/>
        </w:tabs>
        <w:adjustRightInd w:val="0"/>
        <w:spacing w:line="360" w:lineRule="auto"/>
        <w:ind w:right="-28"/>
        <w:jc w:val="both"/>
        <w:rPr>
          <w:rFonts w:ascii="Palatino Linotype" w:eastAsia="Calibri" w:hAnsi="Palatino Linotype" w:cs="Tahoma"/>
          <w:color w:val="000000"/>
          <w:sz w:val="22"/>
          <w:szCs w:val="22"/>
          <w:lang w:val="es-ES" w:eastAsia="es-MX"/>
        </w:rPr>
      </w:pPr>
      <w:r>
        <w:rPr>
          <w:rFonts w:ascii="Palatino Linotype" w:eastAsia="Calibri" w:hAnsi="Palatino Linotype" w:cs="Tahoma"/>
          <w:color w:val="000000"/>
          <w:sz w:val="22"/>
          <w:szCs w:val="22"/>
          <w:lang w:val="es-ES" w:eastAsia="es-MX"/>
        </w:rPr>
        <w:t xml:space="preserve">En respuesta, el Sujeto Obligado señaló que </w:t>
      </w:r>
      <w:r w:rsidR="0056199F">
        <w:rPr>
          <w:rFonts w:ascii="Palatino Linotype" w:eastAsia="Calibri" w:hAnsi="Palatino Linotype" w:cs="Tahoma"/>
          <w:color w:val="000000"/>
          <w:sz w:val="22"/>
          <w:szCs w:val="22"/>
          <w:lang w:val="es-ES" w:eastAsia="es-MX"/>
        </w:rPr>
        <w:t xml:space="preserve">el Particular </w:t>
      </w:r>
      <w:r w:rsidR="005558F2">
        <w:rPr>
          <w:rFonts w:ascii="Palatino Linotype" w:eastAsia="Calibri" w:hAnsi="Palatino Linotype" w:cs="Tahoma"/>
          <w:color w:val="000000"/>
          <w:sz w:val="22"/>
          <w:szCs w:val="22"/>
          <w:lang w:val="es-ES" w:eastAsia="es-MX"/>
        </w:rPr>
        <w:t xml:space="preserve">equivoca el Derecho de Acceso a la Información Pública con el Derecho de Petición, </w:t>
      </w:r>
      <w:r w:rsidR="0056199F">
        <w:rPr>
          <w:rFonts w:ascii="Palatino Linotype" w:eastAsia="Calibri" w:hAnsi="Palatino Linotype" w:cs="Tahoma"/>
          <w:color w:val="000000"/>
          <w:sz w:val="22"/>
          <w:szCs w:val="22"/>
          <w:lang w:val="es-ES" w:eastAsia="es-MX"/>
        </w:rPr>
        <w:t xml:space="preserve">toda vez que, la solicitud de información es más bien una petición, </w:t>
      </w:r>
      <w:r w:rsidR="00E35162">
        <w:rPr>
          <w:rFonts w:ascii="Palatino Linotype" w:eastAsia="Calibri" w:hAnsi="Palatino Linotype" w:cs="Tahoma"/>
          <w:color w:val="000000"/>
          <w:sz w:val="22"/>
          <w:szCs w:val="22"/>
          <w:lang w:val="es-ES" w:eastAsia="es-MX"/>
        </w:rPr>
        <w:t xml:space="preserve">por lo que, </w:t>
      </w:r>
      <w:r w:rsidR="006D5FEA">
        <w:rPr>
          <w:rFonts w:ascii="Palatino Linotype" w:eastAsia="Calibri" w:hAnsi="Palatino Linotype" w:cs="Tahoma"/>
          <w:color w:val="000000"/>
          <w:sz w:val="22"/>
          <w:szCs w:val="22"/>
          <w:lang w:val="es-ES" w:eastAsia="es-MX"/>
        </w:rPr>
        <w:t>deja a salvo sus derechos para presentar una solicitud de información posteriormente</w:t>
      </w:r>
      <w:r w:rsidR="00E35162">
        <w:rPr>
          <w:rFonts w:ascii="Palatino Linotype" w:eastAsia="Calibri" w:hAnsi="Palatino Linotype" w:cs="Tahoma"/>
          <w:color w:val="000000"/>
          <w:sz w:val="22"/>
          <w:szCs w:val="22"/>
          <w:lang w:val="es-ES" w:eastAsia="es-MX"/>
        </w:rPr>
        <w:t xml:space="preserve">. Situación por la que, el Particular se inconformó </w:t>
      </w:r>
      <w:r w:rsidR="00752F66">
        <w:rPr>
          <w:rFonts w:ascii="Palatino Linotype" w:eastAsia="Calibri" w:hAnsi="Palatino Linotype" w:cs="Tahoma"/>
          <w:color w:val="000000"/>
          <w:sz w:val="22"/>
          <w:szCs w:val="22"/>
          <w:lang w:val="es-ES" w:eastAsia="es-MX"/>
        </w:rPr>
        <w:t xml:space="preserve">y señaló en su Recurso de Revisión la negativa de entregar la información solicitada; lo que actualiza el supuesto previsto en el artículo 179, fracción I de la Ley de Transparencia y Acceso a la Información Pública del Estado de México y Municipios. </w:t>
      </w:r>
    </w:p>
    <w:p w14:paraId="49F7EF69" w14:textId="77777777" w:rsidR="00876622" w:rsidRDefault="00876622" w:rsidP="00CA0E7F">
      <w:pPr>
        <w:tabs>
          <w:tab w:val="left" w:pos="8080"/>
        </w:tabs>
        <w:adjustRightInd w:val="0"/>
        <w:spacing w:line="360" w:lineRule="auto"/>
        <w:ind w:right="-28"/>
        <w:jc w:val="both"/>
        <w:rPr>
          <w:rFonts w:ascii="Palatino Linotype" w:eastAsia="Calibri" w:hAnsi="Palatino Linotype" w:cs="Tahoma"/>
          <w:color w:val="000000"/>
          <w:sz w:val="22"/>
          <w:szCs w:val="22"/>
          <w:lang w:val="es-ES" w:eastAsia="es-MX"/>
        </w:rPr>
      </w:pPr>
    </w:p>
    <w:p w14:paraId="61E47E95" w14:textId="2440063A" w:rsidR="00876622" w:rsidRPr="00876622" w:rsidRDefault="00876622" w:rsidP="00876622">
      <w:pPr>
        <w:spacing w:line="360" w:lineRule="auto"/>
        <w:jc w:val="both"/>
        <w:rPr>
          <w:rFonts w:ascii="Palatino Linotype" w:eastAsia="Calibri" w:hAnsi="Palatino Linotype" w:cs="Tahoma"/>
          <w:bCs/>
          <w:iCs/>
          <w:color w:val="000000"/>
          <w:sz w:val="22"/>
          <w:szCs w:val="24"/>
          <w:lang w:val="es-ES" w:eastAsia="es-MX"/>
        </w:rPr>
      </w:pPr>
      <w:r w:rsidRPr="00876622">
        <w:rPr>
          <w:rFonts w:ascii="Palatino Linotype" w:eastAsia="Calibri" w:hAnsi="Palatino Linotype" w:cs="Tahoma"/>
          <w:bCs/>
          <w:iCs/>
          <w:color w:val="000000"/>
          <w:sz w:val="22"/>
          <w:szCs w:val="24"/>
          <w:lang w:val="es-ES" w:eastAsia="es-MX"/>
        </w:rPr>
        <w:t xml:space="preserve">Así las cosas, una vez admitido y notificado </w:t>
      </w:r>
      <w:r>
        <w:rPr>
          <w:rFonts w:ascii="Palatino Linotype" w:eastAsia="Calibri" w:hAnsi="Palatino Linotype" w:cs="Tahoma"/>
          <w:bCs/>
          <w:iCs/>
          <w:color w:val="000000"/>
          <w:sz w:val="22"/>
          <w:szCs w:val="24"/>
          <w:lang w:val="es-ES" w:eastAsia="es-MX"/>
        </w:rPr>
        <w:t>el Recurso de Revisión</w:t>
      </w:r>
      <w:r w:rsidRPr="00876622">
        <w:rPr>
          <w:rFonts w:ascii="Palatino Linotype" w:eastAsia="Calibri" w:hAnsi="Palatino Linotype" w:cs="Tahoma"/>
          <w:bCs/>
          <w:iCs/>
          <w:color w:val="000000"/>
          <w:sz w:val="22"/>
          <w:szCs w:val="24"/>
          <w:lang w:val="es-ES" w:eastAsia="es-MX"/>
        </w:rPr>
        <w:t xml:space="preserve"> a las partes, el Sujeto Obligado </w:t>
      </w:r>
      <w:r>
        <w:rPr>
          <w:rFonts w:ascii="Palatino Linotype" w:eastAsia="Calibri" w:hAnsi="Palatino Linotype" w:cs="Tahoma"/>
          <w:bCs/>
          <w:iCs/>
          <w:color w:val="000000"/>
          <w:sz w:val="22"/>
          <w:szCs w:val="24"/>
          <w:lang w:val="es-ES" w:eastAsia="es-MX"/>
        </w:rPr>
        <w:t>no rindió su informe justificado</w:t>
      </w:r>
      <w:r w:rsidRPr="00876622">
        <w:rPr>
          <w:rFonts w:ascii="Palatino Linotype" w:eastAsia="Calibri" w:hAnsi="Palatino Linotype" w:cs="Tahoma"/>
          <w:bCs/>
          <w:iCs/>
          <w:color w:val="000000"/>
          <w:sz w:val="22"/>
          <w:szCs w:val="24"/>
          <w:lang w:val="es-ES" w:eastAsia="es-MX"/>
        </w:rPr>
        <w:t xml:space="preserve">, por su parte, el Particular no realizó manifestación alguna. </w:t>
      </w:r>
    </w:p>
    <w:p w14:paraId="6E0949F6" w14:textId="77777777" w:rsidR="00A27BAD" w:rsidRDefault="00A27BAD" w:rsidP="005B031E">
      <w:pPr>
        <w:spacing w:line="360" w:lineRule="auto"/>
        <w:jc w:val="both"/>
        <w:rPr>
          <w:rFonts w:ascii="Palatino Linotype" w:eastAsia="Calibri" w:hAnsi="Palatino Linotype" w:cs="Tahoma"/>
          <w:bCs/>
          <w:iCs/>
          <w:color w:val="000000"/>
          <w:sz w:val="22"/>
          <w:szCs w:val="24"/>
          <w:lang w:val="es-ES" w:eastAsia="es-MX"/>
        </w:rPr>
      </w:pPr>
    </w:p>
    <w:p w14:paraId="7FD9EE96" w14:textId="470CAA95" w:rsidR="00F9696F" w:rsidRDefault="00575188" w:rsidP="005B031E">
      <w:pPr>
        <w:spacing w:line="360" w:lineRule="auto"/>
        <w:jc w:val="both"/>
        <w:rPr>
          <w:rFonts w:ascii="Palatino Linotype" w:eastAsia="Calibri" w:hAnsi="Palatino Linotype" w:cs="Tahoma"/>
          <w:bCs/>
          <w:iCs/>
          <w:color w:val="000000"/>
          <w:sz w:val="22"/>
          <w:szCs w:val="24"/>
          <w:lang w:val="es-ES" w:eastAsia="es-MX"/>
        </w:rPr>
      </w:pPr>
      <w:r>
        <w:rPr>
          <w:rFonts w:ascii="Palatino Linotype" w:eastAsia="Calibri" w:hAnsi="Palatino Linotype" w:cs="Tahoma"/>
          <w:bCs/>
          <w:iCs/>
          <w:color w:val="000000"/>
          <w:sz w:val="22"/>
          <w:szCs w:val="24"/>
          <w:lang w:val="es-ES" w:eastAsia="es-MX"/>
        </w:rPr>
        <w:t xml:space="preserve">Lo anterior, se desprende de las documentales </w:t>
      </w:r>
      <w:r w:rsidR="00620612">
        <w:rPr>
          <w:rFonts w:ascii="Palatino Linotype" w:eastAsia="Calibri" w:hAnsi="Palatino Linotype" w:cs="Tahoma"/>
          <w:bCs/>
          <w:iCs/>
          <w:color w:val="000000"/>
          <w:sz w:val="22"/>
          <w:szCs w:val="24"/>
          <w:lang w:val="es-ES" w:eastAsia="es-MX"/>
        </w:rPr>
        <w:t xml:space="preserve">que obran en el expediente de referencia, materia de la presente resolución, consistente en: la solicitud de acceso a la información y el escrito recursal; instrumentales que se toman en cuenta a efecto de resolver el presente medio de impugnación, conforme a los dispuesto por el artículo 185, fracción IV, de la Ley de Transparencia y Acceso a la Información Pública del Estado de México y Municipios. </w:t>
      </w:r>
    </w:p>
    <w:p w14:paraId="12D65B8D" w14:textId="77777777" w:rsidR="00F9696F" w:rsidRPr="00853CD1" w:rsidRDefault="00F9696F" w:rsidP="005B031E">
      <w:pPr>
        <w:spacing w:line="360" w:lineRule="auto"/>
        <w:jc w:val="both"/>
        <w:rPr>
          <w:rFonts w:ascii="Palatino Linotype" w:eastAsia="Calibri" w:hAnsi="Palatino Linotype" w:cs="Tahoma"/>
          <w:bCs/>
          <w:iCs/>
          <w:color w:val="000000"/>
          <w:sz w:val="22"/>
          <w:szCs w:val="24"/>
          <w:lang w:val="es-ES" w:eastAsia="es-MX"/>
        </w:rPr>
      </w:pPr>
    </w:p>
    <w:p w14:paraId="043C9801" w14:textId="77777777" w:rsidR="00801872" w:rsidRPr="00C938B6" w:rsidRDefault="00801872" w:rsidP="005B031E">
      <w:pPr>
        <w:spacing w:line="360" w:lineRule="auto"/>
        <w:jc w:val="both"/>
        <w:rPr>
          <w:rFonts w:ascii="Palatino Linotype" w:hAnsi="Palatino Linotype" w:cs="Tahoma"/>
          <w:b/>
          <w:bCs/>
          <w:iCs/>
          <w:sz w:val="22"/>
          <w:szCs w:val="22"/>
        </w:rPr>
      </w:pPr>
      <w:r w:rsidRPr="00C938B6">
        <w:rPr>
          <w:rFonts w:ascii="Palatino Linotype" w:hAnsi="Palatino Linotype" w:cs="Tahoma"/>
          <w:b/>
          <w:bCs/>
          <w:iCs/>
          <w:sz w:val="22"/>
          <w:szCs w:val="22"/>
          <w:lang w:val="es-ES"/>
        </w:rPr>
        <w:t xml:space="preserve">CUARTO. </w:t>
      </w:r>
      <w:r w:rsidRPr="00C938B6">
        <w:rPr>
          <w:rFonts w:ascii="Palatino Linotype" w:hAnsi="Palatino Linotype" w:cs="Tahoma"/>
          <w:b/>
          <w:bCs/>
          <w:iCs/>
          <w:sz w:val="22"/>
          <w:szCs w:val="22"/>
        </w:rPr>
        <w:t>Marco normativo aplicable en materia de transparencia y acceso a la información pública.</w:t>
      </w:r>
    </w:p>
    <w:p w14:paraId="23A022ED" w14:textId="77777777" w:rsidR="00801872" w:rsidRPr="00C938B6" w:rsidRDefault="00801872" w:rsidP="005B031E">
      <w:pPr>
        <w:autoSpaceDE w:val="0"/>
        <w:autoSpaceDN w:val="0"/>
        <w:adjustRightInd w:val="0"/>
        <w:spacing w:line="360" w:lineRule="auto"/>
        <w:jc w:val="both"/>
        <w:rPr>
          <w:rFonts w:ascii="Palatino Linotype" w:hAnsi="Palatino Linotype" w:cs="Tahoma"/>
          <w:bCs/>
          <w:iCs/>
          <w:sz w:val="22"/>
          <w:szCs w:val="22"/>
          <w:lang w:val="es-ES"/>
        </w:rPr>
      </w:pPr>
    </w:p>
    <w:p w14:paraId="3F4AD1FE" w14:textId="77777777" w:rsidR="00AE588C" w:rsidRPr="007A73E5" w:rsidRDefault="00AE588C" w:rsidP="00AE588C">
      <w:pPr>
        <w:spacing w:line="360" w:lineRule="auto"/>
        <w:jc w:val="both"/>
        <w:rPr>
          <w:rFonts w:ascii="Palatino Linotype" w:hAnsi="Palatino Linotype" w:cs="Tahoma"/>
          <w:bCs/>
          <w:iCs/>
          <w:sz w:val="22"/>
          <w:szCs w:val="22"/>
        </w:rPr>
      </w:pPr>
      <w:r w:rsidRPr="007A73E5">
        <w:rPr>
          <w:rFonts w:ascii="Palatino Linotype" w:hAnsi="Palatino Linotype" w:cs="Tahoma"/>
          <w:bCs/>
          <w:iCs/>
          <w:sz w:val="22"/>
          <w:szCs w:val="22"/>
        </w:rPr>
        <w:t xml:space="preserve">El Derecho de Acceso a la Información Pública es un Derecho Humano reconocido en el Pacto de Derechos Civiles y Políticos en su artículo 19.2; en la Convención Americana sobre Derechos Humanos en su artículo 13.1, así como en el artículo 6°, apartado A), fracción I de la </w:t>
      </w:r>
      <w:r w:rsidRPr="007A73E5">
        <w:rPr>
          <w:rFonts w:ascii="Palatino Linotype" w:hAnsi="Palatino Linotype" w:cs="Tahoma"/>
          <w:bCs/>
          <w:iCs/>
          <w:sz w:val="22"/>
          <w:szCs w:val="22"/>
        </w:rPr>
        <w:lastRenderedPageBreak/>
        <w:t>Constitución Política de los Estados Unidos Mexicanos, el cual establece que toda la información en posesión de cualquier autoridad es pública y sólo podrá ser reservada temporalmente por razones de interés público.</w:t>
      </w:r>
    </w:p>
    <w:p w14:paraId="3466D757" w14:textId="77777777" w:rsidR="00AE588C" w:rsidRPr="007A73E5" w:rsidRDefault="00AE588C" w:rsidP="00AE588C">
      <w:pPr>
        <w:spacing w:line="360" w:lineRule="auto"/>
        <w:jc w:val="both"/>
        <w:rPr>
          <w:rFonts w:ascii="Palatino Linotype" w:hAnsi="Palatino Linotype" w:cs="Tahoma"/>
          <w:bCs/>
          <w:iCs/>
          <w:sz w:val="22"/>
          <w:szCs w:val="22"/>
        </w:rPr>
      </w:pPr>
    </w:p>
    <w:p w14:paraId="685FE4D1" w14:textId="1C293B46" w:rsidR="00AE588C" w:rsidRDefault="00AE588C" w:rsidP="00AE588C">
      <w:pPr>
        <w:spacing w:line="360" w:lineRule="auto"/>
        <w:jc w:val="both"/>
        <w:rPr>
          <w:rFonts w:ascii="Palatino Linotype" w:hAnsi="Palatino Linotype" w:cs="Tahoma"/>
          <w:bCs/>
          <w:iCs/>
          <w:sz w:val="22"/>
          <w:szCs w:val="22"/>
        </w:rPr>
      </w:pPr>
      <w:r w:rsidRPr="007A73E5">
        <w:rPr>
          <w:rFonts w:ascii="Palatino Linotype" w:hAnsi="Palatino Linotype" w:cs="Tahoma"/>
          <w:bCs/>
          <w:iCs/>
          <w:sz w:val="22"/>
          <w:szCs w:val="22"/>
        </w:rPr>
        <w:t>Por su parte, la Ley General de Transparencia y Acceso a la Información Pública, dispone en su artículo 70 que la información que corresponde a las Obligaciones de Transparencia debe estar disponible para cualquier persona de manera permanente y actualizada.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4D3C059" w14:textId="77777777" w:rsidR="009A0CB6" w:rsidRPr="007A73E5" w:rsidRDefault="009A0CB6" w:rsidP="00AE588C">
      <w:pPr>
        <w:spacing w:line="360" w:lineRule="auto"/>
        <w:jc w:val="both"/>
        <w:rPr>
          <w:rFonts w:ascii="Palatino Linotype" w:hAnsi="Palatino Linotype" w:cs="Tahoma"/>
          <w:bCs/>
          <w:iCs/>
          <w:sz w:val="22"/>
          <w:szCs w:val="22"/>
        </w:rPr>
      </w:pPr>
    </w:p>
    <w:p w14:paraId="41DA1951" w14:textId="77777777" w:rsidR="00AE588C" w:rsidRPr="007A73E5" w:rsidRDefault="00AE588C" w:rsidP="00AE588C">
      <w:pPr>
        <w:spacing w:line="360" w:lineRule="auto"/>
        <w:jc w:val="both"/>
        <w:rPr>
          <w:rFonts w:ascii="Palatino Linotype" w:hAnsi="Palatino Linotype" w:cs="Tahoma"/>
          <w:bCs/>
          <w:iCs/>
          <w:sz w:val="22"/>
          <w:szCs w:val="22"/>
        </w:rPr>
      </w:pPr>
      <w:r w:rsidRPr="007A73E5">
        <w:rPr>
          <w:rFonts w:ascii="Palatino Linotype" w:hAnsi="Palatino Linotype" w:cs="Tahoma"/>
          <w:bCs/>
          <w:iCs/>
          <w:sz w:val="22"/>
          <w:szCs w:val="22"/>
        </w:rPr>
        <w:t>En el mismo sentido, la Ley de Transparencia y Acceso a la Información Pública del Estado de México y Municipios (Reglamentaria del artículo 5° de la Constitución Local), establece en su artículo 12 que quienes generen, recopilen, administren, manejen, procesen, archiven o conserven información pública serán responsables de la misma, del mismo modo, el artículo 18 establece que los Sujetos Obligados deberán documentar todo acto que derive del ejercicio de sus faculta</w:t>
      </w:r>
      <w:r>
        <w:rPr>
          <w:rFonts w:ascii="Palatino Linotype" w:hAnsi="Palatino Linotype" w:cs="Tahoma"/>
          <w:bCs/>
          <w:iCs/>
          <w:sz w:val="22"/>
          <w:szCs w:val="22"/>
        </w:rPr>
        <w:t xml:space="preserve">des, competencias o funciones </w:t>
      </w:r>
      <w:r w:rsidRPr="007A73E5">
        <w:rPr>
          <w:rFonts w:ascii="Palatino Linotype" w:hAnsi="Palatino Linotype" w:cs="Tahoma"/>
          <w:bCs/>
          <w:iCs/>
          <w:sz w:val="22"/>
          <w:szCs w:val="22"/>
        </w:rPr>
        <w:t>desde su origen la eventual publicidad y reutilización de la información que generen.</w:t>
      </w:r>
    </w:p>
    <w:p w14:paraId="670A07C6" w14:textId="77777777" w:rsidR="00AE588C" w:rsidRPr="007A73E5" w:rsidRDefault="00AE588C" w:rsidP="00AE588C">
      <w:pPr>
        <w:spacing w:line="360" w:lineRule="auto"/>
        <w:jc w:val="both"/>
        <w:rPr>
          <w:rFonts w:ascii="Palatino Linotype" w:hAnsi="Palatino Linotype" w:cs="Tahoma"/>
          <w:bCs/>
          <w:iCs/>
          <w:sz w:val="22"/>
          <w:szCs w:val="22"/>
        </w:rPr>
      </w:pPr>
    </w:p>
    <w:p w14:paraId="06D91E7C" w14:textId="77777777" w:rsidR="00AE588C" w:rsidRDefault="00AE588C" w:rsidP="00AE588C">
      <w:pPr>
        <w:spacing w:line="360" w:lineRule="auto"/>
        <w:jc w:val="both"/>
        <w:rPr>
          <w:rFonts w:ascii="Palatino Linotype" w:hAnsi="Palatino Linotype" w:cs="Tahoma"/>
          <w:bCs/>
          <w:iCs/>
          <w:sz w:val="22"/>
          <w:szCs w:val="22"/>
        </w:rPr>
      </w:pPr>
      <w:r w:rsidRPr="007A73E5">
        <w:rPr>
          <w:rFonts w:ascii="Palatino Linotype" w:hAnsi="Palatino Linotype" w:cs="Tahoma"/>
          <w:bCs/>
          <w:iCs/>
          <w:sz w:val="22"/>
          <w:szCs w:val="22"/>
        </w:rPr>
        <w:t>Finalmente,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A08D7DD" w14:textId="77777777" w:rsidR="007A73E5" w:rsidRPr="00C938B6" w:rsidRDefault="007A73E5" w:rsidP="005B031E">
      <w:pPr>
        <w:spacing w:line="360" w:lineRule="auto"/>
        <w:jc w:val="both"/>
        <w:rPr>
          <w:rFonts w:ascii="Palatino Linotype" w:hAnsi="Palatino Linotype" w:cs="Tahoma"/>
          <w:bCs/>
          <w:iCs/>
          <w:sz w:val="22"/>
          <w:szCs w:val="22"/>
        </w:rPr>
      </w:pPr>
    </w:p>
    <w:p w14:paraId="38362B9A" w14:textId="77777777" w:rsidR="00070F27" w:rsidRPr="00C938B6" w:rsidRDefault="00801872" w:rsidP="005B031E">
      <w:pPr>
        <w:spacing w:line="360" w:lineRule="auto"/>
        <w:jc w:val="both"/>
        <w:rPr>
          <w:rFonts w:ascii="Palatino Linotype" w:hAnsi="Palatino Linotype" w:cs="Tahoma"/>
          <w:b/>
          <w:bCs/>
          <w:iCs/>
          <w:sz w:val="22"/>
          <w:szCs w:val="22"/>
          <w:lang w:val="es-ES"/>
        </w:rPr>
      </w:pPr>
      <w:r w:rsidRPr="00C938B6">
        <w:rPr>
          <w:rFonts w:ascii="Palatino Linotype" w:hAnsi="Palatino Linotype" w:cs="Tahoma"/>
          <w:b/>
          <w:bCs/>
          <w:iCs/>
          <w:sz w:val="22"/>
          <w:szCs w:val="22"/>
          <w:lang w:val="es-ES"/>
        </w:rPr>
        <w:lastRenderedPageBreak/>
        <w:t>Quinto. Estudio de Fondo.</w:t>
      </w:r>
    </w:p>
    <w:p w14:paraId="70DF3E28" w14:textId="7FF07C4F" w:rsidR="00354324" w:rsidRDefault="00354324" w:rsidP="00071E37">
      <w:pPr>
        <w:spacing w:line="360" w:lineRule="auto"/>
        <w:ind w:right="539"/>
        <w:jc w:val="both"/>
        <w:rPr>
          <w:rFonts w:ascii="Palatino Linotype" w:hAnsi="Palatino Linotype" w:cs="Tahoma"/>
          <w:bCs/>
          <w:iCs/>
          <w:szCs w:val="22"/>
        </w:rPr>
      </w:pPr>
    </w:p>
    <w:p w14:paraId="4B751328" w14:textId="5CDA0EED" w:rsidR="004A2A45" w:rsidRPr="0086353F" w:rsidRDefault="004A2A45" w:rsidP="004A2A45">
      <w:pPr>
        <w:spacing w:line="360" w:lineRule="auto"/>
        <w:jc w:val="both"/>
        <w:rPr>
          <w:rFonts w:ascii="Palatino Linotype" w:hAnsi="Palatino Linotype" w:cs="Tahoma"/>
          <w:iCs/>
          <w:sz w:val="22"/>
          <w:szCs w:val="22"/>
        </w:rPr>
      </w:pPr>
      <w:r w:rsidRPr="004A2A45">
        <w:rPr>
          <w:rFonts w:ascii="Palatino Linotype" w:hAnsi="Palatino Linotype" w:cs="Tahoma"/>
          <w:bCs/>
          <w:iCs/>
          <w:sz w:val="22"/>
          <w:szCs w:val="22"/>
        </w:rPr>
        <w:t xml:space="preserve">Expuestas las posturas de las partes, se procede al análisis del agravio hecho valer por el ahora Recurrente, concerniente a </w:t>
      </w:r>
      <w:r w:rsidR="000C5386">
        <w:rPr>
          <w:rFonts w:ascii="Palatino Linotype" w:hAnsi="Palatino Linotype" w:cs="Tahoma"/>
          <w:bCs/>
          <w:iCs/>
          <w:sz w:val="22"/>
          <w:szCs w:val="22"/>
        </w:rPr>
        <w:t>la negativa de la entrega de la información por parte del Ayuntamiento de Metepec</w:t>
      </w:r>
      <w:r w:rsidRPr="004A2A45">
        <w:rPr>
          <w:rFonts w:ascii="Palatino Linotype" w:hAnsi="Palatino Linotype" w:cs="Tahoma"/>
          <w:bCs/>
          <w:iCs/>
          <w:sz w:val="22"/>
          <w:szCs w:val="22"/>
        </w:rPr>
        <w:t>,</w:t>
      </w:r>
      <w:r w:rsidR="000C5386">
        <w:rPr>
          <w:rFonts w:ascii="Palatino Linotype" w:hAnsi="Palatino Linotype" w:cs="Tahoma"/>
          <w:bCs/>
          <w:iCs/>
          <w:sz w:val="22"/>
          <w:szCs w:val="22"/>
        </w:rPr>
        <w:t xml:space="preserve"> no sin antes mencionar que</w:t>
      </w:r>
      <w:r w:rsidRPr="004A2A45">
        <w:rPr>
          <w:rFonts w:ascii="Palatino Linotype" w:hAnsi="Palatino Linotype" w:cs="Tahoma"/>
          <w:bCs/>
          <w:iCs/>
          <w:sz w:val="22"/>
          <w:szCs w:val="22"/>
        </w:rPr>
        <w:t xml:space="preserve"> </w:t>
      </w:r>
      <w:r w:rsidR="00776EAA">
        <w:rPr>
          <w:rFonts w:ascii="Palatino Linotype" w:hAnsi="Palatino Linotype" w:cs="Tahoma"/>
          <w:iCs/>
          <w:sz w:val="22"/>
          <w:szCs w:val="22"/>
        </w:rPr>
        <w:t xml:space="preserve">de acuerdo con lo que se establece en el artículo 162 de la Ley de Transparencia y Acceso a la Información Pública del Estado de México y Municipios, las </w:t>
      </w:r>
      <w:r w:rsidR="00776EAA">
        <w:rPr>
          <w:rFonts w:ascii="Palatino Linotype" w:hAnsi="Palatino Linotype" w:cs="Tahoma"/>
          <w:b/>
          <w:bCs/>
          <w:iCs/>
          <w:sz w:val="22"/>
          <w:szCs w:val="22"/>
        </w:rPr>
        <w:t xml:space="preserve">unidades de transparencia deberán garantizar que las solicitudes se turnen a todas las áreas competentes que cuenten con la información o deban tenerla de acuerdo a sus facultades, competencias y funciones, </w:t>
      </w:r>
      <w:r w:rsidR="00776EAA">
        <w:rPr>
          <w:rFonts w:ascii="Palatino Linotype" w:hAnsi="Palatino Linotype" w:cs="Tahoma"/>
          <w:iCs/>
          <w:sz w:val="22"/>
          <w:szCs w:val="22"/>
        </w:rPr>
        <w:t xml:space="preserve">esto con la finalidad de que </w:t>
      </w:r>
      <w:r w:rsidR="00776EAA">
        <w:rPr>
          <w:rFonts w:ascii="Palatino Linotype" w:hAnsi="Palatino Linotype" w:cs="Tahoma"/>
          <w:b/>
          <w:bCs/>
          <w:iCs/>
          <w:sz w:val="22"/>
          <w:szCs w:val="22"/>
        </w:rPr>
        <w:t>realicen una búsqueda exhaustiva y razonable de la información solicitada</w:t>
      </w:r>
      <w:r w:rsidR="0086353F">
        <w:rPr>
          <w:rFonts w:ascii="Palatino Linotype" w:hAnsi="Palatino Linotype" w:cs="Tahoma"/>
          <w:iCs/>
          <w:sz w:val="22"/>
          <w:szCs w:val="22"/>
        </w:rPr>
        <w:t xml:space="preserve">, procedimiento que no se prevé en las actuaciones del Sujeto Obligado. </w:t>
      </w:r>
    </w:p>
    <w:p w14:paraId="64A307E7" w14:textId="77777777" w:rsidR="00776EAA" w:rsidRPr="00776EAA" w:rsidRDefault="00776EAA" w:rsidP="004A2A45">
      <w:pPr>
        <w:spacing w:line="360" w:lineRule="auto"/>
        <w:jc w:val="both"/>
        <w:rPr>
          <w:rFonts w:ascii="Palatino Linotype" w:hAnsi="Palatino Linotype" w:cs="Tahoma"/>
          <w:bCs/>
          <w:iCs/>
          <w:sz w:val="22"/>
          <w:szCs w:val="22"/>
        </w:rPr>
      </w:pPr>
    </w:p>
    <w:p w14:paraId="15ACB499" w14:textId="4C452A9A" w:rsidR="00FA49D0" w:rsidRPr="0041566E" w:rsidRDefault="004A2A45" w:rsidP="004A2A45">
      <w:pPr>
        <w:spacing w:line="360" w:lineRule="auto"/>
        <w:jc w:val="both"/>
        <w:rPr>
          <w:rFonts w:ascii="Palatino Linotype" w:hAnsi="Palatino Linotype" w:cs="Tahoma"/>
          <w:bCs/>
          <w:iCs/>
          <w:sz w:val="22"/>
          <w:szCs w:val="22"/>
        </w:rPr>
      </w:pPr>
      <w:r w:rsidRPr="004A2A45">
        <w:rPr>
          <w:rFonts w:ascii="Palatino Linotype" w:hAnsi="Palatino Linotype" w:cs="Tahoma"/>
          <w:bCs/>
          <w:iCs/>
          <w:sz w:val="22"/>
          <w:szCs w:val="22"/>
        </w:rPr>
        <w:t xml:space="preserve">Una vez </w:t>
      </w:r>
      <w:r w:rsidR="00D60298">
        <w:rPr>
          <w:rFonts w:ascii="Palatino Linotype" w:hAnsi="Palatino Linotype" w:cs="Tahoma"/>
          <w:bCs/>
          <w:iCs/>
          <w:sz w:val="22"/>
          <w:szCs w:val="22"/>
        </w:rPr>
        <w:t>referido</w:t>
      </w:r>
      <w:r w:rsidRPr="004A2A45">
        <w:rPr>
          <w:rFonts w:ascii="Palatino Linotype" w:hAnsi="Palatino Linotype" w:cs="Tahoma"/>
          <w:bCs/>
          <w:iCs/>
          <w:sz w:val="22"/>
          <w:szCs w:val="22"/>
        </w:rPr>
        <w:t xml:space="preserve"> lo anterior, </w:t>
      </w:r>
      <w:r w:rsidR="00CE4306">
        <w:rPr>
          <w:rFonts w:ascii="Palatino Linotype" w:hAnsi="Palatino Linotype" w:cs="Tahoma"/>
          <w:bCs/>
          <w:iCs/>
          <w:sz w:val="22"/>
          <w:szCs w:val="22"/>
        </w:rPr>
        <w:t xml:space="preserve">resulta necesario </w:t>
      </w:r>
      <w:r w:rsidR="0041566E">
        <w:rPr>
          <w:rFonts w:ascii="Palatino Linotype" w:hAnsi="Palatino Linotype" w:cs="Tahoma"/>
          <w:bCs/>
          <w:iCs/>
          <w:sz w:val="22"/>
          <w:szCs w:val="22"/>
        </w:rPr>
        <w:t xml:space="preserve">contextualizar lo solicitado por el Recurrente, </w:t>
      </w:r>
      <w:r w:rsidR="00AD3B9A">
        <w:rPr>
          <w:rFonts w:ascii="Palatino Linotype" w:hAnsi="Palatino Linotype" w:cs="Tahoma"/>
          <w:iCs/>
          <w:sz w:val="22"/>
          <w:szCs w:val="22"/>
        </w:rPr>
        <w:t>l</w:t>
      </w:r>
      <w:r w:rsidR="0041566E">
        <w:rPr>
          <w:rFonts w:ascii="Palatino Linotype" w:hAnsi="Palatino Linotype" w:cs="Tahoma"/>
          <w:iCs/>
          <w:sz w:val="22"/>
          <w:szCs w:val="22"/>
        </w:rPr>
        <w:t>o</w:t>
      </w:r>
      <w:r w:rsidR="00AD3B9A">
        <w:rPr>
          <w:rFonts w:ascii="Palatino Linotype" w:hAnsi="Palatino Linotype" w:cs="Tahoma"/>
          <w:iCs/>
          <w:sz w:val="22"/>
          <w:szCs w:val="22"/>
        </w:rPr>
        <w:t xml:space="preserve"> cual está relacionada al servicio de alumbrado público</w:t>
      </w:r>
      <w:r w:rsidR="0086353F">
        <w:rPr>
          <w:rFonts w:ascii="Palatino Linotype" w:hAnsi="Palatino Linotype" w:cs="Tahoma"/>
          <w:iCs/>
          <w:sz w:val="22"/>
          <w:szCs w:val="22"/>
        </w:rPr>
        <w:t>. A</w:t>
      </w:r>
      <w:r w:rsidR="00AD3B9A">
        <w:rPr>
          <w:rFonts w:ascii="Palatino Linotype" w:hAnsi="Palatino Linotype" w:cs="Tahoma"/>
          <w:iCs/>
          <w:sz w:val="22"/>
          <w:szCs w:val="22"/>
        </w:rPr>
        <w:t xml:space="preserve">l respecto, </w:t>
      </w:r>
      <w:r w:rsidR="00987E30">
        <w:rPr>
          <w:rFonts w:ascii="Palatino Linotype" w:hAnsi="Palatino Linotype" w:cs="Tahoma"/>
          <w:iCs/>
          <w:sz w:val="22"/>
          <w:szCs w:val="22"/>
        </w:rPr>
        <w:t>el artículo 115, fracción III, inciso b), de la Constitución</w:t>
      </w:r>
      <w:r w:rsidR="00FA49D0">
        <w:rPr>
          <w:rFonts w:ascii="Palatino Linotype" w:hAnsi="Palatino Linotype" w:cs="Tahoma"/>
          <w:iCs/>
          <w:sz w:val="22"/>
          <w:szCs w:val="22"/>
        </w:rPr>
        <w:t xml:space="preserve"> Política de los Estados Unidos Mexicanos, establece que los Municipios tendrán a su cargo, diversas funciones y servicios públicos, entre los que se encuentra el de alumbrado público. </w:t>
      </w:r>
    </w:p>
    <w:p w14:paraId="33B47A4C" w14:textId="77777777" w:rsidR="00FA49D0" w:rsidRDefault="00FA49D0" w:rsidP="004A2A45">
      <w:pPr>
        <w:spacing w:line="360" w:lineRule="auto"/>
        <w:jc w:val="both"/>
        <w:rPr>
          <w:rFonts w:ascii="Palatino Linotype" w:hAnsi="Palatino Linotype" w:cs="Tahoma"/>
          <w:iCs/>
          <w:sz w:val="22"/>
          <w:szCs w:val="22"/>
        </w:rPr>
      </w:pPr>
    </w:p>
    <w:p w14:paraId="789ABDE2" w14:textId="69D0D2C6" w:rsidR="00B60549" w:rsidRDefault="00FA49D0" w:rsidP="004A2A45">
      <w:pPr>
        <w:spacing w:line="360" w:lineRule="auto"/>
        <w:jc w:val="both"/>
        <w:rPr>
          <w:rFonts w:ascii="Palatino Linotype" w:hAnsi="Palatino Linotype" w:cs="Tahoma"/>
          <w:iCs/>
          <w:sz w:val="22"/>
          <w:szCs w:val="22"/>
        </w:rPr>
      </w:pPr>
      <w:r>
        <w:rPr>
          <w:rFonts w:ascii="Palatino Linotype" w:hAnsi="Palatino Linotype" w:cs="Tahoma"/>
          <w:iCs/>
          <w:sz w:val="22"/>
          <w:szCs w:val="22"/>
        </w:rPr>
        <w:t xml:space="preserve">De la misma manera, el segundo párrafo del artículo 122 de la Constitución </w:t>
      </w:r>
      <w:r w:rsidR="00B60549">
        <w:rPr>
          <w:rFonts w:ascii="Palatino Linotype" w:hAnsi="Palatino Linotype" w:cs="Tahoma"/>
          <w:iCs/>
          <w:sz w:val="22"/>
          <w:szCs w:val="22"/>
        </w:rPr>
        <w:t xml:space="preserve">Política del Estado Libre y Soberano de México, establece que los Ayuntamientos de los municipios, tendrán a su cargo las </w:t>
      </w:r>
      <w:r w:rsidR="001A0B3D">
        <w:rPr>
          <w:rFonts w:ascii="Palatino Linotype" w:hAnsi="Palatino Linotype" w:cs="Tahoma"/>
          <w:iCs/>
          <w:sz w:val="22"/>
          <w:szCs w:val="22"/>
        </w:rPr>
        <w:t>funciones</w:t>
      </w:r>
      <w:r w:rsidR="00B60549">
        <w:rPr>
          <w:rFonts w:ascii="Palatino Linotype" w:hAnsi="Palatino Linotype" w:cs="Tahoma"/>
          <w:iCs/>
          <w:sz w:val="22"/>
          <w:szCs w:val="22"/>
        </w:rPr>
        <w:t xml:space="preserve"> y servicios públicos que señale la fracción III, del artículo 115 de la Carta Magna. </w:t>
      </w:r>
    </w:p>
    <w:p w14:paraId="0B32D864" w14:textId="77777777" w:rsidR="001A0B3D" w:rsidRDefault="001A0B3D" w:rsidP="004A2A45">
      <w:pPr>
        <w:spacing w:line="360" w:lineRule="auto"/>
        <w:jc w:val="both"/>
        <w:rPr>
          <w:rFonts w:ascii="Palatino Linotype" w:hAnsi="Palatino Linotype" w:cs="Tahoma"/>
          <w:iCs/>
          <w:sz w:val="22"/>
          <w:szCs w:val="22"/>
        </w:rPr>
      </w:pPr>
    </w:p>
    <w:p w14:paraId="10F0FD02" w14:textId="77777777" w:rsidR="00CC0A2E" w:rsidRDefault="00B60549" w:rsidP="004A2A45">
      <w:pPr>
        <w:spacing w:line="360" w:lineRule="auto"/>
        <w:jc w:val="both"/>
        <w:rPr>
          <w:rFonts w:ascii="Palatino Linotype" w:hAnsi="Palatino Linotype" w:cs="Tahoma"/>
          <w:iCs/>
          <w:sz w:val="22"/>
          <w:szCs w:val="22"/>
        </w:rPr>
      </w:pPr>
      <w:r>
        <w:rPr>
          <w:rFonts w:ascii="Palatino Linotype" w:hAnsi="Palatino Linotype" w:cs="Tahoma"/>
          <w:iCs/>
          <w:sz w:val="22"/>
          <w:szCs w:val="22"/>
        </w:rPr>
        <w:t xml:space="preserve">En ese sentido, los artículos 125, fracción II y 126 de la Ley Orgánica Municipal, establecen que los municipios tendrán a su cargo la prestación, explotación, administración y conservación de los servicios públicos municipales, entre los que se encuentran el de Alumbrado Público; además, </w:t>
      </w:r>
      <w:r w:rsidR="00CC0A2E">
        <w:rPr>
          <w:rFonts w:ascii="Palatino Linotype" w:hAnsi="Palatino Linotype" w:cs="Tahoma"/>
          <w:iCs/>
          <w:sz w:val="22"/>
          <w:szCs w:val="22"/>
        </w:rPr>
        <w:t xml:space="preserve">que dicho servicio deberá realizarse por los ayuntamientos, a través de sus unidades </w:t>
      </w:r>
      <w:r w:rsidR="00CC0A2E">
        <w:rPr>
          <w:rFonts w:ascii="Palatino Linotype" w:hAnsi="Palatino Linotype" w:cs="Tahoma"/>
          <w:iCs/>
          <w:sz w:val="22"/>
          <w:szCs w:val="22"/>
        </w:rPr>
        <w:lastRenderedPageBreak/>
        <w:t xml:space="preserve">administrativas u organismos auxiliares, quienes podrán coordinarse con el Estado y otros municipios para mejorar la eficacia del mismo; por lo cual, podrá concesionarse a terceros, la prestación de esta. </w:t>
      </w:r>
    </w:p>
    <w:p w14:paraId="5B0EDC0E" w14:textId="77777777" w:rsidR="00CC0A2E" w:rsidRDefault="00CC0A2E" w:rsidP="004A2A45">
      <w:pPr>
        <w:spacing w:line="360" w:lineRule="auto"/>
        <w:jc w:val="both"/>
        <w:rPr>
          <w:rFonts w:ascii="Palatino Linotype" w:hAnsi="Palatino Linotype" w:cs="Tahoma"/>
          <w:iCs/>
          <w:sz w:val="22"/>
          <w:szCs w:val="22"/>
        </w:rPr>
      </w:pPr>
    </w:p>
    <w:p w14:paraId="068924F5" w14:textId="6073566C" w:rsidR="00CC0A2E" w:rsidRDefault="00CC0A2E" w:rsidP="004A2A45">
      <w:pPr>
        <w:spacing w:line="360" w:lineRule="auto"/>
        <w:jc w:val="both"/>
        <w:rPr>
          <w:rFonts w:ascii="Palatino Linotype" w:hAnsi="Palatino Linotype" w:cs="Tahoma"/>
          <w:iCs/>
          <w:sz w:val="22"/>
          <w:szCs w:val="22"/>
        </w:rPr>
      </w:pPr>
      <w:r>
        <w:rPr>
          <w:rFonts w:ascii="Palatino Linotype" w:hAnsi="Palatino Linotype" w:cs="Tahoma"/>
          <w:iCs/>
          <w:sz w:val="22"/>
          <w:szCs w:val="22"/>
        </w:rPr>
        <w:t xml:space="preserve">En ese orden de ideas, el Bando Municipal de </w:t>
      </w:r>
      <w:r w:rsidR="00CE4AF7">
        <w:rPr>
          <w:rFonts w:ascii="Palatino Linotype" w:hAnsi="Palatino Linotype" w:cs="Tahoma"/>
          <w:iCs/>
          <w:sz w:val="22"/>
          <w:szCs w:val="22"/>
        </w:rPr>
        <w:t>Metepec</w:t>
      </w:r>
      <w:r w:rsidR="005F7783">
        <w:rPr>
          <w:rFonts w:ascii="Palatino Linotype" w:hAnsi="Palatino Linotype" w:cs="Tahoma"/>
          <w:iCs/>
          <w:sz w:val="22"/>
          <w:szCs w:val="22"/>
        </w:rPr>
        <w:t xml:space="preserve"> </w:t>
      </w:r>
      <w:r>
        <w:rPr>
          <w:rFonts w:ascii="Palatino Linotype" w:hAnsi="Palatino Linotype" w:cs="Tahoma"/>
          <w:iCs/>
          <w:sz w:val="22"/>
          <w:szCs w:val="22"/>
        </w:rPr>
        <w:t xml:space="preserve">dos mil veintiuno, establece lo siguiente: </w:t>
      </w:r>
    </w:p>
    <w:p w14:paraId="11C4C731" w14:textId="77777777" w:rsidR="00CC0A2E" w:rsidRDefault="00CC0A2E" w:rsidP="004A2A45">
      <w:pPr>
        <w:spacing w:line="360" w:lineRule="auto"/>
        <w:jc w:val="both"/>
        <w:rPr>
          <w:rFonts w:ascii="Palatino Linotype" w:hAnsi="Palatino Linotype" w:cs="Tahoma"/>
          <w:iCs/>
          <w:sz w:val="22"/>
          <w:szCs w:val="22"/>
        </w:rPr>
      </w:pPr>
    </w:p>
    <w:p w14:paraId="48582E5A" w14:textId="18242877" w:rsidR="00593C0F" w:rsidRDefault="00F51531" w:rsidP="00497950">
      <w:pPr>
        <w:pStyle w:val="Prrafodelista"/>
        <w:spacing w:line="360" w:lineRule="auto"/>
        <w:ind w:left="567" w:right="-28"/>
        <w:jc w:val="both"/>
        <w:rPr>
          <w:rFonts w:ascii="Palatino Linotype" w:hAnsi="Palatino Linotype" w:cs="Tahoma"/>
          <w:b/>
          <w:bCs/>
          <w:iCs/>
          <w:szCs w:val="22"/>
        </w:rPr>
      </w:pPr>
      <w:r>
        <w:rPr>
          <w:rFonts w:ascii="Palatino Linotype" w:hAnsi="Palatino Linotype" w:cs="Tahoma"/>
          <w:b/>
          <w:bCs/>
          <w:iCs/>
          <w:szCs w:val="22"/>
        </w:rPr>
        <w:t xml:space="preserve">Artículo 34: </w:t>
      </w:r>
      <w:r>
        <w:rPr>
          <w:rFonts w:ascii="Palatino Linotype" w:hAnsi="Palatino Linotype" w:cs="Tahoma"/>
          <w:iCs/>
          <w:szCs w:val="22"/>
        </w:rPr>
        <w:t xml:space="preserve">La Administración Pública Centralizada, es una forma de organización de la Administración Pública del Municipio, la cual se integrará de: </w:t>
      </w:r>
      <w:r>
        <w:rPr>
          <w:rFonts w:ascii="Palatino Linotype" w:hAnsi="Palatino Linotype" w:cs="Tahoma"/>
          <w:b/>
          <w:bCs/>
          <w:iCs/>
          <w:szCs w:val="22"/>
        </w:rPr>
        <w:t xml:space="preserve">Secretaría del Ayuntamiento, Tesorería, </w:t>
      </w:r>
      <w:r w:rsidR="00593C0F">
        <w:rPr>
          <w:rFonts w:ascii="Palatino Linotype" w:hAnsi="Palatino Linotype" w:cs="Tahoma"/>
          <w:b/>
          <w:bCs/>
          <w:iCs/>
          <w:szCs w:val="22"/>
        </w:rPr>
        <w:t xml:space="preserve">Consejería Jurídica Municipal, Dirección de Desarrollo Urbano, Metropolitano y Obras Públicas y; Servicios Públicos, respectivamente. </w:t>
      </w:r>
    </w:p>
    <w:p w14:paraId="3E31234A" w14:textId="77777777" w:rsidR="00497950" w:rsidRPr="00497950" w:rsidRDefault="00497950" w:rsidP="00497950">
      <w:pPr>
        <w:pStyle w:val="Prrafodelista"/>
        <w:spacing w:line="360" w:lineRule="auto"/>
        <w:ind w:left="567" w:right="-28"/>
        <w:jc w:val="both"/>
        <w:rPr>
          <w:rFonts w:ascii="Palatino Linotype" w:hAnsi="Palatino Linotype" w:cs="Tahoma"/>
          <w:b/>
          <w:bCs/>
          <w:iCs/>
          <w:szCs w:val="22"/>
        </w:rPr>
      </w:pPr>
    </w:p>
    <w:p w14:paraId="40F0061C" w14:textId="389BB45B" w:rsidR="00E4253A" w:rsidRDefault="00E4253A" w:rsidP="005906DF">
      <w:pPr>
        <w:pStyle w:val="Prrafodelista"/>
        <w:spacing w:line="360" w:lineRule="auto"/>
        <w:ind w:left="567" w:right="-28"/>
        <w:jc w:val="both"/>
        <w:rPr>
          <w:rFonts w:ascii="Palatino Linotype" w:hAnsi="Palatino Linotype" w:cs="Tahoma"/>
          <w:iCs/>
          <w:szCs w:val="22"/>
        </w:rPr>
      </w:pPr>
      <w:r>
        <w:rPr>
          <w:rFonts w:ascii="Palatino Linotype" w:hAnsi="Palatino Linotype" w:cs="Tahoma"/>
          <w:b/>
          <w:bCs/>
          <w:iCs/>
          <w:szCs w:val="22"/>
        </w:rPr>
        <w:t xml:space="preserve">Artículo 54: </w:t>
      </w:r>
      <w:r>
        <w:rPr>
          <w:rFonts w:ascii="Palatino Linotype" w:hAnsi="Palatino Linotype" w:cs="Tahoma"/>
          <w:iCs/>
          <w:szCs w:val="22"/>
        </w:rPr>
        <w:t xml:space="preserve">Son funciones y/o servicios públicos municipales el </w:t>
      </w:r>
      <w:r>
        <w:rPr>
          <w:rFonts w:ascii="Palatino Linotype" w:hAnsi="Palatino Linotype" w:cs="Tahoma"/>
          <w:b/>
          <w:bCs/>
          <w:iCs/>
          <w:szCs w:val="22"/>
        </w:rPr>
        <w:t xml:space="preserve">alumbrado público; </w:t>
      </w:r>
      <w:r>
        <w:rPr>
          <w:rFonts w:ascii="Palatino Linotype" w:hAnsi="Palatino Linotype" w:cs="Tahoma"/>
          <w:iCs/>
          <w:szCs w:val="22"/>
        </w:rPr>
        <w:t xml:space="preserve">limpia, recolección, traslado, tratamiento, </w:t>
      </w:r>
      <w:r w:rsidR="0076749B">
        <w:rPr>
          <w:rFonts w:ascii="Palatino Linotype" w:hAnsi="Palatino Linotype" w:cs="Tahoma"/>
          <w:iCs/>
          <w:szCs w:val="22"/>
        </w:rPr>
        <w:t xml:space="preserve">transformación y disposición de residuos sólidos municipales; panteones, jardines, áreas verdes protegidas y recreativas y su equipamiento. </w:t>
      </w:r>
    </w:p>
    <w:p w14:paraId="64349163" w14:textId="77777777" w:rsidR="0076749B" w:rsidRPr="00E4253A" w:rsidRDefault="0076749B" w:rsidP="005906DF">
      <w:pPr>
        <w:pStyle w:val="Prrafodelista"/>
        <w:spacing w:line="360" w:lineRule="auto"/>
        <w:ind w:left="567" w:right="-28"/>
        <w:jc w:val="both"/>
        <w:rPr>
          <w:rFonts w:ascii="Palatino Linotype" w:hAnsi="Palatino Linotype" w:cs="Tahoma"/>
          <w:iCs/>
          <w:szCs w:val="22"/>
        </w:rPr>
      </w:pPr>
    </w:p>
    <w:p w14:paraId="4699D4B2" w14:textId="79F71FA3" w:rsidR="00792ACB" w:rsidRDefault="001A605C" w:rsidP="00792ACB">
      <w:pPr>
        <w:pStyle w:val="Prrafodelista"/>
        <w:spacing w:line="360" w:lineRule="auto"/>
        <w:ind w:left="567" w:right="-28"/>
        <w:jc w:val="both"/>
        <w:rPr>
          <w:rFonts w:ascii="Palatino Linotype" w:hAnsi="Palatino Linotype" w:cs="Tahoma"/>
          <w:iCs/>
          <w:szCs w:val="22"/>
        </w:rPr>
      </w:pPr>
      <w:r w:rsidRPr="001A605C">
        <w:rPr>
          <w:rFonts w:ascii="Palatino Linotype" w:hAnsi="Palatino Linotype" w:cs="Tahoma"/>
          <w:b/>
          <w:bCs/>
          <w:iCs/>
          <w:szCs w:val="22"/>
        </w:rPr>
        <w:t xml:space="preserve">Artículo </w:t>
      </w:r>
      <w:r w:rsidR="007179A7">
        <w:rPr>
          <w:rFonts w:ascii="Palatino Linotype" w:hAnsi="Palatino Linotype" w:cs="Tahoma"/>
          <w:b/>
          <w:bCs/>
          <w:iCs/>
          <w:szCs w:val="22"/>
        </w:rPr>
        <w:t>55</w:t>
      </w:r>
      <w:r>
        <w:rPr>
          <w:rFonts w:ascii="Palatino Linotype" w:hAnsi="Palatino Linotype" w:cs="Tahoma"/>
          <w:iCs/>
          <w:szCs w:val="22"/>
        </w:rPr>
        <w:t xml:space="preserve">: </w:t>
      </w:r>
      <w:r w:rsidRPr="001A605C">
        <w:rPr>
          <w:rFonts w:ascii="Palatino Linotype" w:hAnsi="Palatino Linotype" w:cs="Tahoma"/>
          <w:iCs/>
          <w:szCs w:val="22"/>
        </w:rPr>
        <w:t xml:space="preserve">Los servicios públicos municipales se prestarán con la </w:t>
      </w:r>
      <w:r w:rsidR="007179A7">
        <w:rPr>
          <w:rFonts w:ascii="Palatino Linotype" w:hAnsi="Palatino Linotype" w:cs="Tahoma"/>
          <w:iCs/>
          <w:szCs w:val="22"/>
        </w:rPr>
        <w:t>máxima cobertura y calidad, considerando los recursos con los que cuente el Ayuntamiento, quien proporcionará las facilidades necesarias para que la ciudadanía participe y colabore con estas tareas</w:t>
      </w:r>
      <w:r>
        <w:rPr>
          <w:rFonts w:ascii="Palatino Linotype" w:hAnsi="Palatino Linotype" w:cs="Tahoma"/>
          <w:iCs/>
          <w:szCs w:val="22"/>
        </w:rPr>
        <w:t>.</w:t>
      </w:r>
    </w:p>
    <w:p w14:paraId="57091D1D" w14:textId="7E23A159" w:rsidR="00462751" w:rsidRDefault="00462751" w:rsidP="004A2A45">
      <w:pPr>
        <w:spacing w:line="360" w:lineRule="auto"/>
        <w:jc w:val="both"/>
        <w:rPr>
          <w:rFonts w:ascii="Palatino Linotype" w:hAnsi="Palatino Linotype" w:cs="Tahoma"/>
          <w:iCs/>
          <w:sz w:val="22"/>
          <w:szCs w:val="22"/>
        </w:rPr>
      </w:pPr>
    </w:p>
    <w:p w14:paraId="37F1E0DF" w14:textId="6C15B17D" w:rsidR="00497950" w:rsidRDefault="00497950" w:rsidP="004A2A45">
      <w:pPr>
        <w:spacing w:line="360" w:lineRule="auto"/>
        <w:jc w:val="both"/>
        <w:rPr>
          <w:rFonts w:ascii="Palatino Linotype" w:hAnsi="Palatino Linotype" w:cs="Tahoma"/>
          <w:iCs/>
          <w:sz w:val="22"/>
          <w:szCs w:val="22"/>
        </w:rPr>
      </w:pPr>
      <w:r>
        <w:rPr>
          <w:rFonts w:ascii="Palatino Linotype" w:hAnsi="Palatino Linotype" w:cs="Tahoma"/>
          <w:iCs/>
          <w:sz w:val="22"/>
          <w:szCs w:val="22"/>
        </w:rPr>
        <w:t xml:space="preserve">Por su parte, el Código de Reglamentación Municipal de Metepec, </w:t>
      </w:r>
      <w:r w:rsidR="00D60298">
        <w:rPr>
          <w:rFonts w:ascii="Palatino Linotype" w:hAnsi="Palatino Linotype" w:cs="Tahoma"/>
          <w:iCs/>
          <w:sz w:val="22"/>
          <w:szCs w:val="22"/>
        </w:rPr>
        <w:t xml:space="preserve">menciona </w:t>
      </w:r>
      <w:r w:rsidR="00C14A85">
        <w:rPr>
          <w:rFonts w:ascii="Palatino Linotype" w:hAnsi="Palatino Linotype" w:cs="Tahoma"/>
          <w:iCs/>
          <w:sz w:val="22"/>
          <w:szCs w:val="22"/>
        </w:rPr>
        <w:t xml:space="preserve">en su Capítulo I. Alumbrado, lo siguiente: </w:t>
      </w:r>
    </w:p>
    <w:p w14:paraId="2C68B322" w14:textId="47ACFD50" w:rsidR="00C14A85" w:rsidRDefault="00C14A85" w:rsidP="004A2A45">
      <w:pPr>
        <w:spacing w:line="360" w:lineRule="auto"/>
        <w:jc w:val="both"/>
        <w:rPr>
          <w:rFonts w:ascii="Palatino Linotype" w:hAnsi="Palatino Linotype" w:cs="Tahoma"/>
          <w:iCs/>
          <w:sz w:val="22"/>
          <w:szCs w:val="22"/>
        </w:rPr>
      </w:pPr>
    </w:p>
    <w:p w14:paraId="527EB75C" w14:textId="660CF3A7" w:rsidR="00C14A85" w:rsidRDefault="00C14A85" w:rsidP="00C14A85">
      <w:pPr>
        <w:spacing w:line="360" w:lineRule="auto"/>
        <w:ind w:left="567"/>
        <w:jc w:val="both"/>
        <w:rPr>
          <w:rFonts w:ascii="Palatino Linotype" w:hAnsi="Palatino Linotype" w:cs="Tahoma"/>
          <w:iCs/>
          <w:sz w:val="22"/>
          <w:szCs w:val="22"/>
        </w:rPr>
      </w:pPr>
      <w:r>
        <w:rPr>
          <w:rFonts w:ascii="Palatino Linotype" w:hAnsi="Palatino Linotype" w:cs="Tahoma"/>
          <w:b/>
          <w:bCs/>
          <w:iCs/>
          <w:sz w:val="22"/>
          <w:szCs w:val="22"/>
        </w:rPr>
        <w:t>Artículo 8.4</w:t>
      </w:r>
      <w:r w:rsidR="00F25C11">
        <w:rPr>
          <w:rFonts w:ascii="Palatino Linotype" w:hAnsi="Palatino Linotype" w:cs="Tahoma"/>
          <w:b/>
          <w:bCs/>
          <w:iCs/>
          <w:sz w:val="22"/>
          <w:szCs w:val="22"/>
        </w:rPr>
        <w:t xml:space="preserve">2: </w:t>
      </w:r>
      <w:r w:rsidR="00F25C11" w:rsidRPr="00F25C11">
        <w:rPr>
          <w:rFonts w:ascii="Palatino Linotype" w:hAnsi="Palatino Linotype" w:cs="Tahoma"/>
          <w:iCs/>
          <w:sz w:val="22"/>
          <w:szCs w:val="22"/>
        </w:rPr>
        <w:t>la regulación y todas las acciones relacionadas con el alumbrado público, corresponden a la administración pública</w:t>
      </w:r>
      <w:r w:rsidR="00F25C11">
        <w:rPr>
          <w:rFonts w:ascii="Palatino Linotype" w:hAnsi="Palatino Linotype" w:cs="Tahoma"/>
          <w:iCs/>
          <w:sz w:val="22"/>
          <w:szCs w:val="22"/>
        </w:rPr>
        <w:t xml:space="preserve"> municipal a través de la Dirección de Servicios </w:t>
      </w:r>
      <w:r w:rsidR="00F25C11">
        <w:rPr>
          <w:rFonts w:ascii="Palatino Linotype" w:hAnsi="Palatino Linotype" w:cs="Tahoma"/>
          <w:iCs/>
          <w:sz w:val="22"/>
          <w:szCs w:val="22"/>
        </w:rPr>
        <w:lastRenderedPageBreak/>
        <w:t>Públicos, la Coordinación de Alumbrado Público y de todas aquellas dependencias que deban intervenir par</w:t>
      </w:r>
      <w:r w:rsidR="003E7E0F">
        <w:rPr>
          <w:rFonts w:ascii="Palatino Linotype" w:hAnsi="Palatino Linotype" w:cs="Tahoma"/>
          <w:iCs/>
          <w:sz w:val="22"/>
          <w:szCs w:val="22"/>
        </w:rPr>
        <w:t xml:space="preserve">a vigilar y exigir el cumplimiento de estas normas. </w:t>
      </w:r>
    </w:p>
    <w:p w14:paraId="19EC2CC1" w14:textId="147DAED9" w:rsidR="003E7E0F" w:rsidRDefault="003E7E0F" w:rsidP="00C14A85">
      <w:pPr>
        <w:spacing w:line="360" w:lineRule="auto"/>
        <w:ind w:left="567"/>
        <w:jc w:val="both"/>
        <w:rPr>
          <w:rFonts w:ascii="Palatino Linotype" w:hAnsi="Palatino Linotype" w:cs="Tahoma"/>
          <w:iCs/>
          <w:sz w:val="22"/>
          <w:szCs w:val="22"/>
        </w:rPr>
      </w:pPr>
    </w:p>
    <w:p w14:paraId="34A9804B" w14:textId="6F4AC507" w:rsidR="003E7E0F" w:rsidRDefault="003E7E0F" w:rsidP="00414009">
      <w:pPr>
        <w:spacing w:line="360" w:lineRule="auto"/>
        <w:ind w:left="567"/>
        <w:jc w:val="both"/>
        <w:rPr>
          <w:rFonts w:ascii="Palatino Linotype" w:hAnsi="Palatino Linotype" w:cs="Tahoma"/>
          <w:b/>
          <w:bCs/>
          <w:iCs/>
          <w:sz w:val="22"/>
          <w:szCs w:val="22"/>
        </w:rPr>
      </w:pPr>
      <w:r>
        <w:rPr>
          <w:rFonts w:ascii="Palatino Linotype" w:hAnsi="Palatino Linotype" w:cs="Tahoma"/>
          <w:iCs/>
          <w:sz w:val="22"/>
          <w:szCs w:val="22"/>
        </w:rPr>
        <w:t xml:space="preserve">Las actividades técnicas que realice la Coordinación de Alumbrado Públicos en la prestación del servicio público de alumbrado </w:t>
      </w:r>
      <w:r>
        <w:rPr>
          <w:rFonts w:ascii="Palatino Linotype" w:hAnsi="Palatino Linotype" w:cs="Tahoma"/>
          <w:b/>
          <w:bCs/>
          <w:iCs/>
          <w:sz w:val="22"/>
          <w:szCs w:val="22"/>
        </w:rPr>
        <w:t xml:space="preserve">deberán sujetarse a los lineamientos establecidos por la Comisión Federal de Electricidad. </w:t>
      </w:r>
    </w:p>
    <w:p w14:paraId="2275A16B" w14:textId="15BE53B9" w:rsidR="00414009" w:rsidRDefault="00414009" w:rsidP="00414009">
      <w:pPr>
        <w:spacing w:line="360" w:lineRule="auto"/>
        <w:ind w:left="567"/>
        <w:jc w:val="both"/>
        <w:rPr>
          <w:rFonts w:ascii="Palatino Linotype" w:hAnsi="Palatino Linotype" w:cs="Tahoma"/>
          <w:b/>
          <w:bCs/>
          <w:iCs/>
          <w:sz w:val="22"/>
          <w:szCs w:val="22"/>
        </w:rPr>
      </w:pPr>
    </w:p>
    <w:p w14:paraId="419EAF7B" w14:textId="6A66B4D6" w:rsidR="00414009" w:rsidRDefault="00414009" w:rsidP="00414009">
      <w:pPr>
        <w:spacing w:line="360" w:lineRule="auto"/>
        <w:ind w:left="567"/>
        <w:jc w:val="both"/>
        <w:rPr>
          <w:rFonts w:ascii="Palatino Linotype" w:hAnsi="Palatino Linotype" w:cs="Tahoma"/>
          <w:b/>
          <w:bCs/>
          <w:iCs/>
          <w:sz w:val="22"/>
          <w:szCs w:val="22"/>
        </w:rPr>
      </w:pPr>
      <w:r>
        <w:rPr>
          <w:rFonts w:ascii="Palatino Linotype" w:hAnsi="Palatino Linotype" w:cs="Tahoma"/>
          <w:b/>
          <w:bCs/>
          <w:iCs/>
          <w:sz w:val="22"/>
          <w:szCs w:val="22"/>
        </w:rPr>
        <w:t xml:space="preserve">Artículo 8.46: </w:t>
      </w:r>
      <w:r>
        <w:rPr>
          <w:rFonts w:ascii="Palatino Linotype" w:hAnsi="Palatino Linotype" w:cs="Tahoma"/>
          <w:iCs/>
          <w:sz w:val="22"/>
          <w:szCs w:val="22"/>
        </w:rPr>
        <w:t>El Municipio realizará las acciones relativas a gestionar ante la Comisión Federal de Electricidad y demás dependencias gubernamentales y privadas</w:t>
      </w:r>
      <w:r w:rsidR="001A17D0">
        <w:rPr>
          <w:rFonts w:ascii="Palatino Linotype" w:hAnsi="Palatino Linotype" w:cs="Tahoma"/>
          <w:iCs/>
          <w:sz w:val="22"/>
          <w:szCs w:val="22"/>
        </w:rPr>
        <w:t xml:space="preserve">: solicitudes de presupuestos, programas de eficiencia y ahorro energético, </w:t>
      </w:r>
      <w:r w:rsidR="001A17D0">
        <w:rPr>
          <w:rFonts w:ascii="Palatino Linotype" w:hAnsi="Palatino Linotype" w:cs="Tahoma"/>
          <w:b/>
          <w:bCs/>
          <w:iCs/>
          <w:sz w:val="22"/>
          <w:szCs w:val="22"/>
        </w:rPr>
        <w:t xml:space="preserve">evaluación de proyectos de redes de ampliación en el Alumbrado Público, así como la evaluación y calificación de las redes de Alumbrado Público en los nuevos fraccionamientos. </w:t>
      </w:r>
    </w:p>
    <w:p w14:paraId="013463BE" w14:textId="51E31603" w:rsidR="00C91619" w:rsidRDefault="00C91619" w:rsidP="00414009">
      <w:pPr>
        <w:spacing w:line="360" w:lineRule="auto"/>
        <w:ind w:left="567"/>
        <w:jc w:val="both"/>
        <w:rPr>
          <w:rFonts w:ascii="Palatino Linotype" w:hAnsi="Palatino Linotype" w:cs="Tahoma"/>
          <w:b/>
          <w:bCs/>
          <w:iCs/>
          <w:sz w:val="22"/>
          <w:szCs w:val="22"/>
        </w:rPr>
      </w:pPr>
    </w:p>
    <w:p w14:paraId="36CDC33A" w14:textId="1F838404" w:rsidR="00497950" w:rsidRPr="008D30CC" w:rsidRDefault="00C91619" w:rsidP="008D30CC">
      <w:pPr>
        <w:spacing w:line="360" w:lineRule="auto"/>
        <w:ind w:left="567"/>
        <w:jc w:val="both"/>
        <w:rPr>
          <w:rFonts w:ascii="Palatino Linotype" w:hAnsi="Palatino Linotype" w:cs="Tahoma"/>
          <w:b/>
          <w:bCs/>
          <w:iCs/>
          <w:sz w:val="22"/>
          <w:szCs w:val="22"/>
        </w:rPr>
      </w:pPr>
      <w:r>
        <w:rPr>
          <w:rFonts w:ascii="Palatino Linotype" w:hAnsi="Palatino Linotype" w:cs="Tahoma"/>
          <w:b/>
          <w:bCs/>
          <w:iCs/>
          <w:sz w:val="22"/>
          <w:szCs w:val="22"/>
        </w:rPr>
        <w:t xml:space="preserve">Artículo 8.71: </w:t>
      </w:r>
      <w:r>
        <w:rPr>
          <w:rFonts w:ascii="Palatino Linotype" w:hAnsi="Palatino Linotype" w:cs="Tahoma"/>
          <w:iCs/>
          <w:sz w:val="22"/>
          <w:szCs w:val="22"/>
        </w:rPr>
        <w:t xml:space="preserve">La Dirección de Servicios Públicos, deberá tener permanentemente vigente la carga total de consumo energético en el alumbrado público a través del </w:t>
      </w:r>
      <w:r w:rsidRPr="001E562B">
        <w:rPr>
          <w:rFonts w:ascii="Palatino Linotype" w:hAnsi="Palatino Linotype" w:cs="Tahoma"/>
          <w:b/>
          <w:bCs/>
          <w:iCs/>
          <w:sz w:val="22"/>
          <w:szCs w:val="22"/>
          <w:u w:val="single"/>
        </w:rPr>
        <w:t>Censo de Alumbrado Público, el cual se levantará mínimo anualmente entre la Comisión Federal de Electricidad y personal de la coordinación de alumbrado,</w:t>
      </w:r>
      <w:r>
        <w:rPr>
          <w:rFonts w:ascii="Palatino Linotype" w:hAnsi="Palatino Linotype" w:cs="Tahoma"/>
          <w:b/>
          <w:bCs/>
          <w:iCs/>
          <w:sz w:val="22"/>
          <w:szCs w:val="22"/>
        </w:rPr>
        <w:t xml:space="preserve"> asimismo, se reportarán los movimientos de altas y bajas en las luminarias, que realicen durante el año para mantener al día la carga que será facturada. </w:t>
      </w:r>
    </w:p>
    <w:p w14:paraId="5A9A0922" w14:textId="77777777" w:rsidR="00744442" w:rsidRDefault="00744442" w:rsidP="00025B49">
      <w:pPr>
        <w:spacing w:line="360" w:lineRule="auto"/>
        <w:jc w:val="both"/>
        <w:rPr>
          <w:rFonts w:ascii="Palatino Linotype" w:hAnsi="Palatino Linotype" w:cs="Tahoma"/>
          <w:iCs/>
          <w:sz w:val="22"/>
          <w:szCs w:val="22"/>
        </w:rPr>
      </w:pPr>
    </w:p>
    <w:p w14:paraId="0BD92D4A" w14:textId="0D2EE1D3" w:rsidR="00107964" w:rsidRPr="00025B49" w:rsidRDefault="00FF6016" w:rsidP="00025B49">
      <w:pPr>
        <w:spacing w:line="360" w:lineRule="auto"/>
        <w:jc w:val="both"/>
        <w:rPr>
          <w:rFonts w:ascii="Palatino Linotype" w:hAnsi="Palatino Linotype" w:cs="Tahoma"/>
          <w:iCs/>
          <w:sz w:val="22"/>
          <w:szCs w:val="22"/>
        </w:rPr>
      </w:pPr>
      <w:r>
        <w:rPr>
          <w:rFonts w:ascii="Palatino Linotype" w:hAnsi="Palatino Linotype" w:cs="Tahoma"/>
          <w:iCs/>
          <w:sz w:val="22"/>
          <w:szCs w:val="22"/>
        </w:rPr>
        <w:t>Conforme a la normatividad analizada, se logra observar que el Ayuntamiento de</w:t>
      </w:r>
      <w:r w:rsidR="00AA1491">
        <w:rPr>
          <w:rFonts w:ascii="Palatino Linotype" w:hAnsi="Palatino Linotype" w:cs="Tahoma"/>
          <w:iCs/>
          <w:sz w:val="22"/>
          <w:szCs w:val="22"/>
        </w:rPr>
        <w:t xml:space="preserve"> Metepec</w:t>
      </w:r>
      <w:r>
        <w:rPr>
          <w:rFonts w:ascii="Palatino Linotype" w:hAnsi="Palatino Linotype" w:cs="Tahoma"/>
          <w:iCs/>
          <w:sz w:val="22"/>
          <w:szCs w:val="22"/>
        </w:rPr>
        <w:t xml:space="preserve"> resulta competente </w:t>
      </w:r>
      <w:r w:rsidR="0063736C">
        <w:rPr>
          <w:rFonts w:ascii="Palatino Linotype" w:hAnsi="Palatino Linotype" w:cs="Tahoma"/>
          <w:iCs/>
          <w:sz w:val="22"/>
          <w:szCs w:val="22"/>
        </w:rPr>
        <w:t xml:space="preserve">para pronunciarse sobre la información requerida, en virtud de ser el encargado de ver todas las cuestiones relacionadas con el servicio </w:t>
      </w:r>
      <w:r w:rsidR="00E2632C">
        <w:rPr>
          <w:rFonts w:ascii="Palatino Linotype" w:hAnsi="Palatino Linotype" w:cs="Tahoma"/>
          <w:iCs/>
          <w:sz w:val="22"/>
          <w:szCs w:val="22"/>
        </w:rPr>
        <w:t>de alumbrado público, dentro de la circunscripción territorial de dicho Municipio</w:t>
      </w:r>
      <w:r w:rsidR="00025B49">
        <w:rPr>
          <w:rFonts w:ascii="Palatino Linotype" w:hAnsi="Palatino Linotype" w:cs="Tahoma"/>
          <w:iCs/>
          <w:sz w:val="22"/>
          <w:szCs w:val="22"/>
        </w:rPr>
        <w:t xml:space="preserve">, además de que </w:t>
      </w:r>
      <w:r w:rsidR="00107964">
        <w:rPr>
          <w:rFonts w:ascii="Palatino Linotype" w:hAnsi="Palatino Linotype" w:cs="Tahoma"/>
          <w:bCs/>
          <w:iCs/>
          <w:sz w:val="22"/>
          <w:szCs w:val="22"/>
        </w:rPr>
        <w:t>cuenta con áreas específicas para conocer de la solicitud de información</w:t>
      </w:r>
      <w:r w:rsidR="00D735DA">
        <w:rPr>
          <w:rFonts w:ascii="Palatino Linotype" w:hAnsi="Palatino Linotype" w:cs="Tahoma"/>
          <w:bCs/>
          <w:iCs/>
          <w:sz w:val="22"/>
          <w:szCs w:val="22"/>
        </w:rPr>
        <w:t xml:space="preserve">, no obstante, de las actuaciones que integran el expediente electrónico, se advierte que este </w:t>
      </w:r>
      <w:r w:rsidR="00107964">
        <w:rPr>
          <w:rFonts w:ascii="Palatino Linotype" w:hAnsi="Palatino Linotype" w:cs="Tahoma"/>
          <w:bCs/>
          <w:iCs/>
          <w:sz w:val="22"/>
          <w:szCs w:val="22"/>
        </w:rPr>
        <w:t xml:space="preserve">no cumplió </w:t>
      </w:r>
      <w:r w:rsidR="00E8606D">
        <w:rPr>
          <w:rFonts w:ascii="Palatino Linotype" w:hAnsi="Palatino Linotype" w:cs="Tahoma"/>
          <w:bCs/>
          <w:iCs/>
          <w:sz w:val="22"/>
          <w:szCs w:val="22"/>
        </w:rPr>
        <w:t xml:space="preserve">cabalmente </w:t>
      </w:r>
      <w:r w:rsidR="00107964">
        <w:rPr>
          <w:rFonts w:ascii="Palatino Linotype" w:hAnsi="Palatino Linotype" w:cs="Tahoma"/>
          <w:bCs/>
          <w:iCs/>
          <w:sz w:val="22"/>
          <w:szCs w:val="22"/>
        </w:rPr>
        <w:t xml:space="preserve">con lo establecido en el artículo 162 de la Ley de Transparencia y Acceso a la Información Pública del </w:t>
      </w:r>
      <w:r w:rsidR="00107964">
        <w:rPr>
          <w:rFonts w:ascii="Palatino Linotype" w:hAnsi="Palatino Linotype" w:cs="Tahoma"/>
          <w:bCs/>
          <w:iCs/>
          <w:sz w:val="22"/>
          <w:szCs w:val="22"/>
        </w:rPr>
        <w:lastRenderedPageBreak/>
        <w:t xml:space="preserve">Estado de México y Municipios, al no gestionar la solicitud de información en todas las unidades administrativas competentes </w:t>
      </w:r>
      <w:r w:rsidR="00D735DA">
        <w:rPr>
          <w:rFonts w:ascii="Palatino Linotype" w:hAnsi="Palatino Linotype" w:cs="Tahoma"/>
          <w:bCs/>
          <w:iCs/>
          <w:sz w:val="22"/>
          <w:szCs w:val="22"/>
        </w:rPr>
        <w:t xml:space="preserve">que de manera enunciativa más no limitativa pudiera ser </w:t>
      </w:r>
      <w:r w:rsidR="00107964">
        <w:rPr>
          <w:rFonts w:ascii="Palatino Linotype" w:hAnsi="Palatino Linotype" w:cs="Tahoma"/>
          <w:bCs/>
          <w:iCs/>
          <w:sz w:val="22"/>
          <w:szCs w:val="22"/>
        </w:rPr>
        <w:t xml:space="preserve">la Dirección de Servicios Públicos. </w:t>
      </w:r>
    </w:p>
    <w:p w14:paraId="0587D21C" w14:textId="46942CBA" w:rsidR="00107964" w:rsidRDefault="00107964" w:rsidP="00107964">
      <w:pPr>
        <w:tabs>
          <w:tab w:val="left" w:pos="8080"/>
        </w:tabs>
        <w:spacing w:line="360" w:lineRule="auto"/>
        <w:ind w:right="-28"/>
        <w:jc w:val="both"/>
        <w:rPr>
          <w:rFonts w:ascii="Palatino Linotype" w:hAnsi="Palatino Linotype" w:cs="Tahoma"/>
          <w:bCs/>
          <w:iCs/>
          <w:sz w:val="22"/>
          <w:szCs w:val="22"/>
        </w:rPr>
      </w:pPr>
    </w:p>
    <w:p w14:paraId="3D84AA05" w14:textId="71738CA5" w:rsidR="00107964" w:rsidRDefault="00107964" w:rsidP="00107964">
      <w:pPr>
        <w:tabs>
          <w:tab w:val="left" w:pos="8080"/>
        </w:tabs>
        <w:spacing w:line="360" w:lineRule="auto"/>
        <w:ind w:right="-28"/>
        <w:jc w:val="both"/>
        <w:rPr>
          <w:rFonts w:ascii="Palatino Linotype" w:hAnsi="Palatino Linotype" w:cs="Tahoma"/>
          <w:bCs/>
          <w:iCs/>
          <w:sz w:val="22"/>
          <w:szCs w:val="22"/>
        </w:rPr>
      </w:pPr>
      <w:r>
        <w:rPr>
          <w:rFonts w:ascii="Palatino Linotype" w:hAnsi="Palatino Linotype" w:cs="Tahoma"/>
          <w:bCs/>
          <w:iCs/>
          <w:sz w:val="22"/>
          <w:szCs w:val="22"/>
        </w:rPr>
        <w:t xml:space="preserve">Una vez </w:t>
      </w:r>
      <w:r w:rsidR="00505F90">
        <w:rPr>
          <w:rFonts w:ascii="Palatino Linotype" w:hAnsi="Palatino Linotype" w:cs="Tahoma"/>
          <w:bCs/>
          <w:iCs/>
          <w:sz w:val="22"/>
          <w:szCs w:val="22"/>
        </w:rPr>
        <w:t>señalado</w:t>
      </w:r>
      <w:r>
        <w:rPr>
          <w:rFonts w:ascii="Palatino Linotype" w:hAnsi="Palatino Linotype" w:cs="Tahoma"/>
          <w:bCs/>
          <w:iCs/>
          <w:sz w:val="22"/>
          <w:szCs w:val="22"/>
        </w:rPr>
        <w:t xml:space="preserve"> lo anterior, con la finalidad de resolver adecuadamente el Recurso de Revisión que nos ocupa, se </w:t>
      </w:r>
      <w:r w:rsidR="000B503C">
        <w:rPr>
          <w:rFonts w:ascii="Palatino Linotype" w:hAnsi="Palatino Linotype" w:cs="Tahoma"/>
          <w:bCs/>
          <w:iCs/>
          <w:sz w:val="22"/>
          <w:szCs w:val="22"/>
        </w:rPr>
        <w:t>efectuará</w:t>
      </w:r>
      <w:r>
        <w:rPr>
          <w:rFonts w:ascii="Palatino Linotype" w:hAnsi="Palatino Linotype" w:cs="Tahoma"/>
          <w:bCs/>
          <w:iCs/>
          <w:sz w:val="22"/>
          <w:szCs w:val="22"/>
        </w:rPr>
        <w:t xml:space="preserve"> un análisis por cada uno de los puntos requeridos, con el fin de determinar si resulta procedente la entrega de la información. </w:t>
      </w:r>
    </w:p>
    <w:p w14:paraId="68169B1B" w14:textId="46495936" w:rsidR="00B313C5" w:rsidRDefault="00B313C5" w:rsidP="00107964">
      <w:pPr>
        <w:tabs>
          <w:tab w:val="left" w:pos="8080"/>
        </w:tabs>
        <w:spacing w:line="360" w:lineRule="auto"/>
        <w:ind w:right="-28"/>
        <w:jc w:val="both"/>
        <w:rPr>
          <w:rFonts w:ascii="Palatino Linotype" w:hAnsi="Palatino Linotype" w:cs="Tahoma"/>
          <w:bCs/>
          <w:iCs/>
          <w:sz w:val="22"/>
          <w:szCs w:val="22"/>
        </w:rPr>
      </w:pPr>
    </w:p>
    <w:p w14:paraId="4D414BDA" w14:textId="77777777" w:rsidR="00B313C5" w:rsidRPr="00ED29C0" w:rsidRDefault="00B313C5" w:rsidP="00725CAF">
      <w:pPr>
        <w:pStyle w:val="Prrafodelista"/>
        <w:numPr>
          <w:ilvl w:val="0"/>
          <w:numId w:val="7"/>
        </w:numPr>
        <w:spacing w:line="360" w:lineRule="auto"/>
        <w:ind w:left="426"/>
        <w:jc w:val="both"/>
        <w:rPr>
          <w:rFonts w:ascii="Palatino Linotype" w:hAnsi="Palatino Linotype" w:cs="Tahoma"/>
          <w:b/>
          <w:bCs/>
          <w:iCs/>
          <w:szCs w:val="22"/>
        </w:rPr>
      </w:pPr>
      <w:r w:rsidRPr="00ED29C0">
        <w:rPr>
          <w:rFonts w:ascii="Palatino Linotype" w:hAnsi="Palatino Linotype" w:cs="Tahoma"/>
          <w:b/>
          <w:bCs/>
          <w:iCs/>
          <w:szCs w:val="22"/>
        </w:rPr>
        <w:t xml:space="preserve">Requerimiento </w:t>
      </w:r>
      <w:r>
        <w:rPr>
          <w:rFonts w:ascii="Palatino Linotype" w:hAnsi="Palatino Linotype" w:cs="Tahoma"/>
          <w:b/>
          <w:bCs/>
          <w:iCs/>
          <w:szCs w:val="22"/>
        </w:rPr>
        <w:t xml:space="preserve">1. </w:t>
      </w:r>
    </w:p>
    <w:p w14:paraId="5D07D5CA" w14:textId="77777777" w:rsidR="00B313C5" w:rsidRPr="004254E9" w:rsidRDefault="00B313C5" w:rsidP="00B313C5">
      <w:pPr>
        <w:spacing w:line="360" w:lineRule="auto"/>
        <w:jc w:val="both"/>
        <w:rPr>
          <w:rFonts w:ascii="Palatino Linotype" w:hAnsi="Palatino Linotype" w:cs="Tahoma"/>
          <w:iCs/>
          <w:szCs w:val="22"/>
        </w:rPr>
      </w:pPr>
    </w:p>
    <w:p w14:paraId="10A1A04B" w14:textId="22E9AEAC" w:rsidR="00B313C5" w:rsidRPr="002A7404" w:rsidRDefault="00B313C5" w:rsidP="00725CAF">
      <w:pPr>
        <w:pStyle w:val="Prrafodelista"/>
        <w:numPr>
          <w:ilvl w:val="0"/>
          <w:numId w:val="6"/>
        </w:numPr>
        <w:spacing w:line="360" w:lineRule="auto"/>
        <w:ind w:left="993" w:right="539"/>
        <w:jc w:val="both"/>
        <w:rPr>
          <w:rFonts w:ascii="Palatino Linotype" w:hAnsi="Palatino Linotype" w:cs="Tahoma"/>
          <w:iCs/>
          <w:szCs w:val="22"/>
        </w:rPr>
      </w:pPr>
      <w:r>
        <w:rPr>
          <w:rFonts w:ascii="Palatino Linotype" w:hAnsi="Palatino Linotype" w:cs="Tahoma"/>
          <w:i/>
          <w:iCs/>
          <w:szCs w:val="22"/>
        </w:rPr>
        <w:t xml:space="preserve">El </w:t>
      </w:r>
      <w:r w:rsidRPr="002A7404">
        <w:rPr>
          <w:rFonts w:ascii="Palatino Linotype" w:hAnsi="Palatino Linotype" w:cs="Tahoma"/>
          <w:i/>
          <w:iCs/>
          <w:szCs w:val="22"/>
        </w:rPr>
        <w:t xml:space="preserve">censo </w:t>
      </w:r>
      <w:r w:rsidRPr="002A7404">
        <w:rPr>
          <w:rFonts w:ascii="Palatino Linotype" w:hAnsi="Palatino Linotype" w:cs="Tahoma"/>
          <w:iCs/>
          <w:szCs w:val="22"/>
        </w:rPr>
        <w:t>de alumbrado público</w:t>
      </w:r>
      <w:r>
        <w:rPr>
          <w:rFonts w:ascii="Palatino Linotype" w:hAnsi="Palatino Linotype" w:cs="Tahoma"/>
          <w:iCs/>
          <w:szCs w:val="22"/>
        </w:rPr>
        <w:t xml:space="preserve"> </w:t>
      </w:r>
      <w:r w:rsidR="0092045C">
        <w:rPr>
          <w:rFonts w:ascii="Palatino Linotype" w:hAnsi="Palatino Linotype" w:cs="Tahoma"/>
          <w:iCs/>
          <w:szCs w:val="22"/>
        </w:rPr>
        <w:t xml:space="preserve">realizado y firmado por la Comisión Federal de Electricidad (CFE) correspondiente a los años 2018, 2019, 2020 y 2021. </w:t>
      </w:r>
    </w:p>
    <w:p w14:paraId="54151FEB" w14:textId="77777777" w:rsidR="00B313C5" w:rsidRDefault="00B313C5" w:rsidP="00B313C5">
      <w:pPr>
        <w:spacing w:line="360" w:lineRule="auto"/>
        <w:jc w:val="both"/>
        <w:rPr>
          <w:rFonts w:ascii="Palatino Linotype" w:hAnsi="Palatino Linotype" w:cs="Tahoma"/>
          <w:b/>
          <w:bCs/>
          <w:iCs/>
          <w:sz w:val="22"/>
          <w:szCs w:val="22"/>
        </w:rPr>
      </w:pPr>
    </w:p>
    <w:p w14:paraId="4976642B" w14:textId="03D83353" w:rsidR="00B313C5" w:rsidRDefault="00B313C5" w:rsidP="00B313C5">
      <w:pPr>
        <w:spacing w:line="360" w:lineRule="auto"/>
        <w:jc w:val="both"/>
        <w:rPr>
          <w:rFonts w:ascii="Palatino Linotype" w:hAnsi="Palatino Linotype" w:cs="Tahoma"/>
          <w:iCs/>
          <w:sz w:val="22"/>
          <w:szCs w:val="22"/>
        </w:rPr>
      </w:pPr>
      <w:r>
        <w:rPr>
          <w:rFonts w:ascii="Palatino Linotype" w:hAnsi="Palatino Linotype" w:cs="Tahoma"/>
          <w:iCs/>
          <w:sz w:val="22"/>
          <w:szCs w:val="22"/>
        </w:rPr>
        <w:t xml:space="preserve">En principio cabe señalar que un censo es un proceso por medio del cual se realiza el conteo y diagnóstico de un tema en específico; en ese orden de ideas, este Instituto localizó el documento denominado Procedimiento del Control de Servicios de Alumbrado Público </w:t>
      </w:r>
      <w:r w:rsidRPr="002C6077">
        <w:rPr>
          <w:rFonts w:ascii="Palatino Linotype" w:hAnsi="Palatino Linotype" w:cs="Tahoma"/>
          <w:iCs/>
        </w:rPr>
        <w:t xml:space="preserve">(consultado el </w:t>
      </w:r>
      <w:r w:rsidR="0092045C">
        <w:rPr>
          <w:rFonts w:ascii="Palatino Linotype" w:hAnsi="Palatino Linotype" w:cs="Tahoma"/>
          <w:iCs/>
        </w:rPr>
        <w:t>diez de febrero de dos</w:t>
      </w:r>
      <w:r w:rsidRPr="002C6077">
        <w:rPr>
          <w:rFonts w:ascii="Palatino Linotype" w:hAnsi="Palatino Linotype" w:cs="Tahoma"/>
          <w:iCs/>
        </w:rPr>
        <w:t xml:space="preserve"> mil veintidós, en la página electrónica </w:t>
      </w:r>
      <w:hyperlink r:id="rId8" w:history="1">
        <w:r w:rsidRPr="002C6077">
          <w:rPr>
            <w:rStyle w:val="Hipervnculo"/>
            <w:rFonts w:ascii="Palatino Linotype" w:hAnsi="Palatino Linotype" w:cs="Tahoma"/>
            <w:iCs/>
          </w:rPr>
          <w:t>https://www.gob.mx/cms/uploads/attachment/file/127275/Proc_Control_Servicios_Alumbrado_P_blico_2011.pdf</w:t>
        </w:r>
      </w:hyperlink>
      <w:r w:rsidRPr="002C6077">
        <w:rPr>
          <w:rFonts w:ascii="Palatino Linotype" w:hAnsi="Palatino Linotype" w:cs="Tahoma"/>
          <w:iCs/>
        </w:rPr>
        <w:t xml:space="preserve">, a las once horas con diez minutos) </w:t>
      </w:r>
      <w:r>
        <w:rPr>
          <w:rFonts w:ascii="Palatino Linotype" w:hAnsi="Palatino Linotype" w:cs="Tahoma"/>
          <w:iCs/>
          <w:sz w:val="22"/>
          <w:szCs w:val="22"/>
        </w:rPr>
        <w:t xml:space="preserve">realizado por la Subdirección de Distribución de la Comisión Federal de Electricidad, que establece que los censos de alumbrado público deberán realizarse conjuntamente con los funcionarios autorizados por la autoridad municipal. </w:t>
      </w:r>
    </w:p>
    <w:p w14:paraId="5DEDB1BE" w14:textId="77777777" w:rsidR="00B313C5" w:rsidRDefault="00B313C5" w:rsidP="00B313C5">
      <w:pPr>
        <w:spacing w:line="360" w:lineRule="auto"/>
        <w:jc w:val="both"/>
        <w:rPr>
          <w:rFonts w:ascii="Palatino Linotype" w:hAnsi="Palatino Linotype" w:cs="Tahoma"/>
          <w:iCs/>
          <w:sz w:val="22"/>
          <w:szCs w:val="22"/>
        </w:rPr>
      </w:pPr>
    </w:p>
    <w:p w14:paraId="02C8A3FD" w14:textId="77777777" w:rsidR="00B313C5" w:rsidRDefault="00B313C5" w:rsidP="00B313C5">
      <w:pPr>
        <w:spacing w:line="360" w:lineRule="auto"/>
        <w:jc w:val="both"/>
        <w:rPr>
          <w:rFonts w:ascii="Palatino Linotype" w:hAnsi="Palatino Linotype" w:cs="Tahoma"/>
          <w:iCs/>
          <w:sz w:val="22"/>
          <w:szCs w:val="22"/>
        </w:rPr>
      </w:pPr>
      <w:r>
        <w:rPr>
          <w:rFonts w:ascii="Palatino Linotype" w:hAnsi="Palatino Linotype" w:cs="Tahoma"/>
          <w:iCs/>
          <w:sz w:val="22"/>
          <w:szCs w:val="22"/>
        </w:rPr>
        <w:t xml:space="preserve">Al respecto, la Comisión Federal de Electricidad debe notificar al Presidente Municipal, mediante oficio el programa de levantamiento del censo con un mes de anticipación; por otra parte, cabe precisar que la elaboración de los censos de alumbrado público se debe realizar de la siguiente manera: </w:t>
      </w:r>
    </w:p>
    <w:p w14:paraId="6647CBD8" w14:textId="77777777" w:rsidR="00B313C5" w:rsidRDefault="00B313C5" w:rsidP="00B313C5">
      <w:pPr>
        <w:spacing w:line="360" w:lineRule="auto"/>
        <w:jc w:val="both"/>
        <w:rPr>
          <w:rFonts w:ascii="Palatino Linotype" w:hAnsi="Palatino Linotype" w:cs="Tahoma"/>
          <w:iCs/>
          <w:sz w:val="22"/>
          <w:szCs w:val="22"/>
        </w:rPr>
      </w:pPr>
    </w:p>
    <w:p w14:paraId="6B63FA61" w14:textId="77777777" w:rsidR="00B313C5" w:rsidRPr="00C74E9B" w:rsidRDefault="00B313C5" w:rsidP="00725CAF">
      <w:pPr>
        <w:numPr>
          <w:ilvl w:val="0"/>
          <w:numId w:val="4"/>
        </w:numPr>
        <w:spacing w:line="360" w:lineRule="auto"/>
        <w:ind w:right="539"/>
        <w:jc w:val="both"/>
        <w:rPr>
          <w:rFonts w:ascii="Palatino Linotype" w:hAnsi="Palatino Linotype" w:cs="Tahoma"/>
          <w:bCs/>
          <w:iCs/>
          <w:sz w:val="22"/>
          <w:szCs w:val="22"/>
        </w:rPr>
      </w:pPr>
      <w:r w:rsidRPr="00C74E9B">
        <w:rPr>
          <w:rFonts w:ascii="Palatino Linotype" w:hAnsi="Palatino Linotype" w:cs="Tahoma"/>
          <w:bCs/>
          <w:iCs/>
          <w:sz w:val="22"/>
          <w:szCs w:val="22"/>
        </w:rPr>
        <w:lastRenderedPageBreak/>
        <w:t>Ciudades con más de 100,000 usuarios.</w:t>
      </w:r>
    </w:p>
    <w:p w14:paraId="75895512" w14:textId="77777777" w:rsidR="00B313C5" w:rsidRPr="00C74E9B" w:rsidRDefault="00B313C5" w:rsidP="00725CAF">
      <w:pPr>
        <w:numPr>
          <w:ilvl w:val="0"/>
          <w:numId w:val="4"/>
        </w:numPr>
        <w:spacing w:line="360" w:lineRule="auto"/>
        <w:ind w:right="539"/>
        <w:jc w:val="both"/>
        <w:rPr>
          <w:rFonts w:ascii="Palatino Linotype" w:hAnsi="Palatino Linotype" w:cs="Tahoma"/>
          <w:bCs/>
          <w:iCs/>
          <w:sz w:val="22"/>
          <w:szCs w:val="22"/>
        </w:rPr>
      </w:pPr>
      <w:r w:rsidRPr="00C74E9B">
        <w:rPr>
          <w:rFonts w:ascii="Palatino Linotype" w:hAnsi="Palatino Linotype" w:cs="Tahoma"/>
          <w:bCs/>
          <w:iCs/>
          <w:sz w:val="22"/>
          <w:szCs w:val="22"/>
        </w:rPr>
        <w:t>El resto de las ciudades, cuando menos una vez al año.</w:t>
      </w:r>
    </w:p>
    <w:p w14:paraId="30917ADE" w14:textId="77777777" w:rsidR="00B313C5" w:rsidRPr="00C74E9B" w:rsidRDefault="00B313C5" w:rsidP="00725CAF">
      <w:pPr>
        <w:numPr>
          <w:ilvl w:val="0"/>
          <w:numId w:val="4"/>
        </w:numPr>
        <w:spacing w:line="360" w:lineRule="auto"/>
        <w:ind w:right="539"/>
        <w:jc w:val="both"/>
        <w:rPr>
          <w:rFonts w:ascii="Palatino Linotype" w:hAnsi="Palatino Linotype" w:cs="Tahoma"/>
          <w:bCs/>
          <w:iCs/>
          <w:sz w:val="22"/>
          <w:szCs w:val="22"/>
        </w:rPr>
      </w:pPr>
      <w:r w:rsidRPr="00C74E9B">
        <w:rPr>
          <w:rFonts w:ascii="Palatino Linotype" w:hAnsi="Palatino Linotype" w:cs="Tahoma"/>
          <w:b/>
          <w:bCs/>
          <w:iCs/>
          <w:sz w:val="22"/>
          <w:szCs w:val="22"/>
        </w:rPr>
        <w:t>Censos entregados a las administraciones estatales o municipales salientes:</w:t>
      </w:r>
      <w:r w:rsidRPr="00C74E9B">
        <w:rPr>
          <w:rFonts w:ascii="Palatino Linotype" w:hAnsi="Palatino Linotype" w:cs="Tahoma"/>
          <w:bCs/>
          <w:iCs/>
          <w:sz w:val="22"/>
          <w:szCs w:val="22"/>
        </w:rPr>
        <w:t xml:space="preserve"> En los casos en que las administraciones estatales o municipales se encuentren en el último año de gestión, el censo de alumbrado se deberá presentar con una anticipación de seis meses antes de la entrega de poderes a la nueva administración, a fin de evitar retrasos en la gestión de la autorización de cobro de los nuevos importes facturados o de los ajustes a la facturación que resulten de la actualización de los censos.</w:t>
      </w:r>
    </w:p>
    <w:p w14:paraId="58235CB5" w14:textId="77777777" w:rsidR="00B313C5" w:rsidRDefault="00B313C5" w:rsidP="00B313C5">
      <w:pPr>
        <w:spacing w:line="360" w:lineRule="auto"/>
        <w:jc w:val="both"/>
        <w:rPr>
          <w:rFonts w:ascii="Palatino Linotype" w:hAnsi="Palatino Linotype" w:cs="Tahoma"/>
          <w:iCs/>
          <w:sz w:val="22"/>
          <w:szCs w:val="22"/>
        </w:rPr>
      </w:pPr>
    </w:p>
    <w:p w14:paraId="5FA85F39" w14:textId="77777777" w:rsidR="00B313C5" w:rsidRDefault="00B313C5" w:rsidP="00B313C5">
      <w:pPr>
        <w:spacing w:line="360" w:lineRule="auto"/>
        <w:jc w:val="both"/>
        <w:rPr>
          <w:rFonts w:ascii="Palatino Linotype" w:hAnsi="Palatino Linotype" w:cs="Tahoma"/>
          <w:iCs/>
          <w:sz w:val="22"/>
          <w:szCs w:val="22"/>
        </w:rPr>
      </w:pPr>
      <w:r>
        <w:rPr>
          <w:rFonts w:ascii="Palatino Linotype" w:hAnsi="Palatino Linotype" w:cs="Tahoma"/>
          <w:iCs/>
          <w:sz w:val="22"/>
          <w:szCs w:val="22"/>
        </w:rPr>
        <w:t xml:space="preserve">Además, dicho censo se conformará por los siguientes Anexos: </w:t>
      </w:r>
    </w:p>
    <w:p w14:paraId="5959F4E2" w14:textId="77777777" w:rsidR="00B313C5" w:rsidRDefault="00B313C5" w:rsidP="00B313C5">
      <w:pPr>
        <w:spacing w:line="360" w:lineRule="auto"/>
        <w:jc w:val="both"/>
        <w:rPr>
          <w:rFonts w:ascii="Palatino Linotype" w:hAnsi="Palatino Linotype" w:cs="Tahoma"/>
          <w:iCs/>
          <w:sz w:val="22"/>
          <w:szCs w:val="22"/>
        </w:rPr>
      </w:pPr>
    </w:p>
    <w:p w14:paraId="6B146082" w14:textId="77777777" w:rsidR="00B313C5" w:rsidRPr="00AD4B80" w:rsidRDefault="00B313C5" w:rsidP="00725CAF">
      <w:pPr>
        <w:numPr>
          <w:ilvl w:val="0"/>
          <w:numId w:val="5"/>
        </w:numPr>
        <w:spacing w:line="360" w:lineRule="auto"/>
        <w:jc w:val="both"/>
        <w:rPr>
          <w:rFonts w:ascii="Palatino Linotype" w:hAnsi="Palatino Linotype" w:cs="Tahoma"/>
          <w:bCs/>
          <w:iCs/>
          <w:sz w:val="22"/>
          <w:szCs w:val="22"/>
        </w:rPr>
      </w:pPr>
      <w:r w:rsidRPr="00AD4B80">
        <w:rPr>
          <w:rFonts w:ascii="Palatino Linotype" w:hAnsi="Palatino Linotype" w:cs="Tahoma"/>
          <w:bCs/>
          <w:iCs/>
          <w:sz w:val="22"/>
          <w:szCs w:val="22"/>
        </w:rPr>
        <w:t>Convenio;</w:t>
      </w:r>
    </w:p>
    <w:p w14:paraId="07C75656" w14:textId="77777777" w:rsidR="00B313C5" w:rsidRPr="00AD4B80" w:rsidRDefault="00B313C5" w:rsidP="00725CAF">
      <w:pPr>
        <w:numPr>
          <w:ilvl w:val="0"/>
          <w:numId w:val="5"/>
        </w:numPr>
        <w:spacing w:line="360" w:lineRule="auto"/>
        <w:jc w:val="both"/>
        <w:rPr>
          <w:rFonts w:ascii="Palatino Linotype" w:hAnsi="Palatino Linotype" w:cs="Tahoma"/>
          <w:bCs/>
          <w:iCs/>
          <w:sz w:val="22"/>
          <w:szCs w:val="22"/>
        </w:rPr>
      </w:pPr>
      <w:r w:rsidRPr="00AD4B80">
        <w:rPr>
          <w:rFonts w:ascii="Palatino Linotype" w:hAnsi="Palatino Linotype" w:cs="Tahoma"/>
          <w:bCs/>
          <w:iCs/>
          <w:sz w:val="22"/>
          <w:szCs w:val="22"/>
        </w:rPr>
        <w:t>Desglose del censo;</w:t>
      </w:r>
    </w:p>
    <w:p w14:paraId="0547E581" w14:textId="77777777" w:rsidR="00B313C5" w:rsidRPr="00AD4B80" w:rsidRDefault="00B313C5" w:rsidP="00725CAF">
      <w:pPr>
        <w:numPr>
          <w:ilvl w:val="0"/>
          <w:numId w:val="5"/>
        </w:numPr>
        <w:spacing w:line="360" w:lineRule="auto"/>
        <w:jc w:val="both"/>
        <w:rPr>
          <w:rFonts w:ascii="Palatino Linotype" w:hAnsi="Palatino Linotype" w:cs="Tahoma"/>
          <w:bCs/>
          <w:iCs/>
          <w:sz w:val="22"/>
          <w:szCs w:val="22"/>
        </w:rPr>
      </w:pPr>
      <w:r w:rsidRPr="00AD4B80">
        <w:rPr>
          <w:rFonts w:ascii="Palatino Linotype" w:hAnsi="Palatino Linotype" w:cs="Tahoma"/>
          <w:bCs/>
          <w:iCs/>
          <w:sz w:val="22"/>
          <w:szCs w:val="22"/>
        </w:rPr>
        <w:t>Resumen del censo;</w:t>
      </w:r>
    </w:p>
    <w:p w14:paraId="323C4B8C" w14:textId="77777777" w:rsidR="00B313C5" w:rsidRPr="00AD4B80" w:rsidRDefault="00B313C5" w:rsidP="00725CAF">
      <w:pPr>
        <w:numPr>
          <w:ilvl w:val="0"/>
          <w:numId w:val="5"/>
        </w:numPr>
        <w:spacing w:line="360" w:lineRule="auto"/>
        <w:jc w:val="both"/>
        <w:rPr>
          <w:rFonts w:ascii="Palatino Linotype" w:hAnsi="Palatino Linotype" w:cs="Tahoma"/>
          <w:bCs/>
          <w:iCs/>
          <w:sz w:val="22"/>
          <w:szCs w:val="22"/>
        </w:rPr>
      </w:pPr>
      <w:r w:rsidRPr="00AD4B80">
        <w:rPr>
          <w:rFonts w:ascii="Palatino Linotype" w:hAnsi="Palatino Linotype" w:cs="Tahoma"/>
          <w:bCs/>
          <w:iCs/>
          <w:sz w:val="22"/>
          <w:szCs w:val="22"/>
        </w:rPr>
        <w:t>Minuta;</w:t>
      </w:r>
    </w:p>
    <w:p w14:paraId="4E2B10DA" w14:textId="77777777" w:rsidR="00B313C5" w:rsidRPr="00AD4B80" w:rsidRDefault="00B313C5" w:rsidP="00725CAF">
      <w:pPr>
        <w:numPr>
          <w:ilvl w:val="0"/>
          <w:numId w:val="5"/>
        </w:numPr>
        <w:spacing w:line="360" w:lineRule="auto"/>
        <w:jc w:val="both"/>
        <w:rPr>
          <w:rFonts w:ascii="Palatino Linotype" w:hAnsi="Palatino Linotype" w:cs="Tahoma"/>
          <w:bCs/>
          <w:iCs/>
          <w:sz w:val="22"/>
          <w:szCs w:val="22"/>
        </w:rPr>
      </w:pPr>
      <w:r w:rsidRPr="00AD4B80">
        <w:rPr>
          <w:rFonts w:ascii="Palatino Linotype" w:hAnsi="Palatino Linotype" w:cs="Tahoma"/>
          <w:bCs/>
          <w:iCs/>
          <w:sz w:val="22"/>
          <w:szCs w:val="22"/>
        </w:rPr>
        <w:t xml:space="preserve">Reporte de alta, bajas o modificaciones; </w:t>
      </w:r>
    </w:p>
    <w:p w14:paraId="6532509D" w14:textId="77777777" w:rsidR="00B313C5" w:rsidRPr="00AD4B80" w:rsidRDefault="00B313C5" w:rsidP="00725CAF">
      <w:pPr>
        <w:numPr>
          <w:ilvl w:val="0"/>
          <w:numId w:val="5"/>
        </w:numPr>
        <w:spacing w:line="360" w:lineRule="auto"/>
        <w:jc w:val="both"/>
        <w:rPr>
          <w:rFonts w:ascii="Palatino Linotype" w:hAnsi="Palatino Linotype" w:cs="Tahoma"/>
          <w:bCs/>
          <w:iCs/>
          <w:sz w:val="22"/>
          <w:szCs w:val="22"/>
        </w:rPr>
      </w:pPr>
      <w:r w:rsidRPr="00AD4B80">
        <w:rPr>
          <w:rFonts w:ascii="Palatino Linotype" w:hAnsi="Palatino Linotype" w:cs="Tahoma"/>
          <w:bCs/>
          <w:iCs/>
          <w:sz w:val="22"/>
          <w:szCs w:val="22"/>
        </w:rPr>
        <w:t>Reporte de correcciones de lámparas 24 horas, y</w:t>
      </w:r>
    </w:p>
    <w:p w14:paraId="279D8E65" w14:textId="73BB2373" w:rsidR="00B313C5" w:rsidRPr="00AF27EC" w:rsidRDefault="00B313C5" w:rsidP="00B313C5">
      <w:pPr>
        <w:numPr>
          <w:ilvl w:val="0"/>
          <w:numId w:val="5"/>
        </w:numPr>
        <w:spacing w:line="360" w:lineRule="auto"/>
        <w:jc w:val="both"/>
        <w:rPr>
          <w:rFonts w:ascii="Palatino Linotype" w:hAnsi="Palatino Linotype" w:cs="Tahoma"/>
          <w:bCs/>
          <w:iCs/>
          <w:sz w:val="22"/>
          <w:szCs w:val="22"/>
        </w:rPr>
      </w:pPr>
      <w:r w:rsidRPr="00AD4B80">
        <w:rPr>
          <w:rFonts w:ascii="Palatino Linotype" w:hAnsi="Palatino Linotype" w:cs="Tahoma"/>
          <w:bCs/>
          <w:iCs/>
          <w:sz w:val="22"/>
          <w:szCs w:val="22"/>
        </w:rPr>
        <w:t>Formato de verificación de ahorros de lámparas de alumbrado público con atenuador.</w:t>
      </w:r>
    </w:p>
    <w:p w14:paraId="2E93B388" w14:textId="77777777" w:rsidR="00744442" w:rsidRDefault="00744442" w:rsidP="00B313C5">
      <w:pPr>
        <w:spacing w:line="360" w:lineRule="auto"/>
        <w:jc w:val="both"/>
        <w:rPr>
          <w:rFonts w:ascii="Palatino Linotype" w:hAnsi="Palatino Linotype" w:cs="Tahoma"/>
          <w:bCs/>
          <w:iCs/>
          <w:sz w:val="22"/>
          <w:szCs w:val="22"/>
          <w:lang w:val="es-ES"/>
        </w:rPr>
      </w:pPr>
    </w:p>
    <w:p w14:paraId="626C70D0" w14:textId="625D4101" w:rsidR="00B313C5" w:rsidRDefault="00BD63AA" w:rsidP="00B313C5">
      <w:pPr>
        <w:spacing w:line="360" w:lineRule="auto"/>
        <w:jc w:val="both"/>
        <w:rPr>
          <w:rFonts w:ascii="Palatino Linotype" w:hAnsi="Palatino Linotype" w:cs="Tahoma"/>
          <w:bCs/>
          <w:iCs/>
          <w:sz w:val="22"/>
          <w:szCs w:val="22"/>
          <w:lang w:val="es-ES"/>
        </w:rPr>
      </w:pPr>
      <w:r>
        <w:rPr>
          <w:rFonts w:ascii="Palatino Linotype" w:hAnsi="Palatino Linotype" w:cs="Tahoma"/>
          <w:bCs/>
          <w:iCs/>
          <w:sz w:val="22"/>
          <w:szCs w:val="22"/>
          <w:lang w:val="es-ES"/>
        </w:rPr>
        <w:t xml:space="preserve">Por lo anterior y aunado a lo establecido </w:t>
      </w:r>
      <w:r w:rsidR="00D50137">
        <w:rPr>
          <w:rFonts w:ascii="Palatino Linotype" w:hAnsi="Palatino Linotype" w:cs="Tahoma"/>
          <w:bCs/>
          <w:iCs/>
          <w:sz w:val="22"/>
          <w:szCs w:val="22"/>
          <w:lang w:val="es-ES"/>
        </w:rPr>
        <w:t xml:space="preserve">en el artículo 8.71 del Código de Reglamentación Municipal de Metepec, que refiere que la </w:t>
      </w:r>
      <w:r w:rsidR="00D50137">
        <w:rPr>
          <w:rFonts w:ascii="Palatino Linotype" w:hAnsi="Palatino Linotype" w:cs="Tahoma"/>
          <w:b/>
          <w:iCs/>
          <w:sz w:val="22"/>
          <w:szCs w:val="22"/>
          <w:lang w:val="es-ES"/>
        </w:rPr>
        <w:t xml:space="preserve">Dirección de Servicios Públicos del Ayuntamiento de Metepec, </w:t>
      </w:r>
      <w:r w:rsidR="00D50137">
        <w:rPr>
          <w:rFonts w:ascii="Palatino Linotype" w:hAnsi="Palatino Linotype" w:cs="Tahoma"/>
          <w:bCs/>
          <w:iCs/>
          <w:sz w:val="22"/>
          <w:szCs w:val="22"/>
          <w:lang w:val="es-ES"/>
        </w:rPr>
        <w:t xml:space="preserve">deberá </w:t>
      </w:r>
      <w:r w:rsidR="00481B61">
        <w:rPr>
          <w:rFonts w:ascii="Palatino Linotype" w:hAnsi="Palatino Linotype" w:cs="Tahoma"/>
          <w:bCs/>
          <w:iCs/>
          <w:sz w:val="22"/>
          <w:szCs w:val="22"/>
          <w:lang w:val="es-ES"/>
        </w:rPr>
        <w:t xml:space="preserve">tener vigente la carga total de consumo energético en el alumbrado público a través del </w:t>
      </w:r>
      <w:r w:rsidR="00481B61" w:rsidRPr="00AF27EC">
        <w:rPr>
          <w:rFonts w:ascii="Palatino Linotype" w:hAnsi="Palatino Linotype" w:cs="Tahoma"/>
          <w:b/>
          <w:iCs/>
          <w:sz w:val="22"/>
          <w:szCs w:val="22"/>
          <w:lang w:val="es-ES"/>
        </w:rPr>
        <w:t>Censo de Alumbrado Público</w:t>
      </w:r>
      <w:r w:rsidR="00481B61">
        <w:rPr>
          <w:rFonts w:ascii="Palatino Linotype" w:hAnsi="Palatino Linotype" w:cs="Tahoma"/>
          <w:bCs/>
          <w:iCs/>
          <w:sz w:val="22"/>
          <w:szCs w:val="22"/>
          <w:lang w:val="es-ES"/>
        </w:rPr>
        <w:t>, que se levantará mínimo anualmente entre la Comisión Federal de Electricidad y personal de la coordinación de alumbrado</w:t>
      </w:r>
      <w:r w:rsidR="00B313C5">
        <w:rPr>
          <w:rFonts w:ascii="Palatino Linotype" w:hAnsi="Palatino Linotype" w:cs="Tahoma"/>
          <w:bCs/>
          <w:iCs/>
          <w:sz w:val="22"/>
          <w:szCs w:val="22"/>
          <w:lang w:val="es-ES"/>
        </w:rPr>
        <w:t xml:space="preserve">; al no proporcionar información relativa a este punto de la solicitud, </w:t>
      </w:r>
      <w:r w:rsidR="001E7A14">
        <w:rPr>
          <w:rFonts w:ascii="Palatino Linotype" w:hAnsi="Palatino Linotype" w:cs="Tahoma"/>
          <w:bCs/>
          <w:iCs/>
          <w:sz w:val="22"/>
          <w:szCs w:val="22"/>
          <w:lang w:val="es-ES"/>
        </w:rPr>
        <w:t xml:space="preserve">el Sujeto Obligado </w:t>
      </w:r>
      <w:r w:rsidR="00B313C5">
        <w:rPr>
          <w:rFonts w:ascii="Palatino Linotype" w:hAnsi="Palatino Linotype" w:cs="Tahoma"/>
          <w:bCs/>
          <w:iCs/>
          <w:sz w:val="22"/>
          <w:szCs w:val="22"/>
          <w:lang w:val="es-ES"/>
        </w:rPr>
        <w:t xml:space="preserve"> deberá realizar una búsqueda exhaustiva y razonable en todos los archivos, sobre todo de la Dirección </w:t>
      </w:r>
      <w:r w:rsidR="00B313C5">
        <w:rPr>
          <w:rFonts w:ascii="Palatino Linotype" w:hAnsi="Palatino Linotype" w:cs="Tahoma"/>
          <w:bCs/>
          <w:iCs/>
          <w:sz w:val="22"/>
          <w:szCs w:val="22"/>
          <w:lang w:val="es-ES"/>
        </w:rPr>
        <w:lastRenderedPageBreak/>
        <w:t>de Servicios Públicos y la Secretaría del Ayuntamiento</w:t>
      </w:r>
      <w:r w:rsidR="00AF27EC">
        <w:rPr>
          <w:rFonts w:ascii="Palatino Linotype" w:hAnsi="Palatino Linotype" w:cs="Tahoma"/>
          <w:bCs/>
          <w:iCs/>
          <w:sz w:val="22"/>
          <w:szCs w:val="22"/>
          <w:lang w:val="es-ES"/>
        </w:rPr>
        <w:t>,</w:t>
      </w:r>
      <w:r w:rsidR="00B313C5">
        <w:rPr>
          <w:rFonts w:ascii="Palatino Linotype" w:hAnsi="Palatino Linotype" w:cs="Tahoma"/>
          <w:bCs/>
          <w:iCs/>
          <w:sz w:val="22"/>
          <w:szCs w:val="22"/>
          <w:lang w:val="es-ES"/>
        </w:rPr>
        <w:t xml:space="preserve"> a efecto de que proporcione todos los documentos que conforman el</w:t>
      </w:r>
      <w:r w:rsidR="001E7A14">
        <w:rPr>
          <w:rFonts w:ascii="Palatino Linotype" w:hAnsi="Palatino Linotype" w:cs="Tahoma"/>
          <w:bCs/>
          <w:iCs/>
          <w:sz w:val="22"/>
          <w:szCs w:val="22"/>
          <w:lang w:val="es-ES"/>
        </w:rPr>
        <w:t xml:space="preserve"> los </w:t>
      </w:r>
      <w:r w:rsidR="00432FE2">
        <w:rPr>
          <w:rFonts w:ascii="Palatino Linotype" w:hAnsi="Palatino Linotype" w:cs="Tahoma"/>
          <w:bCs/>
          <w:iCs/>
          <w:sz w:val="22"/>
          <w:szCs w:val="22"/>
          <w:lang w:val="es-ES"/>
        </w:rPr>
        <w:t>C</w:t>
      </w:r>
      <w:r w:rsidR="001E7A14">
        <w:rPr>
          <w:rFonts w:ascii="Palatino Linotype" w:hAnsi="Palatino Linotype" w:cs="Tahoma"/>
          <w:bCs/>
          <w:iCs/>
          <w:sz w:val="22"/>
          <w:szCs w:val="22"/>
          <w:lang w:val="es-ES"/>
        </w:rPr>
        <w:t xml:space="preserve">ensos de </w:t>
      </w:r>
      <w:r w:rsidR="00432FE2">
        <w:rPr>
          <w:rFonts w:ascii="Palatino Linotype" w:hAnsi="Palatino Linotype" w:cs="Tahoma"/>
          <w:bCs/>
          <w:iCs/>
          <w:sz w:val="22"/>
          <w:szCs w:val="22"/>
          <w:lang w:val="es-ES"/>
        </w:rPr>
        <w:t>A</w:t>
      </w:r>
      <w:r w:rsidR="001E7A14">
        <w:rPr>
          <w:rFonts w:ascii="Palatino Linotype" w:hAnsi="Palatino Linotype" w:cs="Tahoma"/>
          <w:bCs/>
          <w:iCs/>
          <w:sz w:val="22"/>
          <w:szCs w:val="22"/>
          <w:lang w:val="es-ES"/>
        </w:rPr>
        <w:t xml:space="preserve">lumbrado </w:t>
      </w:r>
      <w:r w:rsidR="00432FE2">
        <w:rPr>
          <w:rFonts w:ascii="Palatino Linotype" w:hAnsi="Palatino Linotype" w:cs="Tahoma"/>
          <w:bCs/>
          <w:iCs/>
          <w:sz w:val="22"/>
          <w:szCs w:val="22"/>
          <w:lang w:val="es-ES"/>
        </w:rPr>
        <w:t>P</w:t>
      </w:r>
      <w:r w:rsidR="001E7A14">
        <w:rPr>
          <w:rFonts w:ascii="Palatino Linotype" w:hAnsi="Palatino Linotype" w:cs="Tahoma"/>
          <w:bCs/>
          <w:iCs/>
          <w:sz w:val="22"/>
          <w:szCs w:val="22"/>
          <w:lang w:val="es-ES"/>
        </w:rPr>
        <w:t xml:space="preserve">úblico de los años 2018, 2019, 2020 y 2021. </w:t>
      </w:r>
    </w:p>
    <w:p w14:paraId="044731D8" w14:textId="3A4FD20F" w:rsidR="000218E4" w:rsidRDefault="000218E4" w:rsidP="00B313C5">
      <w:pPr>
        <w:spacing w:line="360" w:lineRule="auto"/>
        <w:jc w:val="both"/>
        <w:rPr>
          <w:rFonts w:ascii="Palatino Linotype" w:hAnsi="Palatino Linotype" w:cs="Tahoma"/>
          <w:bCs/>
          <w:iCs/>
          <w:sz w:val="22"/>
          <w:szCs w:val="22"/>
          <w:lang w:val="es-ES"/>
        </w:rPr>
      </w:pPr>
    </w:p>
    <w:p w14:paraId="0F621DB1" w14:textId="2E4F1F7A" w:rsidR="000218E4" w:rsidRDefault="000218E4" w:rsidP="00725CAF">
      <w:pPr>
        <w:pStyle w:val="Prrafodelista"/>
        <w:numPr>
          <w:ilvl w:val="0"/>
          <w:numId w:val="7"/>
        </w:numPr>
        <w:spacing w:line="360" w:lineRule="auto"/>
        <w:ind w:left="426"/>
        <w:jc w:val="both"/>
        <w:rPr>
          <w:rFonts w:ascii="Palatino Linotype" w:hAnsi="Palatino Linotype" w:cs="Tahoma"/>
          <w:b/>
          <w:bCs/>
          <w:iCs/>
          <w:szCs w:val="22"/>
        </w:rPr>
      </w:pPr>
      <w:r w:rsidRPr="00ED29C0">
        <w:rPr>
          <w:rFonts w:ascii="Palatino Linotype" w:hAnsi="Palatino Linotype" w:cs="Tahoma"/>
          <w:b/>
          <w:bCs/>
          <w:iCs/>
          <w:szCs w:val="22"/>
        </w:rPr>
        <w:t xml:space="preserve">Requerimiento </w:t>
      </w:r>
      <w:r>
        <w:rPr>
          <w:rFonts w:ascii="Palatino Linotype" w:hAnsi="Palatino Linotype" w:cs="Tahoma"/>
          <w:b/>
          <w:bCs/>
          <w:iCs/>
          <w:szCs w:val="22"/>
        </w:rPr>
        <w:t xml:space="preserve">2. </w:t>
      </w:r>
    </w:p>
    <w:p w14:paraId="2C7753C7" w14:textId="3878659E" w:rsidR="000218E4" w:rsidRDefault="000218E4" w:rsidP="000218E4">
      <w:pPr>
        <w:spacing w:line="360" w:lineRule="auto"/>
        <w:jc w:val="both"/>
        <w:rPr>
          <w:rFonts w:ascii="Palatino Linotype" w:hAnsi="Palatino Linotype" w:cs="Tahoma"/>
          <w:b/>
          <w:bCs/>
          <w:iCs/>
          <w:szCs w:val="22"/>
        </w:rPr>
      </w:pPr>
    </w:p>
    <w:p w14:paraId="7DDF41FA" w14:textId="06DF0A72" w:rsidR="000218E4" w:rsidRPr="000218E4" w:rsidRDefault="000218E4" w:rsidP="00432FE2">
      <w:pPr>
        <w:pStyle w:val="Prrafodelista"/>
        <w:numPr>
          <w:ilvl w:val="0"/>
          <w:numId w:val="6"/>
        </w:numPr>
        <w:spacing w:line="360" w:lineRule="auto"/>
        <w:ind w:left="993"/>
        <w:jc w:val="both"/>
        <w:rPr>
          <w:rFonts w:ascii="Palatino Linotype" w:hAnsi="Palatino Linotype" w:cs="Tahoma"/>
          <w:b/>
          <w:bCs/>
          <w:iCs/>
          <w:szCs w:val="22"/>
        </w:rPr>
      </w:pPr>
      <w:r>
        <w:rPr>
          <w:rFonts w:ascii="Palatino Linotype" w:hAnsi="Palatino Linotype" w:cs="Tahoma"/>
          <w:iCs/>
          <w:szCs w:val="22"/>
        </w:rPr>
        <w:t>Convenio para la re</w:t>
      </w:r>
      <w:r w:rsidR="00AB4C1B">
        <w:rPr>
          <w:rFonts w:ascii="Palatino Linotype" w:hAnsi="Palatino Linotype" w:cs="Tahoma"/>
          <w:iCs/>
          <w:szCs w:val="22"/>
        </w:rPr>
        <w:t xml:space="preserve">caudación del Derecho de Alumbrado Público (DAP), entre la Comisión Federal de Electricidad y el Municipio, correspondiente a los años 2018, 2019, 2020 y 2021. </w:t>
      </w:r>
    </w:p>
    <w:p w14:paraId="233A51D5" w14:textId="4B736506" w:rsidR="000218E4" w:rsidRDefault="000218E4" w:rsidP="00B313C5">
      <w:pPr>
        <w:spacing w:line="360" w:lineRule="auto"/>
        <w:jc w:val="both"/>
        <w:rPr>
          <w:rFonts w:ascii="Palatino Linotype" w:hAnsi="Palatino Linotype" w:cs="Tahoma"/>
          <w:bCs/>
          <w:iCs/>
          <w:sz w:val="22"/>
          <w:szCs w:val="22"/>
          <w:lang w:val="es-ES"/>
        </w:rPr>
      </w:pPr>
    </w:p>
    <w:p w14:paraId="24F76A6D" w14:textId="65E7C16F" w:rsidR="00DE3317" w:rsidRDefault="00DE3317" w:rsidP="00B313C5">
      <w:pPr>
        <w:spacing w:line="360" w:lineRule="auto"/>
        <w:jc w:val="both"/>
        <w:rPr>
          <w:rFonts w:ascii="Palatino Linotype" w:hAnsi="Palatino Linotype" w:cs="Tahoma"/>
          <w:bCs/>
          <w:iCs/>
          <w:sz w:val="22"/>
          <w:szCs w:val="22"/>
          <w:lang w:val="es-ES"/>
        </w:rPr>
      </w:pPr>
      <w:r>
        <w:rPr>
          <w:rFonts w:ascii="Palatino Linotype" w:hAnsi="Palatino Linotype" w:cs="Tahoma"/>
          <w:bCs/>
          <w:iCs/>
          <w:sz w:val="22"/>
          <w:szCs w:val="22"/>
          <w:lang w:val="es-ES"/>
        </w:rPr>
        <w:t xml:space="preserve">En principio, es necesario destacar que el artículo 31, fracción II y VII de la Ley Orgánica Municipal del Estado de México, precisa que son atribuciones de los Ayuntamientos celebrar convenios con las autoridades estatales en relación con la prestación de servicios públicos; además de convenir, contratar o concesionar la ejecución de obras, prestación de servicios públicos, con el Estado, municipios o particulares. </w:t>
      </w:r>
    </w:p>
    <w:p w14:paraId="06F4ACF3" w14:textId="739B8FC9" w:rsidR="00DE3317" w:rsidRDefault="00DE3317" w:rsidP="00B313C5">
      <w:pPr>
        <w:spacing w:line="360" w:lineRule="auto"/>
        <w:jc w:val="both"/>
        <w:rPr>
          <w:rFonts w:ascii="Palatino Linotype" w:hAnsi="Palatino Linotype" w:cs="Tahoma"/>
          <w:bCs/>
          <w:iCs/>
          <w:sz w:val="22"/>
          <w:szCs w:val="22"/>
          <w:lang w:val="es-ES"/>
        </w:rPr>
      </w:pPr>
    </w:p>
    <w:p w14:paraId="31E803FD" w14:textId="58E411CE" w:rsidR="00DE3317" w:rsidRDefault="00DE3317" w:rsidP="00B313C5">
      <w:pPr>
        <w:spacing w:line="360" w:lineRule="auto"/>
        <w:jc w:val="both"/>
        <w:rPr>
          <w:rFonts w:ascii="Palatino Linotype" w:hAnsi="Palatino Linotype" w:cs="Tahoma"/>
          <w:bCs/>
          <w:iCs/>
          <w:sz w:val="22"/>
          <w:szCs w:val="22"/>
          <w:lang w:val="es-ES"/>
        </w:rPr>
      </w:pPr>
      <w:r>
        <w:rPr>
          <w:rFonts w:ascii="Palatino Linotype" w:hAnsi="Palatino Linotype" w:cs="Tahoma"/>
          <w:bCs/>
          <w:iCs/>
          <w:sz w:val="22"/>
          <w:szCs w:val="22"/>
          <w:lang w:val="es-ES"/>
        </w:rPr>
        <w:t xml:space="preserve">Por otra parte, cabe traer a colación los artículos 6, 7 y 8 de la Ley de la Comisión Federal de Electricidad, los cuales establecen lo siguiente: </w:t>
      </w:r>
    </w:p>
    <w:p w14:paraId="408BF423" w14:textId="77777777" w:rsidR="00DE3317" w:rsidRDefault="00DE3317" w:rsidP="00B313C5">
      <w:pPr>
        <w:spacing w:line="360" w:lineRule="auto"/>
        <w:jc w:val="both"/>
        <w:rPr>
          <w:rFonts w:ascii="Palatino Linotype" w:hAnsi="Palatino Linotype" w:cs="Tahoma"/>
          <w:bCs/>
          <w:iCs/>
          <w:sz w:val="22"/>
          <w:szCs w:val="22"/>
          <w:lang w:val="es-ES"/>
        </w:rPr>
      </w:pPr>
    </w:p>
    <w:p w14:paraId="398B1979" w14:textId="77777777" w:rsidR="00DE3317" w:rsidRPr="00DE3317" w:rsidRDefault="00DE3317" w:rsidP="00725CAF">
      <w:pPr>
        <w:numPr>
          <w:ilvl w:val="0"/>
          <w:numId w:val="11"/>
        </w:numPr>
        <w:spacing w:line="360" w:lineRule="auto"/>
        <w:jc w:val="both"/>
        <w:rPr>
          <w:rFonts w:ascii="Palatino Linotype" w:hAnsi="Palatino Linotype" w:cs="Tahoma"/>
          <w:bCs/>
          <w:iCs/>
          <w:sz w:val="22"/>
          <w:szCs w:val="22"/>
        </w:rPr>
      </w:pPr>
      <w:r w:rsidRPr="00DE3317">
        <w:rPr>
          <w:rFonts w:ascii="Palatino Linotype" w:hAnsi="Palatino Linotype" w:cs="Tahoma"/>
          <w:bCs/>
          <w:iCs/>
          <w:sz w:val="22"/>
          <w:szCs w:val="22"/>
        </w:rPr>
        <w:t>Dicho ente, podrá realizar las actividades, operaciones o servicios necesarios para el cumplimiento de su objeto por sí misma mediante la celebración de contratos, convenios, alianzas, asociaciones o cualquier acto jurídico, con personas físicas o morales de los sectores públicos, privado, social, nacional o internacional;</w:t>
      </w:r>
    </w:p>
    <w:p w14:paraId="285D0855" w14:textId="77777777" w:rsidR="00DE3317" w:rsidRPr="00DE3317" w:rsidRDefault="00DE3317" w:rsidP="00DE3317">
      <w:pPr>
        <w:spacing w:line="360" w:lineRule="auto"/>
        <w:jc w:val="both"/>
        <w:rPr>
          <w:rFonts w:ascii="Palatino Linotype" w:hAnsi="Palatino Linotype" w:cs="Tahoma"/>
          <w:bCs/>
          <w:iCs/>
          <w:sz w:val="22"/>
          <w:szCs w:val="22"/>
        </w:rPr>
      </w:pPr>
    </w:p>
    <w:p w14:paraId="14156266" w14:textId="77777777" w:rsidR="00DE3317" w:rsidRPr="00DE3317" w:rsidRDefault="00DE3317" w:rsidP="00725CAF">
      <w:pPr>
        <w:numPr>
          <w:ilvl w:val="0"/>
          <w:numId w:val="11"/>
        </w:numPr>
        <w:spacing w:line="360" w:lineRule="auto"/>
        <w:jc w:val="both"/>
        <w:rPr>
          <w:rFonts w:ascii="Palatino Linotype" w:hAnsi="Palatino Linotype" w:cs="Tahoma"/>
          <w:bCs/>
          <w:iCs/>
          <w:sz w:val="22"/>
          <w:szCs w:val="22"/>
        </w:rPr>
      </w:pPr>
      <w:r w:rsidRPr="00DE3317">
        <w:rPr>
          <w:rFonts w:ascii="Palatino Linotype" w:hAnsi="Palatino Linotype" w:cs="Tahoma"/>
          <w:bCs/>
          <w:iCs/>
          <w:sz w:val="22"/>
          <w:szCs w:val="22"/>
        </w:rPr>
        <w:t>Para cumplir con su objeto, podrá celebrar con el Gobierno Federal y con personas físicas o morales, toda clase de actos, convenios y contratos con el fin de realizar las operaciones relacionadas directa o indirectamente con su objeto, y</w:t>
      </w:r>
    </w:p>
    <w:p w14:paraId="489288AC" w14:textId="77777777" w:rsidR="00DE3317" w:rsidRPr="00DE3317" w:rsidRDefault="00DE3317" w:rsidP="00725CAF">
      <w:pPr>
        <w:numPr>
          <w:ilvl w:val="0"/>
          <w:numId w:val="11"/>
        </w:numPr>
        <w:spacing w:line="360" w:lineRule="auto"/>
        <w:jc w:val="both"/>
        <w:rPr>
          <w:rFonts w:ascii="Palatino Linotype" w:hAnsi="Palatino Linotype" w:cs="Tahoma"/>
          <w:bCs/>
          <w:iCs/>
          <w:sz w:val="22"/>
          <w:szCs w:val="22"/>
        </w:rPr>
      </w:pPr>
      <w:r w:rsidRPr="00DE3317">
        <w:rPr>
          <w:rFonts w:ascii="Palatino Linotype" w:hAnsi="Palatino Linotype" w:cs="Tahoma"/>
          <w:bCs/>
          <w:iCs/>
          <w:sz w:val="22"/>
          <w:szCs w:val="22"/>
        </w:rPr>
        <w:lastRenderedPageBreak/>
        <w:t>Podrá celebrar contratos con particulares bajo esquemas que les generen una mayor productividad y rentabilidad, que incluya modalidades que les permitan asociarse o compartir, costos, gastos, inversiones, riesgos y demás aspectos de las actividades que realice.</w:t>
      </w:r>
    </w:p>
    <w:p w14:paraId="3892088D" w14:textId="77777777" w:rsidR="00DE3317" w:rsidRPr="00DE3317" w:rsidRDefault="00DE3317" w:rsidP="00DE3317">
      <w:pPr>
        <w:spacing w:line="360" w:lineRule="auto"/>
        <w:jc w:val="both"/>
        <w:rPr>
          <w:rFonts w:ascii="Palatino Linotype" w:hAnsi="Palatino Linotype" w:cs="Tahoma"/>
          <w:bCs/>
          <w:iCs/>
          <w:sz w:val="22"/>
          <w:szCs w:val="22"/>
        </w:rPr>
      </w:pPr>
    </w:p>
    <w:p w14:paraId="66075882" w14:textId="028767CB" w:rsidR="001262B4" w:rsidRPr="002F15AC" w:rsidRDefault="00DE3317" w:rsidP="001262B4">
      <w:pPr>
        <w:spacing w:line="360" w:lineRule="auto"/>
        <w:jc w:val="both"/>
        <w:rPr>
          <w:rFonts w:ascii="Palatino Linotype" w:hAnsi="Palatino Linotype" w:cs="Tahoma"/>
          <w:bCs/>
          <w:iCs/>
          <w:sz w:val="22"/>
          <w:szCs w:val="22"/>
        </w:rPr>
      </w:pPr>
      <w:r w:rsidRPr="00DE3317">
        <w:rPr>
          <w:rFonts w:ascii="Palatino Linotype" w:hAnsi="Palatino Linotype" w:cs="Tahoma"/>
          <w:bCs/>
          <w:iCs/>
          <w:sz w:val="22"/>
          <w:szCs w:val="22"/>
        </w:rPr>
        <w:t xml:space="preserve">Conforme a lo anterior, se puede advertir que tanto el Sujeto Obligado, como la Comisión </w:t>
      </w:r>
      <w:r w:rsidR="00432FE2">
        <w:rPr>
          <w:rFonts w:ascii="Palatino Linotype" w:hAnsi="Palatino Linotype" w:cs="Tahoma"/>
          <w:bCs/>
          <w:iCs/>
          <w:sz w:val="22"/>
          <w:szCs w:val="22"/>
        </w:rPr>
        <w:t xml:space="preserve">Federal de Electricidad, </w:t>
      </w:r>
      <w:r w:rsidRPr="00DE3317">
        <w:rPr>
          <w:rFonts w:ascii="Palatino Linotype" w:hAnsi="Palatino Linotype" w:cs="Tahoma"/>
          <w:bCs/>
          <w:iCs/>
          <w:sz w:val="22"/>
          <w:szCs w:val="22"/>
        </w:rPr>
        <w:t>tienen la atribución para celebrar contratos y convenios, para la prestación de servicios por concepto de suministro de energía eléctrica.</w:t>
      </w:r>
      <w:r w:rsidR="001262B4">
        <w:rPr>
          <w:rFonts w:ascii="Palatino Linotype" w:hAnsi="Palatino Linotype" w:cs="Tahoma"/>
          <w:bCs/>
          <w:iCs/>
          <w:sz w:val="22"/>
          <w:szCs w:val="22"/>
        </w:rPr>
        <w:t xml:space="preserve"> </w:t>
      </w:r>
      <w:r w:rsidR="001262B4" w:rsidRPr="001262B4">
        <w:rPr>
          <w:rFonts w:ascii="Palatino Linotype" w:hAnsi="Palatino Linotype" w:cs="Tahoma"/>
          <w:bCs/>
          <w:iCs/>
          <w:sz w:val="22"/>
          <w:szCs w:val="22"/>
        </w:rPr>
        <w:t xml:space="preserve">De tales circunstancias, se considera que el Sujeto Obligado deberá realizar una búsqueda exhaustiva y razonable en todos los archivos del Sujeto Obligado, a efecto de que proporcione los Convenios para recaudar el derecho de alumbrado público “DAP”, firmado entre la Comisión Federal de Electricidad al Municipio y el Ayuntamiento, celebrados </w:t>
      </w:r>
      <w:r w:rsidR="00360CDC">
        <w:rPr>
          <w:rFonts w:ascii="Palatino Linotype" w:hAnsi="Palatino Linotype" w:cs="Tahoma"/>
          <w:bCs/>
          <w:iCs/>
          <w:sz w:val="22"/>
          <w:szCs w:val="22"/>
        </w:rPr>
        <w:t xml:space="preserve">en el periodo </w:t>
      </w:r>
      <w:r w:rsidR="00360CDC" w:rsidRPr="002F15AC">
        <w:rPr>
          <w:rFonts w:ascii="Palatino Linotype" w:hAnsi="Palatino Linotype" w:cs="Tahoma"/>
          <w:bCs/>
          <w:iCs/>
          <w:sz w:val="22"/>
          <w:szCs w:val="22"/>
        </w:rPr>
        <w:t>comprendido del año 2018 al 2021.</w:t>
      </w:r>
    </w:p>
    <w:p w14:paraId="6EA30DE3" w14:textId="0058A23F" w:rsidR="00483890" w:rsidRPr="002F15AC" w:rsidRDefault="00483890" w:rsidP="001262B4">
      <w:pPr>
        <w:spacing w:line="360" w:lineRule="auto"/>
        <w:jc w:val="both"/>
        <w:rPr>
          <w:rFonts w:ascii="Palatino Linotype" w:hAnsi="Palatino Linotype" w:cs="Tahoma"/>
          <w:bCs/>
          <w:iCs/>
          <w:sz w:val="22"/>
          <w:szCs w:val="22"/>
        </w:rPr>
      </w:pPr>
    </w:p>
    <w:p w14:paraId="79DAA70E" w14:textId="735B3F05" w:rsidR="0056157A" w:rsidRDefault="00483890" w:rsidP="004A2A45">
      <w:pPr>
        <w:spacing w:line="360" w:lineRule="auto"/>
        <w:jc w:val="both"/>
        <w:rPr>
          <w:rFonts w:ascii="Palatino Linotype" w:hAnsi="Palatino Linotype" w:cs="Tahoma"/>
          <w:bCs/>
          <w:iCs/>
          <w:sz w:val="22"/>
          <w:szCs w:val="22"/>
        </w:rPr>
      </w:pPr>
      <w:r w:rsidRPr="002F15AC">
        <w:rPr>
          <w:rFonts w:ascii="Palatino Linotype" w:hAnsi="Palatino Linotype" w:cs="Tahoma"/>
          <w:bCs/>
          <w:iCs/>
          <w:sz w:val="22"/>
          <w:szCs w:val="22"/>
        </w:rPr>
        <w:t xml:space="preserve">Para el caso, de que el Ayuntamiento, no haya celebrado dichos </w:t>
      </w:r>
      <w:proofErr w:type="gramStart"/>
      <w:r w:rsidRPr="002F15AC">
        <w:rPr>
          <w:rFonts w:ascii="Palatino Linotype" w:hAnsi="Palatino Linotype" w:cs="Tahoma"/>
          <w:bCs/>
          <w:iCs/>
          <w:sz w:val="22"/>
          <w:szCs w:val="22"/>
        </w:rPr>
        <w:t>actos jurídico</w:t>
      </w:r>
      <w:proofErr w:type="gramEnd"/>
      <w:r w:rsidRPr="002F15AC">
        <w:rPr>
          <w:rFonts w:ascii="Palatino Linotype" w:hAnsi="Palatino Linotype" w:cs="Tahoma"/>
          <w:bCs/>
          <w:iCs/>
          <w:sz w:val="22"/>
          <w:szCs w:val="22"/>
        </w:rPr>
        <w:t>, dentro de la temporalidad referida, deberá hacerlo del conocimiento del ahora Recurrente, en términos del artículo 19, párrafo segundo de la Ley de Transparencia y Acceso a la Información Pública del Estado de México y Municipios.</w:t>
      </w:r>
    </w:p>
    <w:p w14:paraId="0E8DA21F" w14:textId="77777777" w:rsidR="00744442" w:rsidRPr="000C0E98" w:rsidRDefault="00744442" w:rsidP="004A2A45">
      <w:pPr>
        <w:spacing w:line="360" w:lineRule="auto"/>
        <w:jc w:val="both"/>
        <w:rPr>
          <w:rFonts w:ascii="Palatino Linotype" w:hAnsi="Palatino Linotype" w:cs="Tahoma"/>
          <w:bCs/>
          <w:iCs/>
          <w:sz w:val="22"/>
          <w:szCs w:val="22"/>
        </w:rPr>
      </w:pPr>
    </w:p>
    <w:p w14:paraId="5DA45AD6" w14:textId="0C0ED16A" w:rsidR="0056157A" w:rsidRDefault="0056157A" w:rsidP="00725CAF">
      <w:pPr>
        <w:pStyle w:val="Prrafodelista"/>
        <w:numPr>
          <w:ilvl w:val="0"/>
          <w:numId w:val="2"/>
        </w:numPr>
        <w:spacing w:line="360" w:lineRule="auto"/>
        <w:jc w:val="both"/>
        <w:rPr>
          <w:rFonts w:ascii="Palatino Linotype" w:hAnsi="Palatino Linotype" w:cs="Tahoma"/>
          <w:b/>
          <w:bCs/>
          <w:iCs/>
          <w:szCs w:val="22"/>
        </w:rPr>
      </w:pPr>
      <w:r w:rsidRPr="0056157A">
        <w:rPr>
          <w:rFonts w:ascii="Palatino Linotype" w:hAnsi="Palatino Linotype" w:cs="Tahoma"/>
          <w:b/>
          <w:bCs/>
          <w:iCs/>
          <w:szCs w:val="22"/>
        </w:rPr>
        <w:t>Requerimiento</w:t>
      </w:r>
      <w:r w:rsidR="00C8726A">
        <w:rPr>
          <w:rFonts w:ascii="Palatino Linotype" w:hAnsi="Palatino Linotype" w:cs="Tahoma"/>
          <w:b/>
          <w:bCs/>
          <w:iCs/>
          <w:szCs w:val="22"/>
        </w:rPr>
        <w:t>s</w:t>
      </w:r>
      <w:r w:rsidR="007201D0">
        <w:rPr>
          <w:rFonts w:ascii="Palatino Linotype" w:hAnsi="Palatino Linotype" w:cs="Tahoma"/>
          <w:b/>
          <w:bCs/>
          <w:iCs/>
          <w:szCs w:val="22"/>
        </w:rPr>
        <w:t xml:space="preserve"> 3. </w:t>
      </w:r>
    </w:p>
    <w:p w14:paraId="4EA9AE21" w14:textId="49C18594" w:rsidR="00D61EF1" w:rsidRDefault="00D61EF1" w:rsidP="00D61EF1">
      <w:pPr>
        <w:pStyle w:val="Prrafodelista"/>
        <w:spacing w:line="360" w:lineRule="auto"/>
        <w:jc w:val="both"/>
        <w:rPr>
          <w:rFonts w:ascii="Palatino Linotype" w:hAnsi="Palatino Linotype" w:cs="Tahoma"/>
          <w:b/>
          <w:bCs/>
          <w:iCs/>
          <w:szCs w:val="22"/>
        </w:rPr>
      </w:pPr>
    </w:p>
    <w:p w14:paraId="1C12C53C" w14:textId="54D9B23B" w:rsidR="005A2AA6" w:rsidRPr="005A2AA6" w:rsidRDefault="007201D0" w:rsidP="00725CAF">
      <w:pPr>
        <w:pStyle w:val="Prrafodelista"/>
        <w:numPr>
          <w:ilvl w:val="0"/>
          <w:numId w:val="8"/>
        </w:numPr>
        <w:autoSpaceDE w:val="0"/>
        <w:autoSpaceDN w:val="0"/>
        <w:adjustRightInd w:val="0"/>
        <w:spacing w:line="360" w:lineRule="auto"/>
        <w:ind w:left="567" w:right="539"/>
        <w:jc w:val="both"/>
        <w:rPr>
          <w:rFonts w:ascii="Palatino Linotype" w:eastAsia="Calibri" w:hAnsi="Palatino Linotype" w:cs="Tahoma"/>
          <w:color w:val="000000"/>
          <w:lang w:eastAsia="es-MX"/>
        </w:rPr>
      </w:pPr>
      <w:r>
        <w:rPr>
          <w:rFonts w:ascii="Palatino Linotype" w:eastAsia="Calibri" w:hAnsi="Palatino Linotype" w:cs="Tahoma"/>
          <w:color w:val="000000"/>
          <w:lang w:eastAsia="es-MX"/>
        </w:rPr>
        <w:t xml:space="preserve">Facturación por el consumo de energía eléctrica en el alumbrado público municipal, así como la recaudación del DAP, ambos desglosados de manera mensual, correspondiente a los años 2018, 2019, 2020 y 2021. </w:t>
      </w:r>
    </w:p>
    <w:p w14:paraId="5DBDA9C5" w14:textId="77777777" w:rsidR="00B82020" w:rsidRDefault="00B82020" w:rsidP="004A2A45">
      <w:pPr>
        <w:spacing w:line="360" w:lineRule="auto"/>
        <w:jc w:val="both"/>
        <w:rPr>
          <w:rFonts w:ascii="Palatino Linotype" w:hAnsi="Palatino Linotype" w:cs="Tahoma"/>
          <w:iCs/>
          <w:sz w:val="22"/>
          <w:szCs w:val="22"/>
        </w:rPr>
      </w:pPr>
    </w:p>
    <w:p w14:paraId="447803EC" w14:textId="0E69D332" w:rsidR="00412A1C" w:rsidRDefault="00CD7528" w:rsidP="004A2A45">
      <w:pPr>
        <w:spacing w:line="360" w:lineRule="auto"/>
        <w:jc w:val="both"/>
        <w:rPr>
          <w:rFonts w:ascii="Palatino Linotype" w:hAnsi="Palatino Linotype" w:cs="Tahoma"/>
          <w:iCs/>
          <w:sz w:val="22"/>
          <w:szCs w:val="22"/>
        </w:rPr>
      </w:pPr>
      <w:r>
        <w:rPr>
          <w:rFonts w:ascii="Palatino Linotype" w:hAnsi="Palatino Linotype" w:cs="Tahoma"/>
          <w:iCs/>
          <w:sz w:val="22"/>
          <w:szCs w:val="22"/>
        </w:rPr>
        <w:t>Ahora bien, en relación</w:t>
      </w:r>
      <w:r w:rsidR="003416A4">
        <w:rPr>
          <w:rFonts w:ascii="Palatino Linotype" w:hAnsi="Palatino Linotype" w:cs="Tahoma"/>
          <w:iCs/>
          <w:sz w:val="22"/>
          <w:szCs w:val="22"/>
        </w:rPr>
        <w:t xml:space="preserve"> </w:t>
      </w:r>
      <w:r w:rsidR="0054395F">
        <w:rPr>
          <w:rFonts w:ascii="Palatino Linotype" w:hAnsi="Palatino Linotype" w:cs="Tahoma"/>
          <w:iCs/>
          <w:sz w:val="22"/>
          <w:szCs w:val="22"/>
        </w:rPr>
        <w:t xml:space="preserve">con </w:t>
      </w:r>
      <w:r w:rsidR="00B574DE">
        <w:rPr>
          <w:rFonts w:ascii="Palatino Linotype" w:hAnsi="Palatino Linotype" w:cs="Tahoma"/>
          <w:iCs/>
          <w:sz w:val="22"/>
          <w:szCs w:val="22"/>
        </w:rPr>
        <w:t xml:space="preserve">este punto de la solicitud, </w:t>
      </w:r>
      <w:r w:rsidR="00494803">
        <w:rPr>
          <w:rFonts w:ascii="Palatino Linotype" w:hAnsi="Palatino Linotype" w:cs="Tahoma"/>
          <w:iCs/>
          <w:sz w:val="22"/>
          <w:szCs w:val="22"/>
        </w:rPr>
        <w:t>se tiene qu</w:t>
      </w:r>
      <w:r w:rsidR="00BD5BD1">
        <w:rPr>
          <w:rFonts w:ascii="Palatino Linotype" w:hAnsi="Palatino Linotype" w:cs="Tahoma"/>
          <w:iCs/>
          <w:sz w:val="22"/>
          <w:szCs w:val="22"/>
        </w:rPr>
        <w:t xml:space="preserve">e </w:t>
      </w:r>
      <w:r w:rsidR="00412A1C">
        <w:rPr>
          <w:rFonts w:ascii="Palatino Linotype" w:hAnsi="Palatino Linotype" w:cs="Tahoma"/>
          <w:iCs/>
          <w:sz w:val="22"/>
          <w:szCs w:val="22"/>
        </w:rPr>
        <w:t xml:space="preserve">el artículo 344 del Código Financiero del Estado de México y Municipios, indica que la Tesorería registrará </w:t>
      </w:r>
      <w:r w:rsidR="00412A1C">
        <w:rPr>
          <w:rFonts w:ascii="Palatino Linotype" w:hAnsi="Palatino Linotype" w:cs="Tahoma"/>
          <w:iCs/>
          <w:sz w:val="22"/>
          <w:szCs w:val="22"/>
        </w:rPr>
        <w:lastRenderedPageBreak/>
        <w:t xml:space="preserve">contablemente el efecto patrimonial y presupuestal de las operaciones financieras que realicen, en el momento que ocurran; para lo cual todo registro contable y presupuestal, deberá estar soportado con los documentos comprobatorios originales. </w:t>
      </w:r>
    </w:p>
    <w:p w14:paraId="3DA9AA6B" w14:textId="77777777" w:rsidR="00412A1C" w:rsidRDefault="00412A1C" w:rsidP="004A2A45">
      <w:pPr>
        <w:spacing w:line="360" w:lineRule="auto"/>
        <w:jc w:val="both"/>
        <w:rPr>
          <w:rFonts w:ascii="Palatino Linotype" w:hAnsi="Palatino Linotype" w:cs="Tahoma"/>
          <w:iCs/>
          <w:sz w:val="22"/>
          <w:szCs w:val="22"/>
        </w:rPr>
      </w:pPr>
    </w:p>
    <w:p w14:paraId="799661EA" w14:textId="41140BB1" w:rsidR="00397521" w:rsidRDefault="00412A1C" w:rsidP="004A2A45">
      <w:pPr>
        <w:spacing w:line="360" w:lineRule="auto"/>
        <w:jc w:val="both"/>
        <w:rPr>
          <w:rFonts w:ascii="Palatino Linotype" w:hAnsi="Palatino Linotype" w:cs="Tahoma"/>
          <w:iCs/>
          <w:sz w:val="22"/>
          <w:szCs w:val="22"/>
        </w:rPr>
      </w:pPr>
      <w:r>
        <w:rPr>
          <w:rFonts w:ascii="Palatino Linotype" w:hAnsi="Palatino Linotype" w:cs="Tahoma"/>
          <w:iCs/>
          <w:sz w:val="22"/>
          <w:szCs w:val="22"/>
        </w:rPr>
        <w:t xml:space="preserve">En ese contexto, el “Glosario de Términos Administrativos”, emitido por el Instituto Nacional de Administración Pública, </w:t>
      </w:r>
      <w:r w:rsidR="00C1317D">
        <w:rPr>
          <w:rFonts w:ascii="Palatino Linotype" w:hAnsi="Palatino Linotype" w:cs="Tahoma"/>
          <w:iCs/>
          <w:sz w:val="22"/>
          <w:szCs w:val="22"/>
        </w:rPr>
        <w:t xml:space="preserve">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señalan </w:t>
      </w:r>
      <w:r w:rsidR="000525EA">
        <w:rPr>
          <w:rFonts w:ascii="Palatino Linotype" w:hAnsi="Palatino Linotype" w:cs="Tahoma"/>
          <w:iCs/>
          <w:sz w:val="22"/>
          <w:szCs w:val="22"/>
        </w:rPr>
        <w:t xml:space="preserve">las siguientes definiciones para registro contable y registro presupuestario: </w:t>
      </w:r>
      <w:r w:rsidR="00ED4337">
        <w:rPr>
          <w:rFonts w:ascii="Palatino Linotype" w:hAnsi="Palatino Linotype" w:cs="Tahoma"/>
          <w:iCs/>
          <w:sz w:val="22"/>
          <w:szCs w:val="22"/>
        </w:rPr>
        <w:t xml:space="preserve"> </w:t>
      </w:r>
    </w:p>
    <w:p w14:paraId="17AA2984" w14:textId="0169BD01" w:rsidR="008164F6" w:rsidRDefault="008164F6" w:rsidP="00DD37A3">
      <w:pPr>
        <w:tabs>
          <w:tab w:val="left" w:pos="993"/>
        </w:tabs>
        <w:spacing w:line="360" w:lineRule="auto"/>
        <w:ind w:left="567"/>
        <w:jc w:val="both"/>
        <w:rPr>
          <w:rFonts w:ascii="Palatino Linotype" w:hAnsi="Palatino Linotype" w:cs="Tahoma"/>
          <w:iCs/>
          <w:sz w:val="22"/>
          <w:szCs w:val="22"/>
        </w:rPr>
      </w:pPr>
    </w:p>
    <w:p w14:paraId="71120F5C" w14:textId="77777777" w:rsidR="000525EA" w:rsidRPr="000525EA" w:rsidRDefault="000525EA" w:rsidP="00DD37A3">
      <w:pPr>
        <w:numPr>
          <w:ilvl w:val="0"/>
          <w:numId w:val="3"/>
        </w:numPr>
        <w:tabs>
          <w:tab w:val="left" w:pos="993"/>
        </w:tabs>
        <w:spacing w:line="360" w:lineRule="auto"/>
        <w:ind w:left="567" w:firstLine="0"/>
        <w:jc w:val="both"/>
        <w:rPr>
          <w:rFonts w:ascii="Palatino Linotype" w:hAnsi="Palatino Linotype" w:cs="Tahoma"/>
          <w:b/>
          <w:bCs/>
          <w:iCs/>
          <w:sz w:val="22"/>
          <w:szCs w:val="22"/>
        </w:rPr>
      </w:pPr>
      <w:r w:rsidRPr="000525EA">
        <w:rPr>
          <w:rFonts w:ascii="Palatino Linotype" w:hAnsi="Palatino Linotype" w:cs="Tahoma"/>
          <w:b/>
          <w:bCs/>
          <w:iCs/>
          <w:sz w:val="22"/>
          <w:szCs w:val="22"/>
        </w:rPr>
        <w:t xml:space="preserve">Registro Contable: </w:t>
      </w:r>
      <w:r w:rsidRPr="000525EA">
        <w:rPr>
          <w:rFonts w:ascii="Palatino Linotype" w:hAnsi="Palatino Linotype" w:cs="Tahoma"/>
          <w:bCs/>
          <w:iCs/>
          <w:sz w:val="22"/>
          <w:szCs w:val="22"/>
        </w:rPr>
        <w:t>Asiento que se realiza en los libros de contabilidad de las actividades relacionadas con el ingreso y egresos de un ente económico.</w:t>
      </w:r>
    </w:p>
    <w:p w14:paraId="5CE437E7" w14:textId="77777777" w:rsidR="000525EA" w:rsidRPr="000525EA" w:rsidRDefault="000525EA" w:rsidP="00DD37A3">
      <w:pPr>
        <w:numPr>
          <w:ilvl w:val="0"/>
          <w:numId w:val="3"/>
        </w:numPr>
        <w:tabs>
          <w:tab w:val="left" w:pos="993"/>
        </w:tabs>
        <w:spacing w:line="360" w:lineRule="auto"/>
        <w:ind w:left="567" w:firstLine="0"/>
        <w:jc w:val="both"/>
        <w:rPr>
          <w:rFonts w:ascii="Palatino Linotype" w:hAnsi="Palatino Linotype" w:cs="Tahoma"/>
          <w:bCs/>
          <w:iCs/>
          <w:sz w:val="22"/>
          <w:szCs w:val="22"/>
        </w:rPr>
      </w:pPr>
      <w:r w:rsidRPr="000525EA">
        <w:rPr>
          <w:rFonts w:ascii="Palatino Linotype" w:hAnsi="Palatino Linotype" w:cs="Tahoma"/>
          <w:b/>
          <w:iCs/>
          <w:sz w:val="22"/>
          <w:szCs w:val="22"/>
        </w:rPr>
        <w:t>Registro Presupuestario:</w:t>
      </w:r>
      <w:r w:rsidRPr="000525EA">
        <w:rPr>
          <w:rFonts w:ascii="Palatino Linotype" w:hAnsi="Palatino Linotype" w:cs="Tahoma"/>
          <w:bCs/>
          <w:iCs/>
          <w:sz w:val="22"/>
          <w:szCs w:val="22"/>
        </w:rPr>
        <w:t xml:space="preserve"> Asiento contable de las erogaciones realizadas por las dependencias y entidades con relación a la asignación, modificación y ejercicio de recursos presupuestarios.</w:t>
      </w:r>
    </w:p>
    <w:p w14:paraId="50847B92" w14:textId="03E77A2D" w:rsidR="000525EA" w:rsidRDefault="000525EA" w:rsidP="004A2A45">
      <w:pPr>
        <w:spacing w:line="360" w:lineRule="auto"/>
        <w:jc w:val="both"/>
        <w:rPr>
          <w:rFonts w:ascii="Palatino Linotype" w:hAnsi="Palatino Linotype" w:cs="Tahoma"/>
          <w:iCs/>
          <w:sz w:val="22"/>
          <w:szCs w:val="22"/>
        </w:rPr>
      </w:pPr>
    </w:p>
    <w:p w14:paraId="6246B24A" w14:textId="56F8E522" w:rsidR="000525EA" w:rsidRDefault="000525EA" w:rsidP="004A2A45">
      <w:pPr>
        <w:spacing w:line="360" w:lineRule="auto"/>
        <w:jc w:val="both"/>
        <w:rPr>
          <w:rFonts w:ascii="Palatino Linotype" w:hAnsi="Palatino Linotype" w:cs="Tahoma"/>
          <w:iCs/>
          <w:sz w:val="22"/>
          <w:szCs w:val="22"/>
        </w:rPr>
      </w:pPr>
      <w:r>
        <w:rPr>
          <w:rFonts w:ascii="Palatino Linotype" w:hAnsi="Palatino Linotype" w:cs="Tahoma"/>
          <w:iCs/>
          <w:sz w:val="22"/>
          <w:szCs w:val="22"/>
        </w:rPr>
        <w:t xml:space="preserve">De tal situación, se desprende </w:t>
      </w:r>
      <w:r w:rsidR="00BB0537">
        <w:rPr>
          <w:rFonts w:ascii="Palatino Linotype" w:hAnsi="Palatino Linotype" w:cs="Tahoma"/>
          <w:iCs/>
          <w:sz w:val="22"/>
          <w:szCs w:val="22"/>
        </w:rPr>
        <w:t xml:space="preserve">que dichos registros son un control financiero que es llevado por la Tesorería Municipal, los cuales deberán ser sustentados con los </w:t>
      </w:r>
      <w:r w:rsidR="00BB0537">
        <w:rPr>
          <w:rFonts w:ascii="Palatino Linotype" w:hAnsi="Palatino Linotype" w:cs="Tahoma"/>
          <w:b/>
          <w:bCs/>
          <w:iCs/>
          <w:sz w:val="22"/>
          <w:szCs w:val="22"/>
        </w:rPr>
        <w:t xml:space="preserve">documentos comprobatorios originales; </w:t>
      </w:r>
      <w:r w:rsidR="00BB0537">
        <w:rPr>
          <w:rFonts w:ascii="Palatino Linotype" w:hAnsi="Palatino Linotype" w:cs="Tahoma"/>
          <w:iCs/>
          <w:sz w:val="22"/>
          <w:szCs w:val="22"/>
        </w:rPr>
        <w:t xml:space="preserve">por lo cual los Comprobantes Fiscales Digitales por Internet, son documentos con los que cuenta el Sujeto </w:t>
      </w:r>
      <w:r w:rsidR="00B71296">
        <w:rPr>
          <w:rFonts w:ascii="Palatino Linotype" w:hAnsi="Palatino Linotype" w:cs="Tahoma"/>
          <w:iCs/>
          <w:sz w:val="22"/>
          <w:szCs w:val="22"/>
        </w:rPr>
        <w:t xml:space="preserve">Obligado, dado que son el comprobante de recursos públicos. </w:t>
      </w:r>
    </w:p>
    <w:p w14:paraId="257B1C60" w14:textId="7EFC4C3D" w:rsidR="00B71296" w:rsidRDefault="00B71296" w:rsidP="004A2A45">
      <w:pPr>
        <w:spacing w:line="360" w:lineRule="auto"/>
        <w:jc w:val="both"/>
        <w:rPr>
          <w:rFonts w:ascii="Palatino Linotype" w:hAnsi="Palatino Linotype" w:cs="Tahoma"/>
          <w:iCs/>
          <w:sz w:val="22"/>
          <w:szCs w:val="22"/>
        </w:rPr>
      </w:pPr>
    </w:p>
    <w:p w14:paraId="3005B74C" w14:textId="3562B296" w:rsidR="00B71296" w:rsidRDefault="00B71296" w:rsidP="004A2A45">
      <w:pPr>
        <w:spacing w:line="360" w:lineRule="auto"/>
        <w:jc w:val="both"/>
        <w:rPr>
          <w:rFonts w:ascii="Palatino Linotype" w:hAnsi="Palatino Linotype" w:cs="Tahoma"/>
          <w:iCs/>
          <w:sz w:val="22"/>
          <w:szCs w:val="22"/>
        </w:rPr>
      </w:pPr>
      <w:r>
        <w:rPr>
          <w:rFonts w:ascii="Palatino Linotype" w:hAnsi="Palatino Linotype" w:cs="Tahoma"/>
          <w:iCs/>
          <w:sz w:val="22"/>
          <w:szCs w:val="22"/>
        </w:rPr>
        <w:t xml:space="preserve">De tal circunstancia, se considera que los documentos que pudieran dar cuenta del importe por concepto de alumbrado público facturado por la Comisión Federal de </w:t>
      </w:r>
      <w:r w:rsidR="006C5426">
        <w:rPr>
          <w:rFonts w:ascii="Palatino Linotype" w:hAnsi="Palatino Linotype" w:cs="Tahoma"/>
          <w:iCs/>
          <w:sz w:val="22"/>
          <w:szCs w:val="22"/>
        </w:rPr>
        <w:t>Electricidad</w:t>
      </w:r>
      <w:r>
        <w:rPr>
          <w:rFonts w:ascii="Palatino Linotype" w:hAnsi="Palatino Linotype" w:cs="Tahoma"/>
          <w:iCs/>
          <w:sz w:val="22"/>
          <w:szCs w:val="22"/>
        </w:rPr>
        <w:t xml:space="preserve"> sería</w:t>
      </w:r>
      <w:r w:rsidR="00912F63">
        <w:rPr>
          <w:rFonts w:ascii="Palatino Linotype" w:hAnsi="Palatino Linotype" w:cs="Tahoma"/>
          <w:iCs/>
          <w:sz w:val="22"/>
          <w:szCs w:val="22"/>
        </w:rPr>
        <w:t xml:space="preserve">n </w:t>
      </w:r>
      <w:r w:rsidR="00912F63">
        <w:rPr>
          <w:rFonts w:ascii="Palatino Linotype" w:hAnsi="Palatino Linotype" w:cs="Tahoma"/>
          <w:iCs/>
          <w:sz w:val="22"/>
          <w:szCs w:val="22"/>
        </w:rPr>
        <w:lastRenderedPageBreak/>
        <w:t>los</w:t>
      </w:r>
      <w:r>
        <w:rPr>
          <w:rFonts w:ascii="Palatino Linotype" w:hAnsi="Palatino Linotype" w:cs="Tahoma"/>
          <w:iCs/>
          <w:sz w:val="22"/>
          <w:szCs w:val="22"/>
        </w:rPr>
        <w:t xml:space="preserve"> recibo</w:t>
      </w:r>
      <w:r w:rsidR="00912F63">
        <w:rPr>
          <w:rFonts w:ascii="Palatino Linotype" w:hAnsi="Palatino Linotype" w:cs="Tahoma"/>
          <w:iCs/>
          <w:sz w:val="22"/>
          <w:szCs w:val="22"/>
        </w:rPr>
        <w:t>s</w:t>
      </w:r>
      <w:r>
        <w:rPr>
          <w:rFonts w:ascii="Palatino Linotype" w:hAnsi="Palatino Linotype" w:cs="Tahoma"/>
          <w:iCs/>
          <w:sz w:val="22"/>
          <w:szCs w:val="22"/>
        </w:rPr>
        <w:t xml:space="preserve"> expedido</w:t>
      </w:r>
      <w:r w:rsidR="00912F63">
        <w:rPr>
          <w:rFonts w:ascii="Palatino Linotype" w:hAnsi="Palatino Linotype" w:cs="Tahoma"/>
          <w:iCs/>
          <w:sz w:val="22"/>
          <w:szCs w:val="22"/>
        </w:rPr>
        <w:t>s</w:t>
      </w:r>
      <w:r>
        <w:rPr>
          <w:rFonts w:ascii="Palatino Linotype" w:hAnsi="Palatino Linotype" w:cs="Tahoma"/>
          <w:iCs/>
          <w:sz w:val="22"/>
          <w:szCs w:val="22"/>
        </w:rPr>
        <w:t xml:space="preserve"> por dicho ente</w:t>
      </w:r>
      <w:r w:rsidR="00912F63">
        <w:rPr>
          <w:rFonts w:ascii="Palatino Linotype" w:hAnsi="Palatino Linotype" w:cs="Tahoma"/>
          <w:iCs/>
          <w:sz w:val="22"/>
          <w:szCs w:val="22"/>
        </w:rPr>
        <w:t xml:space="preserve">, así como, su comprobante del pago realizado por el </w:t>
      </w:r>
      <w:r w:rsidR="007E7B6E">
        <w:rPr>
          <w:rFonts w:ascii="Palatino Linotype" w:hAnsi="Palatino Linotype" w:cs="Tahoma"/>
          <w:iCs/>
          <w:sz w:val="22"/>
          <w:szCs w:val="22"/>
        </w:rPr>
        <w:t>Municipio,</w:t>
      </w:r>
      <w:r w:rsidR="009F452B">
        <w:rPr>
          <w:rFonts w:ascii="Palatino Linotype" w:hAnsi="Palatino Linotype" w:cs="Tahoma"/>
          <w:iCs/>
          <w:sz w:val="22"/>
          <w:szCs w:val="22"/>
        </w:rPr>
        <w:t xml:space="preserve"> por ello,</w:t>
      </w:r>
      <w:r w:rsidR="007E7B6E">
        <w:rPr>
          <w:rFonts w:ascii="Palatino Linotype" w:hAnsi="Palatino Linotype" w:cs="Tahoma"/>
          <w:iCs/>
          <w:sz w:val="22"/>
          <w:szCs w:val="22"/>
        </w:rPr>
        <w:t xml:space="preserve"> </w:t>
      </w:r>
      <w:r w:rsidR="00912F63">
        <w:rPr>
          <w:rFonts w:ascii="Palatino Linotype" w:hAnsi="Palatino Linotype" w:cs="Tahoma"/>
          <w:iCs/>
          <w:sz w:val="22"/>
          <w:szCs w:val="22"/>
        </w:rPr>
        <w:t xml:space="preserve">se trae a colación un ejemplo del primero: </w:t>
      </w:r>
    </w:p>
    <w:p w14:paraId="7BEAB933" w14:textId="76CFD6CE" w:rsidR="00912F63" w:rsidRDefault="00912F63" w:rsidP="004A2A45">
      <w:pPr>
        <w:spacing w:line="360" w:lineRule="auto"/>
        <w:jc w:val="both"/>
        <w:rPr>
          <w:rFonts w:ascii="Palatino Linotype" w:hAnsi="Palatino Linotype" w:cs="Tahoma"/>
          <w:iCs/>
          <w:sz w:val="22"/>
          <w:szCs w:val="22"/>
        </w:rPr>
      </w:pPr>
    </w:p>
    <w:p w14:paraId="1E7091A7" w14:textId="60C603FE" w:rsidR="00912F63" w:rsidRPr="00BB0537" w:rsidRDefault="006109E9" w:rsidP="00912F63">
      <w:pPr>
        <w:spacing w:line="360" w:lineRule="auto"/>
        <w:jc w:val="center"/>
        <w:rPr>
          <w:rFonts w:ascii="Palatino Linotype" w:hAnsi="Palatino Linotype" w:cs="Tahoma"/>
          <w:iCs/>
          <w:sz w:val="22"/>
          <w:szCs w:val="22"/>
        </w:rPr>
      </w:pPr>
      <w:r>
        <w:rPr>
          <w:rFonts w:ascii="Palatino Linotype" w:hAnsi="Palatino Linotype" w:cs="Tahoma"/>
          <w:iCs/>
          <w:noProof/>
          <w:sz w:val="22"/>
          <w:szCs w:val="22"/>
          <w:lang w:eastAsia="es-MX"/>
        </w:rPr>
        <w:drawing>
          <wp:inline distT="0" distB="0" distL="0" distR="0" wp14:anchorId="43D9C6C8" wp14:editId="4E8BB5B0">
            <wp:extent cx="4078605" cy="1713230"/>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78605" cy="1713230"/>
                    </a:xfrm>
                    <a:prstGeom prst="rect">
                      <a:avLst/>
                    </a:prstGeom>
                    <a:noFill/>
                  </pic:spPr>
                </pic:pic>
              </a:graphicData>
            </a:graphic>
          </wp:inline>
        </w:drawing>
      </w:r>
    </w:p>
    <w:p w14:paraId="17D6C1EC" w14:textId="789FEB81" w:rsidR="008164F6" w:rsidRDefault="008164F6" w:rsidP="004A2A45">
      <w:pPr>
        <w:spacing w:line="360" w:lineRule="auto"/>
        <w:jc w:val="both"/>
        <w:rPr>
          <w:rFonts w:ascii="Palatino Linotype" w:hAnsi="Palatino Linotype" w:cs="Tahoma"/>
          <w:iCs/>
          <w:sz w:val="22"/>
          <w:szCs w:val="22"/>
        </w:rPr>
      </w:pPr>
    </w:p>
    <w:p w14:paraId="2A1AAB27" w14:textId="133BF70E" w:rsidR="00912F63" w:rsidRDefault="00912F63" w:rsidP="004A2A45">
      <w:pPr>
        <w:spacing w:line="360" w:lineRule="auto"/>
        <w:jc w:val="both"/>
        <w:rPr>
          <w:rFonts w:ascii="Palatino Linotype" w:hAnsi="Palatino Linotype" w:cs="Tahoma"/>
          <w:iCs/>
          <w:sz w:val="22"/>
          <w:szCs w:val="22"/>
        </w:rPr>
      </w:pPr>
      <w:r>
        <w:rPr>
          <w:rFonts w:ascii="Palatino Linotype" w:hAnsi="Palatino Linotype" w:cs="Tahoma"/>
          <w:iCs/>
          <w:sz w:val="22"/>
          <w:szCs w:val="22"/>
        </w:rPr>
        <w:t>Además, se logra observar que entre sus datos principales se encuentra la ubicación del suministro, n</w:t>
      </w:r>
      <w:r w:rsidR="00043EE9">
        <w:rPr>
          <w:rFonts w:ascii="Palatino Linotype" w:hAnsi="Palatino Linotype" w:cs="Tahoma"/>
          <w:iCs/>
          <w:sz w:val="22"/>
          <w:szCs w:val="22"/>
        </w:rPr>
        <w:t xml:space="preserve">úmero de servicio, tarifa y medición, </w:t>
      </w:r>
      <w:r w:rsidR="00043EE9">
        <w:rPr>
          <w:rFonts w:ascii="Palatino Linotype" w:hAnsi="Palatino Linotype" w:cs="Tahoma"/>
          <w:b/>
          <w:bCs/>
          <w:iCs/>
          <w:sz w:val="22"/>
          <w:szCs w:val="22"/>
        </w:rPr>
        <w:t xml:space="preserve">total a pagar </w:t>
      </w:r>
      <w:r w:rsidR="00043EE9">
        <w:rPr>
          <w:rFonts w:ascii="Palatino Linotype" w:hAnsi="Palatino Linotype" w:cs="Tahoma"/>
          <w:iCs/>
          <w:sz w:val="22"/>
          <w:szCs w:val="22"/>
        </w:rPr>
        <w:t xml:space="preserve">y período facturado, y límite de pago, como se observa a continuación: </w:t>
      </w:r>
    </w:p>
    <w:p w14:paraId="7E818097" w14:textId="492F1D03" w:rsidR="00043EE9" w:rsidRDefault="00043EE9" w:rsidP="004A2A45">
      <w:pPr>
        <w:spacing w:line="360" w:lineRule="auto"/>
        <w:jc w:val="both"/>
        <w:rPr>
          <w:rFonts w:ascii="Palatino Linotype" w:hAnsi="Palatino Linotype" w:cs="Tahoma"/>
          <w:iCs/>
          <w:sz w:val="22"/>
          <w:szCs w:val="22"/>
        </w:rPr>
      </w:pPr>
    </w:p>
    <w:p w14:paraId="2F78D52E" w14:textId="5C28A5A5" w:rsidR="00043EE9" w:rsidRDefault="006109E9" w:rsidP="00043EE9">
      <w:pPr>
        <w:spacing w:line="360" w:lineRule="auto"/>
        <w:ind w:left="567"/>
        <w:jc w:val="both"/>
        <w:rPr>
          <w:rFonts w:ascii="Palatino Linotype" w:hAnsi="Palatino Linotype" w:cs="Tahoma"/>
          <w:iCs/>
          <w:sz w:val="22"/>
          <w:szCs w:val="22"/>
        </w:rPr>
      </w:pPr>
      <w:r>
        <w:rPr>
          <w:rFonts w:ascii="Palatino Linotype" w:hAnsi="Palatino Linotype" w:cs="Tahoma"/>
          <w:iCs/>
          <w:noProof/>
          <w:sz w:val="22"/>
          <w:szCs w:val="22"/>
          <w:lang w:eastAsia="es-MX"/>
        </w:rPr>
        <w:drawing>
          <wp:inline distT="0" distB="0" distL="0" distR="0" wp14:anchorId="3A9D5AB0" wp14:editId="68533BC3">
            <wp:extent cx="5005070" cy="1676400"/>
            <wp:effectExtent l="0" t="0" r="508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05070" cy="1676400"/>
                    </a:xfrm>
                    <a:prstGeom prst="rect">
                      <a:avLst/>
                    </a:prstGeom>
                    <a:noFill/>
                  </pic:spPr>
                </pic:pic>
              </a:graphicData>
            </a:graphic>
          </wp:inline>
        </w:drawing>
      </w:r>
    </w:p>
    <w:p w14:paraId="1813D5D0" w14:textId="42A4A2C8" w:rsidR="00043EE9" w:rsidRPr="00043EE9" w:rsidRDefault="00043EE9" w:rsidP="00043EE9">
      <w:pPr>
        <w:spacing w:line="360" w:lineRule="auto"/>
        <w:ind w:left="567"/>
        <w:jc w:val="both"/>
        <w:rPr>
          <w:rFonts w:ascii="Palatino Linotype" w:hAnsi="Palatino Linotype" w:cs="Tahoma"/>
          <w:iCs/>
          <w:sz w:val="22"/>
          <w:szCs w:val="22"/>
        </w:rPr>
      </w:pPr>
      <w:r w:rsidRPr="003D1C70">
        <w:rPr>
          <w:rFonts w:eastAsia="Calibri" w:cs="Tahoma"/>
          <w:bCs/>
          <w:noProof/>
          <w:lang w:eastAsia="es-MX"/>
        </w:rPr>
        <w:lastRenderedPageBreak/>
        <mc:AlternateContent>
          <mc:Choice Requires="wps">
            <w:drawing>
              <wp:anchor distT="0" distB="0" distL="114300" distR="114300" simplePos="0" relativeHeight="251659264" behindDoc="0" locked="0" layoutInCell="1" allowOverlap="1" wp14:anchorId="4105B4E3" wp14:editId="29C46028">
                <wp:simplePos x="0" y="0"/>
                <wp:positionH relativeFrom="column">
                  <wp:posOffset>429895</wp:posOffset>
                </wp:positionH>
                <wp:positionV relativeFrom="paragraph">
                  <wp:posOffset>1330325</wp:posOffset>
                </wp:positionV>
                <wp:extent cx="2247900" cy="504825"/>
                <wp:effectExtent l="19050" t="19050" r="19050" b="28575"/>
                <wp:wrapNone/>
                <wp:docPr id="37" name="Rectángulo 37"/>
                <wp:cNvGraphicFramePr/>
                <a:graphic xmlns:a="http://schemas.openxmlformats.org/drawingml/2006/main">
                  <a:graphicData uri="http://schemas.microsoft.com/office/word/2010/wordprocessingShape">
                    <wps:wsp>
                      <wps:cNvSpPr/>
                      <wps:spPr>
                        <a:xfrm>
                          <a:off x="0" y="0"/>
                          <a:ext cx="2247900" cy="504825"/>
                        </a:xfrm>
                        <a:prstGeom prst="rect">
                          <a:avLst/>
                        </a:prstGeom>
                        <a:noFill/>
                        <a:ln w="2857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ángulo 37" style="position:absolute;margin-left:33.85pt;margin-top:104.75pt;width:177pt;height:39.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ed="f" strokecolor="windowText" strokeweight="2.25pt" w14:anchorId="45E5EA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"/>
            </w:pict>
          </mc:Fallback>
        </mc:AlternateContent>
      </w:r>
      <w:r w:rsidRPr="003D1C70">
        <w:rPr>
          <w:rFonts w:eastAsia="Calibri" w:cs="Tahoma"/>
          <w:bCs/>
          <w:noProof/>
          <w:lang w:eastAsia="es-MX"/>
        </w:rPr>
        <w:drawing>
          <wp:inline distT="0" distB="0" distL="0" distR="0" wp14:anchorId="11034C60" wp14:editId="4695A89C">
            <wp:extent cx="5100915" cy="2377440"/>
            <wp:effectExtent l="0" t="0" r="5080" b="3810"/>
            <wp:docPr id="40" name="Imagen 40" descr="Interfaz de usuario gráfica, Texto, Aplicación, Correo electrón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n 40" descr="Interfaz de usuario gráfica, Texto, Aplicación, Correo electrónico&#10;&#10;Descripción generada automáticamente"/>
                    <pic:cNvPicPr/>
                  </pic:nvPicPr>
                  <pic:blipFill rotWithShape="1">
                    <a:blip r:embed="rId11"/>
                    <a:srcRect t="45924"/>
                    <a:stretch/>
                  </pic:blipFill>
                  <pic:spPr bwMode="auto">
                    <a:xfrm>
                      <a:off x="0" y="0"/>
                      <a:ext cx="5101618" cy="2377768"/>
                    </a:xfrm>
                    <a:prstGeom prst="rect">
                      <a:avLst/>
                    </a:prstGeom>
                    <a:ln>
                      <a:noFill/>
                    </a:ln>
                    <a:extLst>
                      <a:ext uri="{53640926-AAD7-44D8-BBD7-CCE9431645EC}">
                        <a14:shadowObscured xmlns:a14="http://schemas.microsoft.com/office/drawing/2010/main"/>
                      </a:ext>
                    </a:extLst>
                  </pic:spPr>
                </pic:pic>
              </a:graphicData>
            </a:graphic>
          </wp:inline>
        </w:drawing>
      </w:r>
    </w:p>
    <w:p w14:paraId="06B0423D" w14:textId="5856F40F" w:rsidR="00912F63" w:rsidRDefault="00912F63" w:rsidP="004A2A45">
      <w:pPr>
        <w:spacing w:line="360" w:lineRule="auto"/>
        <w:jc w:val="both"/>
        <w:rPr>
          <w:rFonts w:ascii="Palatino Linotype" w:hAnsi="Palatino Linotype" w:cs="Tahoma"/>
          <w:iCs/>
          <w:sz w:val="22"/>
          <w:szCs w:val="22"/>
        </w:rPr>
      </w:pPr>
    </w:p>
    <w:p w14:paraId="1ADDD438" w14:textId="17B2C38B" w:rsidR="00043EE9" w:rsidRDefault="00043EE9" w:rsidP="004A2A45">
      <w:pPr>
        <w:spacing w:line="360" w:lineRule="auto"/>
        <w:jc w:val="both"/>
        <w:rPr>
          <w:rFonts w:ascii="Palatino Linotype" w:hAnsi="Palatino Linotype" w:cs="Tahoma"/>
          <w:iCs/>
          <w:sz w:val="22"/>
          <w:szCs w:val="22"/>
        </w:rPr>
      </w:pPr>
      <w:r>
        <w:rPr>
          <w:rFonts w:ascii="Palatino Linotype" w:hAnsi="Palatino Linotype" w:cs="Tahoma"/>
          <w:iCs/>
          <w:sz w:val="22"/>
          <w:szCs w:val="22"/>
        </w:rPr>
        <w:t>Además, que el multicitado recibo, cuenta con un apartado denominado “</w:t>
      </w:r>
      <w:r w:rsidRPr="005675EE">
        <w:rPr>
          <w:rFonts w:ascii="Palatino Linotype" w:hAnsi="Palatino Linotype" w:cs="Tahoma"/>
          <w:b/>
          <w:bCs/>
          <w:iCs/>
          <w:sz w:val="22"/>
          <w:szCs w:val="22"/>
        </w:rPr>
        <w:t>Desglose del importe a pagar”</w:t>
      </w:r>
      <w:r>
        <w:rPr>
          <w:rFonts w:ascii="Palatino Linotype" w:hAnsi="Palatino Linotype" w:cs="Tahoma"/>
          <w:iCs/>
          <w:sz w:val="22"/>
          <w:szCs w:val="22"/>
        </w:rPr>
        <w:t xml:space="preserve">, el cual contiene, entre otros datos, el adeudo anterior y </w:t>
      </w:r>
      <w:r w:rsidRPr="005675EE">
        <w:rPr>
          <w:rFonts w:ascii="Palatino Linotype" w:hAnsi="Palatino Linotype" w:cs="Tahoma"/>
          <w:b/>
          <w:bCs/>
          <w:iCs/>
          <w:sz w:val="22"/>
          <w:szCs w:val="22"/>
        </w:rPr>
        <w:t xml:space="preserve">el </w:t>
      </w:r>
      <w:r w:rsidR="005675EE">
        <w:rPr>
          <w:rFonts w:ascii="Palatino Linotype" w:hAnsi="Palatino Linotype" w:cs="Tahoma"/>
          <w:b/>
          <w:bCs/>
          <w:iCs/>
          <w:sz w:val="22"/>
          <w:szCs w:val="22"/>
        </w:rPr>
        <w:t xml:space="preserve">importe del </w:t>
      </w:r>
      <w:r w:rsidRPr="005675EE">
        <w:rPr>
          <w:rFonts w:ascii="Palatino Linotype" w:hAnsi="Palatino Linotype" w:cs="Tahoma"/>
          <w:b/>
          <w:bCs/>
          <w:iCs/>
          <w:sz w:val="22"/>
          <w:szCs w:val="22"/>
        </w:rPr>
        <w:t>Derecho de Alumbrado Público (DAP)</w:t>
      </w:r>
      <w:r w:rsidR="00CF560B">
        <w:rPr>
          <w:rFonts w:ascii="Palatino Linotype" w:hAnsi="Palatino Linotype" w:cs="Tahoma"/>
          <w:iCs/>
          <w:sz w:val="22"/>
          <w:szCs w:val="22"/>
        </w:rPr>
        <w:t>, el cual daría cuenta del monto por concepto de recaudación del Derecho de Alumbrado Público (DAP)</w:t>
      </w:r>
      <w:r>
        <w:rPr>
          <w:rFonts w:ascii="Palatino Linotype" w:hAnsi="Palatino Linotype" w:cs="Tahoma"/>
          <w:iCs/>
          <w:sz w:val="22"/>
          <w:szCs w:val="22"/>
        </w:rPr>
        <w:t xml:space="preserve">, tal como se muestra en el siguiente ejemplo: </w:t>
      </w:r>
    </w:p>
    <w:p w14:paraId="664809DE" w14:textId="70DF38C9" w:rsidR="00043EE9" w:rsidRDefault="00043EE9" w:rsidP="004A2A45">
      <w:pPr>
        <w:spacing w:line="360" w:lineRule="auto"/>
        <w:jc w:val="both"/>
        <w:rPr>
          <w:rFonts w:ascii="Palatino Linotype" w:hAnsi="Palatino Linotype" w:cs="Tahoma"/>
          <w:iCs/>
          <w:sz w:val="22"/>
          <w:szCs w:val="22"/>
        </w:rPr>
      </w:pPr>
    </w:p>
    <w:p w14:paraId="3E9257FA" w14:textId="4977C313" w:rsidR="00043EE9" w:rsidRDefault="00CF19C8" w:rsidP="00043EE9">
      <w:pPr>
        <w:spacing w:line="360" w:lineRule="auto"/>
        <w:ind w:left="2127"/>
        <w:jc w:val="both"/>
        <w:rPr>
          <w:rFonts w:ascii="Palatino Linotype" w:hAnsi="Palatino Linotype" w:cs="Tahoma"/>
          <w:iCs/>
          <w:sz w:val="22"/>
          <w:szCs w:val="22"/>
        </w:rPr>
      </w:pPr>
      <w:r w:rsidRPr="003D1C70">
        <w:rPr>
          <w:noProof/>
          <w:lang w:eastAsia="es-MX"/>
        </w:rPr>
        <mc:AlternateContent>
          <mc:Choice Requires="wps">
            <w:drawing>
              <wp:anchor distT="0" distB="0" distL="114300" distR="114300" simplePos="0" relativeHeight="251663360" behindDoc="0" locked="0" layoutInCell="1" allowOverlap="1" wp14:anchorId="6CAB6B9C" wp14:editId="08A01FB6">
                <wp:simplePos x="0" y="0"/>
                <wp:positionH relativeFrom="margin">
                  <wp:posOffset>1609725</wp:posOffset>
                </wp:positionH>
                <wp:positionV relativeFrom="paragraph">
                  <wp:posOffset>846455</wp:posOffset>
                </wp:positionV>
                <wp:extent cx="2190750" cy="219075"/>
                <wp:effectExtent l="19050" t="19050" r="19050" b="28575"/>
                <wp:wrapNone/>
                <wp:docPr id="39" name="Rectángulo 39"/>
                <wp:cNvGraphicFramePr/>
                <a:graphic xmlns:a="http://schemas.openxmlformats.org/drawingml/2006/main">
                  <a:graphicData uri="http://schemas.microsoft.com/office/word/2010/wordprocessingShape">
                    <wps:wsp>
                      <wps:cNvSpPr/>
                      <wps:spPr>
                        <a:xfrm>
                          <a:off x="0" y="0"/>
                          <a:ext cx="2190750" cy="219075"/>
                        </a:xfrm>
                        <a:prstGeom prst="rect">
                          <a:avLst/>
                        </a:prstGeom>
                        <a:noFill/>
                        <a:ln w="381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ángulo 39" style="position:absolute;margin-left:126.75pt;margin-top:66.65pt;width:172.5pt;height:17.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windowText" strokeweight="3pt" w14:anchorId="667BD5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">
                <w10:wrap anchorx="margin"/>
              </v:rect>
            </w:pict>
          </mc:Fallback>
        </mc:AlternateContent>
      </w:r>
      <w:r w:rsidR="00043EE9" w:rsidRPr="003D1C70">
        <w:rPr>
          <w:noProof/>
          <w:lang w:eastAsia="es-MX"/>
        </w:rPr>
        <mc:AlternateContent>
          <mc:Choice Requires="wps">
            <w:drawing>
              <wp:anchor distT="0" distB="0" distL="114300" distR="114300" simplePos="0" relativeHeight="251661312" behindDoc="0" locked="0" layoutInCell="1" allowOverlap="1" wp14:anchorId="00A0C7F8" wp14:editId="0A9F2EB7">
                <wp:simplePos x="0" y="0"/>
                <wp:positionH relativeFrom="column">
                  <wp:posOffset>1609725</wp:posOffset>
                </wp:positionH>
                <wp:positionV relativeFrom="paragraph">
                  <wp:posOffset>370840</wp:posOffset>
                </wp:positionV>
                <wp:extent cx="2171700" cy="171450"/>
                <wp:effectExtent l="19050" t="19050" r="19050" b="19050"/>
                <wp:wrapNone/>
                <wp:docPr id="38" name="Rectángulo 38"/>
                <wp:cNvGraphicFramePr/>
                <a:graphic xmlns:a="http://schemas.openxmlformats.org/drawingml/2006/main">
                  <a:graphicData uri="http://schemas.microsoft.com/office/word/2010/wordprocessingShape">
                    <wps:wsp>
                      <wps:cNvSpPr/>
                      <wps:spPr>
                        <a:xfrm>
                          <a:off x="0" y="0"/>
                          <a:ext cx="2171700" cy="171450"/>
                        </a:xfrm>
                        <a:prstGeom prst="rect">
                          <a:avLst/>
                        </a:prstGeom>
                        <a:noFill/>
                        <a:ln w="381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ángulo 38" style="position:absolute;margin-left:126.75pt;margin-top:29.2pt;width:171pt;height: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3pt" w14:anchorId="52D307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"/>
            </w:pict>
          </mc:Fallback>
        </mc:AlternateContent>
      </w:r>
      <w:bookmarkStart w:id="3" w:name="_GoBack"/>
      <w:bookmarkEnd w:id="3"/>
      <w:r w:rsidR="006109E9">
        <w:rPr>
          <w:rFonts w:ascii="Palatino Linotype" w:hAnsi="Palatino Linotype" w:cs="Tahoma"/>
          <w:iCs/>
          <w:noProof/>
          <w:sz w:val="22"/>
          <w:szCs w:val="22"/>
          <w:lang w:eastAsia="es-MX"/>
        </w:rPr>
        <w:drawing>
          <wp:inline distT="0" distB="0" distL="0" distR="0" wp14:anchorId="5F2115F0" wp14:editId="1895E4D0">
            <wp:extent cx="2761615" cy="1134110"/>
            <wp:effectExtent l="0" t="0" r="635" b="889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61615" cy="1134110"/>
                    </a:xfrm>
                    <a:prstGeom prst="rect">
                      <a:avLst/>
                    </a:prstGeom>
                    <a:noFill/>
                  </pic:spPr>
                </pic:pic>
              </a:graphicData>
            </a:graphic>
          </wp:inline>
        </w:drawing>
      </w:r>
    </w:p>
    <w:p w14:paraId="0DFE8472" w14:textId="6DF951A5" w:rsidR="009F452B" w:rsidRDefault="009F452B" w:rsidP="004A2A45">
      <w:pPr>
        <w:spacing w:line="360" w:lineRule="auto"/>
        <w:jc w:val="both"/>
        <w:rPr>
          <w:rFonts w:ascii="Palatino Linotype" w:hAnsi="Palatino Linotype" w:cs="Tahoma"/>
          <w:iCs/>
          <w:sz w:val="22"/>
          <w:szCs w:val="22"/>
        </w:rPr>
      </w:pPr>
    </w:p>
    <w:p w14:paraId="062ECB7A" w14:textId="208901AE" w:rsidR="00ED29C0" w:rsidRDefault="00ED3EA7" w:rsidP="004A2A45">
      <w:pPr>
        <w:spacing w:line="360" w:lineRule="auto"/>
        <w:jc w:val="both"/>
        <w:rPr>
          <w:rFonts w:ascii="Palatino Linotype" w:hAnsi="Palatino Linotype" w:cs="Tahoma"/>
          <w:iCs/>
          <w:sz w:val="22"/>
          <w:szCs w:val="22"/>
        </w:rPr>
      </w:pPr>
      <w:r>
        <w:rPr>
          <w:rFonts w:ascii="Palatino Linotype" w:hAnsi="Palatino Linotype" w:cs="Tahoma"/>
          <w:iCs/>
          <w:sz w:val="22"/>
          <w:szCs w:val="22"/>
        </w:rPr>
        <w:t>E</w:t>
      </w:r>
      <w:r w:rsidR="00FA0668">
        <w:rPr>
          <w:rFonts w:ascii="Palatino Linotype" w:hAnsi="Palatino Linotype" w:cs="Tahoma"/>
          <w:iCs/>
          <w:sz w:val="22"/>
          <w:szCs w:val="22"/>
        </w:rPr>
        <w:t>s por lo</w:t>
      </w:r>
      <w:r>
        <w:rPr>
          <w:rFonts w:ascii="Palatino Linotype" w:hAnsi="Palatino Linotype" w:cs="Tahoma"/>
          <w:iCs/>
          <w:sz w:val="22"/>
          <w:szCs w:val="22"/>
        </w:rPr>
        <w:t xml:space="preserve"> anterior, s</w:t>
      </w:r>
      <w:r w:rsidR="006C5426">
        <w:rPr>
          <w:rFonts w:ascii="Palatino Linotype" w:hAnsi="Palatino Linotype" w:cs="Tahoma"/>
          <w:iCs/>
          <w:sz w:val="22"/>
          <w:szCs w:val="22"/>
        </w:rPr>
        <w:t>e considera procedente ordenar la entrega</w:t>
      </w:r>
      <w:r w:rsidR="00B313C5">
        <w:rPr>
          <w:rFonts w:ascii="Palatino Linotype" w:hAnsi="Palatino Linotype" w:cs="Tahoma"/>
          <w:iCs/>
          <w:sz w:val="22"/>
          <w:szCs w:val="22"/>
        </w:rPr>
        <w:t>, previa búsqueda exhaustiva y razonable, las</w:t>
      </w:r>
      <w:r w:rsidR="00FB2C0C">
        <w:rPr>
          <w:rFonts w:ascii="Palatino Linotype" w:hAnsi="Palatino Linotype" w:cs="Tahoma"/>
          <w:iCs/>
          <w:sz w:val="22"/>
          <w:szCs w:val="22"/>
        </w:rPr>
        <w:t xml:space="preserve"> facturas por consumo de energía electrónica en el alumbrado público municipal</w:t>
      </w:r>
      <w:r w:rsidR="00CF560B">
        <w:rPr>
          <w:rFonts w:ascii="Palatino Linotype" w:hAnsi="Palatino Linotype" w:cs="Tahoma"/>
          <w:iCs/>
          <w:sz w:val="22"/>
          <w:szCs w:val="22"/>
        </w:rPr>
        <w:t>, en donde se puede advertir el monto de la</w:t>
      </w:r>
      <w:r w:rsidR="00FB2C0C">
        <w:rPr>
          <w:rFonts w:ascii="Palatino Linotype" w:hAnsi="Palatino Linotype" w:cs="Tahoma"/>
          <w:iCs/>
          <w:sz w:val="22"/>
          <w:szCs w:val="22"/>
        </w:rPr>
        <w:t xml:space="preserve"> recaudación del Derecho de Alumbrado Público</w:t>
      </w:r>
      <w:r w:rsidR="002A78DB">
        <w:rPr>
          <w:rFonts w:ascii="Palatino Linotype" w:hAnsi="Palatino Linotype" w:cs="Tahoma"/>
          <w:iCs/>
          <w:sz w:val="22"/>
          <w:szCs w:val="22"/>
        </w:rPr>
        <w:t xml:space="preserve"> (DAP)</w:t>
      </w:r>
      <w:r w:rsidR="00FB2C0C">
        <w:rPr>
          <w:rFonts w:ascii="Palatino Linotype" w:hAnsi="Palatino Linotype" w:cs="Tahoma"/>
          <w:iCs/>
          <w:sz w:val="22"/>
          <w:szCs w:val="22"/>
        </w:rPr>
        <w:t>, correspondiente a los años 2018</w:t>
      </w:r>
      <w:r w:rsidR="00B313C5">
        <w:rPr>
          <w:rFonts w:ascii="Palatino Linotype" w:hAnsi="Palatino Linotype" w:cs="Tahoma"/>
          <w:iCs/>
          <w:sz w:val="22"/>
          <w:szCs w:val="22"/>
        </w:rPr>
        <w:t xml:space="preserve">, 2019, 2020 y 2021. </w:t>
      </w:r>
    </w:p>
    <w:p w14:paraId="7368BC7A" w14:textId="77777777" w:rsidR="00B313C5" w:rsidRDefault="00B313C5" w:rsidP="004A2A45">
      <w:pPr>
        <w:spacing w:line="360" w:lineRule="auto"/>
        <w:jc w:val="both"/>
        <w:rPr>
          <w:rFonts w:ascii="Palatino Linotype" w:hAnsi="Palatino Linotype" w:cs="Tahoma"/>
          <w:iCs/>
          <w:sz w:val="22"/>
          <w:szCs w:val="22"/>
        </w:rPr>
      </w:pPr>
    </w:p>
    <w:p w14:paraId="310AC4D6" w14:textId="15C2AC4A" w:rsidR="00B678A1" w:rsidRDefault="00B313C5" w:rsidP="002769C1">
      <w:pPr>
        <w:spacing w:line="360" w:lineRule="auto"/>
        <w:jc w:val="both"/>
        <w:rPr>
          <w:rFonts w:ascii="Palatino Linotype" w:eastAsia="Calibri" w:hAnsi="Palatino Linotype" w:cs="Tahoma"/>
          <w:bCs/>
          <w:sz w:val="22"/>
          <w:szCs w:val="22"/>
        </w:rPr>
      </w:pPr>
      <w:r>
        <w:rPr>
          <w:rFonts w:ascii="Palatino Linotype" w:hAnsi="Palatino Linotype" w:cs="Tahoma"/>
          <w:iCs/>
          <w:sz w:val="22"/>
          <w:szCs w:val="22"/>
        </w:rPr>
        <w:lastRenderedPageBreak/>
        <w:t>F</w:t>
      </w:r>
      <w:r w:rsidR="006324C2">
        <w:rPr>
          <w:rFonts w:ascii="Palatino Linotype" w:eastAsia="Calibri" w:hAnsi="Palatino Linotype" w:cs="Tahoma"/>
          <w:bCs/>
          <w:sz w:val="22"/>
          <w:szCs w:val="22"/>
        </w:rPr>
        <w:t>inalmente</w:t>
      </w:r>
      <w:r w:rsidR="00B678A1">
        <w:rPr>
          <w:rFonts w:ascii="Palatino Linotype" w:eastAsia="Calibri" w:hAnsi="Palatino Linotype" w:cs="Tahoma"/>
          <w:bCs/>
          <w:sz w:val="22"/>
          <w:szCs w:val="22"/>
        </w:rPr>
        <w:t xml:space="preserve">, no pasa desapercibido </w:t>
      </w:r>
      <w:r w:rsidR="006324C2">
        <w:rPr>
          <w:rFonts w:ascii="Palatino Linotype" w:eastAsia="Calibri" w:hAnsi="Palatino Linotype" w:cs="Tahoma"/>
          <w:bCs/>
          <w:sz w:val="22"/>
          <w:szCs w:val="22"/>
        </w:rPr>
        <w:t xml:space="preserve">mencionar </w:t>
      </w:r>
      <w:r w:rsidR="00B678A1">
        <w:rPr>
          <w:rFonts w:ascii="Palatino Linotype" w:eastAsia="Calibri" w:hAnsi="Palatino Linotype" w:cs="Tahoma"/>
          <w:bCs/>
          <w:sz w:val="22"/>
          <w:szCs w:val="22"/>
        </w:rPr>
        <w:t xml:space="preserve">que la información </w:t>
      </w:r>
      <w:r w:rsidR="002A78DB">
        <w:rPr>
          <w:rFonts w:ascii="Palatino Linotype" w:eastAsia="Calibri" w:hAnsi="Palatino Linotype" w:cs="Tahoma"/>
          <w:bCs/>
          <w:sz w:val="22"/>
          <w:szCs w:val="22"/>
        </w:rPr>
        <w:t>solicitada</w:t>
      </w:r>
      <w:r w:rsidR="00B678A1">
        <w:rPr>
          <w:rFonts w:ascii="Palatino Linotype" w:eastAsia="Calibri" w:hAnsi="Palatino Linotype" w:cs="Tahoma"/>
          <w:bCs/>
          <w:sz w:val="22"/>
          <w:szCs w:val="22"/>
        </w:rPr>
        <w:t xml:space="preserve">, podría contener datos confidenciales: por lo que, en su caso deberá entregar versión pública en la que se eliminen estos, junto con el </w:t>
      </w:r>
      <w:r w:rsidR="000D4A03">
        <w:rPr>
          <w:rFonts w:ascii="Palatino Linotype" w:eastAsia="Calibri" w:hAnsi="Palatino Linotype" w:cs="Tahoma"/>
          <w:bCs/>
          <w:sz w:val="22"/>
          <w:szCs w:val="22"/>
        </w:rPr>
        <w:t xml:space="preserve">acuerdo del Comité de Transparencia, en el que </w:t>
      </w:r>
      <w:r w:rsidR="000D4A03" w:rsidRPr="000D4A03">
        <w:rPr>
          <w:rFonts w:ascii="Palatino Linotype" w:eastAsia="Calibri" w:hAnsi="Palatino Linotype" w:cs="Tahoma"/>
          <w:bCs/>
          <w:sz w:val="22"/>
          <w:szCs w:val="22"/>
        </w:rPr>
        <w:t>funde y motive la eliminación de la información, de conformidad con lo establecido en los artículos 49, fracciones II y VIII, 128, 132, fracción I, 138, 143 y 149 de la Ley de Transparencia y Acceso a la Información Pública de Estado de México y Municipios.</w:t>
      </w:r>
    </w:p>
    <w:p w14:paraId="68585544" w14:textId="1FCC0F5C" w:rsidR="00BE344F" w:rsidRDefault="00BE344F" w:rsidP="002769C1">
      <w:pPr>
        <w:spacing w:line="360" w:lineRule="auto"/>
        <w:jc w:val="both"/>
        <w:rPr>
          <w:rFonts w:ascii="Palatino Linotype" w:eastAsia="Calibri" w:hAnsi="Palatino Linotype" w:cs="Tahoma"/>
          <w:bCs/>
          <w:sz w:val="22"/>
          <w:szCs w:val="22"/>
        </w:rPr>
      </w:pPr>
    </w:p>
    <w:p w14:paraId="3504D3C0" w14:textId="77777777" w:rsidR="00BE344F" w:rsidRPr="00C9128A" w:rsidRDefault="00BE344F" w:rsidP="00BE344F">
      <w:pPr>
        <w:tabs>
          <w:tab w:val="left" w:pos="993"/>
        </w:tabs>
        <w:spacing w:line="360" w:lineRule="auto"/>
        <w:ind w:right="-28"/>
        <w:jc w:val="both"/>
        <w:rPr>
          <w:rFonts w:ascii="Palatino Linotype" w:eastAsia="Calibri" w:hAnsi="Palatino Linotype" w:cs="Tahoma"/>
          <w:b/>
          <w:bCs/>
          <w:sz w:val="22"/>
          <w:szCs w:val="24"/>
          <w:lang w:eastAsia="es-ES_tradnl"/>
        </w:rPr>
      </w:pPr>
      <w:r w:rsidRPr="00C9128A">
        <w:rPr>
          <w:rFonts w:ascii="Palatino Linotype" w:eastAsia="Calibri" w:hAnsi="Palatino Linotype" w:cs="Tahoma"/>
          <w:b/>
          <w:bCs/>
          <w:sz w:val="22"/>
          <w:szCs w:val="24"/>
          <w:lang w:eastAsia="es-ES_tradnl"/>
        </w:rPr>
        <w:t>S</w:t>
      </w:r>
      <w:r>
        <w:rPr>
          <w:rFonts w:ascii="Palatino Linotype" w:eastAsia="Calibri" w:hAnsi="Palatino Linotype" w:cs="Tahoma"/>
          <w:b/>
          <w:bCs/>
          <w:sz w:val="22"/>
          <w:szCs w:val="24"/>
          <w:lang w:eastAsia="es-ES_tradnl"/>
        </w:rPr>
        <w:t>EXTO</w:t>
      </w:r>
      <w:r w:rsidRPr="00C9128A">
        <w:rPr>
          <w:rFonts w:ascii="Palatino Linotype" w:eastAsia="Calibri" w:hAnsi="Palatino Linotype" w:cs="Tahoma"/>
          <w:b/>
          <w:bCs/>
          <w:sz w:val="22"/>
          <w:szCs w:val="24"/>
          <w:lang w:eastAsia="es-ES_tradnl"/>
        </w:rPr>
        <w:t>. Versión Pública.</w:t>
      </w:r>
    </w:p>
    <w:p w14:paraId="153C2E51" w14:textId="77777777" w:rsidR="00BE344F" w:rsidRPr="00C9128A" w:rsidRDefault="00BE344F" w:rsidP="00BE344F">
      <w:pPr>
        <w:tabs>
          <w:tab w:val="left" w:pos="993"/>
        </w:tabs>
        <w:spacing w:line="360" w:lineRule="auto"/>
        <w:ind w:right="-28"/>
        <w:jc w:val="both"/>
        <w:rPr>
          <w:rFonts w:ascii="Palatino Linotype" w:eastAsia="Calibri" w:hAnsi="Palatino Linotype" w:cs="Tahoma"/>
          <w:sz w:val="22"/>
          <w:szCs w:val="24"/>
          <w:lang w:eastAsia="es-ES_tradnl"/>
        </w:rPr>
      </w:pPr>
    </w:p>
    <w:p w14:paraId="40C98A6E" w14:textId="2ADB5BC1" w:rsidR="00BE344F" w:rsidRDefault="00BE344F" w:rsidP="00BE344F">
      <w:pPr>
        <w:tabs>
          <w:tab w:val="left" w:pos="993"/>
        </w:tabs>
        <w:spacing w:line="360" w:lineRule="auto"/>
        <w:ind w:right="-28"/>
        <w:jc w:val="both"/>
        <w:rPr>
          <w:rFonts w:ascii="Palatino Linotype" w:eastAsia="Calibri" w:hAnsi="Palatino Linotype" w:cs="Tahoma"/>
          <w:sz w:val="22"/>
          <w:szCs w:val="24"/>
          <w:lang w:eastAsia="es-ES_tradnl"/>
        </w:rPr>
      </w:pPr>
      <w:r w:rsidRPr="00C9128A">
        <w:rPr>
          <w:rFonts w:ascii="Palatino Linotype" w:eastAsia="Calibri" w:hAnsi="Palatino Linotype" w:cs="Tahoma"/>
          <w:sz w:val="22"/>
          <w:szCs w:val="24"/>
          <w:lang w:eastAsia="es-ES_tradnl"/>
        </w:rPr>
        <w:t>Ahora bien, no pasa desapercibido para este Instituto que los documentos que den cuenta</w:t>
      </w:r>
      <w:r>
        <w:rPr>
          <w:rFonts w:ascii="Palatino Linotype" w:eastAsia="Calibri" w:hAnsi="Palatino Linotype" w:cs="Tahoma"/>
          <w:sz w:val="22"/>
          <w:szCs w:val="24"/>
          <w:lang w:eastAsia="es-ES_tradnl"/>
        </w:rPr>
        <w:t xml:space="preserve"> </w:t>
      </w:r>
      <w:r w:rsidRPr="00C9128A">
        <w:rPr>
          <w:rFonts w:ascii="Palatino Linotype" w:eastAsia="Calibri" w:hAnsi="Palatino Linotype" w:cs="Tahoma"/>
          <w:sz w:val="22"/>
          <w:szCs w:val="24"/>
          <w:lang w:eastAsia="es-ES_tradnl"/>
        </w:rPr>
        <w:t>de lo solicitado</w:t>
      </w:r>
      <w:r>
        <w:rPr>
          <w:rFonts w:ascii="Palatino Linotype" w:eastAsia="Calibri" w:hAnsi="Palatino Linotype" w:cs="Tahoma"/>
          <w:sz w:val="22"/>
          <w:szCs w:val="24"/>
          <w:lang w:eastAsia="es-ES_tradnl"/>
        </w:rPr>
        <w:t xml:space="preserve"> </w:t>
      </w:r>
      <w:r w:rsidRPr="00C9128A">
        <w:rPr>
          <w:rFonts w:ascii="Palatino Linotype" w:eastAsia="Calibri" w:hAnsi="Palatino Linotype" w:cs="Tahoma"/>
          <w:sz w:val="22"/>
          <w:szCs w:val="24"/>
          <w:lang w:eastAsia="es-ES_tradnl"/>
        </w:rPr>
        <w:t>pudieran contener datos confidenciales</w:t>
      </w:r>
      <w:r w:rsidR="00AD31AD">
        <w:rPr>
          <w:rFonts w:ascii="Palatino Linotype" w:eastAsia="Calibri" w:hAnsi="Palatino Linotype" w:cs="Tahoma"/>
          <w:sz w:val="22"/>
          <w:szCs w:val="24"/>
          <w:lang w:eastAsia="es-ES_tradnl"/>
        </w:rPr>
        <w:t xml:space="preserve"> que deban ser protegidos</w:t>
      </w:r>
      <w:r>
        <w:rPr>
          <w:rFonts w:ascii="Palatino Linotype" w:eastAsia="Calibri" w:hAnsi="Palatino Linotype" w:cs="Tahoma"/>
          <w:sz w:val="22"/>
          <w:szCs w:val="24"/>
          <w:lang w:eastAsia="es-ES_tradnl"/>
        </w:rPr>
        <w:t xml:space="preserve">, </w:t>
      </w:r>
      <w:r w:rsidRPr="00C9128A">
        <w:rPr>
          <w:rFonts w:ascii="Palatino Linotype" w:eastAsia="Calibri" w:hAnsi="Palatino Linotype" w:cs="Tahoma"/>
          <w:sz w:val="22"/>
          <w:szCs w:val="24"/>
          <w:lang w:eastAsia="es-ES_tradnl"/>
        </w:rPr>
        <w:t>por lo que, en</w:t>
      </w:r>
      <w:r w:rsidR="00AD31AD">
        <w:rPr>
          <w:rFonts w:ascii="Palatino Linotype" w:eastAsia="Calibri" w:hAnsi="Palatino Linotype" w:cs="Tahoma"/>
          <w:sz w:val="22"/>
          <w:szCs w:val="24"/>
          <w:lang w:eastAsia="es-ES_tradnl"/>
        </w:rPr>
        <w:t xml:space="preserve"> ese supuesto, el Sujeto Obligado</w:t>
      </w:r>
      <w:r w:rsidRPr="00C9128A">
        <w:rPr>
          <w:rFonts w:ascii="Palatino Linotype" w:eastAsia="Calibri" w:hAnsi="Palatino Linotype" w:cs="Tahoma"/>
          <w:sz w:val="22"/>
          <w:szCs w:val="24"/>
          <w:lang w:eastAsia="es-ES_tradnl"/>
        </w:rPr>
        <w:t xml:space="preserve"> deberá elaborar la versión pública respectiva.</w:t>
      </w:r>
    </w:p>
    <w:p w14:paraId="0ED06FDC" w14:textId="77777777" w:rsidR="00BE344F" w:rsidRPr="00C9128A" w:rsidRDefault="00BE344F" w:rsidP="00BE344F">
      <w:pPr>
        <w:tabs>
          <w:tab w:val="left" w:pos="993"/>
        </w:tabs>
        <w:spacing w:line="360" w:lineRule="auto"/>
        <w:ind w:right="-28"/>
        <w:jc w:val="both"/>
        <w:rPr>
          <w:rFonts w:ascii="Palatino Linotype" w:eastAsia="Calibri" w:hAnsi="Palatino Linotype" w:cs="Tahoma"/>
          <w:sz w:val="22"/>
          <w:szCs w:val="24"/>
          <w:lang w:eastAsia="es-ES_tradnl"/>
        </w:rPr>
      </w:pPr>
    </w:p>
    <w:p w14:paraId="6D6012DA" w14:textId="77777777" w:rsidR="00BE344F" w:rsidRPr="00C9128A" w:rsidRDefault="00BE344F" w:rsidP="00BE344F">
      <w:pPr>
        <w:tabs>
          <w:tab w:val="left" w:pos="993"/>
        </w:tabs>
        <w:spacing w:line="360" w:lineRule="auto"/>
        <w:ind w:right="-28"/>
        <w:jc w:val="both"/>
        <w:rPr>
          <w:rFonts w:ascii="Palatino Linotype" w:eastAsia="Calibri" w:hAnsi="Palatino Linotype" w:cs="Tahoma"/>
          <w:sz w:val="22"/>
          <w:szCs w:val="24"/>
          <w:lang w:eastAsia="es-ES_tradnl"/>
        </w:rPr>
      </w:pPr>
      <w:r w:rsidRPr="00C9128A">
        <w:rPr>
          <w:rFonts w:ascii="Palatino Linotype" w:eastAsia="Calibri" w:hAnsi="Palatino Linotype" w:cs="Tahoma"/>
          <w:sz w:val="22"/>
          <w:szCs w:val="24"/>
          <w:lang w:eastAsia="es-ES_tradnl"/>
        </w:rPr>
        <w:t>Sobre dicha circunstancia, el artículo 3°, fracción XLV, relacionado con el 137, ambos de la</w:t>
      </w:r>
      <w:r>
        <w:rPr>
          <w:rFonts w:ascii="Palatino Linotype" w:eastAsia="Calibri" w:hAnsi="Palatino Linotype" w:cs="Tahoma"/>
          <w:sz w:val="22"/>
          <w:szCs w:val="24"/>
          <w:lang w:eastAsia="es-ES_tradnl"/>
        </w:rPr>
        <w:t xml:space="preserve"> </w:t>
      </w:r>
      <w:r w:rsidRPr="00C9128A">
        <w:rPr>
          <w:rFonts w:ascii="Palatino Linotype" w:eastAsia="Calibri" w:hAnsi="Palatino Linotype" w:cs="Tahoma"/>
          <w:sz w:val="22"/>
          <w:szCs w:val="24"/>
          <w:lang w:eastAsia="es-ES_tradnl"/>
        </w:rPr>
        <w:t>Ley de Transparencia y Acceso a la Información Pública del Estado de México y Municipios,</w:t>
      </w:r>
      <w:r>
        <w:rPr>
          <w:rFonts w:ascii="Palatino Linotype" w:eastAsia="Calibri" w:hAnsi="Palatino Linotype" w:cs="Tahoma"/>
          <w:sz w:val="22"/>
          <w:szCs w:val="24"/>
          <w:lang w:eastAsia="es-ES_tradnl"/>
        </w:rPr>
        <w:t xml:space="preserve"> </w:t>
      </w:r>
      <w:r w:rsidRPr="00C9128A">
        <w:rPr>
          <w:rFonts w:ascii="Palatino Linotype" w:eastAsia="Calibri" w:hAnsi="Palatino Linotype" w:cs="Tahoma"/>
          <w:sz w:val="22"/>
          <w:szCs w:val="24"/>
          <w:lang w:eastAsia="es-ES_tradnl"/>
        </w:rPr>
        <w:t>cuando un documento contenga información pública y confidencial, la Unidad de</w:t>
      </w:r>
      <w:r>
        <w:rPr>
          <w:rFonts w:ascii="Palatino Linotype" w:eastAsia="Calibri" w:hAnsi="Palatino Linotype" w:cs="Tahoma"/>
          <w:sz w:val="22"/>
          <w:szCs w:val="24"/>
          <w:lang w:eastAsia="es-ES_tradnl"/>
        </w:rPr>
        <w:t xml:space="preserve"> </w:t>
      </w:r>
      <w:r w:rsidRPr="00C9128A">
        <w:rPr>
          <w:rFonts w:ascii="Palatino Linotype" w:eastAsia="Calibri" w:hAnsi="Palatino Linotype" w:cs="Tahoma"/>
          <w:sz w:val="22"/>
          <w:szCs w:val="24"/>
          <w:lang w:eastAsia="es-ES_tradnl"/>
        </w:rPr>
        <w:t>Transparencia para efectos de atender al requerimiento informativo, deberá elaborar una</w:t>
      </w:r>
      <w:r>
        <w:rPr>
          <w:rFonts w:ascii="Palatino Linotype" w:eastAsia="Calibri" w:hAnsi="Palatino Linotype" w:cs="Tahoma"/>
          <w:sz w:val="22"/>
          <w:szCs w:val="24"/>
          <w:lang w:eastAsia="es-ES_tradnl"/>
        </w:rPr>
        <w:t xml:space="preserve"> </w:t>
      </w:r>
      <w:r w:rsidRPr="00C9128A">
        <w:rPr>
          <w:rFonts w:ascii="Palatino Linotype" w:eastAsia="Calibri" w:hAnsi="Palatino Linotype" w:cs="Tahoma"/>
          <w:sz w:val="22"/>
          <w:szCs w:val="24"/>
          <w:lang w:eastAsia="es-ES_tradnl"/>
        </w:rPr>
        <w:t>versión pública en la que se testen las partes o secciones clasificadas, indicando su</w:t>
      </w:r>
      <w:r>
        <w:rPr>
          <w:rFonts w:ascii="Palatino Linotype" w:eastAsia="Calibri" w:hAnsi="Palatino Linotype" w:cs="Tahoma"/>
          <w:sz w:val="22"/>
          <w:szCs w:val="24"/>
          <w:lang w:eastAsia="es-ES_tradnl"/>
        </w:rPr>
        <w:t xml:space="preserve"> </w:t>
      </w:r>
      <w:r w:rsidRPr="00C9128A">
        <w:rPr>
          <w:rFonts w:ascii="Palatino Linotype" w:eastAsia="Calibri" w:hAnsi="Palatino Linotype" w:cs="Tahoma"/>
          <w:sz w:val="22"/>
          <w:szCs w:val="24"/>
          <w:lang w:eastAsia="es-ES_tradnl"/>
        </w:rPr>
        <w:t>contenido de manera genérica y fundando y motivando su clasificación.</w:t>
      </w:r>
    </w:p>
    <w:p w14:paraId="19C01D6C" w14:textId="77777777" w:rsidR="00BE344F" w:rsidRPr="00C9128A" w:rsidRDefault="00BE344F" w:rsidP="00BE344F">
      <w:pPr>
        <w:tabs>
          <w:tab w:val="left" w:pos="993"/>
        </w:tabs>
        <w:spacing w:line="360" w:lineRule="auto"/>
        <w:ind w:right="-28"/>
        <w:jc w:val="both"/>
        <w:rPr>
          <w:rFonts w:ascii="Palatino Linotype" w:eastAsia="Calibri" w:hAnsi="Palatino Linotype" w:cs="Tahoma"/>
          <w:sz w:val="22"/>
          <w:szCs w:val="24"/>
          <w:lang w:eastAsia="es-ES_tradnl"/>
        </w:rPr>
      </w:pPr>
    </w:p>
    <w:p w14:paraId="72760759" w14:textId="25C0CAEA" w:rsidR="00BE344F" w:rsidRPr="00BE344F" w:rsidRDefault="00BE344F" w:rsidP="00BE344F">
      <w:pPr>
        <w:tabs>
          <w:tab w:val="left" w:pos="993"/>
        </w:tabs>
        <w:spacing w:line="360" w:lineRule="auto"/>
        <w:ind w:right="-28"/>
        <w:jc w:val="both"/>
        <w:rPr>
          <w:rFonts w:ascii="Palatino Linotype" w:eastAsia="Calibri" w:hAnsi="Palatino Linotype" w:cs="Tahoma"/>
          <w:sz w:val="22"/>
          <w:szCs w:val="24"/>
          <w:lang w:eastAsia="es-ES_tradnl"/>
        </w:rPr>
      </w:pPr>
      <w:r w:rsidRPr="00C9128A">
        <w:rPr>
          <w:rFonts w:ascii="Palatino Linotype" w:eastAsia="Calibri" w:hAnsi="Palatino Linotype" w:cs="Tahoma"/>
          <w:sz w:val="22"/>
          <w:szCs w:val="24"/>
          <w:lang w:eastAsia="es-ES_tradnl"/>
        </w:rPr>
        <w:t>Para tal situación, el Sujeto Obligado deberá seguir el procedimiento establecido en el</w:t>
      </w:r>
      <w:r>
        <w:rPr>
          <w:rFonts w:ascii="Palatino Linotype" w:eastAsia="Calibri" w:hAnsi="Palatino Linotype" w:cs="Tahoma"/>
          <w:sz w:val="22"/>
          <w:szCs w:val="24"/>
          <w:lang w:eastAsia="es-ES_tradnl"/>
        </w:rPr>
        <w:t xml:space="preserve"> </w:t>
      </w:r>
      <w:r w:rsidRPr="00C9128A">
        <w:rPr>
          <w:rFonts w:ascii="Palatino Linotype" w:eastAsia="Calibri" w:hAnsi="Palatino Linotype" w:cs="Tahoma"/>
          <w:sz w:val="22"/>
          <w:szCs w:val="24"/>
          <w:lang w:eastAsia="es-ES_tradnl"/>
        </w:rPr>
        <w:t>artículo 168 de dicho ordenamiento jurídico; esto es, que el área competente deberá elaborar</w:t>
      </w:r>
      <w:r>
        <w:rPr>
          <w:rFonts w:ascii="Palatino Linotype" w:eastAsia="Calibri" w:hAnsi="Palatino Linotype" w:cs="Tahoma"/>
          <w:sz w:val="22"/>
          <w:szCs w:val="24"/>
          <w:lang w:eastAsia="es-ES_tradnl"/>
        </w:rPr>
        <w:t xml:space="preserve"> </w:t>
      </w:r>
      <w:r w:rsidRPr="00C9128A">
        <w:rPr>
          <w:rFonts w:ascii="Palatino Linotype" w:eastAsia="Calibri" w:hAnsi="Palatino Linotype" w:cs="Tahoma"/>
          <w:sz w:val="22"/>
          <w:szCs w:val="24"/>
          <w:lang w:eastAsia="es-ES_tradnl"/>
        </w:rPr>
        <w:t>la versión pública, así como emitir el Acuerdo, por parte del Comité de Transparencia, donde</w:t>
      </w:r>
      <w:r>
        <w:rPr>
          <w:rFonts w:ascii="Palatino Linotype" w:eastAsia="Calibri" w:hAnsi="Palatino Linotype" w:cs="Tahoma"/>
          <w:sz w:val="22"/>
          <w:szCs w:val="24"/>
          <w:lang w:eastAsia="es-ES_tradnl"/>
        </w:rPr>
        <w:t xml:space="preserve"> </w:t>
      </w:r>
      <w:r w:rsidRPr="00C9128A">
        <w:rPr>
          <w:rFonts w:ascii="Palatino Linotype" w:eastAsia="Calibri" w:hAnsi="Palatino Linotype" w:cs="Tahoma"/>
          <w:sz w:val="22"/>
          <w:szCs w:val="24"/>
          <w:lang w:eastAsia="es-ES_tradnl"/>
        </w:rPr>
        <w:t>confirme la clasificación de los datos, fundando y motivando la clasificación.</w:t>
      </w:r>
    </w:p>
    <w:p w14:paraId="44A8F0DC" w14:textId="77777777" w:rsidR="002769C1" w:rsidRPr="002769C1" w:rsidRDefault="002769C1" w:rsidP="002769C1">
      <w:pPr>
        <w:spacing w:line="360" w:lineRule="auto"/>
        <w:jc w:val="both"/>
        <w:rPr>
          <w:rFonts w:ascii="Palatino Linotype" w:eastAsia="Calibri" w:hAnsi="Palatino Linotype" w:cs="Tahoma"/>
          <w:bCs/>
          <w:sz w:val="22"/>
          <w:szCs w:val="22"/>
        </w:rPr>
      </w:pPr>
    </w:p>
    <w:p w14:paraId="667C40F3" w14:textId="4CB7F8A0" w:rsidR="00801872" w:rsidRPr="00C938B6" w:rsidRDefault="00801872" w:rsidP="005B031E">
      <w:pPr>
        <w:spacing w:line="360" w:lineRule="auto"/>
        <w:jc w:val="both"/>
        <w:rPr>
          <w:rFonts w:ascii="Palatino Linotype" w:hAnsi="Palatino Linotype" w:cs="Tahoma"/>
          <w:b/>
          <w:sz w:val="22"/>
          <w:szCs w:val="22"/>
          <w:lang w:eastAsia="es-MX"/>
        </w:rPr>
      </w:pPr>
      <w:r w:rsidRPr="00C938B6">
        <w:rPr>
          <w:rFonts w:ascii="Palatino Linotype" w:hAnsi="Palatino Linotype" w:cs="Tahoma"/>
          <w:b/>
          <w:sz w:val="22"/>
          <w:szCs w:val="22"/>
          <w:lang w:eastAsia="es-MX"/>
        </w:rPr>
        <w:t>S</w:t>
      </w:r>
      <w:r w:rsidR="008774AA">
        <w:rPr>
          <w:rFonts w:ascii="Palatino Linotype" w:hAnsi="Palatino Linotype" w:cs="Tahoma"/>
          <w:b/>
          <w:sz w:val="22"/>
          <w:szCs w:val="22"/>
          <w:lang w:eastAsia="es-MX"/>
        </w:rPr>
        <w:t>ÉPTIMO</w:t>
      </w:r>
      <w:r w:rsidRPr="00C938B6">
        <w:rPr>
          <w:rFonts w:ascii="Palatino Linotype" w:hAnsi="Palatino Linotype" w:cs="Tahoma"/>
          <w:b/>
          <w:sz w:val="22"/>
          <w:szCs w:val="22"/>
          <w:lang w:eastAsia="es-MX"/>
        </w:rPr>
        <w:t xml:space="preserve">. Decisión. </w:t>
      </w:r>
    </w:p>
    <w:p w14:paraId="47D4AB01" w14:textId="77777777" w:rsidR="00801872" w:rsidRPr="00D24EFE" w:rsidRDefault="00801872" w:rsidP="005B031E">
      <w:pPr>
        <w:spacing w:line="360" w:lineRule="auto"/>
        <w:jc w:val="both"/>
        <w:rPr>
          <w:rFonts w:ascii="Palatino Linotype" w:hAnsi="Palatino Linotype" w:cs="Tahoma"/>
          <w:bCs/>
          <w:sz w:val="22"/>
          <w:szCs w:val="22"/>
          <w:lang w:eastAsia="es-MX"/>
        </w:rPr>
      </w:pPr>
    </w:p>
    <w:p w14:paraId="21601CA8" w14:textId="274BA6DD" w:rsidR="00606A84" w:rsidRDefault="00801872" w:rsidP="005B031E">
      <w:pPr>
        <w:spacing w:line="360" w:lineRule="auto"/>
        <w:jc w:val="both"/>
        <w:rPr>
          <w:rFonts w:ascii="Palatino Linotype" w:hAnsi="Palatino Linotype" w:cs="Tahoma"/>
          <w:iCs/>
          <w:sz w:val="22"/>
          <w:szCs w:val="22"/>
          <w:lang w:val="es-ES_tradnl"/>
        </w:rPr>
      </w:pPr>
      <w:r w:rsidRPr="00C938B6">
        <w:rPr>
          <w:rFonts w:ascii="Palatino Linotype" w:hAnsi="Palatino Linotype" w:cs="Tahoma"/>
          <w:sz w:val="22"/>
          <w:szCs w:val="22"/>
        </w:rPr>
        <w:lastRenderedPageBreak/>
        <w:t>Con fundamento en el artículo 186, fracción I</w:t>
      </w:r>
      <w:r w:rsidR="00483890">
        <w:rPr>
          <w:rFonts w:ascii="Palatino Linotype" w:hAnsi="Palatino Linotype" w:cs="Tahoma"/>
          <w:sz w:val="22"/>
          <w:szCs w:val="22"/>
        </w:rPr>
        <w:t>II</w:t>
      </w:r>
      <w:r w:rsidR="00AD5F62">
        <w:rPr>
          <w:rFonts w:ascii="Palatino Linotype" w:hAnsi="Palatino Linotype" w:cs="Tahoma"/>
          <w:sz w:val="22"/>
          <w:szCs w:val="22"/>
        </w:rPr>
        <w:t xml:space="preserve"> </w:t>
      </w:r>
      <w:r w:rsidRPr="00C938B6">
        <w:rPr>
          <w:rFonts w:ascii="Palatino Linotype" w:hAnsi="Palatino Linotype" w:cs="Tahoma"/>
          <w:sz w:val="22"/>
          <w:szCs w:val="22"/>
        </w:rPr>
        <w:t xml:space="preserve">de la Ley de Transparencia y Acceso a la Información Pública del Estado de México y Municipios, este Instituto considera procedente </w:t>
      </w:r>
      <w:r w:rsidR="00745462">
        <w:rPr>
          <w:rFonts w:ascii="Palatino Linotype" w:hAnsi="Palatino Linotype" w:cs="Tahoma"/>
          <w:b/>
          <w:bCs/>
          <w:iCs/>
          <w:sz w:val="22"/>
          <w:szCs w:val="22"/>
          <w:lang w:val="es-ES_tradnl"/>
        </w:rPr>
        <w:t xml:space="preserve">REVOCAR </w:t>
      </w:r>
      <w:r w:rsidR="00745462">
        <w:rPr>
          <w:rFonts w:ascii="Palatino Linotype" w:hAnsi="Palatino Linotype" w:cs="Tahoma"/>
          <w:iCs/>
          <w:sz w:val="22"/>
          <w:szCs w:val="22"/>
          <w:lang w:val="es-ES_tradnl"/>
        </w:rPr>
        <w:t>la respuesta del</w:t>
      </w:r>
      <w:r w:rsidR="00DB505F">
        <w:rPr>
          <w:rFonts w:ascii="Palatino Linotype" w:hAnsi="Palatino Linotype" w:cs="Tahoma"/>
          <w:iCs/>
          <w:sz w:val="22"/>
          <w:szCs w:val="22"/>
          <w:lang w:val="es-ES_tradnl"/>
        </w:rPr>
        <w:t xml:space="preserve"> Sujeto Obligado</w:t>
      </w:r>
      <w:r w:rsidR="00745462">
        <w:rPr>
          <w:rFonts w:ascii="Palatino Linotype" w:hAnsi="Palatino Linotype" w:cs="Tahoma"/>
          <w:iCs/>
          <w:sz w:val="22"/>
          <w:szCs w:val="22"/>
          <w:lang w:val="es-ES_tradnl"/>
        </w:rPr>
        <w:t xml:space="preserve"> y ordenar</w:t>
      </w:r>
      <w:r w:rsidR="00DB505F">
        <w:rPr>
          <w:rFonts w:ascii="Palatino Linotype" w:hAnsi="Palatino Linotype" w:cs="Tahoma"/>
          <w:iCs/>
          <w:sz w:val="22"/>
          <w:szCs w:val="22"/>
          <w:lang w:val="es-ES_tradnl"/>
        </w:rPr>
        <w:t xml:space="preserve"> que proporcione</w:t>
      </w:r>
      <w:r w:rsidR="00994A8C">
        <w:rPr>
          <w:rFonts w:ascii="Palatino Linotype" w:hAnsi="Palatino Linotype" w:cs="Tahoma"/>
          <w:iCs/>
          <w:sz w:val="22"/>
          <w:szCs w:val="22"/>
          <w:lang w:val="es-ES_tradnl"/>
        </w:rPr>
        <w:t>, previa búsqueda exhaustiva y razonable en todas las áreas competentes,</w:t>
      </w:r>
      <w:r w:rsidR="00890977">
        <w:rPr>
          <w:rFonts w:ascii="Palatino Linotype" w:hAnsi="Palatino Linotype" w:cs="Tahoma"/>
          <w:iCs/>
          <w:sz w:val="22"/>
          <w:szCs w:val="22"/>
          <w:lang w:val="es-ES_tradnl"/>
        </w:rPr>
        <w:t xml:space="preserve"> </w:t>
      </w:r>
      <w:r w:rsidR="00994A8C">
        <w:rPr>
          <w:rFonts w:ascii="Palatino Linotype" w:hAnsi="Palatino Linotype" w:cs="Tahoma"/>
          <w:iCs/>
          <w:sz w:val="22"/>
          <w:szCs w:val="22"/>
          <w:lang w:val="es-ES_tradnl"/>
        </w:rPr>
        <w:t>a través del Sistema de Acceso a la Información Mexiquense (SAIMEX)</w:t>
      </w:r>
      <w:r w:rsidR="00606A84">
        <w:rPr>
          <w:rFonts w:ascii="Palatino Linotype" w:hAnsi="Palatino Linotype" w:cs="Tahoma"/>
          <w:iCs/>
          <w:sz w:val="22"/>
          <w:szCs w:val="22"/>
          <w:lang w:val="es-ES_tradnl"/>
        </w:rPr>
        <w:t xml:space="preserve">, </w:t>
      </w:r>
      <w:r w:rsidR="00890977">
        <w:rPr>
          <w:rFonts w:ascii="Palatino Linotype" w:hAnsi="Palatino Linotype" w:cs="Tahoma"/>
          <w:iCs/>
          <w:sz w:val="22"/>
          <w:szCs w:val="22"/>
          <w:lang w:val="es-ES_tradnl"/>
        </w:rPr>
        <w:t>de ser el caso</w:t>
      </w:r>
      <w:r w:rsidR="00606A84">
        <w:rPr>
          <w:rFonts w:ascii="Palatino Linotype" w:hAnsi="Palatino Linotype" w:cs="Tahoma"/>
          <w:iCs/>
          <w:sz w:val="22"/>
          <w:szCs w:val="22"/>
          <w:lang w:val="es-ES_tradnl"/>
        </w:rPr>
        <w:t xml:space="preserve">, en versión pública, lo </w:t>
      </w:r>
    </w:p>
    <w:p w14:paraId="17F03936" w14:textId="77777777" w:rsidR="00890977" w:rsidRDefault="00890977" w:rsidP="005B031E">
      <w:pPr>
        <w:spacing w:line="360" w:lineRule="auto"/>
        <w:jc w:val="both"/>
        <w:rPr>
          <w:rFonts w:ascii="Palatino Linotype" w:hAnsi="Palatino Linotype" w:cs="Tahoma"/>
          <w:iCs/>
          <w:sz w:val="22"/>
          <w:szCs w:val="22"/>
          <w:lang w:val="es-ES_tradnl"/>
        </w:rPr>
      </w:pPr>
    </w:p>
    <w:p w14:paraId="045E44CE" w14:textId="77777777" w:rsidR="00EE6294" w:rsidRPr="00744442" w:rsidRDefault="00EE6294" w:rsidP="00EE6294">
      <w:pPr>
        <w:pStyle w:val="Prrafodelista"/>
        <w:numPr>
          <w:ilvl w:val="0"/>
          <w:numId w:val="14"/>
        </w:numPr>
        <w:spacing w:line="360" w:lineRule="auto"/>
        <w:ind w:right="426"/>
        <w:jc w:val="both"/>
        <w:rPr>
          <w:rFonts w:ascii="Palatino Linotype" w:eastAsia="Calibri" w:hAnsi="Palatino Linotype" w:cs="Tahoma"/>
          <w:bCs/>
          <w:szCs w:val="22"/>
        </w:rPr>
      </w:pPr>
      <w:r w:rsidRPr="00744442">
        <w:rPr>
          <w:rFonts w:ascii="Palatino Linotype" w:eastAsia="Calibri" w:hAnsi="Palatino Linotype" w:cs="Tahoma"/>
          <w:bCs/>
          <w:szCs w:val="22"/>
        </w:rPr>
        <w:t xml:space="preserve">De los años 2018, 2019, 2020 y 2021: </w:t>
      </w:r>
    </w:p>
    <w:p w14:paraId="2F825766" w14:textId="77777777" w:rsidR="00EE6294" w:rsidRPr="00744442" w:rsidRDefault="00EE6294" w:rsidP="00EE6294">
      <w:pPr>
        <w:spacing w:line="360" w:lineRule="auto"/>
        <w:ind w:right="426"/>
        <w:jc w:val="both"/>
        <w:rPr>
          <w:rFonts w:ascii="Palatino Linotype" w:eastAsia="Calibri" w:hAnsi="Palatino Linotype" w:cs="Tahoma"/>
          <w:bCs/>
          <w:sz w:val="22"/>
          <w:szCs w:val="22"/>
        </w:rPr>
      </w:pPr>
    </w:p>
    <w:p w14:paraId="365F9F40" w14:textId="77777777" w:rsidR="00EE6294" w:rsidRPr="00744442" w:rsidRDefault="00EE6294" w:rsidP="00EE6294">
      <w:pPr>
        <w:pStyle w:val="Prrafodelista"/>
        <w:numPr>
          <w:ilvl w:val="0"/>
          <w:numId w:val="13"/>
        </w:numPr>
        <w:spacing w:line="360" w:lineRule="auto"/>
        <w:ind w:right="539"/>
        <w:jc w:val="both"/>
        <w:rPr>
          <w:rFonts w:ascii="Palatino Linotype" w:hAnsi="Palatino Linotype" w:cs="Tahoma"/>
          <w:bCs/>
          <w:szCs w:val="22"/>
        </w:rPr>
      </w:pPr>
      <w:r w:rsidRPr="00744442">
        <w:rPr>
          <w:rFonts w:ascii="Palatino Linotype" w:hAnsi="Palatino Linotype" w:cs="Tahoma"/>
          <w:bCs/>
          <w:iCs/>
          <w:szCs w:val="22"/>
          <w:lang w:val="es-ES_tradnl"/>
        </w:rPr>
        <w:t>Censos de Alumbrado Público realizados por la Comisión Federal de Electricidad y el Ayuntamiento.</w:t>
      </w:r>
    </w:p>
    <w:p w14:paraId="0D6D20C3" w14:textId="77777777" w:rsidR="00EE6294" w:rsidRPr="00744442" w:rsidRDefault="00EE6294" w:rsidP="00EE6294">
      <w:pPr>
        <w:pStyle w:val="Prrafodelista"/>
        <w:numPr>
          <w:ilvl w:val="0"/>
          <w:numId w:val="13"/>
        </w:numPr>
        <w:spacing w:line="360" w:lineRule="auto"/>
        <w:ind w:right="539"/>
        <w:jc w:val="both"/>
        <w:rPr>
          <w:rFonts w:ascii="Palatino Linotype" w:hAnsi="Palatino Linotype" w:cs="Tahoma"/>
          <w:bCs/>
          <w:szCs w:val="22"/>
        </w:rPr>
      </w:pPr>
      <w:r w:rsidRPr="00744442">
        <w:rPr>
          <w:rFonts w:ascii="Palatino Linotype" w:hAnsi="Palatino Linotype" w:cs="Tahoma"/>
          <w:bCs/>
          <w:iCs/>
          <w:szCs w:val="22"/>
          <w:lang w:val="es-ES_tradnl"/>
        </w:rPr>
        <w:t>Convenios para la recaudación del Derecho de Alumbrado Público (DAP), celebrados entre la Comisión Federal de Electricidad y el Municipio.</w:t>
      </w:r>
    </w:p>
    <w:p w14:paraId="2E8E8965" w14:textId="77777777" w:rsidR="00EE6294" w:rsidRPr="00744442" w:rsidRDefault="00EE6294" w:rsidP="00EE6294">
      <w:pPr>
        <w:pStyle w:val="Prrafodelista"/>
        <w:numPr>
          <w:ilvl w:val="0"/>
          <w:numId w:val="13"/>
        </w:numPr>
        <w:spacing w:line="360" w:lineRule="auto"/>
        <w:ind w:right="539"/>
        <w:jc w:val="both"/>
        <w:rPr>
          <w:rFonts w:ascii="Palatino Linotype" w:hAnsi="Palatino Linotype" w:cs="Tahoma"/>
          <w:bCs/>
          <w:szCs w:val="22"/>
        </w:rPr>
      </w:pPr>
      <w:r w:rsidRPr="00744442">
        <w:rPr>
          <w:rFonts w:ascii="Palatino Linotype" w:hAnsi="Palatino Linotype" w:cs="Tahoma"/>
          <w:bCs/>
          <w:iCs/>
          <w:szCs w:val="22"/>
          <w:lang w:val="es-ES_tradnl"/>
        </w:rPr>
        <w:t>Recibos emitidos mes con mes por la Comisión Federal de Electricidad por concepto de alumbrado público municipal y;</w:t>
      </w:r>
    </w:p>
    <w:p w14:paraId="2D39B625" w14:textId="77777777" w:rsidR="00EE6294" w:rsidRPr="00744442" w:rsidRDefault="00EE6294" w:rsidP="00EE6294">
      <w:pPr>
        <w:pStyle w:val="Prrafodelista"/>
        <w:numPr>
          <w:ilvl w:val="0"/>
          <w:numId w:val="13"/>
        </w:numPr>
        <w:spacing w:line="360" w:lineRule="auto"/>
        <w:ind w:right="539"/>
        <w:jc w:val="both"/>
        <w:rPr>
          <w:rFonts w:ascii="Palatino Linotype" w:hAnsi="Palatino Linotype" w:cs="Tahoma"/>
          <w:bCs/>
          <w:szCs w:val="22"/>
        </w:rPr>
      </w:pPr>
      <w:r w:rsidRPr="00744442">
        <w:rPr>
          <w:rFonts w:ascii="Palatino Linotype" w:hAnsi="Palatino Linotype" w:cs="Tahoma"/>
          <w:bCs/>
          <w:iCs/>
          <w:szCs w:val="22"/>
          <w:lang w:val="es-ES_tradnl"/>
        </w:rPr>
        <w:t xml:space="preserve">Documentos donde conste el monto mensual por recaudación del Derecho de Alumbrado Público. </w:t>
      </w:r>
    </w:p>
    <w:p w14:paraId="0EB80947" w14:textId="77777777" w:rsidR="00EE6294" w:rsidRDefault="00EE6294" w:rsidP="0007377F">
      <w:pPr>
        <w:spacing w:line="360" w:lineRule="auto"/>
        <w:jc w:val="both"/>
        <w:rPr>
          <w:rFonts w:ascii="Palatino Linotype" w:hAnsi="Palatino Linotype" w:cs="Tahoma"/>
          <w:iCs/>
          <w:sz w:val="22"/>
          <w:szCs w:val="22"/>
          <w:lang w:val="es-ES_tradnl"/>
        </w:rPr>
      </w:pPr>
    </w:p>
    <w:p w14:paraId="36DEADC0" w14:textId="1A0D63BD" w:rsidR="0007377F" w:rsidRDefault="00211F5B" w:rsidP="0007377F">
      <w:pPr>
        <w:spacing w:line="360" w:lineRule="auto"/>
        <w:jc w:val="both"/>
        <w:rPr>
          <w:rFonts w:ascii="Palatino Linotype" w:hAnsi="Palatino Linotype" w:cs="Tahoma"/>
          <w:iCs/>
          <w:sz w:val="22"/>
          <w:szCs w:val="22"/>
          <w:lang w:val="es-ES_tradnl"/>
        </w:rPr>
      </w:pPr>
      <w:r>
        <w:rPr>
          <w:rFonts w:ascii="Palatino Linotype" w:hAnsi="Palatino Linotype" w:cs="Tahoma"/>
          <w:iCs/>
          <w:sz w:val="22"/>
          <w:szCs w:val="22"/>
          <w:lang w:val="es-ES_tradnl"/>
        </w:rPr>
        <w:t xml:space="preserve">En el caso de que </w:t>
      </w:r>
      <w:r w:rsidR="00F95C6A">
        <w:rPr>
          <w:rFonts w:ascii="Palatino Linotype" w:hAnsi="Palatino Linotype" w:cs="Tahoma"/>
          <w:iCs/>
          <w:sz w:val="22"/>
          <w:szCs w:val="22"/>
          <w:lang w:val="es-ES_tradnl"/>
        </w:rPr>
        <w:t xml:space="preserve">los documentos localizados, contengan datos o información clasificada, en términos del artículo 143 de la Ley de la materia, el Sujeto Obligado deberá elaborar las versiones públicas respectivas. </w:t>
      </w:r>
      <w:r w:rsidR="00186E47">
        <w:rPr>
          <w:rFonts w:ascii="Palatino Linotype" w:hAnsi="Palatino Linotype" w:cs="Tahoma"/>
          <w:iCs/>
          <w:sz w:val="22"/>
          <w:szCs w:val="22"/>
          <w:lang w:val="es-ES_tradnl"/>
        </w:rPr>
        <w:t>En ese tenor, deberá emitir y entregar</w:t>
      </w:r>
      <w:r w:rsidR="0065478B">
        <w:rPr>
          <w:rFonts w:ascii="Palatino Linotype" w:hAnsi="Palatino Linotype" w:cs="Tahoma"/>
          <w:iCs/>
          <w:sz w:val="22"/>
          <w:szCs w:val="22"/>
          <w:lang w:val="es-ES_tradnl"/>
        </w:rPr>
        <w:t xml:space="preserve"> el acuerdo de su Comité de Transparencia, en donde, de manera fundada y motivada, confirme dicha clasificación. </w:t>
      </w:r>
    </w:p>
    <w:p w14:paraId="1A88EE6B" w14:textId="122F51AC" w:rsidR="004F6A5B" w:rsidRDefault="004F6A5B" w:rsidP="0007377F">
      <w:pPr>
        <w:spacing w:line="360" w:lineRule="auto"/>
        <w:jc w:val="both"/>
        <w:rPr>
          <w:rFonts w:ascii="Palatino Linotype" w:hAnsi="Palatino Linotype" w:cs="Tahoma"/>
          <w:iCs/>
          <w:sz w:val="22"/>
          <w:szCs w:val="22"/>
          <w:lang w:val="es-ES_tradnl"/>
        </w:rPr>
      </w:pPr>
    </w:p>
    <w:p w14:paraId="3C5CDBF2" w14:textId="252C1030" w:rsidR="004F6A5B" w:rsidRPr="00E73502" w:rsidRDefault="004F6A5B" w:rsidP="0007377F">
      <w:pPr>
        <w:spacing w:line="360" w:lineRule="auto"/>
        <w:jc w:val="both"/>
        <w:rPr>
          <w:rFonts w:ascii="Palatino Linotype" w:hAnsi="Palatino Linotype" w:cs="Tahoma"/>
          <w:bCs/>
          <w:iCs/>
          <w:sz w:val="22"/>
          <w:szCs w:val="22"/>
        </w:rPr>
      </w:pPr>
      <w:r w:rsidRPr="00483890">
        <w:rPr>
          <w:rFonts w:ascii="Palatino Linotype" w:hAnsi="Palatino Linotype" w:cs="Tahoma"/>
          <w:bCs/>
          <w:iCs/>
          <w:sz w:val="22"/>
          <w:szCs w:val="22"/>
        </w:rPr>
        <w:t xml:space="preserve">Para el caso, de que el Ayuntamiento, no haya celebrado </w:t>
      </w:r>
      <w:r w:rsidRPr="00E73502">
        <w:rPr>
          <w:rFonts w:ascii="Palatino Linotype" w:hAnsi="Palatino Linotype" w:cs="Tahoma"/>
          <w:bCs/>
          <w:iCs/>
          <w:sz w:val="22"/>
          <w:szCs w:val="22"/>
        </w:rPr>
        <w:t>los</w:t>
      </w:r>
      <w:r w:rsidRPr="00483890">
        <w:rPr>
          <w:rFonts w:ascii="Palatino Linotype" w:hAnsi="Palatino Linotype" w:cs="Tahoma"/>
          <w:bCs/>
          <w:iCs/>
          <w:sz w:val="22"/>
          <w:szCs w:val="22"/>
        </w:rPr>
        <w:t xml:space="preserve"> actos jurídico</w:t>
      </w:r>
      <w:r w:rsidR="00E73502">
        <w:rPr>
          <w:rFonts w:ascii="Palatino Linotype" w:hAnsi="Palatino Linotype" w:cs="Tahoma"/>
          <w:bCs/>
          <w:iCs/>
          <w:sz w:val="22"/>
          <w:szCs w:val="22"/>
        </w:rPr>
        <w:t>s</w:t>
      </w:r>
      <w:r w:rsidRPr="00E73502">
        <w:rPr>
          <w:rFonts w:ascii="Palatino Linotype" w:hAnsi="Palatino Linotype" w:cs="Tahoma"/>
          <w:bCs/>
          <w:iCs/>
          <w:sz w:val="22"/>
          <w:szCs w:val="22"/>
        </w:rPr>
        <w:t xml:space="preserve"> referidos en el número dos, deberá </w:t>
      </w:r>
      <w:r w:rsidRPr="00483890">
        <w:rPr>
          <w:rFonts w:ascii="Palatino Linotype" w:hAnsi="Palatino Linotype" w:cs="Tahoma"/>
          <w:bCs/>
          <w:iCs/>
          <w:sz w:val="22"/>
          <w:szCs w:val="22"/>
        </w:rPr>
        <w:t>hacerlo del conocimiento del ahora Recurrente, en términos del artículo 19, párrafo segundo de la Ley de Transparencia y Acceso a la Información Pública del Estado de México y Municipios.</w:t>
      </w:r>
    </w:p>
    <w:p w14:paraId="7F9A066F" w14:textId="77777777" w:rsidR="0007377F" w:rsidRPr="0007377F" w:rsidRDefault="0007377F" w:rsidP="0007377F">
      <w:pPr>
        <w:spacing w:line="360" w:lineRule="auto"/>
        <w:jc w:val="both"/>
        <w:rPr>
          <w:rFonts w:ascii="Palatino Linotype" w:hAnsi="Palatino Linotype" w:cs="Tahoma"/>
          <w:iCs/>
          <w:sz w:val="22"/>
          <w:szCs w:val="22"/>
          <w:lang w:val="es-ES_tradnl"/>
        </w:rPr>
      </w:pPr>
    </w:p>
    <w:p w14:paraId="1FD5F139" w14:textId="54172878" w:rsidR="00801872" w:rsidRPr="00C938B6" w:rsidRDefault="006F32E9" w:rsidP="005B031E">
      <w:pPr>
        <w:autoSpaceDE w:val="0"/>
        <w:autoSpaceDN w:val="0"/>
        <w:adjustRightInd w:val="0"/>
        <w:spacing w:line="360" w:lineRule="auto"/>
        <w:jc w:val="both"/>
        <w:rPr>
          <w:rFonts w:ascii="Palatino Linotype" w:eastAsia="Calibri" w:hAnsi="Palatino Linotype" w:cs="Tahoma"/>
          <w:b/>
          <w:bCs/>
          <w:iCs/>
          <w:sz w:val="22"/>
          <w:szCs w:val="22"/>
          <w:lang w:val="es-ES" w:eastAsia="en-US"/>
        </w:rPr>
      </w:pPr>
      <w:r>
        <w:rPr>
          <w:rFonts w:ascii="Palatino Linotype" w:eastAsia="Calibri" w:hAnsi="Palatino Linotype" w:cs="Tahoma"/>
          <w:b/>
          <w:bCs/>
          <w:iCs/>
          <w:sz w:val="22"/>
          <w:szCs w:val="22"/>
          <w:lang w:val="es-ES" w:eastAsia="en-US"/>
        </w:rPr>
        <w:lastRenderedPageBreak/>
        <w:t>Términos de la Resolución</w:t>
      </w:r>
      <w:r w:rsidR="00D51254">
        <w:rPr>
          <w:rFonts w:ascii="Palatino Linotype" w:eastAsia="Calibri" w:hAnsi="Palatino Linotype" w:cs="Tahoma"/>
          <w:b/>
          <w:bCs/>
          <w:iCs/>
          <w:sz w:val="22"/>
          <w:szCs w:val="22"/>
          <w:lang w:val="es-ES" w:eastAsia="en-US"/>
        </w:rPr>
        <w:t xml:space="preserve"> para el Recurrente</w:t>
      </w:r>
      <w:r>
        <w:rPr>
          <w:rFonts w:ascii="Palatino Linotype" w:eastAsia="Calibri" w:hAnsi="Palatino Linotype" w:cs="Tahoma"/>
          <w:b/>
          <w:bCs/>
          <w:iCs/>
          <w:sz w:val="22"/>
          <w:szCs w:val="22"/>
          <w:lang w:val="es-ES" w:eastAsia="en-US"/>
        </w:rPr>
        <w:t xml:space="preserve">. </w:t>
      </w:r>
    </w:p>
    <w:p w14:paraId="6D93DF56" w14:textId="77777777" w:rsidR="00801872" w:rsidRPr="00C938B6" w:rsidRDefault="00801872" w:rsidP="005B031E">
      <w:pPr>
        <w:autoSpaceDE w:val="0"/>
        <w:autoSpaceDN w:val="0"/>
        <w:adjustRightInd w:val="0"/>
        <w:spacing w:line="360" w:lineRule="auto"/>
        <w:jc w:val="both"/>
        <w:rPr>
          <w:rFonts w:ascii="Palatino Linotype" w:eastAsia="Calibri" w:hAnsi="Palatino Linotype" w:cs="Tahoma"/>
          <w:b/>
          <w:bCs/>
          <w:iCs/>
          <w:sz w:val="22"/>
          <w:szCs w:val="22"/>
          <w:lang w:val="es-ES" w:eastAsia="en-US"/>
        </w:rPr>
      </w:pPr>
    </w:p>
    <w:p w14:paraId="3D0E089E" w14:textId="254CA45C" w:rsidR="0007377F" w:rsidRDefault="00065B2F" w:rsidP="005B031E">
      <w:pPr>
        <w:widowControl w:val="0"/>
        <w:spacing w:line="360" w:lineRule="auto"/>
        <w:jc w:val="both"/>
        <w:rPr>
          <w:rFonts w:ascii="Palatino Linotype" w:eastAsia="Calibri" w:hAnsi="Palatino Linotype" w:cs="Tahoma"/>
          <w:bCs/>
          <w:iCs/>
          <w:sz w:val="22"/>
          <w:szCs w:val="22"/>
          <w:lang w:val="es-ES" w:eastAsia="en-US"/>
        </w:rPr>
      </w:pPr>
      <w:r w:rsidRPr="00CB4A69">
        <w:rPr>
          <w:rFonts w:ascii="Palatino Linotype" w:eastAsia="Calibri" w:hAnsi="Palatino Linotype" w:cs="Tahoma"/>
          <w:bCs/>
          <w:iCs/>
          <w:sz w:val="22"/>
          <w:szCs w:val="22"/>
          <w:lang w:val="es-ES" w:eastAsia="en-US"/>
        </w:rPr>
        <w:t xml:space="preserve">Se </w:t>
      </w:r>
      <w:r w:rsidR="00801872" w:rsidRPr="00CB4A69">
        <w:rPr>
          <w:rFonts w:ascii="Palatino Linotype" w:eastAsia="Calibri" w:hAnsi="Palatino Linotype" w:cs="Tahoma"/>
          <w:bCs/>
          <w:iCs/>
          <w:sz w:val="22"/>
          <w:szCs w:val="22"/>
          <w:lang w:val="es-ES" w:eastAsia="en-US"/>
        </w:rPr>
        <w:t xml:space="preserve">hace </w:t>
      </w:r>
      <w:r w:rsidR="006F32E9" w:rsidRPr="00CB4A69">
        <w:rPr>
          <w:rFonts w:ascii="Palatino Linotype" w:eastAsia="Calibri" w:hAnsi="Palatino Linotype" w:cs="Tahoma"/>
          <w:bCs/>
          <w:iCs/>
          <w:sz w:val="22"/>
          <w:szCs w:val="22"/>
          <w:lang w:val="es-ES" w:eastAsia="en-US"/>
        </w:rPr>
        <w:t xml:space="preserve">del conocimiento al Particular </w:t>
      </w:r>
      <w:r w:rsidR="00801872" w:rsidRPr="00CB4A69">
        <w:rPr>
          <w:rFonts w:ascii="Palatino Linotype" w:eastAsia="Calibri" w:hAnsi="Palatino Linotype" w:cs="Tahoma"/>
          <w:bCs/>
          <w:iCs/>
          <w:sz w:val="22"/>
          <w:szCs w:val="22"/>
          <w:lang w:val="es-ES" w:eastAsia="en-US"/>
        </w:rPr>
        <w:t>que en el prese</w:t>
      </w:r>
      <w:r w:rsidRPr="00CB4A69">
        <w:rPr>
          <w:rFonts w:ascii="Palatino Linotype" w:eastAsia="Calibri" w:hAnsi="Palatino Linotype" w:cs="Tahoma"/>
          <w:bCs/>
          <w:iCs/>
          <w:sz w:val="22"/>
          <w:szCs w:val="22"/>
          <w:lang w:val="es-ES" w:eastAsia="en-US"/>
        </w:rPr>
        <w:t xml:space="preserve">nte caso se le </w:t>
      </w:r>
      <w:r w:rsidR="00D51254" w:rsidRPr="00CB4A69">
        <w:rPr>
          <w:rFonts w:ascii="Palatino Linotype" w:eastAsia="Calibri" w:hAnsi="Palatino Linotype" w:cs="Tahoma"/>
          <w:bCs/>
          <w:iCs/>
          <w:sz w:val="22"/>
          <w:szCs w:val="22"/>
          <w:lang w:val="es-ES" w:eastAsia="en-US"/>
        </w:rPr>
        <w:t xml:space="preserve">concede </w:t>
      </w:r>
      <w:r w:rsidRPr="00CB4A69">
        <w:rPr>
          <w:rFonts w:ascii="Palatino Linotype" w:eastAsia="Calibri" w:hAnsi="Palatino Linotype" w:cs="Tahoma"/>
          <w:bCs/>
          <w:iCs/>
          <w:sz w:val="22"/>
          <w:szCs w:val="22"/>
          <w:lang w:val="es-ES" w:eastAsia="en-US"/>
        </w:rPr>
        <w:t xml:space="preserve">la razón </w:t>
      </w:r>
      <w:r w:rsidR="0007377F">
        <w:rPr>
          <w:rFonts w:ascii="Palatino Linotype" w:eastAsia="Calibri" w:hAnsi="Palatino Linotype" w:cs="Tahoma"/>
          <w:bCs/>
          <w:iCs/>
          <w:sz w:val="22"/>
          <w:szCs w:val="22"/>
          <w:lang w:val="es-ES" w:eastAsia="en-US"/>
        </w:rPr>
        <w:t>dado que el Sujeto Obligado n</w:t>
      </w:r>
      <w:r w:rsidR="00E73502">
        <w:rPr>
          <w:rFonts w:ascii="Palatino Linotype" w:eastAsia="Calibri" w:hAnsi="Palatino Linotype" w:cs="Tahoma"/>
          <w:bCs/>
          <w:iCs/>
          <w:sz w:val="22"/>
          <w:szCs w:val="22"/>
          <w:lang w:val="es-ES" w:eastAsia="en-US"/>
        </w:rPr>
        <w:t xml:space="preserve">o proporcionó la información solicitada.  </w:t>
      </w:r>
    </w:p>
    <w:p w14:paraId="21C432CA" w14:textId="77777777" w:rsidR="001123D1" w:rsidRPr="00CB4A69" w:rsidRDefault="001123D1" w:rsidP="005B031E">
      <w:pPr>
        <w:widowControl w:val="0"/>
        <w:spacing w:line="360" w:lineRule="auto"/>
        <w:jc w:val="both"/>
        <w:rPr>
          <w:rFonts w:ascii="Palatino Linotype" w:eastAsia="Calibri" w:hAnsi="Palatino Linotype" w:cs="Tahoma"/>
          <w:bCs/>
          <w:iCs/>
          <w:sz w:val="22"/>
          <w:szCs w:val="22"/>
          <w:lang w:val="es-ES" w:eastAsia="en-US"/>
        </w:rPr>
      </w:pPr>
    </w:p>
    <w:p w14:paraId="40DDFD7B" w14:textId="221FD80C" w:rsidR="001B6D3C" w:rsidRDefault="00F171E4" w:rsidP="00E73502">
      <w:pPr>
        <w:spacing w:line="360" w:lineRule="auto"/>
        <w:jc w:val="both"/>
        <w:rPr>
          <w:rFonts w:ascii="Palatino Linotype" w:eastAsia="Calibri" w:hAnsi="Palatino Linotype" w:cs="Tahoma"/>
          <w:bCs/>
          <w:iCs/>
          <w:sz w:val="22"/>
          <w:szCs w:val="22"/>
          <w:lang w:eastAsia="en-US"/>
        </w:rPr>
      </w:pPr>
      <w:r>
        <w:rPr>
          <w:rFonts w:ascii="Palatino Linotype" w:eastAsia="Calibri" w:hAnsi="Palatino Linotype" w:cs="Tahoma"/>
          <w:bCs/>
          <w:iCs/>
          <w:sz w:val="22"/>
          <w:szCs w:val="22"/>
          <w:lang w:eastAsia="en-US"/>
        </w:rPr>
        <w:t>Por último</w:t>
      </w:r>
      <w:r w:rsidR="007A067A" w:rsidRPr="00CB4A69">
        <w:rPr>
          <w:rFonts w:ascii="Palatino Linotype" w:eastAsia="Calibri" w:hAnsi="Palatino Linotype" w:cs="Tahoma"/>
          <w:bCs/>
          <w:iCs/>
          <w:sz w:val="22"/>
          <w:szCs w:val="22"/>
          <w:lang w:eastAsia="en-US"/>
        </w:rPr>
        <w:t xml:space="preserve">, es imprescindible mencionar que la labor de este Instituto </w:t>
      </w:r>
      <w:r w:rsidR="00D51254" w:rsidRPr="00CB4A69">
        <w:rPr>
          <w:rFonts w:ascii="Palatino Linotype" w:eastAsia="Calibri" w:hAnsi="Palatino Linotype" w:cs="Tahoma"/>
          <w:bCs/>
          <w:iCs/>
          <w:sz w:val="22"/>
          <w:szCs w:val="22"/>
          <w:lang w:eastAsia="en-US"/>
        </w:rPr>
        <w:t>es</w:t>
      </w:r>
      <w:r w:rsidR="007A067A" w:rsidRPr="00CB4A69">
        <w:rPr>
          <w:rFonts w:ascii="Palatino Linotype" w:eastAsia="Calibri" w:hAnsi="Palatino Linotype" w:cs="Tahoma"/>
          <w:bCs/>
          <w:iCs/>
          <w:sz w:val="22"/>
          <w:szCs w:val="22"/>
          <w:lang w:eastAsia="en-US"/>
        </w:rPr>
        <w:t xml:space="preserve"> apoyar a la población </w:t>
      </w:r>
      <w:r w:rsidR="00D51254" w:rsidRPr="00CB4A69">
        <w:rPr>
          <w:rFonts w:ascii="Palatino Linotype" w:eastAsia="Calibri" w:hAnsi="Palatino Linotype" w:cs="Tahoma"/>
          <w:bCs/>
          <w:iCs/>
          <w:sz w:val="22"/>
          <w:szCs w:val="22"/>
          <w:lang w:eastAsia="en-US"/>
        </w:rPr>
        <w:t>para que</w:t>
      </w:r>
      <w:r w:rsidR="007A067A" w:rsidRPr="00CB4A69">
        <w:rPr>
          <w:rFonts w:ascii="Palatino Linotype" w:eastAsia="Calibri" w:hAnsi="Palatino Linotype" w:cs="Tahoma"/>
          <w:bCs/>
          <w:iCs/>
          <w:sz w:val="22"/>
          <w:szCs w:val="22"/>
          <w:lang w:eastAsia="en-US"/>
        </w:rPr>
        <w:t xml:space="preserve"> </w:t>
      </w:r>
      <w:r w:rsidR="00D51254" w:rsidRPr="00CB4A69">
        <w:rPr>
          <w:rFonts w:ascii="Palatino Linotype" w:eastAsia="Calibri" w:hAnsi="Palatino Linotype" w:cs="Tahoma"/>
          <w:bCs/>
          <w:iCs/>
          <w:sz w:val="22"/>
          <w:szCs w:val="22"/>
          <w:lang w:eastAsia="en-US"/>
        </w:rPr>
        <w:t xml:space="preserve">acceda </w:t>
      </w:r>
      <w:r w:rsidR="007A067A" w:rsidRPr="00CB4A69">
        <w:rPr>
          <w:rFonts w:ascii="Palatino Linotype" w:eastAsia="Calibri" w:hAnsi="Palatino Linotype" w:cs="Tahoma"/>
          <w:bCs/>
          <w:iCs/>
          <w:sz w:val="22"/>
          <w:szCs w:val="22"/>
          <w:lang w:eastAsia="en-US"/>
        </w:rPr>
        <w:t>a la información pública que se encuentre en posesión de los sujetos obligados y garantizar la protección de los datos personales.</w:t>
      </w:r>
      <w:r w:rsidR="007A067A" w:rsidRPr="007A067A">
        <w:rPr>
          <w:rFonts w:ascii="Palatino Linotype" w:eastAsia="Calibri" w:hAnsi="Palatino Linotype" w:cs="Tahoma"/>
          <w:bCs/>
          <w:iCs/>
          <w:sz w:val="22"/>
          <w:szCs w:val="22"/>
          <w:lang w:eastAsia="en-US"/>
        </w:rPr>
        <w:t xml:space="preserve"> </w:t>
      </w:r>
    </w:p>
    <w:p w14:paraId="3AB0185B" w14:textId="77777777" w:rsidR="00E73502" w:rsidRDefault="00E73502" w:rsidP="00E73502">
      <w:pPr>
        <w:spacing w:line="360" w:lineRule="auto"/>
        <w:jc w:val="both"/>
        <w:rPr>
          <w:rFonts w:ascii="Palatino Linotype" w:eastAsia="Calibri" w:hAnsi="Palatino Linotype" w:cs="Tahoma"/>
          <w:bCs/>
          <w:iCs/>
          <w:sz w:val="22"/>
          <w:szCs w:val="22"/>
          <w:lang w:eastAsia="en-US"/>
        </w:rPr>
      </w:pPr>
    </w:p>
    <w:p w14:paraId="7818318C" w14:textId="748FEFB2" w:rsidR="00801872" w:rsidRPr="00C938B6" w:rsidRDefault="00801872" w:rsidP="005B031E">
      <w:pPr>
        <w:autoSpaceDE w:val="0"/>
        <w:autoSpaceDN w:val="0"/>
        <w:adjustRightInd w:val="0"/>
        <w:spacing w:line="360" w:lineRule="auto"/>
        <w:jc w:val="both"/>
        <w:rPr>
          <w:rFonts w:ascii="Palatino Linotype" w:eastAsia="Calibri" w:hAnsi="Palatino Linotype" w:cs="Tahoma"/>
          <w:bCs/>
          <w:iCs/>
          <w:sz w:val="22"/>
          <w:szCs w:val="22"/>
          <w:lang w:eastAsia="en-US"/>
        </w:rPr>
      </w:pPr>
      <w:r w:rsidRPr="00C938B6">
        <w:rPr>
          <w:rFonts w:ascii="Palatino Linotype" w:eastAsia="Calibri" w:hAnsi="Palatino Linotype" w:cs="Tahoma"/>
          <w:bCs/>
          <w:iCs/>
          <w:sz w:val="22"/>
          <w:szCs w:val="22"/>
          <w:lang w:eastAsia="en-US"/>
        </w:rPr>
        <w:t>Por lo expuesto y fundado, este Pleno:</w:t>
      </w:r>
    </w:p>
    <w:p w14:paraId="5331D0C1" w14:textId="77777777" w:rsidR="00801872" w:rsidRPr="00C938B6" w:rsidRDefault="00801872" w:rsidP="005B031E">
      <w:pPr>
        <w:autoSpaceDE w:val="0"/>
        <w:autoSpaceDN w:val="0"/>
        <w:adjustRightInd w:val="0"/>
        <w:spacing w:line="360" w:lineRule="auto"/>
        <w:jc w:val="both"/>
        <w:rPr>
          <w:rFonts w:ascii="Palatino Linotype" w:eastAsia="Calibri" w:hAnsi="Palatino Linotype" w:cs="Tahoma"/>
          <w:bCs/>
          <w:iCs/>
          <w:sz w:val="22"/>
          <w:szCs w:val="22"/>
          <w:lang w:eastAsia="en-US"/>
        </w:rPr>
      </w:pPr>
    </w:p>
    <w:p w14:paraId="21497BEA" w14:textId="3EB8BFD4" w:rsidR="00744C4C" w:rsidRDefault="00801872" w:rsidP="005B031E">
      <w:pPr>
        <w:spacing w:line="360" w:lineRule="auto"/>
        <w:ind w:right="-28"/>
        <w:jc w:val="center"/>
        <w:rPr>
          <w:rFonts w:ascii="Palatino Linotype" w:eastAsia="Calibri" w:hAnsi="Palatino Linotype" w:cs="Tahoma"/>
          <w:b/>
          <w:bCs/>
          <w:sz w:val="22"/>
          <w:szCs w:val="22"/>
        </w:rPr>
      </w:pPr>
      <w:r w:rsidRPr="00C938B6">
        <w:rPr>
          <w:rFonts w:ascii="Palatino Linotype" w:eastAsia="Calibri" w:hAnsi="Palatino Linotype" w:cs="Tahoma"/>
          <w:b/>
          <w:bCs/>
          <w:sz w:val="22"/>
          <w:szCs w:val="22"/>
        </w:rPr>
        <w:t>R E S U E L V E:</w:t>
      </w:r>
    </w:p>
    <w:p w14:paraId="50A40932" w14:textId="77777777" w:rsidR="005B031E" w:rsidRPr="00E27FF5" w:rsidRDefault="005B031E" w:rsidP="00E27FF5">
      <w:pPr>
        <w:spacing w:line="360" w:lineRule="auto"/>
        <w:ind w:right="-28"/>
        <w:jc w:val="both"/>
        <w:rPr>
          <w:rFonts w:ascii="Palatino Linotype" w:eastAsia="Calibri" w:hAnsi="Palatino Linotype" w:cs="Tahoma"/>
          <w:b/>
          <w:bCs/>
          <w:sz w:val="24"/>
          <w:szCs w:val="24"/>
        </w:rPr>
      </w:pPr>
    </w:p>
    <w:p w14:paraId="6780F096" w14:textId="025C7D0E" w:rsidR="001529E7" w:rsidRPr="001529E7" w:rsidRDefault="00E27FF5" w:rsidP="00E27FF5">
      <w:pPr>
        <w:widowControl w:val="0"/>
        <w:spacing w:line="360" w:lineRule="auto"/>
        <w:jc w:val="both"/>
        <w:rPr>
          <w:rFonts w:ascii="Palatino Linotype" w:eastAsia="Calibri" w:hAnsi="Palatino Linotype" w:cs="Tahoma"/>
          <w:sz w:val="22"/>
          <w:szCs w:val="22"/>
          <w:lang w:eastAsia="en-US"/>
        </w:rPr>
      </w:pPr>
      <w:bookmarkStart w:id="4" w:name="_Hlk92790075"/>
      <w:r w:rsidRPr="00E27FF5">
        <w:rPr>
          <w:rFonts w:ascii="Palatino Linotype" w:hAnsi="Palatino Linotype" w:cs="Tahoma"/>
          <w:b/>
          <w:bCs/>
          <w:sz w:val="22"/>
          <w:szCs w:val="22"/>
        </w:rPr>
        <w:t xml:space="preserve">PRIMERO. </w:t>
      </w:r>
      <w:r w:rsidR="00BF3EED">
        <w:rPr>
          <w:rFonts w:ascii="Palatino Linotype" w:eastAsia="Calibri" w:hAnsi="Palatino Linotype" w:cs="Tahoma"/>
          <w:bCs/>
          <w:sz w:val="22"/>
          <w:szCs w:val="22"/>
        </w:rPr>
        <w:t xml:space="preserve">Se </w:t>
      </w:r>
      <w:r w:rsidR="00BF3EED">
        <w:rPr>
          <w:rFonts w:ascii="Palatino Linotype" w:eastAsia="Calibri" w:hAnsi="Palatino Linotype" w:cs="Tahoma"/>
          <w:b/>
          <w:sz w:val="22"/>
          <w:szCs w:val="22"/>
        </w:rPr>
        <w:t xml:space="preserve">REVOCA </w:t>
      </w:r>
      <w:r w:rsidR="00BF3EED">
        <w:rPr>
          <w:rFonts w:ascii="Palatino Linotype" w:eastAsia="Calibri" w:hAnsi="Palatino Linotype" w:cs="Tahoma"/>
          <w:bCs/>
          <w:sz w:val="22"/>
          <w:szCs w:val="22"/>
        </w:rPr>
        <w:t>la respuesta entregada por el Ayuntamiento de Metepec a la solicitud de información</w:t>
      </w:r>
      <w:r w:rsidR="001529E7">
        <w:rPr>
          <w:rFonts w:ascii="Palatino Linotype" w:eastAsia="Calibri" w:hAnsi="Palatino Linotype" w:cs="Tahoma"/>
          <w:bCs/>
          <w:sz w:val="22"/>
          <w:szCs w:val="22"/>
        </w:rPr>
        <w:t xml:space="preserve"> </w:t>
      </w:r>
      <w:r w:rsidR="001529E7" w:rsidRPr="001529E7">
        <w:rPr>
          <w:rFonts w:ascii="Palatino Linotype" w:eastAsia="Calibri" w:hAnsi="Palatino Linotype" w:cs="Tahoma"/>
          <w:sz w:val="22"/>
          <w:szCs w:val="22"/>
          <w:lang w:eastAsia="en-US"/>
        </w:rPr>
        <w:t>00695/METEPEC/IP/2021 por</w:t>
      </w:r>
      <w:r w:rsidR="001529E7">
        <w:rPr>
          <w:rFonts w:ascii="Palatino Linotype" w:eastAsia="Calibri" w:hAnsi="Palatino Linotype" w:cs="Tahoma"/>
          <w:sz w:val="22"/>
          <w:szCs w:val="22"/>
          <w:lang w:eastAsia="en-US"/>
        </w:rPr>
        <w:t xml:space="preserve"> resultar </w:t>
      </w:r>
      <w:r w:rsidR="001529E7">
        <w:rPr>
          <w:rFonts w:ascii="Palatino Linotype" w:eastAsia="Calibri" w:hAnsi="Palatino Linotype" w:cs="Tahoma"/>
          <w:b/>
          <w:bCs/>
          <w:sz w:val="22"/>
          <w:szCs w:val="22"/>
          <w:lang w:eastAsia="en-US"/>
        </w:rPr>
        <w:t xml:space="preserve">FUNDADOS </w:t>
      </w:r>
      <w:r w:rsidR="001529E7">
        <w:rPr>
          <w:rFonts w:ascii="Palatino Linotype" w:eastAsia="Calibri" w:hAnsi="Palatino Linotype" w:cs="Tahoma"/>
          <w:sz w:val="22"/>
          <w:szCs w:val="22"/>
          <w:lang w:eastAsia="en-US"/>
        </w:rPr>
        <w:t xml:space="preserve">los motivos de inconformidad vertidos por el Recurrente, en términos de los Considerandos </w:t>
      </w:r>
      <w:r w:rsidR="003D3A22">
        <w:rPr>
          <w:rFonts w:ascii="Palatino Linotype" w:eastAsia="Calibri" w:hAnsi="Palatino Linotype" w:cs="Tahoma"/>
          <w:b/>
          <w:bCs/>
          <w:sz w:val="22"/>
          <w:szCs w:val="22"/>
          <w:lang w:eastAsia="en-US"/>
        </w:rPr>
        <w:t>QUINTO</w:t>
      </w:r>
      <w:r w:rsidR="001529E7">
        <w:rPr>
          <w:rFonts w:ascii="Palatino Linotype" w:eastAsia="Calibri" w:hAnsi="Palatino Linotype" w:cs="Tahoma"/>
          <w:sz w:val="22"/>
          <w:szCs w:val="22"/>
          <w:lang w:eastAsia="en-US"/>
        </w:rPr>
        <w:t xml:space="preserve"> y </w:t>
      </w:r>
      <w:r w:rsidR="003D3A22">
        <w:rPr>
          <w:rFonts w:ascii="Palatino Linotype" w:eastAsia="Calibri" w:hAnsi="Palatino Linotype" w:cs="Tahoma"/>
          <w:b/>
          <w:bCs/>
          <w:sz w:val="22"/>
          <w:szCs w:val="22"/>
          <w:lang w:eastAsia="en-US"/>
        </w:rPr>
        <w:t xml:space="preserve">SÉPTIMO </w:t>
      </w:r>
      <w:r w:rsidR="001529E7">
        <w:rPr>
          <w:rFonts w:ascii="Palatino Linotype" w:eastAsia="Calibri" w:hAnsi="Palatino Linotype" w:cs="Tahoma"/>
          <w:sz w:val="22"/>
          <w:szCs w:val="22"/>
          <w:lang w:eastAsia="en-US"/>
        </w:rPr>
        <w:t xml:space="preserve">de la presente Resolución. </w:t>
      </w:r>
    </w:p>
    <w:p w14:paraId="6D025A79" w14:textId="77777777" w:rsidR="00E27FF5" w:rsidRPr="00E27FF5" w:rsidRDefault="00E27FF5" w:rsidP="00E27FF5">
      <w:pPr>
        <w:spacing w:line="360" w:lineRule="auto"/>
        <w:jc w:val="both"/>
        <w:rPr>
          <w:rFonts w:ascii="Palatino Linotype" w:hAnsi="Palatino Linotype" w:cs="Tahoma"/>
          <w:b/>
          <w:bCs/>
          <w:sz w:val="22"/>
          <w:szCs w:val="22"/>
        </w:rPr>
      </w:pPr>
    </w:p>
    <w:p w14:paraId="0E55B5F7" w14:textId="62ADE88A" w:rsidR="00E27FF5" w:rsidRPr="00E27FF5" w:rsidRDefault="00E27FF5" w:rsidP="00E27FF5">
      <w:pPr>
        <w:spacing w:line="360" w:lineRule="auto"/>
        <w:ind w:right="-93"/>
        <w:jc w:val="both"/>
        <w:rPr>
          <w:rFonts w:ascii="Palatino Linotype" w:hAnsi="Palatino Linotype" w:cs="Tahoma"/>
          <w:sz w:val="22"/>
          <w:szCs w:val="22"/>
          <w:lang w:val="es-ES"/>
        </w:rPr>
      </w:pPr>
      <w:r w:rsidRPr="00E27FF5">
        <w:rPr>
          <w:rFonts w:ascii="Palatino Linotype" w:eastAsia="Calibri" w:hAnsi="Palatino Linotype" w:cs="Tahoma"/>
          <w:b/>
          <w:bCs/>
          <w:sz w:val="22"/>
          <w:szCs w:val="22"/>
        </w:rPr>
        <w:t>SEGUNDO.</w:t>
      </w:r>
      <w:r w:rsidRPr="00E27FF5">
        <w:rPr>
          <w:rFonts w:ascii="Palatino Linotype" w:eastAsia="Calibri" w:hAnsi="Palatino Linotype" w:cs="Tahoma"/>
          <w:sz w:val="22"/>
          <w:szCs w:val="22"/>
          <w:lang w:eastAsia="es-MX"/>
        </w:rPr>
        <w:t xml:space="preserve"> Se </w:t>
      </w:r>
      <w:r w:rsidRPr="00E27FF5">
        <w:rPr>
          <w:rFonts w:ascii="Palatino Linotype" w:eastAsia="Calibri" w:hAnsi="Palatino Linotype" w:cs="Tahoma"/>
          <w:b/>
          <w:sz w:val="22"/>
          <w:szCs w:val="22"/>
          <w:lang w:eastAsia="es-MX"/>
        </w:rPr>
        <w:t xml:space="preserve">ORDENA </w:t>
      </w:r>
      <w:r w:rsidRPr="00E27FF5">
        <w:rPr>
          <w:rFonts w:ascii="Palatino Linotype" w:eastAsia="Calibri" w:hAnsi="Palatino Linotype" w:cs="Tahoma"/>
          <w:sz w:val="22"/>
          <w:szCs w:val="22"/>
          <w:lang w:eastAsia="es-MX"/>
        </w:rPr>
        <w:t xml:space="preserve">al Sujeto Obligado, </w:t>
      </w:r>
      <w:r w:rsidRPr="00E27FF5">
        <w:rPr>
          <w:rFonts w:ascii="Palatino Linotype" w:eastAsia="Calibri" w:hAnsi="Palatino Linotype" w:cs="Tahoma"/>
          <w:bCs/>
          <w:sz w:val="22"/>
          <w:szCs w:val="22"/>
        </w:rPr>
        <w:t>a efecto de que</w:t>
      </w:r>
      <w:r w:rsidR="00CD6D02">
        <w:rPr>
          <w:rFonts w:ascii="Palatino Linotype" w:hAnsi="Palatino Linotype" w:cs="Tahoma"/>
          <w:sz w:val="22"/>
          <w:szCs w:val="22"/>
        </w:rPr>
        <w:t xml:space="preserve"> previa búsqueda exhaustiva y razonable, </w:t>
      </w:r>
      <w:r w:rsidR="00725CAF">
        <w:rPr>
          <w:rFonts w:ascii="Palatino Linotype" w:hAnsi="Palatino Linotype" w:cs="Tahoma"/>
          <w:sz w:val="22"/>
          <w:szCs w:val="22"/>
        </w:rPr>
        <w:t xml:space="preserve">entregue a </w:t>
      </w:r>
      <w:r w:rsidR="00725CAF" w:rsidRPr="00E27FF5">
        <w:rPr>
          <w:rFonts w:ascii="Palatino Linotype" w:hAnsi="Palatino Linotype" w:cs="Tahoma"/>
          <w:sz w:val="22"/>
          <w:szCs w:val="22"/>
        </w:rPr>
        <w:t>través</w:t>
      </w:r>
      <w:r w:rsidRPr="00E27FF5">
        <w:rPr>
          <w:rFonts w:ascii="Palatino Linotype" w:hAnsi="Palatino Linotype" w:cs="Tahoma"/>
          <w:sz w:val="22"/>
          <w:szCs w:val="22"/>
        </w:rPr>
        <w:t xml:space="preserve"> del </w:t>
      </w:r>
      <w:r w:rsidRPr="00E27FF5">
        <w:rPr>
          <w:rFonts w:ascii="Palatino Linotype" w:hAnsi="Palatino Linotype" w:cs="Tahoma"/>
          <w:sz w:val="22"/>
          <w:szCs w:val="22"/>
          <w:lang w:val="es-ES"/>
        </w:rPr>
        <w:t xml:space="preserve">Sistema de Acceso a la Información Mexiquense (SAIMEX), </w:t>
      </w:r>
      <w:r w:rsidR="00CD6D02">
        <w:rPr>
          <w:rFonts w:ascii="Palatino Linotype" w:hAnsi="Palatino Linotype" w:cs="Tahoma"/>
          <w:sz w:val="22"/>
          <w:szCs w:val="22"/>
          <w:lang w:val="es-ES"/>
        </w:rPr>
        <w:t>de ser el caso</w:t>
      </w:r>
      <w:r w:rsidRPr="00E27FF5">
        <w:rPr>
          <w:rFonts w:ascii="Palatino Linotype" w:hAnsi="Palatino Linotype" w:cs="Tahoma"/>
          <w:sz w:val="22"/>
          <w:szCs w:val="22"/>
          <w:lang w:val="es-ES"/>
        </w:rPr>
        <w:t xml:space="preserve">, en versión pública, </w:t>
      </w:r>
      <w:r w:rsidR="00744442">
        <w:rPr>
          <w:rFonts w:ascii="Palatino Linotype" w:eastAsia="Calibri" w:hAnsi="Palatino Linotype" w:cs="Tahoma"/>
          <w:szCs w:val="22"/>
        </w:rPr>
        <w:t>d</w:t>
      </w:r>
      <w:r w:rsidR="00744442" w:rsidRPr="00744442">
        <w:rPr>
          <w:rFonts w:ascii="Palatino Linotype" w:eastAsia="Calibri" w:hAnsi="Palatino Linotype" w:cs="Tahoma"/>
          <w:szCs w:val="22"/>
        </w:rPr>
        <w:t xml:space="preserve">e los años 2018, 2019, 2020 y </w:t>
      </w:r>
      <w:r w:rsidR="00744442">
        <w:rPr>
          <w:rFonts w:ascii="Palatino Linotype" w:eastAsia="Calibri" w:hAnsi="Palatino Linotype" w:cs="Tahoma"/>
          <w:szCs w:val="22"/>
        </w:rPr>
        <w:t xml:space="preserve">al </w:t>
      </w:r>
      <w:r w:rsidR="00744442">
        <w:rPr>
          <w:rFonts w:ascii="Palatino Linotype" w:hAnsi="Palatino Linotype" w:cs="Tahoma"/>
          <w:sz w:val="22"/>
          <w:szCs w:val="22"/>
        </w:rPr>
        <w:t>veintidós de noviembre de 2021,</w:t>
      </w:r>
      <w:r w:rsidR="00744442" w:rsidRPr="00E27FF5">
        <w:rPr>
          <w:rFonts w:ascii="Palatino Linotype" w:hAnsi="Palatino Linotype" w:cs="Tahoma"/>
          <w:sz w:val="22"/>
          <w:szCs w:val="22"/>
          <w:lang w:val="es-ES"/>
        </w:rPr>
        <w:t xml:space="preserve"> </w:t>
      </w:r>
      <w:r w:rsidRPr="00E27FF5">
        <w:rPr>
          <w:rFonts w:ascii="Palatino Linotype" w:hAnsi="Palatino Linotype" w:cs="Tahoma"/>
          <w:sz w:val="22"/>
          <w:szCs w:val="22"/>
          <w:lang w:val="es-ES"/>
        </w:rPr>
        <w:t xml:space="preserve">lo siguiente: </w:t>
      </w:r>
    </w:p>
    <w:p w14:paraId="0327D754" w14:textId="77777777" w:rsidR="009C4630" w:rsidRPr="00744442" w:rsidRDefault="009C4630" w:rsidP="00E27FF5">
      <w:pPr>
        <w:spacing w:line="360" w:lineRule="auto"/>
        <w:ind w:right="426"/>
        <w:jc w:val="both"/>
        <w:rPr>
          <w:rFonts w:ascii="Palatino Linotype" w:eastAsia="Calibri" w:hAnsi="Palatino Linotype" w:cs="Tahoma"/>
          <w:sz w:val="22"/>
          <w:szCs w:val="22"/>
        </w:rPr>
      </w:pPr>
    </w:p>
    <w:p w14:paraId="358A54B3" w14:textId="17AA801D" w:rsidR="00725CAF" w:rsidRPr="00744442" w:rsidRDefault="00725CAF" w:rsidP="00EB11D0">
      <w:pPr>
        <w:pStyle w:val="Prrafodelista"/>
        <w:numPr>
          <w:ilvl w:val="0"/>
          <w:numId w:val="15"/>
        </w:numPr>
        <w:spacing w:line="360" w:lineRule="auto"/>
        <w:ind w:right="539"/>
        <w:jc w:val="both"/>
        <w:rPr>
          <w:rFonts w:ascii="Palatino Linotype" w:hAnsi="Palatino Linotype" w:cs="Tahoma"/>
          <w:szCs w:val="22"/>
        </w:rPr>
      </w:pPr>
      <w:r w:rsidRPr="00744442">
        <w:rPr>
          <w:rFonts w:ascii="Palatino Linotype" w:hAnsi="Palatino Linotype" w:cs="Tahoma"/>
          <w:iCs/>
          <w:szCs w:val="22"/>
          <w:lang w:val="es-ES_tradnl"/>
        </w:rPr>
        <w:t>Censo</w:t>
      </w:r>
      <w:r w:rsidR="00EE6294" w:rsidRPr="00744442">
        <w:rPr>
          <w:rFonts w:ascii="Palatino Linotype" w:hAnsi="Palatino Linotype" w:cs="Tahoma"/>
          <w:iCs/>
          <w:szCs w:val="22"/>
          <w:lang w:val="es-ES_tradnl"/>
        </w:rPr>
        <w:t>s</w:t>
      </w:r>
      <w:r w:rsidRPr="00744442">
        <w:rPr>
          <w:rFonts w:ascii="Palatino Linotype" w:hAnsi="Palatino Linotype" w:cs="Tahoma"/>
          <w:iCs/>
          <w:szCs w:val="22"/>
          <w:lang w:val="es-ES_tradnl"/>
        </w:rPr>
        <w:t xml:space="preserve"> de Alumbrado Público realizado</w:t>
      </w:r>
      <w:r w:rsidR="00EE6294" w:rsidRPr="00744442">
        <w:rPr>
          <w:rFonts w:ascii="Palatino Linotype" w:hAnsi="Palatino Linotype" w:cs="Tahoma"/>
          <w:iCs/>
          <w:szCs w:val="22"/>
          <w:lang w:val="es-ES_tradnl"/>
        </w:rPr>
        <w:t>s</w:t>
      </w:r>
      <w:r w:rsidRPr="00744442">
        <w:rPr>
          <w:rFonts w:ascii="Palatino Linotype" w:hAnsi="Palatino Linotype" w:cs="Tahoma"/>
          <w:iCs/>
          <w:szCs w:val="22"/>
          <w:lang w:val="es-ES_tradnl"/>
        </w:rPr>
        <w:t xml:space="preserve"> por la Comisión Federal de Electricidad y el Ayuntamiento</w:t>
      </w:r>
      <w:r w:rsidR="009C4630" w:rsidRPr="00744442">
        <w:rPr>
          <w:rFonts w:ascii="Palatino Linotype" w:hAnsi="Palatino Linotype" w:cs="Tahoma"/>
          <w:iCs/>
          <w:szCs w:val="22"/>
          <w:lang w:val="es-ES_tradnl"/>
        </w:rPr>
        <w:t>.</w:t>
      </w:r>
    </w:p>
    <w:p w14:paraId="16E039C9" w14:textId="27470942" w:rsidR="00725CAF" w:rsidRPr="00744442" w:rsidRDefault="00725CAF" w:rsidP="00EB11D0">
      <w:pPr>
        <w:pStyle w:val="Prrafodelista"/>
        <w:numPr>
          <w:ilvl w:val="0"/>
          <w:numId w:val="15"/>
        </w:numPr>
        <w:spacing w:line="360" w:lineRule="auto"/>
        <w:ind w:right="539"/>
        <w:jc w:val="both"/>
        <w:rPr>
          <w:rFonts w:ascii="Palatino Linotype" w:hAnsi="Palatino Linotype" w:cs="Tahoma"/>
          <w:szCs w:val="22"/>
        </w:rPr>
      </w:pPr>
      <w:r w:rsidRPr="00744442">
        <w:rPr>
          <w:rFonts w:ascii="Palatino Linotype" w:hAnsi="Palatino Linotype" w:cs="Tahoma"/>
          <w:iCs/>
          <w:szCs w:val="22"/>
          <w:lang w:val="es-ES_tradnl"/>
        </w:rPr>
        <w:t>Convenio</w:t>
      </w:r>
      <w:r w:rsidR="00EE6294" w:rsidRPr="00744442">
        <w:rPr>
          <w:rFonts w:ascii="Palatino Linotype" w:hAnsi="Palatino Linotype" w:cs="Tahoma"/>
          <w:iCs/>
          <w:szCs w:val="22"/>
          <w:lang w:val="es-ES_tradnl"/>
        </w:rPr>
        <w:t>s</w:t>
      </w:r>
      <w:r w:rsidRPr="00744442">
        <w:rPr>
          <w:rFonts w:ascii="Palatino Linotype" w:hAnsi="Palatino Linotype" w:cs="Tahoma"/>
          <w:iCs/>
          <w:szCs w:val="22"/>
          <w:lang w:val="es-ES_tradnl"/>
        </w:rPr>
        <w:t xml:space="preserve"> para la recaudación del Derecho de Alumbrado Público (DAP), celebrado</w:t>
      </w:r>
      <w:r w:rsidR="00EE6294" w:rsidRPr="00744442">
        <w:rPr>
          <w:rFonts w:ascii="Palatino Linotype" w:hAnsi="Palatino Linotype" w:cs="Tahoma"/>
          <w:iCs/>
          <w:szCs w:val="22"/>
          <w:lang w:val="es-ES_tradnl"/>
        </w:rPr>
        <w:t>s</w:t>
      </w:r>
      <w:r w:rsidRPr="00744442">
        <w:rPr>
          <w:rFonts w:ascii="Palatino Linotype" w:hAnsi="Palatino Linotype" w:cs="Tahoma"/>
          <w:iCs/>
          <w:szCs w:val="22"/>
          <w:lang w:val="es-ES_tradnl"/>
        </w:rPr>
        <w:t xml:space="preserve"> entre la Comisión Federal de Electricidad y el Municipio</w:t>
      </w:r>
      <w:r w:rsidR="009C4630" w:rsidRPr="00744442">
        <w:rPr>
          <w:rFonts w:ascii="Palatino Linotype" w:hAnsi="Palatino Linotype" w:cs="Tahoma"/>
          <w:iCs/>
          <w:szCs w:val="22"/>
          <w:lang w:val="es-ES_tradnl"/>
        </w:rPr>
        <w:t>.</w:t>
      </w:r>
    </w:p>
    <w:p w14:paraId="64D0DCFD" w14:textId="2B5155EC" w:rsidR="00276B1F" w:rsidRPr="00744442" w:rsidRDefault="00276B1F" w:rsidP="00EB11D0">
      <w:pPr>
        <w:pStyle w:val="Prrafodelista"/>
        <w:numPr>
          <w:ilvl w:val="0"/>
          <w:numId w:val="15"/>
        </w:numPr>
        <w:spacing w:line="360" w:lineRule="auto"/>
        <w:ind w:right="539"/>
        <w:jc w:val="both"/>
        <w:rPr>
          <w:rFonts w:ascii="Palatino Linotype" w:hAnsi="Palatino Linotype" w:cs="Tahoma"/>
          <w:szCs w:val="22"/>
        </w:rPr>
      </w:pPr>
      <w:r w:rsidRPr="00744442">
        <w:rPr>
          <w:rFonts w:ascii="Palatino Linotype" w:hAnsi="Palatino Linotype" w:cs="Tahoma"/>
          <w:iCs/>
          <w:szCs w:val="22"/>
          <w:lang w:val="es-ES_tradnl"/>
        </w:rPr>
        <w:lastRenderedPageBreak/>
        <w:t xml:space="preserve">Recibos </w:t>
      </w:r>
      <w:r w:rsidR="002A7B85" w:rsidRPr="00744442">
        <w:rPr>
          <w:rFonts w:ascii="Palatino Linotype" w:hAnsi="Palatino Linotype" w:cs="Tahoma"/>
          <w:iCs/>
          <w:szCs w:val="22"/>
          <w:lang w:val="es-ES_tradnl"/>
        </w:rPr>
        <w:t>emitidos mes con mes por la Comisión Federal de Electricidad</w:t>
      </w:r>
      <w:r w:rsidR="006800FB" w:rsidRPr="00744442">
        <w:rPr>
          <w:rFonts w:ascii="Palatino Linotype" w:hAnsi="Palatino Linotype" w:cs="Tahoma"/>
          <w:iCs/>
          <w:szCs w:val="22"/>
          <w:lang w:val="es-ES_tradnl"/>
        </w:rPr>
        <w:t xml:space="preserve"> por concepto de alumbrado público municipal</w:t>
      </w:r>
      <w:r w:rsidR="009C4630" w:rsidRPr="00744442">
        <w:rPr>
          <w:rFonts w:ascii="Palatino Linotype" w:hAnsi="Palatino Linotype" w:cs="Tahoma"/>
          <w:iCs/>
          <w:szCs w:val="22"/>
          <w:lang w:val="es-ES_tradnl"/>
        </w:rPr>
        <w:t xml:space="preserve"> y;</w:t>
      </w:r>
    </w:p>
    <w:p w14:paraId="331596EE" w14:textId="678A2F7F" w:rsidR="00725CAF" w:rsidRPr="00744442" w:rsidRDefault="00725CAF" w:rsidP="00EB11D0">
      <w:pPr>
        <w:pStyle w:val="Prrafodelista"/>
        <w:numPr>
          <w:ilvl w:val="0"/>
          <w:numId w:val="15"/>
        </w:numPr>
        <w:spacing w:line="360" w:lineRule="auto"/>
        <w:ind w:right="539"/>
        <w:jc w:val="both"/>
        <w:rPr>
          <w:rFonts w:ascii="Palatino Linotype" w:hAnsi="Palatino Linotype" w:cs="Tahoma"/>
          <w:szCs w:val="22"/>
        </w:rPr>
      </w:pPr>
      <w:r w:rsidRPr="00744442">
        <w:rPr>
          <w:rFonts w:ascii="Palatino Linotype" w:hAnsi="Palatino Linotype" w:cs="Tahoma"/>
          <w:iCs/>
          <w:szCs w:val="22"/>
          <w:lang w:val="es-ES_tradnl"/>
        </w:rPr>
        <w:t>Documento</w:t>
      </w:r>
      <w:r w:rsidR="006800FB" w:rsidRPr="00744442">
        <w:rPr>
          <w:rFonts w:ascii="Palatino Linotype" w:hAnsi="Palatino Linotype" w:cs="Tahoma"/>
          <w:iCs/>
          <w:szCs w:val="22"/>
          <w:lang w:val="es-ES_tradnl"/>
        </w:rPr>
        <w:t>s</w:t>
      </w:r>
      <w:r w:rsidRPr="00744442">
        <w:rPr>
          <w:rFonts w:ascii="Palatino Linotype" w:hAnsi="Palatino Linotype" w:cs="Tahoma"/>
          <w:iCs/>
          <w:szCs w:val="22"/>
          <w:lang w:val="es-ES_tradnl"/>
        </w:rPr>
        <w:t xml:space="preserve"> donde conste el monto mensual por recaudación del Derecho de Alumbrado Público</w:t>
      </w:r>
      <w:r w:rsidR="00EE6294" w:rsidRPr="00744442">
        <w:rPr>
          <w:rFonts w:ascii="Palatino Linotype" w:hAnsi="Palatino Linotype" w:cs="Tahoma"/>
          <w:iCs/>
          <w:szCs w:val="22"/>
          <w:lang w:val="es-ES_tradnl"/>
        </w:rPr>
        <w:t xml:space="preserve">. </w:t>
      </w:r>
    </w:p>
    <w:p w14:paraId="5F2FF98A" w14:textId="77777777" w:rsidR="00E27FF5" w:rsidRPr="00E27FF5" w:rsidRDefault="00E27FF5" w:rsidP="00E27FF5">
      <w:pPr>
        <w:spacing w:line="360" w:lineRule="auto"/>
        <w:jc w:val="both"/>
        <w:rPr>
          <w:rFonts w:ascii="Palatino Linotype" w:hAnsi="Palatino Linotype" w:cs="Tahoma"/>
          <w:iCs/>
          <w:sz w:val="22"/>
          <w:szCs w:val="22"/>
        </w:rPr>
      </w:pPr>
    </w:p>
    <w:p w14:paraId="4E850789" w14:textId="77777777" w:rsidR="00E27FF5" w:rsidRPr="00E27FF5" w:rsidRDefault="00E27FF5" w:rsidP="00E27FF5">
      <w:pPr>
        <w:spacing w:line="360" w:lineRule="auto"/>
        <w:jc w:val="both"/>
        <w:rPr>
          <w:rFonts w:ascii="Palatino Linotype" w:hAnsi="Palatino Linotype" w:cs="Tahoma"/>
          <w:iCs/>
          <w:sz w:val="22"/>
          <w:szCs w:val="22"/>
        </w:rPr>
      </w:pPr>
      <w:r w:rsidRPr="00E27FF5">
        <w:rPr>
          <w:rFonts w:ascii="Palatino Linotype" w:hAnsi="Palatino Linotype" w:cs="Tahoma"/>
          <w:iCs/>
          <w:sz w:val="22"/>
          <w:szCs w:val="22"/>
        </w:rPr>
        <w:t xml:space="preserve">Además, de ser necesario, deberá proporcionar </w:t>
      </w:r>
      <w:r w:rsidRPr="00E27FF5">
        <w:rPr>
          <w:rFonts w:ascii="Palatino Linotype" w:eastAsia="Calibri" w:hAnsi="Palatino Linotype" w:cs="Tahoma"/>
          <w:bCs/>
          <w:iCs/>
          <w:color w:val="000000"/>
          <w:sz w:val="22"/>
          <w:szCs w:val="22"/>
        </w:rPr>
        <w:t>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607EFBE4" w14:textId="1A5C5BED" w:rsidR="00E27FF5" w:rsidRDefault="00E27FF5" w:rsidP="00E27FF5">
      <w:pPr>
        <w:spacing w:line="360" w:lineRule="auto"/>
        <w:jc w:val="both"/>
        <w:rPr>
          <w:rFonts w:ascii="Palatino Linotype" w:hAnsi="Palatino Linotype" w:cs="Tahoma"/>
          <w:iCs/>
          <w:sz w:val="22"/>
          <w:szCs w:val="22"/>
        </w:rPr>
      </w:pPr>
    </w:p>
    <w:p w14:paraId="79224733" w14:textId="79098D86" w:rsidR="00725CAF" w:rsidRPr="00E73502" w:rsidRDefault="00725CAF" w:rsidP="00725CAF">
      <w:pPr>
        <w:spacing w:line="360" w:lineRule="auto"/>
        <w:jc w:val="both"/>
        <w:rPr>
          <w:rFonts w:ascii="Palatino Linotype" w:hAnsi="Palatino Linotype" w:cs="Tahoma"/>
          <w:bCs/>
          <w:iCs/>
          <w:sz w:val="22"/>
          <w:szCs w:val="22"/>
        </w:rPr>
      </w:pPr>
      <w:r w:rsidRPr="00483890">
        <w:rPr>
          <w:rFonts w:ascii="Palatino Linotype" w:hAnsi="Palatino Linotype" w:cs="Tahoma"/>
          <w:bCs/>
          <w:iCs/>
          <w:sz w:val="22"/>
          <w:szCs w:val="22"/>
        </w:rPr>
        <w:t xml:space="preserve">Para el caso, de que el Ayuntamiento, no haya celebrado </w:t>
      </w:r>
      <w:r w:rsidRPr="00E73502">
        <w:rPr>
          <w:rFonts w:ascii="Palatino Linotype" w:hAnsi="Palatino Linotype" w:cs="Tahoma"/>
          <w:bCs/>
          <w:iCs/>
          <w:sz w:val="22"/>
          <w:szCs w:val="22"/>
        </w:rPr>
        <w:t>los</w:t>
      </w:r>
      <w:r w:rsidRPr="00483890">
        <w:rPr>
          <w:rFonts w:ascii="Palatino Linotype" w:hAnsi="Palatino Linotype" w:cs="Tahoma"/>
          <w:bCs/>
          <w:iCs/>
          <w:sz w:val="22"/>
          <w:szCs w:val="22"/>
        </w:rPr>
        <w:t xml:space="preserve"> </w:t>
      </w:r>
      <w:r w:rsidR="00744442">
        <w:rPr>
          <w:rFonts w:ascii="Palatino Linotype" w:hAnsi="Palatino Linotype" w:cs="Tahoma"/>
          <w:bCs/>
          <w:iCs/>
          <w:sz w:val="22"/>
          <w:szCs w:val="22"/>
        </w:rPr>
        <w:t>Convenios</w:t>
      </w:r>
      <w:r w:rsidRPr="00E73502">
        <w:rPr>
          <w:rFonts w:ascii="Palatino Linotype" w:hAnsi="Palatino Linotype" w:cs="Tahoma"/>
          <w:bCs/>
          <w:iCs/>
          <w:sz w:val="22"/>
          <w:szCs w:val="22"/>
        </w:rPr>
        <w:t xml:space="preserve"> referidos en el número dos, deberá </w:t>
      </w:r>
      <w:r w:rsidRPr="00483890">
        <w:rPr>
          <w:rFonts w:ascii="Palatino Linotype" w:hAnsi="Palatino Linotype" w:cs="Tahoma"/>
          <w:bCs/>
          <w:iCs/>
          <w:sz w:val="22"/>
          <w:szCs w:val="22"/>
        </w:rPr>
        <w:t xml:space="preserve">hacerlo del conocimiento del ahora Recurrente </w:t>
      </w:r>
      <w:r w:rsidR="00DA6DFB">
        <w:rPr>
          <w:rFonts w:ascii="Palatino Linotype" w:hAnsi="Palatino Linotype" w:cs="Tahoma"/>
          <w:bCs/>
          <w:iCs/>
          <w:sz w:val="22"/>
          <w:szCs w:val="22"/>
        </w:rPr>
        <w:t>de manera precisa y clara.</w:t>
      </w:r>
    </w:p>
    <w:p w14:paraId="643F4D77" w14:textId="77777777" w:rsidR="00725CAF" w:rsidRPr="00E27FF5" w:rsidRDefault="00725CAF" w:rsidP="00E27FF5">
      <w:pPr>
        <w:spacing w:line="360" w:lineRule="auto"/>
        <w:jc w:val="both"/>
        <w:rPr>
          <w:rFonts w:ascii="Palatino Linotype" w:hAnsi="Palatino Linotype" w:cs="Tahoma"/>
          <w:iCs/>
          <w:sz w:val="22"/>
          <w:szCs w:val="22"/>
        </w:rPr>
      </w:pPr>
    </w:p>
    <w:bookmarkEnd w:id="4"/>
    <w:p w14:paraId="42ABE10E" w14:textId="7E874F61" w:rsidR="00E27FF5" w:rsidRDefault="00E27FF5" w:rsidP="00E27FF5">
      <w:pPr>
        <w:spacing w:line="360" w:lineRule="auto"/>
        <w:jc w:val="both"/>
        <w:rPr>
          <w:rFonts w:ascii="Palatino Linotype" w:hAnsi="Palatino Linotype" w:cs="Tahoma"/>
          <w:sz w:val="22"/>
          <w:szCs w:val="22"/>
        </w:rPr>
      </w:pPr>
      <w:r w:rsidRPr="00E27FF5">
        <w:rPr>
          <w:rFonts w:ascii="Palatino Linotype" w:eastAsia="Calibri" w:hAnsi="Palatino Linotype" w:cs="Tahoma"/>
          <w:b/>
          <w:sz w:val="22"/>
          <w:szCs w:val="22"/>
          <w:lang w:eastAsia="es-MX"/>
        </w:rPr>
        <w:t>TERCERO</w:t>
      </w:r>
      <w:r w:rsidRPr="00E27FF5">
        <w:rPr>
          <w:rFonts w:ascii="Palatino Linotype" w:eastAsia="Calibri" w:hAnsi="Palatino Linotype" w:cs="Tahoma"/>
          <w:b/>
          <w:bCs/>
          <w:sz w:val="22"/>
          <w:szCs w:val="22"/>
        </w:rPr>
        <w:t xml:space="preserve">. </w:t>
      </w:r>
      <w:r w:rsidRPr="00E27FF5">
        <w:rPr>
          <w:rFonts w:ascii="Palatino Linotype" w:hAnsi="Palatino Linotype" w:cs="Tahoma"/>
          <w:b/>
          <w:sz w:val="22"/>
          <w:szCs w:val="22"/>
        </w:rPr>
        <w:t xml:space="preserve">NOTIFÍQUESE </w:t>
      </w:r>
      <w:r w:rsidRPr="00E27FF5">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27FD2643" w14:textId="77777777" w:rsidR="00DA6DFB" w:rsidRPr="00E27FF5" w:rsidRDefault="00DA6DFB" w:rsidP="00E27FF5">
      <w:pPr>
        <w:spacing w:line="360" w:lineRule="auto"/>
        <w:jc w:val="both"/>
        <w:rPr>
          <w:rFonts w:ascii="Palatino Linotype" w:hAnsi="Palatino Linotype" w:cs="Tahoma"/>
          <w:sz w:val="22"/>
          <w:szCs w:val="22"/>
        </w:rPr>
      </w:pPr>
    </w:p>
    <w:p w14:paraId="56E5A403" w14:textId="77777777" w:rsidR="00E27FF5" w:rsidRPr="00E27FF5" w:rsidRDefault="00E27FF5" w:rsidP="00E27FF5">
      <w:pPr>
        <w:spacing w:line="360" w:lineRule="auto"/>
        <w:jc w:val="both"/>
        <w:rPr>
          <w:rFonts w:ascii="Palatino Linotype" w:hAnsi="Palatino Linotype" w:cs="Tahoma"/>
          <w:sz w:val="22"/>
          <w:szCs w:val="22"/>
        </w:rPr>
      </w:pPr>
      <w:r w:rsidRPr="00E27FF5">
        <w:rPr>
          <w:rFonts w:ascii="Palatino Linotype" w:hAnsi="Palatino Linotype" w:cs="Tahoma"/>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2D1F456" w14:textId="77777777" w:rsidR="00E27FF5" w:rsidRPr="00E27FF5" w:rsidRDefault="00E27FF5" w:rsidP="00E27FF5">
      <w:pPr>
        <w:spacing w:line="360" w:lineRule="auto"/>
        <w:jc w:val="both"/>
        <w:rPr>
          <w:rFonts w:ascii="Palatino Linotype" w:hAnsi="Palatino Linotype" w:cs="Tahoma"/>
          <w:i/>
          <w:sz w:val="22"/>
          <w:szCs w:val="22"/>
        </w:rPr>
      </w:pPr>
    </w:p>
    <w:p w14:paraId="0B975AA4" w14:textId="77777777" w:rsidR="00E27FF5" w:rsidRPr="00E27FF5" w:rsidRDefault="00E27FF5" w:rsidP="00E27FF5">
      <w:pPr>
        <w:spacing w:line="360" w:lineRule="auto"/>
        <w:jc w:val="both"/>
        <w:rPr>
          <w:rFonts w:ascii="Palatino Linotype" w:hAnsi="Palatino Linotype" w:cs="Tahoma"/>
          <w:sz w:val="22"/>
          <w:szCs w:val="22"/>
        </w:rPr>
      </w:pPr>
      <w:r w:rsidRPr="00E27FF5">
        <w:rPr>
          <w:rFonts w:ascii="Palatino Linotype" w:eastAsia="Calibri" w:hAnsi="Palatino Linotype" w:cs="Tahoma"/>
          <w:b/>
          <w:bCs/>
          <w:iCs/>
          <w:sz w:val="22"/>
          <w:szCs w:val="22"/>
          <w:lang w:val="es-ES"/>
        </w:rPr>
        <w:t>CUARTO</w:t>
      </w:r>
      <w:r w:rsidRPr="00E27FF5">
        <w:rPr>
          <w:rFonts w:ascii="Palatino Linotype" w:eastAsia="Calibri" w:hAnsi="Palatino Linotype" w:cs="Tahoma"/>
          <w:bCs/>
          <w:iCs/>
          <w:sz w:val="22"/>
          <w:szCs w:val="22"/>
          <w:lang w:val="es-ES"/>
        </w:rPr>
        <w:t xml:space="preserve">. </w:t>
      </w:r>
      <w:r w:rsidRPr="00E27FF5">
        <w:rPr>
          <w:rFonts w:ascii="Palatino Linotype" w:hAnsi="Palatino Linotype" w:cs="Tahoma"/>
          <w:b/>
          <w:sz w:val="22"/>
          <w:szCs w:val="22"/>
        </w:rPr>
        <w:t>NOTIFÍQUESE</w:t>
      </w:r>
      <w:r w:rsidRPr="00E27FF5">
        <w:rPr>
          <w:rFonts w:ascii="Palatino Linotype" w:hAnsi="Palatino Linotype" w:cs="Tahoma"/>
          <w:sz w:val="22"/>
          <w:szCs w:val="22"/>
        </w:rPr>
        <w:t xml:space="preserve"> al Recurrente la presente Resolución, asimismo, se hace de su conocimiento que de conformidad con lo establecido en el artículo 196 de la Ley de </w:t>
      </w:r>
      <w:r w:rsidRPr="00E27FF5">
        <w:rPr>
          <w:rFonts w:ascii="Palatino Linotype" w:hAnsi="Palatino Linotype" w:cs="Tahoma"/>
          <w:sz w:val="22"/>
          <w:szCs w:val="22"/>
        </w:rPr>
        <w:lastRenderedPageBreak/>
        <w:t>Transparencia y Acceso a la Información Pública del Estado de México y Municipios podrá promover el Juicio de Amparo en los términos de las leyes aplicables.</w:t>
      </w:r>
    </w:p>
    <w:p w14:paraId="33041051" w14:textId="77777777" w:rsidR="001B6D3C" w:rsidRPr="001B6D3C" w:rsidRDefault="001B6D3C" w:rsidP="001B6D3C">
      <w:pPr>
        <w:spacing w:line="360" w:lineRule="auto"/>
        <w:rPr>
          <w:rFonts w:ascii="Palatino Linotype" w:eastAsia="Calibri" w:hAnsi="Palatino Linotype" w:cs="Tahoma"/>
          <w:sz w:val="22"/>
          <w:szCs w:val="22"/>
          <w:lang w:val="es-ES_tradnl" w:eastAsia="en-US"/>
        </w:rPr>
      </w:pPr>
    </w:p>
    <w:p w14:paraId="71584A6E" w14:textId="518E16AB" w:rsidR="00801872" w:rsidRPr="00C938B6" w:rsidRDefault="00D264F4" w:rsidP="005B031E">
      <w:pPr>
        <w:spacing w:line="360" w:lineRule="auto"/>
        <w:jc w:val="both"/>
        <w:rPr>
          <w:rFonts w:ascii="Palatino Linotype" w:hAnsi="Palatino Linotype" w:cs="Tahoma"/>
          <w:sz w:val="22"/>
          <w:szCs w:val="22"/>
          <w:lang w:eastAsia="es-MX"/>
        </w:rPr>
      </w:pPr>
      <w:r w:rsidRPr="00C938B6">
        <w:rPr>
          <w:rFonts w:ascii="Palatino Linotype" w:hAnsi="Palatino Linotype" w:cs="Tahoma"/>
          <w:sz w:val="22"/>
          <w:szCs w:val="22"/>
          <w:lang w:eastAsia="es-MX"/>
        </w:rPr>
        <w:t xml:space="preserve">ASÍ, POR </w:t>
      </w:r>
      <w:r w:rsidRPr="00C938B6">
        <w:rPr>
          <w:rFonts w:ascii="Palatino Linotype" w:hAnsi="Palatino Linotype" w:cs="Tahoma"/>
          <w:b/>
          <w:sz w:val="22"/>
          <w:szCs w:val="22"/>
          <w:lang w:eastAsia="es-MX"/>
        </w:rPr>
        <w:t>UNANIMIDAD</w:t>
      </w:r>
      <w:r w:rsidRPr="00C938B6">
        <w:rPr>
          <w:rFonts w:ascii="Palatino Linotype" w:hAnsi="Palatino Linotype" w:cs="Tahoma"/>
          <w:sz w:val="22"/>
          <w:szCs w:val="22"/>
          <w:lang w:eastAsia="es-MX"/>
        </w:rPr>
        <w:t xml:space="preserve"> DE VOTOS, LO RESOLVIERON Y FIRMAN LOS COMISIONADOS DEL INSTITUTO DE TRANSPARENCIA, ACCESO A LA INFORMACIÓN PÚBLICA Y PROTECCIÓN DE DATOS PERSONALES DEL ESTADO DE MÉXICO Y MUNICIPIOS, </w:t>
      </w:r>
      <w:r w:rsidRPr="00C938B6">
        <w:rPr>
          <w:rFonts w:ascii="Palatino Linotype" w:hAnsi="Palatino Linotype" w:cs="Tahoma"/>
          <w:bCs/>
          <w:sz w:val="22"/>
          <w:szCs w:val="22"/>
          <w:lang w:eastAsia="es-MX"/>
        </w:rPr>
        <w:t>CONFORMADO POR LOS COMISIONADOS JOSÉ MARTÍNEZ VILCHIS, MARÍA DEL ROSARIO MEJÍA AYALA, SHARON CRISTINA MORALES MARTÍNEZ</w:t>
      </w:r>
      <w:r>
        <w:rPr>
          <w:rFonts w:ascii="Palatino Linotype" w:hAnsi="Palatino Linotype" w:cs="Tahoma"/>
          <w:bCs/>
          <w:sz w:val="22"/>
          <w:szCs w:val="22"/>
          <w:lang w:eastAsia="es-MX"/>
        </w:rPr>
        <w:t xml:space="preserve"> (AUSENCIA JUSTIFICADA)</w:t>
      </w:r>
      <w:r w:rsidRPr="00C938B6">
        <w:rPr>
          <w:rFonts w:ascii="Palatino Linotype" w:hAnsi="Palatino Linotype" w:cs="Tahoma"/>
          <w:bCs/>
          <w:sz w:val="22"/>
          <w:szCs w:val="22"/>
          <w:lang w:eastAsia="es-MX"/>
        </w:rPr>
        <w:t>, LUIS GUSTAVO PARRA NORIEGA Y GUADALUPE RAMÍREZ PEÑA</w:t>
      </w:r>
      <w:r w:rsidRPr="00C938B6">
        <w:rPr>
          <w:rFonts w:ascii="Palatino Linotype" w:hAnsi="Palatino Linotype" w:cs="Tahoma"/>
          <w:sz w:val="22"/>
          <w:szCs w:val="22"/>
          <w:lang w:eastAsia="es-MX"/>
        </w:rPr>
        <w:t xml:space="preserve">, EN LA </w:t>
      </w:r>
      <w:r>
        <w:rPr>
          <w:rFonts w:ascii="Palatino Linotype" w:hAnsi="Palatino Linotype" w:cs="Tahoma"/>
          <w:sz w:val="22"/>
          <w:szCs w:val="22"/>
          <w:lang w:eastAsia="es-MX"/>
        </w:rPr>
        <w:t>SEXTA SESIÓN ORDINARIA, CELEBRADA EL DIECISÉIS DE FEBRERO DE DOS MIL VEINTIDÓS</w:t>
      </w:r>
      <w:r w:rsidRPr="00C938B6">
        <w:rPr>
          <w:rFonts w:ascii="Palatino Linotype" w:hAnsi="Palatino Linotype" w:cs="Tahoma"/>
          <w:sz w:val="22"/>
          <w:szCs w:val="22"/>
          <w:lang w:eastAsia="es-MX"/>
        </w:rPr>
        <w:t>, ANTE EL SECRETARIO TÉCNICO DEL PLENO, ALEXIS TAPIA RAMÍREZ.</w:t>
      </w:r>
    </w:p>
    <w:p w14:paraId="6D10F8F2" w14:textId="2C59A20A" w:rsidR="00297583" w:rsidRDefault="00297583">
      <w:pPr>
        <w:spacing w:after="160" w:line="259" w:lineRule="auto"/>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br w:type="page"/>
      </w:r>
    </w:p>
    <w:p w14:paraId="05AA12F5" w14:textId="77777777" w:rsidR="00541D73" w:rsidRPr="00C938B6" w:rsidRDefault="00541D73" w:rsidP="005B031E">
      <w:pPr>
        <w:spacing w:line="360" w:lineRule="auto"/>
        <w:rPr>
          <w:rFonts w:ascii="Palatino Linotype" w:eastAsia="Calibri" w:hAnsi="Palatino Linotype" w:cs="Tahoma"/>
          <w:b/>
          <w:bCs/>
          <w:sz w:val="22"/>
          <w:szCs w:val="22"/>
          <w:lang w:eastAsia="en-US"/>
        </w:rPr>
      </w:pPr>
    </w:p>
    <w:sectPr w:rsidR="00541D73" w:rsidRPr="00C938B6" w:rsidSect="00043737">
      <w:headerReference w:type="even" r:id="rId13"/>
      <w:headerReference w:type="default" r:id="rId14"/>
      <w:footerReference w:type="default" r:id="rId15"/>
      <w:headerReference w:type="first" r:id="rId16"/>
      <w:footerReference w:type="first" r:id="rId17"/>
      <w:pgSz w:w="12240" w:h="15840"/>
      <w:pgMar w:top="80" w:right="1608" w:bottom="1134" w:left="1588" w:header="454" w:footer="56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AAABD7" w14:textId="77777777" w:rsidR="00EF7985" w:rsidRDefault="00EF7985" w:rsidP="00801872">
      <w:r>
        <w:separator/>
      </w:r>
    </w:p>
  </w:endnote>
  <w:endnote w:type="continuationSeparator" w:id="0">
    <w:p w14:paraId="5110DFB6" w14:textId="77777777" w:rsidR="00EF7985" w:rsidRDefault="00EF7985" w:rsidP="00801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0A694AEC" w14:textId="77777777" w:rsidR="005B031E" w:rsidRPr="00C13895" w:rsidRDefault="005B031E">
            <w:pPr>
              <w:pStyle w:val="Piedepgina"/>
              <w:jc w:val="right"/>
              <w:rPr>
                <w:sz w:val="26"/>
                <w:szCs w:val="26"/>
              </w:rPr>
            </w:pPr>
          </w:p>
          <w:p w14:paraId="046BF6F6" w14:textId="77777777" w:rsidR="005B031E" w:rsidRDefault="005B031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109E9">
              <w:rPr>
                <w:b/>
                <w:bCs/>
                <w:noProof/>
              </w:rPr>
              <w:t>26</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109E9">
              <w:rPr>
                <w:b/>
                <w:bCs/>
                <w:noProof/>
              </w:rPr>
              <w:t>27</w:t>
            </w:r>
            <w:r>
              <w:rPr>
                <w:b/>
                <w:bCs/>
                <w:sz w:val="24"/>
                <w:szCs w:val="24"/>
              </w:rPr>
              <w:fldChar w:fldCharType="end"/>
            </w:r>
          </w:p>
        </w:sdtContent>
      </w:sdt>
    </w:sdtContent>
  </w:sdt>
  <w:p w14:paraId="3CEDE9D3" w14:textId="77777777" w:rsidR="005B031E" w:rsidRDefault="005B031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3AB6FCB5" w14:textId="77777777" w:rsidR="005B031E" w:rsidRDefault="005B031E">
            <w:pPr>
              <w:pStyle w:val="Piedepgina"/>
              <w:jc w:val="right"/>
            </w:pPr>
          </w:p>
          <w:p w14:paraId="1909745D" w14:textId="77777777" w:rsidR="005B031E" w:rsidRDefault="005B031E">
            <w:pPr>
              <w:pStyle w:val="Piedepgina"/>
              <w:jc w:val="right"/>
            </w:pPr>
          </w:p>
          <w:p w14:paraId="1AC1C7A3" w14:textId="77777777" w:rsidR="005B031E" w:rsidRDefault="005B031E">
            <w:pPr>
              <w:pStyle w:val="Piedepgina"/>
              <w:jc w:val="right"/>
            </w:pPr>
          </w:p>
          <w:p w14:paraId="1714865E" w14:textId="77777777" w:rsidR="005B031E" w:rsidRDefault="005B031E">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109E9">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109E9">
              <w:rPr>
                <w:b/>
                <w:bCs/>
                <w:noProof/>
              </w:rPr>
              <w:t>27</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1C80C6" w14:textId="77777777" w:rsidR="00EF7985" w:rsidRDefault="00EF7985" w:rsidP="00801872">
      <w:r>
        <w:separator/>
      </w:r>
    </w:p>
  </w:footnote>
  <w:footnote w:type="continuationSeparator" w:id="0">
    <w:p w14:paraId="4C8F5E0A" w14:textId="77777777" w:rsidR="00EF7985" w:rsidRDefault="00EF7985" w:rsidP="008018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CF2E5E" w14:textId="77777777" w:rsidR="005B031E" w:rsidRDefault="00EF7985">
    <w:pPr>
      <w:pStyle w:val="Encabezado"/>
    </w:pPr>
    <w:r>
      <w:rPr>
        <w:noProof/>
        <w:lang w:eastAsia="es-MX"/>
      </w:rPr>
      <w:pict w14:anchorId="62B826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2" o:spid="_x0000_s2051" type="#_x0000_t75" alt="marcaaguaINFOEM" style="position:absolute;margin-left:0;margin-top:0;width:663.5pt;height:12in;z-index:-251657216;mso-wrap-edited:f;mso-width-percent:0;mso-height-percent:0;mso-position-horizontal:center;mso-position-horizontal-relative:margin;mso-position-vertical:center;mso-position-vertical-relative:margin;mso-width-percent:0;mso-height-percent:0" o:allowincell="f">
          <v:imagedata r:id="rId1" o:title="marcaagua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E13F9D" w14:textId="0AEF3FF8" w:rsidR="005B031E" w:rsidRPr="009E6858" w:rsidRDefault="00EF7985" w:rsidP="00070F27">
    <w:pPr>
      <w:tabs>
        <w:tab w:val="left" w:pos="3416"/>
      </w:tabs>
      <w:rPr>
        <w:sz w:val="22"/>
        <w:szCs w:val="22"/>
      </w:rPr>
    </w:pPr>
    <w:r>
      <w:rPr>
        <w:noProof/>
        <w:sz w:val="14"/>
        <w:lang w:eastAsia="es-MX"/>
      </w:rPr>
      <w:pict w14:anchorId="0BDCAE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3" o:spid="_x0000_s2050" type="#_x0000_t75" alt="marcaaguaINFOEM" style="position:absolute;margin-left:-91.4pt;margin-top:-135pt;width:663.5pt;height:12in;z-index:-251656192;mso-wrap-edited:f;mso-width-percent:0;mso-height-percent:0;mso-position-horizontal-relative:margin;mso-position-vertical-relative:margin;mso-width-percent:0;mso-height-percent:0" o:allowincell="f">
          <v:imagedata r:id="rId1" o:title="marcaaguaINFOEM"/>
          <w10:wrap anchorx="margin" anchory="margin"/>
        </v:shape>
      </w:pict>
    </w:r>
  </w:p>
  <w:tbl>
    <w:tblPr>
      <w:tblW w:w="10170" w:type="dxa"/>
      <w:tblLayout w:type="fixed"/>
      <w:tblLook w:val="04A0" w:firstRow="1" w:lastRow="0" w:firstColumn="1" w:lastColumn="0" w:noHBand="0" w:noVBand="1"/>
    </w:tblPr>
    <w:tblGrid>
      <w:gridCol w:w="2977"/>
      <w:gridCol w:w="7193"/>
    </w:tblGrid>
    <w:tr w:rsidR="005B031E" w:rsidRPr="005C106F" w14:paraId="63E08C3E" w14:textId="77777777" w:rsidTr="00070F27">
      <w:trPr>
        <w:trHeight w:val="70"/>
      </w:trPr>
      <w:tc>
        <w:tcPr>
          <w:tcW w:w="2977" w:type="dxa"/>
          <w:shd w:val="clear" w:color="auto" w:fill="auto"/>
        </w:tcPr>
        <w:p w14:paraId="08521BB7" w14:textId="77777777" w:rsidR="005B031E" w:rsidRPr="005C106F" w:rsidRDefault="005B031E" w:rsidP="00070F27">
          <w:pPr>
            <w:tabs>
              <w:tab w:val="right" w:pos="4273"/>
            </w:tabs>
            <w:rPr>
              <w:rFonts w:ascii="Garamond" w:eastAsia="Calibri" w:hAnsi="Garamond"/>
              <w:sz w:val="16"/>
              <w:szCs w:val="16"/>
            </w:rPr>
          </w:pPr>
        </w:p>
      </w:tc>
      <w:tc>
        <w:tcPr>
          <w:tcW w:w="7193" w:type="dxa"/>
          <w:shd w:val="clear" w:color="auto" w:fill="auto"/>
        </w:tcPr>
        <w:p w14:paraId="4C6F44B5" w14:textId="0FD5EF6D" w:rsidR="00922FAF" w:rsidRDefault="00922FAF"/>
        <w:tbl>
          <w:tblPr>
            <w:tblStyle w:val="Tablaconcuadrcula"/>
            <w:tblW w:w="6090" w:type="dxa"/>
            <w:tblInd w:w="8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4"/>
            <w:gridCol w:w="3686"/>
          </w:tblGrid>
          <w:tr w:rsidR="005B031E" w14:paraId="1009EACB" w14:textId="77777777" w:rsidTr="00400954">
            <w:trPr>
              <w:trHeight w:val="329"/>
            </w:trPr>
            <w:tc>
              <w:tcPr>
                <w:tcW w:w="2404" w:type="dxa"/>
                <w:vAlign w:val="bottom"/>
              </w:tcPr>
              <w:p w14:paraId="50FDFF5D" w14:textId="69731127" w:rsidR="00A430C1" w:rsidRPr="008B41A2" w:rsidRDefault="005B031E" w:rsidP="00A430C1">
                <w:pPr>
                  <w:tabs>
                    <w:tab w:val="right" w:pos="8838"/>
                  </w:tabs>
                  <w:ind w:right="-105"/>
                  <w:rPr>
                    <w:rFonts w:ascii="Palatino Linotype" w:eastAsia="Calibri" w:hAnsi="Palatino Linotype" w:cs="Tahoma"/>
                    <w:b/>
                    <w:sz w:val="22"/>
                    <w:szCs w:val="22"/>
                    <w:lang w:val="es-MX"/>
                  </w:rPr>
                </w:pPr>
                <w:bookmarkStart w:id="5" w:name="_Hlk93421933"/>
                <w:r w:rsidRPr="008B41A2">
                  <w:rPr>
                    <w:rFonts w:ascii="Palatino Linotype" w:eastAsia="Calibri" w:hAnsi="Palatino Linotype" w:cs="Tahoma"/>
                    <w:b/>
                    <w:sz w:val="22"/>
                    <w:szCs w:val="22"/>
                    <w:lang w:val="es-MX"/>
                  </w:rPr>
                  <w:t>Recurso de Revisión:</w:t>
                </w:r>
              </w:p>
            </w:tc>
            <w:tc>
              <w:tcPr>
                <w:tcW w:w="3686" w:type="dxa"/>
              </w:tcPr>
              <w:p w14:paraId="4EA7A24B" w14:textId="3EBB06A1" w:rsidR="001B04D6" w:rsidRPr="00A430C1" w:rsidRDefault="005B031E" w:rsidP="00400954">
                <w:pPr>
                  <w:tabs>
                    <w:tab w:val="left" w:pos="2294"/>
                    <w:tab w:val="right" w:pos="8838"/>
                  </w:tabs>
                  <w:ind w:right="731"/>
                  <w:jc w:val="both"/>
                  <w:rPr>
                    <w:rFonts w:ascii="Palatino Linotype" w:eastAsia="Calibri" w:hAnsi="Palatino Linotype" w:cs="Tahoma"/>
                    <w:bCs/>
                    <w:sz w:val="22"/>
                    <w:szCs w:val="22"/>
                    <w:lang w:val="es-MX"/>
                  </w:rPr>
                </w:pPr>
                <w:r>
                  <w:rPr>
                    <w:rFonts w:ascii="Palatino Linotype" w:eastAsia="Calibri" w:hAnsi="Palatino Linotype" w:cs="Tahoma"/>
                    <w:bCs/>
                    <w:sz w:val="22"/>
                    <w:szCs w:val="22"/>
                    <w:lang w:val="es-MX"/>
                  </w:rPr>
                  <w:t>0</w:t>
                </w:r>
                <w:r w:rsidR="004953DE">
                  <w:rPr>
                    <w:rFonts w:ascii="Palatino Linotype" w:eastAsia="Calibri" w:hAnsi="Palatino Linotype" w:cs="Tahoma"/>
                    <w:bCs/>
                    <w:sz w:val="22"/>
                    <w:szCs w:val="22"/>
                    <w:lang w:val="es-MX"/>
                  </w:rPr>
                  <w:t>0021</w:t>
                </w:r>
                <w:r w:rsidRPr="00801872">
                  <w:rPr>
                    <w:rFonts w:ascii="Palatino Linotype" w:eastAsia="Calibri" w:hAnsi="Palatino Linotype" w:cs="Tahoma"/>
                    <w:bCs/>
                    <w:sz w:val="22"/>
                    <w:szCs w:val="22"/>
                    <w:lang w:val="es-MX"/>
                  </w:rPr>
                  <w:t>/INFOEM/IP/RR/202</w:t>
                </w:r>
                <w:r w:rsidR="004953DE">
                  <w:rPr>
                    <w:rFonts w:ascii="Palatino Linotype" w:eastAsia="Calibri" w:hAnsi="Palatino Linotype" w:cs="Tahoma"/>
                    <w:bCs/>
                    <w:sz w:val="22"/>
                    <w:szCs w:val="22"/>
                    <w:lang w:val="es-MX"/>
                  </w:rPr>
                  <w:t>2</w:t>
                </w:r>
              </w:p>
            </w:tc>
          </w:tr>
          <w:tr w:rsidR="005B031E" w14:paraId="12CFD000" w14:textId="77777777" w:rsidTr="00400954">
            <w:trPr>
              <w:trHeight w:val="244"/>
            </w:trPr>
            <w:tc>
              <w:tcPr>
                <w:tcW w:w="2404" w:type="dxa"/>
              </w:tcPr>
              <w:p w14:paraId="67813586" w14:textId="77777777" w:rsidR="005B031E" w:rsidRPr="008B41A2" w:rsidRDefault="005B031E" w:rsidP="00A430C1">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Sujeto Obligado:</w:t>
                </w:r>
              </w:p>
            </w:tc>
            <w:tc>
              <w:tcPr>
                <w:tcW w:w="3686" w:type="dxa"/>
              </w:tcPr>
              <w:p w14:paraId="62EF5654" w14:textId="13C30492" w:rsidR="005B031E" w:rsidRPr="00801872" w:rsidRDefault="005B031E" w:rsidP="00400954">
                <w:pPr>
                  <w:tabs>
                    <w:tab w:val="right" w:pos="8838"/>
                  </w:tabs>
                  <w:ind w:right="731"/>
                  <w:jc w:val="both"/>
                  <w:rPr>
                    <w:rFonts w:ascii="Palatino Linotype" w:eastAsia="Calibri" w:hAnsi="Palatino Linotype" w:cs="Tahoma"/>
                    <w:sz w:val="22"/>
                    <w:szCs w:val="22"/>
                    <w:lang w:val="es-MX"/>
                  </w:rPr>
                </w:pPr>
                <w:r w:rsidRPr="00801872">
                  <w:rPr>
                    <w:rFonts w:ascii="Palatino Linotype" w:eastAsia="Calibri" w:hAnsi="Palatino Linotype" w:cs="Tahoma"/>
                    <w:bCs/>
                    <w:sz w:val="22"/>
                    <w:szCs w:val="22"/>
                    <w:lang w:val="es-MX"/>
                  </w:rPr>
                  <w:t>Ayuntamiento de</w:t>
                </w:r>
                <w:r w:rsidR="00D26D02">
                  <w:rPr>
                    <w:rFonts w:ascii="Palatino Linotype" w:eastAsia="Calibri" w:hAnsi="Palatino Linotype" w:cs="Tahoma"/>
                    <w:bCs/>
                    <w:sz w:val="22"/>
                    <w:szCs w:val="22"/>
                    <w:lang w:val="es-MX"/>
                  </w:rPr>
                  <w:t xml:space="preserve"> </w:t>
                </w:r>
                <w:r w:rsidR="004953DE">
                  <w:rPr>
                    <w:rFonts w:ascii="Palatino Linotype" w:eastAsia="Calibri" w:hAnsi="Palatino Linotype" w:cs="Tahoma"/>
                    <w:bCs/>
                    <w:sz w:val="22"/>
                    <w:szCs w:val="22"/>
                    <w:lang w:val="es-MX"/>
                  </w:rPr>
                  <w:t>Metepec</w:t>
                </w:r>
              </w:p>
            </w:tc>
          </w:tr>
          <w:tr w:rsidR="005B031E" w14:paraId="364C666C" w14:textId="3B5932FE" w:rsidTr="00400954">
            <w:trPr>
              <w:trHeight w:val="244"/>
            </w:trPr>
            <w:tc>
              <w:tcPr>
                <w:tcW w:w="2404" w:type="dxa"/>
              </w:tcPr>
              <w:p w14:paraId="496B50AA" w14:textId="77777777" w:rsidR="005B031E" w:rsidRPr="008B41A2" w:rsidRDefault="005B031E" w:rsidP="00A430C1">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Comisionado Ponente:</w:t>
                </w:r>
              </w:p>
            </w:tc>
            <w:tc>
              <w:tcPr>
                <w:tcW w:w="3686" w:type="dxa"/>
              </w:tcPr>
              <w:p w14:paraId="35025A3B" w14:textId="77777777" w:rsidR="005B031E" w:rsidRPr="008B41A2" w:rsidRDefault="005B031E" w:rsidP="00400954">
                <w:pPr>
                  <w:tabs>
                    <w:tab w:val="right" w:pos="8838"/>
                  </w:tabs>
                  <w:ind w:right="731"/>
                  <w:jc w:val="both"/>
                  <w:rPr>
                    <w:rFonts w:ascii="Palatino Linotype" w:eastAsia="Calibri" w:hAnsi="Palatino Linotype" w:cs="Tahoma"/>
                    <w:b/>
                    <w:sz w:val="22"/>
                    <w:szCs w:val="22"/>
                    <w:lang w:val="es-MX"/>
                  </w:rPr>
                </w:pPr>
                <w:r w:rsidRPr="008B41A2">
                  <w:rPr>
                    <w:rFonts w:ascii="Palatino Linotype" w:eastAsia="Calibri" w:hAnsi="Palatino Linotype" w:cs="Tahoma"/>
                    <w:sz w:val="22"/>
                    <w:szCs w:val="22"/>
                    <w:lang w:val="es-MX"/>
                  </w:rPr>
                  <w:t>Luis Gustavo Parra Noriega</w:t>
                </w:r>
              </w:p>
            </w:tc>
          </w:tr>
          <w:bookmarkEnd w:id="5"/>
        </w:tbl>
        <w:p w14:paraId="2C0200AC" w14:textId="77777777" w:rsidR="005B031E" w:rsidRPr="005C106F" w:rsidRDefault="005B031E" w:rsidP="00070F27">
          <w:pPr>
            <w:tabs>
              <w:tab w:val="right" w:pos="8838"/>
            </w:tabs>
            <w:ind w:left="-28"/>
            <w:rPr>
              <w:rFonts w:ascii="Arial" w:eastAsia="Calibri" w:hAnsi="Arial" w:cs="Arial"/>
              <w:b/>
            </w:rPr>
          </w:pPr>
        </w:p>
      </w:tc>
    </w:tr>
  </w:tbl>
  <w:p w14:paraId="3871047C" w14:textId="77777777" w:rsidR="005B031E" w:rsidRPr="009E6858" w:rsidRDefault="005B031E" w:rsidP="00070F27">
    <w:pPr>
      <w:tabs>
        <w:tab w:val="left" w:pos="3416"/>
      </w:tabs>
      <w:rPr>
        <w:sz w:val="22"/>
        <w:szCs w:val="22"/>
      </w:rPr>
    </w:pPr>
  </w:p>
  <w:p w14:paraId="62C5DA58" w14:textId="140B8139" w:rsidR="005B031E" w:rsidRDefault="00400954" w:rsidP="00400954">
    <w:pPr>
      <w:pStyle w:val="Encabezado"/>
      <w:tabs>
        <w:tab w:val="clear" w:pos="4419"/>
        <w:tab w:val="clear" w:pos="8838"/>
        <w:tab w:val="left" w:pos="1425"/>
      </w:tabs>
      <w:rPr>
        <w:sz w:val="14"/>
      </w:rPr>
    </w:pPr>
    <w:r>
      <w:rPr>
        <w:sz w:val="14"/>
      </w:rPr>
      <w:tab/>
    </w:r>
  </w:p>
  <w:p w14:paraId="5B563EE1" w14:textId="77777777" w:rsidR="005B031E" w:rsidRPr="00443C6B" w:rsidRDefault="005B031E" w:rsidP="00070F27">
    <w:pPr>
      <w:pStyle w:val="Encabezado"/>
      <w:rPr>
        <w:sz w:val="1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5670" w:type="dxa"/>
      <w:tblInd w:w="3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92"/>
      <w:gridCol w:w="3178"/>
    </w:tblGrid>
    <w:tr w:rsidR="005B031E" w:rsidRPr="00264223" w14:paraId="6494D751" w14:textId="77777777" w:rsidTr="5301E4D7">
      <w:trPr>
        <w:trHeight w:val="284"/>
      </w:trPr>
      <w:tc>
        <w:tcPr>
          <w:tcW w:w="2492" w:type="dxa"/>
        </w:tcPr>
        <w:p w14:paraId="64B4D5CB" w14:textId="77777777" w:rsidR="005B031E" w:rsidRPr="00D3618F" w:rsidRDefault="005B031E" w:rsidP="00070F27">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Recurso de Revisión:</w:t>
          </w:r>
        </w:p>
      </w:tc>
      <w:tc>
        <w:tcPr>
          <w:tcW w:w="3178" w:type="dxa"/>
        </w:tcPr>
        <w:p w14:paraId="087AA83D" w14:textId="0E602A66" w:rsidR="005B031E" w:rsidRPr="00801872" w:rsidRDefault="0078241B" w:rsidP="00070F27">
          <w:pPr>
            <w:tabs>
              <w:tab w:val="right" w:pos="8838"/>
            </w:tabs>
            <w:ind w:left="-28"/>
            <w:jc w:val="both"/>
            <w:rPr>
              <w:rFonts w:ascii="Palatino Linotype" w:eastAsia="Calibri" w:hAnsi="Palatino Linotype" w:cs="Tahoma"/>
              <w:sz w:val="22"/>
              <w:szCs w:val="22"/>
              <w:lang w:eastAsia="en-US"/>
            </w:rPr>
          </w:pPr>
          <w:r>
            <w:rPr>
              <w:rFonts w:ascii="Palatino Linotype" w:eastAsia="Calibri" w:hAnsi="Palatino Linotype" w:cs="Tahoma"/>
              <w:bCs/>
              <w:sz w:val="22"/>
              <w:szCs w:val="22"/>
              <w:lang w:val="es-MX" w:eastAsia="en-US"/>
            </w:rPr>
            <w:t>0</w:t>
          </w:r>
          <w:r w:rsidR="00F9473D">
            <w:rPr>
              <w:rFonts w:ascii="Palatino Linotype" w:eastAsia="Calibri" w:hAnsi="Palatino Linotype" w:cs="Tahoma"/>
              <w:bCs/>
              <w:sz w:val="22"/>
              <w:szCs w:val="22"/>
              <w:lang w:val="es-MX" w:eastAsia="en-US"/>
            </w:rPr>
            <w:t>0021</w:t>
          </w:r>
          <w:r w:rsidR="005B031E" w:rsidRPr="00801872">
            <w:rPr>
              <w:rFonts w:ascii="Palatino Linotype" w:eastAsia="Calibri" w:hAnsi="Palatino Linotype" w:cs="Tahoma"/>
              <w:bCs/>
              <w:sz w:val="22"/>
              <w:szCs w:val="22"/>
              <w:lang w:val="es-MX" w:eastAsia="en-US"/>
            </w:rPr>
            <w:t>/INFOEM/IP/RR/202</w:t>
          </w:r>
          <w:r w:rsidR="00F9473D">
            <w:rPr>
              <w:rFonts w:ascii="Palatino Linotype" w:eastAsia="Calibri" w:hAnsi="Palatino Linotype" w:cs="Tahoma"/>
              <w:bCs/>
              <w:sz w:val="22"/>
              <w:szCs w:val="22"/>
              <w:lang w:val="es-MX" w:eastAsia="en-US"/>
            </w:rPr>
            <w:t>2</w:t>
          </w:r>
        </w:p>
      </w:tc>
    </w:tr>
    <w:tr w:rsidR="005B031E" w:rsidRPr="00264223" w14:paraId="250F2B47" w14:textId="77777777" w:rsidTr="5301E4D7">
      <w:trPr>
        <w:trHeight w:val="104"/>
      </w:trPr>
      <w:tc>
        <w:tcPr>
          <w:tcW w:w="2492" w:type="dxa"/>
        </w:tcPr>
        <w:p w14:paraId="3D15303E" w14:textId="77777777" w:rsidR="005B031E" w:rsidRPr="00D3618F" w:rsidRDefault="005B031E" w:rsidP="00070F27">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Recurrente:</w:t>
          </w:r>
        </w:p>
      </w:tc>
      <w:tc>
        <w:tcPr>
          <w:tcW w:w="3178" w:type="dxa"/>
        </w:tcPr>
        <w:p w14:paraId="70E890FD" w14:textId="54B88BE7" w:rsidR="005B031E" w:rsidRPr="00EE2A06" w:rsidRDefault="5301E4D7" w:rsidP="5301E4D7">
          <w:pPr>
            <w:tabs>
              <w:tab w:val="right" w:pos="8838"/>
            </w:tabs>
            <w:ind w:left="-28" w:right="318"/>
            <w:jc w:val="both"/>
            <w:rPr>
              <w:lang w:val="es-MX" w:eastAsia="en-US"/>
            </w:rPr>
          </w:pPr>
          <w:r w:rsidRPr="5301E4D7">
            <w:rPr>
              <w:rFonts w:ascii="Palatino Linotype" w:eastAsia="Calibri" w:hAnsi="Palatino Linotype" w:cs="Tahoma"/>
              <w:sz w:val="22"/>
              <w:szCs w:val="22"/>
              <w:highlight w:val="black"/>
              <w:lang w:val="es-MX" w:eastAsia="en-US"/>
            </w:rPr>
            <w:t>XXXXXXXXXXXXXXXXX</w:t>
          </w:r>
        </w:p>
      </w:tc>
    </w:tr>
    <w:tr w:rsidR="005B031E" w:rsidRPr="00264223" w14:paraId="180767EA" w14:textId="77777777" w:rsidTr="5301E4D7">
      <w:trPr>
        <w:trHeight w:val="234"/>
      </w:trPr>
      <w:tc>
        <w:tcPr>
          <w:tcW w:w="2492" w:type="dxa"/>
        </w:tcPr>
        <w:p w14:paraId="51FC15E3" w14:textId="77777777" w:rsidR="005B031E" w:rsidRPr="00D3618F" w:rsidRDefault="005B031E" w:rsidP="00070F27">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Sujeto Obligado:</w:t>
          </w:r>
        </w:p>
      </w:tc>
      <w:tc>
        <w:tcPr>
          <w:tcW w:w="3178" w:type="dxa"/>
        </w:tcPr>
        <w:p w14:paraId="4EE0902A" w14:textId="09407741" w:rsidR="005B031E" w:rsidRPr="00801872" w:rsidRDefault="005B031E" w:rsidP="00A14307">
          <w:pPr>
            <w:tabs>
              <w:tab w:val="right" w:pos="8838"/>
            </w:tabs>
            <w:ind w:left="-28"/>
            <w:jc w:val="both"/>
            <w:rPr>
              <w:rFonts w:ascii="Palatino Linotype" w:eastAsia="Calibri" w:hAnsi="Palatino Linotype" w:cs="Tahoma"/>
              <w:sz w:val="22"/>
              <w:szCs w:val="22"/>
              <w:lang w:val="es-MX" w:eastAsia="en-US"/>
            </w:rPr>
          </w:pPr>
          <w:r w:rsidRPr="00801872">
            <w:rPr>
              <w:rFonts w:ascii="Palatino Linotype" w:eastAsia="Calibri" w:hAnsi="Palatino Linotype" w:cs="Tahoma"/>
              <w:bCs/>
              <w:sz w:val="22"/>
              <w:szCs w:val="22"/>
              <w:lang w:val="es-MX" w:eastAsia="en-US"/>
            </w:rPr>
            <w:t>Ayuntamien</w:t>
          </w:r>
          <w:r>
            <w:rPr>
              <w:rFonts w:ascii="Palatino Linotype" w:eastAsia="Calibri" w:hAnsi="Palatino Linotype" w:cs="Tahoma"/>
              <w:bCs/>
              <w:sz w:val="22"/>
              <w:szCs w:val="22"/>
              <w:lang w:val="es-MX" w:eastAsia="en-US"/>
            </w:rPr>
            <w:t xml:space="preserve">to de </w:t>
          </w:r>
          <w:r w:rsidR="004953DE">
            <w:rPr>
              <w:rFonts w:ascii="Palatino Linotype" w:eastAsia="Calibri" w:hAnsi="Palatino Linotype" w:cs="Tahoma"/>
              <w:bCs/>
              <w:sz w:val="22"/>
              <w:szCs w:val="22"/>
              <w:lang w:val="es-MX" w:eastAsia="en-US"/>
            </w:rPr>
            <w:t>Metepec</w:t>
          </w:r>
        </w:p>
      </w:tc>
    </w:tr>
    <w:tr w:rsidR="005B031E" w:rsidRPr="00264223" w14:paraId="0CF1E97B" w14:textId="77777777" w:rsidTr="5301E4D7">
      <w:trPr>
        <w:trHeight w:val="234"/>
      </w:trPr>
      <w:tc>
        <w:tcPr>
          <w:tcW w:w="2492" w:type="dxa"/>
        </w:tcPr>
        <w:p w14:paraId="6F2A2883" w14:textId="77777777" w:rsidR="005B031E" w:rsidRPr="00D3618F" w:rsidRDefault="005B031E" w:rsidP="00070F27">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Comisionado Ponente:</w:t>
          </w:r>
        </w:p>
      </w:tc>
      <w:tc>
        <w:tcPr>
          <w:tcW w:w="3178" w:type="dxa"/>
        </w:tcPr>
        <w:p w14:paraId="3F6125BF" w14:textId="77777777" w:rsidR="005B031E" w:rsidRPr="00D3618F" w:rsidRDefault="005B031E" w:rsidP="00070F27">
          <w:pPr>
            <w:tabs>
              <w:tab w:val="right" w:pos="8838"/>
            </w:tabs>
            <w:ind w:left="-28"/>
            <w:rPr>
              <w:rFonts w:ascii="Palatino Linotype" w:eastAsia="Calibri" w:hAnsi="Palatino Linotype" w:cs="Tahoma"/>
              <w:sz w:val="22"/>
              <w:szCs w:val="22"/>
              <w:lang w:val="es-MX" w:eastAsia="en-US"/>
            </w:rPr>
          </w:pPr>
          <w:r w:rsidRPr="00D3618F">
            <w:rPr>
              <w:rFonts w:ascii="Palatino Linotype" w:eastAsia="Calibri" w:hAnsi="Palatino Linotype" w:cs="Tahoma"/>
              <w:sz w:val="22"/>
              <w:szCs w:val="22"/>
              <w:lang w:val="es-MX" w:eastAsia="en-US"/>
            </w:rPr>
            <w:t>Luis Gustavo Parra Noriega</w:t>
          </w:r>
        </w:p>
      </w:tc>
    </w:tr>
  </w:tbl>
  <w:p w14:paraId="3796C609" w14:textId="553B8185" w:rsidR="005B031E" w:rsidRDefault="00EF7985" w:rsidP="00AA77D7">
    <w:pPr>
      <w:tabs>
        <w:tab w:val="left" w:pos="1860"/>
      </w:tabs>
    </w:pPr>
    <w:r>
      <w:rPr>
        <w:noProof/>
        <w:lang w:eastAsia="es-MX"/>
      </w:rPr>
      <w:pict w14:anchorId="1F251A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1" o:spid="_x0000_s2049" type="#_x0000_t75" alt="marcaaguaINFOEM" style="position:absolute;margin-left:-92.55pt;margin-top:-120.95pt;width:663.5pt;height:12in;z-index:-251655168;mso-wrap-edited:f;mso-width-percent:0;mso-height-percent:0;mso-position-horizontal-relative:margin;mso-position-vertical-relative:margin;mso-width-percent:0;mso-height-percent:0" o:allowincell="f">
          <v:imagedata r:id="rId1" o:title="marcaaguaINFOEM"/>
          <w10:wrap anchorx="margin" anchory="margin"/>
        </v:shape>
      </w:pict>
    </w:r>
    <w:r w:rsidR="00AA77D7">
      <w:tab/>
    </w:r>
  </w:p>
  <w:p w14:paraId="3B80ADB1" w14:textId="52942715" w:rsidR="00AA77D7" w:rsidRDefault="00AA77D7" w:rsidP="00AA77D7">
    <w:pPr>
      <w:tabs>
        <w:tab w:val="left" w:pos="186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C04CA"/>
    <w:multiLevelType w:val="hybridMultilevel"/>
    <w:tmpl w:val="8DD0D9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016E75"/>
    <w:multiLevelType w:val="hybridMultilevel"/>
    <w:tmpl w:val="FD9AC836"/>
    <w:lvl w:ilvl="0" w:tplc="EDE280A0">
      <w:start w:val="1"/>
      <w:numFmt w:val="decimal"/>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10456257"/>
    <w:multiLevelType w:val="hybridMultilevel"/>
    <w:tmpl w:val="B8669DFC"/>
    <w:lvl w:ilvl="0" w:tplc="080A000F">
      <w:start w:val="1"/>
      <w:numFmt w:val="decimal"/>
      <w:lvlText w:val="%1."/>
      <w:lvlJc w:val="left"/>
      <w:rPr>
        <w:rFonts w:hint="default"/>
      </w:rPr>
    </w:lvl>
    <w:lvl w:ilvl="1" w:tplc="FFFFFFFF" w:tentative="1">
      <w:start w:val="1"/>
      <w:numFmt w:val="bullet"/>
      <w:lvlText w:val="o"/>
      <w:lvlJc w:val="left"/>
      <w:pPr>
        <w:ind w:left="2008" w:hanging="360"/>
      </w:pPr>
      <w:rPr>
        <w:rFonts w:ascii="Courier New" w:hAnsi="Courier New" w:cs="Courier New" w:hint="default"/>
      </w:rPr>
    </w:lvl>
    <w:lvl w:ilvl="2" w:tplc="FFFFFFFF" w:tentative="1">
      <w:start w:val="1"/>
      <w:numFmt w:val="bullet"/>
      <w:lvlText w:val=""/>
      <w:lvlJc w:val="left"/>
      <w:pPr>
        <w:ind w:left="2728" w:hanging="360"/>
      </w:pPr>
      <w:rPr>
        <w:rFonts w:ascii="Wingdings" w:hAnsi="Wingdings" w:hint="default"/>
      </w:rPr>
    </w:lvl>
    <w:lvl w:ilvl="3" w:tplc="FFFFFFFF" w:tentative="1">
      <w:start w:val="1"/>
      <w:numFmt w:val="bullet"/>
      <w:lvlText w:val=""/>
      <w:lvlJc w:val="left"/>
      <w:pPr>
        <w:ind w:left="3448" w:hanging="360"/>
      </w:pPr>
      <w:rPr>
        <w:rFonts w:ascii="Symbol" w:hAnsi="Symbol" w:hint="default"/>
      </w:rPr>
    </w:lvl>
    <w:lvl w:ilvl="4" w:tplc="FFFFFFFF" w:tentative="1">
      <w:start w:val="1"/>
      <w:numFmt w:val="bullet"/>
      <w:lvlText w:val="o"/>
      <w:lvlJc w:val="left"/>
      <w:pPr>
        <w:ind w:left="4168" w:hanging="360"/>
      </w:pPr>
      <w:rPr>
        <w:rFonts w:ascii="Courier New" w:hAnsi="Courier New" w:cs="Courier New" w:hint="default"/>
      </w:rPr>
    </w:lvl>
    <w:lvl w:ilvl="5" w:tplc="FFFFFFFF" w:tentative="1">
      <w:start w:val="1"/>
      <w:numFmt w:val="bullet"/>
      <w:lvlText w:val=""/>
      <w:lvlJc w:val="left"/>
      <w:pPr>
        <w:ind w:left="4888" w:hanging="360"/>
      </w:pPr>
      <w:rPr>
        <w:rFonts w:ascii="Wingdings" w:hAnsi="Wingdings" w:hint="default"/>
      </w:rPr>
    </w:lvl>
    <w:lvl w:ilvl="6" w:tplc="FFFFFFFF" w:tentative="1">
      <w:start w:val="1"/>
      <w:numFmt w:val="bullet"/>
      <w:lvlText w:val=""/>
      <w:lvlJc w:val="left"/>
      <w:pPr>
        <w:ind w:left="5608" w:hanging="360"/>
      </w:pPr>
      <w:rPr>
        <w:rFonts w:ascii="Symbol" w:hAnsi="Symbol" w:hint="default"/>
      </w:rPr>
    </w:lvl>
    <w:lvl w:ilvl="7" w:tplc="FFFFFFFF" w:tentative="1">
      <w:start w:val="1"/>
      <w:numFmt w:val="bullet"/>
      <w:lvlText w:val="o"/>
      <w:lvlJc w:val="left"/>
      <w:pPr>
        <w:ind w:left="6328" w:hanging="360"/>
      </w:pPr>
      <w:rPr>
        <w:rFonts w:ascii="Courier New" w:hAnsi="Courier New" w:cs="Courier New" w:hint="default"/>
      </w:rPr>
    </w:lvl>
    <w:lvl w:ilvl="8" w:tplc="FFFFFFFF" w:tentative="1">
      <w:start w:val="1"/>
      <w:numFmt w:val="bullet"/>
      <w:lvlText w:val=""/>
      <w:lvlJc w:val="left"/>
      <w:pPr>
        <w:ind w:left="7048" w:hanging="360"/>
      </w:pPr>
      <w:rPr>
        <w:rFonts w:ascii="Wingdings" w:hAnsi="Wingdings" w:hint="default"/>
      </w:rPr>
    </w:lvl>
  </w:abstractNum>
  <w:abstractNum w:abstractNumId="3" w15:restartNumberingAfterBreak="0">
    <w:nsid w:val="125A3005"/>
    <w:multiLevelType w:val="hybridMultilevel"/>
    <w:tmpl w:val="CCA2ECA4"/>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8B320C4"/>
    <w:multiLevelType w:val="hybridMultilevel"/>
    <w:tmpl w:val="887EBC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E4648FA"/>
    <w:multiLevelType w:val="hybridMultilevel"/>
    <w:tmpl w:val="359CE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6043C82"/>
    <w:multiLevelType w:val="hybridMultilevel"/>
    <w:tmpl w:val="54F8FF20"/>
    <w:lvl w:ilvl="0" w:tplc="14EADA18">
      <w:start w:val="3"/>
      <w:numFmt w:val="bullet"/>
      <w:lvlText w:val="-"/>
      <w:lvlJc w:val="left"/>
      <w:pPr>
        <w:ind w:left="720" w:hanging="360"/>
      </w:pPr>
      <w:rPr>
        <w:rFonts w:ascii="Palatino Linotype" w:eastAsia="Calibr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C406A2A"/>
    <w:multiLevelType w:val="hybridMultilevel"/>
    <w:tmpl w:val="06CAF0FA"/>
    <w:lvl w:ilvl="0" w:tplc="080A0001">
      <w:start w:val="1"/>
      <w:numFmt w:val="bullet"/>
      <w:lvlText w:val=""/>
      <w:lvlJc w:val="left"/>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977031C"/>
    <w:multiLevelType w:val="hybridMultilevel"/>
    <w:tmpl w:val="E33E7F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E4B262E"/>
    <w:multiLevelType w:val="hybridMultilevel"/>
    <w:tmpl w:val="B8669DFC"/>
    <w:lvl w:ilvl="0" w:tplc="FFFFFFFF">
      <w:start w:val="1"/>
      <w:numFmt w:val="decimal"/>
      <w:lvlText w:val="%1."/>
      <w:lvlJc w:val="left"/>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F517AC6"/>
    <w:multiLevelType w:val="hybridMultilevel"/>
    <w:tmpl w:val="EA94F7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1954D16"/>
    <w:multiLevelType w:val="hybridMultilevel"/>
    <w:tmpl w:val="14C659AC"/>
    <w:lvl w:ilvl="0" w:tplc="14EADA18">
      <w:start w:val="3"/>
      <w:numFmt w:val="bullet"/>
      <w:lvlText w:val="-"/>
      <w:lvlJc w:val="left"/>
      <w:pPr>
        <w:ind w:left="1440" w:hanging="360"/>
      </w:pPr>
      <w:rPr>
        <w:rFonts w:ascii="Palatino Linotype" w:eastAsia="Calibri" w:hAnsi="Palatino Linotype" w:cs="Tahoma"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15:restartNumberingAfterBreak="0">
    <w:nsid w:val="66A80CDA"/>
    <w:multiLevelType w:val="hybridMultilevel"/>
    <w:tmpl w:val="EA94F7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7E874A25"/>
    <w:multiLevelType w:val="hybridMultilevel"/>
    <w:tmpl w:val="6FE2BB2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8"/>
  </w:num>
  <w:num w:numId="4">
    <w:abstractNumId w:val="0"/>
  </w:num>
  <w:num w:numId="5">
    <w:abstractNumId w:val="14"/>
  </w:num>
  <w:num w:numId="6">
    <w:abstractNumId w:val="11"/>
  </w:num>
  <w:num w:numId="7">
    <w:abstractNumId w:val="7"/>
  </w:num>
  <w:num w:numId="8">
    <w:abstractNumId w:val="6"/>
  </w:num>
  <w:num w:numId="9">
    <w:abstractNumId w:val="12"/>
  </w:num>
  <w:num w:numId="10">
    <w:abstractNumId w:val="10"/>
  </w:num>
  <w:num w:numId="11">
    <w:abstractNumId w:val="5"/>
  </w:num>
  <w:num w:numId="12">
    <w:abstractNumId w:val="2"/>
  </w:num>
  <w:num w:numId="13">
    <w:abstractNumId w:val="9"/>
  </w:num>
  <w:num w:numId="14">
    <w:abstractNumId w:val="3"/>
  </w:num>
  <w:num w:numId="15">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872"/>
    <w:rsid w:val="000078E2"/>
    <w:rsid w:val="000218E4"/>
    <w:rsid w:val="00023EA0"/>
    <w:rsid w:val="00024E7A"/>
    <w:rsid w:val="00025B49"/>
    <w:rsid w:val="0003087D"/>
    <w:rsid w:val="000343A4"/>
    <w:rsid w:val="0003468A"/>
    <w:rsid w:val="00034A73"/>
    <w:rsid w:val="00034FC0"/>
    <w:rsid w:val="00037E68"/>
    <w:rsid w:val="00041F6E"/>
    <w:rsid w:val="00043737"/>
    <w:rsid w:val="00043EE9"/>
    <w:rsid w:val="000525EA"/>
    <w:rsid w:val="00060B7A"/>
    <w:rsid w:val="00065B2F"/>
    <w:rsid w:val="00070F27"/>
    <w:rsid w:val="00071E37"/>
    <w:rsid w:val="0007377F"/>
    <w:rsid w:val="00074739"/>
    <w:rsid w:val="00075A4B"/>
    <w:rsid w:val="000802BA"/>
    <w:rsid w:val="00092205"/>
    <w:rsid w:val="00096A9E"/>
    <w:rsid w:val="000A50FD"/>
    <w:rsid w:val="000B019D"/>
    <w:rsid w:val="000B1FB0"/>
    <w:rsid w:val="000B503C"/>
    <w:rsid w:val="000C0E98"/>
    <w:rsid w:val="000C1535"/>
    <w:rsid w:val="000C51D5"/>
    <w:rsid w:val="000C5386"/>
    <w:rsid w:val="000C61E3"/>
    <w:rsid w:val="000D200B"/>
    <w:rsid w:val="000D258C"/>
    <w:rsid w:val="000D4A03"/>
    <w:rsid w:val="000D544B"/>
    <w:rsid w:val="000E1D07"/>
    <w:rsid w:val="000E3C4D"/>
    <w:rsid w:val="000E6359"/>
    <w:rsid w:val="000F0ADC"/>
    <w:rsid w:val="000F35A3"/>
    <w:rsid w:val="000F5943"/>
    <w:rsid w:val="000F7848"/>
    <w:rsid w:val="00101876"/>
    <w:rsid w:val="0010299B"/>
    <w:rsid w:val="00103F66"/>
    <w:rsid w:val="001055DC"/>
    <w:rsid w:val="00106C3E"/>
    <w:rsid w:val="00107964"/>
    <w:rsid w:val="00110EDE"/>
    <w:rsid w:val="001123D1"/>
    <w:rsid w:val="001136DA"/>
    <w:rsid w:val="001262B4"/>
    <w:rsid w:val="00127A9F"/>
    <w:rsid w:val="00130EE0"/>
    <w:rsid w:val="001336FA"/>
    <w:rsid w:val="001339AD"/>
    <w:rsid w:val="00135C93"/>
    <w:rsid w:val="001439DF"/>
    <w:rsid w:val="0014566F"/>
    <w:rsid w:val="00150C6D"/>
    <w:rsid w:val="00152591"/>
    <w:rsid w:val="001529E7"/>
    <w:rsid w:val="001663C7"/>
    <w:rsid w:val="00171E9B"/>
    <w:rsid w:val="00172D7F"/>
    <w:rsid w:val="0017321F"/>
    <w:rsid w:val="00182878"/>
    <w:rsid w:val="00186E47"/>
    <w:rsid w:val="001873B2"/>
    <w:rsid w:val="001908AB"/>
    <w:rsid w:val="00191990"/>
    <w:rsid w:val="00195818"/>
    <w:rsid w:val="001A0B3D"/>
    <w:rsid w:val="001A17D0"/>
    <w:rsid w:val="001A1F1A"/>
    <w:rsid w:val="001A2454"/>
    <w:rsid w:val="001A605C"/>
    <w:rsid w:val="001A6682"/>
    <w:rsid w:val="001B04D6"/>
    <w:rsid w:val="001B1857"/>
    <w:rsid w:val="001B6D3C"/>
    <w:rsid w:val="001B7EE6"/>
    <w:rsid w:val="001C5A10"/>
    <w:rsid w:val="001D1806"/>
    <w:rsid w:val="001D2966"/>
    <w:rsid w:val="001D488C"/>
    <w:rsid w:val="001D62DD"/>
    <w:rsid w:val="001E3977"/>
    <w:rsid w:val="001E4A02"/>
    <w:rsid w:val="001E562B"/>
    <w:rsid w:val="001E78FC"/>
    <w:rsid w:val="001E7A14"/>
    <w:rsid w:val="001E7C34"/>
    <w:rsid w:val="001F1E86"/>
    <w:rsid w:val="001F3EEC"/>
    <w:rsid w:val="001F71DD"/>
    <w:rsid w:val="00205699"/>
    <w:rsid w:val="00207963"/>
    <w:rsid w:val="0021023D"/>
    <w:rsid w:val="00211F5B"/>
    <w:rsid w:val="0021516F"/>
    <w:rsid w:val="002151CA"/>
    <w:rsid w:val="00217267"/>
    <w:rsid w:val="00226429"/>
    <w:rsid w:val="002265A6"/>
    <w:rsid w:val="002338DE"/>
    <w:rsid w:val="00235A8B"/>
    <w:rsid w:val="00236BC8"/>
    <w:rsid w:val="00243760"/>
    <w:rsid w:val="0025185F"/>
    <w:rsid w:val="00252C23"/>
    <w:rsid w:val="00253D2D"/>
    <w:rsid w:val="00256BB9"/>
    <w:rsid w:val="002604AE"/>
    <w:rsid w:val="00262576"/>
    <w:rsid w:val="002769C1"/>
    <w:rsid w:val="00276B1F"/>
    <w:rsid w:val="002825A6"/>
    <w:rsid w:val="002859A3"/>
    <w:rsid w:val="00292718"/>
    <w:rsid w:val="00294619"/>
    <w:rsid w:val="00297583"/>
    <w:rsid w:val="002A010F"/>
    <w:rsid w:val="002A4677"/>
    <w:rsid w:val="002A4971"/>
    <w:rsid w:val="002A4AA3"/>
    <w:rsid w:val="002A4D09"/>
    <w:rsid w:val="002A7404"/>
    <w:rsid w:val="002A78DB"/>
    <w:rsid w:val="002A7B85"/>
    <w:rsid w:val="002B1A23"/>
    <w:rsid w:val="002B3241"/>
    <w:rsid w:val="002B6B16"/>
    <w:rsid w:val="002C0332"/>
    <w:rsid w:val="002C6077"/>
    <w:rsid w:val="002C62E4"/>
    <w:rsid w:val="002C7AD5"/>
    <w:rsid w:val="002D0ADE"/>
    <w:rsid w:val="002D21BD"/>
    <w:rsid w:val="002D2674"/>
    <w:rsid w:val="002D46B4"/>
    <w:rsid w:val="002D4B8C"/>
    <w:rsid w:val="002D6AAD"/>
    <w:rsid w:val="002D78E7"/>
    <w:rsid w:val="002E1B6D"/>
    <w:rsid w:val="002E1D16"/>
    <w:rsid w:val="002E32A1"/>
    <w:rsid w:val="002F01FD"/>
    <w:rsid w:val="002F0FAA"/>
    <w:rsid w:val="002F1088"/>
    <w:rsid w:val="002F15AC"/>
    <w:rsid w:val="002F6C59"/>
    <w:rsid w:val="00300F47"/>
    <w:rsid w:val="00301A50"/>
    <w:rsid w:val="0030378D"/>
    <w:rsid w:val="003066DC"/>
    <w:rsid w:val="00307F2A"/>
    <w:rsid w:val="00315DFF"/>
    <w:rsid w:val="0031635A"/>
    <w:rsid w:val="00332413"/>
    <w:rsid w:val="00332D94"/>
    <w:rsid w:val="00341103"/>
    <w:rsid w:val="003416A4"/>
    <w:rsid w:val="00343F89"/>
    <w:rsid w:val="003529A5"/>
    <w:rsid w:val="00354324"/>
    <w:rsid w:val="00355A9A"/>
    <w:rsid w:val="003563DE"/>
    <w:rsid w:val="00360711"/>
    <w:rsid w:val="00360CDC"/>
    <w:rsid w:val="003611B0"/>
    <w:rsid w:val="0036345D"/>
    <w:rsid w:val="00364D96"/>
    <w:rsid w:val="003674EC"/>
    <w:rsid w:val="00371DC3"/>
    <w:rsid w:val="00376518"/>
    <w:rsid w:val="00384B58"/>
    <w:rsid w:val="00387923"/>
    <w:rsid w:val="00387C7E"/>
    <w:rsid w:val="00397521"/>
    <w:rsid w:val="0039798B"/>
    <w:rsid w:val="00397A89"/>
    <w:rsid w:val="003A3ADE"/>
    <w:rsid w:val="003B28BE"/>
    <w:rsid w:val="003C1F5C"/>
    <w:rsid w:val="003D1338"/>
    <w:rsid w:val="003D3A22"/>
    <w:rsid w:val="003E229F"/>
    <w:rsid w:val="003E3B5D"/>
    <w:rsid w:val="003E7E0F"/>
    <w:rsid w:val="003F0487"/>
    <w:rsid w:val="003F0EE7"/>
    <w:rsid w:val="003F6E48"/>
    <w:rsid w:val="00400954"/>
    <w:rsid w:val="0040451E"/>
    <w:rsid w:val="0040592C"/>
    <w:rsid w:val="0041020E"/>
    <w:rsid w:val="00411021"/>
    <w:rsid w:val="004125C3"/>
    <w:rsid w:val="004127BB"/>
    <w:rsid w:val="00412A1C"/>
    <w:rsid w:val="00414009"/>
    <w:rsid w:val="00414AA4"/>
    <w:rsid w:val="0041566E"/>
    <w:rsid w:val="00416ADD"/>
    <w:rsid w:val="004254E9"/>
    <w:rsid w:val="00432FE2"/>
    <w:rsid w:val="0043375F"/>
    <w:rsid w:val="00437B8E"/>
    <w:rsid w:val="0045005B"/>
    <w:rsid w:val="004507D2"/>
    <w:rsid w:val="00462751"/>
    <w:rsid w:val="00473E60"/>
    <w:rsid w:val="00474F5D"/>
    <w:rsid w:val="00475478"/>
    <w:rsid w:val="00475C22"/>
    <w:rsid w:val="00481B61"/>
    <w:rsid w:val="00483890"/>
    <w:rsid w:val="004846A0"/>
    <w:rsid w:val="004859E4"/>
    <w:rsid w:val="004872D8"/>
    <w:rsid w:val="00491CCB"/>
    <w:rsid w:val="00492A84"/>
    <w:rsid w:val="00494803"/>
    <w:rsid w:val="004953DE"/>
    <w:rsid w:val="00497950"/>
    <w:rsid w:val="004A2A45"/>
    <w:rsid w:val="004A5A0A"/>
    <w:rsid w:val="004A619B"/>
    <w:rsid w:val="004C1C19"/>
    <w:rsid w:val="004D02ED"/>
    <w:rsid w:val="004D470B"/>
    <w:rsid w:val="004D7A1F"/>
    <w:rsid w:val="004D7FB1"/>
    <w:rsid w:val="004E1762"/>
    <w:rsid w:val="004E23E3"/>
    <w:rsid w:val="004E483B"/>
    <w:rsid w:val="004F60EC"/>
    <w:rsid w:val="004F6A5B"/>
    <w:rsid w:val="004F6EB7"/>
    <w:rsid w:val="0050442C"/>
    <w:rsid w:val="00505F90"/>
    <w:rsid w:val="00515D69"/>
    <w:rsid w:val="00520C7D"/>
    <w:rsid w:val="00527F3B"/>
    <w:rsid w:val="00532DAE"/>
    <w:rsid w:val="00541D73"/>
    <w:rsid w:val="0054395F"/>
    <w:rsid w:val="00545FA5"/>
    <w:rsid w:val="0055145B"/>
    <w:rsid w:val="005558F2"/>
    <w:rsid w:val="005567AB"/>
    <w:rsid w:val="0056157A"/>
    <w:rsid w:val="0056199F"/>
    <w:rsid w:val="00564A6C"/>
    <w:rsid w:val="005675EE"/>
    <w:rsid w:val="00574420"/>
    <w:rsid w:val="00575188"/>
    <w:rsid w:val="005806C9"/>
    <w:rsid w:val="00582FC8"/>
    <w:rsid w:val="005840C3"/>
    <w:rsid w:val="00584958"/>
    <w:rsid w:val="00586853"/>
    <w:rsid w:val="005906DF"/>
    <w:rsid w:val="00590C97"/>
    <w:rsid w:val="00591B99"/>
    <w:rsid w:val="00593B21"/>
    <w:rsid w:val="00593C0F"/>
    <w:rsid w:val="005A2AA6"/>
    <w:rsid w:val="005A47EA"/>
    <w:rsid w:val="005A67B9"/>
    <w:rsid w:val="005B031E"/>
    <w:rsid w:val="005B2FFC"/>
    <w:rsid w:val="005B3F08"/>
    <w:rsid w:val="005B4FC7"/>
    <w:rsid w:val="005B55FD"/>
    <w:rsid w:val="005B675E"/>
    <w:rsid w:val="005C1A87"/>
    <w:rsid w:val="005D3C1D"/>
    <w:rsid w:val="005E0B88"/>
    <w:rsid w:val="005E1243"/>
    <w:rsid w:val="005E2557"/>
    <w:rsid w:val="005F389E"/>
    <w:rsid w:val="005F7783"/>
    <w:rsid w:val="00601767"/>
    <w:rsid w:val="00602761"/>
    <w:rsid w:val="00606A00"/>
    <w:rsid w:val="00606A84"/>
    <w:rsid w:val="006109E9"/>
    <w:rsid w:val="006112BF"/>
    <w:rsid w:val="0061170B"/>
    <w:rsid w:val="00620612"/>
    <w:rsid w:val="006255F2"/>
    <w:rsid w:val="006324C2"/>
    <w:rsid w:val="00635C76"/>
    <w:rsid w:val="0063736C"/>
    <w:rsid w:val="006401A9"/>
    <w:rsid w:val="00640B63"/>
    <w:rsid w:val="00641A26"/>
    <w:rsid w:val="00642623"/>
    <w:rsid w:val="0065161D"/>
    <w:rsid w:val="00653A8B"/>
    <w:rsid w:val="0065478B"/>
    <w:rsid w:val="00655632"/>
    <w:rsid w:val="006563FF"/>
    <w:rsid w:val="00657287"/>
    <w:rsid w:val="0065749C"/>
    <w:rsid w:val="006638B9"/>
    <w:rsid w:val="0066668A"/>
    <w:rsid w:val="00670EBB"/>
    <w:rsid w:val="00674438"/>
    <w:rsid w:val="006800FB"/>
    <w:rsid w:val="006838F6"/>
    <w:rsid w:val="0068523B"/>
    <w:rsid w:val="00692640"/>
    <w:rsid w:val="0069308A"/>
    <w:rsid w:val="006A219F"/>
    <w:rsid w:val="006A6D99"/>
    <w:rsid w:val="006B2037"/>
    <w:rsid w:val="006B350A"/>
    <w:rsid w:val="006B6131"/>
    <w:rsid w:val="006C5426"/>
    <w:rsid w:val="006D5FEA"/>
    <w:rsid w:val="006E20B5"/>
    <w:rsid w:val="006E788D"/>
    <w:rsid w:val="006F32E9"/>
    <w:rsid w:val="006F5CA4"/>
    <w:rsid w:val="007031D0"/>
    <w:rsid w:val="007048EC"/>
    <w:rsid w:val="00710DD3"/>
    <w:rsid w:val="00710F3D"/>
    <w:rsid w:val="007179A7"/>
    <w:rsid w:val="007201D0"/>
    <w:rsid w:val="00723D2B"/>
    <w:rsid w:val="00725CAF"/>
    <w:rsid w:val="00726A4F"/>
    <w:rsid w:val="00733729"/>
    <w:rsid w:val="00740D4A"/>
    <w:rsid w:val="00741203"/>
    <w:rsid w:val="00741D97"/>
    <w:rsid w:val="00742B69"/>
    <w:rsid w:val="007432EF"/>
    <w:rsid w:val="00744442"/>
    <w:rsid w:val="00744C4C"/>
    <w:rsid w:val="00745462"/>
    <w:rsid w:val="00752B10"/>
    <w:rsid w:val="00752F66"/>
    <w:rsid w:val="00756681"/>
    <w:rsid w:val="007575DC"/>
    <w:rsid w:val="007614A8"/>
    <w:rsid w:val="0076749B"/>
    <w:rsid w:val="007713FF"/>
    <w:rsid w:val="00772848"/>
    <w:rsid w:val="00775734"/>
    <w:rsid w:val="00776EAA"/>
    <w:rsid w:val="0077787E"/>
    <w:rsid w:val="0078241B"/>
    <w:rsid w:val="00785E75"/>
    <w:rsid w:val="00787658"/>
    <w:rsid w:val="00791C1E"/>
    <w:rsid w:val="007921D3"/>
    <w:rsid w:val="00792ACB"/>
    <w:rsid w:val="007949B9"/>
    <w:rsid w:val="0079752A"/>
    <w:rsid w:val="007A067A"/>
    <w:rsid w:val="007A4D0C"/>
    <w:rsid w:val="007A73E5"/>
    <w:rsid w:val="007B2EDA"/>
    <w:rsid w:val="007B4AD4"/>
    <w:rsid w:val="007C01EA"/>
    <w:rsid w:val="007C207D"/>
    <w:rsid w:val="007C5D03"/>
    <w:rsid w:val="007D1414"/>
    <w:rsid w:val="007D7F2E"/>
    <w:rsid w:val="007E7B6E"/>
    <w:rsid w:val="007F4461"/>
    <w:rsid w:val="007F47DD"/>
    <w:rsid w:val="007F4ADF"/>
    <w:rsid w:val="0080119B"/>
    <w:rsid w:val="00801872"/>
    <w:rsid w:val="0080544A"/>
    <w:rsid w:val="008156DF"/>
    <w:rsid w:val="008163AA"/>
    <w:rsid w:val="008164F6"/>
    <w:rsid w:val="00821CCF"/>
    <w:rsid w:val="00822030"/>
    <w:rsid w:val="00830541"/>
    <w:rsid w:val="008317C0"/>
    <w:rsid w:val="00840D3B"/>
    <w:rsid w:val="008438C2"/>
    <w:rsid w:val="008450D2"/>
    <w:rsid w:val="00853CD1"/>
    <w:rsid w:val="00856A38"/>
    <w:rsid w:val="0086353F"/>
    <w:rsid w:val="00863EDC"/>
    <w:rsid w:val="00864775"/>
    <w:rsid w:val="008648CC"/>
    <w:rsid w:val="00866E63"/>
    <w:rsid w:val="00867038"/>
    <w:rsid w:val="00867749"/>
    <w:rsid w:val="00872DAC"/>
    <w:rsid w:val="0087388E"/>
    <w:rsid w:val="00875ADB"/>
    <w:rsid w:val="00876622"/>
    <w:rsid w:val="008774AA"/>
    <w:rsid w:val="00881057"/>
    <w:rsid w:val="00881EBF"/>
    <w:rsid w:val="00883999"/>
    <w:rsid w:val="00890977"/>
    <w:rsid w:val="00891512"/>
    <w:rsid w:val="00893315"/>
    <w:rsid w:val="008A4325"/>
    <w:rsid w:val="008A673A"/>
    <w:rsid w:val="008A79F0"/>
    <w:rsid w:val="008B0BC7"/>
    <w:rsid w:val="008B0C71"/>
    <w:rsid w:val="008B6C61"/>
    <w:rsid w:val="008C3A58"/>
    <w:rsid w:val="008C4347"/>
    <w:rsid w:val="008C4680"/>
    <w:rsid w:val="008C5511"/>
    <w:rsid w:val="008D30CC"/>
    <w:rsid w:val="008E3FFE"/>
    <w:rsid w:val="008E58C1"/>
    <w:rsid w:val="008E5FE9"/>
    <w:rsid w:val="008E7303"/>
    <w:rsid w:val="008F0397"/>
    <w:rsid w:val="008F1800"/>
    <w:rsid w:val="008F49ED"/>
    <w:rsid w:val="008F7168"/>
    <w:rsid w:val="008F7EB2"/>
    <w:rsid w:val="00901D31"/>
    <w:rsid w:val="00902436"/>
    <w:rsid w:val="00903608"/>
    <w:rsid w:val="00903B3F"/>
    <w:rsid w:val="00912F63"/>
    <w:rsid w:val="00915E95"/>
    <w:rsid w:val="0092045C"/>
    <w:rsid w:val="00922FAF"/>
    <w:rsid w:val="00932541"/>
    <w:rsid w:val="00940BF3"/>
    <w:rsid w:val="00942CBB"/>
    <w:rsid w:val="0094775E"/>
    <w:rsid w:val="00950A44"/>
    <w:rsid w:val="00954192"/>
    <w:rsid w:val="00957512"/>
    <w:rsid w:val="00967A2E"/>
    <w:rsid w:val="00974045"/>
    <w:rsid w:val="00984EC2"/>
    <w:rsid w:val="009856C6"/>
    <w:rsid w:val="00987E30"/>
    <w:rsid w:val="00994A8C"/>
    <w:rsid w:val="00995B1A"/>
    <w:rsid w:val="00997388"/>
    <w:rsid w:val="009A05EF"/>
    <w:rsid w:val="009A0CB6"/>
    <w:rsid w:val="009A36B3"/>
    <w:rsid w:val="009A4479"/>
    <w:rsid w:val="009A544E"/>
    <w:rsid w:val="009A7B33"/>
    <w:rsid w:val="009B07BB"/>
    <w:rsid w:val="009B1346"/>
    <w:rsid w:val="009B1725"/>
    <w:rsid w:val="009B786C"/>
    <w:rsid w:val="009C181C"/>
    <w:rsid w:val="009C390B"/>
    <w:rsid w:val="009C4630"/>
    <w:rsid w:val="009D255A"/>
    <w:rsid w:val="009D4DA2"/>
    <w:rsid w:val="009D4E62"/>
    <w:rsid w:val="009E23B1"/>
    <w:rsid w:val="009E3BE1"/>
    <w:rsid w:val="009E4515"/>
    <w:rsid w:val="009E4654"/>
    <w:rsid w:val="009E5CD3"/>
    <w:rsid w:val="009E7C84"/>
    <w:rsid w:val="009F383A"/>
    <w:rsid w:val="009F3A54"/>
    <w:rsid w:val="009F452B"/>
    <w:rsid w:val="009F646C"/>
    <w:rsid w:val="009F70D4"/>
    <w:rsid w:val="00A02D95"/>
    <w:rsid w:val="00A02DF7"/>
    <w:rsid w:val="00A142F2"/>
    <w:rsid w:val="00A14307"/>
    <w:rsid w:val="00A14C32"/>
    <w:rsid w:val="00A25536"/>
    <w:rsid w:val="00A25E7F"/>
    <w:rsid w:val="00A26524"/>
    <w:rsid w:val="00A27BAD"/>
    <w:rsid w:val="00A27DAA"/>
    <w:rsid w:val="00A30646"/>
    <w:rsid w:val="00A33AA3"/>
    <w:rsid w:val="00A37CB6"/>
    <w:rsid w:val="00A37DC1"/>
    <w:rsid w:val="00A40A52"/>
    <w:rsid w:val="00A430C1"/>
    <w:rsid w:val="00A4759C"/>
    <w:rsid w:val="00A505C7"/>
    <w:rsid w:val="00A52A2E"/>
    <w:rsid w:val="00A57DD1"/>
    <w:rsid w:val="00A60C77"/>
    <w:rsid w:val="00A649D5"/>
    <w:rsid w:val="00A71509"/>
    <w:rsid w:val="00A76D2C"/>
    <w:rsid w:val="00A811DF"/>
    <w:rsid w:val="00A81EBA"/>
    <w:rsid w:val="00A87A2A"/>
    <w:rsid w:val="00A9388D"/>
    <w:rsid w:val="00A9630F"/>
    <w:rsid w:val="00AA1491"/>
    <w:rsid w:val="00AA2F8F"/>
    <w:rsid w:val="00AA68C9"/>
    <w:rsid w:val="00AA77D7"/>
    <w:rsid w:val="00AB3C86"/>
    <w:rsid w:val="00AB3E93"/>
    <w:rsid w:val="00AB4C1B"/>
    <w:rsid w:val="00AB5C2F"/>
    <w:rsid w:val="00AC3A84"/>
    <w:rsid w:val="00AC612B"/>
    <w:rsid w:val="00AC68FD"/>
    <w:rsid w:val="00AD31AD"/>
    <w:rsid w:val="00AD3B9A"/>
    <w:rsid w:val="00AD4B80"/>
    <w:rsid w:val="00AD5E5F"/>
    <w:rsid w:val="00AD5F62"/>
    <w:rsid w:val="00AD62F4"/>
    <w:rsid w:val="00AE0BAF"/>
    <w:rsid w:val="00AE141E"/>
    <w:rsid w:val="00AE588C"/>
    <w:rsid w:val="00AE72FD"/>
    <w:rsid w:val="00AE7C1B"/>
    <w:rsid w:val="00AF27EC"/>
    <w:rsid w:val="00AF483C"/>
    <w:rsid w:val="00AF6BDD"/>
    <w:rsid w:val="00B00156"/>
    <w:rsid w:val="00B03550"/>
    <w:rsid w:val="00B06594"/>
    <w:rsid w:val="00B07413"/>
    <w:rsid w:val="00B11030"/>
    <w:rsid w:val="00B11582"/>
    <w:rsid w:val="00B15A0A"/>
    <w:rsid w:val="00B168C9"/>
    <w:rsid w:val="00B20B5E"/>
    <w:rsid w:val="00B21C6C"/>
    <w:rsid w:val="00B23FD5"/>
    <w:rsid w:val="00B313C5"/>
    <w:rsid w:val="00B36E9E"/>
    <w:rsid w:val="00B37587"/>
    <w:rsid w:val="00B437F1"/>
    <w:rsid w:val="00B44055"/>
    <w:rsid w:val="00B46984"/>
    <w:rsid w:val="00B574DE"/>
    <w:rsid w:val="00B60549"/>
    <w:rsid w:val="00B611ED"/>
    <w:rsid w:val="00B61959"/>
    <w:rsid w:val="00B678A1"/>
    <w:rsid w:val="00B71296"/>
    <w:rsid w:val="00B71ED2"/>
    <w:rsid w:val="00B7758C"/>
    <w:rsid w:val="00B82020"/>
    <w:rsid w:val="00B82D83"/>
    <w:rsid w:val="00B862EA"/>
    <w:rsid w:val="00B923AD"/>
    <w:rsid w:val="00B94EEB"/>
    <w:rsid w:val="00BA1B3A"/>
    <w:rsid w:val="00BA2A4D"/>
    <w:rsid w:val="00BB0537"/>
    <w:rsid w:val="00BB1D38"/>
    <w:rsid w:val="00BB3364"/>
    <w:rsid w:val="00BB7253"/>
    <w:rsid w:val="00BC39B8"/>
    <w:rsid w:val="00BD0E92"/>
    <w:rsid w:val="00BD1E55"/>
    <w:rsid w:val="00BD5BD1"/>
    <w:rsid w:val="00BD63AA"/>
    <w:rsid w:val="00BE0F47"/>
    <w:rsid w:val="00BE344F"/>
    <w:rsid w:val="00BE73E6"/>
    <w:rsid w:val="00BF0A51"/>
    <w:rsid w:val="00BF0B30"/>
    <w:rsid w:val="00BF2486"/>
    <w:rsid w:val="00BF3EED"/>
    <w:rsid w:val="00BF490F"/>
    <w:rsid w:val="00BF6AC0"/>
    <w:rsid w:val="00C104D7"/>
    <w:rsid w:val="00C1079A"/>
    <w:rsid w:val="00C1317D"/>
    <w:rsid w:val="00C14A85"/>
    <w:rsid w:val="00C15DDB"/>
    <w:rsid w:val="00C206D3"/>
    <w:rsid w:val="00C21A95"/>
    <w:rsid w:val="00C21F9F"/>
    <w:rsid w:val="00C22BF7"/>
    <w:rsid w:val="00C23326"/>
    <w:rsid w:val="00C27FC7"/>
    <w:rsid w:val="00C33D34"/>
    <w:rsid w:val="00C347DE"/>
    <w:rsid w:val="00C42D9E"/>
    <w:rsid w:val="00C4395D"/>
    <w:rsid w:val="00C44163"/>
    <w:rsid w:val="00C44663"/>
    <w:rsid w:val="00C44E82"/>
    <w:rsid w:val="00C456D2"/>
    <w:rsid w:val="00C54721"/>
    <w:rsid w:val="00C55496"/>
    <w:rsid w:val="00C611D0"/>
    <w:rsid w:val="00C67123"/>
    <w:rsid w:val="00C71402"/>
    <w:rsid w:val="00C730BB"/>
    <w:rsid w:val="00C74E9B"/>
    <w:rsid w:val="00C825FA"/>
    <w:rsid w:val="00C835DC"/>
    <w:rsid w:val="00C85169"/>
    <w:rsid w:val="00C8726A"/>
    <w:rsid w:val="00C91429"/>
    <w:rsid w:val="00C91619"/>
    <w:rsid w:val="00C938B6"/>
    <w:rsid w:val="00C96572"/>
    <w:rsid w:val="00C97226"/>
    <w:rsid w:val="00CA0034"/>
    <w:rsid w:val="00CA0E7F"/>
    <w:rsid w:val="00CA25E1"/>
    <w:rsid w:val="00CA3344"/>
    <w:rsid w:val="00CA598C"/>
    <w:rsid w:val="00CB046A"/>
    <w:rsid w:val="00CB0B0D"/>
    <w:rsid w:val="00CB4A69"/>
    <w:rsid w:val="00CB6F18"/>
    <w:rsid w:val="00CB6F34"/>
    <w:rsid w:val="00CC04B2"/>
    <w:rsid w:val="00CC0A2E"/>
    <w:rsid w:val="00CC29AB"/>
    <w:rsid w:val="00CC2C72"/>
    <w:rsid w:val="00CC5B7A"/>
    <w:rsid w:val="00CC5D88"/>
    <w:rsid w:val="00CC7082"/>
    <w:rsid w:val="00CD0A7E"/>
    <w:rsid w:val="00CD0ADE"/>
    <w:rsid w:val="00CD194C"/>
    <w:rsid w:val="00CD2317"/>
    <w:rsid w:val="00CD5370"/>
    <w:rsid w:val="00CD6D02"/>
    <w:rsid w:val="00CD7528"/>
    <w:rsid w:val="00CD7714"/>
    <w:rsid w:val="00CE08B0"/>
    <w:rsid w:val="00CE4306"/>
    <w:rsid w:val="00CE4AF7"/>
    <w:rsid w:val="00CE5080"/>
    <w:rsid w:val="00CF1624"/>
    <w:rsid w:val="00CF19C8"/>
    <w:rsid w:val="00CF4337"/>
    <w:rsid w:val="00CF560B"/>
    <w:rsid w:val="00D037F1"/>
    <w:rsid w:val="00D05586"/>
    <w:rsid w:val="00D07069"/>
    <w:rsid w:val="00D072E8"/>
    <w:rsid w:val="00D16C0D"/>
    <w:rsid w:val="00D22279"/>
    <w:rsid w:val="00D22825"/>
    <w:rsid w:val="00D24EFE"/>
    <w:rsid w:val="00D250FD"/>
    <w:rsid w:val="00D25A94"/>
    <w:rsid w:val="00D264F4"/>
    <w:rsid w:val="00D26D02"/>
    <w:rsid w:val="00D275D7"/>
    <w:rsid w:val="00D30983"/>
    <w:rsid w:val="00D36E27"/>
    <w:rsid w:val="00D42A57"/>
    <w:rsid w:val="00D43E9A"/>
    <w:rsid w:val="00D44C54"/>
    <w:rsid w:val="00D47385"/>
    <w:rsid w:val="00D47F7F"/>
    <w:rsid w:val="00D50137"/>
    <w:rsid w:val="00D51254"/>
    <w:rsid w:val="00D539E9"/>
    <w:rsid w:val="00D54923"/>
    <w:rsid w:val="00D555FD"/>
    <w:rsid w:val="00D57AE6"/>
    <w:rsid w:val="00D60298"/>
    <w:rsid w:val="00D611AA"/>
    <w:rsid w:val="00D616D6"/>
    <w:rsid w:val="00D61A1B"/>
    <w:rsid w:val="00D61EF1"/>
    <w:rsid w:val="00D62084"/>
    <w:rsid w:val="00D6317A"/>
    <w:rsid w:val="00D70982"/>
    <w:rsid w:val="00D735DA"/>
    <w:rsid w:val="00D818BE"/>
    <w:rsid w:val="00D866C1"/>
    <w:rsid w:val="00D867F3"/>
    <w:rsid w:val="00D944B3"/>
    <w:rsid w:val="00D96426"/>
    <w:rsid w:val="00DA0388"/>
    <w:rsid w:val="00DA0CD4"/>
    <w:rsid w:val="00DA2D0F"/>
    <w:rsid w:val="00DA2FF2"/>
    <w:rsid w:val="00DA6DFB"/>
    <w:rsid w:val="00DB1FE3"/>
    <w:rsid w:val="00DB505F"/>
    <w:rsid w:val="00DC7066"/>
    <w:rsid w:val="00DD37A3"/>
    <w:rsid w:val="00DD525B"/>
    <w:rsid w:val="00DD6A81"/>
    <w:rsid w:val="00DE02EE"/>
    <w:rsid w:val="00DE0616"/>
    <w:rsid w:val="00DE12CB"/>
    <w:rsid w:val="00DE3317"/>
    <w:rsid w:val="00DE416D"/>
    <w:rsid w:val="00DE7266"/>
    <w:rsid w:val="00DF17F3"/>
    <w:rsid w:val="00DF1B80"/>
    <w:rsid w:val="00DF30CB"/>
    <w:rsid w:val="00DF3A66"/>
    <w:rsid w:val="00DF7CA4"/>
    <w:rsid w:val="00E07083"/>
    <w:rsid w:val="00E15DE7"/>
    <w:rsid w:val="00E2632C"/>
    <w:rsid w:val="00E268B2"/>
    <w:rsid w:val="00E27FF5"/>
    <w:rsid w:val="00E30382"/>
    <w:rsid w:val="00E308F6"/>
    <w:rsid w:val="00E346C4"/>
    <w:rsid w:val="00E35162"/>
    <w:rsid w:val="00E36823"/>
    <w:rsid w:val="00E36B4D"/>
    <w:rsid w:val="00E4182F"/>
    <w:rsid w:val="00E41E78"/>
    <w:rsid w:val="00E4253A"/>
    <w:rsid w:val="00E45DD2"/>
    <w:rsid w:val="00E4647A"/>
    <w:rsid w:val="00E46A1A"/>
    <w:rsid w:val="00E553BD"/>
    <w:rsid w:val="00E562F2"/>
    <w:rsid w:val="00E613B9"/>
    <w:rsid w:val="00E64745"/>
    <w:rsid w:val="00E647CA"/>
    <w:rsid w:val="00E65CE7"/>
    <w:rsid w:val="00E73502"/>
    <w:rsid w:val="00E757CE"/>
    <w:rsid w:val="00E80038"/>
    <w:rsid w:val="00E85AAD"/>
    <w:rsid w:val="00E85BA8"/>
    <w:rsid w:val="00E8606D"/>
    <w:rsid w:val="00EB11D0"/>
    <w:rsid w:val="00EB4B0D"/>
    <w:rsid w:val="00EC4DCE"/>
    <w:rsid w:val="00EC557D"/>
    <w:rsid w:val="00EC59A5"/>
    <w:rsid w:val="00EC6AA2"/>
    <w:rsid w:val="00ED29C0"/>
    <w:rsid w:val="00ED3EA7"/>
    <w:rsid w:val="00ED4337"/>
    <w:rsid w:val="00ED5A16"/>
    <w:rsid w:val="00EE31F7"/>
    <w:rsid w:val="00EE6294"/>
    <w:rsid w:val="00EE6571"/>
    <w:rsid w:val="00EF0DBE"/>
    <w:rsid w:val="00EF3B94"/>
    <w:rsid w:val="00EF5F04"/>
    <w:rsid w:val="00EF6227"/>
    <w:rsid w:val="00EF7978"/>
    <w:rsid w:val="00EF7985"/>
    <w:rsid w:val="00F0534A"/>
    <w:rsid w:val="00F10C35"/>
    <w:rsid w:val="00F11251"/>
    <w:rsid w:val="00F16DED"/>
    <w:rsid w:val="00F171E4"/>
    <w:rsid w:val="00F2173B"/>
    <w:rsid w:val="00F22D69"/>
    <w:rsid w:val="00F230F4"/>
    <w:rsid w:val="00F259A0"/>
    <w:rsid w:val="00F25C11"/>
    <w:rsid w:val="00F30CE3"/>
    <w:rsid w:val="00F3173E"/>
    <w:rsid w:val="00F352AF"/>
    <w:rsid w:val="00F35577"/>
    <w:rsid w:val="00F373B4"/>
    <w:rsid w:val="00F4000A"/>
    <w:rsid w:val="00F40283"/>
    <w:rsid w:val="00F406A7"/>
    <w:rsid w:val="00F41820"/>
    <w:rsid w:val="00F473C4"/>
    <w:rsid w:val="00F5017D"/>
    <w:rsid w:val="00F51531"/>
    <w:rsid w:val="00F525A7"/>
    <w:rsid w:val="00F52FB0"/>
    <w:rsid w:val="00F55834"/>
    <w:rsid w:val="00F55F11"/>
    <w:rsid w:val="00F56285"/>
    <w:rsid w:val="00F57C48"/>
    <w:rsid w:val="00F76246"/>
    <w:rsid w:val="00F7786E"/>
    <w:rsid w:val="00F80DD7"/>
    <w:rsid w:val="00F8196D"/>
    <w:rsid w:val="00F822DE"/>
    <w:rsid w:val="00F9473D"/>
    <w:rsid w:val="00F95842"/>
    <w:rsid w:val="00F95C6A"/>
    <w:rsid w:val="00F9696F"/>
    <w:rsid w:val="00FA0668"/>
    <w:rsid w:val="00FA1EDD"/>
    <w:rsid w:val="00FA457E"/>
    <w:rsid w:val="00FA4909"/>
    <w:rsid w:val="00FA49D0"/>
    <w:rsid w:val="00FB1A26"/>
    <w:rsid w:val="00FB2C0C"/>
    <w:rsid w:val="00FB68E4"/>
    <w:rsid w:val="00FC5646"/>
    <w:rsid w:val="00FC70C1"/>
    <w:rsid w:val="00FD4868"/>
    <w:rsid w:val="00FD50FD"/>
    <w:rsid w:val="00FE46FC"/>
    <w:rsid w:val="00FE66ED"/>
    <w:rsid w:val="00FF104C"/>
    <w:rsid w:val="00FF40B7"/>
    <w:rsid w:val="00FF6016"/>
    <w:rsid w:val="00FF744F"/>
    <w:rsid w:val="5301E4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1BC3FC6"/>
  <w15:chartTrackingRefBased/>
  <w15:docId w15:val="{A3B55E22-F7CE-4246-82E3-1E962B5DD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1872"/>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01872"/>
    <w:pPr>
      <w:tabs>
        <w:tab w:val="center" w:pos="4419"/>
        <w:tab w:val="right" w:pos="8838"/>
      </w:tabs>
    </w:pPr>
  </w:style>
  <w:style w:type="character" w:customStyle="1" w:styleId="EncabezadoCar">
    <w:name w:val="Encabezado Car"/>
    <w:basedOn w:val="Fuentedeprrafopredeter"/>
    <w:link w:val="Encabezado"/>
    <w:uiPriority w:val="99"/>
    <w:rsid w:val="00801872"/>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801872"/>
    <w:pPr>
      <w:tabs>
        <w:tab w:val="center" w:pos="4419"/>
        <w:tab w:val="right" w:pos="8838"/>
      </w:tabs>
    </w:pPr>
  </w:style>
  <w:style w:type="character" w:customStyle="1" w:styleId="PiedepginaCar">
    <w:name w:val="Pie de página Car"/>
    <w:basedOn w:val="Fuentedeprrafopredeter"/>
    <w:link w:val="Piedepgina"/>
    <w:uiPriority w:val="99"/>
    <w:rsid w:val="00801872"/>
    <w:rPr>
      <w:rFonts w:ascii="Times New Roman" w:eastAsia="Times New Roman" w:hAnsi="Times New Roman" w:cs="Times New Roman"/>
      <w:sz w:val="20"/>
      <w:szCs w:val="20"/>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0187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80187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801872"/>
    <w:rPr>
      <w:color w:val="0563C1" w:themeColor="hyperlink"/>
      <w:u w:val="single"/>
    </w:rPr>
  </w:style>
  <w:style w:type="table" w:styleId="Tablaconcuadrcula">
    <w:name w:val="Table Grid"/>
    <w:basedOn w:val="Tablanormal"/>
    <w:uiPriority w:val="39"/>
    <w:rsid w:val="0080187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BE73E6"/>
    <w:rPr>
      <w:sz w:val="16"/>
      <w:szCs w:val="16"/>
    </w:rPr>
  </w:style>
  <w:style w:type="paragraph" w:styleId="Textocomentario">
    <w:name w:val="annotation text"/>
    <w:basedOn w:val="Normal"/>
    <w:link w:val="TextocomentarioCar"/>
    <w:uiPriority w:val="99"/>
    <w:semiHidden/>
    <w:unhideWhenUsed/>
    <w:rsid w:val="00BE73E6"/>
  </w:style>
  <w:style w:type="character" w:customStyle="1" w:styleId="TextocomentarioCar">
    <w:name w:val="Texto comentario Car"/>
    <w:basedOn w:val="Fuentedeprrafopredeter"/>
    <w:link w:val="Textocomentario"/>
    <w:uiPriority w:val="99"/>
    <w:semiHidden/>
    <w:rsid w:val="00BE73E6"/>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BE73E6"/>
    <w:rPr>
      <w:b/>
      <w:bCs/>
    </w:rPr>
  </w:style>
  <w:style w:type="character" w:customStyle="1" w:styleId="AsuntodelcomentarioCar">
    <w:name w:val="Asunto del comentario Car"/>
    <w:basedOn w:val="TextocomentarioCar"/>
    <w:link w:val="Asuntodelcomentario"/>
    <w:uiPriority w:val="99"/>
    <w:semiHidden/>
    <w:rsid w:val="00BE73E6"/>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BE73E6"/>
    <w:rPr>
      <w:sz w:val="18"/>
      <w:szCs w:val="18"/>
    </w:rPr>
  </w:style>
  <w:style w:type="character" w:customStyle="1" w:styleId="TextodegloboCar">
    <w:name w:val="Texto de globo Car"/>
    <w:basedOn w:val="Fuentedeprrafopredeter"/>
    <w:link w:val="Textodeglobo"/>
    <w:uiPriority w:val="99"/>
    <w:semiHidden/>
    <w:rsid w:val="00BE73E6"/>
    <w:rPr>
      <w:rFonts w:ascii="Times New Roman" w:eastAsia="Times New Roman" w:hAnsi="Times New Roman" w:cs="Times New Roman"/>
      <w:sz w:val="18"/>
      <w:szCs w:val="18"/>
      <w:lang w:eastAsia="es-ES"/>
    </w:rPr>
  </w:style>
  <w:style w:type="character" w:customStyle="1" w:styleId="Mencinsinresolver1">
    <w:name w:val="Mención sin resolver1"/>
    <w:basedOn w:val="Fuentedeprrafopredeter"/>
    <w:uiPriority w:val="99"/>
    <w:semiHidden/>
    <w:unhideWhenUsed/>
    <w:rsid w:val="00B15A0A"/>
    <w:rPr>
      <w:color w:val="605E5C"/>
      <w:shd w:val="clear" w:color="auto" w:fill="E1DFDD"/>
    </w:rPr>
  </w:style>
  <w:style w:type="character" w:styleId="Hipervnculovisitado">
    <w:name w:val="FollowedHyperlink"/>
    <w:basedOn w:val="Fuentedeprrafopredeter"/>
    <w:uiPriority w:val="99"/>
    <w:semiHidden/>
    <w:unhideWhenUsed/>
    <w:rsid w:val="00674438"/>
    <w:rPr>
      <w:color w:val="954F72" w:themeColor="followedHyperlink"/>
      <w:u w:val="single"/>
    </w:rPr>
  </w:style>
  <w:style w:type="paragraph" w:styleId="Revisin">
    <w:name w:val="Revision"/>
    <w:hidden/>
    <w:uiPriority w:val="99"/>
    <w:semiHidden/>
    <w:rsid w:val="00867749"/>
    <w:pPr>
      <w:spacing w:after="0" w:line="240" w:lineRule="auto"/>
    </w:pPr>
    <w:rPr>
      <w:rFonts w:ascii="Times New Roman" w:eastAsia="Times New Roman" w:hAnsi="Times New Roman" w:cs="Times New Roman"/>
      <w:sz w:val="20"/>
      <w:szCs w:val="20"/>
      <w:lang w:eastAsia="es-ES"/>
    </w:rPr>
  </w:style>
  <w:style w:type="character" w:customStyle="1" w:styleId="UnresolvedMention">
    <w:name w:val="Unresolved Mention"/>
    <w:basedOn w:val="Fuentedeprrafopredeter"/>
    <w:uiPriority w:val="99"/>
    <w:semiHidden/>
    <w:unhideWhenUsed/>
    <w:rsid w:val="00F473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769213">
      <w:bodyDiv w:val="1"/>
      <w:marLeft w:val="0"/>
      <w:marRight w:val="0"/>
      <w:marTop w:val="0"/>
      <w:marBottom w:val="0"/>
      <w:divBdr>
        <w:top w:val="none" w:sz="0" w:space="0" w:color="auto"/>
        <w:left w:val="none" w:sz="0" w:space="0" w:color="auto"/>
        <w:bottom w:val="none" w:sz="0" w:space="0" w:color="auto"/>
        <w:right w:val="none" w:sz="0" w:space="0" w:color="auto"/>
      </w:divBdr>
    </w:div>
    <w:div w:id="296957461">
      <w:bodyDiv w:val="1"/>
      <w:marLeft w:val="0"/>
      <w:marRight w:val="0"/>
      <w:marTop w:val="0"/>
      <w:marBottom w:val="0"/>
      <w:divBdr>
        <w:top w:val="none" w:sz="0" w:space="0" w:color="auto"/>
        <w:left w:val="none" w:sz="0" w:space="0" w:color="auto"/>
        <w:bottom w:val="none" w:sz="0" w:space="0" w:color="auto"/>
        <w:right w:val="none" w:sz="0" w:space="0" w:color="auto"/>
      </w:divBdr>
    </w:div>
    <w:div w:id="352000097">
      <w:bodyDiv w:val="1"/>
      <w:marLeft w:val="0"/>
      <w:marRight w:val="0"/>
      <w:marTop w:val="0"/>
      <w:marBottom w:val="0"/>
      <w:divBdr>
        <w:top w:val="none" w:sz="0" w:space="0" w:color="auto"/>
        <w:left w:val="none" w:sz="0" w:space="0" w:color="auto"/>
        <w:bottom w:val="none" w:sz="0" w:space="0" w:color="auto"/>
        <w:right w:val="none" w:sz="0" w:space="0" w:color="auto"/>
      </w:divBdr>
    </w:div>
    <w:div w:id="361133144">
      <w:bodyDiv w:val="1"/>
      <w:marLeft w:val="0"/>
      <w:marRight w:val="0"/>
      <w:marTop w:val="0"/>
      <w:marBottom w:val="0"/>
      <w:divBdr>
        <w:top w:val="none" w:sz="0" w:space="0" w:color="auto"/>
        <w:left w:val="none" w:sz="0" w:space="0" w:color="auto"/>
        <w:bottom w:val="none" w:sz="0" w:space="0" w:color="auto"/>
        <w:right w:val="none" w:sz="0" w:space="0" w:color="auto"/>
      </w:divBdr>
    </w:div>
    <w:div w:id="432481020">
      <w:bodyDiv w:val="1"/>
      <w:marLeft w:val="0"/>
      <w:marRight w:val="0"/>
      <w:marTop w:val="0"/>
      <w:marBottom w:val="0"/>
      <w:divBdr>
        <w:top w:val="none" w:sz="0" w:space="0" w:color="auto"/>
        <w:left w:val="none" w:sz="0" w:space="0" w:color="auto"/>
        <w:bottom w:val="none" w:sz="0" w:space="0" w:color="auto"/>
        <w:right w:val="none" w:sz="0" w:space="0" w:color="auto"/>
      </w:divBdr>
    </w:div>
    <w:div w:id="612059298">
      <w:bodyDiv w:val="1"/>
      <w:marLeft w:val="0"/>
      <w:marRight w:val="0"/>
      <w:marTop w:val="0"/>
      <w:marBottom w:val="0"/>
      <w:divBdr>
        <w:top w:val="none" w:sz="0" w:space="0" w:color="auto"/>
        <w:left w:val="none" w:sz="0" w:space="0" w:color="auto"/>
        <w:bottom w:val="none" w:sz="0" w:space="0" w:color="auto"/>
        <w:right w:val="none" w:sz="0" w:space="0" w:color="auto"/>
      </w:divBdr>
    </w:div>
    <w:div w:id="616720160">
      <w:bodyDiv w:val="1"/>
      <w:marLeft w:val="0"/>
      <w:marRight w:val="0"/>
      <w:marTop w:val="0"/>
      <w:marBottom w:val="0"/>
      <w:divBdr>
        <w:top w:val="none" w:sz="0" w:space="0" w:color="auto"/>
        <w:left w:val="none" w:sz="0" w:space="0" w:color="auto"/>
        <w:bottom w:val="none" w:sz="0" w:space="0" w:color="auto"/>
        <w:right w:val="none" w:sz="0" w:space="0" w:color="auto"/>
      </w:divBdr>
    </w:div>
    <w:div w:id="806816872">
      <w:bodyDiv w:val="1"/>
      <w:marLeft w:val="0"/>
      <w:marRight w:val="0"/>
      <w:marTop w:val="0"/>
      <w:marBottom w:val="0"/>
      <w:divBdr>
        <w:top w:val="none" w:sz="0" w:space="0" w:color="auto"/>
        <w:left w:val="none" w:sz="0" w:space="0" w:color="auto"/>
        <w:bottom w:val="none" w:sz="0" w:space="0" w:color="auto"/>
        <w:right w:val="none" w:sz="0" w:space="0" w:color="auto"/>
      </w:divBdr>
    </w:div>
    <w:div w:id="860361524">
      <w:bodyDiv w:val="1"/>
      <w:marLeft w:val="0"/>
      <w:marRight w:val="0"/>
      <w:marTop w:val="0"/>
      <w:marBottom w:val="0"/>
      <w:divBdr>
        <w:top w:val="none" w:sz="0" w:space="0" w:color="auto"/>
        <w:left w:val="none" w:sz="0" w:space="0" w:color="auto"/>
        <w:bottom w:val="none" w:sz="0" w:space="0" w:color="auto"/>
        <w:right w:val="none" w:sz="0" w:space="0" w:color="auto"/>
      </w:divBdr>
    </w:div>
    <w:div w:id="1034385739">
      <w:bodyDiv w:val="1"/>
      <w:marLeft w:val="0"/>
      <w:marRight w:val="0"/>
      <w:marTop w:val="0"/>
      <w:marBottom w:val="0"/>
      <w:divBdr>
        <w:top w:val="none" w:sz="0" w:space="0" w:color="auto"/>
        <w:left w:val="none" w:sz="0" w:space="0" w:color="auto"/>
        <w:bottom w:val="none" w:sz="0" w:space="0" w:color="auto"/>
        <w:right w:val="none" w:sz="0" w:space="0" w:color="auto"/>
      </w:divBdr>
    </w:div>
    <w:div w:id="1497570727">
      <w:bodyDiv w:val="1"/>
      <w:marLeft w:val="0"/>
      <w:marRight w:val="0"/>
      <w:marTop w:val="0"/>
      <w:marBottom w:val="0"/>
      <w:divBdr>
        <w:top w:val="none" w:sz="0" w:space="0" w:color="auto"/>
        <w:left w:val="none" w:sz="0" w:space="0" w:color="auto"/>
        <w:bottom w:val="none" w:sz="0" w:space="0" w:color="auto"/>
        <w:right w:val="none" w:sz="0" w:space="0" w:color="auto"/>
      </w:divBdr>
    </w:div>
    <w:div w:id="1647320954">
      <w:bodyDiv w:val="1"/>
      <w:marLeft w:val="0"/>
      <w:marRight w:val="0"/>
      <w:marTop w:val="0"/>
      <w:marBottom w:val="0"/>
      <w:divBdr>
        <w:top w:val="none" w:sz="0" w:space="0" w:color="auto"/>
        <w:left w:val="none" w:sz="0" w:space="0" w:color="auto"/>
        <w:bottom w:val="none" w:sz="0" w:space="0" w:color="auto"/>
        <w:right w:val="none" w:sz="0" w:space="0" w:color="auto"/>
      </w:divBdr>
      <w:divsChild>
        <w:div w:id="1690330538">
          <w:marLeft w:val="0"/>
          <w:marRight w:val="0"/>
          <w:marTop w:val="0"/>
          <w:marBottom w:val="0"/>
          <w:divBdr>
            <w:top w:val="none" w:sz="0" w:space="0" w:color="auto"/>
            <w:left w:val="none" w:sz="0" w:space="0" w:color="auto"/>
            <w:bottom w:val="none" w:sz="0" w:space="0" w:color="auto"/>
            <w:right w:val="none" w:sz="0" w:space="0" w:color="auto"/>
          </w:divBdr>
        </w:div>
      </w:divsChild>
    </w:div>
    <w:div w:id="1759476786">
      <w:bodyDiv w:val="1"/>
      <w:marLeft w:val="0"/>
      <w:marRight w:val="0"/>
      <w:marTop w:val="0"/>
      <w:marBottom w:val="0"/>
      <w:divBdr>
        <w:top w:val="none" w:sz="0" w:space="0" w:color="auto"/>
        <w:left w:val="none" w:sz="0" w:space="0" w:color="auto"/>
        <w:bottom w:val="none" w:sz="0" w:space="0" w:color="auto"/>
        <w:right w:val="none" w:sz="0" w:space="0" w:color="auto"/>
      </w:divBdr>
    </w:div>
    <w:div w:id="1761675960">
      <w:bodyDiv w:val="1"/>
      <w:marLeft w:val="0"/>
      <w:marRight w:val="0"/>
      <w:marTop w:val="0"/>
      <w:marBottom w:val="0"/>
      <w:divBdr>
        <w:top w:val="none" w:sz="0" w:space="0" w:color="auto"/>
        <w:left w:val="none" w:sz="0" w:space="0" w:color="auto"/>
        <w:bottom w:val="none" w:sz="0" w:space="0" w:color="auto"/>
        <w:right w:val="none" w:sz="0" w:space="0" w:color="auto"/>
      </w:divBdr>
    </w:div>
    <w:div w:id="1774200214">
      <w:bodyDiv w:val="1"/>
      <w:marLeft w:val="0"/>
      <w:marRight w:val="0"/>
      <w:marTop w:val="0"/>
      <w:marBottom w:val="0"/>
      <w:divBdr>
        <w:top w:val="none" w:sz="0" w:space="0" w:color="auto"/>
        <w:left w:val="none" w:sz="0" w:space="0" w:color="auto"/>
        <w:bottom w:val="none" w:sz="0" w:space="0" w:color="auto"/>
        <w:right w:val="none" w:sz="0" w:space="0" w:color="auto"/>
      </w:divBdr>
    </w:div>
    <w:div w:id="1789079934">
      <w:bodyDiv w:val="1"/>
      <w:marLeft w:val="0"/>
      <w:marRight w:val="0"/>
      <w:marTop w:val="0"/>
      <w:marBottom w:val="0"/>
      <w:divBdr>
        <w:top w:val="none" w:sz="0" w:space="0" w:color="auto"/>
        <w:left w:val="none" w:sz="0" w:space="0" w:color="auto"/>
        <w:bottom w:val="none" w:sz="0" w:space="0" w:color="auto"/>
        <w:right w:val="none" w:sz="0" w:space="0" w:color="auto"/>
      </w:divBdr>
    </w:div>
    <w:div w:id="1849829723">
      <w:bodyDiv w:val="1"/>
      <w:marLeft w:val="0"/>
      <w:marRight w:val="0"/>
      <w:marTop w:val="0"/>
      <w:marBottom w:val="0"/>
      <w:divBdr>
        <w:top w:val="none" w:sz="0" w:space="0" w:color="auto"/>
        <w:left w:val="none" w:sz="0" w:space="0" w:color="auto"/>
        <w:bottom w:val="none" w:sz="0" w:space="0" w:color="auto"/>
        <w:right w:val="none" w:sz="0" w:space="0" w:color="auto"/>
      </w:divBdr>
    </w:div>
    <w:div w:id="1890215987">
      <w:bodyDiv w:val="1"/>
      <w:marLeft w:val="0"/>
      <w:marRight w:val="0"/>
      <w:marTop w:val="0"/>
      <w:marBottom w:val="0"/>
      <w:divBdr>
        <w:top w:val="none" w:sz="0" w:space="0" w:color="auto"/>
        <w:left w:val="none" w:sz="0" w:space="0" w:color="auto"/>
        <w:bottom w:val="none" w:sz="0" w:space="0" w:color="auto"/>
        <w:right w:val="none" w:sz="0" w:space="0" w:color="auto"/>
      </w:divBdr>
    </w:div>
    <w:div w:id="1904020892">
      <w:bodyDiv w:val="1"/>
      <w:marLeft w:val="0"/>
      <w:marRight w:val="0"/>
      <w:marTop w:val="0"/>
      <w:marBottom w:val="0"/>
      <w:divBdr>
        <w:top w:val="none" w:sz="0" w:space="0" w:color="auto"/>
        <w:left w:val="none" w:sz="0" w:space="0" w:color="auto"/>
        <w:bottom w:val="none" w:sz="0" w:space="0" w:color="auto"/>
        <w:right w:val="none" w:sz="0" w:space="0" w:color="auto"/>
      </w:divBdr>
    </w:div>
    <w:div w:id="2010984947">
      <w:bodyDiv w:val="1"/>
      <w:marLeft w:val="0"/>
      <w:marRight w:val="0"/>
      <w:marTop w:val="0"/>
      <w:marBottom w:val="0"/>
      <w:divBdr>
        <w:top w:val="none" w:sz="0" w:space="0" w:color="auto"/>
        <w:left w:val="none" w:sz="0" w:space="0" w:color="auto"/>
        <w:bottom w:val="none" w:sz="0" w:space="0" w:color="auto"/>
        <w:right w:val="none" w:sz="0" w:space="0" w:color="auto"/>
      </w:divBdr>
    </w:div>
    <w:div w:id="2027318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b.mx/cms/uploads/attachment/file/127275/Proc_Control_Servicios_Alumbrado_P_blico_2011.pdf"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8"/>
  <w:hyphenationZone w:val="425"/>
  <w:characterSpacingControl w:val="doNotCompress"/>
  <w:compat>
    <w:useFELayout/>
    <w:compatSetting w:name="compatibilityMode" w:uri="http://schemas.microsoft.com/office/word" w:val="12"/>
  </w:compat>
  <w:rsids>
    <w:rsidRoot w:val="00A43846"/>
    <w:rsid w:val="00626774"/>
    <w:rsid w:val="00A4384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0232DE-FE82-4493-A454-78106EA43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6302</Words>
  <Characters>34665</Characters>
  <Application>Microsoft Office Word</Application>
  <DocSecurity>0</DocSecurity>
  <Lines>288</Lines>
  <Paragraphs>81</Paragraphs>
  <ScaleCrop>false</ScaleCrop>
  <Company/>
  <LinksUpToDate>false</LinksUpToDate>
  <CharactersWithSpaces>40886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10</cp:revision>
  <cp:lastPrinted>2022-01-12T15:44:00Z</cp:lastPrinted>
  <dcterms:created xsi:type="dcterms:W3CDTF">2022-02-10T16:03:00Z</dcterms:created>
  <dcterms:modified xsi:type="dcterms:W3CDTF">2022-05-06T19:24:00Z</dcterms:modified>
</cp:coreProperties>
</file>