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7119" w14:textId="15BD56B3"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w:t>
      </w:r>
      <w:bookmarkStart w:id="0" w:name="_GoBack"/>
      <w:bookmarkEnd w:id="0"/>
      <w:r w:rsidRPr="00883102">
        <w:rPr>
          <w:rFonts w:ascii="Palatino Linotype" w:eastAsia="Palatino Linotype" w:hAnsi="Palatino Linotype" w:cs="Palatino Linotype"/>
          <w:color w:val="000000"/>
          <w:sz w:val="24"/>
          <w:szCs w:val="24"/>
          <w:lang w:val="es-ES_tradnl"/>
        </w:rPr>
        <w:t>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032242">
        <w:rPr>
          <w:rFonts w:ascii="Palatino Linotype" w:eastAsia="Palatino Linotype" w:hAnsi="Palatino Linotype" w:cs="Palatino Linotype"/>
          <w:color w:val="000000"/>
          <w:sz w:val="24"/>
          <w:szCs w:val="24"/>
          <w:lang w:val="es-ES_tradnl"/>
        </w:rPr>
        <w:t xml:space="preserve">seis de julio </w:t>
      </w:r>
      <w:r w:rsidR="00A470D9" w:rsidRPr="00883102">
        <w:rPr>
          <w:rFonts w:ascii="Palatino Linotype" w:eastAsia="Palatino Linotype" w:hAnsi="Palatino Linotype" w:cs="Palatino Linotype"/>
          <w:color w:val="000000"/>
          <w:sz w:val="24"/>
          <w:szCs w:val="24"/>
          <w:lang w:val="es-ES_tradnl"/>
        </w:rPr>
        <w:t>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62B3F0E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1E0C07">
        <w:rPr>
          <w:rFonts w:ascii="Palatino Linotype" w:eastAsia="Palatino Linotype" w:hAnsi="Palatino Linotype" w:cs="Palatino Linotype"/>
          <w:b/>
          <w:color w:val="000000"/>
          <w:sz w:val="24"/>
          <w:szCs w:val="24"/>
          <w:lang w:val="es-ES_tradnl"/>
        </w:rPr>
        <w:t>5530</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w:t>
      </w:r>
      <w:r w:rsidR="001E0C07">
        <w:rPr>
          <w:rFonts w:ascii="Palatino Linotype" w:eastAsia="Palatino Linotype" w:hAnsi="Palatino Linotype" w:cs="Palatino Linotype"/>
          <w:color w:val="000000"/>
          <w:sz w:val="24"/>
          <w:szCs w:val="24"/>
          <w:lang w:val="es-ES_tradnl"/>
        </w:rPr>
        <w:t xml:space="preserve"> </w:t>
      </w:r>
      <w:r w:rsidR="008E2CCD">
        <w:rPr>
          <w:rFonts w:ascii="Palatino Linotype" w:eastAsia="Palatino Linotype" w:hAnsi="Palatino Linotype" w:cs="Palatino Linotype"/>
          <w:b/>
          <w:color w:val="000000"/>
          <w:sz w:val="24"/>
          <w:szCs w:val="24"/>
          <w:lang w:val="es-ES_tradnl"/>
        </w:rPr>
        <w:t>XXXXXXXXX</w:t>
      </w:r>
      <w:r w:rsidRPr="00883102">
        <w:rPr>
          <w:rFonts w:ascii="Palatino Linotype" w:eastAsia="Palatino Linotype" w:hAnsi="Palatino Linotype" w:cs="Palatino Linotype"/>
          <w:color w:val="000000"/>
          <w:sz w:val="24"/>
          <w:szCs w:val="24"/>
          <w:lang w:val="es-ES_tradnl"/>
        </w:rPr>
        <w:t xml:space="preserve">, en lo sucesivo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en contra de la falta de respuesta del </w:t>
      </w:r>
      <w:r w:rsidR="00A50959" w:rsidRPr="00883102">
        <w:rPr>
          <w:rFonts w:ascii="Palatino Linotype" w:eastAsia="Palatino Linotype" w:hAnsi="Palatino Linotype" w:cs="Palatino Linotype"/>
          <w:b/>
          <w:color w:val="000000"/>
          <w:sz w:val="24"/>
          <w:szCs w:val="24"/>
          <w:lang w:val="es-ES_tradnl"/>
        </w:rPr>
        <w:t xml:space="preserve">Ayuntamiento de </w:t>
      </w:r>
      <w:r w:rsidR="000C4B34">
        <w:rPr>
          <w:rFonts w:ascii="Palatino Linotype" w:eastAsia="Palatino Linotype" w:hAnsi="Palatino Linotype" w:cs="Palatino Linotype"/>
          <w:b/>
          <w:color w:val="000000"/>
          <w:sz w:val="24"/>
          <w:szCs w:val="24"/>
          <w:lang w:val="es-ES_tradnl"/>
        </w:rPr>
        <w:t>Atizapán</w:t>
      </w:r>
      <w:r w:rsidRPr="006621A3">
        <w:rPr>
          <w:rFonts w:ascii="Palatino Linotype" w:eastAsia="Palatino Linotype" w:hAnsi="Palatino Linotype" w:cs="Palatino Linotype"/>
          <w:bCs/>
          <w:color w:val="000000"/>
          <w:sz w:val="24"/>
          <w:szCs w:val="24"/>
          <w:lang w:val="es-ES_tradnl"/>
        </w:rPr>
        <w:t>,</w:t>
      </w:r>
      <w:r w:rsidRPr="006621A3">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en lo subsecuente</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Sujeto Obligado</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D15ACD3" w14:textId="5E3B459A" w:rsidR="00DE3512"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660DC1">
        <w:rPr>
          <w:rFonts w:ascii="Palatino Linotype" w:eastAsia="Palatino Linotype" w:hAnsi="Palatino Linotype" w:cs="Palatino Linotype"/>
          <w:color w:val="000000"/>
          <w:sz w:val="24"/>
          <w:szCs w:val="24"/>
          <w:lang w:val="es-ES_tradnl"/>
        </w:rPr>
        <w:t>once</w:t>
      </w:r>
      <w:r w:rsidR="004A5CD2">
        <w:rPr>
          <w:rFonts w:ascii="Palatino Linotype" w:eastAsia="Palatino Linotype" w:hAnsi="Palatino Linotype" w:cs="Palatino Linotype"/>
          <w:color w:val="000000"/>
          <w:sz w:val="24"/>
          <w:szCs w:val="24"/>
          <w:lang w:val="es-ES_tradnl"/>
        </w:rPr>
        <w:t xml:space="preserve"> de marzo</w:t>
      </w:r>
      <w:r w:rsidR="00A50959"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883102">
        <w:rPr>
          <w:rFonts w:ascii="Palatino Linotype" w:eastAsia="Palatino Linotype" w:hAnsi="Palatino Linotype" w:cs="Palatino Linotype"/>
          <w:color w:val="000000"/>
          <w:sz w:val="24"/>
          <w:szCs w:val="24"/>
          <w:lang w:val="es-ES_tradnl"/>
        </w:rPr>
        <w:t>ormación pública registrada con</w:t>
      </w:r>
      <w:r w:rsidR="00DE3512" w:rsidRPr="00883102">
        <w:rPr>
          <w:rFonts w:ascii="Palatino Linotype" w:eastAsia="Palatino Linotype" w:hAnsi="Palatino Linotype" w:cs="Palatino Linotype"/>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número de expediente</w:t>
      </w:r>
      <w:r w:rsidR="00DE3512" w:rsidRPr="00883102">
        <w:rPr>
          <w:rFonts w:ascii="Palatino Linotype" w:eastAsia="Palatino Linotype" w:hAnsi="Palatino Linotype" w:cs="Palatino Linotype"/>
          <w:b/>
          <w:color w:val="000000"/>
          <w:sz w:val="24"/>
          <w:szCs w:val="24"/>
          <w:lang w:val="es-ES_tradnl"/>
        </w:rPr>
        <w:t xml:space="preserve"> </w:t>
      </w:r>
      <w:r w:rsidR="00660DC1" w:rsidRPr="00660DC1">
        <w:rPr>
          <w:rFonts w:ascii="Palatino Linotype" w:eastAsia="Palatino Linotype" w:hAnsi="Palatino Linotype" w:cs="Palatino Linotype"/>
          <w:b/>
          <w:bCs/>
          <w:color w:val="000000"/>
          <w:sz w:val="24"/>
          <w:szCs w:val="24"/>
          <w:lang w:val="es-ES_tradnl"/>
        </w:rPr>
        <w:t>00111/ATIZAPAN/IP/2022</w:t>
      </w:r>
      <w:r w:rsidR="00DE3512" w:rsidRPr="00883102">
        <w:rPr>
          <w:rFonts w:ascii="Palatino Linotype" w:eastAsia="Palatino Linotype" w:hAnsi="Palatino Linotype" w:cs="Palatino Linotype"/>
          <w:color w:val="000000"/>
          <w:sz w:val="24"/>
          <w:szCs w:val="24"/>
          <w:lang w:val="es-ES_tradnl"/>
        </w:rPr>
        <w:t>,</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42A494E9"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660DC1" w:rsidRPr="00660DC1">
        <w:rPr>
          <w:rFonts w:ascii="Palatino Linotype" w:eastAsia="Palatino Linotype" w:hAnsi="Palatino Linotype" w:cs="Palatino Linotype"/>
          <w:i/>
          <w:color w:val="000000"/>
          <w:lang w:val="es-ES_tradnl"/>
        </w:rPr>
        <w:t xml:space="preserve">El día tres de marzo del año en curso, me presente en la ventanilla única de la Dirección de Ordenamiento Territorial y Desarrollo Urbano a efecto de solicitar ingreso de expediente de trámite para obra nueva, informándome la señorita de ventanilla que adicionalmente a los requisitos previstos en el artículo 18. 20 del Código Administrativo del Estado de México, debo anexar: 1.- Archivo </w:t>
      </w:r>
      <w:proofErr w:type="spellStart"/>
      <w:r w:rsidR="00660DC1" w:rsidRPr="00660DC1">
        <w:rPr>
          <w:rFonts w:ascii="Palatino Linotype" w:eastAsia="Palatino Linotype" w:hAnsi="Palatino Linotype" w:cs="Palatino Linotype"/>
          <w:i/>
          <w:color w:val="000000"/>
          <w:lang w:val="es-ES_tradnl"/>
        </w:rPr>
        <w:t>kml</w:t>
      </w:r>
      <w:proofErr w:type="spellEnd"/>
      <w:r w:rsidR="00660DC1" w:rsidRPr="00660DC1">
        <w:rPr>
          <w:rFonts w:ascii="Palatino Linotype" w:eastAsia="Palatino Linotype" w:hAnsi="Palatino Linotype" w:cs="Palatino Linotype"/>
          <w:i/>
          <w:color w:val="000000"/>
          <w:lang w:val="es-ES_tradnl"/>
        </w:rPr>
        <w:t xml:space="preserve"> (GOOGLE EARTH) del predio donde se habrán de llevar a cabo los trabajos; 2.- Proyecto Ejecutivo: planos arquitectónicos, estructurales y de instalaciones en archivo digital, formato DWG (AUTOCAD); 3.- Modelo 3D o maqueta virtual en </w:t>
      </w:r>
      <w:proofErr w:type="spellStart"/>
      <w:r w:rsidR="00660DC1" w:rsidRPr="00660DC1">
        <w:rPr>
          <w:rFonts w:ascii="Palatino Linotype" w:eastAsia="Palatino Linotype" w:hAnsi="Palatino Linotype" w:cs="Palatino Linotype"/>
          <w:i/>
          <w:color w:val="000000"/>
          <w:lang w:val="es-ES_tradnl"/>
        </w:rPr>
        <w:t>sketchup</w:t>
      </w:r>
      <w:proofErr w:type="spellEnd"/>
      <w:r w:rsidR="00660DC1" w:rsidRPr="00660DC1">
        <w:rPr>
          <w:rFonts w:ascii="Palatino Linotype" w:eastAsia="Palatino Linotype" w:hAnsi="Palatino Linotype" w:cs="Palatino Linotype"/>
          <w:i/>
          <w:color w:val="000000"/>
          <w:lang w:val="es-ES_tradnl"/>
        </w:rPr>
        <w:t xml:space="preserve"> o </w:t>
      </w:r>
      <w:proofErr w:type="spellStart"/>
      <w:r w:rsidR="00660DC1" w:rsidRPr="00660DC1">
        <w:rPr>
          <w:rFonts w:ascii="Palatino Linotype" w:eastAsia="Palatino Linotype" w:hAnsi="Palatino Linotype" w:cs="Palatino Linotype"/>
          <w:i/>
          <w:color w:val="000000"/>
          <w:lang w:val="es-ES_tradnl"/>
        </w:rPr>
        <w:t>revit</w:t>
      </w:r>
      <w:proofErr w:type="spellEnd"/>
      <w:r w:rsidR="00660DC1" w:rsidRPr="00660DC1">
        <w:rPr>
          <w:rFonts w:ascii="Palatino Linotype" w:eastAsia="Palatino Linotype" w:hAnsi="Palatino Linotype" w:cs="Palatino Linotype"/>
          <w:i/>
          <w:color w:val="000000"/>
          <w:lang w:val="es-ES_tradnl"/>
        </w:rPr>
        <w:t xml:space="preserve"> con loa acabados y dimensiones finales; y, 4.- 4 </w:t>
      </w:r>
      <w:proofErr w:type="spellStart"/>
      <w:r w:rsidR="00660DC1" w:rsidRPr="00660DC1">
        <w:rPr>
          <w:rFonts w:ascii="Palatino Linotype" w:eastAsia="Palatino Linotype" w:hAnsi="Palatino Linotype" w:cs="Palatino Linotype"/>
          <w:i/>
          <w:color w:val="000000"/>
          <w:lang w:val="es-ES_tradnl"/>
        </w:rPr>
        <w:t>Renders</w:t>
      </w:r>
      <w:proofErr w:type="spellEnd"/>
      <w:r w:rsidR="00660DC1" w:rsidRPr="00660DC1">
        <w:rPr>
          <w:rFonts w:ascii="Palatino Linotype" w:eastAsia="Palatino Linotype" w:hAnsi="Palatino Linotype" w:cs="Palatino Linotype"/>
          <w:i/>
          <w:color w:val="000000"/>
          <w:lang w:val="es-ES_tradnl"/>
        </w:rPr>
        <w:t xml:space="preserve">: 2 de fachada principal, 2 de fachada posterior, todos los </w:t>
      </w:r>
      <w:proofErr w:type="spellStart"/>
      <w:r w:rsidR="00660DC1" w:rsidRPr="00660DC1">
        <w:rPr>
          <w:rFonts w:ascii="Palatino Linotype" w:eastAsia="Palatino Linotype" w:hAnsi="Palatino Linotype" w:cs="Palatino Linotype"/>
          <w:i/>
          <w:color w:val="000000"/>
          <w:lang w:val="es-ES_tradnl"/>
        </w:rPr>
        <w:t>renders</w:t>
      </w:r>
      <w:proofErr w:type="spellEnd"/>
      <w:r w:rsidR="00660DC1" w:rsidRPr="00660DC1">
        <w:rPr>
          <w:rFonts w:ascii="Palatino Linotype" w:eastAsia="Palatino Linotype" w:hAnsi="Palatino Linotype" w:cs="Palatino Linotype"/>
          <w:i/>
          <w:color w:val="000000"/>
          <w:lang w:val="es-ES_tradnl"/>
        </w:rPr>
        <w:t xml:space="preserve"> deberán mostrar los acabados </w:t>
      </w:r>
      <w:r w:rsidR="00660DC1" w:rsidRPr="00660DC1">
        <w:rPr>
          <w:rFonts w:ascii="Palatino Linotype" w:eastAsia="Palatino Linotype" w:hAnsi="Palatino Linotype" w:cs="Palatino Linotype"/>
          <w:i/>
          <w:color w:val="000000"/>
          <w:lang w:val="es-ES_tradnl"/>
        </w:rPr>
        <w:lastRenderedPageBreak/>
        <w:t>proyectados de la manera más realista posible, además de incluir una figura humana al menos. Requisitos que no se encuentran previstos en el artículo antes invocado y más aún tengo conocimiento que las autoridades soló pueden solicitar lo que las leyes establecen, luego entonces mi solicitud es clara y precisar requiero copia simple del fundamento legal en el cual se sustentan dichos requisitos y/o en que fundamenta la aplicación de dicha normatividad, quien la aprobó.</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A6ACCC" w14:textId="75837E21" w:rsidR="00A24BE6" w:rsidRDefault="00A24BE6"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 la solicitud se anexó el documento denominado </w:t>
      </w:r>
      <w:r w:rsidRPr="00A24BE6">
        <w:rPr>
          <w:rFonts w:ascii="Palatino Linotype" w:eastAsia="Palatino Linotype" w:hAnsi="Palatino Linotype" w:cs="Palatino Linotype"/>
          <w:b/>
          <w:color w:val="000000"/>
          <w:sz w:val="24"/>
          <w:szCs w:val="24"/>
          <w:lang w:val="es-ES_tradnl"/>
        </w:rPr>
        <w:t xml:space="preserve">“requisitos </w:t>
      </w:r>
      <w:proofErr w:type="spellStart"/>
      <w:r w:rsidRPr="00A24BE6">
        <w:rPr>
          <w:rFonts w:ascii="Palatino Linotype" w:eastAsia="Palatino Linotype" w:hAnsi="Palatino Linotype" w:cs="Palatino Linotype"/>
          <w:b/>
          <w:color w:val="000000"/>
          <w:sz w:val="24"/>
          <w:szCs w:val="24"/>
          <w:lang w:val="es-ES_tradnl"/>
        </w:rPr>
        <w:t>atizapan</w:t>
      </w:r>
      <w:proofErr w:type="spellEnd"/>
      <w:r w:rsidRPr="00A24BE6">
        <w:rPr>
          <w:rFonts w:ascii="Palatino Linotype" w:eastAsia="Palatino Linotype" w:hAnsi="Palatino Linotype" w:cs="Palatino Linotype"/>
          <w:b/>
          <w:color w:val="000000"/>
          <w:sz w:val="24"/>
          <w:szCs w:val="24"/>
          <w:lang w:val="es-ES_tradnl"/>
        </w:rPr>
        <w:t xml:space="preserve"> 2022.pdf”</w:t>
      </w:r>
      <w:r>
        <w:rPr>
          <w:rFonts w:ascii="Palatino Linotype" w:eastAsia="Palatino Linotype" w:hAnsi="Palatino Linotype" w:cs="Palatino Linotype"/>
          <w:color w:val="000000"/>
          <w:sz w:val="24"/>
          <w:szCs w:val="24"/>
          <w:lang w:val="es-ES_tradnl"/>
        </w:rPr>
        <w:t xml:space="preserve">, </w:t>
      </w:r>
      <w:r w:rsidR="008C2C22">
        <w:rPr>
          <w:rFonts w:ascii="Palatino Linotype" w:eastAsia="Palatino Linotype" w:hAnsi="Palatino Linotype" w:cs="Palatino Linotype"/>
          <w:color w:val="000000"/>
          <w:sz w:val="24"/>
          <w:szCs w:val="24"/>
          <w:lang w:val="es-ES_tradnl"/>
        </w:rPr>
        <w:t>que consiste en</w:t>
      </w:r>
      <w:r>
        <w:rPr>
          <w:rFonts w:ascii="Palatino Linotype" w:eastAsia="Palatino Linotype" w:hAnsi="Palatino Linotype" w:cs="Palatino Linotype"/>
          <w:color w:val="000000"/>
          <w:sz w:val="24"/>
          <w:szCs w:val="24"/>
          <w:lang w:val="es-ES_tradnl"/>
        </w:rPr>
        <w:t xml:space="preserve"> un aviso emitido por el Ayuntamiento de Atizapán de Zaragoza respecto de los requisitos que deben acompañar a toda solicitud de obtención de licencia de construcción en cualquier modalidad.</w:t>
      </w:r>
    </w:p>
    <w:p w14:paraId="4B3FDE22" w14:textId="77777777" w:rsidR="00A24BE6" w:rsidRPr="00883102" w:rsidRDefault="00A24BE6"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458CEB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60FA2E54"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A24BE6">
        <w:rPr>
          <w:rFonts w:ascii="Palatino Linotype" w:eastAsia="Palatino Linotype" w:hAnsi="Palatino Linotype" w:cs="Palatino Linotype"/>
          <w:color w:val="000000"/>
          <w:sz w:val="24"/>
          <w:szCs w:val="24"/>
          <w:lang w:val="es-ES_tradnl"/>
        </w:rPr>
        <w:t>cinco de abril</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 xml:space="preserve">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B55E5" w:rsidRPr="00883102">
        <w:rPr>
          <w:rFonts w:ascii="Palatino Linotype" w:eastAsia="Palatino Linotype" w:hAnsi="Palatino Linotype" w:cs="Palatino Linotype"/>
          <w:b/>
          <w:color w:val="000000"/>
          <w:sz w:val="24"/>
          <w:szCs w:val="24"/>
          <w:lang w:val="es-ES_tradnl"/>
        </w:rPr>
        <w:t>0</w:t>
      </w:r>
      <w:r w:rsidR="00A24BE6">
        <w:rPr>
          <w:rFonts w:ascii="Palatino Linotype" w:eastAsia="Palatino Linotype" w:hAnsi="Palatino Linotype" w:cs="Palatino Linotype"/>
          <w:b/>
          <w:color w:val="000000"/>
          <w:sz w:val="24"/>
          <w:szCs w:val="24"/>
          <w:lang w:val="es-ES_tradnl"/>
        </w:rPr>
        <w:t>5530</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73660519" w:rsidR="00BE7F8D" w:rsidRPr="00883102" w:rsidRDefault="00BE7F8D" w:rsidP="0068449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A24BE6" w:rsidRPr="00A24BE6">
        <w:rPr>
          <w:rFonts w:ascii="Palatino Linotype" w:eastAsia="Palatino Linotype" w:hAnsi="Palatino Linotype" w:cs="Palatino Linotype"/>
          <w:i/>
          <w:color w:val="000000"/>
          <w:lang w:val="es-ES_tradnl"/>
        </w:rPr>
        <w:t>No se emitió respuesta de la Dirección de Ordenamiento Territorial y Desarrollo Urbano y Mejora Regulatoria del Municipio de Atizapán de Zaragoza, Estado de México, solicitud de información con número de Folio 00111/ATIZAPAN/IP/2022,</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600EB0EF" w:rsidR="00BE7F8D" w:rsidRPr="00883102" w:rsidRDefault="00BE7F8D" w:rsidP="004C2346">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A24BE6" w:rsidRPr="00A24BE6">
        <w:rPr>
          <w:rFonts w:ascii="Palatino Linotype" w:eastAsia="Palatino Linotype" w:hAnsi="Palatino Linotype" w:cs="Palatino Linotype"/>
          <w:i/>
          <w:color w:val="000000"/>
          <w:lang w:val="es-ES_tradnl"/>
        </w:rPr>
        <w:t xml:space="preserve">Solicite el fundamento legal de los requisitos establecidos en sus formatos de solicitud para expedientes de trámite y en que Código o Legislación se encuentran fundamentados, toda vez que, en la ventanilla única de dicha dependencia se solicita además de los previstos por la Ley, los siguientes: 1.- Archivo </w:t>
      </w:r>
      <w:proofErr w:type="spellStart"/>
      <w:r w:rsidR="00A24BE6" w:rsidRPr="00A24BE6">
        <w:rPr>
          <w:rFonts w:ascii="Palatino Linotype" w:eastAsia="Palatino Linotype" w:hAnsi="Palatino Linotype" w:cs="Palatino Linotype"/>
          <w:i/>
          <w:color w:val="000000"/>
          <w:lang w:val="es-ES_tradnl"/>
        </w:rPr>
        <w:t>kml</w:t>
      </w:r>
      <w:proofErr w:type="spellEnd"/>
      <w:r w:rsidR="00A24BE6" w:rsidRPr="00A24BE6">
        <w:rPr>
          <w:rFonts w:ascii="Palatino Linotype" w:eastAsia="Palatino Linotype" w:hAnsi="Palatino Linotype" w:cs="Palatino Linotype"/>
          <w:i/>
          <w:color w:val="000000"/>
          <w:lang w:val="es-ES_tradnl"/>
        </w:rPr>
        <w:t xml:space="preserve"> (GOOGLE EARTH) del predio donde se habrán de llevar a cabo los trabajos; 2.- Proyecto Ejecutivo: planos arquitectónicos, estructurales y de instalaciones en archivo digital, formato DWG (AUTOCAD); 3.- Modelo 3D o maqueta virtual en </w:t>
      </w:r>
      <w:proofErr w:type="spellStart"/>
      <w:r w:rsidR="00A24BE6" w:rsidRPr="00A24BE6">
        <w:rPr>
          <w:rFonts w:ascii="Palatino Linotype" w:eastAsia="Palatino Linotype" w:hAnsi="Palatino Linotype" w:cs="Palatino Linotype"/>
          <w:i/>
          <w:color w:val="000000"/>
          <w:lang w:val="es-ES_tradnl"/>
        </w:rPr>
        <w:t>sketchup</w:t>
      </w:r>
      <w:proofErr w:type="spellEnd"/>
      <w:r w:rsidR="00A24BE6" w:rsidRPr="00A24BE6">
        <w:rPr>
          <w:rFonts w:ascii="Palatino Linotype" w:eastAsia="Palatino Linotype" w:hAnsi="Palatino Linotype" w:cs="Palatino Linotype"/>
          <w:i/>
          <w:color w:val="000000"/>
          <w:lang w:val="es-ES_tradnl"/>
        </w:rPr>
        <w:t xml:space="preserve"> o </w:t>
      </w:r>
      <w:proofErr w:type="spellStart"/>
      <w:r w:rsidR="00A24BE6" w:rsidRPr="00A24BE6">
        <w:rPr>
          <w:rFonts w:ascii="Palatino Linotype" w:eastAsia="Palatino Linotype" w:hAnsi="Palatino Linotype" w:cs="Palatino Linotype"/>
          <w:i/>
          <w:color w:val="000000"/>
          <w:lang w:val="es-ES_tradnl"/>
        </w:rPr>
        <w:t>revit</w:t>
      </w:r>
      <w:proofErr w:type="spellEnd"/>
      <w:r w:rsidR="00A24BE6" w:rsidRPr="00A24BE6">
        <w:rPr>
          <w:rFonts w:ascii="Palatino Linotype" w:eastAsia="Palatino Linotype" w:hAnsi="Palatino Linotype" w:cs="Palatino Linotype"/>
          <w:i/>
          <w:color w:val="000000"/>
          <w:lang w:val="es-ES_tradnl"/>
        </w:rPr>
        <w:t xml:space="preserve"> con loa acabados y dimensiones finales; y, 4.- 4 </w:t>
      </w:r>
      <w:proofErr w:type="spellStart"/>
      <w:r w:rsidR="00A24BE6" w:rsidRPr="00A24BE6">
        <w:rPr>
          <w:rFonts w:ascii="Palatino Linotype" w:eastAsia="Palatino Linotype" w:hAnsi="Palatino Linotype" w:cs="Palatino Linotype"/>
          <w:i/>
          <w:color w:val="000000"/>
          <w:lang w:val="es-ES_tradnl"/>
        </w:rPr>
        <w:t>Renders</w:t>
      </w:r>
      <w:proofErr w:type="spellEnd"/>
      <w:r w:rsidR="00A24BE6" w:rsidRPr="00A24BE6">
        <w:rPr>
          <w:rFonts w:ascii="Palatino Linotype" w:eastAsia="Palatino Linotype" w:hAnsi="Palatino Linotype" w:cs="Palatino Linotype"/>
          <w:i/>
          <w:color w:val="000000"/>
          <w:lang w:val="es-ES_tradnl"/>
        </w:rPr>
        <w:t xml:space="preserve">: 2 de fachada principal, 2 de fachada posterior, todos los </w:t>
      </w:r>
      <w:proofErr w:type="spellStart"/>
      <w:r w:rsidR="00A24BE6" w:rsidRPr="00A24BE6">
        <w:rPr>
          <w:rFonts w:ascii="Palatino Linotype" w:eastAsia="Palatino Linotype" w:hAnsi="Palatino Linotype" w:cs="Palatino Linotype"/>
          <w:i/>
          <w:color w:val="000000"/>
          <w:lang w:val="es-ES_tradnl"/>
        </w:rPr>
        <w:t>renders</w:t>
      </w:r>
      <w:proofErr w:type="spellEnd"/>
      <w:r w:rsidR="00A24BE6" w:rsidRPr="00A24BE6">
        <w:rPr>
          <w:rFonts w:ascii="Palatino Linotype" w:eastAsia="Palatino Linotype" w:hAnsi="Palatino Linotype" w:cs="Palatino Linotype"/>
          <w:i/>
          <w:color w:val="000000"/>
          <w:lang w:val="es-ES_tradnl"/>
        </w:rPr>
        <w:t xml:space="preserve"> deberán mostrar los acabados proyectados de la manera más realista posible, además de incluir una figura humana al menos. Requisitos que no se encuentran establecidos en el Código Administrativo del Estado de México en específico en el artículo 18.20, información que no proporciono.</w:t>
      </w:r>
      <w:r w:rsidRPr="00883102">
        <w:rPr>
          <w:rFonts w:ascii="Palatino Linotype" w:eastAsia="Palatino Linotype" w:hAnsi="Palatino Linotype" w:cs="Palatino Linotype"/>
          <w:i/>
          <w:color w:val="000000"/>
          <w:lang w:val="es-ES_tradnl"/>
        </w:rPr>
        <w:t xml:space="preserve">” (Sic) </w:t>
      </w:r>
    </w:p>
    <w:p w14:paraId="3297B594" w14:textId="77777777" w:rsidR="00BE7F8D"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34B3E85C" w14:textId="0A39004E" w:rsidR="00A24BE6" w:rsidRPr="00883102" w:rsidRDefault="00A24BE6"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Adjuntando al recurso de revisión el mismo documento que se anexó a la solicitud de información denominado </w:t>
      </w:r>
      <w:r w:rsidRPr="00A24BE6">
        <w:rPr>
          <w:rFonts w:ascii="Palatino Linotype" w:eastAsia="Palatino Linotype" w:hAnsi="Palatino Linotype" w:cs="Palatino Linotype"/>
          <w:b/>
          <w:color w:val="000000"/>
          <w:sz w:val="24"/>
          <w:szCs w:val="24"/>
          <w:lang w:val="es-ES_tradnl"/>
        </w:rPr>
        <w:t xml:space="preserve">“requisitos </w:t>
      </w:r>
      <w:proofErr w:type="spellStart"/>
      <w:r w:rsidRPr="00A24BE6">
        <w:rPr>
          <w:rFonts w:ascii="Palatino Linotype" w:eastAsia="Palatino Linotype" w:hAnsi="Palatino Linotype" w:cs="Palatino Linotype"/>
          <w:b/>
          <w:color w:val="000000"/>
          <w:sz w:val="24"/>
          <w:szCs w:val="24"/>
          <w:lang w:val="es-ES_tradnl"/>
        </w:rPr>
        <w:t>atizapan</w:t>
      </w:r>
      <w:proofErr w:type="spellEnd"/>
      <w:r w:rsidRPr="00A24BE6">
        <w:rPr>
          <w:rFonts w:ascii="Palatino Linotype" w:eastAsia="Palatino Linotype" w:hAnsi="Palatino Linotype" w:cs="Palatino Linotype"/>
          <w:b/>
          <w:color w:val="000000"/>
          <w:sz w:val="24"/>
          <w:szCs w:val="24"/>
          <w:lang w:val="es-ES_tradnl"/>
        </w:rPr>
        <w:t xml:space="preserve"> 2022.pdf”</w:t>
      </w:r>
      <w:r>
        <w:rPr>
          <w:rFonts w:ascii="Palatino Linotype" w:eastAsia="Palatino Linotype" w:hAnsi="Palatino Linotype" w:cs="Palatino Linotype"/>
          <w:color w:val="000000"/>
          <w:sz w:val="24"/>
          <w:szCs w:val="24"/>
          <w:lang w:val="es-ES_tradnl"/>
        </w:rPr>
        <w:t>.</w:t>
      </w:r>
    </w:p>
    <w:p w14:paraId="0B9EA805" w14:textId="77777777" w:rsidR="00A24BE6" w:rsidRDefault="00A24BE6"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2FB6FA80"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w:t>
      </w:r>
      <w:proofErr w:type="spellStart"/>
      <w:r w:rsidR="001426A5" w:rsidRPr="00883102">
        <w:rPr>
          <w:rFonts w:ascii="Palatino Linotype" w:eastAsia="Palatino Linotype" w:hAnsi="Palatino Linotype" w:cs="Palatino Linotype"/>
          <w:color w:val="000000"/>
          <w:sz w:val="24"/>
          <w:szCs w:val="24"/>
          <w:lang w:val="es-ES_tradnl"/>
        </w:rPr>
        <w:t>desechamiento</w:t>
      </w:r>
      <w:proofErr w:type="spellEnd"/>
      <w:r w:rsidR="001426A5" w:rsidRPr="00883102">
        <w:rPr>
          <w:rFonts w:ascii="Palatino Linotype" w:eastAsia="Palatino Linotype" w:hAnsi="Palatino Linotype" w:cs="Palatino Linotype"/>
          <w:color w:val="000000"/>
          <w:sz w:val="24"/>
          <w:szCs w:val="24"/>
          <w:lang w:val="es-ES_tradnl"/>
        </w:rPr>
        <w:t xml:space="preserve">; por lo </w:t>
      </w:r>
      <w:r w:rsidR="0096093D">
        <w:rPr>
          <w:rFonts w:ascii="Palatino Linotype" w:eastAsia="Palatino Linotype" w:hAnsi="Palatino Linotype" w:cs="Palatino Linotype"/>
          <w:color w:val="000000"/>
          <w:sz w:val="24"/>
          <w:szCs w:val="24"/>
          <w:lang w:val="es-ES_tradnl"/>
        </w:rPr>
        <w:t xml:space="preserve">que en fecha </w:t>
      </w:r>
      <w:r w:rsidR="00A24BE6">
        <w:rPr>
          <w:rFonts w:ascii="Palatino Linotype" w:eastAsia="Palatino Linotype" w:hAnsi="Palatino Linotype" w:cs="Palatino Linotype"/>
          <w:color w:val="000000"/>
          <w:sz w:val="24"/>
          <w:szCs w:val="24"/>
          <w:lang w:val="es-ES_tradnl"/>
        </w:rPr>
        <w:t>ocho de abril</w:t>
      </w:r>
      <w:r w:rsidRPr="00883102">
        <w:rPr>
          <w:rFonts w:ascii="Palatino Linotype" w:eastAsia="Palatino Linotype" w:hAnsi="Palatino Linotype" w:cs="Palatino Linotype"/>
          <w:color w:val="000000"/>
          <w:sz w:val="24"/>
          <w:szCs w:val="24"/>
          <w:lang w:val="es-ES_tradnl"/>
        </w:rPr>
        <w:t xml:space="preserve">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lastRenderedPageBreak/>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30C8D90A"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00A24BE6">
        <w:rPr>
          <w:rFonts w:ascii="Palatino Linotype" w:eastAsia="Palatino Linotype" w:hAnsi="Palatino Linotype" w:cs="Palatino Linotype"/>
          <w:color w:val="000000"/>
          <w:sz w:val="24"/>
          <w:szCs w:val="24"/>
          <w:lang w:val="es-ES_tradnl"/>
        </w:rPr>
        <w:t>. Asimismo, e</w:t>
      </w:r>
      <w:r w:rsidR="0096093D">
        <w:rPr>
          <w:rFonts w:ascii="Palatino Linotype" w:eastAsia="Palatino Linotype" w:hAnsi="Palatino Linotype" w:cs="Palatino Linotype"/>
          <w:color w:val="000000"/>
          <w:sz w:val="24"/>
          <w:szCs w:val="24"/>
          <w:lang w:val="es-ES_tradnl"/>
        </w:rPr>
        <w:t>l Recurrente no realizó manifestaciones, vertió alegatos ni presentó pruebas que a su derecho convinieran.</w:t>
      </w:r>
    </w:p>
    <w:p w14:paraId="2D782D35" w14:textId="77777777" w:rsidR="004E5E43"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0F452E25" w:rsidR="00DE351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transcurrido el término legal, se decretó el cierre de instrucción en fecha </w:t>
      </w:r>
      <w:r w:rsidR="00BB2B23">
        <w:rPr>
          <w:rFonts w:ascii="Palatino Linotype" w:eastAsia="Palatino Linotype" w:hAnsi="Palatino Linotype" w:cs="Palatino Linotype"/>
          <w:color w:val="000000"/>
          <w:sz w:val="24"/>
          <w:szCs w:val="24"/>
          <w:lang w:val="es-ES_tradnl"/>
        </w:rPr>
        <w:t>seis</w:t>
      </w:r>
      <w:r w:rsidR="00684491">
        <w:rPr>
          <w:rFonts w:ascii="Palatino Linotype" w:eastAsia="Palatino Linotype" w:hAnsi="Palatino Linotype" w:cs="Palatino Linotype"/>
          <w:color w:val="000000"/>
          <w:sz w:val="24"/>
          <w:szCs w:val="24"/>
          <w:lang w:val="es-ES_tradnl"/>
        </w:rPr>
        <w:t xml:space="preserve"> de mayo</w:t>
      </w:r>
      <w:r w:rsidR="00CE3AE3"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5ED0824A" w14:textId="002344CD" w:rsidR="00BB2B23" w:rsidRDefault="00BB2B2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F1FD7A5" w14:textId="36F29F6D" w:rsidR="00BB2B23" w:rsidRPr="00BB2B23" w:rsidRDefault="00BB2B23" w:rsidP="00BB2B2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lang w:val="es-ES_tradnl"/>
        </w:rPr>
      </w:pPr>
      <w:r>
        <w:rPr>
          <w:rFonts w:ascii="Palatino Linotype" w:eastAsia="Palatino Linotype" w:hAnsi="Palatino Linotype" w:cs="Palatino Linotype"/>
          <w:b/>
          <w:bCs/>
          <w:color w:val="000000"/>
          <w:sz w:val="26"/>
          <w:szCs w:val="26"/>
          <w:lang w:val="es-ES_tradnl"/>
        </w:rPr>
        <w:t>SÉPTIMO</w:t>
      </w:r>
      <w:r w:rsidRPr="00BB2B23">
        <w:rPr>
          <w:rFonts w:ascii="Palatino Linotype" w:eastAsia="Palatino Linotype" w:hAnsi="Palatino Linotype" w:cs="Palatino Linotype"/>
          <w:b/>
          <w:bCs/>
          <w:color w:val="000000"/>
          <w:sz w:val="26"/>
          <w:szCs w:val="26"/>
          <w:lang w:val="es-ES_tradnl"/>
        </w:rPr>
        <w:t>. De la ampliación del término para resolver.</w:t>
      </w:r>
    </w:p>
    <w:p w14:paraId="64131FDF" w14:textId="09C3D40D" w:rsidR="00BB2B23" w:rsidRPr="00883102" w:rsidRDefault="00BB2B23" w:rsidP="00BB2B2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B2B23">
        <w:rPr>
          <w:rFonts w:ascii="Palatino Linotype" w:eastAsia="Palatino Linotype" w:hAnsi="Palatino Linotype" w:cs="Palatino Linotype"/>
          <w:color w:val="000000"/>
          <w:sz w:val="24"/>
          <w:szCs w:val="24"/>
          <w:lang w:val="es-ES_tradnl"/>
        </w:rPr>
        <w:t xml:space="preserve">En fecha </w:t>
      </w:r>
      <w:r w:rsidR="00A24BE6">
        <w:rPr>
          <w:rFonts w:ascii="Palatino Linotype" w:eastAsia="Palatino Linotype" w:hAnsi="Palatino Linotype" w:cs="Palatino Linotype"/>
          <w:color w:val="000000"/>
          <w:sz w:val="24"/>
          <w:szCs w:val="24"/>
          <w:lang w:val="es-ES_tradnl"/>
        </w:rPr>
        <w:t>treinta</w:t>
      </w:r>
      <w:r w:rsidRPr="00BB2B23">
        <w:rPr>
          <w:rFonts w:ascii="Palatino Linotype" w:eastAsia="Palatino Linotype" w:hAnsi="Palatino Linotype" w:cs="Palatino Linotype"/>
          <w:color w:val="000000"/>
          <w:sz w:val="24"/>
          <w:szCs w:val="24"/>
          <w:lang w:val="es-ES_tradnl"/>
        </w:rPr>
        <w:t xml:space="preserve"> de mayo de </w:t>
      </w:r>
      <w:proofErr w:type="gramStart"/>
      <w:r w:rsidRPr="00BB2B23">
        <w:rPr>
          <w:rFonts w:ascii="Palatino Linotype" w:eastAsia="Palatino Linotype" w:hAnsi="Palatino Linotype" w:cs="Palatino Linotype"/>
          <w:color w:val="000000"/>
          <w:sz w:val="24"/>
          <w:szCs w:val="24"/>
          <w:lang w:val="es-ES_tradnl"/>
        </w:rPr>
        <w:t>dos mil veintiuno</w:t>
      </w:r>
      <w:proofErr w:type="gramEnd"/>
      <w:r w:rsidRPr="00BB2B23">
        <w:rPr>
          <w:rFonts w:ascii="Palatino Linotype" w:eastAsia="Palatino Linotype" w:hAnsi="Palatino Linotype" w:cs="Palatino Linotype"/>
          <w:color w:val="000000"/>
          <w:sz w:val="24"/>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70A13A21" w14:textId="77777777" w:rsidR="00DE351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6517B64"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r w:rsidRPr="00616C63">
        <w:rPr>
          <w:rFonts w:ascii="Palatino Linotype" w:eastAsiaTheme="minorHAnsi" w:hAnsi="Palatino Linotype" w:cstheme="minorBidi"/>
          <w:sz w:val="24"/>
          <w:szCs w:val="24"/>
          <w:lang w:val="es-ES_tradnl" w:eastAsia="en-US"/>
        </w:rPr>
        <w:t xml:space="preserve">Este organismo garante no pasa por alto justificar, que la dilación en la resolución del presente asunto encuentra justificación en el alto número de recursos de revisión </w:t>
      </w:r>
      <w:r w:rsidRPr="00616C63">
        <w:rPr>
          <w:rFonts w:ascii="Palatino Linotype" w:eastAsiaTheme="minorHAnsi" w:hAnsi="Palatino Linotype" w:cstheme="minorBidi"/>
          <w:sz w:val="24"/>
          <w:szCs w:val="24"/>
          <w:lang w:val="es-ES_tradnl" w:eastAsia="en-US"/>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EF79341"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p>
    <w:p w14:paraId="6AD8FC0D"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r w:rsidRPr="00616C63">
        <w:rPr>
          <w:rFonts w:ascii="Palatino Linotype" w:eastAsiaTheme="minorHAnsi" w:hAnsi="Palatino Linotype" w:cstheme="minorBidi"/>
          <w:sz w:val="24"/>
          <w:szCs w:val="24"/>
          <w:lang w:val="es-ES_tradnl" w:eastAsia="en-US"/>
        </w:rPr>
        <w:t>Por ello, es menester precisar que</w:t>
      </w:r>
      <w:r>
        <w:rPr>
          <w:rFonts w:ascii="Palatino Linotype" w:eastAsiaTheme="minorHAnsi" w:hAnsi="Palatino Linotype" w:cstheme="minorBidi"/>
          <w:sz w:val="24"/>
          <w:szCs w:val="24"/>
          <w:lang w:val="es-ES_tradnl" w:eastAsia="en-US"/>
        </w:rPr>
        <w:t>,</w:t>
      </w:r>
      <w:r w:rsidRPr="00616C63">
        <w:rPr>
          <w:rFonts w:ascii="Palatino Linotype" w:eastAsiaTheme="minorHAnsi" w:hAnsi="Palatino Linotype" w:cstheme="minorBidi"/>
          <w:sz w:val="24"/>
          <w:szCs w:val="24"/>
          <w:lang w:val="es-ES_tradnl" w:eastAsia="en-US"/>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4A7DF4"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p>
    <w:p w14:paraId="41CEBD9A"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r w:rsidRPr="00616C63">
        <w:rPr>
          <w:rFonts w:ascii="Palatino Linotype" w:eastAsiaTheme="minorHAnsi" w:hAnsi="Palatino Linotype" w:cstheme="minorBidi"/>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4C8D1F"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p>
    <w:p w14:paraId="1ACE9F61"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r w:rsidRPr="00616C63">
        <w:rPr>
          <w:rFonts w:ascii="Palatino Linotype" w:eastAsiaTheme="minorHAnsi" w:hAnsi="Palatino Linotype" w:cstheme="minorBidi"/>
          <w:sz w:val="24"/>
          <w:szCs w:val="24"/>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C4F9CC"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p>
    <w:p w14:paraId="36AFCB5F" w14:textId="77777777" w:rsidR="00C537D5" w:rsidRDefault="00C537D5" w:rsidP="00C537D5">
      <w:pPr>
        <w:spacing w:after="0" w:line="360" w:lineRule="auto"/>
        <w:jc w:val="both"/>
        <w:rPr>
          <w:rFonts w:ascii="Palatino Linotype" w:eastAsiaTheme="minorHAnsi" w:hAnsi="Palatino Linotype" w:cstheme="minorBidi"/>
          <w:sz w:val="24"/>
          <w:szCs w:val="24"/>
          <w:lang w:val="es-ES_tradnl" w:eastAsia="en-US"/>
        </w:rPr>
      </w:pPr>
      <w:r w:rsidRPr="00616C63">
        <w:rPr>
          <w:rFonts w:ascii="Palatino Linotype" w:eastAsiaTheme="minorHAnsi" w:hAnsi="Palatino Linotype" w:cstheme="minorBidi"/>
          <w:sz w:val="24"/>
          <w:szCs w:val="24"/>
          <w:lang w:val="es-ES_tradnl" w:eastAsia="en-US"/>
        </w:rPr>
        <w:t>Por ello, excepcionalmente, si un asunto es resuelto con posterioridad a los plazos señalados por la norma debe analizarse la razonabilidad de dicha dilación atendiendo a los siguientes criterios:</w:t>
      </w:r>
    </w:p>
    <w:p w14:paraId="1119C133" w14:textId="77777777" w:rsidR="00C537D5" w:rsidRPr="00616C63" w:rsidRDefault="00C537D5" w:rsidP="00C537D5">
      <w:pPr>
        <w:spacing w:after="0" w:line="360" w:lineRule="auto"/>
        <w:jc w:val="both"/>
        <w:rPr>
          <w:rFonts w:ascii="Palatino Linotype" w:eastAsiaTheme="minorHAnsi" w:hAnsi="Palatino Linotype" w:cstheme="minorBidi"/>
          <w:sz w:val="24"/>
          <w:szCs w:val="24"/>
          <w:lang w:val="es-ES_tradnl" w:eastAsia="en-US"/>
        </w:rPr>
      </w:pPr>
    </w:p>
    <w:p w14:paraId="24157228" w14:textId="77777777" w:rsidR="00C537D5" w:rsidRPr="00616C63" w:rsidRDefault="00C537D5" w:rsidP="00C537D5">
      <w:pPr>
        <w:pStyle w:val="Prrafodelista"/>
        <w:numPr>
          <w:ilvl w:val="0"/>
          <w:numId w:val="8"/>
        </w:numPr>
        <w:spacing w:line="360" w:lineRule="auto"/>
        <w:contextualSpacing/>
        <w:jc w:val="both"/>
        <w:rPr>
          <w:rFonts w:ascii="Palatino Linotype" w:hAnsi="Palatino Linotype"/>
        </w:rPr>
      </w:pPr>
      <w:r w:rsidRPr="00616C63">
        <w:rPr>
          <w:rFonts w:ascii="Palatino Linotype" w:hAnsi="Palatino Linotype"/>
        </w:rPr>
        <w:t xml:space="preserve">Complejidad del Asunto: La complejidad de la prueba, la pluralidad de sujetos procesales, el tiempo transcurrido, las características y contexto del recurso. </w:t>
      </w:r>
    </w:p>
    <w:p w14:paraId="65C93DF3" w14:textId="77777777" w:rsidR="00C537D5" w:rsidRPr="00616C63" w:rsidRDefault="00C537D5" w:rsidP="00C537D5">
      <w:pPr>
        <w:pStyle w:val="Prrafodelista"/>
        <w:numPr>
          <w:ilvl w:val="0"/>
          <w:numId w:val="8"/>
        </w:numPr>
        <w:spacing w:line="360" w:lineRule="auto"/>
        <w:contextualSpacing/>
        <w:jc w:val="both"/>
        <w:rPr>
          <w:rFonts w:ascii="Palatino Linotype" w:hAnsi="Palatino Linotype"/>
        </w:rPr>
      </w:pPr>
      <w:r w:rsidRPr="00616C63">
        <w:rPr>
          <w:rFonts w:ascii="Palatino Linotype" w:hAnsi="Palatino Linotype"/>
        </w:rPr>
        <w:t>Actividad Procesal del interesado. Acciones u omisiones del interesado.</w:t>
      </w:r>
    </w:p>
    <w:p w14:paraId="745A6FD0" w14:textId="77777777" w:rsidR="00C537D5" w:rsidRPr="00616C63" w:rsidRDefault="00C537D5" w:rsidP="00C537D5">
      <w:pPr>
        <w:pStyle w:val="Prrafodelista"/>
        <w:numPr>
          <w:ilvl w:val="0"/>
          <w:numId w:val="8"/>
        </w:numPr>
        <w:spacing w:line="360" w:lineRule="auto"/>
        <w:contextualSpacing/>
        <w:jc w:val="both"/>
        <w:rPr>
          <w:rFonts w:ascii="Palatino Linotype" w:hAnsi="Palatino Linotype"/>
        </w:rPr>
      </w:pPr>
      <w:r w:rsidRPr="00616C63">
        <w:rPr>
          <w:rFonts w:ascii="Palatino Linotype" w:hAnsi="Palatino Linotype"/>
        </w:rPr>
        <w:t>Conducta de la Autoridad: Las Acciones u omisiones realizadas en el procedimiento. Así como si la autoridad actuó con la debida diligencia.</w:t>
      </w:r>
    </w:p>
    <w:p w14:paraId="4C8064EA" w14:textId="77777777" w:rsidR="00C537D5" w:rsidRPr="00616C63" w:rsidRDefault="00C537D5" w:rsidP="00C537D5">
      <w:pPr>
        <w:pStyle w:val="Prrafodelista"/>
        <w:numPr>
          <w:ilvl w:val="0"/>
          <w:numId w:val="8"/>
        </w:numPr>
        <w:spacing w:line="360" w:lineRule="auto"/>
        <w:jc w:val="both"/>
        <w:rPr>
          <w:rFonts w:ascii="Palatino Linotype" w:hAnsi="Palatino Linotype"/>
        </w:rPr>
      </w:pPr>
      <w:r w:rsidRPr="00616C63">
        <w:rPr>
          <w:rFonts w:ascii="Palatino Linotype" w:hAnsi="Palatino Linotype"/>
        </w:rPr>
        <w:t>La afectación generada en la situación jurídica de la persona involucrada en el proceso: Violación a sus derechos humanos.</w:t>
      </w:r>
    </w:p>
    <w:p w14:paraId="74AC43A4" w14:textId="77777777" w:rsidR="00C537D5" w:rsidRPr="00616C63" w:rsidRDefault="00C537D5" w:rsidP="00C537D5">
      <w:pPr>
        <w:spacing w:after="0" w:line="360" w:lineRule="auto"/>
        <w:jc w:val="both"/>
        <w:rPr>
          <w:rFonts w:ascii="Palatino Linotype" w:hAnsi="Palatino Linotype"/>
          <w:sz w:val="24"/>
          <w:szCs w:val="24"/>
        </w:rPr>
      </w:pPr>
    </w:p>
    <w:p w14:paraId="0FABD43B" w14:textId="77777777" w:rsidR="00C537D5" w:rsidRPr="00616C63" w:rsidRDefault="00C537D5" w:rsidP="00C537D5">
      <w:pPr>
        <w:spacing w:after="0" w:line="360" w:lineRule="auto"/>
        <w:jc w:val="both"/>
        <w:rPr>
          <w:rFonts w:ascii="Palatino Linotype" w:hAnsi="Palatino Linotype"/>
          <w:sz w:val="24"/>
          <w:szCs w:val="24"/>
        </w:rPr>
      </w:pPr>
      <w:r w:rsidRPr="00616C63">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F99368" w14:textId="77777777" w:rsidR="00C537D5" w:rsidRPr="00616C63" w:rsidRDefault="00C537D5" w:rsidP="00C537D5">
      <w:pPr>
        <w:spacing w:after="0" w:line="360" w:lineRule="auto"/>
        <w:jc w:val="both"/>
        <w:rPr>
          <w:rFonts w:ascii="Palatino Linotype" w:hAnsi="Palatino Linotype"/>
          <w:sz w:val="24"/>
          <w:szCs w:val="24"/>
        </w:rPr>
      </w:pPr>
    </w:p>
    <w:p w14:paraId="7A98CA8E" w14:textId="77777777" w:rsidR="00C537D5" w:rsidRPr="00616C63" w:rsidRDefault="00C537D5" w:rsidP="00C537D5">
      <w:pPr>
        <w:spacing w:after="0" w:line="360" w:lineRule="auto"/>
        <w:jc w:val="both"/>
        <w:rPr>
          <w:rFonts w:ascii="Palatino Linotype" w:hAnsi="Palatino Linotype"/>
          <w:b/>
          <w:sz w:val="24"/>
          <w:szCs w:val="24"/>
        </w:rPr>
      </w:pPr>
      <w:r w:rsidRPr="00616C63">
        <w:rPr>
          <w:rFonts w:ascii="Palatino Linotype" w:hAnsi="Palatino Linotype"/>
          <w:sz w:val="24"/>
          <w:szCs w:val="24"/>
        </w:rPr>
        <w:t xml:space="preserve">Argumento que encuentra sustento en la jurisprudencia P./J. 32/92 emitida por el Pleno de la Suprema Corte de Justicia de la Nación de rubro </w:t>
      </w:r>
      <w:r w:rsidRPr="00616C63">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616C63">
        <w:rPr>
          <w:rFonts w:ascii="Palatino Linotype" w:hAnsi="Palatino Linotype"/>
          <w:i/>
          <w:sz w:val="24"/>
          <w:szCs w:val="24"/>
        </w:rPr>
        <w:lastRenderedPageBreak/>
        <w:t>EL LEGISLADOR AL FIJARLOS Y LAS CARACTERÍSTICAS DEL CASO.”</w:t>
      </w:r>
      <w:r w:rsidRPr="00616C63">
        <w:rPr>
          <w:rFonts w:ascii="Palatino Linotype" w:hAnsi="Palatino Linotype"/>
          <w:sz w:val="24"/>
          <w:szCs w:val="24"/>
        </w:rPr>
        <w:t>, visible en la Gaceta del Seminario Judicial de la Federación con el registro digital 205635.</w:t>
      </w:r>
    </w:p>
    <w:p w14:paraId="529F9841" w14:textId="77777777" w:rsidR="00C537D5" w:rsidRPr="00616C63" w:rsidRDefault="00C537D5" w:rsidP="00C537D5">
      <w:pPr>
        <w:spacing w:after="0" w:line="360" w:lineRule="auto"/>
        <w:jc w:val="both"/>
        <w:rPr>
          <w:rFonts w:ascii="Palatino Linotype" w:hAnsi="Palatino Linotype"/>
          <w:sz w:val="24"/>
          <w:szCs w:val="24"/>
        </w:rPr>
      </w:pPr>
    </w:p>
    <w:p w14:paraId="4FA0DA64" w14:textId="77777777" w:rsidR="00C537D5" w:rsidRPr="00616C63" w:rsidRDefault="00C537D5" w:rsidP="00C537D5">
      <w:pPr>
        <w:spacing w:after="0" w:line="360" w:lineRule="auto"/>
        <w:jc w:val="both"/>
        <w:rPr>
          <w:rFonts w:ascii="Palatino Linotype" w:hAnsi="Palatino Linotype"/>
          <w:sz w:val="24"/>
          <w:szCs w:val="24"/>
        </w:rPr>
      </w:pPr>
      <w:r w:rsidRPr="00616C63">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13EE" w14:textId="77777777" w:rsidR="00C537D5" w:rsidRPr="00616C63" w:rsidRDefault="00C537D5" w:rsidP="00C537D5">
      <w:pPr>
        <w:spacing w:after="0" w:line="360" w:lineRule="auto"/>
        <w:jc w:val="both"/>
        <w:rPr>
          <w:rFonts w:ascii="Palatino Linotype" w:hAnsi="Palatino Linotype"/>
          <w:sz w:val="24"/>
          <w:szCs w:val="24"/>
        </w:rPr>
      </w:pPr>
    </w:p>
    <w:p w14:paraId="03F476FE" w14:textId="77777777" w:rsidR="00C537D5" w:rsidRPr="00616C63" w:rsidRDefault="00C537D5" w:rsidP="00C537D5">
      <w:pPr>
        <w:spacing w:after="0" w:line="360" w:lineRule="auto"/>
        <w:jc w:val="both"/>
        <w:rPr>
          <w:rFonts w:ascii="Palatino Linotype" w:hAnsi="Palatino Linotype"/>
          <w:sz w:val="24"/>
          <w:szCs w:val="24"/>
        </w:rPr>
      </w:pPr>
      <w:r w:rsidRPr="00616C63">
        <w:rPr>
          <w:rFonts w:ascii="Palatino Linotype" w:hAnsi="Palatino Linotype"/>
          <w:sz w:val="24"/>
          <w:szCs w:val="24"/>
        </w:rPr>
        <w:t xml:space="preserve">Por ello, este organismo garante comprometido con la tutela de los derechos humanos </w:t>
      </w:r>
      <w:r w:rsidRPr="00616C63">
        <w:rPr>
          <w:rFonts w:ascii="Palatino Linotype" w:hAnsi="Palatino Linotype"/>
        </w:rPr>
        <w:t>confiados</w:t>
      </w:r>
      <w:r w:rsidRPr="00616C63">
        <w:rPr>
          <w:rFonts w:ascii="Palatino Linotype" w:hAnsi="Palatino Linotype"/>
          <w:sz w:val="24"/>
          <w:szCs w:val="24"/>
        </w:rPr>
        <w:t xml:space="preserve"> señala que este exceso del plazo legal para resolver el presente </w:t>
      </w:r>
      <w:r w:rsidRPr="00616C63">
        <w:rPr>
          <w:rFonts w:ascii="Palatino Linotype" w:hAnsi="Palatino Linotype"/>
        </w:rPr>
        <w:t>asunto</w:t>
      </w:r>
      <w:r w:rsidRPr="00616C63">
        <w:rPr>
          <w:rFonts w:ascii="Palatino Linotype" w:hAnsi="Palatino Linotype"/>
          <w:sz w:val="24"/>
          <w:szCs w:val="24"/>
        </w:rPr>
        <w:t xml:space="preserve"> resulta de carácter excepcional.</w:t>
      </w:r>
    </w:p>
    <w:p w14:paraId="5485A678" w14:textId="77777777" w:rsidR="00C537D5" w:rsidRPr="00616C63" w:rsidRDefault="00C537D5" w:rsidP="00C537D5">
      <w:pPr>
        <w:spacing w:after="0" w:line="360" w:lineRule="auto"/>
        <w:jc w:val="both"/>
        <w:rPr>
          <w:rFonts w:ascii="Palatino Linotype" w:hAnsi="Palatino Linotype"/>
          <w:sz w:val="24"/>
          <w:szCs w:val="24"/>
        </w:rPr>
      </w:pPr>
    </w:p>
    <w:p w14:paraId="26502C47" w14:textId="77777777" w:rsidR="00C537D5" w:rsidRPr="00616C63" w:rsidRDefault="00C537D5" w:rsidP="00C537D5">
      <w:pPr>
        <w:spacing w:after="0" w:line="360" w:lineRule="auto"/>
        <w:jc w:val="both"/>
        <w:rPr>
          <w:rFonts w:ascii="Palatino Linotype" w:hAnsi="Palatino Linotype"/>
          <w:sz w:val="24"/>
          <w:szCs w:val="24"/>
        </w:rPr>
      </w:pPr>
      <w:r w:rsidRPr="00616C6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CBF5BBC" w14:textId="77777777" w:rsidR="00C537D5" w:rsidRPr="00616C63" w:rsidRDefault="00C537D5" w:rsidP="00C537D5">
      <w:pPr>
        <w:spacing w:after="0" w:line="360" w:lineRule="auto"/>
        <w:jc w:val="both"/>
        <w:rPr>
          <w:rFonts w:ascii="Palatino Linotype" w:hAnsi="Palatino Linotype"/>
          <w:sz w:val="24"/>
          <w:szCs w:val="24"/>
        </w:rPr>
      </w:pPr>
    </w:p>
    <w:p w14:paraId="042F2121" w14:textId="77777777" w:rsidR="00C537D5" w:rsidRPr="00616C63" w:rsidRDefault="00C537D5" w:rsidP="00C537D5">
      <w:pPr>
        <w:spacing w:after="0" w:line="360" w:lineRule="auto"/>
        <w:jc w:val="both"/>
        <w:rPr>
          <w:rFonts w:ascii="Palatino Linotype" w:hAnsi="Palatino Linotype"/>
          <w:sz w:val="24"/>
          <w:szCs w:val="24"/>
        </w:rPr>
      </w:pPr>
      <w:r w:rsidRPr="00616C63">
        <w:rPr>
          <w:rFonts w:ascii="Palatino Linotype" w:hAnsi="Palatino Linotype"/>
          <w:i/>
          <w:sz w:val="24"/>
          <w:szCs w:val="24"/>
        </w:rPr>
        <w:lastRenderedPageBreak/>
        <w:t>“PLAZO RAZONABLE PARA RESOLVER. DIMENSIÓN Y EFECTOS DE ESTE CONCEPTO CUANDO SE ADUCE EXCESIVA CARGA DE TRABAJO”</w:t>
      </w:r>
      <w:r>
        <w:rPr>
          <w:rFonts w:ascii="Palatino Linotype" w:hAnsi="Palatino Linotype"/>
          <w:i/>
        </w:rPr>
        <w:t>,</w:t>
      </w:r>
      <w:r w:rsidRPr="00616C63">
        <w:rPr>
          <w:rFonts w:ascii="Palatino Linotype" w:hAnsi="Palatino Linotype"/>
          <w:sz w:val="24"/>
          <w:szCs w:val="24"/>
        </w:rPr>
        <w:t xml:space="preserve"> consultable en el Seminario Judicial de la Federación y su gaceta, con el registro digital 2002351.</w:t>
      </w:r>
    </w:p>
    <w:p w14:paraId="1F169CC6" w14:textId="77777777" w:rsidR="00C537D5" w:rsidRPr="00616C63" w:rsidRDefault="00C537D5" w:rsidP="00C537D5">
      <w:pPr>
        <w:spacing w:after="0" w:line="360" w:lineRule="auto"/>
        <w:jc w:val="both"/>
        <w:rPr>
          <w:rFonts w:ascii="Palatino Linotype" w:hAnsi="Palatino Linotype"/>
          <w:b/>
          <w:sz w:val="24"/>
          <w:szCs w:val="24"/>
        </w:rPr>
      </w:pPr>
    </w:p>
    <w:p w14:paraId="38AAB2BE" w14:textId="16187850" w:rsidR="00A24BE6" w:rsidRDefault="00C537D5" w:rsidP="00C537D5">
      <w:pPr>
        <w:pBdr>
          <w:top w:val="nil"/>
          <w:left w:val="nil"/>
          <w:bottom w:val="nil"/>
          <w:right w:val="nil"/>
          <w:between w:val="nil"/>
        </w:pBdr>
        <w:spacing w:after="0" w:line="360" w:lineRule="auto"/>
        <w:jc w:val="both"/>
        <w:rPr>
          <w:rFonts w:ascii="Palatino Linotype" w:hAnsi="Palatino Linotype"/>
          <w:sz w:val="24"/>
          <w:szCs w:val="24"/>
        </w:rPr>
      </w:pPr>
      <w:r w:rsidRPr="00616C63">
        <w:rPr>
          <w:rFonts w:ascii="Palatino Linotype" w:hAnsi="Palatino Linotype"/>
          <w:i/>
          <w:sz w:val="24"/>
          <w:szCs w:val="24"/>
        </w:rPr>
        <w:t>“PLAZO RAZONABLE PARA RESOLVER. CONCEPTO Y ELEMENTOS QUE LO INTEGRAN A LA LUZ DEL DERECHO INTERNACIONAL DE LOS DERECHOS HUMANOS”</w:t>
      </w:r>
      <w:r w:rsidRPr="00616C63">
        <w:rPr>
          <w:rFonts w:ascii="Palatino Linotype" w:hAnsi="Palatino Linotype"/>
          <w:sz w:val="24"/>
          <w:szCs w:val="24"/>
        </w:rPr>
        <w:t>, visible en el Seminario Judicial de la Federación y su gaceta, con el registro digital 2002350.</w:t>
      </w:r>
    </w:p>
    <w:p w14:paraId="43CC514E" w14:textId="77777777" w:rsidR="00C537D5" w:rsidRPr="00883102" w:rsidRDefault="00C537D5" w:rsidP="00C537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D25060"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69E3FD73" w:rsidR="00DE3512" w:rsidRPr="00883102" w:rsidRDefault="00A24BE6"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883102">
        <w:rPr>
          <w:rFonts w:ascii="Palatino Linotype" w:eastAsia="Palatino Linotype" w:hAnsi="Palatino Linotype" w:cs="Palatino Linotype"/>
          <w:color w:val="000000"/>
          <w:sz w:val="24"/>
          <w:szCs w:val="24"/>
          <w:lang w:val="es-ES_tradnl"/>
        </w:rPr>
        <w:t>procedibilidad</w:t>
      </w:r>
      <w:proofErr w:type="spellEnd"/>
      <w:r w:rsidRPr="00883102">
        <w:rPr>
          <w:rFonts w:ascii="Palatino Linotype" w:eastAsia="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883102">
        <w:rPr>
          <w:rFonts w:ascii="Palatino Linotype" w:eastAsia="Palatino Linotype" w:hAnsi="Palatino Linotype" w:cs="Palatino Linotype"/>
          <w:color w:val="000000"/>
          <w:sz w:val="24"/>
          <w:szCs w:val="24"/>
          <w:lang w:val="es-ES_tradnl"/>
        </w:rPr>
        <w:t>Resolutor</w:t>
      </w:r>
      <w:proofErr w:type="spellEnd"/>
      <w:r w:rsidRPr="00883102">
        <w:rPr>
          <w:rFonts w:ascii="Palatino Linotype" w:eastAsia="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w:t>
      </w:r>
      <w:r w:rsidRPr="00883102">
        <w:rPr>
          <w:rFonts w:ascii="Palatino Linotype" w:eastAsia="Palatino Linotype" w:hAnsi="Palatino Linotype" w:cs="Palatino Linotype"/>
          <w:color w:val="000000"/>
          <w:sz w:val="24"/>
          <w:szCs w:val="24"/>
          <w:lang w:val="es-ES_tradnl"/>
        </w:rPr>
        <w:lastRenderedPageBreak/>
        <w:t>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883102">
        <w:rPr>
          <w:rFonts w:ascii="Palatino Linotype" w:eastAsia="Palatino Linotype" w:hAnsi="Palatino Linotype" w:cs="Palatino Linotype"/>
          <w:color w:val="000000"/>
          <w:sz w:val="24"/>
          <w:szCs w:val="24"/>
          <w:lang w:val="es-ES_tradnl"/>
        </w:rPr>
        <w:lastRenderedPageBreak/>
        <w:t>presupuestos procesales para atender el fondo del asunto, en los términos del considerando posterior.</w:t>
      </w:r>
    </w:p>
    <w:p w14:paraId="0D183E95" w14:textId="14DAF1C4"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29A3AF67" w:rsidR="00DE3512" w:rsidRPr="00883102" w:rsidRDefault="00A24BE6"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96093D">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ascii="Palatino Linotype" w:eastAsia="Palatino Linotype" w:hAnsi="Palatino Linotype" w:cs="Palatino Linotype"/>
          <w:color w:val="000000"/>
          <w:sz w:val="24"/>
          <w:szCs w:val="24"/>
          <w:lang w:val="es-ES_tradnl"/>
        </w:rPr>
        <w:t>el particular</w:t>
      </w:r>
      <w:r w:rsidRPr="0088310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w:t>
      </w:r>
      <w:r w:rsidRPr="00883102">
        <w:rPr>
          <w:rFonts w:ascii="Palatino Linotype" w:eastAsia="Palatino Linotype" w:hAnsi="Palatino Linotype" w:cs="Palatino Linotype"/>
          <w:color w:val="000000"/>
          <w:sz w:val="24"/>
          <w:szCs w:val="24"/>
          <w:lang w:val="es-ES_tradnl"/>
        </w:rPr>
        <w:lastRenderedPageBreak/>
        <w:t>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A1BF87" w14:textId="4BE3435E" w:rsidR="00684491" w:rsidRDefault="00285EA0"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96093D">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w:t>
      </w:r>
      <w:r w:rsidR="009C6D0B">
        <w:rPr>
          <w:rFonts w:ascii="Palatino Linotype" w:eastAsia="Palatino Linotype" w:hAnsi="Palatino Linotype" w:cs="Palatino Linotype"/>
          <w:color w:val="000000"/>
          <w:sz w:val="24"/>
          <w:szCs w:val="24"/>
          <w:lang w:val="es-ES_tradnl"/>
        </w:rPr>
        <w:t xml:space="preserve"> </w:t>
      </w:r>
      <w:r w:rsidR="00A24BE6">
        <w:rPr>
          <w:rFonts w:ascii="Palatino Linotype" w:eastAsia="Palatino Linotype" w:hAnsi="Palatino Linotype" w:cs="Palatino Linotype"/>
          <w:color w:val="000000"/>
          <w:sz w:val="24"/>
          <w:szCs w:val="24"/>
          <w:lang w:val="es-ES_tradnl"/>
        </w:rPr>
        <w:t xml:space="preserve">que se le </w:t>
      </w:r>
      <w:r w:rsidR="008C2C22">
        <w:rPr>
          <w:rFonts w:ascii="Palatino Linotype" w:eastAsia="Palatino Linotype" w:hAnsi="Palatino Linotype" w:cs="Palatino Linotype"/>
          <w:color w:val="000000"/>
          <w:sz w:val="24"/>
          <w:szCs w:val="24"/>
          <w:lang w:val="es-ES_tradnl"/>
        </w:rPr>
        <w:t>entregara copia del fundamento legal que sustenta los requisitos que se solicitaron además de los establecidos en el artículo 18.20 del Código Administrativo del Estado de México y/o del documento que fundamenta la aplicación de la nueva normatividad y quién fue quien la aprobó.</w:t>
      </w:r>
    </w:p>
    <w:p w14:paraId="51307AC9" w14:textId="77777777" w:rsidR="008C2C22" w:rsidRDefault="008C2C22"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F8FA938" w14:textId="7952A2E3" w:rsidR="008C2C22" w:rsidRPr="008C2C22" w:rsidRDefault="008C2C22" w:rsidP="008C2C2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C2C22">
        <w:rPr>
          <w:rFonts w:ascii="Palatino Linotype" w:eastAsia="Palatino Linotype" w:hAnsi="Palatino Linotype" w:cs="Palatino Linotype"/>
          <w:color w:val="000000"/>
          <w:sz w:val="24"/>
          <w:szCs w:val="24"/>
          <w:lang w:val="es-ES_tradnl"/>
        </w:rPr>
        <w:t xml:space="preserve">A la solicitud se anexó el documento denominado </w:t>
      </w:r>
      <w:r w:rsidRPr="008C2C22">
        <w:rPr>
          <w:rFonts w:ascii="Palatino Linotype" w:eastAsia="Palatino Linotype" w:hAnsi="Palatino Linotype" w:cs="Palatino Linotype"/>
          <w:b/>
          <w:color w:val="000000"/>
          <w:sz w:val="24"/>
          <w:szCs w:val="24"/>
          <w:lang w:val="es-ES_tradnl"/>
        </w:rPr>
        <w:t xml:space="preserve">“requisitos </w:t>
      </w:r>
      <w:proofErr w:type="spellStart"/>
      <w:r w:rsidRPr="008C2C22">
        <w:rPr>
          <w:rFonts w:ascii="Palatino Linotype" w:eastAsia="Palatino Linotype" w:hAnsi="Palatino Linotype" w:cs="Palatino Linotype"/>
          <w:b/>
          <w:color w:val="000000"/>
          <w:sz w:val="24"/>
          <w:szCs w:val="24"/>
          <w:lang w:val="es-ES_tradnl"/>
        </w:rPr>
        <w:t>atizapan</w:t>
      </w:r>
      <w:proofErr w:type="spellEnd"/>
      <w:r w:rsidRPr="008C2C22">
        <w:rPr>
          <w:rFonts w:ascii="Palatino Linotype" w:eastAsia="Palatino Linotype" w:hAnsi="Palatino Linotype" w:cs="Palatino Linotype"/>
          <w:b/>
          <w:color w:val="000000"/>
          <w:sz w:val="24"/>
          <w:szCs w:val="24"/>
          <w:lang w:val="es-ES_tradnl"/>
        </w:rPr>
        <w:t xml:space="preserve"> 2022.pdf”</w:t>
      </w:r>
      <w:r w:rsidRPr="008C2C22">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que consiste en </w:t>
      </w:r>
      <w:r w:rsidRPr="008C2C22">
        <w:rPr>
          <w:rFonts w:ascii="Palatino Linotype" w:eastAsia="Palatino Linotype" w:hAnsi="Palatino Linotype" w:cs="Palatino Linotype"/>
          <w:color w:val="000000"/>
          <w:sz w:val="24"/>
          <w:szCs w:val="24"/>
          <w:lang w:val="es-ES_tradnl"/>
        </w:rPr>
        <w:t xml:space="preserve">la fotografía de un aviso emitido por el Ayuntamiento de Atizapán de Zaragoza respecto de los requisitos que deben acompañar a toda solicitud de obtención </w:t>
      </w:r>
      <w:r w:rsidRPr="008C2C22">
        <w:rPr>
          <w:rFonts w:ascii="Palatino Linotype" w:eastAsia="Palatino Linotype" w:hAnsi="Palatino Linotype" w:cs="Palatino Linotype"/>
          <w:color w:val="000000"/>
          <w:sz w:val="24"/>
          <w:szCs w:val="24"/>
          <w:lang w:val="es-ES_tradnl"/>
        </w:rPr>
        <w:lastRenderedPageBreak/>
        <w:t xml:space="preserve">de licencia de construcción </w:t>
      </w:r>
      <w:r>
        <w:rPr>
          <w:rFonts w:ascii="Palatino Linotype" w:eastAsia="Palatino Linotype" w:hAnsi="Palatino Linotype" w:cs="Palatino Linotype"/>
          <w:color w:val="000000"/>
          <w:sz w:val="24"/>
          <w:szCs w:val="24"/>
          <w:lang w:val="es-ES_tradnl"/>
        </w:rPr>
        <w:t>en cualquier modalidad, que son los mismos que se describen en la solicitud de información.</w:t>
      </w:r>
    </w:p>
    <w:p w14:paraId="689C3886" w14:textId="5AAECF68" w:rsidR="008C2C22" w:rsidRPr="008C2C22" w:rsidRDefault="008C2C22"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0BF8ED83"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C2C22">
        <w:rPr>
          <w:rFonts w:ascii="Palatino Linotype" w:eastAsia="Palatino Linotype" w:hAnsi="Palatino Linotype" w:cs="Palatino Linotype"/>
          <w:color w:val="000000"/>
          <w:sz w:val="24"/>
          <w:szCs w:val="24"/>
        </w:rPr>
        <w:t xml:space="preserve">Debido a que el Sujeto Obligado no atendió la solicitud de mérito, </w:t>
      </w:r>
      <w:r w:rsidR="0096093D" w:rsidRPr="008C2C22">
        <w:rPr>
          <w:rFonts w:ascii="Palatino Linotype" w:eastAsia="Palatino Linotype" w:hAnsi="Palatino Linotype" w:cs="Palatino Linotype"/>
          <w:color w:val="000000"/>
          <w:sz w:val="24"/>
          <w:szCs w:val="24"/>
        </w:rPr>
        <w:t>el particular</w:t>
      </w:r>
      <w:r>
        <w:rPr>
          <w:rFonts w:ascii="Palatino Linotype" w:eastAsia="Palatino Linotype" w:hAnsi="Palatino Linotype" w:cs="Palatino Linotype"/>
          <w:color w:val="000000"/>
          <w:sz w:val="24"/>
          <w:szCs w:val="24"/>
        </w:rPr>
        <w:t xml:space="preserve"> interpuso su medio de impugnación señalando como acto impugnado </w:t>
      </w:r>
      <w:r w:rsidR="008C2C22">
        <w:rPr>
          <w:rFonts w:ascii="Palatino Linotype" w:eastAsia="Palatino Linotype" w:hAnsi="Palatino Linotype" w:cs="Palatino Linotype"/>
          <w:color w:val="000000"/>
          <w:sz w:val="24"/>
          <w:szCs w:val="24"/>
        </w:rPr>
        <w:t>que no se emitió respuesta de la Dirección de Ordenamiento Territorial y Desarrollo Urbano y Mejora Regulatoria del Municipio de Atizapán de Zaragoza; dando como</w:t>
      </w:r>
      <w:r w:rsidR="0096093D">
        <w:rPr>
          <w:rFonts w:ascii="Palatino Linotype" w:eastAsia="Palatino Linotype" w:hAnsi="Palatino Linotype" w:cs="Palatino Linotype"/>
          <w:color w:val="000000"/>
          <w:sz w:val="24"/>
          <w:szCs w:val="24"/>
        </w:rPr>
        <w:t xml:space="preserve"> razones o motivos </w:t>
      </w:r>
      <w:r w:rsidR="0041058F">
        <w:rPr>
          <w:rFonts w:ascii="Palatino Linotype" w:eastAsia="Palatino Linotype" w:hAnsi="Palatino Linotype" w:cs="Palatino Linotype"/>
          <w:color w:val="000000"/>
          <w:sz w:val="24"/>
          <w:szCs w:val="24"/>
        </w:rPr>
        <w:t xml:space="preserve">de inconformidad </w:t>
      </w:r>
      <w:r w:rsidR="008C2C22">
        <w:rPr>
          <w:rFonts w:ascii="Palatino Linotype" w:eastAsia="Palatino Linotype" w:hAnsi="Palatino Linotype" w:cs="Palatino Linotype"/>
          <w:color w:val="000000"/>
          <w:sz w:val="24"/>
          <w:szCs w:val="24"/>
        </w:rPr>
        <w:t xml:space="preserve">lo siguiente: </w:t>
      </w:r>
      <w:r w:rsidR="008C2C22" w:rsidRPr="008C2C22">
        <w:rPr>
          <w:rFonts w:ascii="Palatino Linotype" w:eastAsia="Palatino Linotype" w:hAnsi="Palatino Linotype" w:cs="Palatino Linotype"/>
          <w:i/>
          <w:color w:val="000000"/>
          <w:sz w:val="24"/>
          <w:szCs w:val="24"/>
        </w:rPr>
        <w:t xml:space="preserve">“Solicite el fundamento legal de los requisitos establecidos en sus formatos de solicitud para expedientes de trámite y en que Código o Legislación se encuentran fundamentados, toda vez que, en la ventanilla única de dicha dependencia se solicita además de los previstos por la Ley, los siguientes: 1.- Archivo </w:t>
      </w:r>
      <w:proofErr w:type="spellStart"/>
      <w:r w:rsidR="008C2C22" w:rsidRPr="008C2C22">
        <w:rPr>
          <w:rFonts w:ascii="Palatino Linotype" w:eastAsia="Palatino Linotype" w:hAnsi="Palatino Linotype" w:cs="Palatino Linotype"/>
          <w:i/>
          <w:color w:val="000000"/>
          <w:sz w:val="24"/>
          <w:szCs w:val="24"/>
        </w:rPr>
        <w:t>kml</w:t>
      </w:r>
      <w:proofErr w:type="spellEnd"/>
      <w:r w:rsidR="008C2C22" w:rsidRPr="008C2C22">
        <w:rPr>
          <w:rFonts w:ascii="Palatino Linotype" w:eastAsia="Palatino Linotype" w:hAnsi="Palatino Linotype" w:cs="Palatino Linotype"/>
          <w:i/>
          <w:color w:val="000000"/>
          <w:sz w:val="24"/>
          <w:szCs w:val="24"/>
        </w:rPr>
        <w:t xml:space="preserve"> (GOOGLE EARTH) del predio donde se habrán de llevar a cabo los trabajos; 2.- Proyecto Ejecutivo: planos arquitectónicos, estructurales y de instalaciones en archivo digital, formato DWG (AUTOCAD); 3.- Modelo 3D o maqueta virtual en </w:t>
      </w:r>
      <w:proofErr w:type="spellStart"/>
      <w:r w:rsidR="008C2C22" w:rsidRPr="008C2C22">
        <w:rPr>
          <w:rFonts w:ascii="Palatino Linotype" w:eastAsia="Palatino Linotype" w:hAnsi="Palatino Linotype" w:cs="Palatino Linotype"/>
          <w:i/>
          <w:color w:val="000000"/>
          <w:sz w:val="24"/>
          <w:szCs w:val="24"/>
        </w:rPr>
        <w:t>sketchup</w:t>
      </w:r>
      <w:proofErr w:type="spellEnd"/>
      <w:r w:rsidR="008C2C22" w:rsidRPr="008C2C22">
        <w:rPr>
          <w:rFonts w:ascii="Palatino Linotype" w:eastAsia="Palatino Linotype" w:hAnsi="Palatino Linotype" w:cs="Palatino Linotype"/>
          <w:i/>
          <w:color w:val="000000"/>
          <w:sz w:val="24"/>
          <w:szCs w:val="24"/>
        </w:rPr>
        <w:t xml:space="preserve"> o </w:t>
      </w:r>
      <w:proofErr w:type="spellStart"/>
      <w:r w:rsidR="008C2C22" w:rsidRPr="008C2C22">
        <w:rPr>
          <w:rFonts w:ascii="Palatino Linotype" w:eastAsia="Palatino Linotype" w:hAnsi="Palatino Linotype" w:cs="Palatino Linotype"/>
          <w:i/>
          <w:color w:val="000000"/>
          <w:sz w:val="24"/>
          <w:szCs w:val="24"/>
        </w:rPr>
        <w:t>revit</w:t>
      </w:r>
      <w:proofErr w:type="spellEnd"/>
      <w:r w:rsidR="008C2C22" w:rsidRPr="008C2C22">
        <w:rPr>
          <w:rFonts w:ascii="Palatino Linotype" w:eastAsia="Palatino Linotype" w:hAnsi="Palatino Linotype" w:cs="Palatino Linotype"/>
          <w:i/>
          <w:color w:val="000000"/>
          <w:sz w:val="24"/>
          <w:szCs w:val="24"/>
        </w:rPr>
        <w:t xml:space="preserve"> con loa acabados y dimensiones finales; y, 4.- 4 </w:t>
      </w:r>
      <w:proofErr w:type="spellStart"/>
      <w:r w:rsidR="008C2C22" w:rsidRPr="008C2C22">
        <w:rPr>
          <w:rFonts w:ascii="Palatino Linotype" w:eastAsia="Palatino Linotype" w:hAnsi="Palatino Linotype" w:cs="Palatino Linotype"/>
          <w:i/>
          <w:color w:val="000000"/>
          <w:sz w:val="24"/>
          <w:szCs w:val="24"/>
        </w:rPr>
        <w:t>Renders</w:t>
      </w:r>
      <w:proofErr w:type="spellEnd"/>
      <w:r w:rsidR="008C2C22" w:rsidRPr="008C2C22">
        <w:rPr>
          <w:rFonts w:ascii="Palatino Linotype" w:eastAsia="Palatino Linotype" w:hAnsi="Palatino Linotype" w:cs="Palatino Linotype"/>
          <w:i/>
          <w:color w:val="000000"/>
          <w:sz w:val="24"/>
          <w:szCs w:val="24"/>
        </w:rPr>
        <w:t xml:space="preserve">: 2 de fachada principal, 2 de fachada posterior, todos los </w:t>
      </w:r>
      <w:proofErr w:type="spellStart"/>
      <w:r w:rsidR="008C2C22" w:rsidRPr="008C2C22">
        <w:rPr>
          <w:rFonts w:ascii="Palatino Linotype" w:eastAsia="Palatino Linotype" w:hAnsi="Palatino Linotype" w:cs="Palatino Linotype"/>
          <w:i/>
          <w:color w:val="000000"/>
          <w:sz w:val="24"/>
          <w:szCs w:val="24"/>
        </w:rPr>
        <w:t>renders</w:t>
      </w:r>
      <w:proofErr w:type="spellEnd"/>
      <w:r w:rsidR="008C2C22" w:rsidRPr="008C2C22">
        <w:rPr>
          <w:rFonts w:ascii="Palatino Linotype" w:eastAsia="Palatino Linotype" w:hAnsi="Palatino Linotype" w:cs="Palatino Linotype"/>
          <w:i/>
          <w:color w:val="000000"/>
          <w:sz w:val="24"/>
          <w:szCs w:val="24"/>
        </w:rPr>
        <w:t xml:space="preserve"> deberán mostrar los acabados proyectados de la manera más realista posible, además de incluir una figura humana al menos. Requisitos que no se encuentran establecidos en el Código Administrativo del Estado de México en específico en el artículo 18.20, información que no proporciono.”</w:t>
      </w:r>
      <w:r w:rsidR="008C2C22">
        <w:rPr>
          <w:rFonts w:ascii="Palatino Linotype" w:eastAsia="Palatino Linotype" w:hAnsi="Palatino Linotype" w:cs="Palatino Linotype"/>
          <w:color w:val="000000"/>
          <w:sz w:val="24"/>
          <w:szCs w:val="24"/>
        </w:rPr>
        <w:t xml:space="preserve"> (Sic)</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w:t>
      </w:r>
      <w:r w:rsidRPr="004E7A3F">
        <w:rPr>
          <w:rFonts w:ascii="Palatino Linotype" w:hAnsi="Palatino Linotype"/>
          <w:sz w:val="24"/>
          <w:szCs w:val="24"/>
        </w:rPr>
        <w:lastRenderedPageBreak/>
        <w:t xml:space="preserve">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E5EE3B2"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1523EAA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XI. La falta de trámite a una solicitud;</w:t>
      </w:r>
    </w:p>
    <w:p w14:paraId="1DEEE875"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r w:rsidRPr="00883102">
        <w:rPr>
          <w:rFonts w:ascii="Palatino Linotype" w:eastAsia="Palatino Linotype" w:hAnsi="Palatino Linotype" w:cs="Palatino Linotype"/>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w:t>
      </w:r>
      <w:r w:rsidRPr="00883102">
        <w:rPr>
          <w:rFonts w:ascii="Palatino Linotype" w:eastAsia="Palatino Linotype" w:hAnsi="Palatino Linotype" w:cs="Palatino Linotype"/>
          <w:color w:val="000000"/>
          <w:sz w:val="24"/>
          <w:szCs w:val="24"/>
          <w:lang w:val="es-ES_tradnl"/>
        </w:rPr>
        <w:lastRenderedPageBreak/>
        <w:t>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ascii="Palatino Linotype" w:eastAsiaTheme="minorHAnsi" w:hAnsi="Palatino Linotype" w:cs="Arial"/>
          <w:sz w:val="24"/>
          <w:szCs w:val="24"/>
          <w:lang w:val="es-ES_tradnl" w:eastAsia="en-US"/>
        </w:rPr>
        <w:t>el Recurrente</w:t>
      </w:r>
      <w:r w:rsidR="0041058F">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lastRenderedPageBreak/>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 xml:space="preserve">En </w:t>
      </w:r>
      <w:proofErr w:type="gramStart"/>
      <w:r>
        <w:rPr>
          <w:rFonts w:ascii="Palatino Linotype" w:hAnsi="Palatino Linotype" w:cstheme="minorBidi"/>
          <w:sz w:val="24"/>
          <w:szCs w:val="24"/>
          <w:lang w:val="es-ES_tradnl" w:eastAsia="en-US"/>
        </w:rPr>
        <w:t>esa tenor</w:t>
      </w:r>
      <w:proofErr w:type="gramEnd"/>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De igual forma, el diverso artículo 59, fracciones I, II y III de la multicitada legislación Sustantiva establece que los Servidores Públicos Habilitados deben localizar la </w:t>
      </w:r>
      <w:r w:rsidRPr="00883102">
        <w:rPr>
          <w:rFonts w:ascii="Palatino Linotype" w:eastAsia="Arial Unicode MS" w:hAnsi="Palatino Linotype" w:cs="Arial"/>
          <w:sz w:val="24"/>
          <w:szCs w:val="24"/>
          <w:lang w:val="es-ES_tradnl" w:eastAsia="en-US"/>
        </w:rPr>
        <w:lastRenderedPageBreak/>
        <w:t>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 xml:space="preserve">i el Sujeto Obligado advierte que dentro de la información solicitada se contienen datos personales que sean susceptibles </w:t>
      </w:r>
      <w:r w:rsidRPr="00883102">
        <w:rPr>
          <w:rFonts w:ascii="Palatino Linotype" w:eastAsiaTheme="minorHAnsi" w:hAnsi="Palatino Linotype" w:cs="Arial"/>
          <w:sz w:val="24"/>
          <w:szCs w:val="24"/>
          <w:lang w:val="es-ES_tradnl" w:eastAsia="en-US"/>
        </w:rPr>
        <w:lastRenderedPageBreak/>
        <w:t>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w:t>
      </w:r>
      <w:r w:rsidRPr="00883102">
        <w:rPr>
          <w:rFonts w:ascii="Palatino Linotype" w:eastAsiaTheme="minorHAnsi" w:hAnsi="Palatino Linotype" w:cs="Arial"/>
          <w:sz w:val="24"/>
          <w:szCs w:val="24"/>
          <w:lang w:val="es-ES_tradnl" w:eastAsia="en-US"/>
        </w:rPr>
        <w:lastRenderedPageBreak/>
        <w:t>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lastRenderedPageBreak/>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883102">
        <w:rPr>
          <w:rFonts w:ascii="Palatino Linotype" w:eastAsiaTheme="minorHAnsi" w:hAnsi="Palatino Linotype" w:cstheme="minorBidi"/>
          <w:sz w:val="24"/>
          <w:szCs w:val="24"/>
          <w:lang w:val="es-ES_tradnl" w:eastAsia="en-US"/>
        </w:rPr>
        <w:lastRenderedPageBreak/>
        <w:t>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 xml:space="preserve">como reservada, precisar las razones objetivas por las que la apertura de la información generaría una afectación, asimismo es claro </w:t>
      </w:r>
      <w:r w:rsidRPr="00883102">
        <w:rPr>
          <w:rFonts w:ascii="Palatino Linotype" w:eastAsiaTheme="minorHAnsi" w:hAnsi="Palatino Linotype" w:cs="Arial"/>
          <w:sz w:val="24"/>
          <w:szCs w:val="24"/>
          <w:lang w:val="es-ES_tradnl" w:eastAsia="en-US"/>
        </w:rPr>
        <w:lastRenderedPageBreak/>
        <w:t>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lastRenderedPageBreak/>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w:t>
      </w:r>
      <w:proofErr w:type="gramStart"/>
      <w:r w:rsidRPr="00783B44">
        <w:rPr>
          <w:rFonts w:ascii="Palatino Linotype" w:eastAsia="Palatino Linotype" w:hAnsi="Palatino Linotype" w:cs="Palatino Linotype"/>
          <w:i/>
          <w:iCs/>
          <w:color w:val="000000"/>
        </w:rPr>
        <w:t>Además</w:t>
      </w:r>
      <w:proofErr w:type="gramEnd"/>
      <w:r w:rsidRPr="00783B44">
        <w:rPr>
          <w:rFonts w:ascii="Palatino Linotype" w:eastAsia="Palatino Linotype" w:hAnsi="Palatino Linotype" w:cs="Palatino Linotype"/>
          <w:i/>
          <w:iCs/>
          <w:color w:val="000000"/>
        </w:rPr>
        <w:t xml:space="preserve">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xml:space="preserve">, cuando un documento contenga partes o secciones reservadas o confidenciales, los sujetos obligados deberán </w:t>
      </w:r>
      <w:r w:rsidRPr="00783B44">
        <w:rPr>
          <w:rFonts w:ascii="Palatino Linotype" w:eastAsia="Palatino Linotype" w:hAnsi="Palatino Linotype" w:cs="Palatino Linotype"/>
          <w:b/>
          <w:bCs/>
          <w:i/>
          <w:iCs/>
          <w:color w:val="000000"/>
          <w:u w:val="single"/>
        </w:rPr>
        <w:lastRenderedPageBreak/>
        <w:t>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w:t>
      </w:r>
      <w:r w:rsidRPr="00783B44">
        <w:rPr>
          <w:rFonts w:ascii="Palatino Linotype" w:eastAsia="Palatino Linotype" w:hAnsi="Palatino Linotype" w:cs="Palatino Linotype"/>
          <w:i/>
          <w:iCs/>
          <w:color w:val="000000"/>
        </w:rPr>
        <w:lastRenderedPageBreak/>
        <w:t>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w:t>
      </w:r>
      <w:r w:rsidRPr="00883102">
        <w:rPr>
          <w:rFonts w:ascii="Palatino Linotype" w:eastAsiaTheme="minorHAnsi" w:hAnsi="Palatino Linotype" w:cstheme="minorBidi"/>
          <w:bCs/>
          <w:i/>
          <w:iCs/>
          <w:lang w:val="es-ES_tradnl" w:eastAsia="en-US"/>
        </w:rPr>
        <w:lastRenderedPageBreak/>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w:t>
      </w:r>
      <w:r w:rsidRPr="00883102">
        <w:rPr>
          <w:rFonts w:ascii="Palatino Linotype" w:eastAsiaTheme="minorHAnsi" w:hAnsi="Palatino Linotype" w:cs="Arial"/>
          <w:sz w:val="24"/>
          <w:szCs w:val="24"/>
          <w:lang w:val="es-ES_tradnl" w:eastAsia="en-US"/>
        </w:rPr>
        <w:lastRenderedPageBreak/>
        <w:t>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43784C9B"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8C2C22">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0E06A0B5"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41058F">
        <w:rPr>
          <w:rFonts w:ascii="Palatino Linotype" w:eastAsia="Palatino Linotype" w:hAnsi="Palatino Linotype" w:cs="Palatino Linotype"/>
          <w:b/>
          <w:bCs/>
          <w:color w:val="000000"/>
          <w:sz w:val="24"/>
          <w:szCs w:val="24"/>
        </w:rPr>
        <w:t>00</w:t>
      </w:r>
      <w:r w:rsidR="008C2C22">
        <w:rPr>
          <w:rFonts w:ascii="Palatino Linotype" w:eastAsia="Palatino Linotype" w:hAnsi="Palatino Linotype" w:cs="Palatino Linotype"/>
          <w:b/>
          <w:bCs/>
          <w:color w:val="000000"/>
          <w:sz w:val="24"/>
          <w:szCs w:val="24"/>
        </w:rPr>
        <w:t>111/ATIZAPAN</w:t>
      </w:r>
      <w:r w:rsidR="00683B9C" w:rsidRPr="00683B9C">
        <w:rPr>
          <w:rFonts w:ascii="Palatino Linotype" w:eastAsia="Palatino Linotype" w:hAnsi="Palatino Linotype" w:cs="Palatino Linotype"/>
          <w:b/>
          <w:bCs/>
          <w:color w:val="000000"/>
          <w:sz w:val="24"/>
          <w:szCs w:val="24"/>
        </w:rPr>
        <w:t>/IP/2022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008C2C22">
        <w:rPr>
          <w:rFonts w:ascii="Palatino Linotype" w:eastAsiaTheme="minorHAnsi" w:hAnsi="Palatino Linotype" w:cstheme="minorBidi"/>
          <w:b/>
          <w:color w:val="222222"/>
          <w:sz w:val="24"/>
          <w:szCs w:val="24"/>
          <w:lang w:val="es-ES_tradnl"/>
        </w:rPr>
        <w:t>Considerando 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96093D">
        <w:rPr>
          <w:rFonts w:ascii="Palatino Linotype" w:eastAsiaTheme="minorHAnsi" w:hAnsi="Palatino Linotype" w:cstheme="minorHAnsi"/>
          <w:sz w:val="24"/>
          <w:szCs w:val="24"/>
          <w:lang w:val="es-ES_tradnl" w:eastAsia="en-US"/>
        </w:rPr>
        <w:t>l Recurrente</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2C326D94"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883102">
        <w:rPr>
          <w:rFonts w:ascii="Palatino Linotype" w:eastAsia="MS Mincho" w:hAnsi="Palatino Linotype" w:cstheme="minorHAnsi"/>
          <w:sz w:val="24"/>
          <w:szCs w:val="24"/>
          <w:lang w:val="es-ES_tradnl" w:eastAsia="en-US"/>
        </w:rPr>
        <w:lastRenderedPageBreak/>
        <w:t xml:space="preserve">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8C2C22">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C537D5" w:rsidRDefault="00E6674B" w:rsidP="00E6674B">
      <w:pPr>
        <w:spacing w:after="0" w:line="360" w:lineRule="auto"/>
        <w:jc w:val="both"/>
        <w:rPr>
          <w:rFonts w:ascii="Palatino Linotype" w:eastAsiaTheme="minorHAnsi" w:hAnsi="Palatino Linotype" w:cstheme="minorHAnsi"/>
          <w:lang w:val="es-ES_tradnl" w:eastAsia="en-US"/>
        </w:rPr>
      </w:pPr>
    </w:p>
    <w:p w14:paraId="7D080352" w14:textId="4CAEEC25"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96093D">
        <w:rPr>
          <w:rFonts w:ascii="Palatino Linotype" w:eastAsiaTheme="minorHAnsi" w:hAnsi="Palatino Linotype" w:cstheme="minorHAnsi"/>
          <w:color w:val="222222"/>
          <w:sz w:val="24"/>
          <w:szCs w:val="24"/>
          <w:lang w:val="es-ES_tradnl" w:eastAsia="es-ES_tradnl"/>
        </w:rPr>
        <w:t>l Recurrente</w:t>
      </w:r>
      <w:r w:rsidR="0041058F">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C537D5"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C537D5"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3AA327F5" w14:textId="708FDAC4" w:rsidR="00A22A54" w:rsidRPr="00AD3F5C" w:rsidRDefault="00663A37" w:rsidP="00C537D5">
      <w:pPr>
        <w:pBdr>
          <w:top w:val="nil"/>
          <w:left w:val="nil"/>
          <w:bottom w:val="nil"/>
          <w:right w:val="nil"/>
          <w:between w:val="nil"/>
        </w:pBdr>
        <w:spacing w:line="276"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AD3F5C">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67D3C">
        <w:rPr>
          <w:rFonts w:ascii="Palatino Linotype" w:eastAsia="Palatino Linotype" w:hAnsi="Palatino Linotype" w:cs="Palatino Linotype"/>
          <w:color w:val="000000"/>
          <w:sz w:val="24"/>
          <w:szCs w:val="24"/>
          <w:lang w:val="es-ES_tradnl"/>
        </w:rPr>
        <w:t xml:space="preserve"> (CON AUSENCIA JUSTIFICADA)</w:t>
      </w:r>
      <w:r w:rsidRPr="00AD3F5C">
        <w:rPr>
          <w:rFonts w:ascii="Palatino Linotype" w:eastAsia="Palatino Linotype" w:hAnsi="Palatino Linotype" w:cs="Palatino Linotype"/>
          <w:color w:val="000000"/>
          <w:sz w:val="24"/>
          <w:szCs w:val="24"/>
          <w:lang w:val="es-ES_tradnl"/>
        </w:rPr>
        <w:t>, LUIS GUSTAVO PARRA NORIEGA Y GUADALU</w:t>
      </w:r>
      <w:r w:rsidR="00C57E04" w:rsidRPr="00AD3F5C">
        <w:rPr>
          <w:rFonts w:ascii="Palatino Linotype" w:eastAsia="Palatino Linotype" w:hAnsi="Palatino Linotype" w:cs="Palatino Linotype"/>
          <w:color w:val="000000"/>
          <w:sz w:val="24"/>
          <w:szCs w:val="24"/>
          <w:lang w:val="es-ES_tradnl"/>
        </w:rPr>
        <w:t xml:space="preserve">PE RAMÍREZ </w:t>
      </w:r>
      <w:r w:rsidR="00B64C91" w:rsidRPr="00AD3F5C">
        <w:rPr>
          <w:rFonts w:ascii="Palatino Linotype" w:eastAsia="Palatino Linotype" w:hAnsi="Palatino Linotype" w:cs="Palatino Linotype"/>
          <w:color w:val="000000"/>
          <w:sz w:val="24"/>
          <w:szCs w:val="24"/>
          <w:lang w:val="es-ES_tradnl"/>
        </w:rPr>
        <w:t xml:space="preserve">PEÑA, EN LA </w:t>
      </w:r>
      <w:r w:rsidR="00AD3F5C">
        <w:rPr>
          <w:rFonts w:ascii="Palatino Linotype" w:eastAsia="Palatino Linotype" w:hAnsi="Palatino Linotype" w:cs="Palatino Linotype"/>
          <w:color w:val="000000"/>
          <w:sz w:val="24"/>
          <w:szCs w:val="24"/>
          <w:lang w:val="es-ES_tradnl"/>
        </w:rPr>
        <w:t xml:space="preserve">VIGÉSIMA </w:t>
      </w:r>
      <w:r w:rsidR="00967D3C">
        <w:rPr>
          <w:rFonts w:ascii="Palatino Linotype" w:eastAsia="Palatino Linotype" w:hAnsi="Palatino Linotype" w:cs="Palatino Linotype"/>
          <w:color w:val="000000"/>
          <w:sz w:val="24"/>
          <w:szCs w:val="24"/>
          <w:lang w:val="es-ES_tradnl"/>
        </w:rPr>
        <w:t>QUINTA</w:t>
      </w:r>
      <w:r w:rsidR="0041058F" w:rsidRPr="00AD3F5C">
        <w:rPr>
          <w:rFonts w:ascii="Palatino Linotype" w:eastAsia="Palatino Linotype" w:hAnsi="Palatino Linotype" w:cs="Palatino Linotype"/>
          <w:color w:val="000000"/>
          <w:sz w:val="24"/>
          <w:szCs w:val="24"/>
          <w:lang w:val="es-ES_tradnl"/>
        </w:rPr>
        <w:t xml:space="preserve"> </w:t>
      </w:r>
      <w:r w:rsidRPr="00AD3F5C">
        <w:rPr>
          <w:rFonts w:ascii="Palatino Linotype" w:eastAsia="Palatino Linotype" w:hAnsi="Palatino Linotype" w:cs="Palatino Linotype"/>
          <w:color w:val="000000"/>
          <w:sz w:val="24"/>
          <w:szCs w:val="24"/>
          <w:lang w:val="es-ES_tradnl"/>
        </w:rPr>
        <w:t>SESIÓN ORDINARIA CELEBRADA EL</w:t>
      </w:r>
      <w:r w:rsidR="00AD3F5C">
        <w:rPr>
          <w:rFonts w:ascii="Palatino Linotype" w:eastAsia="Palatino Linotype" w:hAnsi="Palatino Linotype" w:cs="Palatino Linotype"/>
          <w:color w:val="000000"/>
          <w:sz w:val="24"/>
          <w:szCs w:val="24"/>
          <w:lang w:val="es-ES_tradnl"/>
        </w:rPr>
        <w:t xml:space="preserve"> </w:t>
      </w:r>
      <w:r w:rsidR="00967D3C">
        <w:rPr>
          <w:rFonts w:ascii="Palatino Linotype" w:eastAsia="Palatino Linotype" w:hAnsi="Palatino Linotype" w:cs="Palatino Linotype"/>
          <w:color w:val="000000"/>
          <w:sz w:val="24"/>
          <w:szCs w:val="24"/>
          <w:lang w:val="es-ES_tradnl"/>
        </w:rPr>
        <w:t>SEIS</w:t>
      </w:r>
      <w:r w:rsidR="00032242">
        <w:rPr>
          <w:rFonts w:ascii="Palatino Linotype" w:eastAsia="Palatino Linotype" w:hAnsi="Palatino Linotype" w:cs="Palatino Linotype"/>
          <w:color w:val="000000"/>
          <w:sz w:val="24"/>
          <w:szCs w:val="24"/>
          <w:lang w:val="es-ES_tradnl"/>
        </w:rPr>
        <w:t xml:space="preserve"> DE JULIO</w:t>
      </w:r>
      <w:r w:rsidR="00AF13E8" w:rsidRPr="00AD3F5C">
        <w:rPr>
          <w:rFonts w:ascii="Palatino Linotype" w:eastAsia="Palatino Linotype" w:hAnsi="Palatino Linotype" w:cs="Palatino Linotype"/>
          <w:color w:val="000000"/>
          <w:sz w:val="24"/>
          <w:szCs w:val="24"/>
          <w:lang w:val="es-ES_tradnl"/>
        </w:rPr>
        <w:t xml:space="preserve"> DE DOS MIL VEINTIDÓS</w:t>
      </w:r>
      <w:r w:rsidRPr="00AD3F5C">
        <w:rPr>
          <w:rFonts w:ascii="Palatino Linotype" w:eastAsia="Palatino Linotype" w:hAnsi="Palatino Linotype" w:cs="Palatino Linotype"/>
          <w:color w:val="000000"/>
          <w:sz w:val="24"/>
          <w:szCs w:val="24"/>
          <w:lang w:val="es-ES_tradnl"/>
        </w:rPr>
        <w:t>, ANTE EL SECRETARIO TÉCNICO DEL PLENO, ALEXIS TAPIA RAMÍREZ.</w:t>
      </w:r>
      <w:r w:rsidR="008E7C9A" w:rsidRPr="00AD3F5C">
        <w:rPr>
          <w:rFonts w:ascii="Palatino Linotype" w:eastAsia="Palatino Linotype" w:hAnsi="Palatino Linotype" w:cs="Palatino Linotype"/>
          <w:color w:val="000000"/>
          <w:sz w:val="24"/>
          <w:szCs w:val="24"/>
          <w:lang w:val="es-ES_tradnl"/>
        </w:rPr>
        <w:t>---------------------------------------------------------------------------------------------------</w:t>
      </w:r>
      <w:r w:rsidR="00C537D5">
        <w:rPr>
          <w:rFonts w:ascii="Palatino Linotype" w:eastAsia="Palatino Linotype" w:hAnsi="Palatino Linotype" w:cs="Palatino Linotype"/>
          <w:color w:val="000000"/>
          <w:sz w:val="24"/>
          <w:szCs w:val="24"/>
          <w:lang w:val="es-ES_tradnl"/>
        </w:rPr>
        <w:t>--------------------------------------------------</w:t>
      </w:r>
      <w:r w:rsidR="00967D3C">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83F0" w14:textId="77777777" w:rsidR="00130B5E" w:rsidRDefault="00130B5E" w:rsidP="00F2498E">
      <w:pPr>
        <w:spacing w:after="0" w:line="240" w:lineRule="auto"/>
      </w:pPr>
      <w:r>
        <w:separator/>
      </w:r>
    </w:p>
  </w:endnote>
  <w:endnote w:type="continuationSeparator" w:id="0">
    <w:p w14:paraId="61D49BEC" w14:textId="77777777" w:rsidR="00130B5E" w:rsidRDefault="00130B5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6BBE6593"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2CCD">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2CCD">
      <w:rPr>
        <w:rFonts w:ascii="Palatino Linotype" w:hAnsi="Palatino Linotype"/>
        <w:b/>
        <w:bCs/>
        <w:noProof/>
        <w:sz w:val="20"/>
      </w:rPr>
      <w:t>39</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5F1D7C6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2CC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2CCD">
      <w:rPr>
        <w:rFonts w:ascii="Palatino Linotype" w:hAnsi="Palatino Linotype"/>
        <w:b/>
        <w:bCs/>
        <w:noProof/>
        <w:sz w:val="20"/>
      </w:rPr>
      <w:t>39</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BCEDE" w14:textId="77777777" w:rsidR="00130B5E" w:rsidRDefault="00130B5E" w:rsidP="00F2498E">
      <w:pPr>
        <w:spacing w:after="0" w:line="240" w:lineRule="auto"/>
      </w:pPr>
      <w:r>
        <w:separator/>
      </w:r>
    </w:p>
  </w:footnote>
  <w:footnote w:type="continuationSeparator" w:id="0">
    <w:p w14:paraId="14E5DF2E" w14:textId="77777777" w:rsidR="00130B5E" w:rsidRDefault="00130B5E"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w:t>
      </w:r>
      <w:proofErr w:type="gramStart"/>
      <w:r w:rsidRPr="00891FE0">
        <w:rPr>
          <w:rFonts w:ascii="Palatino Linotype" w:hAnsi="Palatino Linotype"/>
          <w:sz w:val="18"/>
          <w:szCs w:val="18"/>
        </w:rPr>
        <w:t>1º.A.E.</w:t>
      </w:r>
      <w:proofErr w:type="gramEnd"/>
      <w:r w:rsidRPr="00891FE0">
        <w:rPr>
          <w:rFonts w:ascii="Palatino Linotype" w:hAnsi="Palatino Linotype"/>
          <w:sz w:val="18"/>
          <w:szCs w:val="18"/>
        </w:rPr>
        <w:t xml:space="preserv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w:t>
      </w:r>
      <w:proofErr w:type="gramStart"/>
      <w:r w:rsidRPr="00891FE0">
        <w:rPr>
          <w:rFonts w:ascii="Palatino Linotype" w:hAnsi="Palatino Linotype"/>
          <w:sz w:val="18"/>
          <w:szCs w:val="18"/>
        </w:rPr>
        <w:t>10º.A.</w:t>
      </w:r>
      <w:proofErr w:type="gramEnd"/>
      <w:r w:rsidRPr="00891FE0">
        <w:rPr>
          <w:rFonts w:ascii="Palatino Linotype" w:hAnsi="Palatino Linotype"/>
          <w:sz w:val="18"/>
          <w:szCs w:val="18"/>
        </w:rPr>
        <w:t xml:space="preserve">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A27FD0" w:rsidRDefault="00130B5E">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390931F"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1E0C07">
            <w:rPr>
              <w:rFonts w:ascii="Palatino Linotype" w:hAnsi="Palatino Linotype" w:cs="Arial"/>
              <w:b/>
              <w:bCs/>
              <w:sz w:val="24"/>
              <w:szCs w:val="24"/>
            </w:rPr>
            <w:t>5530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A5067AD"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1E0C07">
            <w:rPr>
              <w:rFonts w:ascii="Palatino Linotype" w:hAnsi="Palatino Linotype" w:cs="Arial"/>
              <w:sz w:val="24"/>
              <w:szCs w:val="24"/>
            </w:rPr>
            <w:t>Atizap</w:t>
          </w:r>
          <w:r w:rsidR="000C4B34">
            <w:rPr>
              <w:rFonts w:ascii="Palatino Linotype" w:hAnsi="Palatino Linotype" w:cs="Arial"/>
              <w:sz w:val="24"/>
              <w:szCs w:val="24"/>
            </w:rPr>
            <w:t>á</w:t>
          </w:r>
          <w:r w:rsidR="001E0C07">
            <w:rPr>
              <w:rFonts w:ascii="Palatino Linotype" w:hAnsi="Palatino Linotype" w:cs="Arial"/>
              <w:sz w:val="24"/>
              <w:szCs w:val="24"/>
            </w:rPr>
            <w:t>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4EF9386" w:rsidR="00A27FD0" w:rsidRPr="004A5CD2" w:rsidRDefault="00130B5E">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45pt;margin-top:-14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A5CD2">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EE2FBAB"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1E0C07">
            <w:rPr>
              <w:rFonts w:ascii="Palatino Linotype" w:hAnsi="Palatino Linotype" w:cs="Arial"/>
              <w:b/>
              <w:bCs/>
              <w:sz w:val="24"/>
              <w:szCs w:val="24"/>
            </w:rPr>
            <w:t>5530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ED937F3" w:rsidR="00A27FD0" w:rsidRPr="00C50FCD" w:rsidRDefault="008E2CCD" w:rsidP="00C50FCD">
          <w:pPr>
            <w:pStyle w:val="Prrafodelista"/>
            <w:spacing w:after="120"/>
            <w:ind w:left="720" w:right="68"/>
            <w:jc w:val="right"/>
            <w:rPr>
              <w:rFonts w:ascii="Palatino Linotype" w:hAnsi="Palatino Linotype" w:cs="Arial"/>
            </w:rPr>
          </w:pPr>
          <w:r>
            <w:rPr>
              <w:rFonts w:ascii="Palatino Linotype" w:hAnsi="Palatino Linotype" w:cs="Arial"/>
            </w:rPr>
            <w:t>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ACD5DE0"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1E0C07">
            <w:rPr>
              <w:rFonts w:ascii="Palatino Linotype" w:hAnsi="Palatino Linotype" w:cs="Arial"/>
              <w:sz w:val="24"/>
              <w:szCs w:val="24"/>
            </w:rPr>
            <w:t>Atizap</w:t>
          </w:r>
          <w:r w:rsidR="000C4B34">
            <w:rPr>
              <w:rFonts w:ascii="Palatino Linotype" w:hAnsi="Palatino Linotype" w:cs="Arial"/>
              <w:sz w:val="24"/>
              <w:szCs w:val="24"/>
            </w:rPr>
            <w:t>á</w:t>
          </w:r>
          <w:r w:rsidR="001E0C07">
            <w:rPr>
              <w:rFonts w:ascii="Palatino Linotype" w:hAnsi="Palatino Linotype" w:cs="Arial"/>
              <w:sz w:val="24"/>
              <w:szCs w:val="24"/>
            </w:rPr>
            <w:t>n</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7AC9A3E4" w:rsidR="00A27FD0" w:rsidRPr="004A5CD2" w:rsidRDefault="00130B5E">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0.4pt;margin-top:-144.6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A5CD2">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4"/>
  </w:num>
  <w:num w:numId="6">
    <w:abstractNumId w:val="0"/>
  </w:num>
  <w:num w:numId="7">
    <w:abstractNumId w:val="2"/>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2242"/>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96D01"/>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4B34"/>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179FD"/>
    <w:rsid w:val="001235A0"/>
    <w:rsid w:val="00123D0B"/>
    <w:rsid w:val="00130B5E"/>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0C07"/>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2ED9"/>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5CD2"/>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DC1"/>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2C22"/>
    <w:rsid w:val="008C3DC2"/>
    <w:rsid w:val="008C442E"/>
    <w:rsid w:val="008C4943"/>
    <w:rsid w:val="008C5658"/>
    <w:rsid w:val="008C5DCA"/>
    <w:rsid w:val="008D0ADE"/>
    <w:rsid w:val="008D344B"/>
    <w:rsid w:val="008D346A"/>
    <w:rsid w:val="008D370B"/>
    <w:rsid w:val="008D41FC"/>
    <w:rsid w:val="008D4ED9"/>
    <w:rsid w:val="008D6B04"/>
    <w:rsid w:val="008E2654"/>
    <w:rsid w:val="008E2CCD"/>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7B"/>
    <w:rsid w:val="009603E5"/>
    <w:rsid w:val="0096071A"/>
    <w:rsid w:val="0096093D"/>
    <w:rsid w:val="00960C91"/>
    <w:rsid w:val="00961AEB"/>
    <w:rsid w:val="00961B6D"/>
    <w:rsid w:val="00963717"/>
    <w:rsid w:val="00963BBB"/>
    <w:rsid w:val="00965CC4"/>
    <w:rsid w:val="0096624D"/>
    <w:rsid w:val="00967D3C"/>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65DF"/>
    <w:rsid w:val="009B7FFD"/>
    <w:rsid w:val="009C3225"/>
    <w:rsid w:val="009C4284"/>
    <w:rsid w:val="009C5DC4"/>
    <w:rsid w:val="009C61A3"/>
    <w:rsid w:val="009C6B84"/>
    <w:rsid w:val="009C6D0B"/>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2A54"/>
    <w:rsid w:val="00A24BE6"/>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3F5C"/>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2B23"/>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37D5"/>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06AC"/>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0F97-CF2A-4154-B554-78CB835D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9673</Words>
  <Characters>53207</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11</cp:revision>
  <cp:lastPrinted>2019-06-13T15:30:00Z</cp:lastPrinted>
  <dcterms:created xsi:type="dcterms:W3CDTF">2022-06-14T23:47:00Z</dcterms:created>
  <dcterms:modified xsi:type="dcterms:W3CDTF">2022-08-03T23:09:00Z</dcterms:modified>
</cp:coreProperties>
</file>