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6C57B"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diez de agosto del dos mil veintidós</w:t>
      </w:r>
      <w:r>
        <w:rPr>
          <w:rFonts w:ascii="Palatino Linotype" w:eastAsia="Palatino Linotype" w:hAnsi="Palatino Linotype" w:cs="Palatino Linotype"/>
        </w:rPr>
        <w:t xml:space="preserve">. </w:t>
      </w:r>
    </w:p>
    <w:p w14:paraId="5B72B7BB" w14:textId="77777777" w:rsidR="00287EC7" w:rsidRDefault="0001312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05299/INFOEM/IP/RR/2022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que no proporcionó nombre o seudónimo</w:t>
      </w:r>
      <w:r>
        <w:rPr>
          <w:rFonts w:ascii="Palatino Linotype" w:eastAsia="Palatino Linotype" w:hAnsi="Palatino Linotype" w:cs="Palatino Linotype"/>
        </w:rPr>
        <w:t xml:space="preserve">, al cual en lo sucesivo se le denominará la parte </w:t>
      </w:r>
      <w:r>
        <w:rPr>
          <w:rFonts w:ascii="Palatino Linotype" w:eastAsia="Palatino Linotype" w:hAnsi="Palatino Linotype" w:cs="Palatino Linotype"/>
          <w:b/>
        </w:rPr>
        <w:t>RECURRENTE</w:t>
      </w:r>
      <w:r>
        <w:rPr>
          <w:rFonts w:ascii="Palatino Linotype" w:eastAsia="Palatino Linotype" w:hAnsi="Palatino Linotype" w:cs="Palatino Linotype"/>
        </w:rPr>
        <w:t>, en contra de la respuesta a su solicitud de información con número de folio</w:t>
      </w:r>
      <w:r>
        <w:rPr>
          <w:rFonts w:ascii="Palatino Linotype" w:eastAsia="Palatino Linotype" w:hAnsi="Palatino Linotype" w:cs="Palatino Linotype"/>
          <w:b/>
        </w:rPr>
        <w:t xml:space="preserve"> 00106/ATENCO/IP/2022,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Ayuntamiento de Atenco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5AFF55AD" w14:textId="77777777" w:rsidR="00287EC7" w:rsidRDefault="00013122">
      <w:pPr>
        <w:numPr>
          <w:ilvl w:val="0"/>
          <w:numId w:val="2"/>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1086B866" w14:textId="77777777" w:rsidR="00287EC7" w:rsidRDefault="0001312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veinticinco de febrero del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1B5CDFC6" w14:textId="77777777" w:rsidR="00287EC7" w:rsidRDefault="00013122">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“Requiero el conflicto de intereses presentado ante el órgano interno de control o similar de todos los servidores públicos que trabajan y que son familia; o bien las acciones realizadas por el órgano de control interno respecto del probable conflicto de intereses que existe al trabajar familiares en la administración municipal, así como en el DIF” </w:t>
      </w:r>
      <w:r>
        <w:rPr>
          <w:rFonts w:ascii="Palatino Linotype" w:eastAsia="Palatino Linotype" w:hAnsi="Palatino Linotype" w:cs="Palatino Linotype"/>
          <w:color w:val="000000"/>
          <w:sz w:val="22"/>
          <w:szCs w:val="22"/>
        </w:rPr>
        <w:t>(Sic)</w:t>
      </w:r>
    </w:p>
    <w:p w14:paraId="550163AE"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3159DF41"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diez de marzo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14:paraId="5FD6A0AB" w14:textId="77777777" w:rsidR="00287EC7" w:rsidRDefault="00013122">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DEBB14" w14:textId="77777777" w:rsidR="00287EC7" w:rsidRDefault="00013122">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UNIDAD DE TRANSPARENCIA Oficio No.: PMA/UT/SOL/2022/0115 Solicitud de Información: 00106/ATENCO/IP/2022 Atenco, Estado de México, a 10 de marzo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00106/ATENCO/IP/2022</w:t>
      </w:r>
      <w:r>
        <w:rPr>
          <w:rFonts w:ascii="Palatino Linotype" w:eastAsia="Palatino Linotype" w:hAnsi="Palatino Linotype" w:cs="Palatino Linotype"/>
          <w:b/>
          <w:i/>
          <w:color w:val="000000"/>
          <w:sz w:val="22"/>
          <w:szCs w:val="22"/>
        </w:rPr>
        <w:t xml:space="preserve">, sírvase encontrar en archivos adjuntos, copia digitalizada del oficio emitido por el Servidor Público Habilitado, en el cual se detalla lo referente a su solicitud de acceso a la información. </w:t>
      </w:r>
      <w:r>
        <w:rPr>
          <w:rFonts w:ascii="Palatino Linotype" w:eastAsia="Palatino Linotype" w:hAnsi="Palatino Linotype" w:cs="Palatino Linotype"/>
          <w:i/>
          <w:color w:val="000000"/>
          <w:sz w:val="22"/>
          <w:szCs w:val="22"/>
        </w:rPr>
        <w:t>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Mtro. Juan Manuel Mancera García Titular de la Unidad de Transparencia.</w:t>
      </w:r>
    </w:p>
    <w:p w14:paraId="46BBCAE0" w14:textId="77777777" w:rsidR="00287EC7" w:rsidRDefault="00013122">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2D62E0B2" w14:textId="77777777" w:rsidR="00287EC7" w:rsidRDefault="00013122">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Mtro. en D. Juan Manuel Mancera García” (Sic)</w:t>
      </w:r>
    </w:p>
    <w:p w14:paraId="4552E707" w14:textId="77777777" w:rsidR="00287EC7" w:rsidRDefault="00287EC7">
      <w:pPr>
        <w:ind w:left="851" w:right="902"/>
        <w:jc w:val="both"/>
        <w:rPr>
          <w:rFonts w:ascii="Palatino Linotype" w:eastAsia="Palatino Linotype" w:hAnsi="Palatino Linotype" w:cs="Palatino Linotype"/>
          <w:i/>
          <w:sz w:val="22"/>
          <w:szCs w:val="22"/>
        </w:rPr>
      </w:pPr>
    </w:p>
    <w:p w14:paraId="1875D3A2" w14:textId="77777777" w:rsidR="00287EC7" w:rsidRDefault="00013122">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adjuntó a su </w:t>
      </w:r>
      <w:r w:rsidR="00991C94">
        <w:rPr>
          <w:rFonts w:ascii="Palatino Linotype" w:eastAsia="Palatino Linotype" w:hAnsi="Palatino Linotype" w:cs="Palatino Linotype"/>
          <w:color w:val="000000"/>
        </w:rPr>
        <w:t>respuesta tres</w:t>
      </w:r>
      <w:r>
        <w:rPr>
          <w:rFonts w:ascii="Palatino Linotype" w:eastAsia="Palatino Linotype" w:hAnsi="Palatino Linotype" w:cs="Palatino Linotype"/>
          <w:color w:val="000000"/>
        </w:rPr>
        <w:t xml:space="preserve"> archivos electrónicos:</w:t>
      </w:r>
    </w:p>
    <w:p w14:paraId="7B44AA64" w14:textId="77777777" w:rsidR="00287EC7" w:rsidRDefault="00013122">
      <w:pPr>
        <w:numPr>
          <w:ilvl w:val="0"/>
          <w:numId w:val="3"/>
        </w:numPr>
        <w:pBdr>
          <w:top w:val="nil"/>
          <w:left w:val="nil"/>
          <w:bottom w:val="nil"/>
          <w:right w:val="nil"/>
          <w:between w:val="nil"/>
        </w:pBdr>
        <w:spacing w:before="240"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Solicitante Inform. Sol. 106.pdf, </w:t>
      </w:r>
      <w:r>
        <w:rPr>
          <w:rFonts w:ascii="Palatino Linotype" w:eastAsia="Palatino Linotype" w:hAnsi="Palatino Linotype" w:cs="Palatino Linotype"/>
          <w:color w:val="000000"/>
        </w:rPr>
        <w:t xml:space="preserve">oficio número PMA/UT/SOL/2022/0115, de fecha diez de marzo de dos mil veintidós, suscrito y signado por el Titular de la Unidad de Transparencia, a través del cual envía copia digitalizada del </w:t>
      </w:r>
      <w:r>
        <w:rPr>
          <w:rFonts w:ascii="Palatino Linotype" w:eastAsia="Palatino Linotype" w:hAnsi="Palatino Linotype" w:cs="Palatino Linotype"/>
          <w:color w:val="000000"/>
        </w:rPr>
        <w:lastRenderedPageBreak/>
        <w:t>oficio del Servidor Público Habilitado, dando respuesta a la solicitud de información.</w:t>
      </w:r>
    </w:p>
    <w:p w14:paraId="1449B58B" w14:textId="59B00223" w:rsidR="00287EC7" w:rsidRDefault="00013122">
      <w:pPr>
        <w:numPr>
          <w:ilvl w:val="0"/>
          <w:numId w:val="3"/>
        </w:numPr>
        <w:pBdr>
          <w:top w:val="nil"/>
          <w:left w:val="nil"/>
          <w:bottom w:val="nil"/>
          <w:right w:val="nil"/>
          <w:between w:val="nil"/>
        </w:pBdr>
        <w:spacing w:before="240"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Resp. Sol. 106 Contraloría.pdf, </w:t>
      </w:r>
      <w:r>
        <w:rPr>
          <w:rFonts w:ascii="Palatino Linotype" w:eastAsia="Palatino Linotype" w:hAnsi="Palatino Linotype" w:cs="Palatino Linotype"/>
          <w:color w:val="000000"/>
        </w:rPr>
        <w:t>oficio número ATE/CIM/078/2021, de fecha uno de marzo de dos mil veintidós, suscrito y signado por la Encargada del Despacho de la Contraloría Interna Municipal, mediante la cual señala lo siguiente:</w:t>
      </w:r>
    </w:p>
    <w:p w14:paraId="6AC648AB" w14:textId="77777777" w:rsidR="00287EC7" w:rsidRDefault="00013122">
      <w:pPr>
        <w:pBdr>
          <w:top w:val="nil"/>
          <w:left w:val="nil"/>
          <w:bottom w:val="nil"/>
          <w:right w:val="nil"/>
          <w:between w:val="nil"/>
        </w:pBdr>
        <w:spacing w:before="240"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este sentido, se hace de su conocimiento que, de conformidad a lo establecido -en el artículo 3 fracción V de la Ley de Responsabilidades Administrativas del Estado de México y Municipios, se entenderá por "Conflicto de interés: A la posible afectación del desempeño imparcial y objetivo de las funciones de los Servidores Públicos en razón de intereses personales, familiares o de negocios." (sic), que forma parte de la obligación de. los servidores públicos de presentar declaración de situación patrimonial y de intereses, de: acuerdo con el artículo 33 y 44 de la Ley en cita, debiéndose presentar a través de medios' electrónicos, siendo para tal efecto la utilización de la plataforma digital estatal, que estará a cargo de la Secretaría Ejecutiva del Sistema Estatal y Municipal Anticorrupción, en términos del artículo 27 de la Ley citada, señalando que estará a cargo del sistema de evolución patrimonial, de declaración de intereses y constancia de presentación de declaración fiscal, a través de la plataforma digital estatal que al efecto se establezca, siendo la plataforma Sistema Decl@raNET-EDOMÉX, siendo responsabilidad de está Contraloría Interna Municipal inscribir y mantener actualizada en el sistema la información correspondiente a sus servidores públicos declarantes, es decir el padrón de servidores públicos obligados a presentar la declaración. </w:t>
      </w:r>
    </w:p>
    <w:p w14:paraId="53DECAA5" w14:textId="77777777" w:rsidR="00287EC7" w:rsidRDefault="00013122">
      <w:pPr>
        <w:pBdr>
          <w:top w:val="nil"/>
          <w:left w:val="nil"/>
          <w:bottom w:val="nil"/>
          <w:right w:val="nil"/>
          <w:between w:val="nil"/>
        </w:pBdr>
        <w:spacing w:before="240"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servidores públicos obligados presentan su declaración ingresando al Sistema Decl@raNET-EDOMÉX, a través de la dirección electrónica https:l/declaranet.secogem.gob.mxly digitando los datos relativos a su CURP y Contraseña que se envió mediante correo electrónico por el mismo Sistema Decl@raNET-EDOMÉX, por lo que la presentación de la declaración de </w:t>
      </w:r>
      <w:r>
        <w:rPr>
          <w:rFonts w:ascii="Palatino Linotype" w:eastAsia="Palatino Linotype" w:hAnsi="Palatino Linotype" w:cs="Palatino Linotype"/>
          <w:i/>
          <w:color w:val="000000"/>
          <w:sz w:val="22"/>
          <w:szCs w:val="22"/>
        </w:rPr>
        <w:lastRenderedPageBreak/>
        <w:t xml:space="preserve">situación patrimonial y de intereses, no se presenta ante está Contraloría Interna Municipal, puntualizando en que la declaración la presenta directamente el servidor público a la plataforma, por lo cual, está plataforma alberga toda la información que los servidores públicos registran en el sistema de evolución patrimonial, de declaración de intereses y constancia de presentación de declaración fiscal, es importante referir que es la Secretaria de la Contraloría del Gobierno del Estado de México, a través de Dirección General de Responsabilidades Administrativas quien opera y maneja el Sistema Decl@raNET-EDOMÉX. </w:t>
      </w:r>
    </w:p>
    <w:p w14:paraId="251105F8" w14:textId="77777777" w:rsidR="00287EC7" w:rsidRDefault="00013122">
      <w:pPr>
        <w:pBdr>
          <w:top w:val="nil"/>
          <w:left w:val="nil"/>
          <w:bottom w:val="nil"/>
          <w:right w:val="nil"/>
          <w:between w:val="nil"/>
        </w:pBdr>
        <w:spacing w:before="240"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Derivado de lo anterior, la información solicitada no es información generada o administrada por esta Contraloría Interna Municipal, y no obra información al respecto en los archivos de esta dependencia, por lo que la Contraloría Interna Municipal no es competente para atender la solicitud de información, sirve de apoyo a lo anterior el Criterio 13-17, emitido por el Instituto Nacional de Transparencia a la Información y Protección de Datos Personales (INAI) el cual señala lo siguiente:</w:t>
      </w:r>
    </w:p>
    <w:p w14:paraId="191EAF65" w14:textId="77777777" w:rsidR="00287EC7" w:rsidRDefault="00013122">
      <w:pPr>
        <w:pBdr>
          <w:top w:val="nil"/>
          <w:left w:val="nil"/>
          <w:bottom w:val="nil"/>
          <w:right w:val="nil"/>
          <w:between w:val="nil"/>
        </w:pBdr>
        <w:spacing w:before="240"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"Incompetencia.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 (Sic)</w:t>
      </w:r>
    </w:p>
    <w:p w14:paraId="493B874A" w14:textId="77777777" w:rsidR="00287EC7" w:rsidRDefault="00013122">
      <w:pPr>
        <w:pBdr>
          <w:top w:val="nil"/>
          <w:left w:val="nil"/>
          <w:bottom w:val="nil"/>
          <w:right w:val="nil"/>
          <w:between w:val="nil"/>
        </w:pBdr>
        <w:spacing w:before="240"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Añadiendo que, al tratarse de información requerida de la declaración de intereses, que obra en el Sistema Decl@raNET-EDOMÉX, </w:t>
      </w:r>
      <w:r>
        <w:rPr>
          <w:rFonts w:ascii="Palatino Linotype" w:eastAsia="Palatino Linotype" w:hAnsi="Palatino Linotype" w:cs="Palatino Linotype"/>
          <w:b/>
          <w:i/>
          <w:color w:val="000000"/>
          <w:sz w:val="22"/>
          <w:szCs w:val="22"/>
        </w:rPr>
        <w:t>esta puede encontrarse en la dependencia de la Secretaria de la contraloría del Gobierno del Estado de México, la cual se puede solicitar de modo semejante al que ingreso la presente solicitud que se atiende, mediante el sistema SAIMEX, eligiendo en el apartado de "El sujeto obligado del cual requiere la información" la opción "Poder Ejecutivo", posteriormente se desplegara un listado del apartado "Dependencia" en el que deberá de elegir entre las opciones a la "Secretaria de la Contraloría"</w:t>
      </w:r>
      <w:r>
        <w:rPr>
          <w:rFonts w:ascii="Palatino Linotype" w:eastAsia="Palatino Linotype" w:hAnsi="Palatino Linotype" w:cs="Palatino Linotype"/>
          <w:i/>
          <w:color w:val="000000"/>
          <w:sz w:val="22"/>
          <w:szCs w:val="22"/>
        </w:rPr>
        <w:t>. …” (Sic)</w:t>
      </w:r>
    </w:p>
    <w:p w14:paraId="0BC1F44F" w14:textId="77777777" w:rsidR="00287EC7" w:rsidRDefault="00013122">
      <w:pPr>
        <w:numPr>
          <w:ilvl w:val="0"/>
          <w:numId w:val="3"/>
        </w:numPr>
        <w:pBdr>
          <w:top w:val="nil"/>
          <w:left w:val="nil"/>
          <w:bottom w:val="nil"/>
          <w:right w:val="nil"/>
          <w:between w:val="nil"/>
        </w:pBdr>
        <w:spacing w:before="240"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 xml:space="preserve">Circular 009-2022 (1).pdf, </w:t>
      </w:r>
      <w:r>
        <w:rPr>
          <w:rFonts w:ascii="Palatino Linotype" w:eastAsia="Palatino Linotype" w:hAnsi="Palatino Linotype" w:cs="Palatino Linotype"/>
          <w:color w:val="000000"/>
        </w:rPr>
        <w:t xml:space="preserve">Circular número 009, de fecha veintiocho de febrero de dos mil veintidós, por medio de la cual, la Jefa de Recursos Humanos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informa los servidores públicos de la suspensión de labores del uno y dos de marzo de dos mil veintidós.</w:t>
      </w:r>
    </w:p>
    <w:p w14:paraId="2AC626AF" w14:textId="77777777" w:rsidR="00287EC7" w:rsidRDefault="00287EC7">
      <w:pPr>
        <w:pBdr>
          <w:top w:val="nil"/>
          <w:left w:val="nil"/>
          <w:bottom w:val="nil"/>
          <w:right w:val="nil"/>
          <w:between w:val="nil"/>
        </w:pBdr>
        <w:spacing w:before="240" w:line="360" w:lineRule="auto"/>
        <w:ind w:left="720" w:right="49"/>
        <w:jc w:val="both"/>
        <w:rPr>
          <w:rFonts w:ascii="Palatino Linotype" w:eastAsia="Palatino Linotype" w:hAnsi="Palatino Linotype" w:cs="Palatino Linotype"/>
          <w:b/>
          <w:i/>
          <w:color w:val="000000"/>
        </w:rPr>
      </w:pPr>
    </w:p>
    <w:p w14:paraId="0EC6D2F5" w14:textId="77777777" w:rsidR="00287EC7" w:rsidRDefault="0001312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interpuso recurso de revisión a través del SAIMEX en fecha </w:t>
      </w:r>
      <w:r>
        <w:rPr>
          <w:rFonts w:ascii="Palatino Linotype" w:eastAsia="Palatino Linotype" w:hAnsi="Palatino Linotype" w:cs="Palatino Linotype"/>
          <w:b/>
        </w:rPr>
        <w:t>primero de abril de dos mil veintidós,</w:t>
      </w:r>
      <w:r>
        <w:rPr>
          <w:rFonts w:ascii="Palatino Linotype" w:eastAsia="Palatino Linotype" w:hAnsi="Palatino Linotype" w:cs="Palatino Linotype"/>
        </w:rPr>
        <w:t xml:space="preserve"> a través del cual expresó lo siguiente:</w:t>
      </w:r>
    </w:p>
    <w:p w14:paraId="7C97AA23" w14:textId="77777777" w:rsidR="00287EC7" w:rsidRDefault="00287EC7">
      <w:pPr>
        <w:spacing w:line="360" w:lineRule="auto"/>
        <w:ind w:right="49"/>
        <w:jc w:val="both"/>
        <w:rPr>
          <w:rFonts w:ascii="Palatino Linotype" w:eastAsia="Palatino Linotype" w:hAnsi="Palatino Linotype" w:cs="Palatino Linotype"/>
        </w:rPr>
      </w:pPr>
    </w:p>
    <w:p w14:paraId="6166F633" w14:textId="77777777" w:rsidR="00287EC7" w:rsidRDefault="00013122">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45FFFB89" w14:textId="77777777" w:rsidR="00287EC7" w:rsidRDefault="00013122">
      <w:pPr>
        <w:spacing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“Si es competencia del organo de control“ (Sic)</w:t>
      </w:r>
    </w:p>
    <w:p w14:paraId="08619E06" w14:textId="77777777" w:rsidR="00287EC7" w:rsidRDefault="00013122">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23F80B32" w14:textId="77777777" w:rsidR="00287EC7" w:rsidRDefault="00013122">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“Si es competencia del organo de control“ (Sic)</w:t>
      </w:r>
    </w:p>
    <w:p w14:paraId="7DD24DC9" w14:textId="77777777" w:rsidR="00287EC7" w:rsidRDefault="00287EC7">
      <w:pPr>
        <w:spacing w:after="240"/>
        <w:ind w:left="851" w:right="900"/>
        <w:jc w:val="both"/>
        <w:rPr>
          <w:rFonts w:ascii="Palatino Linotype" w:eastAsia="Palatino Linotype" w:hAnsi="Palatino Linotype" w:cs="Palatino Linotype"/>
          <w:i/>
          <w:color w:val="000000"/>
          <w:sz w:val="22"/>
          <w:szCs w:val="22"/>
          <w:u w:val="single"/>
        </w:rPr>
      </w:pPr>
    </w:p>
    <w:p w14:paraId="07FF02F2" w14:textId="77777777" w:rsidR="00287EC7" w:rsidRDefault="00013122">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05299/INFOEM/IP/RR/2022,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14:paraId="5D20B92E" w14:textId="77777777" w:rsidR="00287EC7" w:rsidRDefault="00287EC7">
      <w:pPr>
        <w:spacing w:line="360" w:lineRule="auto"/>
        <w:jc w:val="both"/>
        <w:rPr>
          <w:rFonts w:ascii="Palatino Linotype" w:eastAsia="Palatino Linotype" w:hAnsi="Palatino Linotype" w:cs="Palatino Linotype"/>
        </w:rPr>
      </w:pPr>
    </w:p>
    <w:p w14:paraId="4B6D0D8D" w14:textId="77777777" w:rsidR="00287EC7" w:rsidRDefault="0001312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5. Admisión del recurso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seis de abril de dos mil veintidós,</w:t>
      </w:r>
      <w:r>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14:paraId="31ADAD05" w14:textId="77777777" w:rsidR="00287EC7" w:rsidRDefault="0001312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bookmarkStart w:id="0" w:name="_heading=h.gjdgxs" w:colFirst="0" w:colLast="0"/>
      <w:bookmarkEnd w:id="0"/>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 se advierte que tanto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como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color w:val="000000"/>
        </w:rPr>
        <w:t xml:space="preserve">fueron omisos en presentar sus alegatos y en el caso de éste último, su informe justificado, como se muestra a continuación: </w:t>
      </w:r>
    </w:p>
    <w:p w14:paraId="6ED367A3" w14:textId="77777777" w:rsidR="00287EC7" w:rsidRDefault="00013122">
      <w:pPr>
        <w:spacing w:before="240" w:after="240" w:line="360" w:lineRule="auto"/>
        <w:jc w:val="both"/>
        <w:rPr>
          <w:rFonts w:ascii="Palatino Linotype" w:eastAsia="Palatino Linotype" w:hAnsi="Palatino Linotype" w:cs="Palatino Linotype"/>
        </w:rPr>
      </w:pPr>
      <w:r>
        <w:rPr>
          <w:noProof/>
        </w:rPr>
        <w:drawing>
          <wp:inline distT="0" distB="0" distL="0" distR="0" wp14:anchorId="565BBFDA" wp14:editId="18DBEF4E">
            <wp:extent cx="5630035" cy="1700500"/>
            <wp:effectExtent l="0" t="0" r="0" b="0"/>
            <wp:docPr id="10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6282" t="23536" r="52138" b="54135"/>
                    <a:stretch>
                      <a:fillRect/>
                    </a:stretch>
                  </pic:blipFill>
                  <pic:spPr>
                    <a:xfrm>
                      <a:off x="0" y="0"/>
                      <a:ext cx="5630035" cy="1700500"/>
                    </a:xfrm>
                    <a:prstGeom prst="rect">
                      <a:avLst/>
                    </a:prstGeom>
                    <a:ln/>
                  </pic:spPr>
                </pic:pic>
              </a:graphicData>
            </a:graphic>
          </wp:inline>
        </w:drawing>
      </w:r>
    </w:p>
    <w:p w14:paraId="3F3BDBB7" w14:textId="77777777" w:rsidR="00287EC7" w:rsidRDefault="0001312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catorce de junio de dos mil veintidós</w:t>
      </w:r>
      <w:r>
        <w:rPr>
          <w:rFonts w:ascii="Palatino Linotype" w:eastAsia="Palatino Linotype" w:hAnsi="Palatino Linotype" w:cs="Palatino Linotype"/>
        </w:rPr>
        <w:t xml:space="preserve"> la Comisionada ponente notificó el cierre de instrucción en términos de la fracción VI del artículo 185 de la Ley de Transparencia y Acceso a la Información Pública del Estado de México y Municipios.</w:t>
      </w:r>
    </w:p>
    <w:p w14:paraId="7668CCED" w14:textId="77777777" w:rsidR="00287EC7" w:rsidRDefault="00013122">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siete de julio de dos mil veintidós</w:t>
      </w:r>
      <w:r>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notificó la </w:t>
      </w:r>
      <w:r>
        <w:rPr>
          <w:rFonts w:ascii="Palatino Linotype" w:eastAsia="Palatino Linotype" w:hAnsi="Palatino Linotype" w:cs="Palatino Linotype"/>
        </w:rPr>
        <w:lastRenderedPageBreak/>
        <w:t>ampliación del plazo para su resolución.</w:t>
      </w:r>
    </w:p>
    <w:p w14:paraId="2D8A8AF2"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70140A7" w14:textId="77777777" w:rsidR="00287EC7" w:rsidRDefault="00287EC7">
      <w:pPr>
        <w:spacing w:line="360" w:lineRule="auto"/>
        <w:jc w:val="both"/>
        <w:rPr>
          <w:rFonts w:ascii="Palatino Linotype" w:eastAsia="Palatino Linotype" w:hAnsi="Palatino Linotype" w:cs="Palatino Linotype"/>
        </w:rPr>
      </w:pPr>
    </w:p>
    <w:p w14:paraId="461A1F3C"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32D0F18" w14:textId="77777777" w:rsidR="00287EC7" w:rsidRDefault="00287EC7">
      <w:pPr>
        <w:spacing w:line="360" w:lineRule="auto"/>
        <w:jc w:val="both"/>
        <w:rPr>
          <w:rFonts w:ascii="Palatino Linotype" w:eastAsia="Palatino Linotype" w:hAnsi="Palatino Linotype" w:cs="Palatino Linotype"/>
        </w:rPr>
      </w:pPr>
    </w:p>
    <w:p w14:paraId="22A904CE"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92A1AB1" w14:textId="77777777" w:rsidR="00287EC7" w:rsidRDefault="00287EC7">
      <w:pPr>
        <w:spacing w:line="360" w:lineRule="auto"/>
        <w:jc w:val="both"/>
        <w:rPr>
          <w:rFonts w:ascii="Palatino Linotype" w:eastAsia="Palatino Linotype" w:hAnsi="Palatino Linotype" w:cs="Palatino Linotype"/>
        </w:rPr>
      </w:pPr>
    </w:p>
    <w:p w14:paraId="6F4ED98E"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3EFD13F2" w14:textId="77777777" w:rsidR="00287EC7" w:rsidRDefault="00287EC7">
      <w:pPr>
        <w:spacing w:line="360" w:lineRule="auto"/>
        <w:jc w:val="both"/>
        <w:rPr>
          <w:rFonts w:ascii="Palatino Linotype" w:eastAsia="Palatino Linotype" w:hAnsi="Palatino Linotype" w:cs="Palatino Linotype"/>
        </w:rPr>
      </w:pPr>
    </w:p>
    <w:p w14:paraId="0DF31265" w14:textId="77777777" w:rsidR="00287EC7" w:rsidRDefault="00013122">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1155A40" w14:textId="77777777" w:rsidR="00287EC7" w:rsidRDefault="00287EC7">
      <w:pPr>
        <w:spacing w:line="360" w:lineRule="auto"/>
        <w:jc w:val="both"/>
        <w:rPr>
          <w:rFonts w:ascii="Palatino Linotype" w:eastAsia="Palatino Linotype" w:hAnsi="Palatino Linotype" w:cs="Palatino Linotype"/>
        </w:rPr>
      </w:pPr>
    </w:p>
    <w:p w14:paraId="6B340D82" w14:textId="77777777" w:rsidR="00287EC7" w:rsidRDefault="00013122">
      <w:pPr>
        <w:numPr>
          <w:ilvl w:val="0"/>
          <w:numId w:val="1"/>
        </w:numPr>
        <w:spacing w:line="360" w:lineRule="auto"/>
        <w:ind w:right="18"/>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6F72046" w14:textId="77777777" w:rsidR="00287EC7" w:rsidRDefault="00287EC7">
      <w:pPr>
        <w:spacing w:line="360" w:lineRule="auto"/>
        <w:ind w:right="18"/>
        <w:jc w:val="both"/>
        <w:rPr>
          <w:rFonts w:ascii="Palatino Linotype" w:eastAsia="Palatino Linotype" w:hAnsi="Palatino Linotype" w:cs="Palatino Linotype"/>
        </w:rPr>
      </w:pPr>
    </w:p>
    <w:p w14:paraId="119DF493" w14:textId="77777777" w:rsidR="00287EC7" w:rsidRDefault="00013122">
      <w:pPr>
        <w:numPr>
          <w:ilvl w:val="0"/>
          <w:numId w:val="1"/>
        </w:numPr>
        <w:spacing w:line="360" w:lineRule="auto"/>
        <w:ind w:right="18"/>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73BC6864" w14:textId="77777777" w:rsidR="00287EC7" w:rsidRDefault="00287EC7">
      <w:pPr>
        <w:spacing w:line="360" w:lineRule="auto"/>
        <w:ind w:right="18"/>
        <w:jc w:val="both"/>
        <w:rPr>
          <w:rFonts w:ascii="Palatino Linotype" w:eastAsia="Palatino Linotype" w:hAnsi="Palatino Linotype" w:cs="Palatino Linotype"/>
        </w:rPr>
      </w:pPr>
    </w:p>
    <w:p w14:paraId="1DFDBEFD" w14:textId="77777777" w:rsidR="00287EC7" w:rsidRDefault="00013122">
      <w:pPr>
        <w:numPr>
          <w:ilvl w:val="0"/>
          <w:numId w:val="1"/>
        </w:numPr>
        <w:spacing w:line="360" w:lineRule="auto"/>
        <w:ind w:right="18"/>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2A94B0BA" w14:textId="77777777" w:rsidR="00287EC7" w:rsidRDefault="00287EC7">
      <w:pPr>
        <w:spacing w:line="360" w:lineRule="auto"/>
        <w:ind w:left="708" w:right="18"/>
        <w:rPr>
          <w:rFonts w:ascii="Palatino Linotype" w:eastAsia="Palatino Linotype" w:hAnsi="Palatino Linotype" w:cs="Palatino Linotype"/>
        </w:rPr>
      </w:pPr>
    </w:p>
    <w:p w14:paraId="254C879E" w14:textId="77777777" w:rsidR="00287EC7" w:rsidRDefault="00013122">
      <w:pPr>
        <w:spacing w:line="360" w:lineRule="auto"/>
        <w:ind w:left="900" w:right="18" w:hanging="333"/>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03FB8D25" w14:textId="77777777" w:rsidR="00287EC7" w:rsidRDefault="00287EC7">
      <w:pPr>
        <w:spacing w:line="360" w:lineRule="auto"/>
        <w:jc w:val="both"/>
        <w:rPr>
          <w:rFonts w:ascii="Palatino Linotype" w:eastAsia="Palatino Linotype" w:hAnsi="Palatino Linotype" w:cs="Palatino Linotype"/>
        </w:rPr>
      </w:pPr>
    </w:p>
    <w:p w14:paraId="646288A0"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Pr>
          <w:rFonts w:ascii="Palatino Linotype" w:eastAsia="Palatino Linotype" w:hAnsi="Palatino Linotype" w:cs="Palatino Linotype"/>
        </w:rPr>
        <w:lastRenderedPageBreak/>
        <w:t>relación con la actuación del funcionario, como ha acontecido en el caso que nos ocupa.</w:t>
      </w:r>
    </w:p>
    <w:p w14:paraId="33204734" w14:textId="77777777" w:rsidR="00287EC7" w:rsidRDefault="00287EC7">
      <w:pPr>
        <w:spacing w:line="360" w:lineRule="auto"/>
        <w:jc w:val="both"/>
        <w:rPr>
          <w:rFonts w:ascii="Palatino Linotype" w:eastAsia="Palatino Linotype" w:hAnsi="Palatino Linotype" w:cs="Palatino Linotype"/>
        </w:rPr>
      </w:pPr>
    </w:p>
    <w:p w14:paraId="78587100" w14:textId="77777777" w:rsidR="00287EC7" w:rsidRDefault="00013122">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73F40867" w14:textId="77777777" w:rsidR="00287EC7" w:rsidRDefault="00287EC7">
      <w:pPr>
        <w:spacing w:line="360" w:lineRule="auto"/>
        <w:jc w:val="both"/>
        <w:rPr>
          <w:rFonts w:ascii="Palatino Linotype" w:eastAsia="Palatino Linotype" w:hAnsi="Palatino Linotype" w:cs="Palatino Linotype"/>
        </w:rPr>
      </w:pPr>
    </w:p>
    <w:p w14:paraId="73F35DE9"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A66B5A5" w14:textId="77777777" w:rsidR="00287EC7" w:rsidRDefault="00287EC7">
      <w:pPr>
        <w:spacing w:line="360" w:lineRule="auto"/>
        <w:jc w:val="both"/>
        <w:rPr>
          <w:rFonts w:ascii="Palatino Linotype" w:eastAsia="Palatino Linotype" w:hAnsi="Palatino Linotype" w:cs="Palatino Linotype"/>
        </w:rPr>
      </w:pPr>
    </w:p>
    <w:p w14:paraId="31535A7A"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65C2C47F" w14:textId="77777777" w:rsidR="00287EC7" w:rsidRDefault="00287EC7">
      <w:pPr>
        <w:spacing w:line="360" w:lineRule="auto"/>
        <w:jc w:val="both"/>
        <w:rPr>
          <w:rFonts w:ascii="Palatino Linotype" w:eastAsia="Palatino Linotype" w:hAnsi="Palatino Linotype" w:cs="Palatino Linotype"/>
        </w:rPr>
      </w:pPr>
    </w:p>
    <w:p w14:paraId="7BF93598"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2289F2EB" w14:textId="77777777" w:rsidR="00287EC7" w:rsidRDefault="00287EC7">
      <w:pPr>
        <w:spacing w:line="360" w:lineRule="auto"/>
        <w:jc w:val="both"/>
        <w:rPr>
          <w:rFonts w:ascii="Palatino Linotype" w:eastAsia="Palatino Linotype" w:hAnsi="Palatino Linotype" w:cs="Palatino Linotype"/>
          <w:b/>
        </w:rPr>
      </w:pPr>
    </w:p>
    <w:p w14:paraId="2138EE06"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20102F0D" w14:textId="77777777" w:rsidR="00287EC7" w:rsidRDefault="00287EC7">
      <w:pPr>
        <w:spacing w:line="360" w:lineRule="auto"/>
        <w:jc w:val="both"/>
        <w:rPr>
          <w:rFonts w:ascii="Palatino Linotype" w:eastAsia="Palatino Linotype" w:hAnsi="Palatino Linotype" w:cs="Palatino Linotype"/>
        </w:rPr>
      </w:pPr>
    </w:p>
    <w:p w14:paraId="27E9DB84"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1972FF8" w14:textId="77777777" w:rsidR="00287EC7" w:rsidRDefault="00287EC7"/>
    <w:p w14:paraId="30180ED8"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5FE2E77" w14:textId="77777777" w:rsidR="00287EC7" w:rsidRDefault="00013122">
      <w:pPr>
        <w:numPr>
          <w:ilvl w:val="0"/>
          <w:numId w:val="2"/>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rPr>
      </w:pPr>
      <w:bookmarkStart w:id="1" w:name="_heading=h.30j0zll" w:colFirst="0" w:colLast="0"/>
      <w:bookmarkEnd w:id="1"/>
      <w:r>
        <w:rPr>
          <w:rFonts w:ascii="Palatino Linotype" w:eastAsia="Palatino Linotype" w:hAnsi="Palatino Linotype" w:cs="Palatino Linotype"/>
          <w:b/>
          <w:color w:val="000000"/>
        </w:rPr>
        <w:t>C O N S I D E R A N D O</w:t>
      </w:r>
    </w:p>
    <w:p w14:paraId="23495556" w14:textId="77777777" w:rsidR="00287EC7" w:rsidRDefault="00013122">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w:t>
      </w:r>
      <w:r>
        <w:rPr>
          <w:rFonts w:ascii="Palatino Linotype" w:eastAsia="Palatino Linotype" w:hAnsi="Palatino Linotype" w:cs="Palatino Linotype"/>
          <w:highlight w:val="white"/>
        </w:rPr>
        <w:lastRenderedPageBreak/>
        <w:t>competente para conocer y resolver el presente recurso de revisión interpuesto por la parte</w:t>
      </w:r>
      <w:r>
        <w:rPr>
          <w:rFonts w:ascii="Palatino Linotype" w:eastAsia="Palatino Linotype" w:hAnsi="Palatino Linotype" w:cs="Palatino Linotype"/>
          <w:b/>
          <w:highlight w:val="white"/>
        </w:rPr>
        <w:t xml:space="preserve"> 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4F5B905E"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6BE54F9"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solicitud de información el </w:t>
      </w:r>
      <w:r>
        <w:rPr>
          <w:rFonts w:ascii="Palatino Linotype" w:eastAsia="Palatino Linotype" w:hAnsi="Palatino Linotype" w:cs="Palatino Linotype"/>
          <w:b/>
        </w:rPr>
        <w:t>diez de marzo del dos mil veintidós</w:t>
      </w:r>
      <w:r>
        <w:rPr>
          <w:rFonts w:ascii="Palatino Linotype" w:eastAsia="Palatino Linotype" w:hAnsi="Palatino Linotype" w:cs="Palatino Linotype"/>
        </w:rPr>
        <w:t xml:space="preserve">,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primero de abril del mismo año</w:t>
      </w:r>
      <w:r>
        <w:rPr>
          <w:rFonts w:ascii="Palatino Linotype" w:eastAsia="Palatino Linotype" w:hAnsi="Palatino Linotype" w:cs="Palatino Linotype"/>
        </w:rPr>
        <w:t>, esto es a los quince días hábiles siguientes de aquel en que tuvo conocimiento de la respuesta, evidenciándose que la interposición del recurso se encuentra dentro de los márgenes temporales previstos en el citado precepto legal.</w:t>
      </w:r>
    </w:p>
    <w:p w14:paraId="4ECE7A5F"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23964E7" w14:textId="77777777" w:rsidR="00287EC7" w:rsidRDefault="0001312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anónimas, con nombre incompleto</w:t>
      </w:r>
      <w:r>
        <w:rPr>
          <w:rFonts w:ascii="Palatino Linotype" w:eastAsia="Palatino Linotype" w:hAnsi="Palatino Linotype" w:cs="Palatino Linotype"/>
          <w:i/>
          <w:sz w:val="22"/>
          <w:szCs w:val="22"/>
        </w:rPr>
        <w:t xml:space="preserve">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14:paraId="4EE0DC51" w14:textId="77777777" w:rsidR="00287EC7" w:rsidRDefault="0001312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370E692"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IV de la ley de la materia, que a la letra dice:</w:t>
      </w:r>
    </w:p>
    <w:p w14:paraId="3D4A2C08" w14:textId="77777777" w:rsidR="00287EC7" w:rsidRDefault="00013122">
      <w:pPr>
        <w:spacing w:line="276" w:lineRule="auto"/>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14:paraId="61880333" w14:textId="77777777" w:rsidR="00287EC7" w:rsidRDefault="00013122">
      <w:pPr>
        <w:spacing w:line="276" w:lineRule="auto"/>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9EFA2A1" w14:textId="77777777" w:rsidR="00287EC7" w:rsidRDefault="00013122">
      <w:pPr>
        <w:spacing w:line="276" w:lineRule="auto"/>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IV. La declaración de incompetencia por el sujeto obligado;…” (Sic)</w:t>
      </w:r>
    </w:p>
    <w:p w14:paraId="393ED1EE" w14:textId="77777777" w:rsidR="00287EC7" w:rsidRDefault="00013122">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3A087054"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0CA0A53" w14:textId="77777777" w:rsidR="00287EC7" w:rsidRDefault="00013122">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1FAFAC1" w14:textId="77777777" w:rsidR="00287EC7" w:rsidRDefault="00287EC7">
      <w:pPr>
        <w:spacing w:before="240"/>
        <w:ind w:left="709" w:right="760"/>
        <w:jc w:val="both"/>
        <w:rPr>
          <w:rFonts w:ascii="Palatino Linotype" w:eastAsia="Palatino Linotype" w:hAnsi="Palatino Linotype" w:cs="Palatino Linotype"/>
          <w:i/>
          <w:sz w:val="22"/>
          <w:szCs w:val="22"/>
        </w:rPr>
      </w:pPr>
    </w:p>
    <w:p w14:paraId="64728777" w14:textId="77777777" w:rsidR="00287EC7" w:rsidRDefault="00013122">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w:t>
      </w:r>
      <w:r>
        <w:rPr>
          <w:rFonts w:ascii="Palatino Linotype" w:eastAsia="Palatino Linotype" w:hAnsi="Palatino Linotype" w:cs="Palatino Linotype"/>
          <w:i/>
          <w:sz w:val="22"/>
          <w:szCs w:val="22"/>
        </w:rPr>
        <w:lastRenderedPageBreak/>
        <w:t>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8C3D9C4" w14:textId="77777777" w:rsidR="00287EC7" w:rsidRDefault="00287EC7">
      <w:pPr>
        <w:ind w:left="709" w:right="760"/>
        <w:jc w:val="both"/>
        <w:rPr>
          <w:rFonts w:ascii="Palatino Linotype" w:eastAsia="Palatino Linotype" w:hAnsi="Palatino Linotype" w:cs="Palatino Linotype"/>
          <w:i/>
          <w:sz w:val="22"/>
          <w:szCs w:val="22"/>
        </w:rPr>
      </w:pPr>
    </w:p>
    <w:p w14:paraId="2C85FF82" w14:textId="77777777" w:rsidR="00287EC7" w:rsidRDefault="00013122">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sz w:val="22"/>
          <w:szCs w:val="22"/>
        </w:rPr>
        <w:t>(Sic)</w:t>
      </w:r>
    </w:p>
    <w:p w14:paraId="2BA7E6C2" w14:textId="77777777" w:rsidR="00287EC7" w:rsidRDefault="00287EC7">
      <w:pPr>
        <w:spacing w:line="360" w:lineRule="auto"/>
        <w:jc w:val="both"/>
        <w:rPr>
          <w:rFonts w:ascii="Palatino Linotype" w:eastAsia="Palatino Linotype" w:hAnsi="Palatino Linotype" w:cs="Palatino Linotype"/>
        </w:rPr>
      </w:pPr>
    </w:p>
    <w:p w14:paraId="634C73B8"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tienen la obligación o deber de atender las solicitudes de acceso a la información pública que se les hagan de su conocimiento y proporcionar la información pública que obren en su poder conforme al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700527B" w14:textId="77777777" w:rsidR="00287EC7" w:rsidRDefault="00287EC7">
      <w:pPr>
        <w:spacing w:line="276" w:lineRule="auto"/>
        <w:jc w:val="both"/>
        <w:rPr>
          <w:rFonts w:ascii="Palatino Linotype" w:eastAsia="Palatino Linotype" w:hAnsi="Palatino Linotype" w:cs="Palatino Linotype"/>
        </w:rPr>
      </w:pPr>
    </w:p>
    <w:p w14:paraId="3268FD18" w14:textId="77777777" w:rsidR="00287EC7" w:rsidRDefault="00013122">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0C25558" w14:textId="77777777" w:rsidR="00287EC7" w:rsidRDefault="00287EC7">
      <w:pPr>
        <w:spacing w:line="276" w:lineRule="auto"/>
        <w:ind w:left="567" w:right="758"/>
        <w:jc w:val="both"/>
        <w:rPr>
          <w:rFonts w:ascii="Palatino Linotype" w:eastAsia="Palatino Linotype" w:hAnsi="Palatino Linotype" w:cs="Palatino Linotype"/>
          <w:i/>
          <w:sz w:val="22"/>
          <w:szCs w:val="22"/>
        </w:rPr>
      </w:pPr>
    </w:p>
    <w:p w14:paraId="3A50B95B" w14:textId="77777777" w:rsidR="00287EC7" w:rsidRDefault="00013122">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45E3AE3A" w14:textId="77777777" w:rsidR="00287EC7" w:rsidRDefault="00287EC7">
      <w:pPr>
        <w:spacing w:line="360" w:lineRule="auto"/>
        <w:ind w:right="-93"/>
        <w:jc w:val="both"/>
        <w:rPr>
          <w:rFonts w:ascii="Palatino Linotype" w:eastAsia="Palatino Linotype" w:hAnsi="Palatino Linotype" w:cs="Palatino Linotype"/>
        </w:rPr>
      </w:pPr>
    </w:p>
    <w:p w14:paraId="4A9FC807" w14:textId="77777777" w:rsidR="00287EC7" w:rsidRDefault="0001312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w:t>
      </w:r>
      <w:r>
        <w:rPr>
          <w:rFonts w:ascii="Palatino Linotype" w:eastAsia="Palatino Linotype" w:hAnsi="Palatino Linotype" w:cs="Palatino Linotype"/>
        </w:rPr>
        <w:lastRenderedPageBreak/>
        <w:t>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EC99007" w14:textId="77777777" w:rsidR="00287EC7" w:rsidRDefault="00287EC7">
      <w:pPr>
        <w:spacing w:line="360" w:lineRule="auto"/>
        <w:ind w:right="-93"/>
        <w:jc w:val="both"/>
        <w:rPr>
          <w:rFonts w:ascii="Palatino Linotype" w:eastAsia="Palatino Linotype" w:hAnsi="Palatino Linotype" w:cs="Palatino Linotype"/>
        </w:rPr>
      </w:pPr>
    </w:p>
    <w:p w14:paraId="45A7546E" w14:textId="77777777" w:rsidR="00287EC7" w:rsidRDefault="00013122">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rPr>
        <w:t xml:space="preserve"> </w:t>
      </w:r>
    </w:p>
    <w:p w14:paraId="3F5ECB6A" w14:textId="77777777" w:rsidR="00287EC7" w:rsidRDefault="00287EC7">
      <w:pPr>
        <w:ind w:left="851" w:right="850"/>
        <w:jc w:val="both"/>
        <w:rPr>
          <w:rFonts w:ascii="Palatino Linotype" w:eastAsia="Palatino Linotype" w:hAnsi="Palatino Linotype" w:cs="Palatino Linotype"/>
        </w:rPr>
      </w:pPr>
    </w:p>
    <w:p w14:paraId="32AE77FA" w14:textId="77777777" w:rsidR="00287EC7" w:rsidRDefault="00013122">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A3D7CD2" w14:textId="77777777" w:rsidR="00287EC7" w:rsidRDefault="00287EC7">
      <w:pPr>
        <w:spacing w:line="276" w:lineRule="auto"/>
        <w:ind w:left="851" w:right="901"/>
        <w:jc w:val="both"/>
        <w:rPr>
          <w:rFonts w:ascii="Palatino Linotype" w:eastAsia="Palatino Linotype" w:hAnsi="Palatino Linotype" w:cs="Palatino Linotype"/>
          <w:i/>
          <w:sz w:val="22"/>
          <w:szCs w:val="22"/>
        </w:rPr>
      </w:pPr>
    </w:p>
    <w:p w14:paraId="53EA7DAC" w14:textId="77777777" w:rsidR="00287EC7" w:rsidRDefault="00013122">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Resoluciones: </w:t>
      </w:r>
    </w:p>
    <w:p w14:paraId="65E41336" w14:textId="77777777" w:rsidR="00287EC7" w:rsidRDefault="00013122">
      <w:pPr>
        <w:spacing w:line="276" w:lineRule="auto"/>
        <w:ind w:left="851" w:right="901"/>
        <w:jc w:val="both"/>
        <w:rPr>
          <w:rFonts w:ascii="Palatino Linotype" w:eastAsia="Palatino Linotype" w:hAnsi="Palatino Linotype" w:cs="Palatino Linotype"/>
          <w:i/>
          <w:sz w:val="22"/>
          <w:szCs w:val="22"/>
        </w:rPr>
      </w:pPr>
      <w:r>
        <w:rPr>
          <w:rFonts w:ascii="Noto Sans Symbols" w:eastAsia="Noto Sans Symbols" w:hAnsi="Noto Sans Symbols" w:cs="Noto Sans Symbols"/>
          <w:i/>
          <w:sz w:val="22"/>
          <w:szCs w:val="22"/>
        </w:rPr>
        <w:t>∙</w:t>
      </w:r>
      <w:r>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79C1F5C0" w14:textId="77777777" w:rsidR="00287EC7" w:rsidRDefault="00013122">
      <w:pPr>
        <w:spacing w:line="276" w:lineRule="auto"/>
        <w:ind w:left="851" w:right="901"/>
        <w:jc w:val="both"/>
        <w:rPr>
          <w:rFonts w:ascii="Palatino Linotype" w:eastAsia="Palatino Linotype" w:hAnsi="Palatino Linotype" w:cs="Palatino Linotype"/>
          <w:i/>
          <w:sz w:val="22"/>
          <w:szCs w:val="22"/>
        </w:rPr>
      </w:pPr>
      <w:r>
        <w:rPr>
          <w:rFonts w:ascii="Noto Sans Symbols" w:eastAsia="Noto Sans Symbols" w:hAnsi="Noto Sans Symbols" w:cs="Noto Sans Symbols"/>
          <w:i/>
          <w:sz w:val="22"/>
          <w:szCs w:val="22"/>
        </w:rPr>
        <w:t>∙</w:t>
      </w:r>
      <w:r>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20FDBF9D" w14:textId="77777777" w:rsidR="00287EC7" w:rsidRDefault="00013122">
      <w:pPr>
        <w:spacing w:line="276" w:lineRule="auto"/>
        <w:ind w:left="851" w:right="901"/>
        <w:jc w:val="both"/>
        <w:rPr>
          <w:rFonts w:ascii="Palatino Linotype" w:eastAsia="Palatino Linotype" w:hAnsi="Palatino Linotype" w:cs="Palatino Linotype"/>
          <w:i/>
          <w:sz w:val="22"/>
          <w:szCs w:val="22"/>
        </w:rPr>
      </w:pPr>
      <w:r>
        <w:rPr>
          <w:rFonts w:ascii="Noto Sans Symbols" w:eastAsia="Noto Sans Symbols" w:hAnsi="Noto Sans Symbols" w:cs="Noto Sans Symbols"/>
          <w:i/>
          <w:sz w:val="22"/>
          <w:szCs w:val="22"/>
        </w:rPr>
        <w:t>∙</w:t>
      </w:r>
      <w:r>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 </w:t>
      </w:r>
      <w:r>
        <w:rPr>
          <w:rFonts w:ascii="Palatino Linotype" w:eastAsia="Palatino Linotype" w:hAnsi="Palatino Linotype" w:cs="Palatino Linotype"/>
          <w:sz w:val="22"/>
          <w:szCs w:val="22"/>
        </w:rPr>
        <w:t>(Sic)</w:t>
      </w:r>
    </w:p>
    <w:p w14:paraId="41AC9D10" w14:textId="77777777" w:rsidR="00287EC7" w:rsidRDefault="00287EC7">
      <w:pPr>
        <w:spacing w:line="360" w:lineRule="auto"/>
        <w:ind w:right="-93"/>
        <w:jc w:val="both"/>
        <w:rPr>
          <w:rFonts w:ascii="Palatino Linotype" w:eastAsia="Palatino Linotype" w:hAnsi="Palatino Linotype" w:cs="Palatino Linotype"/>
        </w:rPr>
      </w:pPr>
    </w:p>
    <w:p w14:paraId="16123D0A"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4BC7462" w14:textId="77777777" w:rsidR="00287EC7" w:rsidRDefault="00287EC7">
      <w:pPr>
        <w:spacing w:line="360" w:lineRule="auto"/>
        <w:jc w:val="both"/>
        <w:rPr>
          <w:rFonts w:ascii="Palatino Linotype" w:eastAsia="Palatino Linotype" w:hAnsi="Palatino Linotype" w:cs="Palatino Linotype"/>
        </w:rPr>
      </w:pPr>
    </w:p>
    <w:p w14:paraId="5CC9C5F1" w14:textId="77777777" w:rsidR="00287EC7" w:rsidRDefault="0001312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3BB8F6F" w14:textId="77777777" w:rsidR="00287EC7" w:rsidRDefault="00287EC7">
      <w:pPr>
        <w:spacing w:line="360" w:lineRule="auto"/>
        <w:ind w:right="49"/>
        <w:jc w:val="both"/>
        <w:rPr>
          <w:rFonts w:ascii="Palatino Linotype" w:eastAsia="Palatino Linotype" w:hAnsi="Palatino Linotype" w:cs="Palatino Linotype"/>
        </w:rPr>
      </w:pPr>
    </w:p>
    <w:p w14:paraId="0D7A69D9"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C3B591D" w14:textId="77777777" w:rsidR="00287EC7" w:rsidRDefault="00287EC7">
      <w:pPr>
        <w:ind w:left="851" w:right="899"/>
        <w:jc w:val="both"/>
        <w:rPr>
          <w:rFonts w:ascii="Palatino Linotype" w:eastAsia="Palatino Linotype" w:hAnsi="Palatino Linotype" w:cs="Palatino Linotype"/>
          <w:i/>
          <w:sz w:val="22"/>
          <w:szCs w:val="22"/>
        </w:rPr>
      </w:pPr>
    </w:p>
    <w:p w14:paraId="7BD6789C" w14:textId="77777777" w:rsidR="00287EC7" w:rsidRDefault="0001312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DDDF906" w14:textId="77777777" w:rsidR="00287EC7" w:rsidRDefault="0001312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7A73ADC" w14:textId="77777777" w:rsidR="00287EC7" w:rsidRDefault="00013122">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58A0879" w14:textId="77777777" w:rsidR="00287EC7" w:rsidRDefault="00287EC7">
      <w:pPr>
        <w:ind w:left="851" w:right="899"/>
        <w:jc w:val="both"/>
        <w:rPr>
          <w:rFonts w:ascii="Palatino Linotype" w:eastAsia="Palatino Linotype" w:hAnsi="Palatino Linotype" w:cs="Palatino Linotype"/>
          <w:sz w:val="22"/>
          <w:szCs w:val="22"/>
        </w:rPr>
      </w:pPr>
    </w:p>
    <w:p w14:paraId="7B740237"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C85E647" w14:textId="77777777" w:rsidR="00287EC7" w:rsidRDefault="00287EC7">
      <w:pPr>
        <w:ind w:left="851" w:right="899"/>
        <w:jc w:val="both"/>
        <w:rPr>
          <w:rFonts w:ascii="Palatino Linotype" w:eastAsia="Palatino Linotype" w:hAnsi="Palatino Linotype" w:cs="Palatino Linotype"/>
        </w:rPr>
      </w:pPr>
    </w:p>
    <w:p w14:paraId="27DFF3A8" w14:textId="77777777" w:rsidR="00287EC7" w:rsidRDefault="00013122">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559340E8" w14:textId="77777777" w:rsidR="00287EC7" w:rsidRDefault="00013122">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D2DEC0F" w14:textId="77777777" w:rsidR="00287EC7" w:rsidRDefault="00013122">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5C5C4E1" w14:textId="77777777" w:rsidR="00287EC7" w:rsidRDefault="00013122">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F1EC5E0" w14:textId="77777777" w:rsidR="00287EC7" w:rsidRDefault="00013122">
      <w:pPr>
        <w:spacing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A9A0FEB" w14:textId="77777777" w:rsidR="00287EC7" w:rsidRDefault="00013122">
      <w:pPr>
        <w:spacing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3) Que se trate de información registrada en cualquier soporte documental, que en ejercicio de las atribuciones conferidas, se encuentre en posesión de los Sujetos Obligados.” (Sic)</w:t>
      </w:r>
    </w:p>
    <w:p w14:paraId="636199CA"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conviene recordar que el particular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el conflicto de intereses presentado ante el órgano interno de control o similar de todos los servidores públicos que trabajan y que son familia; o bien, las acciones realizadas por el órgano de control interno respecto del probable conflicto de intereses que existe al trabajar familiares en la administración municipal, así como en el DIF.</w:t>
      </w:r>
    </w:p>
    <w:p w14:paraId="3255B80B"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 su Contraloría Interna, emitió su respuesta en el que se destaca lo siguiente:</w:t>
      </w:r>
    </w:p>
    <w:p w14:paraId="1D8259C9" w14:textId="77777777" w:rsidR="00287EC7" w:rsidRDefault="00013122">
      <w:pPr>
        <w:spacing w:before="240" w:after="240" w:line="360" w:lineRule="auto"/>
        <w:jc w:val="center"/>
        <w:rPr>
          <w:rFonts w:ascii="Palatino Linotype" w:eastAsia="Palatino Linotype" w:hAnsi="Palatino Linotype" w:cs="Palatino Linotype"/>
        </w:rPr>
      </w:pPr>
      <w:r>
        <w:rPr>
          <w:noProof/>
        </w:rPr>
        <w:lastRenderedPageBreak/>
        <w:drawing>
          <wp:inline distT="0" distB="0" distL="0" distR="0" wp14:anchorId="48784666" wp14:editId="49318056">
            <wp:extent cx="4730902" cy="4554283"/>
            <wp:effectExtent l="0" t="0" r="0" b="0"/>
            <wp:docPr id="1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2912" t="38925" r="51630" b="17502"/>
                    <a:stretch>
                      <a:fillRect/>
                    </a:stretch>
                  </pic:blipFill>
                  <pic:spPr>
                    <a:xfrm>
                      <a:off x="0" y="0"/>
                      <a:ext cx="4730902" cy="4554283"/>
                    </a:xfrm>
                    <a:prstGeom prst="rect">
                      <a:avLst/>
                    </a:prstGeom>
                    <a:ln/>
                  </pic:spPr>
                </pic:pic>
              </a:graphicData>
            </a:graphic>
          </wp:inline>
        </w:drawing>
      </w:r>
    </w:p>
    <w:p w14:paraId="2CBB3B0E" w14:textId="77777777" w:rsidR="00287EC7" w:rsidRDefault="00013122">
      <w:pPr>
        <w:spacing w:before="240" w:after="240" w:line="360" w:lineRule="auto"/>
        <w:jc w:val="center"/>
        <w:rPr>
          <w:rFonts w:ascii="Palatino Linotype" w:eastAsia="Palatino Linotype" w:hAnsi="Palatino Linotype" w:cs="Palatino Linotype"/>
        </w:rPr>
      </w:pPr>
      <w:r>
        <w:rPr>
          <w:noProof/>
        </w:rPr>
        <w:lastRenderedPageBreak/>
        <w:drawing>
          <wp:inline distT="0" distB="0" distL="0" distR="0" wp14:anchorId="0B152F73" wp14:editId="46C9F7D7">
            <wp:extent cx="5286276" cy="6845051"/>
            <wp:effectExtent l="0" t="0" r="0" b="0"/>
            <wp:docPr id="1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2402" t="23538" r="51121" b="15509"/>
                    <a:stretch>
                      <a:fillRect/>
                    </a:stretch>
                  </pic:blipFill>
                  <pic:spPr>
                    <a:xfrm>
                      <a:off x="0" y="0"/>
                      <a:ext cx="5286276" cy="6845051"/>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4D35BB43" wp14:editId="215DD01C">
                <wp:simplePos x="0" y="0"/>
                <wp:positionH relativeFrom="column">
                  <wp:posOffset>165100</wp:posOffset>
                </wp:positionH>
                <wp:positionV relativeFrom="paragraph">
                  <wp:posOffset>4864100</wp:posOffset>
                </wp:positionV>
                <wp:extent cx="5067300" cy="1104900"/>
                <wp:effectExtent l="0" t="0" r="0" b="0"/>
                <wp:wrapNone/>
                <wp:docPr id="101" name="Rectángulo 101"/>
                <wp:cNvGraphicFramePr/>
                <a:graphic xmlns:a="http://schemas.openxmlformats.org/drawingml/2006/main">
                  <a:graphicData uri="http://schemas.microsoft.com/office/word/2010/wordprocessingShape">
                    <wps:wsp>
                      <wps:cNvSpPr/>
                      <wps:spPr>
                        <a:xfrm>
                          <a:off x="2826638" y="3241838"/>
                          <a:ext cx="5038725" cy="1076325"/>
                        </a:xfrm>
                        <a:prstGeom prst="rect">
                          <a:avLst/>
                        </a:prstGeom>
                        <a:noFill/>
                        <a:ln w="28575" cap="flat" cmpd="sng">
                          <a:solidFill>
                            <a:srgbClr val="FF0000"/>
                          </a:solidFill>
                          <a:prstDash val="solid"/>
                          <a:miter lim="800000"/>
                          <a:headEnd type="none" w="sm" len="sm"/>
                          <a:tailEnd type="none" w="sm" len="sm"/>
                        </a:ln>
                      </wps:spPr>
                      <wps:txbx>
                        <w:txbxContent>
                          <w:p w14:paraId="324B8ACC" w14:textId="77777777" w:rsidR="00287EC7" w:rsidRDefault="00287EC7">
                            <w:pPr>
                              <w:textDirection w:val="btLr"/>
                            </w:pPr>
                          </w:p>
                        </w:txbxContent>
                      </wps:txbx>
                      <wps:bodyPr spcFirstLastPara="1" wrap="square" lIns="91425" tIns="91425" rIns="91425" bIns="91425" anchor="ctr" anchorCtr="0">
                        <a:noAutofit/>
                      </wps:bodyPr>
                    </wps:wsp>
                  </a:graphicData>
                </a:graphic>
              </wp:anchor>
            </w:drawing>
          </mc:Choice>
          <mc:Fallback>
            <w:pict>
              <v:rect w14:anchorId="4D35BB43" id="Rectángulo 101" o:spid="_x0000_s1026" style="position:absolute;left:0;text-align:left;margin-left:13pt;margin-top:383pt;width:399pt;height:8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" filled="f" strokecolor="red" strokeweight="2.25pt">
                <v:stroke startarrowwidth="narrow" startarrowlength="short" endarrowwidth="narrow" endarrowlength="short"/>
                <v:textbox inset="2.53958mm,2.53958mm,2.53958mm,2.53958mm">
                  <w:txbxContent>
                    <w:p w14:paraId="324B8ACC" w14:textId="77777777" w:rsidR="00287EC7" w:rsidRDefault="00287EC7">
                      <w:pPr>
                        <w:textDirection w:val="btLr"/>
                      </w:pPr>
                    </w:p>
                  </w:txbxContent>
                </v:textbox>
              </v:rect>
            </w:pict>
          </mc:Fallback>
        </mc:AlternateContent>
      </w:r>
    </w:p>
    <w:p w14:paraId="25D5430E" w14:textId="77777777" w:rsidR="00287EC7" w:rsidRDefault="00013122">
      <w:pPr>
        <w:spacing w:before="240" w:after="240" w:line="360" w:lineRule="auto"/>
        <w:jc w:val="center"/>
        <w:rPr>
          <w:rFonts w:ascii="Palatino Linotype" w:eastAsia="Palatino Linotype" w:hAnsi="Palatino Linotype" w:cs="Palatino Linotype"/>
        </w:rPr>
      </w:pPr>
      <w:r>
        <w:rPr>
          <w:noProof/>
        </w:rPr>
        <w:lastRenderedPageBreak/>
        <w:drawing>
          <wp:inline distT="0" distB="0" distL="0" distR="0" wp14:anchorId="270582B0" wp14:editId="19735C7A">
            <wp:extent cx="4847555" cy="3090723"/>
            <wp:effectExtent l="0" t="0" r="0" b="0"/>
            <wp:docPr id="1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22743" t="35607" r="51967" b="35727"/>
                    <a:stretch>
                      <a:fillRect/>
                    </a:stretch>
                  </pic:blipFill>
                  <pic:spPr>
                    <a:xfrm>
                      <a:off x="0" y="0"/>
                      <a:ext cx="4847555" cy="3090723"/>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79AF732F" wp14:editId="5AE2BB1F">
                <wp:simplePos x="0" y="0"/>
                <wp:positionH relativeFrom="column">
                  <wp:posOffset>457200</wp:posOffset>
                </wp:positionH>
                <wp:positionV relativeFrom="paragraph">
                  <wp:posOffset>215900</wp:posOffset>
                </wp:positionV>
                <wp:extent cx="4724400" cy="1257300"/>
                <wp:effectExtent l="0" t="0" r="0" b="0"/>
                <wp:wrapNone/>
                <wp:docPr id="102" name="Rectángulo 102"/>
                <wp:cNvGraphicFramePr/>
                <a:graphic xmlns:a="http://schemas.openxmlformats.org/drawingml/2006/main">
                  <a:graphicData uri="http://schemas.microsoft.com/office/word/2010/wordprocessingShape">
                    <wps:wsp>
                      <wps:cNvSpPr/>
                      <wps:spPr>
                        <a:xfrm>
                          <a:off x="2998088" y="3165638"/>
                          <a:ext cx="4695825" cy="1228725"/>
                        </a:xfrm>
                        <a:prstGeom prst="rect">
                          <a:avLst/>
                        </a:prstGeom>
                        <a:noFill/>
                        <a:ln w="28575" cap="flat" cmpd="sng">
                          <a:solidFill>
                            <a:srgbClr val="FF0000"/>
                          </a:solidFill>
                          <a:prstDash val="solid"/>
                          <a:miter lim="800000"/>
                          <a:headEnd type="none" w="sm" len="sm"/>
                          <a:tailEnd type="none" w="sm" len="sm"/>
                        </a:ln>
                      </wps:spPr>
                      <wps:txbx>
                        <w:txbxContent>
                          <w:p w14:paraId="211676F7" w14:textId="77777777" w:rsidR="00287EC7" w:rsidRDefault="00287EC7">
                            <w:pPr>
                              <w:textDirection w:val="btLr"/>
                            </w:pPr>
                          </w:p>
                        </w:txbxContent>
                      </wps:txbx>
                      <wps:bodyPr spcFirstLastPara="1" wrap="square" lIns="91425" tIns="91425" rIns="91425" bIns="91425" anchor="ctr" anchorCtr="0">
                        <a:noAutofit/>
                      </wps:bodyPr>
                    </wps:wsp>
                  </a:graphicData>
                </a:graphic>
              </wp:anchor>
            </w:drawing>
          </mc:Choice>
          <mc:Fallback>
            <w:pict>
              <v:rect w14:anchorId="79AF732F" id="Rectángulo 102" o:spid="_x0000_s1027" style="position:absolute;left:0;text-align:left;margin-left:36pt;margin-top:17pt;width:372pt;height:9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" filled="f" strokecolor="red" strokeweight="2.25pt">
                <v:stroke startarrowwidth="narrow" startarrowlength="short" endarrowwidth="narrow" endarrowlength="short"/>
                <v:textbox inset="2.53958mm,2.53958mm,2.53958mm,2.53958mm">
                  <w:txbxContent>
                    <w:p w14:paraId="211676F7" w14:textId="77777777" w:rsidR="00287EC7" w:rsidRDefault="00287EC7">
                      <w:pPr>
                        <w:textDirection w:val="btLr"/>
                      </w:pPr>
                    </w:p>
                  </w:txbxContent>
                </v:textbox>
              </v:rect>
            </w:pict>
          </mc:Fallback>
        </mc:AlternateContent>
      </w:r>
    </w:p>
    <w:p w14:paraId="017A480E" w14:textId="77777777" w:rsidR="00287EC7" w:rsidRDefault="00013122">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conforme el particular con la respuesta, interpone el recurso de revisión que se resuelve, señalando como motivos de inconformidad en lo medular porque considera </w:t>
      </w:r>
      <w:r>
        <w:rPr>
          <w:rFonts w:ascii="Palatino Linotype" w:eastAsia="Palatino Linotype" w:hAnsi="Palatino Linotype" w:cs="Palatino Linotype"/>
          <w:b/>
        </w:rPr>
        <w:t>si es competencia del órgano de control</w:t>
      </w:r>
      <w:r>
        <w:rPr>
          <w:rFonts w:ascii="Palatino Linotype" w:eastAsia="Palatino Linotype" w:hAnsi="Palatino Linotype" w:cs="Palatino Linotype"/>
        </w:rPr>
        <w:t>.</w:t>
      </w:r>
    </w:p>
    <w:p w14:paraId="4B2AFE01" w14:textId="77777777" w:rsidR="00287EC7" w:rsidRDefault="00013122">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por su parte el ahora </w:t>
      </w:r>
      <w:r>
        <w:rPr>
          <w:rFonts w:ascii="Palatino Linotype" w:eastAsia="Palatino Linotype" w:hAnsi="Palatino Linotype" w:cs="Palatino Linotype"/>
          <w:b/>
        </w:rPr>
        <w:t>RECURRENTE</w:t>
      </w:r>
      <w:r>
        <w:rPr>
          <w:rFonts w:ascii="Palatino Linotype" w:eastAsia="Palatino Linotype" w:hAnsi="Palatino Linotype" w:cs="Palatino Linotype"/>
        </w:rPr>
        <w:t>, también fue omiso al emitir pronunciamiento.</w:t>
      </w:r>
    </w:p>
    <w:p w14:paraId="4B5F39B1"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advierten las consideraciones de derecho que a continuación se exponen:</w:t>
      </w:r>
    </w:p>
    <w:p w14:paraId="1F350BA0"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al motivo de inconformidad hecho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que versa en la competencia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conocer sobre los </w:t>
      </w:r>
      <w:r>
        <w:rPr>
          <w:rFonts w:ascii="Palatino Linotype" w:eastAsia="Palatino Linotype" w:hAnsi="Palatino Linotype" w:cs="Palatino Linotype"/>
        </w:rPr>
        <w:lastRenderedPageBreak/>
        <w:t xml:space="preserve">conflictos de intereses de los servidores públicos que trabajan en el Ayuntamiento, este Organismo Garante considera pertinente analizar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la autoridad competente para conocer de dicha solicitud, es decir, si se trata de información que deba generar, administrar o poseer por virtud del ámbito de sus atribuciones.</w:t>
      </w:r>
    </w:p>
    <w:p w14:paraId="510BC82C"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necesario enfatizar lo que debe entenderse por derecho de acceso a la información pública, siendo importante traer a contexto el contenido del artículo 6°, letra A de la Constitución Política de los Estados Unidos Mexicanos, que en su parte conducente señala:</w:t>
      </w:r>
    </w:p>
    <w:p w14:paraId="4C0B3206" w14:textId="77777777" w:rsidR="00287EC7" w:rsidRDefault="00287EC7">
      <w:pPr>
        <w:spacing w:line="360" w:lineRule="auto"/>
        <w:jc w:val="both"/>
        <w:rPr>
          <w:rFonts w:ascii="Palatino Linotype" w:eastAsia="Palatino Linotype" w:hAnsi="Palatino Linotype" w:cs="Palatino Linotype"/>
        </w:rPr>
      </w:pPr>
    </w:p>
    <w:p w14:paraId="648AFB8D" w14:textId="77777777" w:rsidR="00287EC7" w:rsidRDefault="00013122">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r>
        <w:rPr>
          <w:rFonts w:ascii="Palatino Linotype" w:eastAsia="Palatino Linotype" w:hAnsi="Palatino Linotype" w:cs="Palatino Linotype"/>
          <w:i/>
        </w:rPr>
        <w:t xml:space="preserve">  . . .</w:t>
      </w:r>
    </w:p>
    <w:p w14:paraId="42E1353A" w14:textId="77777777" w:rsidR="00287EC7" w:rsidRDefault="00287EC7">
      <w:pPr>
        <w:ind w:left="851" w:right="851"/>
        <w:jc w:val="both"/>
        <w:rPr>
          <w:rFonts w:ascii="Palatino Linotype" w:eastAsia="Palatino Linotype" w:hAnsi="Palatino Linotype" w:cs="Palatino Linotype"/>
          <w:b/>
          <w:i/>
          <w:color w:val="000000"/>
        </w:rPr>
      </w:pPr>
    </w:p>
    <w:p w14:paraId="54C3C637" w14:textId="77777777" w:rsidR="00287EC7" w:rsidRDefault="00013122">
      <w:pP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w:t>
      </w:r>
      <w:r>
        <w:rPr>
          <w:rFonts w:ascii="Palatino Linotype" w:eastAsia="Palatino Linotype" w:hAnsi="Palatino Linotype" w:cs="Palatino Linotype"/>
          <w:i/>
          <w:color w:val="000000"/>
        </w:rPr>
        <w:t xml:space="preserve"> Para el ejercicio del derecho de acceso a la información, la Federación y las entidades federativas, en el ámbito de sus respectivas competencias, se regirán por los siguientes principios y bases:</w:t>
      </w:r>
    </w:p>
    <w:p w14:paraId="75980524" w14:textId="77777777" w:rsidR="00287EC7" w:rsidRDefault="00287EC7">
      <w:pPr>
        <w:ind w:left="851" w:right="851"/>
        <w:jc w:val="both"/>
        <w:rPr>
          <w:rFonts w:ascii="Palatino Linotype" w:eastAsia="Palatino Linotype" w:hAnsi="Palatino Linotype" w:cs="Palatino Linotype"/>
          <w:b/>
          <w:i/>
          <w:color w:val="000000"/>
        </w:rPr>
      </w:pPr>
    </w:p>
    <w:p w14:paraId="640A3C1F" w14:textId="77777777" w:rsidR="00287EC7" w:rsidRDefault="00013122">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color w:val="000000"/>
        </w:rPr>
        <w:t xml:space="preserve">I. </w:t>
      </w:r>
      <w:r>
        <w:rPr>
          <w:rFonts w:ascii="Palatino Linotype" w:eastAsia="Palatino Linotype" w:hAnsi="Palatino Linotype" w:cs="Palatino Linotype"/>
          <w:i/>
          <w:color w:val="00000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Pr>
          <w:rFonts w:ascii="Palatino Linotype" w:eastAsia="Palatino Linotype" w:hAnsi="Palatino Linotype" w:cs="Palatino Linotype"/>
          <w:i/>
        </w:rPr>
        <w:t xml:space="preserve"> </w:t>
      </w:r>
      <w:r>
        <w:rPr>
          <w:rFonts w:ascii="Palatino Linotype" w:eastAsia="Palatino Linotype" w:hAnsi="Palatino Linotype" w:cs="Palatino Linotype"/>
          <w:i/>
          <w:color w:val="000000"/>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7B16FD0" w14:textId="77777777" w:rsidR="00287EC7" w:rsidRDefault="00287EC7">
      <w:pPr>
        <w:ind w:left="851" w:right="851"/>
        <w:jc w:val="both"/>
        <w:rPr>
          <w:rFonts w:ascii="Palatino Linotype" w:eastAsia="Palatino Linotype" w:hAnsi="Palatino Linotype" w:cs="Palatino Linotype"/>
          <w:b/>
          <w:i/>
          <w:color w:val="000000"/>
        </w:rPr>
      </w:pPr>
    </w:p>
    <w:p w14:paraId="6D1B76BF" w14:textId="77777777" w:rsidR="00287EC7" w:rsidRDefault="00013122">
      <w:pP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lastRenderedPageBreak/>
        <w:t xml:space="preserve">II. </w:t>
      </w:r>
      <w:r>
        <w:rPr>
          <w:rFonts w:ascii="Palatino Linotype" w:eastAsia="Palatino Linotype" w:hAnsi="Palatino Linotype" w:cs="Palatino Linotype"/>
          <w:i/>
          <w:color w:val="000000"/>
        </w:rPr>
        <w:t xml:space="preserve">La información que se refiere a la vida privada y los datos personales será protegida en los términos y con las excepciones que fijen las leyes. </w:t>
      </w:r>
    </w:p>
    <w:p w14:paraId="51A764B6" w14:textId="77777777" w:rsidR="00287EC7" w:rsidRDefault="00287EC7">
      <w:pPr>
        <w:ind w:left="851" w:right="851"/>
        <w:jc w:val="both"/>
        <w:rPr>
          <w:rFonts w:ascii="Palatino Linotype" w:eastAsia="Palatino Linotype" w:hAnsi="Palatino Linotype" w:cs="Palatino Linotype"/>
          <w:b/>
          <w:i/>
          <w:color w:val="000000"/>
        </w:rPr>
      </w:pPr>
    </w:p>
    <w:p w14:paraId="1DCF868A" w14:textId="77777777" w:rsidR="00287EC7" w:rsidRDefault="00013122">
      <w:pP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III. </w:t>
      </w:r>
      <w:r>
        <w:rPr>
          <w:rFonts w:ascii="Palatino Linotype" w:eastAsia="Palatino Linotype" w:hAnsi="Palatino Linotype" w:cs="Palatino Linotype"/>
          <w:i/>
          <w:color w:val="000000"/>
        </w:rPr>
        <w:t xml:space="preserve">Toda persona, sin necesidad de acreditar interés alguno o justificar su utilización, tendrá acceso gratuito a la información pública, a sus datos personales o a la rectificación de éstos. </w:t>
      </w:r>
    </w:p>
    <w:p w14:paraId="3D692F9A" w14:textId="77777777" w:rsidR="00287EC7" w:rsidRDefault="00287EC7">
      <w:pPr>
        <w:ind w:left="851" w:right="851"/>
        <w:jc w:val="both"/>
        <w:rPr>
          <w:rFonts w:ascii="Palatino Linotype" w:eastAsia="Palatino Linotype" w:hAnsi="Palatino Linotype" w:cs="Palatino Linotype"/>
          <w:b/>
          <w:i/>
          <w:color w:val="000000"/>
        </w:rPr>
      </w:pPr>
    </w:p>
    <w:p w14:paraId="07540E20" w14:textId="77777777" w:rsidR="00287EC7" w:rsidRDefault="00013122">
      <w:pP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IV. </w:t>
      </w:r>
      <w:r>
        <w:rPr>
          <w:rFonts w:ascii="Palatino Linotype" w:eastAsia="Palatino Linotype" w:hAnsi="Palatino Linotype" w:cs="Palatino Linotype"/>
          <w:i/>
          <w:color w:val="000000"/>
        </w:rPr>
        <w:t xml:space="preserve">Se establecerán mecanismos de acceso a la información y procedimientos de revisión expeditos que se sustanciarán ante los organismos autónomos especializados e imparciales que establece esta Constitución. </w:t>
      </w:r>
    </w:p>
    <w:p w14:paraId="3EAE99AC" w14:textId="77777777" w:rsidR="00287EC7" w:rsidRDefault="00287EC7">
      <w:pPr>
        <w:ind w:left="851" w:right="851"/>
        <w:jc w:val="both"/>
        <w:rPr>
          <w:rFonts w:ascii="Palatino Linotype" w:eastAsia="Palatino Linotype" w:hAnsi="Palatino Linotype" w:cs="Palatino Linotype"/>
          <w:b/>
          <w:i/>
          <w:color w:val="000000"/>
        </w:rPr>
      </w:pPr>
    </w:p>
    <w:p w14:paraId="4B4A303A" w14:textId="77777777" w:rsidR="00287EC7" w:rsidRDefault="00013122">
      <w:pP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V. </w:t>
      </w:r>
      <w:r>
        <w:rPr>
          <w:rFonts w:ascii="Palatino Linotype" w:eastAsia="Palatino Linotype" w:hAnsi="Palatino Linotype" w:cs="Palatino Linotype"/>
          <w:i/>
          <w:color w:val="00000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78290B9E" w14:textId="77777777" w:rsidR="00287EC7" w:rsidRDefault="00287EC7">
      <w:pPr>
        <w:ind w:left="851" w:right="851"/>
        <w:jc w:val="both"/>
        <w:rPr>
          <w:rFonts w:ascii="Palatino Linotype" w:eastAsia="Palatino Linotype" w:hAnsi="Palatino Linotype" w:cs="Palatino Linotype"/>
          <w:b/>
          <w:i/>
          <w:color w:val="000000"/>
        </w:rPr>
      </w:pPr>
    </w:p>
    <w:p w14:paraId="59AF917A" w14:textId="77777777" w:rsidR="00287EC7" w:rsidRDefault="00013122">
      <w:pP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VI. </w:t>
      </w:r>
      <w:r>
        <w:rPr>
          <w:rFonts w:ascii="Palatino Linotype" w:eastAsia="Palatino Linotype" w:hAnsi="Palatino Linotype" w:cs="Palatino Linotype"/>
          <w:i/>
          <w:color w:val="000000"/>
        </w:rPr>
        <w:t xml:space="preserve">Las leyes determinarán la manera en que los sujetos obligados deberán hacer pública la información relativa a los recursos públicos que entreguen a personas físicas o morales. </w:t>
      </w:r>
    </w:p>
    <w:p w14:paraId="3F6CD082" w14:textId="77777777" w:rsidR="00287EC7" w:rsidRDefault="00287EC7">
      <w:pPr>
        <w:spacing w:line="360" w:lineRule="auto"/>
        <w:ind w:left="851" w:right="851"/>
        <w:jc w:val="both"/>
        <w:rPr>
          <w:rFonts w:ascii="Palatino Linotype" w:eastAsia="Palatino Linotype" w:hAnsi="Palatino Linotype" w:cs="Palatino Linotype"/>
          <w:b/>
          <w:i/>
          <w:color w:val="000000"/>
        </w:rPr>
      </w:pPr>
    </w:p>
    <w:p w14:paraId="4C87E73D" w14:textId="77777777" w:rsidR="00287EC7" w:rsidRDefault="00013122">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VII. </w:t>
      </w:r>
      <w:r>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w:t>
      </w:r>
      <w:r>
        <w:rPr>
          <w:rFonts w:ascii="Palatino Linotype" w:eastAsia="Palatino Linotype" w:hAnsi="Palatino Linotype" w:cs="Palatino Linotype"/>
          <w:b/>
          <w:i/>
        </w:rPr>
        <w:t>”</w:t>
      </w:r>
    </w:p>
    <w:p w14:paraId="14BEEB1A" w14:textId="77777777" w:rsidR="00287EC7" w:rsidRDefault="00013122">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(Énfasis añadido)</w:t>
      </w:r>
    </w:p>
    <w:p w14:paraId="7B4DF30C" w14:textId="77777777" w:rsidR="00287EC7" w:rsidRDefault="00287EC7">
      <w:pPr>
        <w:spacing w:line="360" w:lineRule="auto"/>
        <w:jc w:val="both"/>
        <w:rPr>
          <w:rFonts w:ascii="Palatino Linotype" w:eastAsia="Palatino Linotype" w:hAnsi="Palatino Linotype" w:cs="Palatino Linotype"/>
        </w:rPr>
      </w:pPr>
    </w:p>
    <w:p w14:paraId="787212CF"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sentido, la Constitución Política del Estado Libre y Soberano de México, en su artículo 5°, párrafos vigésimo, vigésimo primero y vigésimo segundo fracciones I, III y IV, dispone lo siguiente:</w:t>
      </w:r>
    </w:p>
    <w:p w14:paraId="4B488E5A" w14:textId="77777777" w:rsidR="00287EC7" w:rsidRDefault="00287EC7">
      <w:pPr>
        <w:spacing w:line="360" w:lineRule="auto"/>
        <w:jc w:val="both"/>
        <w:rPr>
          <w:rFonts w:ascii="Palatino Linotype" w:eastAsia="Palatino Linotype" w:hAnsi="Palatino Linotype" w:cs="Palatino Linotype"/>
        </w:rPr>
      </w:pPr>
    </w:p>
    <w:p w14:paraId="3989F5FA" w14:textId="77777777" w:rsidR="00287EC7" w:rsidRDefault="00013122">
      <w:pPr>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 xml:space="preserve">“Artículo 5.  … </w:t>
      </w:r>
    </w:p>
    <w:p w14:paraId="7CAE4525" w14:textId="77777777" w:rsidR="00287EC7" w:rsidRDefault="00013122">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 .</w:t>
      </w:r>
    </w:p>
    <w:p w14:paraId="449F87AA" w14:textId="77777777" w:rsidR="00287EC7" w:rsidRDefault="00013122">
      <w:pPr>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El derecho a la información será garantizado por el Estado.</w:t>
      </w:r>
    </w:p>
    <w:p w14:paraId="37245BE6" w14:textId="77777777" w:rsidR="00287EC7" w:rsidRDefault="00013122">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La ley establecerá las previsiones que permitan asegurar la protección, el respeto y la difusión de este derecho. </w:t>
      </w:r>
    </w:p>
    <w:p w14:paraId="08E669EA" w14:textId="77777777" w:rsidR="00287EC7" w:rsidRDefault="00287EC7">
      <w:pPr>
        <w:ind w:left="851" w:right="851"/>
        <w:jc w:val="both"/>
        <w:rPr>
          <w:rFonts w:ascii="Palatino Linotype" w:eastAsia="Palatino Linotype" w:hAnsi="Palatino Linotype" w:cs="Palatino Linotype"/>
          <w:i/>
        </w:rPr>
      </w:pPr>
    </w:p>
    <w:p w14:paraId="0A79E3F1" w14:textId="77777777" w:rsidR="00287EC7" w:rsidRDefault="00013122">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12A554B" w14:textId="77777777" w:rsidR="00287EC7" w:rsidRDefault="00287EC7">
      <w:pPr>
        <w:ind w:left="851" w:right="851"/>
        <w:jc w:val="both"/>
        <w:rPr>
          <w:rFonts w:ascii="Palatino Linotype" w:eastAsia="Palatino Linotype" w:hAnsi="Palatino Linotype" w:cs="Palatino Linotype"/>
          <w:i/>
        </w:rPr>
      </w:pPr>
    </w:p>
    <w:p w14:paraId="5016CF53" w14:textId="77777777" w:rsidR="00287EC7" w:rsidRDefault="00013122">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Este derecho se regirá por los principios y bases siguientes: </w:t>
      </w:r>
    </w:p>
    <w:p w14:paraId="161C7C05" w14:textId="77777777" w:rsidR="00287EC7" w:rsidRDefault="00287EC7">
      <w:pPr>
        <w:ind w:left="851" w:right="851"/>
        <w:jc w:val="both"/>
        <w:rPr>
          <w:rFonts w:ascii="Palatino Linotype" w:eastAsia="Palatino Linotype" w:hAnsi="Palatino Linotype" w:cs="Palatino Linotype"/>
          <w:i/>
        </w:rPr>
      </w:pPr>
    </w:p>
    <w:p w14:paraId="5DCE9B17" w14:textId="77777777" w:rsidR="00287EC7" w:rsidRDefault="00013122">
      <w:pPr>
        <w:ind w:left="851" w:right="851"/>
        <w:jc w:val="both"/>
        <w:rPr>
          <w:rFonts w:ascii="Palatino Linotype" w:eastAsia="Palatino Linotype" w:hAnsi="Palatino Linotype" w:cs="Palatino Linotype"/>
          <w:i/>
          <w:color w:val="222222"/>
        </w:rPr>
      </w:pPr>
      <w:r>
        <w:rPr>
          <w:rFonts w:ascii="Palatino Linotype" w:eastAsia="Palatino Linotype" w:hAnsi="Palatino Linotype" w:cs="Palatino Linotype"/>
          <w:b/>
          <w:i/>
          <w:color w:val="222222"/>
        </w:rPr>
        <w:t>I.</w:t>
      </w:r>
      <w:r>
        <w:rPr>
          <w:rFonts w:ascii="Palatino Linotype" w:eastAsia="Palatino Linotype" w:hAnsi="Palatino Linotype" w:cs="Palatino Linotype"/>
          <w:i/>
          <w:color w:val="222222"/>
        </w:rPr>
        <w:t xml:space="preserve"> </w:t>
      </w:r>
      <w:r>
        <w:rPr>
          <w:rFonts w:ascii="Palatino Linotype" w:eastAsia="Palatino Linotype" w:hAnsi="Palatino Linotype" w:cs="Palatino Linotype"/>
          <w:b/>
          <w:i/>
          <w:color w:val="222222"/>
        </w:rPr>
        <w:t xml:space="preserve">Toda la información en posesión de </w:t>
      </w:r>
      <w:r>
        <w:rPr>
          <w:rFonts w:ascii="Palatino Linotype" w:eastAsia="Palatino Linotype" w:hAnsi="Palatino Linotype" w:cs="Palatino Linotype"/>
          <w:i/>
          <w:color w:val="222222"/>
        </w:rPr>
        <w:t xml:space="preserve">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w:t>
      </w:r>
      <w:r>
        <w:rPr>
          <w:rFonts w:ascii="Palatino Linotype" w:eastAsia="Palatino Linotype" w:hAnsi="Palatino Linotype" w:cs="Palatino Linotype"/>
          <w:b/>
          <w:i/>
          <w:color w:val="222222"/>
        </w:rPr>
        <w:t>cualquier</w:t>
      </w:r>
      <w:r>
        <w:rPr>
          <w:rFonts w:ascii="Palatino Linotype" w:eastAsia="Palatino Linotype" w:hAnsi="Palatino Linotype" w:cs="Palatino Linotype"/>
          <w:i/>
          <w:color w:val="222222"/>
        </w:rPr>
        <w:t xml:space="preserve"> persona física, jurídica colectiva o </w:t>
      </w:r>
      <w:r>
        <w:rPr>
          <w:rFonts w:ascii="Palatino Linotype" w:eastAsia="Palatino Linotype" w:hAnsi="Palatino Linotype" w:cs="Palatino Linotype"/>
          <w:b/>
          <w:i/>
          <w:color w:val="222222"/>
        </w:rPr>
        <w:t xml:space="preserve">sindicato que reciba y ejerza recursos </w:t>
      </w:r>
      <w:r>
        <w:rPr>
          <w:rFonts w:ascii="Palatino Linotype" w:eastAsia="Palatino Linotype" w:hAnsi="Palatino Linotype" w:cs="Palatino Linotype"/>
          <w:b/>
          <w:i/>
        </w:rPr>
        <w:t>públicos</w:t>
      </w:r>
      <w:r>
        <w:rPr>
          <w:rFonts w:ascii="Palatino Linotype" w:eastAsia="Palatino Linotype" w:hAnsi="Palatino Linotype" w:cs="Palatino Linotype"/>
          <w:i/>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A20A1F0" w14:textId="77777777" w:rsidR="00287EC7" w:rsidRDefault="00287EC7">
      <w:pPr>
        <w:ind w:left="851" w:right="851"/>
        <w:jc w:val="both"/>
        <w:rPr>
          <w:rFonts w:ascii="Palatino Linotype" w:eastAsia="Palatino Linotype" w:hAnsi="Palatino Linotype" w:cs="Palatino Linotype"/>
          <w:i/>
          <w:color w:val="222222"/>
        </w:rPr>
      </w:pPr>
    </w:p>
    <w:p w14:paraId="30F15333" w14:textId="77777777" w:rsidR="00287EC7" w:rsidRDefault="00013122">
      <w:pPr>
        <w:ind w:left="851" w:right="851"/>
        <w:jc w:val="both"/>
        <w:rPr>
          <w:rFonts w:ascii="Palatino Linotype" w:eastAsia="Palatino Linotype" w:hAnsi="Palatino Linotype" w:cs="Palatino Linotype"/>
          <w:i/>
          <w:color w:val="222222"/>
        </w:rPr>
      </w:pPr>
      <w:r>
        <w:rPr>
          <w:rFonts w:ascii="Palatino Linotype" w:eastAsia="Palatino Linotype" w:hAnsi="Palatino Linotype" w:cs="Palatino Linotype"/>
          <w:b/>
          <w:i/>
          <w:color w:val="222222"/>
        </w:rPr>
        <w:t>III.</w:t>
      </w:r>
      <w:r>
        <w:rPr>
          <w:rFonts w:ascii="Palatino Linotype" w:eastAsia="Palatino Linotype" w:hAnsi="Palatino Linotype" w:cs="Palatino Linotype"/>
          <w:i/>
          <w:color w:val="222222"/>
        </w:rPr>
        <w:t xml:space="preserve"> Toda </w:t>
      </w:r>
      <w:r>
        <w:rPr>
          <w:rFonts w:ascii="Palatino Linotype" w:eastAsia="Palatino Linotype" w:hAnsi="Palatino Linotype" w:cs="Palatino Linotype"/>
          <w:i/>
        </w:rPr>
        <w:t>persona</w:t>
      </w:r>
      <w:r>
        <w:rPr>
          <w:rFonts w:ascii="Palatino Linotype" w:eastAsia="Palatino Linotype" w:hAnsi="Palatino Linotype" w:cs="Palatino Linotype"/>
          <w:i/>
          <w:color w:val="222222"/>
        </w:rPr>
        <w:t>, sin necesidad de acreditar interés alguno o justificar su utilización, tendrá acceso gratuito a la información pública, a sus datos personales o a la rectificación de éstos.</w:t>
      </w:r>
    </w:p>
    <w:p w14:paraId="35118B4B" w14:textId="77777777" w:rsidR="00287EC7" w:rsidRDefault="00287EC7">
      <w:pPr>
        <w:ind w:left="851" w:right="851"/>
        <w:jc w:val="both"/>
        <w:rPr>
          <w:rFonts w:ascii="Palatino Linotype" w:eastAsia="Palatino Linotype" w:hAnsi="Palatino Linotype" w:cs="Palatino Linotype"/>
          <w:b/>
          <w:i/>
          <w:color w:val="222222"/>
        </w:rPr>
      </w:pPr>
    </w:p>
    <w:p w14:paraId="7D1985D3" w14:textId="77777777" w:rsidR="00287EC7" w:rsidRDefault="00013122">
      <w:pPr>
        <w:ind w:left="851" w:right="851"/>
        <w:jc w:val="both"/>
        <w:rPr>
          <w:rFonts w:ascii="Palatino Linotype" w:eastAsia="Palatino Linotype" w:hAnsi="Palatino Linotype" w:cs="Palatino Linotype"/>
          <w:i/>
          <w:color w:val="222222"/>
        </w:rPr>
      </w:pPr>
      <w:r>
        <w:rPr>
          <w:rFonts w:ascii="Palatino Linotype" w:eastAsia="Palatino Linotype" w:hAnsi="Palatino Linotype" w:cs="Palatino Linotype"/>
          <w:b/>
          <w:i/>
          <w:color w:val="222222"/>
        </w:rPr>
        <w:lastRenderedPageBreak/>
        <w:t xml:space="preserve">IV. </w:t>
      </w:r>
      <w:r>
        <w:rPr>
          <w:rFonts w:ascii="Palatino Linotype" w:eastAsia="Palatino Linotype" w:hAnsi="Palatino Linotype" w:cs="Palatino Linotype"/>
          <w:i/>
          <w:color w:val="222222"/>
        </w:rPr>
        <w:t xml:space="preserve">Se establecerán mecanismos de acceso a la información y procedimientos de revisión expeditos que se </w:t>
      </w:r>
      <w:r>
        <w:rPr>
          <w:rFonts w:ascii="Palatino Linotype" w:eastAsia="Palatino Linotype" w:hAnsi="Palatino Linotype" w:cs="Palatino Linotype"/>
          <w:i/>
        </w:rPr>
        <w:t>sustanciarán</w:t>
      </w:r>
      <w:r>
        <w:rPr>
          <w:rFonts w:ascii="Palatino Linotype" w:eastAsia="Palatino Linotype" w:hAnsi="Palatino Linotype" w:cs="Palatino Linotype"/>
          <w:i/>
          <w:color w:val="222222"/>
        </w:rPr>
        <w:t xml:space="preserve"> ante el organismo autónomo especializado e imparcial que establece esta Constitución.”</w:t>
      </w:r>
    </w:p>
    <w:p w14:paraId="572FD7BA" w14:textId="77777777" w:rsidR="00287EC7" w:rsidRDefault="00013122">
      <w:pPr>
        <w:ind w:left="851" w:right="851"/>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(Énfasis añadido)</w:t>
      </w:r>
    </w:p>
    <w:p w14:paraId="6173DFF2" w14:textId="77777777" w:rsidR="00287EC7" w:rsidRDefault="00287EC7">
      <w:pPr>
        <w:spacing w:line="360" w:lineRule="auto"/>
        <w:jc w:val="both"/>
        <w:rPr>
          <w:rFonts w:ascii="Palatino Linotype" w:eastAsia="Palatino Linotype" w:hAnsi="Palatino Linotype" w:cs="Palatino Linotype"/>
        </w:rPr>
      </w:pPr>
    </w:p>
    <w:p w14:paraId="35633DE7"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3B4A8B7A" w14:textId="77777777" w:rsidR="00287EC7" w:rsidRDefault="00287EC7">
      <w:pPr>
        <w:spacing w:line="360" w:lineRule="auto"/>
        <w:jc w:val="both"/>
        <w:rPr>
          <w:rFonts w:ascii="Palatino Linotype" w:eastAsia="Palatino Linotype" w:hAnsi="Palatino Linotype" w:cs="Palatino Linotype"/>
        </w:rPr>
      </w:pPr>
    </w:p>
    <w:p w14:paraId="35D5A8E1"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precisado lo anterior, se procede a entrar en materia comenzando que en términos del artículo 112 fracciones VIII y XVI de la Ley Orgánica Municipal del Estado de México, en concordancia con el artículo 129 fracción VII del Bando Municipal Atenco 2022,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coordinarse con el Órgano Superior de Fiscalización del Estado de México y la Contraloría del Poder Legislativo y con la Secretaría de la Contraloría del Estado para el cumplimiento de sus funciones; así como verificar que los servidores públicos municipales cumplan con la declaración de intereses, en términos de la Ley de Responsabilidades Administrativas del Estado de México y Municipios.</w:t>
      </w:r>
    </w:p>
    <w:p w14:paraId="60BC863E" w14:textId="77777777" w:rsidR="00287EC7" w:rsidRDefault="00287EC7">
      <w:pPr>
        <w:spacing w:line="360" w:lineRule="auto"/>
        <w:jc w:val="both"/>
        <w:rPr>
          <w:rFonts w:ascii="Palatino Linotype" w:eastAsia="Palatino Linotype" w:hAnsi="Palatino Linotype" w:cs="Palatino Linotype"/>
        </w:rPr>
      </w:pPr>
    </w:p>
    <w:p w14:paraId="3B76F5CE" w14:textId="77777777" w:rsidR="00287EC7" w:rsidRDefault="0001312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 su vez, la referida Ley de Responsabilidades Administrativas del Estado de </w:t>
      </w:r>
      <w:r w:rsidR="00B27E6A">
        <w:rPr>
          <w:rFonts w:ascii="Palatino Linotype" w:eastAsia="Palatino Linotype" w:hAnsi="Palatino Linotype" w:cs="Palatino Linotype"/>
        </w:rPr>
        <w:t>México</w:t>
      </w:r>
      <w:r>
        <w:rPr>
          <w:rFonts w:ascii="Palatino Linotype" w:eastAsia="Palatino Linotype" w:hAnsi="Palatino Linotype" w:cs="Palatino Linotype"/>
        </w:rPr>
        <w:t xml:space="preserve"> y Municipios, establece lo siguiente:</w:t>
      </w:r>
    </w:p>
    <w:p w14:paraId="5DC0AE49" w14:textId="77777777" w:rsidR="00287EC7" w:rsidRDefault="00287EC7">
      <w:pPr>
        <w:spacing w:line="360" w:lineRule="auto"/>
        <w:ind w:right="-93"/>
        <w:jc w:val="both"/>
        <w:rPr>
          <w:rFonts w:ascii="Palatino Linotype" w:eastAsia="Palatino Linotype" w:hAnsi="Palatino Linotype" w:cs="Palatino Linotype"/>
        </w:rPr>
      </w:pPr>
    </w:p>
    <w:p w14:paraId="43EB072D"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2A7F2F54"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C476528"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Conflicto de interés: A la posible afectación del desempeño imparcial y objetivo de las funciones de los Servidores Públicos en razón de intereses </w:t>
      </w:r>
      <w:r>
        <w:rPr>
          <w:rFonts w:ascii="Palatino Linotype" w:eastAsia="Palatino Linotype" w:hAnsi="Palatino Linotype" w:cs="Palatino Linotype"/>
          <w:i/>
          <w:sz w:val="22"/>
          <w:szCs w:val="22"/>
        </w:rPr>
        <w:t>personales</w:t>
      </w:r>
      <w:r>
        <w:rPr>
          <w:rFonts w:ascii="Palatino Linotype" w:eastAsia="Palatino Linotype" w:hAnsi="Palatino Linotype" w:cs="Palatino Linotype"/>
          <w:b/>
          <w:i/>
          <w:sz w:val="22"/>
          <w:szCs w:val="22"/>
        </w:rPr>
        <w:t xml:space="preserve">, familiares </w:t>
      </w:r>
      <w:r>
        <w:rPr>
          <w:rFonts w:ascii="Palatino Linotype" w:eastAsia="Palatino Linotype" w:hAnsi="Palatino Linotype" w:cs="Palatino Linotype"/>
          <w:i/>
          <w:sz w:val="22"/>
          <w:szCs w:val="22"/>
        </w:rPr>
        <w:t xml:space="preserve">o de negocios. </w:t>
      </w:r>
    </w:p>
    <w:p w14:paraId="0A009FDA"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5012C76"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b/>
          <w:i/>
          <w:sz w:val="22"/>
          <w:szCs w:val="22"/>
        </w:rPr>
        <w:t>Artículo 27.</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Secretaría Ejecutiva del Sistema Estatal y Municipal Anticorrupción, estará a cargo del sistema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 evolución patrimonial, de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declaración de intereses</w:t>
      </w:r>
      <w:r>
        <w:rPr>
          <w:rFonts w:ascii="Palatino Linotype" w:eastAsia="Palatino Linotype" w:hAnsi="Palatino Linotype" w:cs="Palatino Linotype"/>
          <w:i/>
          <w:sz w:val="22"/>
          <w:szCs w:val="22"/>
        </w:rPr>
        <w:t xml:space="preserve"> y constancia de presentación de declaración fiscal, a través de la plataforma digital estatal que al efecto se establezca, de conformidad con lo previsto en la Ley General, en la Ley del Sistema, así como las bases, principios y lineamientos que apruebe el Comité Coordinador. </w:t>
      </w:r>
    </w:p>
    <w:p w14:paraId="29138289" w14:textId="77777777" w:rsidR="00287EC7" w:rsidRDefault="00287EC7">
      <w:pPr>
        <w:ind w:right="1041"/>
        <w:jc w:val="both"/>
        <w:rPr>
          <w:rFonts w:ascii="Palatino Linotype" w:eastAsia="Palatino Linotype" w:hAnsi="Palatino Linotype" w:cs="Palatino Linotype"/>
          <w:i/>
          <w:sz w:val="22"/>
          <w:szCs w:val="22"/>
        </w:rPr>
      </w:pPr>
    </w:p>
    <w:p w14:paraId="6C83892C"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28.</w:t>
      </w:r>
      <w:r>
        <w:rPr>
          <w:rFonts w:ascii="Palatino Linotype" w:eastAsia="Palatino Linotype" w:hAnsi="Palatino Linotype" w:cs="Palatino Linotype"/>
          <w:i/>
          <w:sz w:val="22"/>
          <w:szCs w:val="22"/>
        </w:rPr>
        <w:t xml:space="preserve"> La información prevista en el sistema de evolución patrimonial, de declaración de intereses y presentación de la constancia de declaración fiscal, </w:t>
      </w:r>
      <w:r>
        <w:rPr>
          <w:rFonts w:ascii="Palatino Linotype" w:eastAsia="Palatino Linotype" w:hAnsi="Palatino Linotype" w:cs="Palatino Linotype"/>
          <w:b/>
          <w:i/>
          <w:sz w:val="22"/>
          <w:szCs w:val="22"/>
        </w:rPr>
        <w:t>se almacenará en la plataforma digital estatal que contendrá la información que para efectos de las funciones de los sistemas Nacional, Estatal y Municipal Anticorrupción,</w:t>
      </w:r>
      <w:r>
        <w:rPr>
          <w:rFonts w:ascii="Palatino Linotype" w:eastAsia="Palatino Linotype" w:hAnsi="Palatino Linotype" w:cs="Palatino Linotype"/>
          <w:i/>
          <w:sz w:val="22"/>
          <w:szCs w:val="22"/>
        </w:rPr>
        <w:t xml:space="preserve">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p>
    <w:p w14:paraId="0D326129" w14:textId="77777777" w:rsidR="00287EC7" w:rsidRDefault="00287EC7">
      <w:pPr>
        <w:ind w:left="851" w:right="1041"/>
        <w:jc w:val="both"/>
        <w:rPr>
          <w:rFonts w:ascii="Palatino Linotype" w:eastAsia="Palatino Linotype" w:hAnsi="Palatino Linotype" w:cs="Palatino Linotype"/>
          <w:i/>
          <w:sz w:val="22"/>
          <w:szCs w:val="22"/>
        </w:rPr>
      </w:pPr>
    </w:p>
    <w:p w14:paraId="60C62541"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La plataforma digital estatal contará además con los sistemas de información específicos que estipulan la Ley del Sistema. </w:t>
      </w:r>
    </w:p>
    <w:p w14:paraId="2C9013C5" w14:textId="77777777" w:rsidR="00287EC7" w:rsidRDefault="00287EC7">
      <w:pPr>
        <w:ind w:left="851" w:right="1041"/>
        <w:jc w:val="both"/>
        <w:rPr>
          <w:rFonts w:ascii="Palatino Linotype" w:eastAsia="Palatino Linotype" w:hAnsi="Palatino Linotype" w:cs="Palatino Linotype"/>
          <w:i/>
          <w:sz w:val="22"/>
          <w:szCs w:val="22"/>
        </w:rPr>
      </w:pPr>
    </w:p>
    <w:p w14:paraId="2E532849"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29. </w:t>
      </w:r>
      <w:r>
        <w:rPr>
          <w:rFonts w:ascii="Palatino Linotype" w:eastAsia="Palatino Linotype" w:hAnsi="Palatino Linotype" w:cs="Palatino Linotype"/>
          <w:i/>
          <w:sz w:val="22"/>
          <w:szCs w:val="22"/>
        </w:rPr>
        <w:t xml:space="preserve">Las declaraciones patrimoniales y de intereses </w:t>
      </w:r>
      <w:r>
        <w:rPr>
          <w:rFonts w:ascii="Palatino Linotype" w:eastAsia="Palatino Linotype" w:hAnsi="Palatino Linotype" w:cs="Palatino Linotype"/>
          <w:b/>
          <w:i/>
          <w:sz w:val="22"/>
          <w:szCs w:val="22"/>
        </w:rPr>
        <w:t>serán públicas salvo los rubros cuya publicidad pueda afectar la vida privada o los datos personales</w:t>
      </w:r>
      <w:r>
        <w:rPr>
          <w:rFonts w:ascii="Palatino Linotype" w:eastAsia="Palatino Linotype" w:hAnsi="Palatino Linotype" w:cs="Palatino Linotype"/>
          <w:i/>
          <w:sz w:val="22"/>
          <w:szCs w:val="22"/>
        </w:rPr>
        <w:t xml:space="preserve"> protegidos por la Constitución. Para tal efecto, el Comité Coordinador, a propuesta del Comité de Participación Ciudadana, emitirá los formatos respectivos, garantizando que los rubros que pudieran afectar los derechos aludidos queden en resguardo de las autoridades competentes.”</w:t>
      </w:r>
    </w:p>
    <w:p w14:paraId="473D4971" w14:textId="77777777" w:rsidR="00287EC7" w:rsidRDefault="00287EC7">
      <w:pPr>
        <w:ind w:left="851" w:right="1041"/>
        <w:jc w:val="both"/>
        <w:rPr>
          <w:rFonts w:ascii="Palatino Linotype" w:eastAsia="Palatino Linotype" w:hAnsi="Palatino Linotype" w:cs="Palatino Linotype"/>
          <w:i/>
          <w:sz w:val="22"/>
          <w:szCs w:val="22"/>
        </w:rPr>
      </w:pPr>
    </w:p>
    <w:p w14:paraId="1537547D"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sistema de evolución patrimonial, de declaración de intereses y de constancia de presentación de la declaración fiscal de la plataforma digital estatal</w:t>
      </w:r>
      <w:r>
        <w:rPr>
          <w:rFonts w:ascii="Palatino Linotype" w:eastAsia="Palatino Linotype" w:hAnsi="Palatino Linotype" w:cs="Palatino Linotype"/>
          <w:b/>
          <w:i/>
          <w:sz w:val="22"/>
          <w:szCs w:val="22"/>
        </w:rPr>
        <w:t>, se inscribirán los datos públicos de los servidores públicos obligados a presentar declaraciones de situación patrimonial y de intereses</w:t>
      </w:r>
      <w:r>
        <w:rPr>
          <w:rFonts w:ascii="Palatino Linotype" w:eastAsia="Palatino Linotype" w:hAnsi="Palatino Linotype" w:cs="Palatino Linotype"/>
          <w:i/>
          <w:sz w:val="22"/>
          <w:szCs w:val="22"/>
        </w:rPr>
        <w:t>. De igual forma, se inscribirá la constancia que para efectos de esta Ley emita la autoridad fiscal, sobre la presentación de la declaración anual de impuestos.</w:t>
      </w:r>
    </w:p>
    <w:p w14:paraId="06B0EA20" w14:textId="77777777" w:rsidR="00287EC7" w:rsidRDefault="00287EC7">
      <w:pPr>
        <w:ind w:left="851" w:right="1041"/>
        <w:jc w:val="both"/>
        <w:rPr>
          <w:rFonts w:ascii="Palatino Linotype" w:eastAsia="Palatino Linotype" w:hAnsi="Palatino Linotype" w:cs="Palatino Linotype"/>
          <w:i/>
          <w:sz w:val="22"/>
          <w:szCs w:val="22"/>
        </w:rPr>
      </w:pPr>
    </w:p>
    <w:p w14:paraId="4C126F44"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30. Las declaraciones patrimonial y de intereses, serán públicas salvo los rubros cuya publicidad pueda afectar la vida privada o los datos personales protegidos por las Constituciones federal y local</w:t>
      </w:r>
      <w:r>
        <w:rPr>
          <w:rFonts w:ascii="Palatino Linotype" w:eastAsia="Palatino Linotype" w:hAnsi="Palatino Linotype" w:cs="Palatino Linotype"/>
          <w:i/>
          <w:sz w:val="22"/>
          <w:szCs w:val="22"/>
        </w:rPr>
        <w:t xml:space="preserve">.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 </w:t>
      </w:r>
    </w:p>
    <w:p w14:paraId="7A4372E5" w14:textId="77777777" w:rsidR="00287EC7" w:rsidRDefault="00287EC7">
      <w:pPr>
        <w:ind w:left="851" w:right="1041"/>
        <w:jc w:val="both"/>
        <w:rPr>
          <w:rFonts w:ascii="Palatino Linotype" w:eastAsia="Palatino Linotype" w:hAnsi="Palatino Linotype" w:cs="Palatino Linotype"/>
          <w:i/>
          <w:sz w:val="22"/>
          <w:szCs w:val="22"/>
        </w:rPr>
      </w:pPr>
    </w:p>
    <w:p w14:paraId="089BAA50"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Secretaría de la Contraloría y</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órganos internos de control, según sea el caso, deberán realizar una verificación aleatoria de las declaraciones patrimoniales que obren en el sistema</w:t>
      </w:r>
      <w:r>
        <w:rPr>
          <w:rFonts w:ascii="Palatino Linotype" w:eastAsia="Palatino Linotype" w:hAnsi="Palatino Linotype" w:cs="Palatino Linotype"/>
          <w:i/>
          <w:sz w:val="22"/>
          <w:szCs w:val="22"/>
        </w:rPr>
        <w:t xml:space="preserve"> de evolución patrimonial, de </w:t>
      </w:r>
      <w:r>
        <w:rPr>
          <w:rFonts w:ascii="Palatino Linotype" w:eastAsia="Palatino Linotype" w:hAnsi="Palatino Linotype" w:cs="Palatino Linotype"/>
          <w:b/>
          <w:i/>
          <w:sz w:val="22"/>
          <w:szCs w:val="22"/>
        </w:rPr>
        <w:t>declaración de intereses</w:t>
      </w:r>
      <w:r>
        <w:rPr>
          <w:rFonts w:ascii="Palatino Linotype" w:eastAsia="Palatino Linotype" w:hAnsi="Palatino Linotype" w:cs="Palatino Linotype"/>
          <w:i/>
          <w:sz w:val="22"/>
          <w:szCs w:val="22"/>
        </w:rPr>
        <w:t xml:space="preserve"> y constancia de presentación de declaración fiscal, así como de la evolución del patrimonio de los servidores públicos. </w:t>
      </w:r>
    </w:p>
    <w:p w14:paraId="56E180EC" w14:textId="77777777" w:rsidR="00287EC7" w:rsidRDefault="00287EC7">
      <w:pPr>
        <w:ind w:left="851" w:right="1041"/>
        <w:jc w:val="both"/>
        <w:rPr>
          <w:rFonts w:ascii="Palatino Linotype" w:eastAsia="Palatino Linotype" w:hAnsi="Palatino Linotype" w:cs="Palatino Linotype"/>
          <w:i/>
          <w:sz w:val="22"/>
          <w:szCs w:val="22"/>
        </w:rPr>
      </w:pPr>
    </w:p>
    <w:p w14:paraId="241BD0FA"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32.</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Secretaría de la Contraloría</w:t>
      </w:r>
      <w:r>
        <w:rPr>
          <w:rFonts w:ascii="Palatino Linotype" w:eastAsia="Palatino Linotype" w:hAnsi="Palatino Linotype" w:cs="Palatino Linotype"/>
          <w:i/>
          <w:sz w:val="22"/>
          <w:szCs w:val="22"/>
        </w:rPr>
        <w:t xml:space="preserve">, así como los órganos internos de control, según corresponda, </w:t>
      </w:r>
      <w:r>
        <w:rPr>
          <w:rFonts w:ascii="Palatino Linotype" w:eastAsia="Palatino Linotype" w:hAnsi="Palatino Linotype" w:cs="Palatino Linotype"/>
          <w:b/>
          <w:i/>
          <w:sz w:val="22"/>
          <w:szCs w:val="22"/>
        </w:rPr>
        <w:t>serán responsables de inscribir y mantener actualizada en el sistema de evolución patrimonial, de declaración de intereses</w:t>
      </w:r>
      <w:r>
        <w:rPr>
          <w:rFonts w:ascii="Palatino Linotype" w:eastAsia="Palatino Linotype" w:hAnsi="Palatino Linotype" w:cs="Palatino Linotype"/>
          <w:i/>
          <w:sz w:val="22"/>
          <w:szCs w:val="22"/>
        </w:rPr>
        <w:t xml:space="preserve"> y de presentación de la constancia de declaración fiscal, la información correspondiente a sus servidores públicos declarantes.</w:t>
      </w:r>
    </w:p>
    <w:p w14:paraId="5A2CC83B" w14:textId="77777777" w:rsidR="00287EC7" w:rsidRDefault="00287EC7">
      <w:pPr>
        <w:ind w:left="851" w:right="1041"/>
        <w:jc w:val="both"/>
        <w:rPr>
          <w:rFonts w:ascii="Palatino Linotype" w:eastAsia="Palatino Linotype" w:hAnsi="Palatino Linotype" w:cs="Palatino Linotype"/>
          <w:i/>
          <w:sz w:val="22"/>
          <w:szCs w:val="22"/>
        </w:rPr>
      </w:pPr>
    </w:p>
    <w:p w14:paraId="030A6F3B"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Asimismo, verificarán la situación o posible actualización de algún conflicto de interés, según la información proporcionada, llevarán el seguimiento de la evolución y la verificación de la situación patrimonial de dichos declarantes, en los términos de la presente Ley.</w:t>
      </w:r>
    </w:p>
    <w:p w14:paraId="4259DE36" w14:textId="77777777" w:rsidR="00287EC7" w:rsidRDefault="00287EC7">
      <w:pPr>
        <w:ind w:left="851" w:right="1041"/>
        <w:jc w:val="both"/>
        <w:rPr>
          <w:rFonts w:ascii="Palatino Linotype" w:eastAsia="Palatino Linotype" w:hAnsi="Palatino Linotype" w:cs="Palatino Linotype"/>
          <w:i/>
          <w:sz w:val="22"/>
          <w:szCs w:val="22"/>
        </w:rPr>
      </w:pPr>
    </w:p>
    <w:p w14:paraId="0CAE84CE"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encuentran obligados a presentar declaración de intereses todos los servidores públicos que deban presentar la declaración de situación patrimonial, en términos de la presente Ley.</w:t>
      </w:r>
    </w:p>
    <w:p w14:paraId="1E298C62" w14:textId="77777777" w:rsidR="00287EC7" w:rsidRDefault="00287EC7">
      <w:pPr>
        <w:ind w:left="851" w:right="1041"/>
        <w:jc w:val="both"/>
        <w:rPr>
          <w:rFonts w:ascii="Palatino Linotype" w:eastAsia="Palatino Linotype" w:hAnsi="Palatino Linotype" w:cs="Palatino Linotype"/>
          <w:i/>
          <w:sz w:val="22"/>
          <w:szCs w:val="22"/>
        </w:rPr>
      </w:pPr>
    </w:p>
    <w:p w14:paraId="3AFB5242"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tal efecto, </w:t>
      </w:r>
      <w:r>
        <w:rPr>
          <w:rFonts w:ascii="Palatino Linotype" w:eastAsia="Palatino Linotype" w:hAnsi="Palatino Linotype" w:cs="Palatino Linotype"/>
          <w:b/>
          <w:i/>
          <w:sz w:val="22"/>
          <w:szCs w:val="22"/>
        </w:rPr>
        <w:t>la Secretaría de la Contraloría y los órganos internos de control se encargarán que las declaraciones sean integradas al sistema de evolución patrimonial, de declaración de intereses</w:t>
      </w:r>
      <w:r>
        <w:rPr>
          <w:rFonts w:ascii="Palatino Linotype" w:eastAsia="Palatino Linotype" w:hAnsi="Palatino Linotype" w:cs="Palatino Linotype"/>
          <w:i/>
          <w:sz w:val="22"/>
          <w:szCs w:val="22"/>
        </w:rPr>
        <w:t xml:space="preserve"> y presentación de la constancia de declaración fiscal.</w:t>
      </w:r>
    </w:p>
    <w:p w14:paraId="568F92D4" w14:textId="77777777" w:rsidR="00287EC7" w:rsidRDefault="00287EC7">
      <w:pPr>
        <w:ind w:left="851" w:right="1041"/>
        <w:jc w:val="both"/>
        <w:rPr>
          <w:rFonts w:ascii="Palatino Linotype" w:eastAsia="Palatino Linotype" w:hAnsi="Palatino Linotype" w:cs="Palatino Linotype"/>
          <w:i/>
          <w:sz w:val="22"/>
          <w:szCs w:val="22"/>
        </w:rPr>
      </w:pPr>
    </w:p>
    <w:p w14:paraId="5D00BB96"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45.</w:t>
      </w:r>
      <w:r>
        <w:rPr>
          <w:rFonts w:ascii="Palatino Linotype" w:eastAsia="Palatino Linotype" w:hAnsi="Palatino Linotype" w:cs="Palatino Linotype"/>
          <w:i/>
          <w:sz w:val="22"/>
          <w:szCs w:val="22"/>
        </w:rPr>
        <w:t xml:space="preserve"> Para efectos del artículo anterior habrá conflicto de interés en los supuestos establecidos en la fracción V del artículo 3 de la presente Ley.</w:t>
      </w:r>
    </w:p>
    <w:p w14:paraId="00294AE7" w14:textId="77777777" w:rsidR="00287EC7" w:rsidRDefault="00287EC7">
      <w:pPr>
        <w:ind w:left="851" w:right="1041"/>
        <w:jc w:val="both"/>
        <w:rPr>
          <w:rFonts w:ascii="Palatino Linotype" w:eastAsia="Palatino Linotype" w:hAnsi="Palatino Linotype" w:cs="Palatino Linotype"/>
          <w:i/>
          <w:sz w:val="22"/>
          <w:szCs w:val="22"/>
        </w:rPr>
      </w:pPr>
    </w:p>
    <w:p w14:paraId="4B2B387D"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declaración de intereses tendrá por objeto informar y determinar el conjunto de intereses de un servidor público a fin de delimitar cuando éstos entran en conflicto con su función, la cual deberá contener por lo menos:</w:t>
      </w:r>
    </w:p>
    <w:p w14:paraId="5422F292" w14:textId="77777777" w:rsidR="00287EC7" w:rsidRDefault="00287EC7">
      <w:pPr>
        <w:ind w:left="851" w:right="1041"/>
        <w:jc w:val="both"/>
        <w:rPr>
          <w:rFonts w:ascii="Palatino Linotype" w:eastAsia="Palatino Linotype" w:hAnsi="Palatino Linotype" w:cs="Palatino Linotype"/>
          <w:i/>
          <w:sz w:val="22"/>
          <w:szCs w:val="22"/>
        </w:rPr>
      </w:pPr>
    </w:p>
    <w:p w14:paraId="5BC0A720"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Intereses personales del declarante que pudieran influir en el empleo, cargo o comisión:</w:t>
      </w:r>
    </w:p>
    <w:p w14:paraId="08D85989"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Datos del cónyuge, concubina o concubinario y dependientes económicos que laboren en el Gobierno Federal, Estatal o Municipal, o en órganos autónomos.</w:t>
      </w:r>
    </w:p>
    <w:p w14:paraId="6EEF8740"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w:t>
      </w:r>
      <w:r>
        <w:rPr>
          <w:rFonts w:ascii="Palatino Linotype" w:eastAsia="Palatino Linotype" w:hAnsi="Palatino Linotype" w:cs="Palatino Linotype"/>
          <w:b/>
          <w:i/>
          <w:sz w:val="22"/>
          <w:szCs w:val="22"/>
        </w:rPr>
        <w:t>Familiares consanguíneos hasta el cuarto grado por afinidad o civil, que laboren en el Gobierno Federal, Estatal o Municipal, o en órganos autónomos</w:t>
      </w:r>
      <w:r>
        <w:rPr>
          <w:rFonts w:ascii="Palatino Linotype" w:eastAsia="Palatino Linotype" w:hAnsi="Palatino Linotype" w:cs="Palatino Linotype"/>
          <w:i/>
          <w:sz w:val="22"/>
          <w:szCs w:val="22"/>
        </w:rPr>
        <w:t>.</w:t>
      </w:r>
    </w:p>
    <w:p w14:paraId="7624A213" w14:textId="77777777" w:rsidR="00287EC7" w:rsidRDefault="00287EC7">
      <w:pPr>
        <w:ind w:left="851" w:right="1041"/>
        <w:jc w:val="both"/>
        <w:rPr>
          <w:rFonts w:ascii="Palatino Linotype" w:eastAsia="Palatino Linotype" w:hAnsi="Palatino Linotype" w:cs="Palatino Linotype"/>
          <w:i/>
          <w:sz w:val="22"/>
          <w:szCs w:val="22"/>
        </w:rPr>
      </w:pPr>
    </w:p>
    <w:p w14:paraId="766AAE9B"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46.</w:t>
      </w:r>
      <w:r>
        <w:rPr>
          <w:rFonts w:ascii="Palatino Linotype" w:eastAsia="Palatino Linotype" w:hAnsi="Palatino Linotype" w:cs="Palatino Linotype"/>
          <w:i/>
          <w:sz w:val="22"/>
          <w:szCs w:val="22"/>
        </w:rPr>
        <w:t xml:space="preserve"> El Comité Coordinador, a propuesta del Comité de Participación Ciudadana, expedirá las normas, manuales e instructivos, así como los formatos impresos y electrónicos, bajo los cuales los declarantes deberán presentar la </w:t>
      </w:r>
      <w:r>
        <w:rPr>
          <w:rFonts w:ascii="Palatino Linotype" w:eastAsia="Palatino Linotype" w:hAnsi="Palatino Linotype" w:cs="Palatino Linotype"/>
          <w:b/>
          <w:i/>
          <w:sz w:val="22"/>
          <w:szCs w:val="22"/>
        </w:rPr>
        <w:t>declaración de intereses,</w:t>
      </w:r>
      <w:r>
        <w:rPr>
          <w:rFonts w:ascii="Palatino Linotype" w:eastAsia="Palatino Linotype" w:hAnsi="Palatino Linotype" w:cs="Palatino Linotype"/>
          <w:i/>
          <w:sz w:val="22"/>
          <w:szCs w:val="22"/>
        </w:rPr>
        <w:t xml:space="preserve"> observando lo dispuesto en el artículo 30 de esta Ley.</w:t>
      </w:r>
    </w:p>
    <w:p w14:paraId="75B96C50" w14:textId="77777777" w:rsidR="00287EC7" w:rsidRDefault="00287EC7">
      <w:pPr>
        <w:ind w:left="851" w:right="1041"/>
        <w:jc w:val="both"/>
        <w:rPr>
          <w:rFonts w:ascii="Palatino Linotype" w:eastAsia="Palatino Linotype" w:hAnsi="Palatino Linotype" w:cs="Palatino Linotype"/>
          <w:i/>
          <w:sz w:val="22"/>
          <w:szCs w:val="22"/>
        </w:rPr>
      </w:pPr>
    </w:p>
    <w:p w14:paraId="657D2A94" w14:textId="77777777" w:rsidR="00287EC7" w:rsidRDefault="0001312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declaración de intereses deberá presentarse en los plazos a que se refiere el artículo 34 de esta Ley, y de la misma manera le serán aplicables los procedimientos establecidos en dicho artículo, para el incumplimiento de dichos plazos. El servidor público deberá presentar la declaración en cualquier momento en el que, en el ejercicio de sus funciones, considere que se puede actualizar un posible conflicto de interés.” (Sic)</w:t>
      </w:r>
    </w:p>
    <w:p w14:paraId="0DD750CD" w14:textId="77777777" w:rsidR="00287EC7" w:rsidRDefault="00287EC7">
      <w:pPr>
        <w:ind w:left="851" w:right="1041"/>
        <w:jc w:val="both"/>
        <w:rPr>
          <w:rFonts w:ascii="Palatino Linotype" w:eastAsia="Palatino Linotype" w:hAnsi="Palatino Linotype" w:cs="Palatino Linotype"/>
          <w:i/>
          <w:sz w:val="22"/>
          <w:szCs w:val="22"/>
        </w:rPr>
      </w:pPr>
    </w:p>
    <w:p w14:paraId="18438491" w14:textId="77777777" w:rsidR="00287EC7" w:rsidRDefault="00287EC7">
      <w:pPr>
        <w:spacing w:line="360" w:lineRule="auto"/>
        <w:ind w:right="-93"/>
        <w:jc w:val="both"/>
        <w:rPr>
          <w:rFonts w:ascii="Palatino Linotype" w:eastAsia="Palatino Linotype" w:hAnsi="Palatino Linotype" w:cs="Palatino Linotype"/>
        </w:rPr>
      </w:pPr>
    </w:p>
    <w:p w14:paraId="71417C13"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preceptos antes citados, se advierte que el sistema de declaración de intereses,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p>
    <w:p w14:paraId="7841D717" w14:textId="77777777" w:rsidR="00287EC7" w:rsidRDefault="00287EC7">
      <w:pPr>
        <w:spacing w:line="360" w:lineRule="auto"/>
        <w:jc w:val="both"/>
        <w:rPr>
          <w:rFonts w:ascii="Palatino Linotype" w:eastAsia="Palatino Linotype" w:hAnsi="Palatino Linotype" w:cs="Palatino Linotype"/>
        </w:rPr>
      </w:pPr>
    </w:p>
    <w:p w14:paraId="10E586AB" w14:textId="77777777" w:rsidR="00287EC7" w:rsidRDefault="00013122">
      <w:pPr>
        <w:spacing w:line="360" w:lineRule="auto"/>
        <w:ind w:right="18"/>
        <w:jc w:val="both"/>
        <w:rPr>
          <w:rFonts w:ascii="Palatino Linotype" w:eastAsia="Palatino Linotype" w:hAnsi="Palatino Linotype" w:cs="Palatino Linotype"/>
        </w:rPr>
      </w:pPr>
      <w:r>
        <w:rPr>
          <w:rFonts w:ascii="Palatino Linotype" w:eastAsia="Palatino Linotype" w:hAnsi="Palatino Linotype" w:cs="Palatino Linotype"/>
        </w:rPr>
        <w:lastRenderedPageBreak/>
        <w:t>En el sistema de declaración de intereses, se inscribirán los datos públicos de los servidores públicos obligados a presentar declaraciones y de intereses.</w:t>
      </w:r>
    </w:p>
    <w:p w14:paraId="506C0498" w14:textId="77777777" w:rsidR="00287EC7" w:rsidRDefault="00287EC7">
      <w:pPr>
        <w:spacing w:line="360" w:lineRule="auto"/>
        <w:jc w:val="both"/>
        <w:rPr>
          <w:rFonts w:ascii="Palatino Linotype" w:eastAsia="Palatino Linotype" w:hAnsi="Palatino Linotype" w:cs="Palatino Linotype"/>
        </w:rPr>
      </w:pPr>
    </w:p>
    <w:p w14:paraId="5AF91714" w14:textId="77777777" w:rsidR="00287EC7" w:rsidRDefault="00013122">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Siendo pertinente agregar que el artículo 32, refiere que la Secretaría de la Contraloría, así como los órganos internos de control, según corresponda, </w:t>
      </w:r>
      <w:r>
        <w:rPr>
          <w:rFonts w:ascii="Palatino Linotype" w:eastAsia="Palatino Linotype" w:hAnsi="Palatino Linotype" w:cs="Palatino Linotype"/>
          <w:b/>
        </w:rPr>
        <w:t>serán responsables de inscribir y mantener actualizada en el sistema de evolución de declaración de intereses, la información correspondiente a sus servidores públicos declarantes. Asimismo, verificarán la situación o posible actualización de algún conflicto de interés, según la información proporcionada, llevarán el seguimiento de</w:t>
      </w:r>
      <w:r>
        <w:rPr>
          <w:b/>
        </w:rPr>
        <w:t xml:space="preserve"> </w:t>
      </w:r>
      <w:r>
        <w:rPr>
          <w:rFonts w:ascii="Palatino Linotype" w:eastAsia="Palatino Linotype" w:hAnsi="Palatino Linotype" w:cs="Palatino Linotype"/>
          <w:b/>
        </w:rPr>
        <w:t>la evolución y la verificación de la situación patrimonial de dichos declarantes, en los términos de la presente Ley.</w:t>
      </w:r>
    </w:p>
    <w:p w14:paraId="20F74EA2" w14:textId="77777777" w:rsidR="00287EC7" w:rsidRDefault="00287EC7">
      <w:pPr>
        <w:spacing w:line="360" w:lineRule="auto"/>
        <w:jc w:val="both"/>
      </w:pPr>
    </w:p>
    <w:p w14:paraId="4A9053B3"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tales efectos, la Secretaría de la Contraloría podrá firmar Convenios con el Servicio de Administración Tributaria, con la Comisión Nacional Bancaria y de Valores, con la Secretaría de Finanzas del Gobierno del Estado de México, con el Instituto de la Función Registral, así como con las distintas autoridades que tengan a su disposición datos, información o documentos que puedan servir para verificar la información declarada por los servidores públicos. </w:t>
      </w:r>
    </w:p>
    <w:p w14:paraId="1DE7D25F" w14:textId="77777777" w:rsidR="00287EC7" w:rsidRDefault="00287EC7">
      <w:pPr>
        <w:spacing w:line="360" w:lineRule="auto"/>
        <w:jc w:val="both"/>
      </w:pPr>
    </w:p>
    <w:p w14:paraId="617E3FE8"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al marco normativo planteado, es indispensable traer a colación lo previsto en el artículo 38 bis, fracción XVII de la Ley Orgánica de la Administración Pública del Estado de México, en el que se establece como competencia de la Secretaría de la Contraloría, recibir y registrar la declaración de intereses y </w:t>
      </w:r>
      <w:r>
        <w:rPr>
          <w:rFonts w:ascii="Palatino Linotype" w:eastAsia="Palatino Linotype" w:hAnsi="Palatino Linotype" w:cs="Palatino Linotype"/>
        </w:rPr>
        <w:lastRenderedPageBreak/>
        <w:t>determinar el Conflicto de Intereses de los servidores públicos del Estado y municipios.</w:t>
      </w:r>
    </w:p>
    <w:p w14:paraId="4366865E" w14:textId="77777777" w:rsidR="00287EC7" w:rsidRDefault="00287EC7">
      <w:pPr>
        <w:spacing w:line="360" w:lineRule="auto"/>
        <w:jc w:val="both"/>
        <w:rPr>
          <w:rFonts w:ascii="Palatino Linotype" w:eastAsia="Palatino Linotype" w:hAnsi="Palatino Linotype" w:cs="Palatino Linotype"/>
          <w:b/>
        </w:rPr>
      </w:pPr>
    </w:p>
    <w:p w14:paraId="0705C590" w14:textId="753924FD"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el Reglamento Interior de la Secretaría de la Contraloría,  señala lo siguiente:</w:t>
      </w:r>
    </w:p>
    <w:p w14:paraId="0378E767" w14:textId="77777777" w:rsidR="00287EC7" w:rsidRDefault="00013122">
      <w:pPr>
        <w:spacing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24.</w:t>
      </w:r>
      <w:r>
        <w:rPr>
          <w:rFonts w:ascii="Palatino Linotype" w:eastAsia="Palatino Linotype" w:hAnsi="Palatino Linotype" w:cs="Palatino Linotype"/>
          <w:i/>
          <w:sz w:val="22"/>
          <w:szCs w:val="22"/>
        </w:rPr>
        <w:t xml:space="preserve"> A la Dirección General de Responsabilidades Administrativas, corresponden las atribuciones siguientes:</w:t>
      </w:r>
    </w:p>
    <w:p w14:paraId="505215D6" w14:textId="77777777" w:rsidR="00287EC7" w:rsidRDefault="00013122">
      <w:pPr>
        <w:spacing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81C8E27" w14:textId="77777777" w:rsidR="00287EC7" w:rsidRDefault="00013122">
      <w:pPr>
        <w:spacing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w:t>
      </w:r>
      <w:r>
        <w:rPr>
          <w:rFonts w:ascii="Palatino Linotype" w:eastAsia="Palatino Linotype" w:hAnsi="Palatino Linotype" w:cs="Palatino Linotype"/>
          <w:b/>
          <w:i/>
          <w:sz w:val="22"/>
          <w:szCs w:val="22"/>
        </w:rPr>
        <w:t>Recibir las declaraciones</w:t>
      </w:r>
      <w:r>
        <w:rPr>
          <w:rFonts w:ascii="Palatino Linotype" w:eastAsia="Palatino Linotype" w:hAnsi="Palatino Linotype" w:cs="Palatino Linotype"/>
          <w:i/>
          <w:sz w:val="22"/>
          <w:szCs w:val="22"/>
        </w:rPr>
        <w:t xml:space="preserve"> de situación patrimonial, </w:t>
      </w:r>
      <w:r>
        <w:rPr>
          <w:rFonts w:ascii="Palatino Linotype" w:eastAsia="Palatino Linotype" w:hAnsi="Palatino Linotype" w:cs="Palatino Linotype"/>
          <w:b/>
          <w:i/>
          <w:sz w:val="22"/>
          <w:szCs w:val="22"/>
        </w:rPr>
        <w:t>de intereses</w:t>
      </w:r>
      <w:r>
        <w:rPr>
          <w:rFonts w:ascii="Palatino Linotype" w:eastAsia="Palatino Linotype" w:hAnsi="Palatino Linotype" w:cs="Palatino Linotype"/>
          <w:i/>
          <w:sz w:val="22"/>
          <w:szCs w:val="22"/>
        </w:rPr>
        <w:t xml:space="preserve"> y el </w:t>
      </w:r>
      <w:r>
        <w:rPr>
          <w:rFonts w:ascii="Palatino Linotype" w:eastAsia="Palatino Linotype" w:hAnsi="Palatino Linotype" w:cs="Palatino Linotype"/>
          <w:b/>
          <w:i/>
          <w:sz w:val="22"/>
          <w:szCs w:val="22"/>
        </w:rPr>
        <w:t>acuse de la presentación de la declaración fiscal de los servidores públicos de la Administración Pública Estatal y Municipal</w:t>
      </w:r>
      <w:r>
        <w:rPr>
          <w:rFonts w:ascii="Palatino Linotype" w:eastAsia="Palatino Linotype" w:hAnsi="Palatino Linotype" w:cs="Palatino Linotype"/>
          <w:i/>
          <w:sz w:val="22"/>
          <w:szCs w:val="22"/>
        </w:rPr>
        <w:t>;</w:t>
      </w:r>
    </w:p>
    <w:p w14:paraId="7A865F15" w14:textId="77777777" w:rsidR="00287EC7" w:rsidRDefault="00287EC7">
      <w:pPr>
        <w:spacing w:line="276" w:lineRule="auto"/>
        <w:ind w:left="1080" w:right="918"/>
        <w:jc w:val="both"/>
        <w:rPr>
          <w:rFonts w:ascii="Palatino Linotype" w:eastAsia="Palatino Linotype" w:hAnsi="Palatino Linotype" w:cs="Palatino Linotype"/>
          <w:i/>
          <w:sz w:val="22"/>
          <w:szCs w:val="22"/>
        </w:rPr>
      </w:pPr>
    </w:p>
    <w:p w14:paraId="0FFA9EA5" w14:textId="77777777" w:rsidR="00287EC7" w:rsidRDefault="00013122">
      <w:pPr>
        <w:spacing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w:t>
      </w:r>
      <w:r>
        <w:rPr>
          <w:rFonts w:ascii="Palatino Linotype" w:eastAsia="Palatino Linotype" w:hAnsi="Palatino Linotype" w:cs="Palatino Linotype"/>
          <w:b/>
          <w:i/>
          <w:sz w:val="22"/>
          <w:szCs w:val="22"/>
        </w:rPr>
        <w:t>Coordinar y llevar el registro y resguardo de las declaraciones de</w:t>
      </w:r>
      <w:r>
        <w:rPr>
          <w:rFonts w:ascii="Palatino Linotype" w:eastAsia="Palatino Linotype" w:hAnsi="Palatino Linotype" w:cs="Palatino Linotype"/>
          <w:i/>
          <w:sz w:val="22"/>
          <w:szCs w:val="22"/>
        </w:rPr>
        <w:t xml:space="preserve"> situación patrimonial</w:t>
      </w:r>
      <w:r>
        <w:rPr>
          <w:rFonts w:ascii="Palatino Linotype" w:eastAsia="Palatino Linotype" w:hAnsi="Palatino Linotype" w:cs="Palatino Linotype"/>
          <w:b/>
          <w:i/>
          <w:sz w:val="22"/>
          <w:szCs w:val="22"/>
        </w:rPr>
        <w:t>, de intereses</w:t>
      </w:r>
      <w:r>
        <w:rPr>
          <w:rFonts w:ascii="Palatino Linotype" w:eastAsia="Palatino Linotype" w:hAnsi="Palatino Linotype" w:cs="Palatino Linotype"/>
          <w:i/>
          <w:sz w:val="22"/>
          <w:szCs w:val="22"/>
        </w:rPr>
        <w:t xml:space="preserve"> y el acuse de la presentación de la declaración fiscal </w:t>
      </w:r>
      <w:r>
        <w:rPr>
          <w:rFonts w:ascii="Palatino Linotype" w:eastAsia="Palatino Linotype" w:hAnsi="Palatino Linotype" w:cs="Palatino Linotype"/>
          <w:b/>
          <w:i/>
          <w:sz w:val="22"/>
          <w:szCs w:val="22"/>
        </w:rPr>
        <w:t>de los servidores públicos de la Administración Pública Estatal y Municipal</w:t>
      </w:r>
      <w:r>
        <w:rPr>
          <w:rFonts w:ascii="Palatino Linotype" w:eastAsia="Palatino Linotype" w:hAnsi="Palatino Linotype" w:cs="Palatino Linotype"/>
          <w:i/>
          <w:sz w:val="22"/>
          <w:szCs w:val="22"/>
        </w:rPr>
        <w:t>, para su publicitación conforme a las disposiciones jurídicas aplicables, así como para suministrar la información correspondiente a la Plataforma Digital Nacional y Estatal del Sistema Nacional y Estatal Anticorrupción;</w:t>
      </w:r>
    </w:p>
    <w:p w14:paraId="1CA4D6B7" w14:textId="77777777" w:rsidR="00287EC7" w:rsidRDefault="00013122">
      <w:pPr>
        <w:spacing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ACDFBD9" w14:textId="77777777" w:rsidR="00287EC7" w:rsidRDefault="00287EC7">
      <w:pPr>
        <w:spacing w:line="360" w:lineRule="auto"/>
        <w:jc w:val="both"/>
        <w:rPr>
          <w:rFonts w:ascii="Palatino Linotype" w:eastAsia="Palatino Linotype" w:hAnsi="Palatino Linotype" w:cs="Palatino Linotype"/>
        </w:rPr>
      </w:pPr>
    </w:p>
    <w:p w14:paraId="4B43BE13"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lo referido, queda de manifiesto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cuenta con competencia para atender los requerimientos señalados por el particular, por ende, no se</w:t>
      </w:r>
      <w:r>
        <w:t xml:space="preserve"> </w:t>
      </w:r>
      <w:r>
        <w:rPr>
          <w:rFonts w:ascii="Palatino Linotype" w:eastAsia="Palatino Linotype" w:hAnsi="Palatino Linotype" w:cs="Palatino Linotype"/>
        </w:rPr>
        <w:t>encuentra constreñido a entregar la información requerida ante la falta de atribuciones para generar, poseer o administrar lo solicitado. Resultando aplicable el criterio 13/17 emitido por el Pleno del Instituto Nacional de Transparencia, Acceso a la Información y Protección de Datos Personales, el cual, para pronta referencia se</w:t>
      </w:r>
    </w:p>
    <w:p w14:paraId="00DFBDB1"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reproduce a continuación:</w:t>
      </w:r>
    </w:p>
    <w:p w14:paraId="227CDA29" w14:textId="77777777" w:rsidR="00287EC7" w:rsidRDefault="00287EC7">
      <w:pPr>
        <w:spacing w:line="360" w:lineRule="auto"/>
        <w:jc w:val="both"/>
        <w:rPr>
          <w:rFonts w:ascii="Palatino Linotype" w:eastAsia="Palatino Linotype" w:hAnsi="Palatino Linotype" w:cs="Palatino Linotype"/>
        </w:rPr>
      </w:pPr>
    </w:p>
    <w:p w14:paraId="2ACA2CD7" w14:textId="77777777" w:rsidR="00287EC7" w:rsidRDefault="00013122">
      <w:pPr>
        <w:spacing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Incompetencia.</w:t>
      </w:r>
      <w:r>
        <w:rPr>
          <w:rFonts w:ascii="Palatino Linotype" w:eastAsia="Palatino Linotype" w:hAnsi="Palatino Linotype" w:cs="Palatino Linotype"/>
          <w:i/>
          <w:sz w:val="22"/>
          <w:szCs w:val="22"/>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29270032" w14:textId="77777777" w:rsidR="00287EC7" w:rsidRDefault="00287EC7">
      <w:pPr>
        <w:spacing w:line="360" w:lineRule="auto"/>
        <w:jc w:val="both"/>
        <w:rPr>
          <w:rFonts w:ascii="Palatino Linotype" w:eastAsia="Palatino Linotype" w:hAnsi="Palatino Linotype" w:cs="Palatino Linotype"/>
        </w:rPr>
      </w:pPr>
    </w:p>
    <w:p w14:paraId="583F5651" w14:textId="77777777" w:rsidR="00287EC7" w:rsidRDefault="000131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que, de los preceptos legales referidos, se advierte que a la Secretaría de la Contraloría le corresponde a través de la Dirección General de Responsabilidades Administrativas, recibir, registrar y resguardar las declaraciones de intereses  de los servidores públicos de la Administración Pública Estatal y Municipal.</w:t>
      </w:r>
    </w:p>
    <w:p w14:paraId="10DF42F3" w14:textId="77777777" w:rsidR="00287EC7" w:rsidRDefault="00287EC7">
      <w:pPr>
        <w:spacing w:line="360" w:lineRule="auto"/>
        <w:jc w:val="both"/>
        <w:rPr>
          <w:rFonts w:ascii="Palatino Linotype" w:eastAsia="Palatino Linotype" w:hAnsi="Palatino Linotype" w:cs="Palatino Linotype"/>
        </w:rPr>
      </w:pPr>
    </w:p>
    <w:p w14:paraId="60181414" w14:textId="77777777" w:rsidR="00287EC7" w:rsidRDefault="00013122">
      <w:pPr>
        <w:spacing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rPr>
        <w:t xml:space="preserve">Atento a ello, es necesario manifestar que si bien es cierto la solicitud de información no es competencia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también es cierto que nos debemos apegar a lo que establece la Ley de Transparencia y Acceso a la Información Pública del Estado de México y Municipios, siendo aplicable lo que se establece los artículos 49 fracción II y 167 de la Ley de, los cuales disponen lo siguiente: </w:t>
      </w:r>
    </w:p>
    <w:p w14:paraId="16C73F20" w14:textId="77777777" w:rsidR="00287EC7" w:rsidRDefault="00287EC7">
      <w:pPr>
        <w:spacing w:line="256" w:lineRule="auto"/>
        <w:ind w:left="851" w:right="899"/>
        <w:jc w:val="both"/>
        <w:rPr>
          <w:rFonts w:ascii="Palatino Linotype" w:eastAsia="Palatino Linotype" w:hAnsi="Palatino Linotype" w:cs="Palatino Linotype"/>
          <w:b/>
          <w:i/>
          <w:highlight w:val="yellow"/>
        </w:rPr>
      </w:pPr>
    </w:p>
    <w:p w14:paraId="74CD6BC3" w14:textId="77777777" w:rsidR="00287EC7" w:rsidRDefault="00013122">
      <w:pPr>
        <w:spacing w:line="25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49. </w:t>
      </w:r>
      <w:r>
        <w:rPr>
          <w:rFonts w:ascii="Palatino Linotype" w:eastAsia="Palatino Linotype" w:hAnsi="Palatino Linotype" w:cs="Palatino Linotype"/>
          <w:i/>
        </w:rPr>
        <w:t>Los Comités de Transparencia tendrán las siguientes atribuciones:</w:t>
      </w:r>
    </w:p>
    <w:p w14:paraId="07AC2070" w14:textId="77777777" w:rsidR="00287EC7" w:rsidRDefault="00013122">
      <w:pPr>
        <w:spacing w:line="25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i/>
        </w:rPr>
        <w:t>Instituir, coordinar y supervisar en términos de las disposiciones aplicables, las acciones, medidas y procedimientos que coadyuven a asegurar una mayor eficacia en la gestión y atención de las solicitudes en materia de acceso a la información;</w:t>
      </w:r>
    </w:p>
    <w:p w14:paraId="71652141" w14:textId="77777777" w:rsidR="00287EC7" w:rsidRDefault="00013122">
      <w:pPr>
        <w:spacing w:line="256" w:lineRule="auto"/>
        <w:ind w:left="851" w:right="899"/>
        <w:jc w:val="both"/>
        <w:rPr>
          <w:rFonts w:ascii="Palatino Linotype" w:eastAsia="Palatino Linotype" w:hAnsi="Palatino Linotype" w:cs="Palatino Linotype"/>
          <w:i/>
          <w:u w:val="single"/>
        </w:rPr>
      </w:pPr>
      <w:r>
        <w:rPr>
          <w:rFonts w:ascii="Palatino Linotype" w:eastAsia="Palatino Linotype" w:hAnsi="Palatino Linotype" w:cs="Palatino Linotype"/>
          <w:b/>
          <w:i/>
        </w:rPr>
        <w:t xml:space="preserve">II. </w:t>
      </w:r>
      <w:r>
        <w:rPr>
          <w:rFonts w:ascii="Palatino Linotype" w:eastAsia="Palatino Linotype" w:hAnsi="Palatino Linotype" w:cs="Palatino Linotype"/>
          <w:i/>
        </w:rPr>
        <w:t xml:space="preserve">Confirmar, modificar o revocar las determinaciones que en materia de ampliación del plazo de respuesta, clasificación de la información y </w:t>
      </w:r>
      <w:r>
        <w:rPr>
          <w:rFonts w:ascii="Palatino Linotype" w:eastAsia="Palatino Linotype" w:hAnsi="Palatino Linotype" w:cs="Palatino Linotype"/>
          <w:b/>
          <w:i/>
          <w:u w:val="single"/>
        </w:rPr>
        <w:t xml:space="preserve">declaración </w:t>
      </w:r>
      <w:r>
        <w:rPr>
          <w:rFonts w:ascii="Palatino Linotype" w:eastAsia="Palatino Linotype" w:hAnsi="Palatino Linotype" w:cs="Palatino Linotype"/>
          <w:i/>
        </w:rPr>
        <w:t xml:space="preserve">de inexistencia </w:t>
      </w:r>
      <w:r>
        <w:rPr>
          <w:rFonts w:ascii="Palatino Linotype" w:eastAsia="Palatino Linotype" w:hAnsi="Palatino Linotype" w:cs="Palatino Linotype"/>
          <w:b/>
          <w:i/>
        </w:rPr>
        <w:t xml:space="preserve">o </w:t>
      </w:r>
      <w:r>
        <w:rPr>
          <w:rFonts w:ascii="Palatino Linotype" w:eastAsia="Palatino Linotype" w:hAnsi="Palatino Linotype" w:cs="Palatino Linotype"/>
          <w:b/>
          <w:i/>
          <w:u w:val="single"/>
        </w:rPr>
        <w:t>de incompetencia realicen los titulares de las áreas de los sujetos obligados</w:t>
      </w:r>
      <w:r>
        <w:rPr>
          <w:rFonts w:ascii="Palatino Linotype" w:eastAsia="Palatino Linotype" w:hAnsi="Palatino Linotype" w:cs="Palatino Linotype"/>
          <w:i/>
          <w:u w:val="single"/>
        </w:rPr>
        <w:t>;</w:t>
      </w:r>
    </w:p>
    <w:p w14:paraId="4FB9C023" w14:textId="77777777" w:rsidR="00287EC7" w:rsidRDefault="00287EC7">
      <w:pPr>
        <w:spacing w:line="256" w:lineRule="auto"/>
        <w:ind w:left="851" w:right="899"/>
        <w:jc w:val="both"/>
        <w:rPr>
          <w:rFonts w:ascii="Palatino Linotype" w:eastAsia="Palatino Linotype" w:hAnsi="Palatino Linotype" w:cs="Palatino Linotype"/>
          <w:i/>
        </w:rPr>
      </w:pPr>
    </w:p>
    <w:p w14:paraId="240CCC91" w14:textId="77777777" w:rsidR="00287EC7" w:rsidRDefault="00013122">
      <w:pPr>
        <w:spacing w:line="256" w:lineRule="auto"/>
        <w:ind w:left="851" w:right="899"/>
        <w:jc w:val="both"/>
        <w:rPr>
          <w:rFonts w:ascii="Palatino Linotype" w:eastAsia="Palatino Linotype" w:hAnsi="Palatino Linotype" w:cs="Palatino Linotype"/>
          <w:b/>
          <w:i/>
          <w:u w:val="single"/>
        </w:rPr>
      </w:pPr>
      <w:r>
        <w:rPr>
          <w:rFonts w:ascii="Palatino Linotype" w:eastAsia="Palatino Linotype" w:hAnsi="Palatino Linotype" w:cs="Palatino Linotype"/>
          <w:b/>
          <w:i/>
        </w:rPr>
        <w:lastRenderedPageBreak/>
        <w:t xml:space="preserve">Artículo 167. </w:t>
      </w:r>
      <w:r>
        <w:rPr>
          <w:rFonts w:ascii="Palatino Linotype" w:eastAsia="Palatino Linotype" w:hAnsi="Palatino Linotype" w:cs="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Pr>
          <w:rFonts w:ascii="Palatino Linotype" w:eastAsia="Palatino Linotype" w:hAnsi="Palatino Linotype" w:cs="Palatino Linotype"/>
          <w:b/>
          <w:i/>
          <w:u w:val="single"/>
        </w:rPr>
        <w:t>en su caso orientar al solicitante, el o los sujetos obligados competentes.”</w:t>
      </w:r>
    </w:p>
    <w:p w14:paraId="1A10A5F4" w14:textId="77777777" w:rsidR="00287EC7" w:rsidRDefault="00287EC7">
      <w:pPr>
        <w:tabs>
          <w:tab w:val="left" w:pos="709"/>
        </w:tabs>
        <w:spacing w:line="360" w:lineRule="auto"/>
        <w:ind w:right="51"/>
        <w:jc w:val="both"/>
        <w:rPr>
          <w:rFonts w:ascii="Palatino Linotype" w:eastAsia="Palatino Linotype" w:hAnsi="Palatino Linotype" w:cs="Palatino Linotype"/>
        </w:rPr>
      </w:pPr>
    </w:p>
    <w:p w14:paraId="0BBB3BDD" w14:textId="77777777" w:rsidR="00287EC7" w:rsidRDefault="00013122">
      <w:pPr>
        <w:tabs>
          <w:tab w:val="left" w:pos="709"/>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se sustenta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 confirmar la incompetencia que en el presente asunto encuadra en el supuesto de la Ley, es decir se deberá elaborar el acuerdo mediante el cual se confirme la incompetencia declarada por el Titular de la Unidad de Transparencia, respecto a la solicitud de información presentada por la parte  </w:t>
      </w:r>
      <w:r>
        <w:rPr>
          <w:rFonts w:ascii="Palatino Linotype" w:eastAsia="Palatino Linotype" w:hAnsi="Palatino Linotype" w:cs="Palatino Linotype"/>
          <w:b/>
        </w:rPr>
        <w:t>RECURRENTE</w:t>
      </w:r>
      <w:r>
        <w:rPr>
          <w:rFonts w:ascii="Palatino Linotype" w:eastAsia="Palatino Linotype" w:hAnsi="Palatino Linotype" w:cs="Palatino Linotype"/>
        </w:rPr>
        <w:t>, debiendo notificarle de igual forma el Acuerdo de referencia.</w:t>
      </w:r>
    </w:p>
    <w:p w14:paraId="28F445EF" w14:textId="77777777" w:rsidR="00287EC7" w:rsidRDefault="00287EC7">
      <w:pPr>
        <w:tabs>
          <w:tab w:val="left" w:pos="709"/>
        </w:tabs>
        <w:spacing w:line="360" w:lineRule="auto"/>
        <w:ind w:right="51"/>
        <w:jc w:val="both"/>
        <w:rPr>
          <w:rFonts w:ascii="Palatino Linotype" w:eastAsia="Palatino Linotype" w:hAnsi="Palatino Linotype" w:cs="Palatino Linotype"/>
        </w:rPr>
      </w:pPr>
    </w:p>
    <w:p w14:paraId="3E2BA197" w14:textId="77777777" w:rsidR="00287EC7" w:rsidRDefault="00013122">
      <w:pPr>
        <w:tabs>
          <w:tab w:val="left" w:pos="709"/>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ante la incompetencia,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potestad de orientar al particular sobre la dependencia pública ante quien deba presentar su solicitud de información. En este orden de ideas, se dejan a salvo los derechos del Recurrente para que formule una nueva solicitud de información ante el Sujeto Obligado competente. </w:t>
      </w:r>
    </w:p>
    <w:p w14:paraId="2AE2E770"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en líneas anteriores,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la solicitud de información </w:t>
      </w:r>
      <w:r>
        <w:rPr>
          <w:rFonts w:ascii="Palatino Linotype" w:eastAsia="Palatino Linotype" w:hAnsi="Palatino Linotype" w:cs="Palatino Linotype"/>
          <w:b/>
        </w:rPr>
        <w:t xml:space="preserve">00106/ATENCO/IP/2022, </w:t>
      </w:r>
      <w:r>
        <w:rPr>
          <w:rFonts w:ascii="Palatino Linotype" w:eastAsia="Palatino Linotype" w:hAnsi="Palatino Linotype" w:cs="Palatino Linotype"/>
        </w:rPr>
        <w:t>que ha sido materia del presente fallo.</w:t>
      </w:r>
    </w:p>
    <w:p w14:paraId="5DD57566" w14:textId="77777777" w:rsidR="00287EC7" w:rsidRDefault="0001312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105AF5B" w14:textId="77777777" w:rsidR="00287EC7" w:rsidRDefault="00013122">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32252614"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la solicitud de información </w:t>
      </w:r>
      <w:r>
        <w:rPr>
          <w:rFonts w:ascii="Palatino Linotype" w:eastAsia="Palatino Linotype" w:hAnsi="Palatino Linotype" w:cs="Palatino Linotype"/>
          <w:b/>
        </w:rPr>
        <w:t xml:space="preserve">00106/ATENCO/IP/2022, </w:t>
      </w:r>
      <w:r>
        <w:rPr>
          <w:rFonts w:ascii="Palatino Linotype" w:eastAsia="Palatino Linotype" w:hAnsi="Palatino Linotype" w:cs="Palatino Linotype"/>
        </w:rPr>
        <w:t xml:space="preserve">por resultar parcialmente fundados los motivos de inconformidad que arguye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de la presente resolución.</w:t>
      </w:r>
    </w:p>
    <w:p w14:paraId="563295F2" w14:textId="77777777" w:rsidR="00287EC7" w:rsidRDefault="0001312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del Considerando Cuarto, haga entrega vía SAIMEX, de lo siguiente:</w:t>
      </w:r>
    </w:p>
    <w:p w14:paraId="6DAF4618" w14:textId="77777777" w:rsidR="00287EC7" w:rsidRDefault="00013122">
      <w:pPr>
        <w:numPr>
          <w:ilvl w:val="0"/>
          <w:numId w:val="4"/>
        </w:numPr>
        <w:spacing w:line="360" w:lineRule="auto"/>
        <w:ind w:right="49"/>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rPr>
        <w:t xml:space="preserve">El Acuerdo que emita el Comité de Transparencia mediante el que confirme la declaratoria de incompetencia del </w:t>
      </w:r>
      <w:r>
        <w:rPr>
          <w:rFonts w:ascii="Palatino Linotype" w:eastAsia="Palatino Linotype" w:hAnsi="Palatino Linotype" w:cs="Palatino Linotype"/>
          <w:b/>
        </w:rPr>
        <w:t>SUJETO OBLIGADO</w:t>
      </w:r>
      <w:r>
        <w:rPr>
          <w:rFonts w:ascii="Palatino Linotype" w:eastAsia="Palatino Linotype" w:hAnsi="Palatino Linotype" w:cs="Palatino Linotype"/>
        </w:rPr>
        <w:t>, respecto de la información solicitada.</w:t>
      </w:r>
    </w:p>
    <w:p w14:paraId="7820F71C" w14:textId="77777777" w:rsidR="00287EC7" w:rsidRDefault="00013122">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Titular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189, párrafo segundo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23B4D8B2" w14:textId="77777777" w:rsidR="00287EC7" w:rsidRDefault="00287EC7">
      <w:pPr>
        <w:spacing w:line="360" w:lineRule="auto"/>
        <w:jc w:val="both"/>
        <w:rPr>
          <w:rFonts w:ascii="Palatino Linotype" w:eastAsia="Palatino Linotype" w:hAnsi="Palatino Linotype" w:cs="Palatino Linotype"/>
          <w:b/>
        </w:rPr>
      </w:pPr>
    </w:p>
    <w:p w14:paraId="6BE9F150" w14:textId="77777777" w:rsidR="00287EC7" w:rsidRDefault="0001312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CUARTO. 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8DB834D" w14:textId="77777777" w:rsidR="00287EC7" w:rsidRDefault="000131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6848D08D" w14:textId="77777777" w:rsidR="00287EC7" w:rsidRDefault="00013122">
      <w:pPr>
        <w:spacing w:before="240" w:after="240" w:line="360" w:lineRule="auto"/>
        <w:jc w:val="both"/>
        <w:rPr>
          <w:rFonts w:ascii="Palatino Linotype" w:eastAsia="Palatino Linotype" w:hAnsi="Palatino Linotype" w:cs="Palatino Linotype"/>
        </w:rPr>
        <w:sectPr w:rsidR="00287EC7">
          <w:headerReference w:type="default" r:id="rId12"/>
          <w:footerReference w:type="default" r:id="rId13"/>
          <w:headerReference w:type="first" r:id="rId14"/>
          <w:footerReference w:type="first" r:id="rId15"/>
          <w:pgSz w:w="12240" w:h="15840"/>
          <w:pgMar w:top="2041" w:right="1701" w:bottom="1701" w:left="1701" w:header="709" w:footer="709" w:gutter="0"/>
          <w:pgNumType w:start="1"/>
          <w:cols w:space="720"/>
          <w:titlePg/>
        </w:sectPr>
      </w:pPr>
      <w:bookmarkStart w:id="3" w:name="_heading=h.1fob9te" w:colFirst="0" w:colLast="0"/>
      <w:bookmarkEnd w:id="3"/>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w:t>
      </w:r>
      <w:r>
        <w:rPr>
          <w:rFonts w:ascii="Palatino Linotype" w:eastAsia="Palatino Linotype" w:hAnsi="Palatino Linotype" w:cs="Palatino Linotype"/>
          <w:color w:val="222222"/>
        </w:rPr>
        <w:t>DIEZ</w:t>
      </w:r>
      <w:r>
        <w:rPr>
          <w:rFonts w:ascii="Palatino Linotype" w:eastAsia="Palatino Linotype" w:hAnsi="Palatino Linotype" w:cs="Palatino Linotype"/>
        </w:rPr>
        <w:t xml:space="preserve"> DE AGOSTO DEL DOS MIL VEINTIDÓS, ANTE EL SECRETARIO TÉCNICO DEL PLENO ALEXIS TAPIA RAMÍREZ.                             </w:t>
      </w:r>
    </w:p>
    <w:p w14:paraId="4C75982C" w14:textId="77777777" w:rsidR="00287EC7" w:rsidRDefault="00287EC7">
      <w:pPr>
        <w:spacing w:before="240" w:after="240" w:line="360" w:lineRule="auto"/>
        <w:jc w:val="both"/>
        <w:rPr>
          <w:rFonts w:ascii="Palatino Linotype" w:eastAsia="Palatino Linotype" w:hAnsi="Palatino Linotype" w:cs="Palatino Linotype"/>
        </w:rPr>
      </w:pPr>
    </w:p>
    <w:sectPr w:rsidR="00287EC7">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DFFF1" w14:textId="77777777" w:rsidR="00C41E5D" w:rsidRDefault="00C41E5D">
      <w:r>
        <w:separator/>
      </w:r>
    </w:p>
  </w:endnote>
  <w:endnote w:type="continuationSeparator" w:id="0">
    <w:p w14:paraId="61E43B47" w14:textId="77777777" w:rsidR="00C41E5D" w:rsidRDefault="00C4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559E" w14:textId="77777777" w:rsidR="00287EC7" w:rsidRDefault="0001312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27E6A">
      <w:rPr>
        <w:rFonts w:ascii="Arial" w:eastAsia="Arial" w:hAnsi="Arial" w:cs="Arial"/>
        <w:b/>
        <w:noProof/>
        <w:color w:val="000000"/>
        <w:sz w:val="20"/>
        <w:szCs w:val="20"/>
      </w:rPr>
      <w:t>34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27E6A">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364D3E6E" w14:textId="77777777" w:rsidR="00287EC7" w:rsidRDefault="00287EC7">
    <w:pPr>
      <w:pBdr>
        <w:top w:val="nil"/>
        <w:left w:val="nil"/>
        <w:bottom w:val="nil"/>
        <w:right w:val="nil"/>
        <w:between w:val="nil"/>
      </w:pBdr>
      <w:tabs>
        <w:tab w:val="center" w:pos="4252"/>
        <w:tab w:val="right" w:pos="8504"/>
      </w:tabs>
      <w:rPr>
        <w:color w:val="000000"/>
      </w:rPr>
    </w:pPr>
  </w:p>
  <w:p w14:paraId="4C60C5FF" w14:textId="77777777" w:rsidR="00287EC7" w:rsidRDefault="00287EC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660F0" w14:textId="77777777" w:rsidR="00287EC7" w:rsidRDefault="0001312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27E6A">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27E6A">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6EF19BF9" w14:textId="77777777" w:rsidR="00287EC7" w:rsidRDefault="00287EC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843E4" w14:textId="77777777" w:rsidR="00C41E5D" w:rsidRDefault="00C41E5D">
      <w:r>
        <w:separator/>
      </w:r>
    </w:p>
  </w:footnote>
  <w:footnote w:type="continuationSeparator" w:id="0">
    <w:p w14:paraId="2E9EE46B" w14:textId="77777777" w:rsidR="00C41E5D" w:rsidRDefault="00C41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2260A" w14:textId="77777777" w:rsidR="00287EC7" w:rsidRDefault="00287EC7">
    <w:pPr>
      <w:widowControl w:val="0"/>
      <w:pBdr>
        <w:top w:val="nil"/>
        <w:left w:val="nil"/>
        <w:bottom w:val="nil"/>
        <w:right w:val="nil"/>
        <w:between w:val="nil"/>
      </w:pBdr>
      <w:spacing w:line="276" w:lineRule="auto"/>
      <w:rPr>
        <w:rFonts w:ascii="Calibri" w:eastAsia="Calibri" w:hAnsi="Calibri" w:cs="Calibri"/>
        <w:color w:val="000000"/>
      </w:rPr>
    </w:pPr>
  </w:p>
  <w:tbl>
    <w:tblPr>
      <w:tblStyle w:val="afc"/>
      <w:tblW w:w="5528" w:type="dxa"/>
      <w:tblInd w:w="3261" w:type="dxa"/>
      <w:tblLayout w:type="fixed"/>
      <w:tblLook w:val="0400" w:firstRow="0" w:lastRow="0" w:firstColumn="0" w:lastColumn="0" w:noHBand="0" w:noVBand="1"/>
    </w:tblPr>
    <w:tblGrid>
      <w:gridCol w:w="2551"/>
      <w:gridCol w:w="2977"/>
    </w:tblGrid>
    <w:tr w:rsidR="00287EC7" w14:paraId="1E430AFC" w14:textId="77777777">
      <w:tc>
        <w:tcPr>
          <w:tcW w:w="2551" w:type="dxa"/>
          <w:vAlign w:val="center"/>
        </w:tcPr>
        <w:p w14:paraId="032A1904" w14:textId="77777777" w:rsidR="00287EC7" w:rsidRDefault="000131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10E5798" w14:textId="77777777" w:rsidR="00287EC7" w:rsidRDefault="0001312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05299/INFOEM/IP/RR/2022</w:t>
          </w:r>
        </w:p>
      </w:tc>
    </w:tr>
    <w:tr w:rsidR="00287EC7" w14:paraId="6E57BAC5" w14:textId="77777777">
      <w:trPr>
        <w:trHeight w:val="228"/>
      </w:trPr>
      <w:tc>
        <w:tcPr>
          <w:tcW w:w="2551" w:type="dxa"/>
          <w:vAlign w:val="center"/>
        </w:tcPr>
        <w:p w14:paraId="0D0928D4" w14:textId="77777777" w:rsidR="00287EC7" w:rsidRDefault="000131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3370180F" w14:textId="77777777" w:rsidR="00287EC7" w:rsidRDefault="0001312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Atenco</w:t>
          </w:r>
        </w:p>
      </w:tc>
    </w:tr>
    <w:tr w:rsidR="00287EC7" w14:paraId="72516D0C" w14:textId="77777777">
      <w:tc>
        <w:tcPr>
          <w:tcW w:w="2551" w:type="dxa"/>
          <w:vAlign w:val="center"/>
        </w:tcPr>
        <w:p w14:paraId="36A50C6B" w14:textId="77777777" w:rsidR="00287EC7" w:rsidRDefault="000131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4DA35DE" w14:textId="77777777" w:rsidR="00287EC7" w:rsidRDefault="0001312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8D158AD" w14:textId="77777777" w:rsidR="00287EC7" w:rsidRDefault="0001312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6879E86A" wp14:editId="27D610B6">
          <wp:simplePos x="0" y="0"/>
          <wp:positionH relativeFrom="column">
            <wp:posOffset>-695763</wp:posOffset>
          </wp:positionH>
          <wp:positionV relativeFrom="paragraph">
            <wp:posOffset>-1200938</wp:posOffset>
          </wp:positionV>
          <wp:extent cx="7809876" cy="10165823"/>
          <wp:effectExtent l="0" t="0" r="0" b="0"/>
          <wp:wrapNone/>
          <wp:docPr id="1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1BA5" w14:textId="77777777" w:rsidR="00287EC7" w:rsidRDefault="0001312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5A4BE6AA" wp14:editId="2CDCEBB7">
          <wp:simplePos x="0" y="0"/>
          <wp:positionH relativeFrom="column">
            <wp:posOffset>-846153</wp:posOffset>
          </wp:positionH>
          <wp:positionV relativeFrom="paragraph">
            <wp:posOffset>-171224</wp:posOffset>
          </wp:positionV>
          <wp:extent cx="7809876" cy="10165823"/>
          <wp:effectExtent l="0" t="0" r="0" b="0"/>
          <wp:wrapNone/>
          <wp:docPr id="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b"/>
      <w:tblW w:w="5670" w:type="dxa"/>
      <w:tblInd w:w="3119" w:type="dxa"/>
      <w:tblLayout w:type="fixed"/>
      <w:tblLook w:val="0400" w:firstRow="0" w:lastRow="0" w:firstColumn="0" w:lastColumn="0" w:noHBand="0" w:noVBand="1"/>
    </w:tblPr>
    <w:tblGrid>
      <w:gridCol w:w="2551"/>
      <w:gridCol w:w="3119"/>
    </w:tblGrid>
    <w:tr w:rsidR="00287EC7" w14:paraId="5A8CCFE3" w14:textId="77777777">
      <w:tc>
        <w:tcPr>
          <w:tcW w:w="2551" w:type="dxa"/>
          <w:vAlign w:val="center"/>
        </w:tcPr>
        <w:p w14:paraId="0601839A" w14:textId="77777777" w:rsidR="00287EC7" w:rsidRDefault="000131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3226BC3" w14:textId="77777777" w:rsidR="00287EC7" w:rsidRDefault="0001312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05299/INFOEM/IP/RR/2022. </w:t>
          </w:r>
        </w:p>
      </w:tc>
    </w:tr>
    <w:tr w:rsidR="00287EC7" w14:paraId="462910D9" w14:textId="77777777">
      <w:tc>
        <w:tcPr>
          <w:tcW w:w="2551" w:type="dxa"/>
          <w:vAlign w:val="center"/>
        </w:tcPr>
        <w:p w14:paraId="67100C36" w14:textId="77777777" w:rsidR="00287EC7" w:rsidRDefault="0001312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6DB14ECD" w14:textId="77777777" w:rsidR="00287EC7" w:rsidRDefault="00287EC7">
          <w:pPr>
            <w:jc w:val="both"/>
            <w:rPr>
              <w:rFonts w:ascii="Palatino Linotype" w:eastAsia="Palatino Linotype" w:hAnsi="Palatino Linotype" w:cs="Palatino Linotype"/>
              <w:b/>
              <w:sz w:val="22"/>
              <w:szCs w:val="22"/>
            </w:rPr>
          </w:pPr>
        </w:p>
      </w:tc>
    </w:tr>
    <w:tr w:rsidR="00287EC7" w14:paraId="5CADC2DC" w14:textId="77777777">
      <w:trPr>
        <w:trHeight w:val="228"/>
      </w:trPr>
      <w:tc>
        <w:tcPr>
          <w:tcW w:w="2551" w:type="dxa"/>
          <w:vAlign w:val="center"/>
        </w:tcPr>
        <w:p w14:paraId="307830C5" w14:textId="77777777" w:rsidR="00287EC7" w:rsidRDefault="000131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DF3CA8A" w14:textId="77777777" w:rsidR="00287EC7" w:rsidRDefault="0001312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Atenco</w:t>
          </w:r>
        </w:p>
      </w:tc>
    </w:tr>
    <w:tr w:rsidR="00287EC7" w14:paraId="4EFCCB9E" w14:textId="77777777">
      <w:tc>
        <w:tcPr>
          <w:tcW w:w="2551" w:type="dxa"/>
          <w:vAlign w:val="center"/>
        </w:tcPr>
        <w:p w14:paraId="11194AA4" w14:textId="77777777" w:rsidR="00287EC7" w:rsidRDefault="000131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2512B74" w14:textId="77777777" w:rsidR="00287EC7" w:rsidRDefault="0001312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31C5B5E" w14:textId="77777777" w:rsidR="00287EC7" w:rsidRDefault="00287EC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B9788" w14:textId="77777777" w:rsidR="00287EC7" w:rsidRDefault="00287EC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21E0FAC0" w14:textId="77777777" w:rsidR="00287EC7" w:rsidRDefault="00287EC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B569F"/>
    <w:multiLevelType w:val="multilevel"/>
    <w:tmpl w:val="C6868ED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CE18AB"/>
    <w:multiLevelType w:val="multilevel"/>
    <w:tmpl w:val="05BE9020"/>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FF47FB3"/>
    <w:multiLevelType w:val="multilevel"/>
    <w:tmpl w:val="7AB6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B6649F"/>
    <w:multiLevelType w:val="multilevel"/>
    <w:tmpl w:val="E380214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761341391">
    <w:abstractNumId w:val="3"/>
  </w:num>
  <w:num w:numId="2" w16cid:durableId="1076787057">
    <w:abstractNumId w:val="0"/>
  </w:num>
  <w:num w:numId="3" w16cid:durableId="733046033">
    <w:abstractNumId w:val="2"/>
  </w:num>
  <w:num w:numId="4" w16cid:durableId="185676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EC7"/>
    <w:rsid w:val="00013122"/>
    <w:rsid w:val="00287EC7"/>
    <w:rsid w:val="00296034"/>
    <w:rsid w:val="00991C94"/>
    <w:rsid w:val="00AD5856"/>
    <w:rsid w:val="00B27E6A"/>
    <w:rsid w:val="00BC113B"/>
    <w:rsid w:val="00C41E5D"/>
    <w:rsid w:val="00DA51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3F686"/>
  <w15:docId w15:val="{F7C48A4D-6A9C-4DAA-B617-E128713F0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392"/>
  </w:style>
  <w:style w:type="paragraph" w:styleId="Ttulo1">
    <w:name w:val="heading 1"/>
    <w:basedOn w:val="Normal"/>
    <w:next w:val="Normal"/>
    <w:pPr>
      <w:keepNext/>
      <w:keepLines/>
      <w:spacing w:before="480" w:after="120"/>
      <w:outlineLvl w:val="0"/>
    </w:pPr>
    <w:rPr>
      <w:b/>
      <w:sz w:val="48"/>
      <w:szCs w:val="48"/>
      <w:lang w:val="es-ES" w:eastAsia="es-ES"/>
    </w:rPr>
  </w:style>
  <w:style w:type="paragraph" w:styleId="Ttulo2">
    <w:name w:val="heading 2"/>
    <w:basedOn w:val="Normal"/>
    <w:next w:val="Normal"/>
    <w:pPr>
      <w:keepNext/>
      <w:keepLines/>
      <w:spacing w:before="360" w:after="80"/>
      <w:outlineLvl w:val="1"/>
    </w:pPr>
    <w:rPr>
      <w:b/>
      <w:sz w:val="36"/>
      <w:szCs w:val="36"/>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rPr>
  </w:style>
  <w:style w:type="paragraph" w:styleId="Ttulo4">
    <w:name w:val="heading 4"/>
    <w:basedOn w:val="Normal"/>
    <w:next w:val="Normal"/>
    <w:pPr>
      <w:keepNext/>
      <w:keepLines/>
      <w:spacing w:before="240" w:after="40"/>
      <w:outlineLvl w:val="3"/>
    </w:pPr>
    <w:rPr>
      <w:b/>
      <w:lang w:val="es-ES" w:eastAsia="es-ES"/>
    </w:rPr>
  </w:style>
  <w:style w:type="paragraph" w:styleId="Ttulo5">
    <w:name w:val="heading 5"/>
    <w:basedOn w:val="Normal"/>
    <w:next w:val="Normal"/>
    <w:pPr>
      <w:keepNext/>
      <w:keepLines/>
      <w:spacing w:before="220" w:after="40"/>
      <w:outlineLvl w:val="4"/>
    </w:pPr>
    <w:rPr>
      <w:b/>
      <w:sz w:val="22"/>
      <w:szCs w:val="22"/>
      <w:lang w:val="es-ES" w:eastAsia="es-ES"/>
    </w:rPr>
  </w:style>
  <w:style w:type="paragraph" w:styleId="Ttulo6">
    <w:name w:val="heading 6"/>
    <w:basedOn w:val="Normal"/>
    <w:next w:val="Normal"/>
    <w:pPr>
      <w:keepNext/>
      <w:keepLines/>
      <w:spacing w:before="200" w:after="40"/>
      <w:outlineLvl w:val="5"/>
    </w:pPr>
    <w:rPr>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val="es-ES"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table" w:customStyle="1" w:styleId="a5">
    <w:basedOn w:val="TableNormal6"/>
    <w:tblPr>
      <w:tblStyleRowBandSize w:val="1"/>
      <w:tblStyleColBandSize w:val="1"/>
      <w:tblCellMar>
        <w:left w:w="108" w:type="dxa"/>
        <w:right w:w="108" w:type="dxa"/>
      </w:tblCellMar>
    </w:tblPr>
  </w:style>
  <w:style w:type="table" w:customStyle="1" w:styleId="a6">
    <w:basedOn w:val="TableNormal6"/>
    <w:tblPr>
      <w:tblStyleRowBandSize w:val="1"/>
      <w:tblStyleColBandSize w:val="1"/>
      <w:tblCellMar>
        <w:left w:w="108" w:type="dxa"/>
        <w:right w:w="108" w:type="dxa"/>
      </w:tblCellMar>
    </w:tblPr>
  </w:style>
  <w:style w:type="table" w:customStyle="1" w:styleId="a7">
    <w:basedOn w:val="TableNormal6"/>
    <w:tblPr>
      <w:tblStyleRowBandSize w:val="1"/>
      <w:tblStyleColBandSize w:val="1"/>
      <w:tblCellMar>
        <w:left w:w="108" w:type="dxa"/>
        <w:right w:w="108" w:type="dxa"/>
      </w:tblCellMar>
    </w:tblPr>
  </w:style>
  <w:style w:type="table" w:customStyle="1" w:styleId="a8">
    <w:basedOn w:val="TableNormal6"/>
    <w:tblPr>
      <w:tblStyleRowBandSize w:val="1"/>
      <w:tblStyleColBandSize w:val="1"/>
      <w:tblCellMar>
        <w:left w:w="108" w:type="dxa"/>
        <w:right w:w="108"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paragraph" w:customStyle="1" w:styleId="Default">
    <w:name w:val="Default"/>
    <w:rsid w:val="00FA3B65"/>
    <w:pPr>
      <w:autoSpaceDE w:val="0"/>
      <w:autoSpaceDN w:val="0"/>
      <w:adjustRightInd w:val="0"/>
    </w:pPr>
    <w:rPr>
      <w:rFonts w:ascii="Arial" w:eastAsia="Calibri" w:hAnsi="Arial" w:cs="Arial"/>
      <w:color w:val="000000"/>
      <w:lang w:eastAsia="en-US"/>
    </w:rPr>
  </w:style>
  <w:style w:type="character" w:styleId="Textoennegrita">
    <w:name w:val="Strong"/>
    <w:basedOn w:val="Fuentedeprrafopredeter"/>
    <w:uiPriority w:val="22"/>
    <w:qFormat/>
    <w:rsid w:val="00FA3B65"/>
    <w:rPr>
      <w:b/>
      <w:bCs/>
    </w:r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top w:w="15" w:type="dxa"/>
        <w:left w:w="15" w:type="dxa"/>
        <w:bottom w:w="15" w:type="dxa"/>
        <w:right w:w="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B550B5"/>
  </w:style>
  <w:style w:type="table" w:customStyle="1" w:styleId="afb">
    <w:basedOn w:val="TableNormal0"/>
    <w:tblPr>
      <w:tblStyleRowBandSize w:val="1"/>
      <w:tblStyleColBandSize w:val="1"/>
      <w:tblCellMar>
        <w:top w:w="15" w:type="dxa"/>
        <w:left w:w="115" w:type="dxa"/>
        <w:bottom w:w="15" w:type="dxa"/>
        <w:right w:w="115" w:type="dxa"/>
      </w:tblCellMar>
    </w:tblPr>
  </w:style>
  <w:style w:type="table" w:customStyle="1" w:styleId="afc">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ug09wn/HD3jGzq2CRlCeqT6p0Q==">AMUW2mUvWHP3azjTTvbEQabKr3KYnh4a12ZMuo36NQjk1lD8m3TIgeVnK69ey3LSaBoJLRG5hhVUxdJesjNc4M5U/YziJkZ/en3S0++IprnQF+YCAU5Em8M8w+hR10SgXhZWMBKKdUQJtWcLtwSXfKtTMZZ8IOpBBXTJvFCYP8iKFst2dmXysj4=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7828</Words>
  <Characters>43055</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4</cp:revision>
  <dcterms:created xsi:type="dcterms:W3CDTF">2022-08-04T08:38:00Z</dcterms:created>
  <dcterms:modified xsi:type="dcterms:W3CDTF">2022-08-04T15:34:00Z</dcterms:modified>
</cp:coreProperties>
</file>