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994DC" w14:textId="77777777" w:rsidR="00CD2BAA" w:rsidRPr="003538C0" w:rsidRDefault="00CD2BAA" w:rsidP="00CD2BAA">
      <w:pPr>
        <w:spacing w:before="240" w:after="0" w:line="360" w:lineRule="auto"/>
        <w:ind w:right="49"/>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doce de octubre de dos mil veintidós.</w:t>
      </w:r>
    </w:p>
    <w:p w14:paraId="23E0B528" w14:textId="77777777" w:rsidR="00CD2BAA" w:rsidRPr="003538C0" w:rsidRDefault="00CD2BAA" w:rsidP="00CD2BAA"/>
    <w:p w14:paraId="7E929552" w14:textId="3CF5FDDD" w:rsidR="00CD2BAA" w:rsidRPr="003538C0" w:rsidRDefault="00CD2BAA" w:rsidP="00CD2BAA">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b/>
          <w:sz w:val="24"/>
          <w:szCs w:val="24"/>
        </w:rPr>
        <w:t xml:space="preserve">Visto </w:t>
      </w:r>
      <w:r w:rsidRPr="003538C0">
        <w:rPr>
          <w:rFonts w:ascii="Palatino Linotype" w:eastAsia="Palatino Linotype" w:hAnsi="Palatino Linotype" w:cs="Palatino Linotype"/>
          <w:sz w:val="24"/>
          <w:szCs w:val="24"/>
        </w:rPr>
        <w:t xml:space="preserve">el expediente relativo al recurso de revisión </w:t>
      </w:r>
      <w:r w:rsidRPr="003538C0">
        <w:rPr>
          <w:rFonts w:ascii="Palatino Linotype" w:eastAsia="Palatino Linotype" w:hAnsi="Palatino Linotype" w:cs="Palatino Linotype"/>
          <w:b/>
          <w:sz w:val="24"/>
          <w:szCs w:val="24"/>
        </w:rPr>
        <w:t>087</w:t>
      </w:r>
      <w:r w:rsidR="00106659" w:rsidRPr="003538C0">
        <w:rPr>
          <w:rFonts w:ascii="Palatino Linotype" w:eastAsia="Palatino Linotype" w:hAnsi="Palatino Linotype" w:cs="Palatino Linotype"/>
          <w:b/>
          <w:sz w:val="24"/>
          <w:szCs w:val="24"/>
        </w:rPr>
        <w:t>4</w:t>
      </w:r>
      <w:r w:rsidRPr="003538C0">
        <w:rPr>
          <w:rFonts w:ascii="Palatino Linotype" w:eastAsia="Palatino Linotype" w:hAnsi="Palatino Linotype" w:cs="Palatino Linotype"/>
          <w:b/>
          <w:sz w:val="24"/>
          <w:szCs w:val="24"/>
        </w:rPr>
        <w:t>9/INFOEM/IP/RR/2022</w:t>
      </w:r>
      <w:r w:rsidRPr="003538C0">
        <w:rPr>
          <w:rFonts w:ascii="Palatino Linotype" w:eastAsia="Palatino Linotype" w:hAnsi="Palatino Linotype" w:cs="Palatino Linotype"/>
          <w:sz w:val="24"/>
          <w:szCs w:val="24"/>
        </w:rPr>
        <w:t xml:space="preserve">, interpuesto por </w:t>
      </w:r>
      <w:r w:rsidR="002F4F07">
        <w:rPr>
          <w:rFonts w:ascii="Palatino Linotype" w:eastAsia="Palatino Linotype" w:hAnsi="Palatino Linotype" w:cs="Palatino Linotype"/>
          <w:sz w:val="24"/>
          <w:szCs w:val="24"/>
        </w:rPr>
        <w:t>XXXXXX XXXXXXXX XXXXXX XXXXXXXX</w:t>
      </w:r>
      <w:r w:rsidRPr="003538C0">
        <w:rPr>
          <w:rFonts w:ascii="Palatino Linotype" w:eastAsia="Palatino Linotype" w:hAnsi="Palatino Linotype" w:cs="Palatino Linotype"/>
          <w:sz w:val="24"/>
          <w:szCs w:val="24"/>
        </w:rPr>
        <w:t xml:space="preserve">, al cual en lo sucesivo se le denominara </w:t>
      </w:r>
      <w:r w:rsidRPr="003538C0">
        <w:rPr>
          <w:rFonts w:ascii="Palatino Linotype" w:eastAsia="Palatino Linotype" w:hAnsi="Palatino Linotype" w:cs="Palatino Linotype"/>
          <w:b/>
          <w:sz w:val="24"/>
          <w:szCs w:val="24"/>
        </w:rPr>
        <w:t>LA RECURRENTE</w:t>
      </w:r>
      <w:r w:rsidRPr="003538C0">
        <w:rPr>
          <w:rFonts w:ascii="Palatino Linotype" w:eastAsia="Palatino Linotype" w:hAnsi="Palatino Linotype" w:cs="Palatino Linotype"/>
          <w:sz w:val="24"/>
          <w:szCs w:val="24"/>
        </w:rPr>
        <w:t xml:space="preserve">, en contra de la respuesta a la solicitud de información con número de folio </w:t>
      </w:r>
      <w:r w:rsidRPr="003538C0">
        <w:rPr>
          <w:rFonts w:ascii="Palatino Linotype" w:eastAsia="Palatino Linotype" w:hAnsi="Palatino Linotype" w:cs="Palatino Linotype"/>
          <w:b/>
          <w:sz w:val="24"/>
          <w:szCs w:val="24"/>
        </w:rPr>
        <w:t>00380/ECATEPEC/IP/2022,</w:t>
      </w:r>
      <w:r w:rsidRPr="003538C0">
        <w:rPr>
          <w:rFonts w:ascii="Palatino Linotype" w:eastAsia="Palatino Linotype" w:hAnsi="Palatino Linotype" w:cs="Palatino Linotype"/>
          <w:sz w:val="24"/>
          <w:szCs w:val="24"/>
        </w:rPr>
        <w:t xml:space="preserve"> por parte del Ayuntamiento de Ecatepec de Morelos, en lo sucesivo </w:t>
      </w:r>
      <w:r w:rsidRPr="003538C0">
        <w:rPr>
          <w:rFonts w:ascii="Palatino Linotype" w:eastAsia="Palatino Linotype" w:hAnsi="Palatino Linotype" w:cs="Palatino Linotype"/>
          <w:b/>
          <w:sz w:val="24"/>
          <w:szCs w:val="24"/>
        </w:rPr>
        <w:t>EL</w:t>
      </w:r>
      <w:r w:rsidRPr="003538C0">
        <w:rPr>
          <w:rFonts w:ascii="Palatino Linotype" w:eastAsia="Palatino Linotype" w:hAnsi="Palatino Linotype" w:cs="Palatino Linotype"/>
          <w:sz w:val="24"/>
          <w:szCs w:val="24"/>
        </w:rPr>
        <w:t xml:space="preserve"> </w:t>
      </w:r>
      <w:r w:rsidRPr="003538C0">
        <w:rPr>
          <w:rFonts w:ascii="Palatino Linotype" w:eastAsia="Palatino Linotype" w:hAnsi="Palatino Linotype" w:cs="Palatino Linotype"/>
          <w:b/>
          <w:sz w:val="24"/>
          <w:szCs w:val="24"/>
        </w:rPr>
        <w:t xml:space="preserve">SUJETO OBLIGADO; </w:t>
      </w:r>
      <w:r w:rsidRPr="003538C0">
        <w:rPr>
          <w:rFonts w:ascii="Palatino Linotype" w:eastAsia="Palatino Linotype" w:hAnsi="Palatino Linotype" w:cs="Palatino Linotype"/>
          <w:sz w:val="24"/>
          <w:szCs w:val="24"/>
        </w:rPr>
        <w:t>se procede a dictar la presente resolución, con base en lo siguiente.</w:t>
      </w:r>
    </w:p>
    <w:p w14:paraId="58776A2A" w14:textId="77777777" w:rsidR="00FB7E84" w:rsidRPr="003538C0" w:rsidRDefault="002F4F07"/>
    <w:p w14:paraId="7830C55D" w14:textId="77777777" w:rsidR="00CD2BAA" w:rsidRPr="003538C0" w:rsidRDefault="00CD2BAA" w:rsidP="00CD2BAA">
      <w:pPr>
        <w:spacing w:after="0" w:line="360" w:lineRule="auto"/>
        <w:ind w:right="49"/>
        <w:jc w:val="center"/>
        <w:rPr>
          <w:rFonts w:ascii="Palatino Linotype" w:eastAsia="Palatino Linotype" w:hAnsi="Palatino Linotype" w:cs="Palatino Linotype"/>
          <w:sz w:val="24"/>
          <w:szCs w:val="24"/>
        </w:rPr>
      </w:pPr>
      <w:r w:rsidRPr="003538C0">
        <w:rPr>
          <w:rFonts w:ascii="Palatino Linotype" w:eastAsia="Palatino Linotype" w:hAnsi="Palatino Linotype" w:cs="Palatino Linotype"/>
          <w:b/>
          <w:sz w:val="24"/>
          <w:szCs w:val="24"/>
        </w:rPr>
        <w:t>A N T E C E D E N T E S</w:t>
      </w:r>
    </w:p>
    <w:p w14:paraId="02108783" w14:textId="77777777" w:rsidR="00CD2BAA" w:rsidRPr="003538C0" w:rsidRDefault="00CD2BAA" w:rsidP="00CD2BAA">
      <w:pPr>
        <w:spacing w:after="0" w:line="360" w:lineRule="auto"/>
        <w:jc w:val="both"/>
        <w:rPr>
          <w:rFonts w:ascii="Palatino Linotype" w:eastAsia="Palatino Linotype" w:hAnsi="Palatino Linotype" w:cs="Palatino Linotype"/>
          <w:sz w:val="24"/>
          <w:szCs w:val="24"/>
        </w:rPr>
      </w:pPr>
    </w:p>
    <w:p w14:paraId="4F2B507B" w14:textId="77777777" w:rsidR="00CD2BAA" w:rsidRPr="003538C0" w:rsidRDefault="00CD2BAA" w:rsidP="00CD2BAA">
      <w:pPr>
        <w:spacing w:after="0" w:line="360" w:lineRule="auto"/>
        <w:ind w:right="49"/>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b/>
          <w:sz w:val="24"/>
          <w:szCs w:val="24"/>
        </w:rPr>
        <w:t>1.</w:t>
      </w:r>
      <w:r w:rsidRPr="003538C0">
        <w:rPr>
          <w:rFonts w:ascii="Palatino Linotype" w:eastAsia="Palatino Linotype" w:hAnsi="Palatino Linotype" w:cs="Palatino Linotype"/>
          <w:sz w:val="24"/>
          <w:szCs w:val="24"/>
        </w:rPr>
        <w:t xml:space="preserve"> </w:t>
      </w:r>
      <w:r w:rsidRPr="003538C0">
        <w:rPr>
          <w:rFonts w:ascii="Palatino Linotype" w:eastAsia="Palatino Linotype" w:hAnsi="Palatino Linotype" w:cs="Palatino Linotype"/>
          <w:b/>
          <w:sz w:val="24"/>
          <w:szCs w:val="24"/>
        </w:rPr>
        <w:t xml:space="preserve">SOLICITUD DE INFORMACIÓN. </w:t>
      </w:r>
      <w:r w:rsidRPr="003538C0">
        <w:rPr>
          <w:rFonts w:ascii="Palatino Linotype" w:eastAsia="Palatino Linotype" w:hAnsi="Palatino Linotype" w:cs="Palatino Linotype"/>
          <w:sz w:val="24"/>
          <w:szCs w:val="24"/>
        </w:rPr>
        <w:t xml:space="preserve">Con fecha cuatro de abril de dos mil </w:t>
      </w:r>
      <w:r w:rsidR="00106659" w:rsidRPr="003538C0">
        <w:rPr>
          <w:rFonts w:ascii="Palatino Linotype" w:eastAsia="Palatino Linotype" w:hAnsi="Palatino Linotype" w:cs="Palatino Linotype"/>
          <w:sz w:val="24"/>
          <w:szCs w:val="24"/>
        </w:rPr>
        <w:t>veintidós</w:t>
      </w:r>
      <w:r w:rsidRPr="003538C0">
        <w:rPr>
          <w:rFonts w:ascii="Palatino Linotype" w:eastAsia="Palatino Linotype" w:hAnsi="Palatino Linotype" w:cs="Palatino Linotype"/>
          <w:sz w:val="24"/>
          <w:szCs w:val="24"/>
        </w:rPr>
        <w:t xml:space="preserve">, </w:t>
      </w:r>
      <w:r w:rsidRPr="003538C0">
        <w:rPr>
          <w:rFonts w:ascii="Palatino Linotype" w:eastAsia="Palatino Linotype" w:hAnsi="Palatino Linotype" w:cs="Palatino Linotype"/>
          <w:b/>
          <w:sz w:val="24"/>
          <w:szCs w:val="24"/>
        </w:rPr>
        <w:t>EL RECURRENTE</w:t>
      </w:r>
      <w:r w:rsidRPr="003538C0">
        <w:rPr>
          <w:rFonts w:ascii="Palatino Linotype" w:eastAsia="Palatino Linotype" w:hAnsi="Palatino Linotype" w:cs="Palatino Linotype"/>
          <w:sz w:val="24"/>
          <w:szCs w:val="24"/>
        </w:rPr>
        <w:t>, presentó a través del Sistema de Acceso a la Información Mexiquense (</w:t>
      </w:r>
      <w:r w:rsidRPr="003538C0">
        <w:rPr>
          <w:rFonts w:ascii="Palatino Linotype" w:eastAsia="Palatino Linotype" w:hAnsi="Palatino Linotype" w:cs="Palatino Linotype"/>
          <w:b/>
          <w:sz w:val="24"/>
          <w:szCs w:val="24"/>
        </w:rPr>
        <w:t>SAIMEX)</w:t>
      </w:r>
      <w:r w:rsidRPr="003538C0">
        <w:rPr>
          <w:rFonts w:ascii="Palatino Linotype" w:eastAsia="Palatino Linotype" w:hAnsi="Palatino Linotype" w:cs="Palatino Linotype"/>
          <w:sz w:val="24"/>
          <w:szCs w:val="24"/>
        </w:rPr>
        <w:t xml:space="preserve"> ante </w:t>
      </w:r>
      <w:r w:rsidRPr="003538C0">
        <w:rPr>
          <w:rFonts w:ascii="Palatino Linotype" w:eastAsia="Palatino Linotype" w:hAnsi="Palatino Linotype" w:cs="Palatino Linotype"/>
          <w:b/>
          <w:sz w:val="24"/>
          <w:szCs w:val="24"/>
        </w:rPr>
        <w:t>EL SUJETO OBLIGADO</w:t>
      </w:r>
      <w:r w:rsidRPr="003538C0">
        <w:rPr>
          <w:rFonts w:ascii="Palatino Linotype" w:eastAsia="Palatino Linotype" w:hAnsi="Palatino Linotype" w:cs="Palatino Linotype"/>
          <w:sz w:val="24"/>
          <w:szCs w:val="24"/>
        </w:rPr>
        <w:t>, solicitud de acceso a la información pública, registrada bajo el número de expediente</w:t>
      </w:r>
      <w:r w:rsidRPr="003538C0">
        <w:rPr>
          <w:rFonts w:ascii="Verdana" w:eastAsia="Verdana" w:hAnsi="Verdana" w:cs="Verdana"/>
          <w:b/>
        </w:rPr>
        <w:t> </w:t>
      </w:r>
      <w:r w:rsidRPr="003538C0">
        <w:rPr>
          <w:rFonts w:ascii="Palatino Linotype" w:eastAsia="Palatino Linotype" w:hAnsi="Palatino Linotype" w:cs="Palatino Linotype"/>
          <w:b/>
          <w:sz w:val="24"/>
          <w:szCs w:val="24"/>
        </w:rPr>
        <w:t>00380/ECATEPEC/IP/2022</w:t>
      </w:r>
      <w:r w:rsidRPr="003538C0">
        <w:rPr>
          <w:rFonts w:ascii="Palatino Linotype" w:eastAsia="Palatino Linotype" w:hAnsi="Palatino Linotype" w:cs="Palatino Linotype"/>
          <w:sz w:val="24"/>
          <w:szCs w:val="24"/>
        </w:rPr>
        <w:t>,</w:t>
      </w:r>
      <w:r w:rsidRPr="003538C0">
        <w:rPr>
          <w:rFonts w:ascii="Palatino Linotype" w:eastAsia="Palatino Linotype" w:hAnsi="Palatino Linotype" w:cs="Palatino Linotype"/>
          <w:b/>
          <w:sz w:val="24"/>
          <w:szCs w:val="24"/>
        </w:rPr>
        <w:t xml:space="preserve"> </w:t>
      </w:r>
      <w:r w:rsidRPr="003538C0">
        <w:rPr>
          <w:rFonts w:ascii="Palatino Linotype" w:eastAsia="Palatino Linotype" w:hAnsi="Palatino Linotype" w:cs="Palatino Linotype"/>
          <w:sz w:val="24"/>
          <w:szCs w:val="24"/>
        </w:rPr>
        <w:t>mediante la cual solicitó la siguiente información:</w:t>
      </w:r>
    </w:p>
    <w:p w14:paraId="4BBB58C0" w14:textId="77777777" w:rsidR="00CD2BAA" w:rsidRPr="003538C0" w:rsidRDefault="00CD2BAA" w:rsidP="00CD2BAA">
      <w:pPr>
        <w:spacing w:after="0" w:line="360" w:lineRule="auto"/>
        <w:ind w:right="49"/>
        <w:jc w:val="both"/>
        <w:rPr>
          <w:rFonts w:ascii="Palatino Linotype" w:eastAsia="Palatino Linotype" w:hAnsi="Palatino Linotype" w:cs="Palatino Linotype"/>
          <w:sz w:val="24"/>
          <w:szCs w:val="24"/>
        </w:rPr>
      </w:pPr>
    </w:p>
    <w:p w14:paraId="6D4894F7" w14:textId="77777777" w:rsidR="00CD2BAA" w:rsidRPr="003538C0" w:rsidRDefault="00CD2BAA" w:rsidP="00590404">
      <w:pPr>
        <w:spacing w:after="0" w:line="276" w:lineRule="auto"/>
        <w:ind w:left="709" w:right="758"/>
        <w:jc w:val="both"/>
        <w:rPr>
          <w:rFonts w:ascii="Palatino Linotype" w:eastAsia="Palatino Linotype" w:hAnsi="Palatino Linotype" w:cs="Palatino Linotype"/>
          <w:i/>
        </w:rPr>
      </w:pPr>
      <w:r w:rsidRPr="003538C0">
        <w:rPr>
          <w:rFonts w:ascii="Palatino Linotype" w:eastAsia="Palatino Linotype" w:hAnsi="Palatino Linotype" w:cs="Palatino Linotype"/>
          <w:i/>
        </w:rPr>
        <w:t>“Copia digital de contratos celebrados con el fin de servicio de difusión institucional o de campañas institucionales, en 2019 y lo que va de 2022” (Sic).</w:t>
      </w:r>
    </w:p>
    <w:p w14:paraId="1487B20F" w14:textId="77777777" w:rsidR="00CD2BAA" w:rsidRPr="003538C0" w:rsidRDefault="00CD2BAA" w:rsidP="00CD2BAA">
      <w:pPr>
        <w:spacing w:after="0" w:line="360" w:lineRule="auto"/>
        <w:ind w:left="709" w:right="758"/>
        <w:jc w:val="both"/>
        <w:rPr>
          <w:rFonts w:ascii="Palatino Linotype" w:eastAsia="Palatino Linotype" w:hAnsi="Palatino Linotype" w:cs="Palatino Linotype"/>
          <w:i/>
        </w:rPr>
      </w:pPr>
    </w:p>
    <w:p w14:paraId="34C69356" w14:textId="77777777" w:rsidR="00CD2BAA" w:rsidRPr="003538C0" w:rsidRDefault="00CD2BAA" w:rsidP="00CD2BAA">
      <w:pPr>
        <w:spacing w:after="0" w:line="360" w:lineRule="auto"/>
        <w:ind w:right="49"/>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Modalidad de entrega: A través del </w:t>
      </w:r>
      <w:r w:rsidRPr="003538C0">
        <w:rPr>
          <w:rFonts w:ascii="Palatino Linotype" w:eastAsia="Palatino Linotype" w:hAnsi="Palatino Linotype" w:cs="Palatino Linotype"/>
          <w:b/>
          <w:sz w:val="24"/>
          <w:szCs w:val="24"/>
        </w:rPr>
        <w:t>SAIMEX</w:t>
      </w:r>
      <w:r w:rsidRPr="003538C0">
        <w:rPr>
          <w:rFonts w:ascii="Palatino Linotype" w:eastAsia="Palatino Linotype" w:hAnsi="Palatino Linotype" w:cs="Palatino Linotype"/>
          <w:sz w:val="24"/>
          <w:szCs w:val="24"/>
        </w:rPr>
        <w:t>.</w:t>
      </w:r>
    </w:p>
    <w:p w14:paraId="410F1253" w14:textId="77777777" w:rsidR="00106659" w:rsidRPr="003538C0" w:rsidRDefault="00106659" w:rsidP="00106659">
      <w:pPr>
        <w:spacing w:before="240" w:after="240" w:line="360" w:lineRule="auto"/>
        <w:contextualSpacing/>
        <w:jc w:val="both"/>
        <w:rPr>
          <w:rFonts w:ascii="Palatino Linotype" w:eastAsia="Palatino Linotype" w:hAnsi="Palatino Linotype" w:cs="Palatino Linotype"/>
          <w:b/>
          <w:sz w:val="24"/>
          <w:szCs w:val="24"/>
        </w:rPr>
      </w:pPr>
      <w:r w:rsidRPr="003538C0">
        <w:rPr>
          <w:rFonts w:ascii="Palatino Linotype" w:eastAsia="Palatino Linotype" w:hAnsi="Palatino Linotype" w:cs="Palatino Linotype"/>
          <w:b/>
          <w:sz w:val="24"/>
          <w:szCs w:val="24"/>
        </w:rPr>
        <w:lastRenderedPageBreak/>
        <w:t xml:space="preserve">2. RESPUESTA. </w:t>
      </w:r>
      <w:r w:rsidRPr="003538C0">
        <w:rPr>
          <w:rFonts w:ascii="Palatino Linotype" w:eastAsia="Palatino Linotype" w:hAnsi="Palatino Linotype" w:cs="Palatino Linotype"/>
          <w:sz w:val="24"/>
          <w:szCs w:val="24"/>
        </w:rPr>
        <w:t xml:space="preserve">De las constancias que obran en SAIMEX, se observa que el </w:t>
      </w:r>
      <w:r w:rsidRPr="003538C0">
        <w:rPr>
          <w:rFonts w:ascii="Palatino Linotype" w:eastAsia="Palatino Linotype" w:hAnsi="Palatino Linotype" w:cs="Palatino Linotype"/>
          <w:b/>
          <w:sz w:val="24"/>
          <w:szCs w:val="24"/>
        </w:rPr>
        <w:t>SUJETO OBLIGADO</w:t>
      </w:r>
      <w:r w:rsidRPr="003538C0">
        <w:rPr>
          <w:rFonts w:ascii="Palatino Linotype" w:eastAsia="Palatino Linotype" w:hAnsi="Palatino Linotype" w:cs="Palatino Linotype"/>
          <w:sz w:val="24"/>
          <w:szCs w:val="24"/>
        </w:rPr>
        <w:t xml:space="preserve"> no emitió respuesta a la solicitud de información formulada por la parte </w:t>
      </w:r>
      <w:r w:rsidRPr="003538C0">
        <w:rPr>
          <w:rFonts w:ascii="Palatino Linotype" w:eastAsia="Palatino Linotype" w:hAnsi="Palatino Linotype" w:cs="Palatino Linotype"/>
          <w:b/>
          <w:sz w:val="24"/>
          <w:szCs w:val="24"/>
        </w:rPr>
        <w:t>RECURRENTE.</w:t>
      </w:r>
    </w:p>
    <w:p w14:paraId="7A3EC9F3" w14:textId="77777777" w:rsidR="00CD2BAA" w:rsidRPr="003538C0" w:rsidRDefault="00CD2BAA"/>
    <w:p w14:paraId="55D65A46" w14:textId="77777777" w:rsidR="00106659" w:rsidRPr="003538C0" w:rsidRDefault="00106659" w:rsidP="00106659">
      <w:pPr>
        <w:spacing w:before="240" w:after="240" w:line="360" w:lineRule="auto"/>
        <w:contextualSpacing/>
        <w:jc w:val="both"/>
        <w:rPr>
          <w:rFonts w:ascii="Palatino Linotype" w:eastAsia="Palatino Linotype" w:hAnsi="Palatino Linotype" w:cs="Palatino Linotype"/>
          <w:sz w:val="24"/>
        </w:rPr>
      </w:pPr>
      <w:r w:rsidRPr="003538C0">
        <w:rPr>
          <w:rFonts w:ascii="Palatino Linotype" w:eastAsia="Palatino Linotype" w:hAnsi="Palatino Linotype" w:cs="Palatino Linotype"/>
          <w:b/>
          <w:sz w:val="24"/>
        </w:rPr>
        <w:t xml:space="preserve">3. INTERPOSICIÓN DEL RECURSO DE REVISIÓN. </w:t>
      </w:r>
      <w:r w:rsidRPr="003538C0">
        <w:rPr>
          <w:rFonts w:ascii="Palatino Linotype" w:eastAsia="Palatino Linotype" w:hAnsi="Palatino Linotype" w:cs="Palatino Linotype"/>
          <w:sz w:val="24"/>
        </w:rPr>
        <w:t xml:space="preserve">Inconforme la parte solicitante con la falta de respuesta del </w:t>
      </w:r>
      <w:r w:rsidRPr="003538C0">
        <w:rPr>
          <w:rFonts w:ascii="Palatino Linotype" w:eastAsia="Palatino Linotype" w:hAnsi="Palatino Linotype" w:cs="Palatino Linotype"/>
          <w:b/>
          <w:sz w:val="24"/>
        </w:rPr>
        <w:t>SUJETO OBLIGADO</w:t>
      </w:r>
      <w:r w:rsidRPr="003538C0">
        <w:rPr>
          <w:rFonts w:ascii="Palatino Linotype" w:eastAsia="Palatino Linotype" w:hAnsi="Palatino Linotype" w:cs="Palatino Linotype"/>
          <w:sz w:val="24"/>
        </w:rPr>
        <w:t xml:space="preserve">, interpuso recurso de revisión a través de SAIMEX en fecha </w:t>
      </w:r>
      <w:r w:rsidRPr="003538C0">
        <w:rPr>
          <w:rFonts w:ascii="Palatino Linotype" w:eastAsia="Palatino Linotype" w:hAnsi="Palatino Linotype" w:cs="Palatino Linotype"/>
          <w:b/>
          <w:sz w:val="24"/>
        </w:rPr>
        <w:t>veinte de mayo de dos mil veintidós</w:t>
      </w:r>
      <w:r w:rsidRPr="003538C0">
        <w:rPr>
          <w:rFonts w:ascii="Palatino Linotype" w:eastAsia="Palatino Linotype" w:hAnsi="Palatino Linotype" w:cs="Palatino Linotype"/>
          <w:sz w:val="24"/>
        </w:rPr>
        <w:t>, expresando lo siguiente:</w:t>
      </w:r>
    </w:p>
    <w:p w14:paraId="1B5217F5" w14:textId="77777777" w:rsidR="00106659" w:rsidRPr="003538C0" w:rsidRDefault="00106659" w:rsidP="00106659">
      <w:pPr>
        <w:spacing w:before="240" w:after="240" w:line="360" w:lineRule="auto"/>
        <w:contextualSpacing/>
        <w:jc w:val="both"/>
        <w:rPr>
          <w:rFonts w:ascii="Palatino Linotype" w:eastAsia="Palatino Linotype" w:hAnsi="Palatino Linotype" w:cs="Palatino Linotype"/>
        </w:rPr>
      </w:pPr>
    </w:p>
    <w:p w14:paraId="376DD464" w14:textId="77777777" w:rsidR="00106659" w:rsidRPr="003538C0" w:rsidRDefault="00106659" w:rsidP="00106659">
      <w:pPr>
        <w:spacing w:line="360" w:lineRule="auto"/>
        <w:contextualSpacing/>
        <w:rPr>
          <w:rFonts w:ascii="Palatino Linotype" w:eastAsia="Palatino Linotype" w:hAnsi="Palatino Linotype" w:cs="Palatino Linotype"/>
          <w:b/>
          <w:sz w:val="24"/>
        </w:rPr>
      </w:pPr>
      <w:r w:rsidRPr="003538C0">
        <w:rPr>
          <w:rFonts w:ascii="Palatino Linotype" w:eastAsia="Palatino Linotype" w:hAnsi="Palatino Linotype" w:cs="Palatino Linotype"/>
          <w:b/>
          <w:sz w:val="24"/>
        </w:rPr>
        <w:t>a) Acto impugnado.</w:t>
      </w:r>
    </w:p>
    <w:p w14:paraId="0B79D7A0" w14:textId="77777777" w:rsidR="00106659" w:rsidRPr="003538C0" w:rsidRDefault="00106659" w:rsidP="00106659">
      <w:pPr>
        <w:pBdr>
          <w:top w:val="nil"/>
          <w:left w:val="nil"/>
          <w:bottom w:val="nil"/>
          <w:right w:val="nil"/>
          <w:between w:val="nil"/>
        </w:pBdr>
        <w:spacing w:before="240" w:after="240" w:line="360" w:lineRule="auto"/>
        <w:ind w:left="851" w:right="900"/>
        <w:contextualSpacing/>
        <w:jc w:val="both"/>
        <w:rPr>
          <w:rFonts w:ascii="Palatino Linotype" w:eastAsia="Palatino Linotype" w:hAnsi="Palatino Linotype" w:cs="Palatino Linotype"/>
          <w:i/>
        </w:rPr>
      </w:pPr>
      <w:r w:rsidRPr="003538C0">
        <w:rPr>
          <w:rFonts w:ascii="Palatino Linotype" w:eastAsia="Palatino Linotype" w:hAnsi="Palatino Linotype" w:cs="Palatino Linotype"/>
          <w:i/>
        </w:rPr>
        <w:t>“Ignora solicitud de información” (Sic)</w:t>
      </w:r>
    </w:p>
    <w:p w14:paraId="5C51B9B0" w14:textId="77777777" w:rsidR="00106659" w:rsidRPr="003538C0" w:rsidRDefault="00106659" w:rsidP="00106659">
      <w:pPr>
        <w:pBdr>
          <w:top w:val="nil"/>
          <w:left w:val="nil"/>
          <w:bottom w:val="nil"/>
          <w:right w:val="nil"/>
          <w:between w:val="nil"/>
        </w:pBdr>
        <w:spacing w:before="240" w:after="240" w:line="360" w:lineRule="auto"/>
        <w:ind w:left="851" w:right="900"/>
        <w:contextualSpacing/>
        <w:jc w:val="both"/>
        <w:rPr>
          <w:rFonts w:ascii="Palatino Linotype" w:eastAsia="Palatino Linotype" w:hAnsi="Palatino Linotype" w:cs="Palatino Linotype"/>
          <w:i/>
        </w:rPr>
      </w:pPr>
    </w:p>
    <w:p w14:paraId="464D875A" w14:textId="77777777" w:rsidR="00106659" w:rsidRPr="003538C0" w:rsidRDefault="00106659" w:rsidP="00106659">
      <w:pPr>
        <w:spacing w:line="360" w:lineRule="auto"/>
        <w:contextualSpacing/>
        <w:jc w:val="both"/>
        <w:rPr>
          <w:rFonts w:ascii="Palatino Linotype" w:eastAsia="Palatino Linotype" w:hAnsi="Palatino Linotype" w:cs="Palatino Linotype"/>
          <w:b/>
          <w:sz w:val="24"/>
        </w:rPr>
      </w:pPr>
      <w:r w:rsidRPr="003538C0">
        <w:rPr>
          <w:rFonts w:ascii="Palatino Linotype" w:eastAsia="Palatino Linotype" w:hAnsi="Palatino Linotype" w:cs="Palatino Linotype"/>
          <w:b/>
          <w:sz w:val="24"/>
        </w:rPr>
        <w:t>b) Motivos de inconformidad.</w:t>
      </w:r>
    </w:p>
    <w:p w14:paraId="274E6F8C" w14:textId="77777777" w:rsidR="00106659" w:rsidRPr="003538C0" w:rsidRDefault="00106659" w:rsidP="00106659">
      <w:pPr>
        <w:pBdr>
          <w:top w:val="nil"/>
          <w:left w:val="nil"/>
          <w:bottom w:val="nil"/>
          <w:right w:val="nil"/>
          <w:between w:val="nil"/>
        </w:pBdr>
        <w:spacing w:before="240" w:after="240" w:line="360" w:lineRule="auto"/>
        <w:ind w:left="851" w:right="900"/>
        <w:contextualSpacing/>
        <w:jc w:val="both"/>
        <w:rPr>
          <w:rFonts w:ascii="Palatino Linotype" w:eastAsia="Palatino Linotype" w:hAnsi="Palatino Linotype" w:cs="Palatino Linotype"/>
          <w:i/>
        </w:rPr>
      </w:pPr>
      <w:r w:rsidRPr="003538C0">
        <w:rPr>
          <w:rFonts w:ascii="Palatino Linotype" w:eastAsia="Palatino Linotype" w:hAnsi="Palatino Linotype" w:cs="Palatino Linotype"/>
          <w:i/>
        </w:rPr>
        <w:t>“No da atención” (Sic)</w:t>
      </w:r>
    </w:p>
    <w:p w14:paraId="071A1E43" w14:textId="77777777" w:rsidR="00FB0C11" w:rsidRPr="003538C0" w:rsidRDefault="00FB0C11" w:rsidP="00106659">
      <w:pPr>
        <w:pBdr>
          <w:top w:val="nil"/>
          <w:left w:val="nil"/>
          <w:bottom w:val="nil"/>
          <w:right w:val="nil"/>
          <w:between w:val="nil"/>
        </w:pBdr>
        <w:spacing w:before="240" w:after="240" w:line="360" w:lineRule="auto"/>
        <w:ind w:left="851" w:right="900"/>
        <w:contextualSpacing/>
        <w:jc w:val="both"/>
        <w:rPr>
          <w:rFonts w:ascii="Palatino Linotype" w:eastAsia="Palatino Linotype" w:hAnsi="Palatino Linotype" w:cs="Palatino Linotype"/>
          <w:i/>
        </w:rPr>
      </w:pPr>
    </w:p>
    <w:p w14:paraId="10079FFF" w14:textId="77777777" w:rsidR="00FB0C11" w:rsidRPr="003538C0" w:rsidRDefault="00FB0C11" w:rsidP="00FB0C11">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b/>
          <w:sz w:val="24"/>
          <w:szCs w:val="24"/>
        </w:rPr>
        <w:t xml:space="preserve">4. TURNO. </w:t>
      </w:r>
      <w:r w:rsidRPr="003538C0">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538C0">
        <w:rPr>
          <w:rFonts w:ascii="Palatino Linotype" w:eastAsia="Palatino Linotype" w:hAnsi="Palatino Linotype" w:cs="Palatino Linotype"/>
          <w:b/>
          <w:sz w:val="24"/>
          <w:szCs w:val="24"/>
        </w:rPr>
        <w:t xml:space="preserve">Guadalupe Ramírez Peña, </w:t>
      </w:r>
      <w:r w:rsidRPr="003538C0">
        <w:rPr>
          <w:rFonts w:ascii="Palatino Linotype" w:eastAsia="Palatino Linotype" w:hAnsi="Palatino Linotype" w:cs="Palatino Linotype"/>
          <w:sz w:val="24"/>
          <w:szCs w:val="24"/>
        </w:rPr>
        <w:t xml:space="preserve">a efecto de que analizara sobre su admisión o su </w:t>
      </w:r>
      <w:proofErr w:type="spellStart"/>
      <w:r w:rsidRPr="003538C0">
        <w:rPr>
          <w:rFonts w:ascii="Palatino Linotype" w:eastAsia="Palatino Linotype" w:hAnsi="Palatino Linotype" w:cs="Palatino Linotype"/>
          <w:sz w:val="24"/>
          <w:szCs w:val="24"/>
        </w:rPr>
        <w:t>desechamiento</w:t>
      </w:r>
      <w:proofErr w:type="spellEnd"/>
      <w:r w:rsidRPr="003538C0">
        <w:rPr>
          <w:rFonts w:ascii="Palatino Linotype" w:eastAsia="Palatino Linotype" w:hAnsi="Palatino Linotype" w:cs="Palatino Linotype"/>
          <w:sz w:val="24"/>
          <w:szCs w:val="24"/>
        </w:rPr>
        <w:t>.</w:t>
      </w:r>
    </w:p>
    <w:p w14:paraId="0F91C132" w14:textId="77777777" w:rsidR="00FB0C11" w:rsidRPr="003538C0" w:rsidRDefault="00FB0C11" w:rsidP="00FB0C11"/>
    <w:p w14:paraId="65AD608C" w14:textId="77777777" w:rsidR="00FB0C11" w:rsidRPr="003538C0" w:rsidRDefault="00FB0C11" w:rsidP="004F7A14">
      <w:pPr>
        <w:spacing w:after="0" w:line="360" w:lineRule="auto"/>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b/>
          <w:sz w:val="24"/>
          <w:szCs w:val="24"/>
        </w:rPr>
        <w:t>5. ADMISIÓN DEL RECURSO DE REVISIÓN.</w:t>
      </w:r>
      <w:r w:rsidRPr="003538C0">
        <w:rPr>
          <w:rFonts w:ascii="Palatino Linotype" w:eastAsia="Palatino Linotype" w:hAnsi="Palatino Linotype" w:cs="Palatino Linotype"/>
          <w:sz w:val="24"/>
          <w:szCs w:val="24"/>
        </w:rPr>
        <w:t xml:space="preserve"> Con fecha</w:t>
      </w:r>
      <w:r w:rsidRPr="003538C0">
        <w:rPr>
          <w:rFonts w:ascii="Palatino Linotype" w:eastAsia="Palatino Linotype" w:hAnsi="Palatino Linotype" w:cs="Palatino Linotype"/>
          <w:b/>
          <w:sz w:val="24"/>
          <w:szCs w:val="24"/>
        </w:rPr>
        <w:t xml:space="preserve"> </w:t>
      </w:r>
      <w:r w:rsidR="004F7A14" w:rsidRPr="003538C0">
        <w:rPr>
          <w:rFonts w:ascii="Palatino Linotype" w:eastAsia="Palatino Linotype" w:hAnsi="Palatino Linotype" w:cs="Palatino Linotype"/>
          <w:b/>
          <w:sz w:val="24"/>
          <w:szCs w:val="24"/>
        </w:rPr>
        <w:t>veintiséis</w:t>
      </w:r>
      <w:r w:rsidRPr="003538C0">
        <w:rPr>
          <w:rFonts w:ascii="Palatino Linotype" w:eastAsia="Palatino Linotype" w:hAnsi="Palatino Linotype" w:cs="Palatino Linotype"/>
          <w:b/>
          <w:sz w:val="24"/>
          <w:szCs w:val="24"/>
        </w:rPr>
        <w:t xml:space="preserve"> de mayo de dos mil veintidós, </w:t>
      </w:r>
      <w:r w:rsidRPr="003538C0">
        <w:rPr>
          <w:rFonts w:ascii="Palatino Linotype" w:eastAsia="Palatino Linotype" w:hAnsi="Palatino Linotype" w:cs="Palatino Linotype"/>
          <w:sz w:val="24"/>
          <w:szCs w:val="24"/>
        </w:rPr>
        <w:t xml:space="preserve">este Instituto de Transparencia, Acceso a la Información Pública </w:t>
      </w:r>
      <w:r w:rsidRPr="003538C0">
        <w:rPr>
          <w:rFonts w:ascii="Palatino Linotype" w:eastAsia="Palatino Linotype" w:hAnsi="Palatino Linotype" w:cs="Palatino Linotype"/>
          <w:sz w:val="24"/>
          <w:szCs w:val="24"/>
        </w:rPr>
        <w:lastRenderedPageBreak/>
        <w:t xml:space="preserve">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538C0">
        <w:rPr>
          <w:rFonts w:ascii="Palatino Linotype" w:eastAsia="Palatino Linotype" w:hAnsi="Palatino Linotype" w:cs="Palatino Linotype"/>
          <w:b/>
          <w:sz w:val="24"/>
          <w:szCs w:val="24"/>
        </w:rPr>
        <w:t xml:space="preserve">SUJETO OBLIGADO </w:t>
      </w:r>
      <w:r w:rsidRPr="003538C0">
        <w:rPr>
          <w:rFonts w:ascii="Palatino Linotype" w:eastAsia="Palatino Linotype" w:hAnsi="Palatino Linotype" w:cs="Palatino Linotype"/>
          <w:sz w:val="24"/>
          <w:szCs w:val="24"/>
        </w:rPr>
        <w:t>presentara su informe justificado.</w:t>
      </w:r>
    </w:p>
    <w:p w14:paraId="475DBC57" w14:textId="77777777" w:rsidR="00106659" w:rsidRPr="003538C0" w:rsidRDefault="00106659" w:rsidP="004F7A14">
      <w:pPr>
        <w:spacing w:line="360" w:lineRule="auto"/>
        <w:contextualSpacing/>
      </w:pPr>
    </w:p>
    <w:p w14:paraId="720F3B81" w14:textId="77777777" w:rsidR="00FB0C11" w:rsidRPr="003538C0" w:rsidRDefault="00FB0C11" w:rsidP="004F7A14">
      <w:pPr>
        <w:spacing w:before="240" w:after="240" w:line="360" w:lineRule="auto"/>
        <w:ind w:right="-234"/>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b/>
          <w:sz w:val="24"/>
          <w:szCs w:val="24"/>
        </w:rPr>
        <w:t xml:space="preserve">6. INFORME JUSTIFICADO O MANIFESTACIONES. </w:t>
      </w:r>
      <w:r w:rsidRPr="003538C0">
        <w:rPr>
          <w:rFonts w:ascii="Palatino Linotype" w:eastAsia="Palatino Linotype" w:hAnsi="Palatino Linotype" w:cs="Palatino Linotype"/>
          <w:sz w:val="24"/>
          <w:szCs w:val="24"/>
        </w:rPr>
        <w:t>El nueve de junio de dos mil veintidós, se recibió, a través del Sistema de Acceso a la Info</w:t>
      </w:r>
      <w:r w:rsidR="001065B4" w:rsidRPr="003538C0">
        <w:rPr>
          <w:rFonts w:ascii="Palatino Linotype" w:eastAsia="Palatino Linotype" w:hAnsi="Palatino Linotype" w:cs="Palatino Linotype"/>
          <w:sz w:val="24"/>
          <w:szCs w:val="24"/>
        </w:rPr>
        <w:t>rmación Mexiquense (SAIMEX), el Informe Justificado</w:t>
      </w:r>
      <w:r w:rsidRPr="003538C0">
        <w:rPr>
          <w:rFonts w:ascii="Palatino Linotype" w:eastAsia="Palatino Linotype" w:hAnsi="Palatino Linotype" w:cs="Palatino Linotype"/>
          <w:sz w:val="24"/>
          <w:szCs w:val="24"/>
        </w:rPr>
        <w:t xml:space="preserve"> del </w:t>
      </w:r>
      <w:r w:rsidRPr="003538C0">
        <w:rPr>
          <w:rFonts w:ascii="Palatino Linotype" w:eastAsia="Palatino Linotype" w:hAnsi="Palatino Linotype" w:cs="Palatino Linotype"/>
          <w:b/>
          <w:sz w:val="24"/>
          <w:szCs w:val="24"/>
        </w:rPr>
        <w:t>SUJETO OBLIGADO</w:t>
      </w:r>
      <w:r w:rsidRPr="003538C0">
        <w:rPr>
          <w:rFonts w:ascii="Palatino Linotype" w:eastAsia="Palatino Linotype" w:hAnsi="Palatino Linotype" w:cs="Palatino Linotype"/>
          <w:sz w:val="24"/>
          <w:szCs w:val="24"/>
        </w:rPr>
        <w:t>,</w:t>
      </w:r>
      <w:r w:rsidRPr="003538C0">
        <w:rPr>
          <w:rFonts w:ascii="Palatino Linotype" w:eastAsia="Palatino Linotype" w:hAnsi="Palatino Linotype" w:cs="Palatino Linotype"/>
          <w:b/>
          <w:sz w:val="24"/>
          <w:szCs w:val="24"/>
        </w:rPr>
        <w:t xml:space="preserve"> </w:t>
      </w:r>
      <w:r w:rsidRPr="003538C0">
        <w:rPr>
          <w:rFonts w:ascii="Palatino Linotype" w:eastAsia="Palatino Linotype" w:hAnsi="Palatino Linotype" w:cs="Palatino Linotype"/>
          <w:sz w:val="24"/>
          <w:szCs w:val="24"/>
        </w:rPr>
        <w:t xml:space="preserve">a través del siguiente archivo electrónico: </w:t>
      </w:r>
    </w:p>
    <w:p w14:paraId="4D6AC544" w14:textId="77777777" w:rsidR="00F5261B" w:rsidRPr="003538C0" w:rsidRDefault="00F5261B" w:rsidP="004F7A14">
      <w:pPr>
        <w:spacing w:before="240" w:after="240" w:line="360" w:lineRule="auto"/>
        <w:ind w:right="-234"/>
        <w:contextualSpacing/>
        <w:jc w:val="both"/>
        <w:rPr>
          <w:rFonts w:ascii="Palatino Linotype" w:eastAsia="Palatino Linotype" w:hAnsi="Palatino Linotype" w:cs="Palatino Linotype"/>
          <w:sz w:val="24"/>
          <w:szCs w:val="24"/>
        </w:rPr>
      </w:pPr>
    </w:p>
    <w:p w14:paraId="141E8FDB" w14:textId="77777777" w:rsidR="00FB0C11" w:rsidRPr="003538C0" w:rsidRDefault="002F4F07" w:rsidP="004F7A14">
      <w:pPr>
        <w:spacing w:line="360" w:lineRule="auto"/>
        <w:contextualSpacing/>
        <w:jc w:val="both"/>
        <w:rPr>
          <w:rFonts w:ascii="Palatino Linotype" w:hAnsi="Palatino Linotype"/>
          <w:sz w:val="24"/>
          <w:szCs w:val="24"/>
        </w:rPr>
      </w:pPr>
      <w:hyperlink r:id="rId7" w:history="1">
        <w:r w:rsidR="00FB0C11" w:rsidRPr="003538C0">
          <w:rPr>
            <w:rStyle w:val="Hipervnculo"/>
            <w:rFonts w:ascii="Palatino Linotype" w:hAnsi="Palatino Linotype" w:cs="Arial"/>
            <w:b/>
            <w:bCs/>
            <w:i/>
            <w:color w:val="auto"/>
            <w:sz w:val="24"/>
            <w:szCs w:val="24"/>
          </w:rPr>
          <w:t>RR08749-2022.pdf</w:t>
        </w:r>
      </w:hyperlink>
      <w:r w:rsidR="00FB0C11" w:rsidRPr="003538C0">
        <w:rPr>
          <w:rFonts w:ascii="Palatino Linotype" w:hAnsi="Palatino Linotype"/>
          <w:i/>
          <w:sz w:val="24"/>
          <w:szCs w:val="24"/>
        </w:rPr>
        <w:t>:</w:t>
      </w:r>
      <w:r w:rsidR="009F1E81" w:rsidRPr="003538C0">
        <w:rPr>
          <w:rFonts w:ascii="Palatino Linotype" w:hAnsi="Palatino Linotype"/>
          <w:i/>
          <w:sz w:val="24"/>
          <w:szCs w:val="24"/>
        </w:rPr>
        <w:t xml:space="preserve"> </w:t>
      </w:r>
      <w:r w:rsidR="009F1E81" w:rsidRPr="003538C0">
        <w:rPr>
          <w:rFonts w:ascii="Palatino Linotype" w:hAnsi="Palatino Linotype"/>
          <w:sz w:val="24"/>
          <w:szCs w:val="24"/>
        </w:rPr>
        <w:t xml:space="preserve">Oficio de fecha nueve de junio de dos mil veintidós, signado por el Secretario Técnico del Gabinete y la Titular de la Unidad de Transparencia mediante el cual mencionan que hacen del conocimiento la respuesta otorgada por la Dirección de Administración en formato PDF. </w:t>
      </w:r>
    </w:p>
    <w:p w14:paraId="73818957" w14:textId="77777777" w:rsidR="004F7A14" w:rsidRPr="003538C0" w:rsidRDefault="004F7A14" w:rsidP="004F7A14">
      <w:pPr>
        <w:spacing w:line="360" w:lineRule="auto"/>
        <w:contextualSpacing/>
        <w:jc w:val="both"/>
        <w:rPr>
          <w:rFonts w:ascii="Palatino Linotype" w:hAnsi="Palatino Linotype"/>
          <w:sz w:val="24"/>
          <w:szCs w:val="24"/>
        </w:rPr>
      </w:pPr>
    </w:p>
    <w:p w14:paraId="4B7EC511" w14:textId="77777777" w:rsidR="009F1E81" w:rsidRPr="003538C0" w:rsidRDefault="009F1E81" w:rsidP="004F7A14">
      <w:pPr>
        <w:spacing w:line="360" w:lineRule="auto"/>
        <w:contextualSpacing/>
        <w:jc w:val="both"/>
        <w:rPr>
          <w:rFonts w:ascii="Palatino Linotype" w:hAnsi="Palatino Linotype"/>
          <w:sz w:val="24"/>
          <w:szCs w:val="24"/>
        </w:rPr>
      </w:pPr>
      <w:r w:rsidRPr="003538C0">
        <w:rPr>
          <w:rFonts w:ascii="Palatino Linotype" w:hAnsi="Palatino Linotype"/>
          <w:sz w:val="24"/>
          <w:szCs w:val="24"/>
        </w:rPr>
        <w:t xml:space="preserve">Oficio DA/ECA/0949/2022 con fecha diecinueve de mayo de dos mil veintidós, signado por la Directora de Administración mediante el cual menciona que la información solicitada puede ser consultada  a través de la Plataforma Electrónica IPOMEX, mencionando para tal efecto una liga electrónica </w:t>
      </w:r>
      <w:r w:rsidR="004F7A14" w:rsidRPr="003538C0">
        <w:rPr>
          <w:rFonts w:ascii="Palatino Linotype" w:hAnsi="Palatino Linotype"/>
          <w:sz w:val="24"/>
          <w:szCs w:val="24"/>
        </w:rPr>
        <w:t xml:space="preserve">del ejercicio 2019 y posteriores conforme  a lo dispuesto en el artículo 92 fracción XXIX A. </w:t>
      </w:r>
      <w:r w:rsidRPr="003538C0">
        <w:rPr>
          <w:rFonts w:ascii="Palatino Linotype" w:hAnsi="Palatino Linotype"/>
          <w:sz w:val="24"/>
          <w:szCs w:val="24"/>
        </w:rPr>
        <w:t xml:space="preserve"> </w:t>
      </w:r>
    </w:p>
    <w:p w14:paraId="595AFDC2" w14:textId="77777777" w:rsidR="00646F86" w:rsidRPr="003538C0" w:rsidRDefault="00646F86" w:rsidP="004F7A14">
      <w:pPr>
        <w:spacing w:line="360" w:lineRule="auto"/>
        <w:contextualSpacing/>
        <w:jc w:val="both"/>
        <w:rPr>
          <w:rFonts w:ascii="Palatino Linotype" w:hAnsi="Palatino Linotype"/>
          <w:sz w:val="24"/>
          <w:szCs w:val="24"/>
        </w:rPr>
      </w:pPr>
    </w:p>
    <w:p w14:paraId="12C5DA7D" w14:textId="77777777" w:rsidR="00F5261B" w:rsidRPr="003538C0" w:rsidRDefault="0020586E" w:rsidP="004F7A14">
      <w:pPr>
        <w:spacing w:line="360" w:lineRule="auto"/>
        <w:contextualSpacing/>
        <w:jc w:val="both"/>
        <w:rPr>
          <w:rFonts w:ascii="Palatino Linotype" w:hAnsi="Palatino Linotype"/>
          <w:sz w:val="24"/>
          <w:szCs w:val="24"/>
        </w:rPr>
      </w:pPr>
      <w:r w:rsidRPr="003538C0">
        <w:rPr>
          <w:rFonts w:ascii="Palatino Linotype" w:hAnsi="Palatino Linotype"/>
          <w:sz w:val="24"/>
          <w:szCs w:val="24"/>
        </w:rPr>
        <w:lastRenderedPageBreak/>
        <w:t xml:space="preserve">Mismo que se puso a la vista del </w:t>
      </w:r>
      <w:r w:rsidR="00043ABC" w:rsidRPr="003538C0">
        <w:rPr>
          <w:rFonts w:ascii="Palatino Linotype" w:hAnsi="Palatino Linotype"/>
          <w:b/>
          <w:sz w:val="24"/>
          <w:szCs w:val="24"/>
        </w:rPr>
        <w:t xml:space="preserve">RECURRENTE, </w:t>
      </w:r>
      <w:r w:rsidR="00043ABC" w:rsidRPr="003538C0">
        <w:rPr>
          <w:rFonts w:ascii="Palatino Linotype" w:hAnsi="Palatino Linotype"/>
          <w:sz w:val="24"/>
          <w:szCs w:val="24"/>
        </w:rPr>
        <w:t xml:space="preserve">mediante acuerdo en fecha veintisiete de septiembre de dos mil veintidós, </w:t>
      </w:r>
      <w:r w:rsidRPr="003538C0">
        <w:rPr>
          <w:rFonts w:ascii="Palatino Linotype" w:hAnsi="Palatino Linotype"/>
          <w:sz w:val="24"/>
          <w:szCs w:val="24"/>
        </w:rPr>
        <w:t xml:space="preserve">a efecto de hacer de </w:t>
      </w:r>
      <w:r w:rsidR="00043ABC" w:rsidRPr="003538C0">
        <w:rPr>
          <w:rFonts w:ascii="Palatino Linotype" w:hAnsi="Palatino Linotype"/>
          <w:sz w:val="24"/>
          <w:szCs w:val="24"/>
        </w:rPr>
        <w:t xml:space="preserve">su conocimiento la información. </w:t>
      </w:r>
    </w:p>
    <w:p w14:paraId="4B5BAD2C" w14:textId="77777777" w:rsidR="00043ABC" w:rsidRPr="003538C0" w:rsidRDefault="00043ABC" w:rsidP="004F7A14">
      <w:pPr>
        <w:spacing w:line="360" w:lineRule="auto"/>
        <w:contextualSpacing/>
        <w:jc w:val="both"/>
        <w:rPr>
          <w:rFonts w:ascii="Palatino Linotype" w:hAnsi="Palatino Linotype"/>
          <w:sz w:val="24"/>
          <w:szCs w:val="24"/>
        </w:rPr>
      </w:pPr>
    </w:p>
    <w:p w14:paraId="170F60EE"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b/>
          <w:sz w:val="24"/>
          <w:szCs w:val="24"/>
        </w:rPr>
        <w:t>7. AMPLIACIÓN DEL TÉRMINO PARA RESOLVER</w:t>
      </w:r>
      <w:r w:rsidRPr="003538C0">
        <w:rPr>
          <w:rFonts w:ascii="Palatino Linotype" w:eastAsia="Palatino Linotype" w:hAnsi="Palatino Linotype" w:cs="Palatino Linotype"/>
          <w:sz w:val="24"/>
          <w:szCs w:val="24"/>
        </w:rPr>
        <w:t>.</w:t>
      </w:r>
      <w:r w:rsidRPr="003538C0">
        <w:rPr>
          <w:rFonts w:ascii="Palatino Linotype" w:eastAsia="Palatino Linotype" w:hAnsi="Palatino Linotype" w:cs="Palatino Linotype"/>
        </w:rPr>
        <w:t xml:space="preserve"> </w:t>
      </w:r>
      <w:r w:rsidRPr="003538C0">
        <w:rPr>
          <w:rFonts w:ascii="Palatino Linotype" w:eastAsia="Palatino Linotype" w:hAnsi="Palatino Linotype" w:cs="Palatino Linotype"/>
          <w:sz w:val="24"/>
          <w:szCs w:val="24"/>
        </w:rPr>
        <w:t xml:space="preserve">En fecha </w:t>
      </w:r>
      <w:r w:rsidR="00D929A0" w:rsidRPr="003538C0">
        <w:rPr>
          <w:rFonts w:ascii="Palatino Linotype" w:eastAsia="Palatino Linotype" w:hAnsi="Palatino Linotype" w:cs="Palatino Linotype"/>
          <w:sz w:val="24"/>
          <w:szCs w:val="24"/>
        </w:rPr>
        <w:t>veintisiete</w:t>
      </w:r>
      <w:r w:rsidRPr="003538C0">
        <w:rPr>
          <w:rFonts w:ascii="Palatino Linotype" w:eastAsia="Palatino Linotype" w:hAnsi="Palatino Linotype" w:cs="Palatino Linotype"/>
          <w:sz w:val="24"/>
          <w:szCs w:val="24"/>
        </w:rPr>
        <w:t xml:space="preserve"> de </w:t>
      </w:r>
      <w:r w:rsidR="00D929A0" w:rsidRPr="003538C0">
        <w:rPr>
          <w:rFonts w:ascii="Palatino Linotype" w:eastAsia="Palatino Linotype" w:hAnsi="Palatino Linotype" w:cs="Palatino Linotype"/>
          <w:sz w:val="24"/>
          <w:szCs w:val="24"/>
        </w:rPr>
        <w:t>septiembre</w:t>
      </w:r>
      <w:r w:rsidRPr="003538C0">
        <w:rPr>
          <w:rFonts w:ascii="Palatino Linotype" w:eastAsia="Palatino Linotype" w:hAnsi="Palatino Linotype" w:cs="Palatino Linotype"/>
          <w:sz w:val="24"/>
          <w:szCs w:val="24"/>
        </w:rPr>
        <w:t xml:space="preserve"> de dos mil veintidós, se amplió el término para resolver el recurso de revisión en términos del artículo 181 párrafo tercero de la Ley de Transparencia y Acceso a la Información Pública del Estado de México y Municipios. </w:t>
      </w:r>
    </w:p>
    <w:p w14:paraId="44064C2C"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40A5194A"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sidRPr="003538C0">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8C7F58A"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4A2377D0"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DB847BE"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31A5346B" w14:textId="04811952"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B52226" w14:textId="77777777" w:rsidR="00147496" w:rsidRPr="003538C0" w:rsidRDefault="00147496" w:rsidP="004F7A14">
      <w:pPr>
        <w:spacing w:after="0" w:line="360" w:lineRule="auto"/>
        <w:jc w:val="both"/>
        <w:rPr>
          <w:rFonts w:ascii="Palatino Linotype" w:eastAsia="Palatino Linotype" w:hAnsi="Palatino Linotype" w:cs="Palatino Linotype"/>
          <w:sz w:val="24"/>
          <w:szCs w:val="24"/>
        </w:rPr>
      </w:pPr>
    </w:p>
    <w:p w14:paraId="29D8B208"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932A97B"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279CC5F3" w14:textId="77777777" w:rsidR="004F7A14" w:rsidRPr="003538C0" w:rsidRDefault="004F7A14" w:rsidP="004F7A14">
      <w:pPr>
        <w:spacing w:after="0" w:line="360" w:lineRule="auto"/>
        <w:jc w:val="both"/>
        <w:rPr>
          <w:rFonts w:ascii="Palatino Linotype" w:eastAsia="Palatino Linotype" w:hAnsi="Palatino Linotype" w:cs="Palatino Linotype"/>
          <w:strike/>
          <w:sz w:val="24"/>
          <w:szCs w:val="24"/>
        </w:rPr>
      </w:pPr>
      <w:r w:rsidRPr="003538C0">
        <w:rPr>
          <w:rFonts w:ascii="Palatino Linotype" w:eastAsia="Palatino Linotype" w:hAnsi="Palatino Linotype" w:cs="Palatino Linotype"/>
          <w:sz w:val="24"/>
          <w:szCs w:val="24"/>
        </w:rPr>
        <w:t>Por ello, excepcionalmente, si un asunto es resuelto con posterioridad a los plazos señalados por la norma debe analizarse la razonabilidad del tiempo necesario para su resolución</w:t>
      </w:r>
      <w:r w:rsidR="00043ABC" w:rsidRPr="003538C0">
        <w:rPr>
          <w:rFonts w:ascii="Palatino Linotype" w:eastAsia="Palatino Linotype" w:hAnsi="Palatino Linotype" w:cs="Palatino Linotype"/>
          <w:sz w:val="24"/>
          <w:szCs w:val="24"/>
        </w:rPr>
        <w:t>,</w:t>
      </w:r>
      <w:r w:rsidRPr="003538C0">
        <w:rPr>
          <w:rFonts w:ascii="Palatino Linotype" w:eastAsia="Palatino Linotype" w:hAnsi="Palatino Linotype" w:cs="Palatino Linotype"/>
          <w:sz w:val="24"/>
          <w:szCs w:val="24"/>
        </w:rPr>
        <w:t xml:space="preserve"> atentos a los siguientes criterios: </w:t>
      </w:r>
    </w:p>
    <w:p w14:paraId="4462D544"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1E9C7150" w14:textId="77777777" w:rsidR="004F7A14" w:rsidRPr="003538C0" w:rsidRDefault="004F7A14" w:rsidP="004F7A14">
      <w:pPr>
        <w:numPr>
          <w:ilvl w:val="0"/>
          <w:numId w:val="1"/>
        </w:num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72B3DB35" w14:textId="77777777" w:rsidR="004F7A14" w:rsidRPr="003538C0" w:rsidRDefault="004F7A14" w:rsidP="004F7A14">
      <w:pPr>
        <w:spacing w:after="0" w:line="360" w:lineRule="auto"/>
        <w:ind w:left="927"/>
        <w:jc w:val="both"/>
        <w:rPr>
          <w:rFonts w:ascii="Palatino Linotype" w:eastAsia="Palatino Linotype" w:hAnsi="Palatino Linotype" w:cs="Palatino Linotype"/>
          <w:sz w:val="24"/>
          <w:szCs w:val="24"/>
        </w:rPr>
      </w:pPr>
    </w:p>
    <w:p w14:paraId="78ED7597" w14:textId="77777777" w:rsidR="004F7A14" w:rsidRPr="003538C0" w:rsidRDefault="004F7A14" w:rsidP="004F7A14">
      <w:pPr>
        <w:numPr>
          <w:ilvl w:val="0"/>
          <w:numId w:val="1"/>
        </w:num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Actividad Procesal del interesado. Acciones u omisiones del interesado.</w:t>
      </w:r>
    </w:p>
    <w:p w14:paraId="48C50D14"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4A938F68" w14:textId="77777777" w:rsidR="004F7A14" w:rsidRPr="003538C0" w:rsidRDefault="004F7A14" w:rsidP="004F7A14">
      <w:pPr>
        <w:numPr>
          <w:ilvl w:val="0"/>
          <w:numId w:val="1"/>
        </w:num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19F16C24" w14:textId="77777777" w:rsidR="004F7A14" w:rsidRPr="003538C0" w:rsidRDefault="004F7A14" w:rsidP="004F7A14">
      <w:pPr>
        <w:spacing w:after="0" w:line="360" w:lineRule="auto"/>
        <w:ind w:left="567"/>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5DCE4F02" w14:textId="77777777" w:rsidR="004F7A14" w:rsidRPr="003538C0" w:rsidRDefault="004F7A14" w:rsidP="004F7A14">
      <w:pPr>
        <w:spacing w:after="0" w:line="360" w:lineRule="auto"/>
        <w:ind w:left="567"/>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EB9E6D4"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4CD92A75" w14:textId="77777777" w:rsidR="004F7A14" w:rsidRPr="003538C0" w:rsidRDefault="004F7A14" w:rsidP="004F7A14">
      <w:pPr>
        <w:spacing w:after="0" w:line="360" w:lineRule="auto"/>
        <w:jc w:val="both"/>
        <w:rPr>
          <w:rFonts w:ascii="Palatino Linotype" w:eastAsia="Palatino Linotype" w:hAnsi="Palatino Linotype" w:cs="Palatino Linotype"/>
          <w:b/>
          <w:sz w:val="24"/>
          <w:szCs w:val="24"/>
        </w:rPr>
      </w:pPr>
      <w:r w:rsidRPr="003538C0">
        <w:rPr>
          <w:rFonts w:ascii="Palatino Linotype" w:eastAsia="Palatino Linotype" w:hAnsi="Palatino Linotype" w:cs="Palatino Linotype"/>
          <w:sz w:val="24"/>
          <w:szCs w:val="24"/>
        </w:rPr>
        <w:t>Argumento que encuentra sustento en la jurisprudencia P</w:t>
      </w:r>
      <w:proofErr w:type="gramStart"/>
      <w:r w:rsidRPr="003538C0">
        <w:rPr>
          <w:rFonts w:ascii="Palatino Linotype" w:eastAsia="Palatino Linotype" w:hAnsi="Palatino Linotype" w:cs="Palatino Linotype"/>
          <w:sz w:val="24"/>
          <w:szCs w:val="24"/>
        </w:rPr>
        <w:t>./</w:t>
      </w:r>
      <w:proofErr w:type="gramEnd"/>
      <w:r w:rsidRPr="003538C0">
        <w:rPr>
          <w:rFonts w:ascii="Palatino Linotype" w:eastAsia="Palatino Linotype" w:hAnsi="Palatino Linotype" w:cs="Palatino Linotype"/>
          <w:sz w:val="24"/>
          <w:szCs w:val="24"/>
        </w:rPr>
        <w:t xml:space="preserve">J. 32/92 emitida por el Pleno de la Suprema Corte de Justicia de la Nación de rubro </w:t>
      </w:r>
      <w:r w:rsidRPr="003538C0">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3538C0">
        <w:rPr>
          <w:rFonts w:ascii="Palatino Linotype" w:eastAsia="Palatino Linotype" w:hAnsi="Palatino Linotype" w:cs="Palatino Linotype"/>
          <w:sz w:val="24"/>
          <w:szCs w:val="24"/>
        </w:rPr>
        <w:t>, visible en la Gaceta del Seminario Judicial de la Federación con el registro digital 205635.</w:t>
      </w:r>
    </w:p>
    <w:p w14:paraId="423EA35E"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780E3752"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3538C0">
        <w:rPr>
          <w:rFonts w:ascii="Palatino Linotype" w:eastAsia="Palatino Linotype" w:hAnsi="Palatino Linotype" w:cs="Palatino Linotype"/>
          <w:sz w:val="24"/>
          <w:szCs w:val="24"/>
        </w:rPr>
        <w:lastRenderedPageBreak/>
        <w:t>los términos legales previamente establecidos por la Ley, por tratarse de causas de fuerza mayor.</w:t>
      </w:r>
    </w:p>
    <w:p w14:paraId="546D2D63"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7B731EAE"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0A6CF2C0"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10A954D8"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 </w:t>
      </w:r>
      <w:r w:rsidRPr="003538C0">
        <w:rPr>
          <w:rFonts w:ascii="Palatino Linotype" w:eastAsia="Palatino Linotype" w:hAnsi="Palatino Linotype" w:cs="Palatino Linotype"/>
          <w:i/>
          <w:sz w:val="24"/>
          <w:szCs w:val="24"/>
        </w:rPr>
        <w:t>“PLAZO RAZONABLE PARA RESOLVER. DIMENSIÓN Y EFECTOS DE ESTE CONCEPTO CUANDO SE ADUCE EXCESIVA CARGA DE TRABAJO.”</w:t>
      </w:r>
      <w:r w:rsidRPr="003538C0">
        <w:rPr>
          <w:rFonts w:ascii="Palatino Linotype" w:eastAsia="Palatino Linotype" w:hAnsi="Palatino Linotype" w:cs="Palatino Linotype"/>
          <w:sz w:val="24"/>
          <w:szCs w:val="24"/>
        </w:rPr>
        <w:t xml:space="preserve"> consultable en el Seminario Judicial de la Federación y su gaceta, con el registro digital 2002351.</w:t>
      </w:r>
    </w:p>
    <w:p w14:paraId="4B289293" w14:textId="77777777" w:rsidR="004F7A14" w:rsidRPr="003538C0" w:rsidRDefault="004F7A14" w:rsidP="004F7A14">
      <w:pPr>
        <w:spacing w:after="0" w:line="360" w:lineRule="auto"/>
        <w:jc w:val="both"/>
        <w:rPr>
          <w:rFonts w:ascii="Palatino Linotype" w:eastAsia="Palatino Linotype" w:hAnsi="Palatino Linotype" w:cs="Palatino Linotype"/>
          <w:b/>
          <w:sz w:val="24"/>
          <w:szCs w:val="24"/>
        </w:rPr>
      </w:pPr>
    </w:p>
    <w:p w14:paraId="6E8BDC67"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3538C0">
        <w:rPr>
          <w:rFonts w:ascii="Palatino Linotype" w:eastAsia="Palatino Linotype" w:hAnsi="Palatino Linotype" w:cs="Palatino Linotype"/>
          <w:sz w:val="24"/>
          <w:szCs w:val="24"/>
        </w:rPr>
        <w:t>, visible en el Seminario Judicial de la Federación y su gaceta, con el registro digital 2002350.</w:t>
      </w:r>
    </w:p>
    <w:p w14:paraId="069354CE"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5D292033"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3538C0">
        <w:rPr>
          <w:rFonts w:ascii="Palatino Linotype" w:eastAsia="Palatino Linotype" w:hAnsi="Palatino Linotype" w:cs="Palatino Linotype"/>
          <w:b/>
          <w:sz w:val="24"/>
          <w:szCs w:val="24"/>
        </w:rPr>
        <w:br/>
      </w:r>
    </w:p>
    <w:p w14:paraId="0DC53BAB" w14:textId="77777777" w:rsidR="004F7A14" w:rsidRPr="003538C0" w:rsidRDefault="004F7A14" w:rsidP="004F7A14">
      <w:pPr>
        <w:spacing w:after="0" w:line="360" w:lineRule="auto"/>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b/>
          <w:sz w:val="24"/>
          <w:szCs w:val="24"/>
        </w:rPr>
        <w:t xml:space="preserve">8. CIERRE DE INSTRUCCIÓN. </w:t>
      </w:r>
      <w:r w:rsidRPr="003538C0">
        <w:rPr>
          <w:rFonts w:ascii="Palatino Linotype" w:eastAsia="Palatino Linotype" w:hAnsi="Palatino Linotype" w:cs="Palatino Linotype"/>
          <w:sz w:val="24"/>
          <w:szCs w:val="24"/>
        </w:rPr>
        <w:t xml:space="preserve">El </w:t>
      </w:r>
      <w:r w:rsidR="0020586E" w:rsidRPr="003538C0">
        <w:rPr>
          <w:rFonts w:ascii="Palatino Linotype" w:eastAsia="Palatino Linotype" w:hAnsi="Palatino Linotype" w:cs="Palatino Linotype"/>
          <w:sz w:val="24"/>
          <w:szCs w:val="24"/>
        </w:rPr>
        <w:t>cinco</w:t>
      </w:r>
      <w:r w:rsidRPr="003538C0">
        <w:rPr>
          <w:rFonts w:ascii="Palatino Linotype" w:eastAsia="Palatino Linotype" w:hAnsi="Palatino Linotype" w:cs="Palatino Linotype"/>
          <w:sz w:val="24"/>
          <w:szCs w:val="24"/>
        </w:rPr>
        <w:t xml:space="preserve"> de </w:t>
      </w:r>
      <w:r w:rsidR="00D929A0" w:rsidRPr="003538C0">
        <w:rPr>
          <w:rFonts w:ascii="Palatino Linotype" w:eastAsia="Palatino Linotype" w:hAnsi="Palatino Linotype" w:cs="Palatino Linotype"/>
          <w:sz w:val="24"/>
          <w:szCs w:val="24"/>
        </w:rPr>
        <w:t>octu</w:t>
      </w:r>
      <w:r w:rsidRPr="003538C0">
        <w:rPr>
          <w:rFonts w:ascii="Palatino Linotype" w:eastAsia="Palatino Linotype" w:hAnsi="Palatino Linotype" w:cs="Palatino Linotype"/>
          <w:sz w:val="24"/>
          <w:szCs w:val="24"/>
        </w:rPr>
        <w:t xml:space="preserve">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w:t>
      </w:r>
      <w:r w:rsidRPr="003538C0">
        <w:rPr>
          <w:rFonts w:ascii="Palatino Linotype" w:eastAsia="Palatino Linotype" w:hAnsi="Palatino Linotype" w:cs="Palatino Linotype"/>
          <w:sz w:val="24"/>
          <w:szCs w:val="24"/>
        </w:rPr>
        <w:lastRenderedPageBreak/>
        <w:t>Información Pública del Estado de México y Municipios, iniciando el término legal para dictar resolución definitiva del asunto.</w:t>
      </w:r>
    </w:p>
    <w:p w14:paraId="628EBB41" w14:textId="77777777" w:rsidR="004F7A14" w:rsidRPr="003538C0" w:rsidRDefault="004F7A14" w:rsidP="004F7A14">
      <w:pPr>
        <w:spacing w:after="0" w:line="360" w:lineRule="auto"/>
        <w:contextualSpacing/>
        <w:jc w:val="both"/>
        <w:rPr>
          <w:rFonts w:ascii="Palatino Linotype" w:eastAsia="Palatino Linotype" w:hAnsi="Palatino Linotype" w:cs="Palatino Linotype"/>
          <w:sz w:val="24"/>
          <w:szCs w:val="24"/>
        </w:rPr>
      </w:pPr>
    </w:p>
    <w:p w14:paraId="18B285EE" w14:textId="77777777" w:rsidR="004F7A14" w:rsidRPr="003538C0" w:rsidRDefault="004F7A14" w:rsidP="004F7A14">
      <w:pPr>
        <w:spacing w:after="0" w:line="360" w:lineRule="auto"/>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13C8C2B9" w14:textId="77777777" w:rsidR="004F7A14" w:rsidRPr="003538C0" w:rsidRDefault="004F7A14" w:rsidP="004F7A14">
      <w:pPr>
        <w:spacing w:after="0" w:line="360" w:lineRule="auto"/>
        <w:contextualSpacing/>
        <w:jc w:val="both"/>
        <w:rPr>
          <w:rFonts w:ascii="Palatino Linotype" w:eastAsia="Palatino Linotype" w:hAnsi="Palatino Linotype" w:cs="Palatino Linotype"/>
          <w:sz w:val="24"/>
          <w:szCs w:val="24"/>
        </w:rPr>
      </w:pPr>
    </w:p>
    <w:p w14:paraId="17E2DCB8" w14:textId="77777777" w:rsidR="004F7A14" w:rsidRPr="003538C0" w:rsidRDefault="004F7A14" w:rsidP="004F7A14">
      <w:pPr>
        <w:widowControl w:val="0"/>
        <w:spacing w:after="0" w:line="360" w:lineRule="auto"/>
        <w:contextualSpacing/>
        <w:jc w:val="center"/>
        <w:rPr>
          <w:rFonts w:ascii="Palatino Linotype" w:eastAsia="Palatino Linotype" w:hAnsi="Palatino Linotype" w:cs="Palatino Linotype"/>
          <w:b/>
          <w:sz w:val="24"/>
          <w:szCs w:val="24"/>
        </w:rPr>
      </w:pPr>
      <w:r w:rsidRPr="003538C0">
        <w:rPr>
          <w:rFonts w:ascii="Palatino Linotype" w:eastAsia="Palatino Linotype" w:hAnsi="Palatino Linotype" w:cs="Palatino Linotype"/>
          <w:b/>
          <w:sz w:val="24"/>
          <w:szCs w:val="24"/>
        </w:rPr>
        <w:t>C O N S I D E R A N D O S</w:t>
      </w:r>
    </w:p>
    <w:p w14:paraId="753A4A72" w14:textId="77777777" w:rsidR="004F7A14" w:rsidRPr="003538C0" w:rsidRDefault="004F7A14" w:rsidP="004F7A14">
      <w:pPr>
        <w:spacing w:after="0" w:line="360" w:lineRule="auto"/>
        <w:contextualSpacing/>
        <w:jc w:val="both"/>
        <w:rPr>
          <w:rFonts w:ascii="Palatino Linotype" w:eastAsia="Palatino Linotype" w:hAnsi="Palatino Linotype" w:cs="Palatino Linotype"/>
          <w:b/>
          <w:sz w:val="24"/>
          <w:szCs w:val="24"/>
        </w:rPr>
      </w:pPr>
    </w:p>
    <w:p w14:paraId="5846DBD1" w14:textId="77777777" w:rsidR="004F7A14" w:rsidRPr="003538C0" w:rsidRDefault="004F7A14" w:rsidP="004F7A14">
      <w:pPr>
        <w:spacing w:after="0" w:line="360" w:lineRule="auto"/>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b/>
          <w:sz w:val="24"/>
          <w:szCs w:val="24"/>
        </w:rPr>
        <w:t>PRIMERO. COMPETENCIA.</w:t>
      </w:r>
      <w:r w:rsidRPr="003538C0">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16BCA0D" w14:textId="77777777" w:rsidR="004F7A14" w:rsidRPr="003538C0" w:rsidRDefault="004F7A14" w:rsidP="004F7A14">
      <w:pPr>
        <w:spacing w:after="0" w:line="360" w:lineRule="auto"/>
        <w:contextualSpacing/>
        <w:jc w:val="both"/>
        <w:rPr>
          <w:rFonts w:ascii="Palatino Linotype" w:eastAsia="Palatino Linotype" w:hAnsi="Palatino Linotype" w:cs="Palatino Linotype"/>
          <w:sz w:val="24"/>
          <w:szCs w:val="24"/>
        </w:rPr>
      </w:pPr>
    </w:p>
    <w:p w14:paraId="0F33287F"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b/>
          <w:sz w:val="24"/>
          <w:szCs w:val="24"/>
        </w:rPr>
        <w:t>SEGUNDO. OPORTUNIDAD Y PROCEDIBILIDAD.</w:t>
      </w:r>
      <w:r w:rsidRPr="003538C0">
        <w:rPr>
          <w:rFonts w:ascii="Palatino Linotype" w:eastAsia="Palatino Linotype" w:hAnsi="Palatino Linotype" w:cs="Palatino Linotype"/>
          <w:b/>
        </w:rPr>
        <w:t xml:space="preserve"> </w:t>
      </w:r>
      <w:r w:rsidRPr="003538C0">
        <w:rPr>
          <w:rFonts w:ascii="Palatino Linotype" w:eastAsia="Palatino Linotype" w:hAnsi="Palatino Linotype" w:cs="Palatino Linotype"/>
          <w:sz w:val="24"/>
          <w:szCs w:val="24"/>
        </w:rPr>
        <w:t>Es de precisar que la</w:t>
      </w:r>
      <w:r w:rsidRPr="003538C0">
        <w:rPr>
          <w:rFonts w:ascii="Palatino Linotype" w:eastAsia="Palatino Linotype" w:hAnsi="Palatino Linotype" w:cs="Palatino Linotype"/>
          <w:b/>
          <w:sz w:val="24"/>
          <w:szCs w:val="24"/>
        </w:rPr>
        <w:t xml:space="preserve"> </w:t>
      </w:r>
      <w:r w:rsidRPr="003538C0">
        <w:rPr>
          <w:rFonts w:ascii="Palatino Linotype" w:eastAsia="Palatino Linotype" w:hAnsi="Palatino Linotype" w:cs="Palatino Linotype"/>
          <w:sz w:val="24"/>
          <w:szCs w:val="24"/>
        </w:rPr>
        <w:t xml:space="preserve">Ley de Transparencia y Acceso a la Información Pública del Estado de México y Municipios, </w:t>
      </w:r>
      <w:r w:rsidRPr="003538C0">
        <w:rPr>
          <w:rFonts w:ascii="Palatino Linotype" w:eastAsia="Palatino Linotype" w:hAnsi="Palatino Linotype" w:cs="Palatino Linotype"/>
          <w:sz w:val="24"/>
          <w:szCs w:val="24"/>
        </w:rPr>
        <w:lastRenderedPageBreak/>
        <w:t xml:space="preserve">describe el mecanismo de procedencia de los recursos de revisión, como se dispone en los artículos 163 y 166, del tenor literal siguiente: </w:t>
      </w:r>
    </w:p>
    <w:p w14:paraId="38A54676" w14:textId="77777777" w:rsidR="004F7A14" w:rsidRPr="003538C0" w:rsidRDefault="004F7A14" w:rsidP="004F7A14">
      <w:pPr>
        <w:spacing w:after="0" w:line="360" w:lineRule="auto"/>
        <w:jc w:val="both"/>
        <w:rPr>
          <w:rFonts w:ascii="Palatino Linotype" w:eastAsia="Palatino Linotype" w:hAnsi="Palatino Linotype" w:cs="Palatino Linotype"/>
        </w:rPr>
      </w:pPr>
    </w:p>
    <w:p w14:paraId="378CEACB" w14:textId="77777777" w:rsidR="004F7A14" w:rsidRPr="003538C0" w:rsidRDefault="004F7A14" w:rsidP="004F7A14">
      <w:pPr>
        <w:spacing w:after="0" w:line="276" w:lineRule="auto"/>
        <w:ind w:left="851" w:right="851"/>
        <w:jc w:val="both"/>
        <w:rPr>
          <w:rFonts w:ascii="Palatino Linotype" w:eastAsia="Palatino Linotype" w:hAnsi="Palatino Linotype" w:cs="Palatino Linotype"/>
          <w:i/>
        </w:rPr>
      </w:pPr>
      <w:r w:rsidRPr="003538C0">
        <w:rPr>
          <w:rFonts w:ascii="Palatino Linotype" w:eastAsia="Palatino Linotype" w:hAnsi="Palatino Linotype" w:cs="Palatino Linotype"/>
          <w:i/>
        </w:rPr>
        <w:t>“</w:t>
      </w:r>
      <w:r w:rsidRPr="003538C0">
        <w:rPr>
          <w:rFonts w:ascii="Palatino Linotype" w:eastAsia="Palatino Linotype" w:hAnsi="Palatino Linotype" w:cs="Palatino Linotype"/>
          <w:b/>
          <w:i/>
        </w:rPr>
        <w:t xml:space="preserve">Artículo 163. </w:t>
      </w:r>
      <w:r w:rsidRPr="003538C0">
        <w:rPr>
          <w:rFonts w:ascii="Palatino Linotype" w:eastAsia="Palatino Linotype" w:hAnsi="Palatino Linotype" w:cs="Palatino Linotype"/>
          <w:i/>
        </w:rPr>
        <w:t xml:space="preserve">La Unidad de Transparencia deberá notificar la respuesta a la solicitud al interesado en el menor tiempo posible, que no podrá exceder de quince días hábiles, contados a partir del día siguiente a la presentación de aquélla. </w:t>
      </w:r>
    </w:p>
    <w:p w14:paraId="341843FD" w14:textId="77777777" w:rsidR="004F7A14" w:rsidRPr="003538C0" w:rsidRDefault="004F7A14" w:rsidP="004F7A14">
      <w:pPr>
        <w:spacing w:after="0" w:line="276" w:lineRule="auto"/>
        <w:ind w:left="851" w:right="851"/>
        <w:jc w:val="both"/>
        <w:rPr>
          <w:rFonts w:ascii="Palatino Linotype" w:eastAsia="Palatino Linotype" w:hAnsi="Palatino Linotype" w:cs="Palatino Linotype"/>
          <w:i/>
        </w:rPr>
      </w:pPr>
      <w:r w:rsidRPr="003538C0">
        <w:rPr>
          <w:rFonts w:ascii="Palatino Linotype" w:eastAsia="Palatino Linotype" w:hAnsi="Palatino Linotype" w:cs="Palatino Linotype"/>
          <w:i/>
        </w:rPr>
        <w:t>…</w:t>
      </w:r>
    </w:p>
    <w:p w14:paraId="21F51D60" w14:textId="77777777" w:rsidR="004F7A14" w:rsidRPr="003538C0" w:rsidRDefault="004F7A14" w:rsidP="004F7A14">
      <w:pPr>
        <w:spacing w:after="0" w:line="360" w:lineRule="auto"/>
        <w:ind w:left="851" w:right="851"/>
        <w:jc w:val="both"/>
        <w:rPr>
          <w:rFonts w:ascii="Palatino Linotype" w:eastAsia="Palatino Linotype" w:hAnsi="Palatino Linotype" w:cs="Palatino Linotype"/>
          <w:i/>
        </w:rPr>
      </w:pPr>
      <w:r w:rsidRPr="003538C0">
        <w:rPr>
          <w:rFonts w:ascii="Palatino Linotype" w:eastAsia="Palatino Linotype" w:hAnsi="Palatino Linotype" w:cs="Palatino Linotype"/>
          <w:b/>
          <w:i/>
        </w:rPr>
        <w:t>Artículo 166.</w:t>
      </w:r>
      <w:r w:rsidRPr="003538C0">
        <w:rPr>
          <w:rFonts w:ascii="Palatino Linotype" w:eastAsia="Palatino Linotype" w:hAnsi="Palatino Linotype" w:cs="Palatino Linotype"/>
          <w:i/>
        </w:rPr>
        <w:t xml:space="preserve"> […]</w:t>
      </w:r>
    </w:p>
    <w:p w14:paraId="5374A4E5" w14:textId="77777777" w:rsidR="004F7A14" w:rsidRPr="003538C0" w:rsidRDefault="004F7A14" w:rsidP="004F7A14">
      <w:pPr>
        <w:spacing w:after="0" w:line="276" w:lineRule="auto"/>
        <w:ind w:left="851" w:right="851"/>
        <w:jc w:val="both"/>
        <w:rPr>
          <w:rFonts w:ascii="Palatino Linotype" w:eastAsia="Palatino Linotype" w:hAnsi="Palatino Linotype" w:cs="Palatino Linotype"/>
          <w:i/>
        </w:rPr>
      </w:pPr>
      <w:r w:rsidRPr="003538C0">
        <w:rPr>
          <w:rFonts w:ascii="Palatino Linotype" w:eastAsia="Palatino Linotype" w:hAnsi="Palatino Linotype" w:cs="Palatino Linotype"/>
          <w:i/>
        </w:rPr>
        <w:t xml:space="preserve">Cuando el sujeto obligado no entregue la respuesta a la solicitud dentro del plazo previsto en la Ley, la solicitud se entenderá negada y el solicitante podrá interponer el recurso de revisión previsto en este ordenamiento.” </w:t>
      </w:r>
    </w:p>
    <w:p w14:paraId="3CE6C7CC" w14:textId="77777777" w:rsidR="004F7A14" w:rsidRPr="003538C0" w:rsidRDefault="004F7A14" w:rsidP="004F7A14">
      <w:pPr>
        <w:spacing w:after="0" w:line="360" w:lineRule="auto"/>
        <w:jc w:val="both"/>
        <w:rPr>
          <w:rFonts w:ascii="Palatino Linotype" w:eastAsia="Palatino Linotype" w:hAnsi="Palatino Linotype" w:cs="Palatino Linotype"/>
        </w:rPr>
      </w:pPr>
    </w:p>
    <w:p w14:paraId="7C8BB872"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14:paraId="172FD75E"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2165DEA2"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5C1AAA24"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05FE1740"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Por su parte, el artículo 178 del citado ordenamiento, establece:</w:t>
      </w:r>
    </w:p>
    <w:p w14:paraId="7FCEA280" w14:textId="77777777" w:rsidR="004F7A14" w:rsidRPr="003538C0" w:rsidRDefault="004F7A14" w:rsidP="004F7A14">
      <w:pPr>
        <w:spacing w:after="0" w:line="360" w:lineRule="auto"/>
        <w:jc w:val="both"/>
        <w:rPr>
          <w:rFonts w:ascii="Palatino Linotype" w:eastAsia="Palatino Linotype" w:hAnsi="Palatino Linotype" w:cs="Palatino Linotype"/>
          <w:i/>
        </w:rPr>
      </w:pPr>
    </w:p>
    <w:p w14:paraId="353D07CE" w14:textId="77777777" w:rsidR="004F7A14" w:rsidRPr="003538C0" w:rsidRDefault="004F7A14" w:rsidP="004F7A14">
      <w:pPr>
        <w:spacing w:after="0" w:line="276" w:lineRule="auto"/>
        <w:ind w:left="851" w:right="851"/>
        <w:jc w:val="both"/>
        <w:rPr>
          <w:rFonts w:ascii="Palatino Linotype" w:eastAsia="Palatino Linotype" w:hAnsi="Palatino Linotype" w:cs="Palatino Linotype"/>
          <w:b/>
          <w:i/>
        </w:rPr>
      </w:pPr>
      <w:bookmarkStart w:id="1" w:name="_heading=h.tyjcwt" w:colFirst="0" w:colLast="0"/>
      <w:bookmarkEnd w:id="1"/>
      <w:r w:rsidRPr="003538C0">
        <w:rPr>
          <w:rFonts w:ascii="Palatino Linotype" w:eastAsia="Palatino Linotype" w:hAnsi="Palatino Linotype" w:cs="Palatino Linotype"/>
          <w:i/>
        </w:rPr>
        <w:t>“</w:t>
      </w:r>
      <w:r w:rsidRPr="003538C0">
        <w:rPr>
          <w:rFonts w:ascii="Palatino Linotype" w:eastAsia="Palatino Linotype" w:hAnsi="Palatino Linotype" w:cs="Palatino Linotype"/>
          <w:b/>
          <w:i/>
        </w:rPr>
        <w:t xml:space="preserve">Artículo 178. </w:t>
      </w:r>
      <w:r w:rsidRPr="003538C0">
        <w:rPr>
          <w:rFonts w:ascii="Palatino Linotype" w:eastAsia="Palatino Linotype" w:hAnsi="Palatino Linotype" w:cs="Palatino Linotype"/>
          <w:i/>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3538C0">
        <w:rPr>
          <w:rFonts w:ascii="Palatino Linotype" w:eastAsia="Palatino Linotype" w:hAnsi="Palatino Linotype" w:cs="Palatino Linotype"/>
          <w:b/>
          <w:i/>
        </w:rPr>
        <w:t>.”</w:t>
      </w:r>
    </w:p>
    <w:p w14:paraId="016134B2" w14:textId="77777777" w:rsidR="004F7A14" w:rsidRPr="003538C0" w:rsidRDefault="004F7A14" w:rsidP="004F7A14">
      <w:pPr>
        <w:spacing w:after="0" w:line="360" w:lineRule="auto"/>
        <w:ind w:left="851" w:right="851"/>
        <w:jc w:val="both"/>
        <w:rPr>
          <w:rFonts w:ascii="Palatino Linotype" w:eastAsia="Palatino Linotype" w:hAnsi="Palatino Linotype" w:cs="Palatino Linotype"/>
          <w:i/>
        </w:rPr>
      </w:pPr>
    </w:p>
    <w:p w14:paraId="092F2F63"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De lo anterior, se advierte que el recurso de revisión se ha de interponer dentro del plazo de quince días hábiles, a partir de la fecha en que el </w:t>
      </w:r>
      <w:r w:rsidRPr="003538C0">
        <w:rPr>
          <w:rFonts w:ascii="Palatino Linotype" w:eastAsia="Palatino Linotype" w:hAnsi="Palatino Linotype" w:cs="Palatino Linotype"/>
          <w:b/>
          <w:sz w:val="24"/>
          <w:szCs w:val="24"/>
        </w:rPr>
        <w:t xml:space="preserve">SUJETO OBLIGADO </w:t>
      </w:r>
      <w:r w:rsidRPr="003538C0">
        <w:rPr>
          <w:rFonts w:ascii="Palatino Linotype" w:eastAsia="Palatino Linotype" w:hAnsi="Palatino Linotype" w:cs="Palatino Linotype"/>
          <w:sz w:val="24"/>
          <w:szCs w:val="24"/>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7239AE92"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29EB18EE"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La negativa ficta constituye una presunción legal, en el entendido de que donde no hubo respuesta por parte del </w:t>
      </w:r>
      <w:r w:rsidRPr="003538C0">
        <w:rPr>
          <w:rFonts w:ascii="Palatino Linotype" w:eastAsia="Palatino Linotype" w:hAnsi="Palatino Linotype" w:cs="Palatino Linotype"/>
          <w:b/>
          <w:sz w:val="24"/>
          <w:szCs w:val="24"/>
        </w:rPr>
        <w:t xml:space="preserve">SUJETO OBLIGADO </w:t>
      </w:r>
      <w:r w:rsidRPr="003538C0">
        <w:rPr>
          <w:rFonts w:ascii="Palatino Linotype" w:eastAsia="Palatino Linotype" w:hAnsi="Palatino Linotype" w:cs="Palatino Linotype"/>
          <w:sz w:val="24"/>
          <w:szCs w:val="24"/>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3B282453"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0E065108"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En el marco del derecho de acceso a la información pública, la figura de la negativa ficta brinda al ciudadano la oportunidad de inconformarse en los casos en que estime violentado su derecho; permitiendo a este Instituto cumplir los principios por </w:t>
      </w:r>
      <w:r w:rsidRPr="003538C0">
        <w:rPr>
          <w:rFonts w:ascii="Palatino Linotype" w:eastAsia="Palatino Linotype" w:hAnsi="Palatino Linotype" w:cs="Palatino Linotype"/>
          <w:sz w:val="24"/>
          <w:szCs w:val="24"/>
        </w:rPr>
        <w:lastRenderedPageBreak/>
        <w:t xml:space="preserve">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3538C0">
        <w:rPr>
          <w:rFonts w:ascii="Palatino Linotype" w:eastAsia="Palatino Linotype" w:hAnsi="Palatino Linotype" w:cs="Palatino Linotype"/>
          <w:sz w:val="24"/>
          <w:szCs w:val="24"/>
        </w:rPr>
        <w:t>desechamiento</w:t>
      </w:r>
      <w:proofErr w:type="spellEnd"/>
      <w:r w:rsidRPr="003538C0">
        <w:rPr>
          <w:rFonts w:ascii="Palatino Linotype" w:eastAsia="Palatino Linotype" w:hAnsi="Palatino Linotype" w:cs="Palatino Linotype"/>
          <w:sz w:val="24"/>
          <w:szCs w:val="24"/>
        </w:rPr>
        <w:t xml:space="preserve"> del mismo.</w:t>
      </w:r>
    </w:p>
    <w:p w14:paraId="235F6152"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1D255039"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Por lo tanto, con la finalidad de no reducir ni limitar el derecho de acceso a la información y concederle una protección más eficaz al solicitante para impugnar el silencio del </w:t>
      </w:r>
      <w:r w:rsidRPr="003538C0">
        <w:rPr>
          <w:rFonts w:ascii="Palatino Linotype" w:eastAsia="Palatino Linotype" w:hAnsi="Palatino Linotype" w:cs="Palatino Linotype"/>
          <w:b/>
          <w:sz w:val="24"/>
          <w:szCs w:val="24"/>
        </w:rPr>
        <w:t>SUJETO OBLIGADO</w:t>
      </w:r>
      <w:r w:rsidRPr="003538C0">
        <w:rPr>
          <w:rFonts w:ascii="Palatino Linotype" w:eastAsia="Palatino Linotype" w:hAnsi="Palatino Linotype" w:cs="Palatino Linotype"/>
          <w:sz w:val="24"/>
          <w:szCs w:val="24"/>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3B834E7C" w14:textId="77777777" w:rsidR="004F7A14" w:rsidRPr="003538C0" w:rsidRDefault="004F7A14" w:rsidP="004F7A14">
      <w:pPr>
        <w:spacing w:after="0" w:line="360" w:lineRule="auto"/>
        <w:jc w:val="both"/>
        <w:rPr>
          <w:rFonts w:ascii="Palatino Linotype" w:eastAsia="Palatino Linotype" w:hAnsi="Palatino Linotype" w:cs="Palatino Linotype"/>
          <w:i/>
        </w:rPr>
      </w:pPr>
    </w:p>
    <w:p w14:paraId="3766B23B" w14:textId="77777777" w:rsidR="004F7A14" w:rsidRPr="003538C0" w:rsidRDefault="004F7A14" w:rsidP="004F7A14">
      <w:pPr>
        <w:spacing w:after="0" w:line="276" w:lineRule="auto"/>
        <w:ind w:left="851" w:right="851"/>
        <w:jc w:val="both"/>
        <w:rPr>
          <w:rFonts w:ascii="Palatino Linotype" w:eastAsia="Palatino Linotype" w:hAnsi="Palatino Linotype" w:cs="Palatino Linotype"/>
          <w:i/>
        </w:rPr>
      </w:pPr>
      <w:r w:rsidRPr="003538C0">
        <w:rPr>
          <w:rFonts w:ascii="Palatino Linotype" w:eastAsia="Palatino Linotype" w:hAnsi="Palatino Linotype" w:cs="Palatino Linotype"/>
          <w:b/>
          <w:i/>
        </w:rPr>
        <w:t>“CRITERIO 0001-15. NEGATIVA FICTA. PLAZO PARA INTERPONER EL RECURSO DE REVISIÓN TRATÁNDOSE DE</w:t>
      </w:r>
      <w:r w:rsidRPr="003538C0">
        <w:rPr>
          <w:rFonts w:ascii="Palatino Linotype" w:eastAsia="Palatino Linotype" w:hAnsi="Palatino Linotype" w:cs="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w:t>
      </w:r>
      <w:r w:rsidRPr="003538C0">
        <w:rPr>
          <w:rFonts w:ascii="Palatino Linotype" w:eastAsia="Palatino Linotype" w:hAnsi="Palatino Linotype" w:cs="Palatino Linotype"/>
          <w:i/>
        </w:rPr>
        <w:lastRenderedPageBreak/>
        <w:t xml:space="preserve">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w:t>
      </w:r>
    </w:p>
    <w:p w14:paraId="79D04A56" w14:textId="77777777" w:rsidR="004F7A14" w:rsidRPr="003538C0" w:rsidRDefault="004F7A14" w:rsidP="004F7A14">
      <w:pPr>
        <w:spacing w:after="0" w:line="360" w:lineRule="auto"/>
        <w:jc w:val="both"/>
        <w:rPr>
          <w:rFonts w:ascii="Palatino Linotype" w:eastAsia="Palatino Linotype" w:hAnsi="Palatino Linotype" w:cs="Palatino Linotype"/>
        </w:rPr>
      </w:pPr>
    </w:p>
    <w:p w14:paraId="46C0BB54"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Al mismo tiempo, por cuan</w:t>
      </w:r>
      <w:r w:rsidR="0020586E" w:rsidRPr="003538C0">
        <w:rPr>
          <w:rFonts w:ascii="Palatino Linotype" w:eastAsia="Palatino Linotype" w:hAnsi="Palatino Linotype" w:cs="Palatino Linotype"/>
          <w:sz w:val="24"/>
          <w:szCs w:val="24"/>
        </w:rPr>
        <w:t xml:space="preserve">to hace a la </w:t>
      </w:r>
      <w:proofErr w:type="spellStart"/>
      <w:r w:rsidR="0020586E" w:rsidRPr="003538C0">
        <w:rPr>
          <w:rFonts w:ascii="Palatino Linotype" w:eastAsia="Palatino Linotype" w:hAnsi="Palatino Linotype" w:cs="Palatino Linotype"/>
          <w:sz w:val="24"/>
          <w:szCs w:val="24"/>
        </w:rPr>
        <w:t>procedibilidad</w:t>
      </w:r>
      <w:proofErr w:type="spellEnd"/>
      <w:r w:rsidR="0020586E" w:rsidRPr="003538C0">
        <w:rPr>
          <w:rFonts w:ascii="Palatino Linotype" w:eastAsia="Palatino Linotype" w:hAnsi="Palatino Linotype" w:cs="Palatino Linotype"/>
          <w:sz w:val="24"/>
          <w:szCs w:val="24"/>
        </w:rPr>
        <w:t xml:space="preserve"> del recurso</w:t>
      </w:r>
      <w:r w:rsidRPr="003538C0">
        <w:rPr>
          <w:rFonts w:ascii="Palatino Linotype" w:eastAsia="Palatino Linotype" w:hAnsi="Palatino Linotype" w:cs="Palatino Linotype"/>
          <w:sz w:val="24"/>
          <w:szCs w:val="24"/>
        </w:rPr>
        <w:t xml:space="preserve"> de revisión, una vez realizado el análisis de los formatos de interposición del recurso, se concluye la acreditación plena de los elementos formales precisados por el artículo 180 de la Ley de Transparencia y Acceso a la Información Pública del Estado de México y Munic</w:t>
      </w:r>
      <w:r w:rsidR="002201CC" w:rsidRPr="003538C0">
        <w:rPr>
          <w:rFonts w:ascii="Palatino Linotype" w:eastAsia="Palatino Linotype" w:hAnsi="Palatino Linotype" w:cs="Palatino Linotype"/>
          <w:sz w:val="24"/>
          <w:szCs w:val="24"/>
        </w:rPr>
        <w:t xml:space="preserve">ipios, en atención a que fue </w:t>
      </w:r>
      <w:r w:rsidRPr="003538C0">
        <w:rPr>
          <w:rFonts w:ascii="Palatino Linotype" w:eastAsia="Palatino Linotype" w:hAnsi="Palatino Linotype" w:cs="Palatino Linotype"/>
          <w:sz w:val="24"/>
          <w:szCs w:val="24"/>
        </w:rPr>
        <w:t>presentado mediante el formato visible en el SAIMEX.</w:t>
      </w:r>
    </w:p>
    <w:p w14:paraId="6ADF698B"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17E0E625"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Finalmente, antes de entrar al estudio de la presente resolución es preciso determinar si resulta procedente</w:t>
      </w:r>
      <w:r w:rsidR="00205A95" w:rsidRPr="003538C0">
        <w:rPr>
          <w:rFonts w:ascii="Palatino Linotype" w:eastAsia="Palatino Linotype" w:hAnsi="Palatino Linotype" w:cs="Palatino Linotype"/>
          <w:sz w:val="24"/>
          <w:szCs w:val="24"/>
        </w:rPr>
        <w:t xml:space="preserve"> la interposición del recurso </w:t>
      </w:r>
      <w:r w:rsidRPr="003538C0">
        <w:rPr>
          <w:rFonts w:ascii="Palatino Linotype" w:eastAsia="Palatino Linotype" w:hAnsi="Palatino Linotype" w:cs="Palatino Linotype"/>
          <w:sz w:val="24"/>
          <w:szCs w:val="24"/>
        </w:rPr>
        <w:t>de revisión, toda vez que se actualizan la hipótesis prevista en el artículo 179, fracción VII de la ley de la materia, que a la letra dice:</w:t>
      </w:r>
    </w:p>
    <w:p w14:paraId="29E9DB9B" w14:textId="77777777" w:rsidR="004F7A14" w:rsidRPr="003538C0" w:rsidRDefault="004F7A14" w:rsidP="004F7A14">
      <w:pPr>
        <w:spacing w:after="0" w:line="360" w:lineRule="auto"/>
        <w:jc w:val="both"/>
        <w:rPr>
          <w:rFonts w:ascii="Palatino Linotype" w:eastAsia="Palatino Linotype" w:hAnsi="Palatino Linotype" w:cs="Palatino Linotype"/>
        </w:rPr>
      </w:pPr>
    </w:p>
    <w:p w14:paraId="0B9A8BB3" w14:textId="77777777" w:rsidR="004F7A14" w:rsidRPr="003538C0" w:rsidRDefault="004F7A14" w:rsidP="004F7A14">
      <w:pPr>
        <w:spacing w:after="0" w:line="276" w:lineRule="auto"/>
        <w:ind w:left="851" w:right="851"/>
        <w:jc w:val="both"/>
        <w:rPr>
          <w:rFonts w:ascii="Palatino Linotype" w:eastAsia="Palatino Linotype" w:hAnsi="Palatino Linotype" w:cs="Palatino Linotype"/>
          <w:i/>
        </w:rPr>
      </w:pPr>
      <w:r w:rsidRPr="003538C0">
        <w:rPr>
          <w:rFonts w:ascii="Palatino Linotype" w:eastAsia="Palatino Linotype" w:hAnsi="Palatino Linotype" w:cs="Palatino Linotype"/>
          <w:i/>
        </w:rPr>
        <w:t>“</w:t>
      </w:r>
      <w:r w:rsidRPr="003538C0">
        <w:rPr>
          <w:rFonts w:ascii="Palatino Linotype" w:eastAsia="Palatino Linotype" w:hAnsi="Palatino Linotype" w:cs="Palatino Linotype"/>
          <w:b/>
          <w:i/>
        </w:rPr>
        <w:t xml:space="preserve">Artículo 179. </w:t>
      </w:r>
      <w:r w:rsidRPr="003538C0">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42EE02F5" w14:textId="77777777" w:rsidR="004F7A14" w:rsidRPr="003538C0" w:rsidRDefault="004F7A14" w:rsidP="004F7A14">
      <w:pPr>
        <w:spacing w:after="0" w:line="360" w:lineRule="auto"/>
        <w:ind w:left="1134" w:right="851"/>
        <w:jc w:val="both"/>
        <w:rPr>
          <w:rFonts w:ascii="Palatino Linotype" w:eastAsia="Palatino Linotype" w:hAnsi="Palatino Linotype" w:cs="Palatino Linotype"/>
          <w:i/>
        </w:rPr>
      </w:pPr>
      <w:r w:rsidRPr="003538C0">
        <w:rPr>
          <w:rFonts w:ascii="Palatino Linotype" w:eastAsia="Palatino Linotype" w:hAnsi="Palatino Linotype" w:cs="Palatino Linotype"/>
          <w:i/>
        </w:rPr>
        <w:t>…</w:t>
      </w:r>
    </w:p>
    <w:p w14:paraId="3FF43BEF" w14:textId="77777777" w:rsidR="004F7A14" w:rsidRPr="003538C0" w:rsidRDefault="004F7A14" w:rsidP="004F7A14">
      <w:pPr>
        <w:spacing w:after="0" w:line="360" w:lineRule="auto"/>
        <w:ind w:left="1134" w:right="851"/>
        <w:jc w:val="both"/>
        <w:rPr>
          <w:rFonts w:ascii="Palatino Linotype" w:eastAsia="Palatino Linotype" w:hAnsi="Palatino Linotype" w:cs="Palatino Linotype"/>
          <w:i/>
        </w:rPr>
      </w:pPr>
      <w:r w:rsidRPr="003538C0">
        <w:rPr>
          <w:rFonts w:ascii="Palatino Linotype" w:eastAsia="Palatino Linotype" w:hAnsi="Palatino Linotype" w:cs="Palatino Linotype"/>
          <w:b/>
          <w:i/>
        </w:rPr>
        <w:t xml:space="preserve">VII. </w:t>
      </w:r>
      <w:r w:rsidRPr="003538C0">
        <w:rPr>
          <w:rFonts w:ascii="Palatino Linotype" w:eastAsia="Palatino Linotype" w:hAnsi="Palatino Linotype" w:cs="Palatino Linotype"/>
          <w:i/>
        </w:rPr>
        <w:t>La falta de respuesta a una solicitud de acceso a la información;</w:t>
      </w:r>
    </w:p>
    <w:p w14:paraId="17AC0BE1" w14:textId="77777777" w:rsidR="004F7A14" w:rsidRPr="003538C0" w:rsidRDefault="004F7A14" w:rsidP="004F7A14">
      <w:pPr>
        <w:spacing w:after="0" w:line="360" w:lineRule="auto"/>
        <w:ind w:left="1134" w:right="851"/>
        <w:jc w:val="both"/>
        <w:rPr>
          <w:rFonts w:ascii="Palatino Linotype" w:eastAsia="Palatino Linotype" w:hAnsi="Palatino Linotype" w:cs="Palatino Linotype"/>
          <w:i/>
        </w:rPr>
      </w:pPr>
      <w:r w:rsidRPr="003538C0">
        <w:rPr>
          <w:rFonts w:ascii="Palatino Linotype" w:eastAsia="Palatino Linotype" w:hAnsi="Palatino Linotype" w:cs="Palatino Linotype"/>
          <w:b/>
          <w:i/>
        </w:rPr>
        <w:t>…</w:t>
      </w:r>
      <w:r w:rsidRPr="003538C0">
        <w:rPr>
          <w:rFonts w:ascii="Palatino Linotype" w:eastAsia="Palatino Linotype" w:hAnsi="Palatino Linotype" w:cs="Palatino Linotype"/>
          <w:i/>
        </w:rPr>
        <w:t>”</w:t>
      </w:r>
    </w:p>
    <w:p w14:paraId="3E50783A" w14:textId="77777777" w:rsidR="004F7A14" w:rsidRPr="003538C0" w:rsidRDefault="004F7A14" w:rsidP="004F7A14">
      <w:pPr>
        <w:spacing w:after="0" w:line="360" w:lineRule="auto"/>
        <w:jc w:val="both"/>
        <w:rPr>
          <w:rFonts w:ascii="Palatino Linotype" w:eastAsia="Palatino Linotype" w:hAnsi="Palatino Linotype" w:cs="Palatino Linotype"/>
        </w:rPr>
      </w:pPr>
    </w:p>
    <w:p w14:paraId="30211978"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lastRenderedPageBreak/>
        <w:t xml:space="preserve">El precepto legal citado, establece como supuesto de procedencia del recurso de revisión, en aquellos casos en que la parte </w:t>
      </w:r>
      <w:r w:rsidRPr="003538C0">
        <w:rPr>
          <w:rFonts w:ascii="Palatino Linotype" w:eastAsia="Palatino Linotype" w:hAnsi="Palatino Linotype" w:cs="Palatino Linotype"/>
          <w:b/>
          <w:sz w:val="24"/>
          <w:szCs w:val="24"/>
        </w:rPr>
        <w:t xml:space="preserve">RECURRENTE </w:t>
      </w:r>
      <w:r w:rsidRPr="003538C0">
        <w:rPr>
          <w:rFonts w:ascii="Palatino Linotype" w:eastAsia="Palatino Linotype" w:hAnsi="Palatino Linotype" w:cs="Palatino Linotype"/>
          <w:sz w:val="24"/>
          <w:szCs w:val="24"/>
        </w:rPr>
        <w:t xml:space="preserve">estime negado el acceso a la información por la falta de respuesta por el </w:t>
      </w:r>
      <w:r w:rsidRPr="003538C0">
        <w:rPr>
          <w:rFonts w:ascii="Palatino Linotype" w:eastAsia="Palatino Linotype" w:hAnsi="Palatino Linotype" w:cs="Palatino Linotype"/>
          <w:b/>
          <w:sz w:val="24"/>
          <w:szCs w:val="24"/>
        </w:rPr>
        <w:t>SUJETO OBLIGADO</w:t>
      </w:r>
      <w:r w:rsidRPr="003538C0">
        <w:rPr>
          <w:rFonts w:ascii="Palatino Linotype" w:eastAsia="Palatino Linotype" w:hAnsi="Palatino Linotype" w:cs="Palatino Linotype"/>
          <w:sz w:val="24"/>
          <w:szCs w:val="24"/>
        </w:rPr>
        <w:t xml:space="preserve">, en este asunto se actualiza la hipótesis jurídica citada, en atención a que la parte </w:t>
      </w:r>
      <w:r w:rsidRPr="003538C0">
        <w:rPr>
          <w:rFonts w:ascii="Palatino Linotype" w:eastAsia="Palatino Linotype" w:hAnsi="Palatino Linotype" w:cs="Palatino Linotype"/>
          <w:b/>
          <w:sz w:val="24"/>
          <w:szCs w:val="24"/>
        </w:rPr>
        <w:t>RECURRENTE</w:t>
      </w:r>
      <w:r w:rsidRPr="003538C0">
        <w:rPr>
          <w:rFonts w:ascii="Palatino Linotype" w:eastAsia="Palatino Linotype" w:hAnsi="Palatino Linotype" w:cs="Palatino Linotype"/>
          <w:sz w:val="24"/>
          <w:szCs w:val="24"/>
        </w:rPr>
        <w:t xml:space="preserve"> combate falta de trámite por el </w:t>
      </w:r>
      <w:r w:rsidRPr="003538C0">
        <w:rPr>
          <w:rFonts w:ascii="Palatino Linotype" w:eastAsia="Palatino Linotype" w:hAnsi="Palatino Linotype" w:cs="Palatino Linotype"/>
          <w:b/>
          <w:sz w:val="24"/>
          <w:szCs w:val="24"/>
        </w:rPr>
        <w:t>SUJETO OBLIGADO</w:t>
      </w:r>
      <w:r w:rsidRPr="003538C0">
        <w:rPr>
          <w:rFonts w:ascii="Palatino Linotype" w:eastAsia="Palatino Linotype" w:hAnsi="Palatino Linotype" w:cs="Palatino Linotype"/>
          <w:sz w:val="24"/>
          <w:szCs w:val="24"/>
        </w:rPr>
        <w:t xml:space="preserve"> y expresa motivos de inconformidad en contra de dicha circunstancia.</w:t>
      </w:r>
    </w:p>
    <w:p w14:paraId="00DAE69E" w14:textId="77777777" w:rsidR="004F7A14" w:rsidRPr="003538C0" w:rsidRDefault="004F7A14" w:rsidP="004F7A14">
      <w:pPr>
        <w:spacing w:after="0" w:line="360" w:lineRule="auto"/>
        <w:contextualSpacing/>
        <w:jc w:val="both"/>
        <w:rPr>
          <w:rFonts w:ascii="Palatino Linotype" w:eastAsia="Palatino Linotype" w:hAnsi="Palatino Linotype" w:cs="Palatino Linotype"/>
          <w:sz w:val="24"/>
          <w:szCs w:val="24"/>
        </w:rPr>
      </w:pPr>
    </w:p>
    <w:p w14:paraId="3C94789B" w14:textId="5ACDBA43" w:rsidR="004F7A14" w:rsidRPr="003538C0" w:rsidRDefault="004F7A14" w:rsidP="004F7A14">
      <w:pPr>
        <w:spacing w:after="0" w:line="360" w:lineRule="auto"/>
        <w:jc w:val="both"/>
        <w:rPr>
          <w:rFonts w:ascii="Palatino Linotype" w:eastAsia="Palatino Linotype" w:hAnsi="Palatino Linotype" w:cs="Palatino Linotype"/>
        </w:rPr>
      </w:pPr>
      <w:r w:rsidRPr="003538C0">
        <w:rPr>
          <w:rFonts w:ascii="Palatino Linotype" w:eastAsia="Palatino Linotype" w:hAnsi="Palatino Linotype" w:cs="Palatino Linotype"/>
          <w:b/>
          <w:sz w:val="24"/>
          <w:szCs w:val="24"/>
        </w:rPr>
        <w:t>TERCERO. MATERIA DE LA REVISIÓN.</w:t>
      </w:r>
      <w:r w:rsidRPr="003538C0">
        <w:rPr>
          <w:rFonts w:ascii="Palatino Linotype" w:eastAsia="Palatino Linotype" w:hAnsi="Palatino Linotype" w:cs="Palatino Linotype"/>
          <w:b/>
          <w:sz w:val="28"/>
          <w:szCs w:val="28"/>
        </w:rPr>
        <w:t xml:space="preserve"> </w:t>
      </w:r>
      <w:r w:rsidR="00147496" w:rsidRPr="003538C0">
        <w:rPr>
          <w:rFonts w:ascii="Palatino Linotype" w:eastAsia="Palatino Linotype" w:hAnsi="Palatino Linotype" w:cs="Palatino Linotype"/>
          <w:sz w:val="24"/>
          <w:szCs w:val="24"/>
        </w:rPr>
        <w:t xml:space="preserve">Este Órgano Garante procede del análisis de los agravios hechos valer por la parte </w:t>
      </w:r>
      <w:r w:rsidR="00147496" w:rsidRPr="003538C0">
        <w:rPr>
          <w:rFonts w:ascii="Palatino Linotype" w:eastAsia="Palatino Linotype" w:hAnsi="Palatino Linotype" w:cs="Palatino Linotype"/>
          <w:b/>
          <w:sz w:val="24"/>
          <w:szCs w:val="24"/>
        </w:rPr>
        <w:t>RECURRENTE</w:t>
      </w:r>
      <w:r w:rsidR="00147496" w:rsidRPr="003538C0">
        <w:rPr>
          <w:rFonts w:ascii="Palatino Linotype" w:eastAsia="Palatino Linotype" w:hAnsi="Palatino Linotype" w:cs="Palatino Linotype"/>
          <w:sz w:val="24"/>
          <w:szCs w:val="24"/>
        </w:rPr>
        <w:t>, a fin de determinar si se violenta en perjuicio de éste, el derecho de acceso a la información previsto en la Constitución Política de los Estados Unidos Mexicanos y en la Constitución Política del Estado Libre y Soberano de México.</w:t>
      </w:r>
    </w:p>
    <w:p w14:paraId="216F8FE2" w14:textId="77777777" w:rsidR="00147496" w:rsidRPr="003538C0" w:rsidRDefault="00147496" w:rsidP="004F7A14">
      <w:pPr>
        <w:spacing w:after="0" w:line="360" w:lineRule="auto"/>
        <w:jc w:val="both"/>
        <w:rPr>
          <w:rFonts w:ascii="Palatino Linotype" w:eastAsia="Palatino Linotype" w:hAnsi="Palatino Linotype" w:cs="Palatino Linotype"/>
          <w:sz w:val="24"/>
          <w:szCs w:val="24"/>
        </w:rPr>
      </w:pPr>
    </w:p>
    <w:p w14:paraId="26E398E5" w14:textId="77777777" w:rsidR="004F7A14" w:rsidRPr="003538C0" w:rsidRDefault="004F7A14" w:rsidP="004F7A1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b/>
          <w:sz w:val="24"/>
          <w:szCs w:val="24"/>
        </w:rPr>
        <w:t xml:space="preserve">CUARTO. ESTUDIO Y RESOLUCIÓN DEL ASUNTO.  </w:t>
      </w:r>
      <w:r w:rsidRPr="003538C0">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046D40B8" w14:textId="77777777" w:rsidR="004F7A14" w:rsidRPr="003538C0" w:rsidRDefault="004F7A14" w:rsidP="004F7A1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E5876CF" w14:textId="77777777" w:rsidR="004F7A14" w:rsidRPr="003538C0" w:rsidRDefault="004F7A14" w:rsidP="00FD7C38">
      <w:pPr>
        <w:spacing w:after="0" w:line="276" w:lineRule="auto"/>
        <w:ind w:left="851" w:right="900"/>
        <w:jc w:val="both"/>
        <w:rPr>
          <w:rFonts w:ascii="Palatino Linotype" w:eastAsia="Palatino Linotype" w:hAnsi="Palatino Linotype" w:cs="Palatino Linotype"/>
          <w:i/>
        </w:rPr>
      </w:pPr>
      <w:r w:rsidRPr="003538C0">
        <w:rPr>
          <w:rFonts w:ascii="Palatino Linotype" w:eastAsia="Palatino Linotype" w:hAnsi="Palatino Linotype" w:cs="Palatino Linotype"/>
          <w:i/>
        </w:rPr>
        <w:t xml:space="preserve"> “</w:t>
      </w:r>
      <w:r w:rsidRPr="003538C0">
        <w:rPr>
          <w:rFonts w:ascii="Palatino Linotype" w:eastAsia="Palatino Linotype" w:hAnsi="Palatino Linotype" w:cs="Palatino Linotype"/>
          <w:b/>
          <w:i/>
        </w:rPr>
        <w:t>Artículo 4.</w:t>
      </w:r>
      <w:r w:rsidRPr="003538C0">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2D2C43B" w14:textId="77777777" w:rsidR="004F7A14" w:rsidRPr="003538C0" w:rsidRDefault="004F7A14" w:rsidP="00FD7C38">
      <w:pPr>
        <w:spacing w:after="0" w:line="276" w:lineRule="auto"/>
        <w:ind w:left="851" w:right="900"/>
        <w:jc w:val="both"/>
        <w:rPr>
          <w:rFonts w:ascii="Palatino Linotype" w:eastAsia="Palatino Linotype" w:hAnsi="Palatino Linotype" w:cs="Palatino Linotype"/>
          <w:i/>
        </w:rPr>
      </w:pPr>
      <w:r w:rsidRPr="003538C0">
        <w:rPr>
          <w:rFonts w:ascii="Palatino Linotype" w:eastAsia="Palatino Linotype" w:hAnsi="Palatino Linotype" w:cs="Palatino Linotype"/>
          <w:b/>
          <w:i/>
        </w:rPr>
        <w:lastRenderedPageBreak/>
        <w:t>Toda la información generada, obtenida, adquirida, transformada, administrada o en posesión de los sujetos obligados es pública y accesible de manera permanente a cualquier persona</w:t>
      </w:r>
      <w:r w:rsidRPr="003538C0">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ABEEDF6" w14:textId="77777777" w:rsidR="004F7A14" w:rsidRPr="003538C0" w:rsidRDefault="004F7A14" w:rsidP="00FD7C38">
      <w:pPr>
        <w:spacing w:after="0" w:line="276" w:lineRule="auto"/>
        <w:ind w:left="851" w:right="900"/>
        <w:jc w:val="both"/>
        <w:rPr>
          <w:rFonts w:ascii="Palatino Linotype" w:eastAsia="Palatino Linotype" w:hAnsi="Palatino Linotype" w:cs="Palatino Linotype"/>
        </w:rPr>
      </w:pPr>
    </w:p>
    <w:p w14:paraId="09BBF11A"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A1D3A4E"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1E527D3B" w14:textId="77777777" w:rsidR="004F7A14" w:rsidRPr="003538C0" w:rsidRDefault="004F7A14" w:rsidP="00FD7C38">
      <w:pPr>
        <w:spacing w:after="0" w:line="276" w:lineRule="auto"/>
        <w:ind w:left="851" w:right="902"/>
        <w:jc w:val="both"/>
        <w:rPr>
          <w:rFonts w:ascii="Palatino Linotype" w:eastAsia="Palatino Linotype" w:hAnsi="Palatino Linotype" w:cs="Palatino Linotype"/>
          <w:i/>
        </w:rPr>
      </w:pPr>
      <w:r w:rsidRPr="003538C0">
        <w:rPr>
          <w:rFonts w:ascii="Palatino Linotype" w:eastAsia="Palatino Linotype" w:hAnsi="Palatino Linotype" w:cs="Palatino Linotype"/>
          <w:b/>
          <w:i/>
        </w:rPr>
        <w:t>“Artículo 12</w:t>
      </w:r>
      <w:r w:rsidRPr="003538C0">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D9B116E" w14:textId="77777777" w:rsidR="004F7A14" w:rsidRPr="003538C0" w:rsidRDefault="004F7A14" w:rsidP="00FD7C38">
      <w:pPr>
        <w:spacing w:after="0" w:line="276" w:lineRule="auto"/>
        <w:ind w:left="851" w:right="902"/>
        <w:jc w:val="both"/>
        <w:rPr>
          <w:rFonts w:ascii="Palatino Linotype" w:eastAsia="Palatino Linotype" w:hAnsi="Palatino Linotype" w:cs="Palatino Linotype"/>
          <w:i/>
        </w:rPr>
      </w:pPr>
      <w:r w:rsidRPr="003538C0">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0F8905D" w14:textId="77777777" w:rsidR="004F7A14" w:rsidRPr="003538C0" w:rsidRDefault="004F7A14" w:rsidP="00FD7C38">
      <w:pPr>
        <w:spacing w:after="0" w:line="276" w:lineRule="auto"/>
        <w:ind w:left="851" w:right="902"/>
        <w:jc w:val="both"/>
        <w:rPr>
          <w:rFonts w:ascii="Palatino Linotype" w:eastAsia="Palatino Linotype" w:hAnsi="Palatino Linotype" w:cs="Palatino Linotype"/>
          <w:i/>
        </w:rPr>
      </w:pPr>
    </w:p>
    <w:p w14:paraId="7AC70CBC"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3538C0">
        <w:rPr>
          <w:rFonts w:ascii="Palatino Linotype" w:eastAsia="Palatino Linotype" w:hAnsi="Palatino Linotype" w:cs="Palatino Linotype"/>
          <w:b/>
          <w:sz w:val="24"/>
          <w:szCs w:val="24"/>
        </w:rPr>
        <w:t xml:space="preserve"> </w:t>
      </w:r>
      <w:r w:rsidRPr="003538C0">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w:t>
      </w:r>
      <w:r w:rsidRPr="003538C0">
        <w:rPr>
          <w:rFonts w:ascii="Palatino Linotype" w:eastAsia="Palatino Linotype" w:hAnsi="Palatino Linotype" w:cs="Palatino Linotype"/>
          <w:sz w:val="24"/>
          <w:szCs w:val="24"/>
        </w:rPr>
        <w:lastRenderedPageBreak/>
        <w:t xml:space="preserve">obligación de generar un documento </w:t>
      </w:r>
      <w:r w:rsidRPr="003538C0">
        <w:rPr>
          <w:rFonts w:ascii="Palatino Linotype" w:eastAsia="Palatino Linotype" w:hAnsi="Palatino Linotype" w:cs="Palatino Linotype"/>
          <w:i/>
          <w:sz w:val="24"/>
          <w:szCs w:val="24"/>
        </w:rPr>
        <w:t>ad hoc</w:t>
      </w:r>
      <w:r w:rsidRPr="003538C0">
        <w:rPr>
          <w:rFonts w:ascii="Palatino Linotype" w:eastAsia="Palatino Linotype" w:hAnsi="Palatino Linotype" w:cs="Palatino Linotype"/>
          <w:sz w:val="24"/>
          <w:szCs w:val="24"/>
        </w:rPr>
        <w:t>, para satisfacer el derecho de acceso a la información pública.</w:t>
      </w:r>
    </w:p>
    <w:p w14:paraId="4140770B"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6123A674"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Aunado a ello el artículo 24 de la Ley de la materia</w:t>
      </w:r>
      <w:r w:rsidRPr="003538C0">
        <w:rPr>
          <w:rFonts w:ascii="Palatino Linotype" w:eastAsia="Palatino Linotype" w:hAnsi="Palatino Linotype" w:cs="Palatino Linotype"/>
          <w:sz w:val="24"/>
          <w:szCs w:val="24"/>
          <w:vertAlign w:val="superscript"/>
        </w:rPr>
        <w:footnoteReference w:id="1"/>
      </w:r>
      <w:r w:rsidRPr="003538C0">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B59898"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64ABBAA3" w14:textId="77777777" w:rsidR="004F7A14" w:rsidRPr="003538C0" w:rsidRDefault="004F7A14" w:rsidP="004F7A14">
      <w:pPr>
        <w:spacing w:after="0" w:line="360" w:lineRule="auto"/>
        <w:jc w:val="both"/>
        <w:rPr>
          <w:rFonts w:ascii="Palatino Linotype" w:eastAsia="Palatino Linotype" w:hAnsi="Palatino Linotype" w:cs="Palatino Linotype"/>
        </w:rPr>
      </w:pPr>
      <w:r w:rsidRPr="003538C0">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3538C0">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3538C0">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3538C0">
        <w:rPr>
          <w:rFonts w:ascii="Palatino Linotype" w:eastAsia="Palatino Linotype" w:hAnsi="Palatino Linotype" w:cs="Palatino Linotype"/>
        </w:rPr>
        <w:t xml:space="preserve"> </w:t>
      </w:r>
    </w:p>
    <w:p w14:paraId="2B23DAA1" w14:textId="77777777" w:rsidR="004F7A14" w:rsidRPr="003538C0" w:rsidRDefault="004F7A14" w:rsidP="004F7A14">
      <w:pPr>
        <w:spacing w:after="0" w:line="360" w:lineRule="auto"/>
        <w:jc w:val="both"/>
        <w:rPr>
          <w:rFonts w:ascii="Palatino Linotype" w:eastAsia="Palatino Linotype" w:hAnsi="Palatino Linotype" w:cs="Palatino Linotype"/>
        </w:rPr>
      </w:pPr>
    </w:p>
    <w:p w14:paraId="19871D0B" w14:textId="77777777" w:rsidR="004F7A14" w:rsidRPr="003538C0" w:rsidRDefault="004F7A14" w:rsidP="00FD7C38">
      <w:pPr>
        <w:spacing w:after="0" w:line="276" w:lineRule="auto"/>
        <w:ind w:left="851" w:right="899"/>
        <w:jc w:val="both"/>
        <w:rPr>
          <w:rFonts w:ascii="Palatino Linotype" w:eastAsia="Palatino Linotype" w:hAnsi="Palatino Linotype" w:cs="Palatino Linotype"/>
          <w:i/>
        </w:rPr>
      </w:pPr>
      <w:r w:rsidRPr="003538C0">
        <w:rPr>
          <w:rFonts w:ascii="Palatino Linotype" w:eastAsia="Palatino Linotype" w:hAnsi="Palatino Linotype" w:cs="Palatino Linotype"/>
          <w:i/>
        </w:rPr>
        <w:t>“</w:t>
      </w:r>
      <w:r w:rsidRPr="003538C0">
        <w:rPr>
          <w:rFonts w:ascii="Palatino Linotype" w:eastAsia="Palatino Linotype" w:hAnsi="Palatino Linotype" w:cs="Palatino Linotype"/>
          <w:b/>
          <w:i/>
        </w:rPr>
        <w:t xml:space="preserve">Artículo 3. </w:t>
      </w:r>
      <w:r w:rsidRPr="003538C0">
        <w:rPr>
          <w:rFonts w:ascii="Palatino Linotype" w:eastAsia="Palatino Linotype" w:hAnsi="Palatino Linotype" w:cs="Palatino Linotype"/>
          <w:i/>
        </w:rPr>
        <w:t>Para los efectos de la presente Ley se entenderá por:</w:t>
      </w:r>
    </w:p>
    <w:p w14:paraId="6F71FE91" w14:textId="77777777" w:rsidR="004F7A14" w:rsidRPr="003538C0" w:rsidRDefault="004F7A14" w:rsidP="00FD7C38">
      <w:pPr>
        <w:spacing w:after="0" w:line="276" w:lineRule="auto"/>
        <w:ind w:left="1134" w:right="899"/>
        <w:jc w:val="both"/>
        <w:rPr>
          <w:rFonts w:ascii="Palatino Linotype" w:eastAsia="Palatino Linotype" w:hAnsi="Palatino Linotype" w:cs="Palatino Linotype"/>
          <w:i/>
        </w:rPr>
      </w:pPr>
      <w:r w:rsidRPr="003538C0">
        <w:rPr>
          <w:rFonts w:ascii="Palatino Linotype" w:eastAsia="Palatino Linotype" w:hAnsi="Palatino Linotype" w:cs="Palatino Linotype"/>
          <w:i/>
        </w:rPr>
        <w:t>…</w:t>
      </w:r>
    </w:p>
    <w:p w14:paraId="033FFD23" w14:textId="77777777" w:rsidR="004F7A14" w:rsidRPr="003538C0" w:rsidRDefault="004F7A14" w:rsidP="00FD7C38">
      <w:pPr>
        <w:spacing w:after="0" w:line="276" w:lineRule="auto"/>
        <w:ind w:left="1134" w:right="899"/>
        <w:jc w:val="both"/>
        <w:rPr>
          <w:rFonts w:ascii="Palatino Linotype" w:eastAsia="Palatino Linotype" w:hAnsi="Palatino Linotype" w:cs="Palatino Linotype"/>
          <w:i/>
        </w:rPr>
      </w:pPr>
      <w:r w:rsidRPr="003538C0">
        <w:rPr>
          <w:rFonts w:ascii="Palatino Linotype" w:eastAsia="Palatino Linotype" w:hAnsi="Palatino Linotype" w:cs="Palatino Linotype"/>
          <w:b/>
          <w:i/>
        </w:rPr>
        <w:lastRenderedPageBreak/>
        <w:t>XI. Documento:</w:t>
      </w:r>
      <w:r w:rsidRPr="003538C0">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538C0">
        <w:rPr>
          <w:rFonts w:ascii="Palatino Linotype" w:eastAsia="Palatino Linotype" w:hAnsi="Palatino Linotype" w:cs="Palatino Linotype"/>
          <w:b/>
          <w:i/>
        </w:rPr>
        <w:t>…</w:t>
      </w:r>
      <w:r w:rsidRPr="003538C0">
        <w:rPr>
          <w:rFonts w:ascii="Palatino Linotype" w:eastAsia="Palatino Linotype" w:hAnsi="Palatino Linotype" w:cs="Palatino Linotype"/>
          <w:i/>
        </w:rPr>
        <w:t>”</w:t>
      </w:r>
    </w:p>
    <w:p w14:paraId="48DECFF3" w14:textId="77777777" w:rsidR="00FD7C38" w:rsidRPr="003538C0" w:rsidRDefault="00FD7C38" w:rsidP="004F7A14">
      <w:pPr>
        <w:spacing w:after="0" w:line="360" w:lineRule="auto"/>
        <w:jc w:val="both"/>
        <w:rPr>
          <w:rFonts w:ascii="Palatino Linotype" w:eastAsia="Palatino Linotype" w:hAnsi="Palatino Linotype" w:cs="Palatino Linotype"/>
          <w:sz w:val="24"/>
          <w:szCs w:val="24"/>
        </w:rPr>
      </w:pPr>
    </w:p>
    <w:p w14:paraId="26DC8BE0"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5EEDEBF" w14:textId="77777777" w:rsidR="004F7A14" w:rsidRPr="003538C0" w:rsidRDefault="004F7A14" w:rsidP="004F7A14">
      <w:pPr>
        <w:spacing w:after="0" w:line="360" w:lineRule="auto"/>
        <w:jc w:val="both"/>
        <w:rPr>
          <w:rFonts w:ascii="Palatino Linotype" w:eastAsia="Palatino Linotype" w:hAnsi="Palatino Linotype" w:cs="Palatino Linotype"/>
          <w:sz w:val="24"/>
          <w:szCs w:val="24"/>
        </w:rPr>
      </w:pPr>
    </w:p>
    <w:p w14:paraId="67E44570" w14:textId="77777777" w:rsidR="004F7A14" w:rsidRPr="003538C0" w:rsidRDefault="004F7A14" w:rsidP="00FD7C38">
      <w:pPr>
        <w:spacing w:after="0" w:line="276" w:lineRule="auto"/>
        <w:ind w:left="851" w:right="902"/>
        <w:jc w:val="both"/>
        <w:rPr>
          <w:rFonts w:ascii="Palatino Linotype" w:eastAsia="Palatino Linotype" w:hAnsi="Palatino Linotype" w:cs="Palatino Linotype"/>
          <w:b/>
          <w:i/>
        </w:rPr>
      </w:pPr>
      <w:r w:rsidRPr="003538C0">
        <w:rPr>
          <w:rFonts w:ascii="Palatino Linotype" w:eastAsia="Palatino Linotype" w:hAnsi="Palatino Linotype" w:cs="Palatino Linotype"/>
          <w:b/>
        </w:rPr>
        <w:t>“</w:t>
      </w:r>
      <w:r w:rsidRPr="003538C0">
        <w:rPr>
          <w:rFonts w:ascii="Palatino Linotype" w:eastAsia="Palatino Linotype" w:hAnsi="Palatino Linotype" w:cs="Palatino Linotype"/>
          <w:b/>
          <w:i/>
        </w:rPr>
        <w:t>CRITERIO 0002-11</w:t>
      </w:r>
    </w:p>
    <w:p w14:paraId="3B48C3DD" w14:textId="77777777" w:rsidR="004F7A14" w:rsidRPr="003538C0" w:rsidRDefault="004F7A14" w:rsidP="00FD7C38">
      <w:pPr>
        <w:spacing w:after="0" w:line="276" w:lineRule="auto"/>
        <w:ind w:left="851" w:right="902"/>
        <w:jc w:val="both"/>
        <w:rPr>
          <w:rFonts w:ascii="Palatino Linotype" w:eastAsia="Palatino Linotype" w:hAnsi="Palatino Linotype" w:cs="Palatino Linotype"/>
          <w:i/>
        </w:rPr>
      </w:pPr>
      <w:r w:rsidRPr="003538C0">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3538C0">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18EB785" w14:textId="77777777" w:rsidR="004F7A14" w:rsidRPr="003538C0" w:rsidRDefault="004F7A14" w:rsidP="00FD7C38">
      <w:pPr>
        <w:spacing w:after="0" w:line="276" w:lineRule="auto"/>
        <w:ind w:left="851" w:right="902"/>
        <w:jc w:val="both"/>
        <w:rPr>
          <w:rFonts w:ascii="Palatino Linotype" w:eastAsia="Palatino Linotype" w:hAnsi="Palatino Linotype" w:cs="Palatino Linotype"/>
          <w:i/>
        </w:rPr>
      </w:pPr>
      <w:r w:rsidRPr="003538C0">
        <w:rPr>
          <w:rFonts w:ascii="Palatino Linotype" w:eastAsia="Palatino Linotype" w:hAnsi="Palatino Linotype" w:cs="Palatino Linotype"/>
          <w:i/>
        </w:rPr>
        <w:t>En consecuencia el acceso a la información se refiere a que se cumplan cualquiera de los siguientes tres supuestos:</w:t>
      </w:r>
    </w:p>
    <w:p w14:paraId="0B23590A" w14:textId="77777777" w:rsidR="004F7A14" w:rsidRPr="003538C0" w:rsidRDefault="004F7A14" w:rsidP="00FD7C38">
      <w:pPr>
        <w:spacing w:after="0" w:line="276" w:lineRule="auto"/>
        <w:ind w:left="1134" w:right="902"/>
        <w:jc w:val="both"/>
        <w:rPr>
          <w:rFonts w:ascii="Palatino Linotype" w:eastAsia="Palatino Linotype" w:hAnsi="Palatino Linotype" w:cs="Palatino Linotype"/>
          <w:b/>
          <w:i/>
        </w:rPr>
      </w:pPr>
      <w:r w:rsidRPr="003538C0">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661B8183" w14:textId="77777777" w:rsidR="004F7A14" w:rsidRPr="003538C0" w:rsidRDefault="004F7A14" w:rsidP="00FD7C38">
      <w:pPr>
        <w:spacing w:after="0" w:line="276" w:lineRule="auto"/>
        <w:ind w:left="1134" w:right="902"/>
        <w:jc w:val="both"/>
        <w:rPr>
          <w:rFonts w:ascii="Palatino Linotype" w:eastAsia="Palatino Linotype" w:hAnsi="Palatino Linotype" w:cs="Palatino Linotype"/>
          <w:i/>
        </w:rPr>
      </w:pPr>
      <w:r w:rsidRPr="003538C0">
        <w:rPr>
          <w:rFonts w:ascii="Palatino Linotype" w:eastAsia="Palatino Linotype" w:hAnsi="Palatino Linotype" w:cs="Palatino Linotype"/>
          <w:i/>
        </w:rPr>
        <w:lastRenderedPageBreak/>
        <w:t>2) Que se trate de información registrada en cualquier soporte documental, que en ejercicio de las atribuciones conferidas, sea administrada por los Sujetos Obligados, y</w:t>
      </w:r>
    </w:p>
    <w:p w14:paraId="48447739" w14:textId="77777777" w:rsidR="004F7A14" w:rsidRPr="003538C0" w:rsidRDefault="004F7A14" w:rsidP="00FD7C38">
      <w:pPr>
        <w:spacing w:after="0" w:line="276" w:lineRule="auto"/>
        <w:ind w:left="1134" w:right="902"/>
        <w:jc w:val="both"/>
        <w:rPr>
          <w:rFonts w:ascii="Palatino Linotype" w:eastAsia="Palatino Linotype" w:hAnsi="Palatino Linotype" w:cs="Palatino Linotype"/>
          <w:i/>
        </w:rPr>
      </w:pPr>
      <w:r w:rsidRPr="003538C0">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059EB07C" w14:textId="77777777" w:rsidR="004F7A14" w:rsidRPr="003538C0" w:rsidRDefault="004F7A14" w:rsidP="004F7A14">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p w14:paraId="33E5324E" w14:textId="77777777" w:rsidR="004F7A14" w:rsidRPr="003538C0" w:rsidRDefault="004F7A14" w:rsidP="004F7A14">
      <w:pPr>
        <w:pBdr>
          <w:top w:val="nil"/>
          <w:left w:val="nil"/>
          <w:bottom w:val="nil"/>
          <w:right w:val="nil"/>
          <w:between w:val="nil"/>
        </w:pBdr>
        <w:spacing w:after="240" w:line="360" w:lineRule="auto"/>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3538C0">
        <w:rPr>
          <w:rFonts w:ascii="Palatino Linotype" w:eastAsia="Palatino Linotype" w:hAnsi="Palatino Linotype" w:cs="Palatino Linotype"/>
          <w:b/>
          <w:sz w:val="24"/>
          <w:szCs w:val="24"/>
        </w:rPr>
        <w:t>RECURRENTE</w:t>
      </w:r>
      <w:r w:rsidRPr="003538C0">
        <w:rPr>
          <w:rFonts w:ascii="Palatino Linotype" w:eastAsia="Palatino Linotype" w:hAnsi="Palatino Linotype" w:cs="Palatino Linotype"/>
          <w:sz w:val="24"/>
          <w:szCs w:val="24"/>
        </w:rPr>
        <w:t xml:space="preserve"> requirió al </w:t>
      </w:r>
      <w:r w:rsidRPr="003538C0">
        <w:rPr>
          <w:rFonts w:ascii="Palatino Linotype" w:eastAsia="Palatino Linotype" w:hAnsi="Palatino Linotype" w:cs="Palatino Linotype"/>
          <w:b/>
          <w:sz w:val="24"/>
          <w:szCs w:val="24"/>
        </w:rPr>
        <w:t>SUJETO OBLIGADO</w:t>
      </w:r>
      <w:r w:rsidRPr="003538C0">
        <w:rPr>
          <w:rFonts w:ascii="Palatino Linotype" w:eastAsia="Palatino Linotype" w:hAnsi="Palatino Linotype" w:cs="Palatino Linotype"/>
          <w:sz w:val="24"/>
          <w:szCs w:val="24"/>
        </w:rPr>
        <w:t xml:space="preserve"> le proporcione, información consistente en lo siguiente:</w:t>
      </w:r>
    </w:p>
    <w:p w14:paraId="7AC7A915" w14:textId="77777777" w:rsidR="000F1735" w:rsidRPr="003538C0" w:rsidRDefault="004F7A14" w:rsidP="004F7A14">
      <w:pPr>
        <w:pStyle w:val="Prrafodelista"/>
        <w:numPr>
          <w:ilvl w:val="0"/>
          <w:numId w:val="2"/>
        </w:numPr>
        <w:spacing w:after="0" w:line="360" w:lineRule="auto"/>
        <w:jc w:val="both"/>
        <w:rPr>
          <w:rFonts w:ascii="Palatino Linotype" w:eastAsia="Palatino Linotype" w:hAnsi="Palatino Linotype" w:cs="Palatino Linotype"/>
          <w:sz w:val="24"/>
          <w:szCs w:val="24"/>
        </w:rPr>
      </w:pPr>
      <w:r w:rsidRPr="003538C0">
        <w:rPr>
          <w:rFonts w:ascii="Palatino Linotype" w:hAnsi="Palatino Linotype"/>
          <w:sz w:val="24"/>
          <w:szCs w:val="24"/>
        </w:rPr>
        <w:t>Copia digital de contratos celebrados con el fin de servicio de difusión institucional o de campañas institucionales, en 2019 y lo que va de 2022.</w:t>
      </w:r>
    </w:p>
    <w:p w14:paraId="58AE8729" w14:textId="77777777" w:rsidR="000F1735" w:rsidRPr="003538C0" w:rsidRDefault="000F1735" w:rsidP="000F1735"/>
    <w:p w14:paraId="3A84058A" w14:textId="77777777" w:rsidR="000F1735" w:rsidRPr="003538C0" w:rsidRDefault="000F1735" w:rsidP="000F1735">
      <w:pPr>
        <w:rPr>
          <w:rFonts w:ascii="Palatino Linotype" w:hAnsi="Palatino Linotype"/>
          <w:sz w:val="24"/>
        </w:rPr>
      </w:pPr>
      <w:r w:rsidRPr="003538C0">
        <w:rPr>
          <w:rFonts w:ascii="Palatino Linotype" w:hAnsi="Palatino Linotype"/>
          <w:sz w:val="24"/>
        </w:rPr>
        <w:t xml:space="preserve">Al respecto, el </w:t>
      </w:r>
      <w:r w:rsidRPr="003538C0">
        <w:rPr>
          <w:rFonts w:ascii="Palatino Linotype" w:hAnsi="Palatino Linotype"/>
          <w:b/>
          <w:sz w:val="24"/>
        </w:rPr>
        <w:t>SUJETO OBLIGADO</w:t>
      </w:r>
      <w:r w:rsidRPr="003538C0">
        <w:rPr>
          <w:rFonts w:ascii="Palatino Linotype" w:hAnsi="Palatino Linotype"/>
          <w:sz w:val="24"/>
        </w:rPr>
        <w:t>, fue omiso de emitir respuesta alguna.</w:t>
      </w:r>
    </w:p>
    <w:p w14:paraId="75D54A35" w14:textId="77777777" w:rsidR="000F1735" w:rsidRPr="003538C0" w:rsidRDefault="000F1735" w:rsidP="000F1735">
      <w:pPr>
        <w:rPr>
          <w:rFonts w:ascii="Palatino Linotype" w:hAnsi="Palatino Linotype"/>
          <w:sz w:val="24"/>
        </w:rPr>
      </w:pPr>
    </w:p>
    <w:p w14:paraId="128CD39C" w14:textId="77777777" w:rsidR="004F7A14" w:rsidRPr="003538C0" w:rsidRDefault="000F1735" w:rsidP="00B96ADC">
      <w:pPr>
        <w:spacing w:line="360" w:lineRule="auto"/>
        <w:contextualSpacing/>
        <w:jc w:val="both"/>
        <w:rPr>
          <w:rFonts w:ascii="Palatino Linotype" w:eastAsia="Palatino Linotype" w:hAnsi="Palatino Linotype" w:cs="Palatino Linotype"/>
          <w:sz w:val="24"/>
          <w:szCs w:val="24"/>
        </w:rPr>
      </w:pPr>
      <w:r w:rsidRPr="003538C0">
        <w:rPr>
          <w:rFonts w:ascii="Palatino Linotype" w:hAnsi="Palatino Linotype"/>
          <w:sz w:val="24"/>
        </w:rPr>
        <w:t xml:space="preserve">Ante la falta de respuesta del </w:t>
      </w:r>
      <w:r w:rsidRPr="003538C0">
        <w:rPr>
          <w:rFonts w:ascii="Palatino Linotype" w:hAnsi="Palatino Linotype"/>
          <w:b/>
          <w:sz w:val="24"/>
        </w:rPr>
        <w:t>SUJETO OBLIGADO</w:t>
      </w:r>
      <w:r w:rsidRPr="003538C0">
        <w:rPr>
          <w:rFonts w:ascii="Palatino Linotype" w:hAnsi="Palatino Linotype"/>
          <w:sz w:val="24"/>
        </w:rPr>
        <w:t xml:space="preserve">, el </w:t>
      </w:r>
      <w:r w:rsidRPr="003538C0">
        <w:rPr>
          <w:rFonts w:ascii="Palatino Linotype" w:hAnsi="Palatino Linotype"/>
          <w:b/>
          <w:sz w:val="24"/>
        </w:rPr>
        <w:t xml:space="preserve">RECURRENTE </w:t>
      </w:r>
      <w:r w:rsidRPr="003538C0">
        <w:rPr>
          <w:rFonts w:ascii="Palatino Linotype" w:eastAsia="Palatino Linotype" w:hAnsi="Palatino Linotype" w:cs="Palatino Linotype"/>
          <w:sz w:val="24"/>
          <w:szCs w:val="24"/>
        </w:rPr>
        <w:t xml:space="preserve">presentó el recurso de revisión que nos ocupa, mediante el cual señaló como motivo de inconformidad que no se le da contestación a su solicitud de información. </w:t>
      </w:r>
    </w:p>
    <w:p w14:paraId="3F9EC0FE" w14:textId="77777777" w:rsidR="00B96ADC" w:rsidRPr="003538C0" w:rsidRDefault="00B96ADC" w:rsidP="00B96ADC">
      <w:pPr>
        <w:spacing w:line="360" w:lineRule="auto"/>
        <w:contextualSpacing/>
        <w:jc w:val="both"/>
        <w:rPr>
          <w:rFonts w:ascii="Palatino Linotype" w:eastAsia="Palatino Linotype" w:hAnsi="Palatino Linotype" w:cs="Palatino Linotype"/>
          <w:sz w:val="24"/>
          <w:szCs w:val="24"/>
        </w:rPr>
      </w:pPr>
    </w:p>
    <w:p w14:paraId="485EA864" w14:textId="77777777" w:rsidR="000F1735" w:rsidRPr="003538C0" w:rsidRDefault="000F1735" w:rsidP="00B96ADC">
      <w:pPr>
        <w:spacing w:after="0" w:line="360" w:lineRule="auto"/>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Cabe precisar que una vez notificado el recurso de revisión al </w:t>
      </w:r>
      <w:r w:rsidRPr="003538C0">
        <w:rPr>
          <w:rFonts w:ascii="Palatino Linotype" w:eastAsia="Palatino Linotype" w:hAnsi="Palatino Linotype" w:cs="Palatino Linotype"/>
          <w:b/>
          <w:sz w:val="24"/>
          <w:szCs w:val="24"/>
        </w:rPr>
        <w:t>SUJETO OBLIGADO</w:t>
      </w:r>
      <w:r w:rsidRPr="003538C0">
        <w:rPr>
          <w:rFonts w:ascii="Palatino Linotype" w:eastAsia="Palatino Linotype" w:hAnsi="Palatino Linotype" w:cs="Palatino Linotype"/>
          <w:sz w:val="24"/>
          <w:szCs w:val="24"/>
        </w:rPr>
        <w:t xml:space="preserve">, remitió su informe justificado </w:t>
      </w:r>
      <w:r w:rsidR="00B322EC" w:rsidRPr="003538C0">
        <w:rPr>
          <w:rFonts w:ascii="Palatino Linotype" w:eastAsia="Palatino Linotype" w:hAnsi="Palatino Linotype" w:cs="Palatino Linotype"/>
          <w:sz w:val="24"/>
          <w:szCs w:val="24"/>
        </w:rPr>
        <w:t>a través del cual la</w:t>
      </w:r>
      <w:r w:rsidR="00B96ADC" w:rsidRPr="003538C0">
        <w:rPr>
          <w:rFonts w:ascii="Palatino Linotype" w:eastAsia="Palatino Linotype" w:hAnsi="Palatino Linotype" w:cs="Palatino Linotype"/>
          <w:sz w:val="24"/>
          <w:szCs w:val="24"/>
        </w:rPr>
        <w:t xml:space="preserve"> Directora de Administración </w:t>
      </w:r>
      <w:r w:rsidR="00B322EC" w:rsidRPr="003538C0">
        <w:rPr>
          <w:rFonts w:ascii="Palatino Linotype" w:eastAsia="Palatino Linotype" w:hAnsi="Palatino Linotype" w:cs="Palatino Linotype"/>
          <w:sz w:val="24"/>
          <w:szCs w:val="24"/>
        </w:rPr>
        <w:t>hace del conocimiento que</w:t>
      </w:r>
      <w:r w:rsidR="00B96ADC" w:rsidRPr="003538C0">
        <w:rPr>
          <w:rFonts w:ascii="Palatino Linotype" w:eastAsia="Palatino Linotype" w:hAnsi="Palatino Linotype" w:cs="Palatino Linotype"/>
          <w:sz w:val="24"/>
          <w:szCs w:val="24"/>
        </w:rPr>
        <w:t xml:space="preserve"> la información solicitada </w:t>
      </w:r>
      <w:r w:rsidR="00B322EC" w:rsidRPr="003538C0">
        <w:rPr>
          <w:rFonts w:ascii="Palatino Linotype" w:eastAsia="Palatino Linotype" w:hAnsi="Palatino Linotype" w:cs="Palatino Linotype"/>
          <w:sz w:val="24"/>
          <w:szCs w:val="24"/>
        </w:rPr>
        <w:t xml:space="preserve">del ejercicio 2019 y posteriores podía </w:t>
      </w:r>
      <w:r w:rsidR="00B96ADC" w:rsidRPr="003538C0">
        <w:rPr>
          <w:rFonts w:ascii="Palatino Linotype" w:eastAsia="Palatino Linotype" w:hAnsi="Palatino Linotype" w:cs="Palatino Linotype"/>
          <w:sz w:val="24"/>
          <w:szCs w:val="24"/>
        </w:rPr>
        <w:t xml:space="preserve">ser consultada  a través de la Plataforma Electrónica IPOMEX, mencionando para </w:t>
      </w:r>
      <w:r w:rsidR="00B322EC" w:rsidRPr="003538C0">
        <w:rPr>
          <w:rFonts w:ascii="Palatino Linotype" w:eastAsia="Palatino Linotype" w:hAnsi="Palatino Linotype" w:cs="Palatino Linotype"/>
          <w:sz w:val="24"/>
          <w:szCs w:val="24"/>
        </w:rPr>
        <w:t xml:space="preserve">tal efecto una liga electrónica, lo anterior </w:t>
      </w:r>
      <w:r w:rsidR="00B96ADC" w:rsidRPr="003538C0">
        <w:rPr>
          <w:rFonts w:ascii="Palatino Linotype" w:eastAsia="Palatino Linotype" w:hAnsi="Palatino Linotype" w:cs="Palatino Linotype"/>
          <w:sz w:val="24"/>
          <w:szCs w:val="24"/>
        </w:rPr>
        <w:t xml:space="preserve">conforme  a lo dispuesto en el artículo 92 </w:t>
      </w:r>
      <w:r w:rsidR="00B96ADC" w:rsidRPr="003538C0">
        <w:rPr>
          <w:rFonts w:ascii="Palatino Linotype" w:eastAsia="Palatino Linotype" w:hAnsi="Palatino Linotype" w:cs="Palatino Linotype"/>
          <w:sz w:val="24"/>
          <w:szCs w:val="24"/>
        </w:rPr>
        <w:lastRenderedPageBreak/>
        <w:t>fracción XXIX A</w:t>
      </w:r>
      <w:r w:rsidRPr="003538C0">
        <w:rPr>
          <w:rFonts w:ascii="Palatino Linotype" w:eastAsia="Palatino Linotype" w:hAnsi="Palatino Linotype" w:cs="Palatino Linotype"/>
          <w:sz w:val="24"/>
          <w:szCs w:val="24"/>
        </w:rPr>
        <w:t>, por lo que respecta a</w:t>
      </w:r>
      <w:r w:rsidR="00B96ADC" w:rsidRPr="003538C0">
        <w:rPr>
          <w:rFonts w:ascii="Palatino Linotype" w:eastAsia="Palatino Linotype" w:hAnsi="Palatino Linotype" w:cs="Palatino Linotype"/>
          <w:sz w:val="24"/>
          <w:szCs w:val="24"/>
        </w:rPr>
        <w:t xml:space="preserve"> </w:t>
      </w:r>
      <w:r w:rsidRPr="003538C0">
        <w:rPr>
          <w:rFonts w:ascii="Palatino Linotype" w:eastAsia="Palatino Linotype" w:hAnsi="Palatino Linotype" w:cs="Palatino Linotype"/>
          <w:sz w:val="24"/>
          <w:szCs w:val="24"/>
        </w:rPr>
        <w:t>l</w:t>
      </w:r>
      <w:r w:rsidR="00B96ADC" w:rsidRPr="003538C0">
        <w:rPr>
          <w:rFonts w:ascii="Palatino Linotype" w:eastAsia="Palatino Linotype" w:hAnsi="Palatino Linotype" w:cs="Palatino Linotype"/>
          <w:sz w:val="24"/>
          <w:szCs w:val="24"/>
        </w:rPr>
        <w:t>a</w:t>
      </w:r>
      <w:r w:rsidR="00B322EC" w:rsidRPr="003538C0">
        <w:rPr>
          <w:rFonts w:ascii="Palatino Linotype" w:eastAsia="Palatino Linotype" w:hAnsi="Palatino Linotype" w:cs="Palatino Linotype"/>
          <w:sz w:val="24"/>
          <w:szCs w:val="24"/>
        </w:rPr>
        <w:t xml:space="preserve"> parte</w:t>
      </w:r>
      <w:r w:rsidRPr="003538C0">
        <w:rPr>
          <w:rFonts w:ascii="Palatino Linotype" w:eastAsia="Palatino Linotype" w:hAnsi="Palatino Linotype" w:cs="Palatino Linotype"/>
          <w:sz w:val="24"/>
          <w:szCs w:val="24"/>
        </w:rPr>
        <w:t xml:space="preserve"> </w:t>
      </w:r>
      <w:r w:rsidRPr="003538C0">
        <w:rPr>
          <w:rFonts w:ascii="Palatino Linotype" w:eastAsia="Palatino Linotype" w:hAnsi="Palatino Linotype" w:cs="Palatino Linotype"/>
          <w:b/>
          <w:sz w:val="24"/>
          <w:szCs w:val="24"/>
        </w:rPr>
        <w:t>RECURRENTE</w:t>
      </w:r>
      <w:r w:rsidRPr="003538C0">
        <w:rPr>
          <w:rFonts w:ascii="Palatino Linotype" w:eastAsia="Palatino Linotype" w:hAnsi="Palatino Linotype" w:cs="Palatino Linotype"/>
          <w:sz w:val="24"/>
          <w:szCs w:val="24"/>
        </w:rPr>
        <w:t xml:space="preserve"> fue omis</w:t>
      </w:r>
      <w:r w:rsidR="00B96ADC" w:rsidRPr="003538C0">
        <w:rPr>
          <w:rFonts w:ascii="Palatino Linotype" w:eastAsia="Palatino Linotype" w:hAnsi="Palatino Linotype" w:cs="Palatino Linotype"/>
          <w:sz w:val="24"/>
          <w:szCs w:val="24"/>
        </w:rPr>
        <w:t>a</w:t>
      </w:r>
      <w:r w:rsidRPr="003538C0">
        <w:rPr>
          <w:rFonts w:ascii="Palatino Linotype" w:eastAsia="Palatino Linotype" w:hAnsi="Palatino Linotype" w:cs="Palatino Linotype"/>
          <w:sz w:val="24"/>
          <w:szCs w:val="24"/>
        </w:rPr>
        <w:t xml:space="preserve"> de emitir manifestación alguna. </w:t>
      </w:r>
    </w:p>
    <w:p w14:paraId="726ECF2E" w14:textId="77777777" w:rsidR="000F1735" w:rsidRPr="003538C0" w:rsidRDefault="000F1735" w:rsidP="00B96ADC">
      <w:pPr>
        <w:spacing w:line="360" w:lineRule="auto"/>
        <w:contextualSpacing/>
        <w:jc w:val="both"/>
        <w:rPr>
          <w:rFonts w:ascii="Palatino Linotype" w:hAnsi="Palatino Linotype"/>
          <w:sz w:val="24"/>
        </w:rPr>
      </w:pPr>
    </w:p>
    <w:p w14:paraId="200F0329" w14:textId="77777777" w:rsidR="00B96ADC" w:rsidRPr="003538C0" w:rsidRDefault="00B96ADC" w:rsidP="00B96ADC">
      <w:pPr>
        <w:spacing w:after="0" w:line="360" w:lineRule="auto"/>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Precisado lo anterior, conviene señalar, en primer lugar, que a través de la respuesta proporcionada por la Dirección de Administración, se asumió la existencia de la información peticionada tan es así que proporcionó una dirección electrónica con la finalidad de que el particular realizará la consulta de la información que es de su interés, en consecuencia, se asume que cuenta con la información y por ende se obvia el análisis de las atribuciones del </w:t>
      </w:r>
      <w:r w:rsidRPr="003538C0">
        <w:rPr>
          <w:rFonts w:ascii="Palatino Linotype" w:eastAsia="Palatino Linotype" w:hAnsi="Palatino Linotype" w:cs="Palatino Linotype"/>
          <w:b/>
          <w:sz w:val="24"/>
          <w:szCs w:val="24"/>
        </w:rPr>
        <w:t>SUJETO OBLIGADO</w:t>
      </w:r>
      <w:r w:rsidRPr="003538C0">
        <w:rPr>
          <w:rFonts w:ascii="Palatino Linotype" w:eastAsia="Palatino Linotype" w:hAnsi="Palatino Linotype" w:cs="Palatino Linotype"/>
          <w:sz w:val="24"/>
          <w:szCs w:val="24"/>
        </w:rPr>
        <w:t xml:space="preserve"> para generar, administrar, o poseer la misma.</w:t>
      </w:r>
    </w:p>
    <w:p w14:paraId="7AF901A6" w14:textId="77777777" w:rsidR="00B96ADC" w:rsidRPr="003538C0" w:rsidRDefault="00B96ADC" w:rsidP="00B96ADC">
      <w:pPr>
        <w:spacing w:after="0" w:line="360" w:lineRule="auto"/>
        <w:contextualSpacing/>
        <w:jc w:val="both"/>
        <w:rPr>
          <w:rFonts w:ascii="Palatino Linotype" w:eastAsia="Palatino Linotype" w:hAnsi="Palatino Linotype" w:cs="Palatino Linotype"/>
          <w:sz w:val="24"/>
          <w:szCs w:val="24"/>
        </w:rPr>
      </w:pPr>
    </w:p>
    <w:p w14:paraId="3DC141A1" w14:textId="77777777" w:rsidR="000B5025" w:rsidRPr="003538C0" w:rsidRDefault="000B5025" w:rsidP="000B5025">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Asimismo, se advierte que la respuesta a la solicitud de información fue proporcionada por el Servidor Público Habilitado Competente, toda vez que la Dirección de Administración tiene entre sus facultades y atribuciones, de conformidad con lo señalado en la siguiente normatividad:</w:t>
      </w:r>
    </w:p>
    <w:p w14:paraId="39FF8EF0" w14:textId="77777777" w:rsidR="000B5025" w:rsidRPr="003538C0" w:rsidRDefault="000B5025" w:rsidP="000B5025">
      <w:pPr>
        <w:spacing w:after="0" w:line="360" w:lineRule="auto"/>
        <w:jc w:val="both"/>
      </w:pPr>
    </w:p>
    <w:p w14:paraId="1C1B51AD" w14:textId="77777777" w:rsidR="000B5025" w:rsidRPr="003538C0" w:rsidRDefault="000B5025" w:rsidP="000B5025">
      <w:pPr>
        <w:spacing w:after="0" w:line="276" w:lineRule="auto"/>
        <w:ind w:left="851" w:right="900"/>
        <w:jc w:val="both"/>
        <w:rPr>
          <w:rFonts w:ascii="Palatino Linotype" w:hAnsi="Palatino Linotype"/>
          <w:b/>
          <w:i/>
        </w:rPr>
      </w:pPr>
      <w:r w:rsidRPr="003538C0">
        <w:rPr>
          <w:rFonts w:ascii="Palatino Linotype" w:hAnsi="Palatino Linotype"/>
          <w:b/>
          <w:i/>
        </w:rPr>
        <w:t>BANDO MUNICIPAL DE ECATEPEC DE MORELOS ESTADO DE MÉXICO 2022.</w:t>
      </w:r>
    </w:p>
    <w:p w14:paraId="5F190E12" w14:textId="77777777" w:rsidR="000B5025" w:rsidRPr="003538C0" w:rsidRDefault="000B5025" w:rsidP="000B5025">
      <w:pPr>
        <w:spacing w:after="0" w:line="276" w:lineRule="auto"/>
        <w:ind w:left="851" w:right="900"/>
        <w:jc w:val="both"/>
        <w:rPr>
          <w:rFonts w:ascii="Palatino Linotype" w:hAnsi="Palatino Linotype"/>
          <w:i/>
        </w:rPr>
      </w:pPr>
    </w:p>
    <w:p w14:paraId="5F3DB988" w14:textId="77777777" w:rsidR="000B5025" w:rsidRPr="003538C0" w:rsidRDefault="000B5025" w:rsidP="000B5025">
      <w:pPr>
        <w:spacing w:after="0" w:line="276" w:lineRule="auto"/>
        <w:ind w:left="851" w:right="900"/>
        <w:jc w:val="both"/>
        <w:rPr>
          <w:rFonts w:ascii="Palatino Linotype" w:hAnsi="Palatino Linotype"/>
          <w:i/>
        </w:rPr>
      </w:pPr>
      <w:r w:rsidRPr="003538C0">
        <w:rPr>
          <w:rFonts w:ascii="Palatino Linotype" w:hAnsi="Palatino Linotype"/>
          <w:i/>
        </w:rPr>
        <w:t xml:space="preserve">Artículo 49. La Dirección de Administración proveerá los recursos humanos, materiales y servicios a las diversas áreas que conforman la Administración Pública Municipal y asignará a estas, previa autorización del Presidente Municipal Constitucional, el personal capacitado que requiera para el cumplimiento de sus atribuciones, llevando el registro del mismo. También calculará el monto de los salarios; establecerá programas de capacitación; atenderá las relaciones laborales en coordinación con la Dirección Jurídica y Consultiva; asimismo, </w:t>
      </w:r>
      <w:r w:rsidRPr="003538C0">
        <w:rPr>
          <w:rFonts w:ascii="Palatino Linotype" w:hAnsi="Palatino Linotype"/>
          <w:i/>
          <w:u w:val="single"/>
        </w:rPr>
        <w:t>llevará a cabo los procedimientos de adquisiciones de bienes y servicios</w:t>
      </w:r>
      <w:r w:rsidRPr="003538C0">
        <w:rPr>
          <w:rFonts w:ascii="Palatino Linotype" w:hAnsi="Palatino Linotype"/>
          <w:i/>
        </w:rPr>
        <w:t xml:space="preserve">; </w:t>
      </w:r>
      <w:r w:rsidRPr="003538C0">
        <w:rPr>
          <w:rFonts w:ascii="Palatino Linotype" w:hAnsi="Palatino Linotype"/>
          <w:i/>
        </w:rPr>
        <w:lastRenderedPageBreak/>
        <w:t>y en general, cumplirá con todas las atribuciones que le otorguen las disposiciones legales que regulen sus actividades.</w:t>
      </w:r>
    </w:p>
    <w:p w14:paraId="5E036CF2" w14:textId="77777777" w:rsidR="000B5025" w:rsidRPr="003538C0" w:rsidRDefault="000B5025" w:rsidP="000B5025">
      <w:pPr>
        <w:spacing w:line="360" w:lineRule="auto"/>
        <w:jc w:val="both"/>
        <w:rPr>
          <w:rFonts w:ascii="Palatino Linotype" w:eastAsia="Palatino Linotype" w:hAnsi="Palatino Linotype" w:cs="Palatino Linotype"/>
          <w:sz w:val="24"/>
          <w:szCs w:val="24"/>
        </w:rPr>
      </w:pPr>
    </w:p>
    <w:p w14:paraId="44777840" w14:textId="77777777" w:rsidR="000B5025" w:rsidRPr="003538C0" w:rsidRDefault="000B5025" w:rsidP="000B5025">
      <w:pPr>
        <w:spacing w:after="0" w:line="360" w:lineRule="auto"/>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Conforme a lo anterior se observa que la Dirección de Administración del Ayuntamiento de Ecatepec de Morelos</w:t>
      </w:r>
      <w:r w:rsidRPr="003538C0">
        <w:t xml:space="preserve"> </w:t>
      </w:r>
      <w:r w:rsidRPr="003538C0">
        <w:rPr>
          <w:rFonts w:ascii="Palatino Linotype" w:eastAsia="Palatino Linotype" w:hAnsi="Palatino Linotype" w:cs="Palatino Linotype"/>
          <w:sz w:val="24"/>
          <w:szCs w:val="24"/>
        </w:rPr>
        <w:t>llevará a cabo los procedimientos de adquisiciones de bienes y servicios, como lo es la publicidad</w:t>
      </w:r>
      <w:r w:rsidR="00D52189" w:rsidRPr="003538C0">
        <w:rPr>
          <w:rFonts w:ascii="Palatino Linotype" w:eastAsia="Palatino Linotype" w:hAnsi="Palatino Linotype" w:cs="Palatino Linotype"/>
          <w:sz w:val="24"/>
          <w:szCs w:val="24"/>
        </w:rPr>
        <w:t xml:space="preserve">. </w:t>
      </w:r>
    </w:p>
    <w:p w14:paraId="364CFE27" w14:textId="77777777" w:rsidR="00D52189" w:rsidRPr="003538C0" w:rsidRDefault="00D52189" w:rsidP="000B5025">
      <w:pPr>
        <w:spacing w:after="0" w:line="360" w:lineRule="auto"/>
        <w:contextualSpacing/>
        <w:jc w:val="both"/>
        <w:rPr>
          <w:rFonts w:ascii="Palatino Linotype" w:eastAsia="Palatino Linotype" w:hAnsi="Palatino Linotype" w:cs="Palatino Linotype"/>
          <w:sz w:val="24"/>
          <w:szCs w:val="24"/>
        </w:rPr>
      </w:pPr>
    </w:p>
    <w:p w14:paraId="42BEDBE9" w14:textId="77777777" w:rsidR="00B96ADC" w:rsidRPr="003538C0" w:rsidRDefault="00B96ADC" w:rsidP="00B96ADC">
      <w:pPr>
        <w:spacing w:after="240" w:line="360" w:lineRule="auto"/>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En este tenor, toda vez que hubo un pronunciamiento por parte del </w:t>
      </w:r>
      <w:r w:rsidRPr="003538C0">
        <w:rPr>
          <w:rFonts w:ascii="Palatino Linotype" w:eastAsia="Palatino Linotype" w:hAnsi="Palatino Linotype" w:cs="Palatino Linotype"/>
          <w:b/>
          <w:sz w:val="24"/>
          <w:szCs w:val="24"/>
        </w:rPr>
        <w:t>SUJETO OBLIGADO</w:t>
      </w:r>
      <w:r w:rsidRPr="003538C0">
        <w:rPr>
          <w:rFonts w:ascii="Palatino Linotype" w:eastAsia="Palatino Linotype" w:hAnsi="Palatino Linotype" w:cs="Palatino Linotype"/>
          <w:sz w:val="24"/>
          <w:szCs w:val="24"/>
        </w:rPr>
        <w:t xml:space="preserve">, se estima oportuno efectuar el análisis de la información proporcionada, a efecto de determinar si es suficiente para tener por colmado el derecho de acceso a la información de la parte </w:t>
      </w:r>
      <w:r w:rsidRPr="003538C0">
        <w:rPr>
          <w:rFonts w:ascii="Palatino Linotype" w:eastAsia="Palatino Linotype" w:hAnsi="Palatino Linotype" w:cs="Palatino Linotype"/>
          <w:b/>
          <w:sz w:val="24"/>
          <w:szCs w:val="24"/>
        </w:rPr>
        <w:t>RECURRENTE</w:t>
      </w:r>
      <w:r w:rsidRPr="003538C0">
        <w:rPr>
          <w:rFonts w:ascii="Palatino Linotype" w:eastAsia="Palatino Linotype" w:hAnsi="Palatino Linotype" w:cs="Palatino Linotype"/>
          <w:sz w:val="24"/>
          <w:szCs w:val="24"/>
        </w:rPr>
        <w:t xml:space="preserve">. </w:t>
      </w:r>
    </w:p>
    <w:p w14:paraId="2F0746E6" w14:textId="77777777" w:rsidR="00B96ADC" w:rsidRPr="003538C0" w:rsidRDefault="00B96ADC" w:rsidP="00B96ADC">
      <w:pPr>
        <w:spacing w:after="240" w:line="360" w:lineRule="auto"/>
        <w:contextualSpacing/>
        <w:jc w:val="both"/>
        <w:rPr>
          <w:rFonts w:ascii="Palatino Linotype" w:eastAsia="Palatino Linotype" w:hAnsi="Palatino Linotype" w:cs="Palatino Linotype"/>
          <w:sz w:val="24"/>
          <w:szCs w:val="24"/>
        </w:rPr>
      </w:pPr>
    </w:p>
    <w:p w14:paraId="4537A372" w14:textId="77777777" w:rsidR="00B96ADC" w:rsidRPr="003538C0" w:rsidRDefault="00B96ADC" w:rsidP="00B96ADC">
      <w:pPr>
        <w:spacing w:after="240" w:line="360" w:lineRule="auto"/>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En tal contexto, en primer lugar, debemos traer a colación el artículo 161</w:t>
      </w:r>
      <w:r w:rsidRPr="003538C0">
        <w:rPr>
          <w:rFonts w:ascii="Palatino Linotype" w:eastAsia="Palatino Linotype" w:hAnsi="Palatino Linotype" w:cs="Palatino Linotype"/>
          <w:sz w:val="24"/>
          <w:szCs w:val="24"/>
          <w:vertAlign w:val="superscript"/>
        </w:rPr>
        <w:footnoteReference w:id="2"/>
      </w:r>
      <w:r w:rsidRPr="003538C0">
        <w:rPr>
          <w:rFonts w:ascii="Palatino Linotype" w:eastAsia="Palatino Linotype" w:hAnsi="Palatino Linotype" w:cs="Palatino Linotype"/>
          <w:sz w:val="24"/>
          <w:szCs w:val="24"/>
        </w:rPr>
        <w:t xml:space="preserve"> de la Ley de Transparencia y Acceso a la Información Pública del Estado de México y Municipios</w:t>
      </w:r>
      <w:r w:rsidRPr="003538C0">
        <w:rPr>
          <w:rFonts w:ascii="Palatino Linotype" w:eastAsia="Palatino Linotype" w:hAnsi="Palatino Linotype" w:cs="Palatino Linotype"/>
          <w:i/>
          <w:sz w:val="24"/>
          <w:szCs w:val="24"/>
        </w:rPr>
        <w:t xml:space="preserve">, </w:t>
      </w:r>
      <w:r w:rsidRPr="003538C0">
        <w:rPr>
          <w:rFonts w:ascii="Palatino Linotype" w:eastAsia="Palatino Linotype" w:hAnsi="Palatino Linotype" w:cs="Palatino Linotype"/>
          <w:sz w:val="24"/>
          <w:szCs w:val="24"/>
        </w:rPr>
        <w:t xml:space="preserve">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w:t>
      </w:r>
      <w:r w:rsidRPr="003538C0">
        <w:rPr>
          <w:rFonts w:ascii="Palatino Linotype" w:eastAsia="Palatino Linotype" w:hAnsi="Palatino Linotype" w:cs="Palatino Linotype"/>
          <w:sz w:val="24"/>
          <w:szCs w:val="24"/>
        </w:rPr>
        <w:lastRenderedPageBreak/>
        <w:t>reproducir o adquirir la información, en un plazo no mayor a cinco días hábiles, comprendiendo:</w:t>
      </w:r>
    </w:p>
    <w:p w14:paraId="0286279B" w14:textId="77777777" w:rsidR="00B96ADC" w:rsidRPr="003538C0" w:rsidRDefault="00B96ADC" w:rsidP="00B96ADC">
      <w:pPr>
        <w:spacing w:after="240" w:line="360" w:lineRule="auto"/>
        <w:contextualSpacing/>
        <w:jc w:val="both"/>
        <w:rPr>
          <w:rFonts w:ascii="Palatino Linotype" w:eastAsia="Palatino Linotype" w:hAnsi="Palatino Linotype" w:cs="Palatino Linotype"/>
          <w:sz w:val="24"/>
          <w:szCs w:val="24"/>
        </w:rPr>
      </w:pPr>
    </w:p>
    <w:p w14:paraId="6FAA1AF4" w14:textId="77777777" w:rsidR="00B96ADC" w:rsidRPr="003538C0" w:rsidRDefault="00B96ADC" w:rsidP="00B96ADC">
      <w:pPr>
        <w:spacing w:before="240" w:after="240" w:line="360" w:lineRule="auto"/>
        <w:ind w:left="284" w:right="49"/>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a) La fuente</w:t>
      </w:r>
    </w:p>
    <w:p w14:paraId="6BD904F1" w14:textId="77777777" w:rsidR="00B96ADC" w:rsidRPr="003538C0" w:rsidRDefault="00B96ADC" w:rsidP="00B96ADC">
      <w:pPr>
        <w:spacing w:before="240" w:after="240" w:line="360" w:lineRule="auto"/>
        <w:ind w:left="284" w:right="49"/>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b) El lugar y</w:t>
      </w:r>
    </w:p>
    <w:p w14:paraId="7F9F7D85" w14:textId="77777777" w:rsidR="00B96ADC" w:rsidRPr="003538C0" w:rsidRDefault="00B96ADC" w:rsidP="00B96ADC">
      <w:pPr>
        <w:spacing w:before="240" w:after="240" w:line="360" w:lineRule="auto"/>
        <w:ind w:left="284" w:right="49"/>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c) La forma</w:t>
      </w:r>
    </w:p>
    <w:p w14:paraId="249F4DC8" w14:textId="77777777" w:rsidR="00B96ADC" w:rsidRPr="003538C0" w:rsidRDefault="00B96ADC" w:rsidP="00B96ADC">
      <w:pPr>
        <w:spacing w:before="240" w:after="240" w:line="360" w:lineRule="auto"/>
        <w:ind w:left="284" w:right="49"/>
        <w:contextualSpacing/>
        <w:jc w:val="both"/>
        <w:rPr>
          <w:rFonts w:ascii="Palatino Linotype" w:eastAsia="Palatino Linotype" w:hAnsi="Palatino Linotype" w:cs="Palatino Linotype"/>
          <w:sz w:val="24"/>
          <w:szCs w:val="24"/>
        </w:rPr>
      </w:pPr>
    </w:p>
    <w:p w14:paraId="0E77ABE1" w14:textId="77777777" w:rsidR="00B96ADC" w:rsidRPr="003538C0" w:rsidRDefault="00B96ADC" w:rsidP="00B96ADC">
      <w:pPr>
        <w:spacing w:before="240" w:after="240" w:line="360" w:lineRule="auto"/>
        <w:ind w:right="51"/>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Asimismo, se establece que la fuente de la información deberá ser:</w:t>
      </w:r>
    </w:p>
    <w:p w14:paraId="20098F63" w14:textId="77777777" w:rsidR="00B96ADC" w:rsidRPr="003538C0" w:rsidRDefault="00B96ADC" w:rsidP="00B96ADC">
      <w:pPr>
        <w:spacing w:before="240" w:after="240" w:line="360" w:lineRule="auto"/>
        <w:ind w:right="51"/>
        <w:contextualSpacing/>
        <w:jc w:val="both"/>
        <w:rPr>
          <w:rFonts w:ascii="Palatino Linotype" w:eastAsia="Palatino Linotype" w:hAnsi="Palatino Linotype" w:cs="Palatino Linotype"/>
          <w:sz w:val="24"/>
          <w:szCs w:val="24"/>
        </w:rPr>
      </w:pPr>
    </w:p>
    <w:p w14:paraId="29CE88BB" w14:textId="77777777" w:rsidR="00B96ADC" w:rsidRPr="003538C0" w:rsidRDefault="00B96ADC" w:rsidP="00B96ADC">
      <w:pPr>
        <w:spacing w:before="240" w:after="240" w:line="360" w:lineRule="auto"/>
        <w:ind w:left="284" w:right="51"/>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a) Precisa</w:t>
      </w:r>
    </w:p>
    <w:p w14:paraId="73603783" w14:textId="77777777" w:rsidR="00B96ADC" w:rsidRPr="003538C0" w:rsidRDefault="00B96ADC" w:rsidP="00B96ADC">
      <w:pPr>
        <w:spacing w:before="240" w:after="240" w:line="360" w:lineRule="auto"/>
        <w:ind w:left="284" w:right="51"/>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b) Concreta</w:t>
      </w:r>
    </w:p>
    <w:p w14:paraId="4D3E84AA" w14:textId="77777777" w:rsidR="00B96ADC" w:rsidRPr="003538C0" w:rsidRDefault="00B96ADC" w:rsidP="00B96ADC">
      <w:pPr>
        <w:spacing w:before="240" w:after="240" w:line="360" w:lineRule="auto"/>
        <w:ind w:left="284" w:right="51"/>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c) Y no debe implicar que el solicitante realice una búsqueda en toda la información que se encuentre disponible.</w:t>
      </w:r>
    </w:p>
    <w:p w14:paraId="72745322" w14:textId="77777777" w:rsidR="00B96ADC" w:rsidRPr="003538C0" w:rsidRDefault="00B96ADC" w:rsidP="00B96ADC">
      <w:pPr>
        <w:spacing w:before="240" w:after="240" w:line="360" w:lineRule="auto"/>
        <w:ind w:left="284" w:right="51"/>
        <w:contextualSpacing/>
        <w:jc w:val="both"/>
        <w:rPr>
          <w:rFonts w:ascii="Palatino Linotype" w:eastAsia="Palatino Linotype" w:hAnsi="Palatino Linotype" w:cs="Palatino Linotype"/>
          <w:sz w:val="24"/>
          <w:szCs w:val="24"/>
        </w:rPr>
      </w:pPr>
    </w:p>
    <w:p w14:paraId="73A63656" w14:textId="77777777" w:rsidR="00B96ADC" w:rsidRPr="003538C0" w:rsidRDefault="00B96ADC" w:rsidP="00B96ADC">
      <w:pPr>
        <w:spacing w:before="240" w:after="240" w:line="360" w:lineRule="auto"/>
        <w:ind w:right="51"/>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Imperativos legales que establecen el procedimiento que debe seguir el </w:t>
      </w:r>
      <w:r w:rsidRPr="003538C0">
        <w:rPr>
          <w:rFonts w:ascii="Palatino Linotype" w:eastAsia="Palatino Linotype" w:hAnsi="Palatino Linotype" w:cs="Palatino Linotype"/>
          <w:b/>
          <w:sz w:val="24"/>
          <w:szCs w:val="24"/>
        </w:rPr>
        <w:t>SUJETO OBLIGADO</w:t>
      </w:r>
      <w:r w:rsidRPr="003538C0">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14:paraId="4A7F6C2A" w14:textId="77777777" w:rsidR="00D261FF" w:rsidRPr="003538C0" w:rsidRDefault="00D261FF" w:rsidP="00B96ADC">
      <w:pPr>
        <w:spacing w:before="240" w:after="240" w:line="360" w:lineRule="auto"/>
        <w:ind w:right="51"/>
        <w:contextualSpacing/>
        <w:jc w:val="both"/>
        <w:rPr>
          <w:rFonts w:ascii="Palatino Linotype" w:eastAsia="Palatino Linotype" w:hAnsi="Palatino Linotype" w:cs="Palatino Linotype"/>
          <w:sz w:val="24"/>
          <w:szCs w:val="24"/>
        </w:rPr>
      </w:pPr>
    </w:p>
    <w:p w14:paraId="156568E4" w14:textId="77777777" w:rsidR="00B96ADC" w:rsidRPr="003538C0" w:rsidRDefault="00B96ADC" w:rsidP="00B96ADC">
      <w:pPr>
        <w:spacing w:before="120" w:after="120" w:line="360" w:lineRule="auto"/>
        <w:ind w:right="49"/>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Así, en el presente caso, el </w:t>
      </w:r>
      <w:r w:rsidRPr="003538C0">
        <w:rPr>
          <w:rFonts w:ascii="Palatino Linotype" w:eastAsia="Palatino Linotype" w:hAnsi="Palatino Linotype" w:cs="Palatino Linotype"/>
          <w:b/>
          <w:sz w:val="24"/>
          <w:szCs w:val="24"/>
        </w:rPr>
        <w:t xml:space="preserve">SUJETO OBLIGADO </w:t>
      </w:r>
      <w:r w:rsidRPr="003538C0">
        <w:rPr>
          <w:rFonts w:ascii="Palatino Linotype" w:eastAsia="Palatino Linotype" w:hAnsi="Palatino Linotype" w:cs="Palatino Linotype"/>
          <w:sz w:val="24"/>
          <w:szCs w:val="24"/>
        </w:rPr>
        <w:t xml:space="preserve">señala que la información está disponible en la siguiente liga electrónica </w:t>
      </w:r>
      <w:r w:rsidR="0020586E" w:rsidRPr="003538C0">
        <w:rPr>
          <w:rStyle w:val="Hipervnculo"/>
          <w:rFonts w:ascii="Palatino Linotype" w:eastAsia="Palatino Linotype" w:hAnsi="Palatino Linotype" w:cs="Palatino Linotype"/>
          <w:color w:val="auto"/>
          <w:sz w:val="24"/>
          <w:szCs w:val="24"/>
        </w:rPr>
        <w:t>https</w:t>
      </w:r>
      <w:proofErr w:type="gramStart"/>
      <w:r w:rsidR="0020586E" w:rsidRPr="003538C0">
        <w:rPr>
          <w:rStyle w:val="Hipervnculo"/>
          <w:rFonts w:ascii="Palatino Linotype" w:eastAsia="Palatino Linotype" w:hAnsi="Palatino Linotype" w:cs="Palatino Linotype"/>
          <w:color w:val="auto"/>
          <w:sz w:val="24"/>
          <w:szCs w:val="24"/>
        </w:rPr>
        <w:t>:/</w:t>
      </w:r>
      <w:proofErr w:type="gramEnd"/>
      <w:r w:rsidR="0020586E" w:rsidRPr="003538C0">
        <w:rPr>
          <w:rStyle w:val="Hipervnculo"/>
          <w:rFonts w:ascii="Palatino Linotype" w:eastAsia="Palatino Linotype" w:hAnsi="Palatino Linotype" w:cs="Palatino Linotype"/>
          <w:color w:val="auto"/>
          <w:sz w:val="24"/>
          <w:szCs w:val="24"/>
        </w:rPr>
        <w:t>/ecatepec.gob.mx/transparencia-detalle</w:t>
      </w:r>
      <w:r w:rsidR="002C7AED" w:rsidRPr="003538C0">
        <w:rPr>
          <w:rFonts w:ascii="Palatino Linotype" w:eastAsia="Palatino Linotype" w:hAnsi="Palatino Linotype" w:cs="Palatino Linotype"/>
          <w:sz w:val="24"/>
          <w:szCs w:val="24"/>
        </w:rPr>
        <w:t xml:space="preserve">, </w:t>
      </w:r>
      <w:r w:rsidRPr="003538C0">
        <w:rPr>
          <w:rFonts w:ascii="Palatino Linotype" w:eastAsia="Palatino Linotype" w:hAnsi="Palatino Linotype" w:cs="Palatino Linotype"/>
          <w:sz w:val="24"/>
          <w:szCs w:val="24"/>
        </w:rPr>
        <w:t>por lo que este Organismo Garante procedió a consultar la información disponible en dicho portal, en el cual se observa lo siguiente:</w:t>
      </w:r>
      <w:r w:rsidR="0020586E" w:rsidRPr="003538C0">
        <w:rPr>
          <w:rFonts w:ascii="Palatino Linotype" w:eastAsia="Palatino Linotype" w:hAnsi="Palatino Linotype" w:cs="Palatino Linotype"/>
          <w:sz w:val="24"/>
          <w:szCs w:val="24"/>
        </w:rPr>
        <w:t xml:space="preserve"> </w:t>
      </w:r>
    </w:p>
    <w:p w14:paraId="6E75C04D" w14:textId="77777777" w:rsidR="00B96ADC" w:rsidRPr="003538C0" w:rsidRDefault="00B96ADC" w:rsidP="00B96ADC">
      <w:pPr>
        <w:spacing w:before="240" w:after="240" w:line="360" w:lineRule="auto"/>
        <w:ind w:right="51"/>
        <w:contextualSpacing/>
        <w:jc w:val="both"/>
        <w:rPr>
          <w:rFonts w:ascii="Palatino Linotype" w:eastAsia="Palatino Linotype" w:hAnsi="Palatino Linotype" w:cs="Palatino Linotype"/>
          <w:sz w:val="24"/>
          <w:szCs w:val="24"/>
        </w:rPr>
      </w:pPr>
      <w:r w:rsidRPr="003538C0">
        <w:rPr>
          <w:noProof/>
        </w:rPr>
        <w:lastRenderedPageBreak/>
        <w:drawing>
          <wp:inline distT="0" distB="0" distL="0" distR="0" wp14:anchorId="35010F30" wp14:editId="04B083C0">
            <wp:extent cx="5543550" cy="2945944"/>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07" t="6337" r="3258" b="4345"/>
                    <a:stretch/>
                  </pic:blipFill>
                  <pic:spPr bwMode="auto">
                    <a:xfrm>
                      <a:off x="0" y="0"/>
                      <a:ext cx="5548680" cy="2948670"/>
                    </a:xfrm>
                    <a:prstGeom prst="rect">
                      <a:avLst/>
                    </a:prstGeom>
                    <a:ln>
                      <a:noFill/>
                    </a:ln>
                    <a:extLst>
                      <a:ext uri="{53640926-AAD7-44D8-BBD7-CCE9431645EC}">
                        <a14:shadowObscured xmlns:a14="http://schemas.microsoft.com/office/drawing/2010/main"/>
                      </a:ext>
                    </a:extLst>
                  </pic:spPr>
                </pic:pic>
              </a:graphicData>
            </a:graphic>
          </wp:inline>
        </w:drawing>
      </w:r>
    </w:p>
    <w:p w14:paraId="365F4322" w14:textId="77777777" w:rsidR="00B96ADC" w:rsidRPr="003538C0" w:rsidRDefault="00B96ADC" w:rsidP="000F1735">
      <w:pPr>
        <w:spacing w:line="360" w:lineRule="auto"/>
        <w:jc w:val="both"/>
        <w:rPr>
          <w:rFonts w:ascii="Palatino Linotype" w:hAnsi="Palatino Linotype"/>
          <w:sz w:val="24"/>
        </w:rPr>
      </w:pPr>
    </w:p>
    <w:p w14:paraId="7F9F3E3F" w14:textId="77777777" w:rsidR="00415C6F" w:rsidRPr="003538C0" w:rsidRDefault="00415C6F" w:rsidP="000F1735">
      <w:pPr>
        <w:spacing w:line="360" w:lineRule="auto"/>
        <w:jc w:val="both"/>
        <w:rPr>
          <w:rFonts w:ascii="Palatino Linotype" w:eastAsia="Palatino Linotype" w:hAnsi="Palatino Linotype" w:cs="Palatino Linotype"/>
          <w:sz w:val="24"/>
          <w:szCs w:val="24"/>
        </w:rPr>
      </w:pPr>
      <w:r w:rsidRPr="003538C0">
        <w:rPr>
          <w:rFonts w:ascii="Palatino Linotype" w:hAnsi="Palatino Linotype"/>
          <w:sz w:val="24"/>
          <w:szCs w:val="24"/>
        </w:rPr>
        <w:t xml:space="preserve">Como se advierte, la dirección electrónica proporcionada dirige al apartado de Transparencia de la página Oficial del Ayuntamiento de Ecatepec de Morelos, cabe </w:t>
      </w:r>
      <w:r w:rsidRPr="003538C0">
        <w:rPr>
          <w:rFonts w:ascii="Palatino Linotype" w:eastAsia="Palatino Linotype" w:hAnsi="Palatino Linotype" w:cs="Palatino Linotype"/>
          <w:sz w:val="24"/>
          <w:szCs w:val="24"/>
        </w:rPr>
        <w:t xml:space="preserve">mencionar que el </w:t>
      </w:r>
      <w:r w:rsidRPr="003538C0">
        <w:rPr>
          <w:rFonts w:ascii="Palatino Linotype" w:eastAsia="Palatino Linotype" w:hAnsi="Palatino Linotype" w:cs="Palatino Linotype"/>
          <w:b/>
          <w:sz w:val="24"/>
          <w:szCs w:val="24"/>
        </w:rPr>
        <w:t xml:space="preserve">SUJETO OBLIGADO, </w:t>
      </w:r>
      <w:r w:rsidRPr="003538C0">
        <w:rPr>
          <w:rFonts w:ascii="Palatino Linotype" w:eastAsia="Palatino Linotype" w:hAnsi="Palatino Linotype" w:cs="Palatino Linotype"/>
          <w:sz w:val="24"/>
          <w:szCs w:val="24"/>
        </w:rPr>
        <w:t>refiere que se deberá ingresar a la dispuesto en el artículo 92 fracción XXIX A, en el que se observa lo siguiente:</w:t>
      </w:r>
    </w:p>
    <w:p w14:paraId="1B24015B" w14:textId="77777777" w:rsidR="00415C6F" w:rsidRPr="003538C0" w:rsidRDefault="00415C6F" w:rsidP="000F1735">
      <w:pPr>
        <w:spacing w:line="360" w:lineRule="auto"/>
        <w:jc w:val="both"/>
        <w:rPr>
          <w:rFonts w:ascii="Palatino Linotype" w:eastAsia="Palatino Linotype" w:hAnsi="Palatino Linotype" w:cs="Palatino Linotype"/>
          <w:sz w:val="24"/>
          <w:szCs w:val="24"/>
        </w:rPr>
      </w:pPr>
      <w:r w:rsidRPr="003538C0">
        <w:rPr>
          <w:noProof/>
        </w:rPr>
        <w:lastRenderedPageBreak/>
        <w:drawing>
          <wp:inline distT="0" distB="0" distL="0" distR="0" wp14:anchorId="02BB1207" wp14:editId="5DAF4FA3">
            <wp:extent cx="5600700" cy="31887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481" t="47073" r="36015" b="5854"/>
                    <a:stretch/>
                  </pic:blipFill>
                  <pic:spPr bwMode="auto">
                    <a:xfrm>
                      <a:off x="0" y="0"/>
                      <a:ext cx="5611653" cy="3194956"/>
                    </a:xfrm>
                    <a:prstGeom prst="rect">
                      <a:avLst/>
                    </a:prstGeom>
                    <a:ln>
                      <a:noFill/>
                    </a:ln>
                    <a:extLst>
                      <a:ext uri="{53640926-AAD7-44D8-BBD7-CCE9431645EC}">
                        <a14:shadowObscured xmlns:a14="http://schemas.microsoft.com/office/drawing/2010/main"/>
                      </a:ext>
                    </a:extLst>
                  </pic:spPr>
                </pic:pic>
              </a:graphicData>
            </a:graphic>
          </wp:inline>
        </w:drawing>
      </w:r>
    </w:p>
    <w:p w14:paraId="4F54CD4F" w14:textId="0CD7F00D" w:rsidR="00D929A0" w:rsidRPr="003538C0" w:rsidRDefault="00D752E2" w:rsidP="000B5025">
      <w:pPr>
        <w:pStyle w:val="Prrafodelista"/>
        <w:spacing w:after="0" w:line="360" w:lineRule="auto"/>
        <w:ind w:left="0"/>
        <w:jc w:val="both"/>
        <w:rPr>
          <w:rFonts w:ascii="Palatino Linotype" w:hAnsi="Palatino Linotype"/>
          <w:sz w:val="24"/>
          <w:szCs w:val="24"/>
        </w:rPr>
      </w:pPr>
      <w:r w:rsidRPr="003538C0">
        <w:rPr>
          <w:rFonts w:ascii="Palatino Linotype" w:eastAsia="Palatino Linotype" w:hAnsi="Palatino Linotype" w:cs="Palatino Linotype"/>
          <w:sz w:val="24"/>
          <w:szCs w:val="24"/>
        </w:rPr>
        <w:t xml:space="preserve">En ese sentido, la liga electrónica que proporcionó el </w:t>
      </w:r>
      <w:r w:rsidR="00147496" w:rsidRPr="003538C0">
        <w:rPr>
          <w:rFonts w:ascii="Palatino Linotype" w:eastAsia="Palatino Linotype" w:hAnsi="Palatino Linotype" w:cs="Palatino Linotype"/>
          <w:b/>
          <w:bCs/>
          <w:sz w:val="24"/>
          <w:szCs w:val="24"/>
        </w:rPr>
        <w:t>SUJETO OBLIGADO</w:t>
      </w:r>
      <w:r w:rsidR="00147496" w:rsidRPr="003538C0">
        <w:rPr>
          <w:rFonts w:ascii="Palatino Linotype" w:eastAsia="Palatino Linotype" w:hAnsi="Palatino Linotype" w:cs="Palatino Linotype"/>
          <w:sz w:val="24"/>
          <w:szCs w:val="24"/>
        </w:rPr>
        <w:t xml:space="preserve"> </w:t>
      </w:r>
      <w:r w:rsidRPr="003538C0">
        <w:rPr>
          <w:rFonts w:ascii="Palatino Linotype" w:eastAsia="Palatino Linotype" w:hAnsi="Palatino Linotype" w:cs="Palatino Linotype"/>
          <w:sz w:val="24"/>
          <w:szCs w:val="24"/>
        </w:rPr>
        <w:t xml:space="preserve">implica que el Solicitante tenga que realizar una búsqueda en todos los registros para poder localizar la información solicitada en el caso que ahí se encuentre-, por lo que, se precisa que el </w:t>
      </w:r>
      <w:r w:rsidR="00D52189" w:rsidRPr="003538C0">
        <w:rPr>
          <w:rFonts w:ascii="Palatino Linotype" w:eastAsia="Palatino Linotype" w:hAnsi="Palatino Linotype" w:cs="Palatino Linotype"/>
          <w:sz w:val="24"/>
          <w:szCs w:val="24"/>
        </w:rPr>
        <w:t>Sujeto Obligado</w:t>
      </w:r>
      <w:r w:rsidRPr="003538C0">
        <w:rPr>
          <w:rFonts w:ascii="Palatino Linotype" w:eastAsia="Palatino Linotype" w:hAnsi="Palatino Linotype" w:cs="Palatino Linotype"/>
          <w:sz w:val="24"/>
          <w:szCs w:val="24"/>
        </w:rPr>
        <w:t xml:space="preserve">, no observó lo que dispone el artículo 161 de la Ley en la materia. </w:t>
      </w:r>
      <w:r w:rsidR="0020586E" w:rsidRPr="003538C0">
        <w:rPr>
          <w:rFonts w:ascii="Palatino Linotype" w:hAnsi="Palatino Linotype"/>
          <w:sz w:val="24"/>
          <w:szCs w:val="24"/>
        </w:rPr>
        <w:t xml:space="preserve">Además, de que únicamente se observa la información correspondiente al año dos mil diecinueve, siendo omiso de forma plena al año dos mil veintidós. </w:t>
      </w:r>
    </w:p>
    <w:p w14:paraId="035533F5" w14:textId="77777777" w:rsidR="000B5025" w:rsidRPr="003538C0" w:rsidRDefault="000B5025" w:rsidP="000B5025">
      <w:pPr>
        <w:pStyle w:val="Prrafodelista"/>
        <w:spacing w:after="0" w:line="360" w:lineRule="auto"/>
        <w:ind w:left="0"/>
        <w:jc w:val="both"/>
        <w:rPr>
          <w:rFonts w:ascii="Palatino Linotype" w:eastAsia="Palatino Linotype" w:hAnsi="Palatino Linotype" w:cs="Palatino Linotype"/>
          <w:sz w:val="24"/>
          <w:szCs w:val="24"/>
        </w:rPr>
      </w:pPr>
    </w:p>
    <w:p w14:paraId="76B6F2D3" w14:textId="77777777" w:rsidR="00CF4FA1" w:rsidRPr="003538C0" w:rsidRDefault="00CF4FA1" w:rsidP="0020586E">
      <w:pPr>
        <w:spacing w:after="0" w:line="360" w:lineRule="auto"/>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Razones por las cuales lo procedente, es ordenar la entrega de los contratos celebrados con el fin de servicio de difusión institucional o de campañas institucionales del año dos mil diecinueve y del primero de enero al cuatro de abril de dos mil veintidós, con los que cuenta el </w:t>
      </w:r>
      <w:r w:rsidRPr="003538C0">
        <w:rPr>
          <w:rFonts w:ascii="Palatino Linotype" w:eastAsia="Palatino Linotype" w:hAnsi="Palatino Linotype" w:cs="Palatino Linotype"/>
          <w:b/>
          <w:sz w:val="24"/>
          <w:szCs w:val="24"/>
        </w:rPr>
        <w:t>SUJETO OBLIGADO</w:t>
      </w:r>
      <w:r w:rsidRPr="003538C0">
        <w:rPr>
          <w:rFonts w:ascii="Palatino Linotype" w:eastAsia="Palatino Linotype" w:hAnsi="Palatino Linotype" w:cs="Palatino Linotype"/>
          <w:sz w:val="24"/>
          <w:szCs w:val="24"/>
        </w:rPr>
        <w:t>, en versión pública en atención a lo señalado en el considerando quinto del presente fallo.</w:t>
      </w:r>
    </w:p>
    <w:p w14:paraId="6E787E8E" w14:textId="77777777" w:rsidR="00CF4FA1" w:rsidRPr="003538C0" w:rsidRDefault="00CF4FA1" w:rsidP="00CF4FA1">
      <w:pPr>
        <w:spacing w:after="0" w:line="360" w:lineRule="auto"/>
        <w:ind w:right="49"/>
        <w:contextualSpacing/>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lastRenderedPageBreak/>
        <w:t xml:space="preserve">Finalmente, es de señalar que, como ya se mencionó </w:t>
      </w:r>
      <w:r w:rsidRPr="003538C0">
        <w:rPr>
          <w:rFonts w:ascii="Palatino Linotype" w:eastAsia="Palatino Linotype" w:hAnsi="Palatino Linotype" w:cs="Palatino Linotype"/>
          <w:b/>
          <w:sz w:val="24"/>
          <w:szCs w:val="24"/>
        </w:rPr>
        <w:t>el SUJETO OBLIGADO</w:t>
      </w:r>
      <w:r w:rsidRPr="003538C0">
        <w:rPr>
          <w:rFonts w:ascii="Palatino Linotype" w:eastAsia="Palatino Linotype" w:hAnsi="Palatino Linotype" w:cs="Palatino Linotype"/>
          <w:sz w:val="24"/>
          <w:szCs w:val="24"/>
        </w:rPr>
        <w:t xml:space="preserve">, omitió proporcionar la respuesta a la solicitud de acceso a la información pública, en el término contemplado en el ya citado artículo 163 de la Ley de la materia, razón por la que </w:t>
      </w:r>
      <w:r w:rsidRPr="003538C0">
        <w:rPr>
          <w:rFonts w:ascii="Palatino Linotype" w:eastAsia="Palatino Linotype" w:hAnsi="Palatino Linotype" w:cs="Palatino Linotype"/>
          <w:b/>
          <w:sz w:val="24"/>
          <w:szCs w:val="24"/>
        </w:rPr>
        <w:t>se ordena dar vista al Titular de la Contraloría Interna y Órgano de Control y Vigilancia de este Instituto</w:t>
      </w:r>
      <w:r w:rsidRPr="003538C0">
        <w:rPr>
          <w:rFonts w:ascii="Palatino Linotype" w:eastAsia="Palatino Linotype" w:hAnsi="Palatino Linotype" w:cs="Palatino Linotype"/>
          <w:sz w:val="24"/>
          <w:szCs w:val="24"/>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1F9C06D2" w14:textId="77777777" w:rsidR="00CF4FA1" w:rsidRPr="003538C0" w:rsidRDefault="00CF4FA1" w:rsidP="00CF4FA1">
      <w:pPr>
        <w:spacing w:after="0" w:line="360" w:lineRule="auto"/>
        <w:ind w:right="49"/>
        <w:contextualSpacing/>
        <w:jc w:val="both"/>
        <w:rPr>
          <w:rFonts w:ascii="Palatino Linotype" w:eastAsia="Palatino Linotype" w:hAnsi="Palatino Linotype" w:cs="Palatino Linotype"/>
          <w:sz w:val="24"/>
          <w:szCs w:val="24"/>
        </w:rPr>
      </w:pPr>
    </w:p>
    <w:p w14:paraId="3FBE7C3B" w14:textId="77777777" w:rsidR="00781F49" w:rsidRPr="003538C0" w:rsidRDefault="0020586E" w:rsidP="00781F49">
      <w:pPr>
        <w:spacing w:after="0" w:line="360" w:lineRule="auto"/>
        <w:ind w:right="49"/>
        <w:jc w:val="both"/>
        <w:rPr>
          <w:rFonts w:ascii="Palatino Linotype" w:hAnsi="Palatino Linotype"/>
          <w:sz w:val="24"/>
          <w:szCs w:val="24"/>
        </w:rPr>
      </w:pPr>
      <w:r w:rsidRPr="003538C0">
        <w:rPr>
          <w:rFonts w:ascii="Palatino Linotype" w:eastAsia="Palatino Linotype" w:hAnsi="Palatino Linotype" w:cs="Palatino Linotype"/>
          <w:b/>
          <w:sz w:val="24"/>
          <w:szCs w:val="24"/>
        </w:rPr>
        <w:t xml:space="preserve">QUINTO. VERSIÓN PÚBLICA. </w:t>
      </w:r>
      <w:r w:rsidR="00781F49" w:rsidRPr="003538C0">
        <w:rPr>
          <w:rFonts w:ascii="Palatino Linotype" w:hAnsi="Palatino Linotype"/>
          <w:sz w:val="24"/>
          <w:szCs w:val="24"/>
        </w:rPr>
        <w:t>En atención a las documentales que se determinan ordenar, existe la posibilidad de que en estos obre información que puede ser considerada confidencial o reservada,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9B0CA64" w14:textId="77777777" w:rsidR="00781F49" w:rsidRPr="003538C0" w:rsidRDefault="00781F49" w:rsidP="00781F49">
      <w:pPr>
        <w:spacing w:after="0" w:line="360" w:lineRule="auto"/>
        <w:ind w:right="49"/>
        <w:jc w:val="both"/>
        <w:rPr>
          <w:rFonts w:ascii="Palatino Linotype" w:hAnsi="Palatino Linotype"/>
          <w:sz w:val="24"/>
          <w:szCs w:val="24"/>
        </w:rPr>
      </w:pPr>
    </w:p>
    <w:p w14:paraId="5E510178" w14:textId="77777777" w:rsidR="00781F49" w:rsidRPr="003538C0" w:rsidRDefault="00781F49" w:rsidP="00781F49">
      <w:pPr>
        <w:spacing w:after="0" w:line="360" w:lineRule="auto"/>
        <w:ind w:right="49"/>
        <w:jc w:val="both"/>
        <w:rPr>
          <w:rFonts w:ascii="Palatino Linotype" w:hAnsi="Palatino Linotype"/>
          <w:sz w:val="24"/>
          <w:szCs w:val="24"/>
        </w:rPr>
      </w:pPr>
      <w:r w:rsidRPr="003538C0">
        <w:rPr>
          <w:rFonts w:ascii="Palatino Linotype" w:hAnsi="Palatino Linotype"/>
          <w:sz w:val="24"/>
          <w:szCs w:val="24"/>
        </w:rPr>
        <w:t xml:space="preserve">De este modo, en armonía entre los principios constitucionales de máxima publicidad y de protección de datos personales, la Ley de Transparencia y Acceso a la Información Pública, permite la elaboración de versiones públicas en las que se </w:t>
      </w:r>
      <w:r w:rsidRPr="003538C0">
        <w:rPr>
          <w:rFonts w:ascii="Palatino Linotype" w:hAnsi="Palatino Linotype"/>
          <w:sz w:val="24"/>
          <w:szCs w:val="24"/>
        </w:rPr>
        <w:lastRenderedPageBreak/>
        <w:t>suprima aquella información relacionada con la vida privada de las personas, tal como se prevé a continuación:</w:t>
      </w:r>
    </w:p>
    <w:p w14:paraId="64B239B3" w14:textId="77777777" w:rsidR="00781F49" w:rsidRPr="003538C0" w:rsidRDefault="00781F49" w:rsidP="00781F49">
      <w:pPr>
        <w:spacing w:after="0" w:line="360" w:lineRule="auto"/>
        <w:ind w:right="49"/>
        <w:jc w:val="both"/>
        <w:rPr>
          <w:rFonts w:ascii="Palatino Linotype" w:hAnsi="Palatino Linotype"/>
          <w:sz w:val="24"/>
          <w:szCs w:val="24"/>
        </w:rPr>
      </w:pPr>
    </w:p>
    <w:p w14:paraId="245C7174" w14:textId="77777777" w:rsidR="00781F49" w:rsidRPr="003538C0" w:rsidRDefault="00781F49" w:rsidP="00781F49">
      <w:pPr>
        <w:spacing w:after="0" w:line="276" w:lineRule="auto"/>
        <w:ind w:left="567" w:right="560"/>
        <w:jc w:val="both"/>
        <w:rPr>
          <w:rFonts w:ascii="Palatino Linotype" w:hAnsi="Palatino Linotype"/>
          <w:i/>
          <w:szCs w:val="24"/>
        </w:rPr>
      </w:pPr>
      <w:r w:rsidRPr="003538C0">
        <w:rPr>
          <w:rFonts w:ascii="Palatino Linotype" w:hAnsi="Palatino Linotype"/>
          <w:b/>
          <w:sz w:val="24"/>
          <w:szCs w:val="24"/>
        </w:rPr>
        <w:t xml:space="preserve"> </w:t>
      </w:r>
      <w:r w:rsidRPr="003538C0">
        <w:rPr>
          <w:rFonts w:ascii="Palatino Linotype" w:hAnsi="Palatino Linotype"/>
          <w:b/>
          <w:i/>
          <w:szCs w:val="24"/>
        </w:rPr>
        <w:t>Artículo 143.</w:t>
      </w:r>
      <w:r w:rsidRPr="003538C0">
        <w:rPr>
          <w:rFonts w:ascii="Palatino Linotype" w:hAnsi="Palatino Linotype"/>
          <w:i/>
          <w:szCs w:val="24"/>
        </w:rPr>
        <w:t xml:space="preserve"> Para los efectos de esta Ley se considera información confidencial, la clasificada como tal, de manera permanente, por su naturaleza, cuando:</w:t>
      </w:r>
    </w:p>
    <w:p w14:paraId="0979386D" w14:textId="77777777" w:rsidR="00781F49" w:rsidRPr="003538C0" w:rsidRDefault="00781F49" w:rsidP="00781F49">
      <w:pPr>
        <w:spacing w:after="0" w:line="276" w:lineRule="auto"/>
        <w:ind w:left="567" w:right="560"/>
        <w:jc w:val="both"/>
        <w:rPr>
          <w:rFonts w:ascii="Palatino Linotype" w:hAnsi="Palatino Linotype"/>
          <w:i/>
          <w:szCs w:val="24"/>
        </w:rPr>
      </w:pPr>
      <w:r w:rsidRPr="003538C0">
        <w:rPr>
          <w:rFonts w:ascii="Palatino Linotype" w:hAnsi="Palatino Linotype"/>
          <w:i/>
          <w:szCs w:val="24"/>
        </w:rPr>
        <w:t>I.</w:t>
      </w:r>
      <w:r w:rsidRPr="003538C0">
        <w:rPr>
          <w:rFonts w:ascii="Palatino Linotype" w:hAnsi="Palatino Linotype"/>
          <w:i/>
          <w:szCs w:val="24"/>
        </w:rPr>
        <w:tab/>
        <w:t xml:space="preserve">Se refiera a la información privada y los datos personales concernientes a una persona física o </w:t>
      </w:r>
      <w:proofErr w:type="gramStart"/>
      <w:r w:rsidRPr="003538C0">
        <w:rPr>
          <w:rFonts w:ascii="Palatino Linotype" w:hAnsi="Palatino Linotype"/>
          <w:i/>
          <w:szCs w:val="24"/>
        </w:rPr>
        <w:t>jurídico</w:t>
      </w:r>
      <w:proofErr w:type="gramEnd"/>
      <w:r w:rsidRPr="003538C0">
        <w:rPr>
          <w:rFonts w:ascii="Palatino Linotype" w:hAnsi="Palatino Linotype"/>
          <w:i/>
          <w:szCs w:val="24"/>
        </w:rPr>
        <w:t xml:space="preserve"> colectiva identificada o identificable…</w:t>
      </w:r>
    </w:p>
    <w:p w14:paraId="0A765371" w14:textId="77777777" w:rsidR="00781F49" w:rsidRPr="003538C0" w:rsidRDefault="00781F49" w:rsidP="00781F49">
      <w:pPr>
        <w:spacing w:after="0" w:line="360" w:lineRule="auto"/>
        <w:ind w:right="49"/>
        <w:jc w:val="both"/>
        <w:rPr>
          <w:rFonts w:ascii="Palatino Linotype" w:hAnsi="Palatino Linotype"/>
          <w:sz w:val="24"/>
          <w:szCs w:val="24"/>
        </w:rPr>
      </w:pPr>
    </w:p>
    <w:p w14:paraId="786BBF1C" w14:textId="77777777" w:rsidR="00781F49" w:rsidRPr="003538C0" w:rsidRDefault="00781F49" w:rsidP="00781F49">
      <w:pPr>
        <w:spacing w:after="0" w:line="360" w:lineRule="auto"/>
        <w:ind w:right="49"/>
        <w:jc w:val="both"/>
        <w:rPr>
          <w:rFonts w:ascii="Palatino Linotype" w:hAnsi="Palatino Linotype"/>
          <w:sz w:val="24"/>
          <w:szCs w:val="24"/>
        </w:rPr>
      </w:pPr>
      <w:r w:rsidRPr="003538C0">
        <w:rPr>
          <w:rFonts w:ascii="Palatino Linotype" w:hAnsi="Palatino Linotype"/>
          <w:sz w:val="24"/>
          <w:szCs w:val="24"/>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588F83B1" w14:textId="77777777" w:rsidR="00781F49" w:rsidRPr="003538C0" w:rsidRDefault="00781F49" w:rsidP="00781F49">
      <w:pPr>
        <w:spacing w:after="0" w:line="360" w:lineRule="auto"/>
        <w:ind w:right="49"/>
        <w:jc w:val="both"/>
        <w:rPr>
          <w:rFonts w:ascii="Palatino Linotype" w:hAnsi="Palatino Linotype"/>
          <w:sz w:val="24"/>
          <w:szCs w:val="24"/>
        </w:rPr>
      </w:pPr>
    </w:p>
    <w:p w14:paraId="14BBF425" w14:textId="77777777" w:rsidR="00781F49" w:rsidRPr="003538C0" w:rsidRDefault="00781F49" w:rsidP="00781F49">
      <w:pPr>
        <w:spacing w:after="0" w:line="360" w:lineRule="auto"/>
        <w:ind w:right="49"/>
        <w:jc w:val="both"/>
        <w:rPr>
          <w:rFonts w:ascii="Palatino Linotype" w:hAnsi="Palatino Linotype"/>
          <w:sz w:val="24"/>
          <w:szCs w:val="24"/>
        </w:rPr>
      </w:pPr>
      <w:r w:rsidRPr="003538C0">
        <w:rPr>
          <w:rFonts w:ascii="Palatino Linotype" w:hAnsi="Palatino Linotype"/>
          <w:sz w:val="24"/>
          <w:szCs w:val="24"/>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14:paraId="0991F6ED" w14:textId="77777777" w:rsidR="00781F49" w:rsidRPr="003538C0" w:rsidRDefault="00781F49" w:rsidP="00781F49">
      <w:pPr>
        <w:spacing w:after="0" w:line="360" w:lineRule="auto"/>
        <w:ind w:right="49"/>
        <w:jc w:val="both"/>
        <w:rPr>
          <w:rFonts w:ascii="Palatino Linotype" w:hAnsi="Palatino Linotype"/>
          <w:sz w:val="24"/>
          <w:szCs w:val="24"/>
        </w:rPr>
      </w:pPr>
    </w:p>
    <w:p w14:paraId="3FBAA083" w14:textId="77777777" w:rsidR="00781F49" w:rsidRPr="003538C0" w:rsidRDefault="00781F49" w:rsidP="00781F49">
      <w:pPr>
        <w:spacing w:after="0" w:line="276" w:lineRule="auto"/>
        <w:ind w:left="567" w:right="560"/>
        <w:jc w:val="both"/>
        <w:rPr>
          <w:rFonts w:ascii="Palatino Linotype" w:hAnsi="Palatino Linotype"/>
          <w:i/>
          <w:szCs w:val="24"/>
        </w:rPr>
      </w:pPr>
      <w:r w:rsidRPr="003538C0">
        <w:rPr>
          <w:rFonts w:ascii="Palatino Linotype" w:hAnsi="Palatino Linotype"/>
          <w:b/>
          <w:i/>
          <w:szCs w:val="24"/>
        </w:rPr>
        <w:t>Artículo 49.</w:t>
      </w:r>
      <w:r w:rsidRPr="003538C0">
        <w:rPr>
          <w:rFonts w:ascii="Palatino Linotype" w:hAnsi="Palatino Linotype"/>
          <w:i/>
          <w:szCs w:val="24"/>
        </w:rPr>
        <w:t xml:space="preserve"> Los Comités de Transparencia tendrán las siguientes atribuciones:</w:t>
      </w:r>
    </w:p>
    <w:p w14:paraId="75ACA731" w14:textId="77777777" w:rsidR="00781F49" w:rsidRPr="003538C0" w:rsidRDefault="00781F49" w:rsidP="00781F49">
      <w:pPr>
        <w:spacing w:after="0" w:line="276" w:lineRule="auto"/>
        <w:ind w:left="567" w:right="560"/>
        <w:jc w:val="both"/>
        <w:rPr>
          <w:rFonts w:ascii="Palatino Linotype" w:hAnsi="Palatino Linotype"/>
          <w:i/>
          <w:szCs w:val="24"/>
        </w:rPr>
      </w:pPr>
      <w:r w:rsidRPr="003538C0">
        <w:rPr>
          <w:rFonts w:ascii="Palatino Linotype" w:hAnsi="Palatino Linotype"/>
          <w:i/>
          <w:szCs w:val="24"/>
        </w:rPr>
        <w:t>…</w:t>
      </w:r>
    </w:p>
    <w:p w14:paraId="7B96E853" w14:textId="77777777" w:rsidR="00781F49" w:rsidRPr="003538C0" w:rsidRDefault="00781F49" w:rsidP="00781F49">
      <w:pPr>
        <w:spacing w:after="0" w:line="276" w:lineRule="auto"/>
        <w:ind w:left="567" w:right="560"/>
        <w:jc w:val="both"/>
        <w:rPr>
          <w:rFonts w:ascii="Palatino Linotype" w:hAnsi="Palatino Linotype"/>
          <w:i/>
          <w:szCs w:val="24"/>
        </w:rPr>
      </w:pPr>
      <w:r w:rsidRPr="003538C0">
        <w:rPr>
          <w:rFonts w:ascii="Palatino Linotype" w:hAnsi="Palatino Linotype"/>
          <w:i/>
          <w:szCs w:val="24"/>
        </w:rPr>
        <w:t>VIII. Aprobar, modificar o revocar la clasificación de la información</w:t>
      </w:r>
    </w:p>
    <w:p w14:paraId="675BBD26" w14:textId="77777777" w:rsidR="00781F49" w:rsidRPr="003538C0" w:rsidRDefault="00781F49" w:rsidP="00781F49">
      <w:pPr>
        <w:spacing w:after="0" w:line="276" w:lineRule="auto"/>
        <w:ind w:left="567" w:right="560"/>
        <w:jc w:val="both"/>
        <w:rPr>
          <w:rFonts w:ascii="Palatino Linotype" w:hAnsi="Palatino Linotype"/>
          <w:i/>
          <w:szCs w:val="24"/>
        </w:rPr>
      </w:pPr>
      <w:r w:rsidRPr="003538C0">
        <w:rPr>
          <w:rFonts w:ascii="Palatino Linotype" w:hAnsi="Palatino Linotype"/>
          <w:i/>
          <w:szCs w:val="24"/>
        </w:rPr>
        <w:t>…</w:t>
      </w:r>
    </w:p>
    <w:p w14:paraId="45744487" w14:textId="77777777" w:rsidR="00781F49" w:rsidRPr="003538C0" w:rsidRDefault="00781F49" w:rsidP="00781F49">
      <w:pPr>
        <w:spacing w:after="0" w:line="276" w:lineRule="auto"/>
        <w:ind w:left="567" w:right="560"/>
        <w:jc w:val="both"/>
        <w:rPr>
          <w:rFonts w:ascii="Palatino Linotype" w:hAnsi="Palatino Linotype"/>
          <w:i/>
          <w:szCs w:val="24"/>
        </w:rPr>
      </w:pPr>
    </w:p>
    <w:p w14:paraId="1875D433" w14:textId="77777777" w:rsidR="00781F49" w:rsidRPr="003538C0" w:rsidRDefault="00781F49" w:rsidP="00781F49">
      <w:pPr>
        <w:spacing w:after="0" w:line="276" w:lineRule="auto"/>
        <w:ind w:left="567" w:right="560"/>
        <w:jc w:val="both"/>
        <w:rPr>
          <w:rFonts w:ascii="Palatino Linotype" w:hAnsi="Palatino Linotype"/>
          <w:i/>
          <w:szCs w:val="24"/>
        </w:rPr>
      </w:pPr>
      <w:r w:rsidRPr="003538C0">
        <w:rPr>
          <w:rFonts w:ascii="Palatino Linotype" w:hAnsi="Palatino Linotype"/>
          <w:b/>
          <w:i/>
          <w:szCs w:val="24"/>
        </w:rPr>
        <w:t>Artículo 53.</w:t>
      </w:r>
      <w:r w:rsidRPr="003538C0">
        <w:rPr>
          <w:rFonts w:ascii="Palatino Linotype" w:hAnsi="Palatino Linotype"/>
          <w:i/>
          <w:szCs w:val="24"/>
        </w:rPr>
        <w:t xml:space="preserve"> Las Unidades de Transparencia tendrán las siguientes funciones:</w:t>
      </w:r>
    </w:p>
    <w:p w14:paraId="7B5A643E" w14:textId="77777777" w:rsidR="00781F49" w:rsidRPr="003538C0" w:rsidRDefault="00781F49" w:rsidP="00781F49">
      <w:pPr>
        <w:spacing w:after="0" w:line="276" w:lineRule="auto"/>
        <w:ind w:left="567" w:right="560"/>
        <w:jc w:val="both"/>
        <w:rPr>
          <w:rFonts w:ascii="Palatino Linotype" w:hAnsi="Palatino Linotype"/>
          <w:i/>
          <w:szCs w:val="24"/>
        </w:rPr>
      </w:pPr>
      <w:r w:rsidRPr="003538C0">
        <w:rPr>
          <w:rFonts w:ascii="Palatino Linotype" w:hAnsi="Palatino Linotype"/>
          <w:i/>
          <w:szCs w:val="24"/>
        </w:rPr>
        <w:t>…</w:t>
      </w:r>
    </w:p>
    <w:p w14:paraId="55C495CF" w14:textId="77777777" w:rsidR="00781F49" w:rsidRPr="003538C0" w:rsidRDefault="00781F49" w:rsidP="00781F49">
      <w:pPr>
        <w:spacing w:after="0" w:line="276" w:lineRule="auto"/>
        <w:ind w:left="567" w:right="560"/>
        <w:jc w:val="both"/>
        <w:rPr>
          <w:rFonts w:ascii="Palatino Linotype" w:hAnsi="Palatino Linotype"/>
          <w:i/>
          <w:szCs w:val="24"/>
        </w:rPr>
      </w:pPr>
      <w:r w:rsidRPr="003538C0">
        <w:rPr>
          <w:rFonts w:ascii="Palatino Linotype" w:hAnsi="Palatino Linotype"/>
          <w:i/>
          <w:szCs w:val="24"/>
        </w:rPr>
        <w:t xml:space="preserve">X. Presentar ante el Comité, el proyecto de clasificación de información…” </w:t>
      </w:r>
    </w:p>
    <w:p w14:paraId="71B406A1" w14:textId="77777777" w:rsidR="00781F49" w:rsidRPr="003538C0" w:rsidRDefault="00781F49" w:rsidP="00781F49">
      <w:pPr>
        <w:spacing w:after="0" w:line="276" w:lineRule="auto"/>
        <w:ind w:left="567" w:right="560"/>
        <w:jc w:val="both"/>
        <w:rPr>
          <w:rFonts w:ascii="Palatino Linotype" w:hAnsi="Palatino Linotype"/>
          <w:i/>
          <w:szCs w:val="24"/>
        </w:rPr>
      </w:pPr>
      <w:r w:rsidRPr="003538C0">
        <w:rPr>
          <w:rFonts w:ascii="Palatino Linotype" w:hAnsi="Palatino Linotype"/>
          <w:i/>
          <w:szCs w:val="24"/>
        </w:rPr>
        <w:t>…</w:t>
      </w:r>
    </w:p>
    <w:p w14:paraId="226F45ED" w14:textId="77777777" w:rsidR="00781F49" w:rsidRPr="003538C0" w:rsidRDefault="00781F49" w:rsidP="00781F49">
      <w:pPr>
        <w:spacing w:after="0" w:line="276" w:lineRule="auto"/>
        <w:ind w:left="567" w:right="560"/>
        <w:jc w:val="both"/>
        <w:rPr>
          <w:rFonts w:ascii="Palatino Linotype" w:hAnsi="Palatino Linotype"/>
          <w:i/>
          <w:szCs w:val="24"/>
        </w:rPr>
      </w:pPr>
    </w:p>
    <w:p w14:paraId="21DA5D41" w14:textId="77777777" w:rsidR="00781F49" w:rsidRPr="003538C0" w:rsidRDefault="00781F49" w:rsidP="00781F49">
      <w:pPr>
        <w:spacing w:after="0" w:line="276" w:lineRule="auto"/>
        <w:ind w:left="567" w:right="560"/>
        <w:jc w:val="both"/>
        <w:rPr>
          <w:rFonts w:ascii="Palatino Linotype" w:hAnsi="Palatino Linotype"/>
          <w:i/>
          <w:szCs w:val="24"/>
        </w:rPr>
      </w:pPr>
      <w:r w:rsidRPr="003538C0">
        <w:rPr>
          <w:rFonts w:ascii="Palatino Linotype" w:hAnsi="Palatino Linotype"/>
          <w:b/>
          <w:i/>
          <w:szCs w:val="24"/>
        </w:rPr>
        <w:lastRenderedPageBreak/>
        <w:t>Artículo 59.</w:t>
      </w:r>
      <w:r w:rsidRPr="003538C0">
        <w:rPr>
          <w:rFonts w:ascii="Palatino Linotype" w:hAnsi="Palatino Linotype"/>
          <w:i/>
          <w:szCs w:val="24"/>
        </w:rPr>
        <w:t xml:space="preserve"> Los servidores públicos habilitados tendrán las funciones siguientes:</w:t>
      </w:r>
    </w:p>
    <w:p w14:paraId="51385D61" w14:textId="77777777" w:rsidR="00781F49" w:rsidRPr="003538C0" w:rsidRDefault="00781F49" w:rsidP="00781F49">
      <w:pPr>
        <w:spacing w:after="0" w:line="276" w:lineRule="auto"/>
        <w:ind w:left="567" w:right="560"/>
        <w:jc w:val="both"/>
        <w:rPr>
          <w:rFonts w:ascii="Palatino Linotype" w:hAnsi="Palatino Linotype"/>
          <w:i/>
          <w:szCs w:val="24"/>
        </w:rPr>
      </w:pPr>
      <w:r w:rsidRPr="003538C0">
        <w:rPr>
          <w:rFonts w:ascii="Palatino Linotype" w:hAnsi="Palatino Linotype"/>
          <w:i/>
          <w:szCs w:val="24"/>
        </w:rPr>
        <w:t>….</w:t>
      </w:r>
    </w:p>
    <w:p w14:paraId="7A63391D" w14:textId="77777777" w:rsidR="00781F49" w:rsidRPr="003538C0" w:rsidRDefault="00781F49" w:rsidP="00781F49">
      <w:pPr>
        <w:spacing w:after="0" w:line="276" w:lineRule="auto"/>
        <w:ind w:left="567" w:right="560"/>
        <w:jc w:val="both"/>
        <w:rPr>
          <w:rFonts w:ascii="Palatino Linotype" w:hAnsi="Palatino Linotype"/>
          <w:i/>
          <w:szCs w:val="24"/>
        </w:rPr>
      </w:pPr>
      <w:r w:rsidRPr="003538C0">
        <w:rPr>
          <w:rFonts w:ascii="Palatino Linotype" w:hAnsi="Palatino Linotype"/>
          <w:i/>
          <w:szCs w:val="24"/>
        </w:rPr>
        <w:t>V. Integrar y presentar al responsable de la Unidad de Transparencia la propuesta de clasificación de información, la cual tendrá los fundamentos y argumentos en que se basa dicha propuesta</w:t>
      </w:r>
    </w:p>
    <w:p w14:paraId="4B92F66F" w14:textId="77777777" w:rsidR="00781F49" w:rsidRPr="003538C0" w:rsidRDefault="00781F49" w:rsidP="00781F49">
      <w:pPr>
        <w:spacing w:after="0" w:line="276" w:lineRule="auto"/>
        <w:ind w:left="567" w:right="560"/>
        <w:jc w:val="both"/>
        <w:rPr>
          <w:rFonts w:ascii="Palatino Linotype" w:hAnsi="Palatino Linotype"/>
          <w:i/>
          <w:szCs w:val="24"/>
        </w:rPr>
      </w:pPr>
      <w:r w:rsidRPr="003538C0">
        <w:rPr>
          <w:rFonts w:ascii="Palatino Linotype" w:hAnsi="Palatino Linotype"/>
          <w:i/>
          <w:szCs w:val="24"/>
        </w:rPr>
        <w:t>…</w:t>
      </w:r>
    </w:p>
    <w:p w14:paraId="6004E58D" w14:textId="77777777" w:rsidR="00781F49" w:rsidRPr="003538C0" w:rsidRDefault="00781F49" w:rsidP="00781F49">
      <w:pPr>
        <w:spacing w:after="0" w:line="276" w:lineRule="auto"/>
        <w:ind w:left="567" w:right="560"/>
        <w:jc w:val="both"/>
        <w:rPr>
          <w:rFonts w:ascii="Palatino Linotype" w:hAnsi="Palatino Linotype"/>
          <w:i/>
          <w:szCs w:val="24"/>
        </w:rPr>
      </w:pPr>
      <w:r w:rsidRPr="003538C0">
        <w:rPr>
          <w:rFonts w:ascii="Palatino Linotype" w:hAnsi="Palatino Linotype"/>
          <w:i/>
          <w:szCs w:val="24"/>
        </w:rPr>
        <w:t xml:space="preserve"> </w:t>
      </w:r>
    </w:p>
    <w:p w14:paraId="36E73B46" w14:textId="77777777" w:rsidR="00781F49" w:rsidRPr="003538C0" w:rsidRDefault="00781F49" w:rsidP="00781F49">
      <w:pPr>
        <w:spacing w:after="0" w:line="360" w:lineRule="auto"/>
        <w:ind w:right="49"/>
        <w:jc w:val="both"/>
        <w:rPr>
          <w:rFonts w:ascii="Palatino Linotype" w:hAnsi="Palatino Linotype"/>
          <w:sz w:val="24"/>
          <w:szCs w:val="24"/>
        </w:rPr>
      </w:pPr>
      <w:r w:rsidRPr="003538C0">
        <w:rPr>
          <w:rFonts w:ascii="Palatino Linotype" w:hAnsi="Palatino Linotype"/>
          <w:sz w:val="24"/>
          <w:szCs w:val="24"/>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5FD9B93B" w14:textId="77777777" w:rsidR="00781F49" w:rsidRPr="003538C0" w:rsidRDefault="00781F49" w:rsidP="00781F49">
      <w:pPr>
        <w:spacing w:after="0" w:line="360" w:lineRule="auto"/>
        <w:ind w:right="49"/>
        <w:jc w:val="both"/>
        <w:rPr>
          <w:rFonts w:ascii="Palatino Linotype" w:hAnsi="Palatino Linotype"/>
          <w:sz w:val="24"/>
          <w:szCs w:val="24"/>
        </w:rPr>
      </w:pPr>
    </w:p>
    <w:p w14:paraId="3EA3ED3E" w14:textId="77777777" w:rsidR="00781F49" w:rsidRPr="003538C0" w:rsidRDefault="00781F49" w:rsidP="00781F49">
      <w:pPr>
        <w:spacing w:after="0" w:line="360" w:lineRule="auto"/>
        <w:ind w:left="567" w:right="560"/>
        <w:jc w:val="both"/>
        <w:rPr>
          <w:rFonts w:ascii="Palatino Linotype" w:hAnsi="Palatino Linotype"/>
          <w:i/>
          <w:szCs w:val="24"/>
        </w:rPr>
      </w:pPr>
      <w:r w:rsidRPr="003538C0">
        <w:rPr>
          <w:rFonts w:ascii="Palatino Linotype" w:hAnsi="Palatino Linotype"/>
          <w:b/>
          <w:i/>
          <w:szCs w:val="24"/>
        </w:rPr>
        <w:t>Artículo 149.</w:t>
      </w:r>
      <w:r w:rsidRPr="003538C0">
        <w:rPr>
          <w:rFonts w:ascii="Palatino Linotype" w:hAnsi="Palatino Linotype"/>
          <w:i/>
          <w:szCs w:val="24"/>
        </w:rPr>
        <w:t xml:space="preserve"> El acuerdo que clasifique la información como confidencial deberá contener un razonamiento lógico en el que demuestre que la información se encuentra en alguna o algunas de las hipótesis previstas en la presente Ley.</w:t>
      </w:r>
    </w:p>
    <w:p w14:paraId="31D13113" w14:textId="77777777" w:rsidR="00781F49" w:rsidRPr="003538C0" w:rsidRDefault="00781F49" w:rsidP="00781F49">
      <w:pPr>
        <w:spacing w:after="0" w:line="360" w:lineRule="auto"/>
        <w:ind w:right="49"/>
        <w:jc w:val="both"/>
        <w:rPr>
          <w:rFonts w:ascii="Palatino Linotype" w:hAnsi="Palatino Linotype"/>
          <w:sz w:val="24"/>
          <w:szCs w:val="24"/>
        </w:rPr>
      </w:pPr>
      <w:r w:rsidRPr="003538C0">
        <w:rPr>
          <w:rFonts w:ascii="Palatino Linotype" w:hAnsi="Palatino Linotype"/>
          <w:sz w:val="24"/>
          <w:szCs w:val="24"/>
        </w:rPr>
        <w:t xml:space="preserve"> </w:t>
      </w:r>
    </w:p>
    <w:p w14:paraId="41547FAB" w14:textId="77777777" w:rsidR="00781F49" w:rsidRPr="003538C0" w:rsidRDefault="00781F49" w:rsidP="00781F49">
      <w:pPr>
        <w:spacing w:after="0" w:line="360" w:lineRule="auto"/>
        <w:ind w:right="49"/>
        <w:jc w:val="both"/>
        <w:rPr>
          <w:rFonts w:ascii="Palatino Linotype" w:hAnsi="Palatino Linotype"/>
          <w:sz w:val="24"/>
          <w:szCs w:val="24"/>
        </w:rPr>
      </w:pPr>
      <w:r w:rsidRPr="003538C0">
        <w:rPr>
          <w:rFonts w:ascii="Palatino Linotype" w:hAnsi="Palatino Linotype"/>
          <w:sz w:val="24"/>
          <w:szCs w:val="24"/>
        </w:rPr>
        <w:t xml:space="preserve">Asimismo, deberá observar los numerales Quincuagésimo tercero y Quincuagésimo quinto de los Lineamientos Generales en Materia de Clasificación y Desclasificación de la Información </w:t>
      </w:r>
      <w:proofErr w:type="spellStart"/>
      <w:r w:rsidRPr="003538C0">
        <w:rPr>
          <w:rFonts w:ascii="Palatino Linotype" w:hAnsi="Palatino Linotype"/>
          <w:sz w:val="24"/>
          <w:szCs w:val="24"/>
        </w:rPr>
        <w:t>supraindicados</w:t>
      </w:r>
      <w:proofErr w:type="spellEnd"/>
      <w:r w:rsidRPr="003538C0">
        <w:rPr>
          <w:rFonts w:ascii="Palatino Linotype" w:hAnsi="Palatino Linotype"/>
          <w:sz w:val="24"/>
          <w:szCs w:val="24"/>
        </w:rPr>
        <w:t xml:space="preserve">, que establecen los formatos para la clasificación parcial y total de los documentos, conforme a lo siguiente: </w:t>
      </w:r>
    </w:p>
    <w:p w14:paraId="61B28DD3" w14:textId="77777777" w:rsidR="00781F49" w:rsidRPr="003538C0" w:rsidRDefault="00781F49" w:rsidP="00781F49">
      <w:pPr>
        <w:spacing w:after="0" w:line="360" w:lineRule="auto"/>
        <w:ind w:right="49"/>
        <w:jc w:val="both"/>
        <w:rPr>
          <w:rFonts w:ascii="Palatino Linotype" w:hAnsi="Palatino Linotype"/>
          <w:sz w:val="24"/>
          <w:szCs w:val="24"/>
        </w:rPr>
      </w:pPr>
    </w:p>
    <w:tbl>
      <w:tblPr>
        <w:tblW w:w="0" w:type="auto"/>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1377"/>
        <w:gridCol w:w="2726"/>
        <w:gridCol w:w="1486"/>
        <w:gridCol w:w="3233"/>
      </w:tblGrid>
      <w:tr w:rsidR="003538C0" w:rsidRPr="003538C0" w14:paraId="15D53373" w14:textId="77777777" w:rsidTr="00BA2A9B">
        <w:tc>
          <w:tcPr>
            <w:tcW w:w="0" w:type="auto"/>
            <w:gridSpan w:val="2"/>
            <w:tcBorders>
              <w:top w:val="single" w:sz="6" w:space="0" w:color="BFBFBF"/>
              <w:left w:val="single" w:sz="6" w:space="0" w:color="BFBFBF"/>
              <w:bottom w:val="single" w:sz="6" w:space="0" w:color="BFBFBF"/>
              <w:right w:val="single" w:sz="6" w:space="0" w:color="BFBFBF"/>
            </w:tcBorders>
            <w:hideMark/>
          </w:tcPr>
          <w:p w14:paraId="19F7B52A"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Parcial</w:t>
            </w:r>
          </w:p>
        </w:tc>
        <w:tc>
          <w:tcPr>
            <w:tcW w:w="0" w:type="auto"/>
            <w:gridSpan w:val="2"/>
            <w:tcBorders>
              <w:top w:val="single" w:sz="6" w:space="0" w:color="BFBFBF"/>
              <w:left w:val="single" w:sz="6" w:space="0" w:color="BFBFBF"/>
              <w:bottom w:val="single" w:sz="6" w:space="0" w:color="BFBFBF"/>
              <w:right w:val="single" w:sz="6" w:space="0" w:color="BFBFBF"/>
            </w:tcBorders>
            <w:hideMark/>
          </w:tcPr>
          <w:p w14:paraId="4EEDDA1C"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Total</w:t>
            </w:r>
          </w:p>
        </w:tc>
      </w:tr>
      <w:tr w:rsidR="003538C0" w:rsidRPr="003538C0" w14:paraId="360A97D8" w14:textId="77777777" w:rsidTr="00BA2A9B">
        <w:tc>
          <w:tcPr>
            <w:tcW w:w="0" w:type="auto"/>
            <w:tcBorders>
              <w:top w:val="single" w:sz="6" w:space="0" w:color="BFBFBF"/>
              <w:left w:val="single" w:sz="6" w:space="0" w:color="BFBFBF"/>
              <w:bottom w:val="single" w:sz="6" w:space="0" w:color="BFBFBF"/>
              <w:right w:val="single" w:sz="6" w:space="0" w:color="BFBFBF"/>
            </w:tcBorders>
            <w:hideMark/>
          </w:tcPr>
          <w:p w14:paraId="2F237CFF"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Concepto</w:t>
            </w:r>
          </w:p>
        </w:tc>
        <w:tc>
          <w:tcPr>
            <w:tcW w:w="0" w:type="auto"/>
            <w:tcBorders>
              <w:top w:val="single" w:sz="6" w:space="0" w:color="BFBFBF"/>
              <w:left w:val="single" w:sz="6" w:space="0" w:color="BFBFBF"/>
              <w:bottom w:val="single" w:sz="6" w:space="0" w:color="BFBFBF"/>
              <w:right w:val="single" w:sz="6" w:space="0" w:color="BFBFBF"/>
            </w:tcBorders>
            <w:hideMark/>
          </w:tcPr>
          <w:p w14:paraId="7F7F21A4"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b/>
                <w:bCs/>
                <w:sz w:val="18"/>
                <w:szCs w:val="18"/>
              </w:rPr>
              <w:t>Dónde</w:t>
            </w:r>
          </w:p>
        </w:tc>
        <w:tc>
          <w:tcPr>
            <w:tcW w:w="0" w:type="auto"/>
            <w:tcBorders>
              <w:top w:val="single" w:sz="6" w:space="0" w:color="BFBFBF"/>
              <w:left w:val="single" w:sz="6" w:space="0" w:color="BFBFBF"/>
              <w:bottom w:val="single" w:sz="6" w:space="0" w:color="BFBFBF"/>
              <w:right w:val="single" w:sz="6" w:space="0" w:color="BFBFBF"/>
            </w:tcBorders>
            <w:hideMark/>
          </w:tcPr>
          <w:p w14:paraId="4B3A9D11"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b/>
                <w:bCs/>
                <w:sz w:val="18"/>
                <w:szCs w:val="18"/>
              </w:rPr>
              <w:t>Concepto</w:t>
            </w:r>
          </w:p>
        </w:tc>
        <w:tc>
          <w:tcPr>
            <w:tcW w:w="0" w:type="auto"/>
            <w:tcBorders>
              <w:top w:val="single" w:sz="6" w:space="0" w:color="BFBFBF"/>
              <w:left w:val="single" w:sz="6" w:space="0" w:color="BFBFBF"/>
              <w:bottom w:val="single" w:sz="6" w:space="0" w:color="BFBFBF"/>
              <w:right w:val="single" w:sz="6" w:space="0" w:color="BFBFBF"/>
            </w:tcBorders>
            <w:hideMark/>
          </w:tcPr>
          <w:p w14:paraId="22A88532"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b/>
                <w:bCs/>
                <w:sz w:val="18"/>
                <w:szCs w:val="18"/>
              </w:rPr>
              <w:t>Dónde</w:t>
            </w:r>
          </w:p>
        </w:tc>
      </w:tr>
      <w:tr w:rsidR="003538C0" w:rsidRPr="003538C0" w14:paraId="1ABB42B3" w14:textId="77777777" w:rsidTr="00BA2A9B">
        <w:tc>
          <w:tcPr>
            <w:tcW w:w="0" w:type="auto"/>
            <w:gridSpan w:val="4"/>
            <w:tcBorders>
              <w:top w:val="single" w:sz="6" w:space="0" w:color="BFBFBF"/>
              <w:left w:val="single" w:sz="6" w:space="0" w:color="BFBFBF"/>
              <w:bottom w:val="single" w:sz="6" w:space="0" w:color="BFBFBF"/>
              <w:right w:val="single" w:sz="6" w:space="0" w:color="BFBFBF"/>
            </w:tcBorders>
            <w:hideMark/>
          </w:tcPr>
          <w:p w14:paraId="4F701AA6"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Sello oficial o logotipo del sujeto obligado</w:t>
            </w:r>
          </w:p>
        </w:tc>
      </w:tr>
      <w:tr w:rsidR="003538C0" w:rsidRPr="003538C0" w14:paraId="1771AA1A" w14:textId="77777777" w:rsidTr="00BA2A9B">
        <w:tc>
          <w:tcPr>
            <w:tcW w:w="0" w:type="auto"/>
            <w:tcBorders>
              <w:top w:val="single" w:sz="6" w:space="0" w:color="BFBFBF"/>
              <w:left w:val="single" w:sz="6" w:space="0" w:color="BFBFBF"/>
              <w:bottom w:val="single" w:sz="6" w:space="0" w:color="BFBFBF"/>
              <w:right w:val="single" w:sz="6" w:space="0" w:color="BFBFBF"/>
            </w:tcBorders>
            <w:hideMark/>
          </w:tcPr>
          <w:p w14:paraId="1CFA9230"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lastRenderedPageBreak/>
              <w:t>Fecha de 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53C70803"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Se anotará la fecha en la que el Comité de Transparencia confirmó la clasificación del documento, en su caso.</w:t>
            </w:r>
          </w:p>
        </w:tc>
        <w:tc>
          <w:tcPr>
            <w:tcW w:w="0" w:type="auto"/>
            <w:tcBorders>
              <w:top w:val="single" w:sz="6" w:space="0" w:color="BFBFBF"/>
              <w:left w:val="single" w:sz="6" w:space="0" w:color="BFBFBF"/>
              <w:bottom w:val="single" w:sz="6" w:space="0" w:color="BFBFBF"/>
              <w:right w:val="single" w:sz="6" w:space="0" w:color="BFBFBF"/>
            </w:tcBorders>
            <w:hideMark/>
          </w:tcPr>
          <w:p w14:paraId="158B4D5C"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b/>
                <w:bCs/>
                <w:sz w:val="18"/>
                <w:szCs w:val="18"/>
              </w:rPr>
              <w:t>Fecha de 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1C2375FA"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Se anotará la fecha en la que el Comité de Transparencia confirmó la clasificación del documento, en su caso.</w:t>
            </w:r>
          </w:p>
        </w:tc>
      </w:tr>
      <w:tr w:rsidR="003538C0" w:rsidRPr="003538C0" w14:paraId="2CED95C1" w14:textId="77777777" w:rsidTr="00BA2A9B">
        <w:tc>
          <w:tcPr>
            <w:tcW w:w="0" w:type="auto"/>
            <w:tcBorders>
              <w:top w:val="single" w:sz="6" w:space="0" w:color="BFBFBF"/>
              <w:left w:val="single" w:sz="6" w:space="0" w:color="BFBFBF"/>
              <w:bottom w:val="single" w:sz="6" w:space="0" w:color="BFBFBF"/>
              <w:right w:val="single" w:sz="6" w:space="0" w:color="BFBFBF"/>
            </w:tcBorders>
            <w:hideMark/>
          </w:tcPr>
          <w:p w14:paraId="7E975659"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Área</w:t>
            </w:r>
          </w:p>
        </w:tc>
        <w:tc>
          <w:tcPr>
            <w:tcW w:w="0" w:type="auto"/>
            <w:tcBorders>
              <w:top w:val="single" w:sz="6" w:space="0" w:color="BFBFBF"/>
              <w:left w:val="single" w:sz="6" w:space="0" w:color="BFBFBF"/>
              <w:bottom w:val="single" w:sz="6" w:space="0" w:color="BFBFBF"/>
              <w:right w:val="single" w:sz="6" w:space="0" w:color="BFBFBF"/>
            </w:tcBorders>
            <w:hideMark/>
          </w:tcPr>
          <w:p w14:paraId="0ED8894C"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Se señalará el nombre del área del cual es titular quien clasifica.</w:t>
            </w:r>
          </w:p>
        </w:tc>
        <w:tc>
          <w:tcPr>
            <w:tcW w:w="0" w:type="auto"/>
            <w:tcBorders>
              <w:top w:val="single" w:sz="6" w:space="0" w:color="BFBFBF"/>
              <w:left w:val="single" w:sz="6" w:space="0" w:color="BFBFBF"/>
              <w:bottom w:val="single" w:sz="6" w:space="0" w:color="BFBFBF"/>
              <w:right w:val="single" w:sz="6" w:space="0" w:color="BFBFBF"/>
            </w:tcBorders>
            <w:hideMark/>
          </w:tcPr>
          <w:p w14:paraId="2417F0EB"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b/>
                <w:bCs/>
                <w:sz w:val="18"/>
                <w:szCs w:val="18"/>
              </w:rPr>
              <w:t>Área</w:t>
            </w:r>
          </w:p>
        </w:tc>
        <w:tc>
          <w:tcPr>
            <w:tcW w:w="0" w:type="auto"/>
            <w:tcBorders>
              <w:top w:val="single" w:sz="6" w:space="0" w:color="BFBFBF"/>
              <w:left w:val="single" w:sz="6" w:space="0" w:color="BFBFBF"/>
              <w:bottom w:val="single" w:sz="6" w:space="0" w:color="BFBFBF"/>
              <w:right w:val="single" w:sz="6" w:space="0" w:color="BFBFBF"/>
            </w:tcBorders>
            <w:hideMark/>
          </w:tcPr>
          <w:p w14:paraId="458225B6"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Se señalará el nombre del área de la cual es el titular quien clasifica.</w:t>
            </w:r>
          </w:p>
        </w:tc>
      </w:tr>
      <w:tr w:rsidR="003538C0" w:rsidRPr="003538C0" w14:paraId="40D5E4D6" w14:textId="77777777" w:rsidTr="00BA2A9B">
        <w:tc>
          <w:tcPr>
            <w:tcW w:w="0" w:type="auto"/>
            <w:tcBorders>
              <w:top w:val="single" w:sz="6" w:space="0" w:color="BFBFBF"/>
              <w:left w:val="single" w:sz="6" w:space="0" w:color="BFBFBF"/>
              <w:bottom w:val="single" w:sz="6" w:space="0" w:color="BFBFBF"/>
              <w:right w:val="single" w:sz="6" w:space="0" w:color="BFBFBF"/>
            </w:tcBorders>
            <w:hideMark/>
          </w:tcPr>
          <w:p w14:paraId="3196D066"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Información reservada</w:t>
            </w:r>
          </w:p>
        </w:tc>
        <w:tc>
          <w:tcPr>
            <w:tcW w:w="0" w:type="auto"/>
            <w:tcBorders>
              <w:top w:val="single" w:sz="6" w:space="0" w:color="BFBFBF"/>
              <w:left w:val="single" w:sz="6" w:space="0" w:color="BFBFBF"/>
              <w:bottom w:val="single" w:sz="6" w:space="0" w:color="BFBFBF"/>
              <w:right w:val="single" w:sz="6" w:space="0" w:color="BFBFBF"/>
            </w:tcBorders>
            <w:hideMark/>
          </w:tcPr>
          <w:p w14:paraId="01C5B73E"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Se indicarán, en su caso, las partes o páginas del documento que se clasifican como reservadas. Si el documento fuera reservado en su totalidad, se </w:t>
            </w:r>
            <w:proofErr w:type="gramStart"/>
            <w:r w:rsidRPr="003538C0">
              <w:rPr>
                <w:rFonts w:ascii="Palatino Linotype" w:hAnsi="Palatino Linotype"/>
                <w:sz w:val="18"/>
                <w:szCs w:val="18"/>
              </w:rPr>
              <w:t>anotarán</w:t>
            </w:r>
            <w:proofErr w:type="gramEnd"/>
            <w:r w:rsidRPr="003538C0">
              <w:rPr>
                <w:rFonts w:ascii="Palatino Linotype" w:hAnsi="Palatino Linotype"/>
                <w:sz w:val="18"/>
                <w:szCs w:val="18"/>
              </w:rPr>
              <w:t> todas las páginas que lo conforman. Si el documento no contiene información reservada, se tachará este apartado.</w:t>
            </w:r>
          </w:p>
        </w:tc>
        <w:tc>
          <w:tcPr>
            <w:tcW w:w="0" w:type="auto"/>
            <w:tcBorders>
              <w:top w:val="single" w:sz="6" w:space="0" w:color="BFBFBF"/>
              <w:left w:val="single" w:sz="6" w:space="0" w:color="BFBFBF"/>
              <w:bottom w:val="single" w:sz="6" w:space="0" w:color="BFBFBF"/>
              <w:right w:val="single" w:sz="6" w:space="0" w:color="BFBFBF"/>
            </w:tcBorders>
            <w:hideMark/>
          </w:tcPr>
          <w:p w14:paraId="1913855D"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b/>
                <w:bCs/>
                <w:sz w:val="18"/>
                <w:szCs w:val="18"/>
              </w:rPr>
              <w:t>Reservado</w:t>
            </w:r>
          </w:p>
        </w:tc>
        <w:tc>
          <w:tcPr>
            <w:tcW w:w="0" w:type="auto"/>
            <w:tcBorders>
              <w:top w:val="single" w:sz="6" w:space="0" w:color="BFBFBF"/>
              <w:left w:val="single" w:sz="6" w:space="0" w:color="BFBFBF"/>
              <w:bottom w:val="single" w:sz="6" w:space="0" w:color="BFBFBF"/>
              <w:right w:val="single" w:sz="6" w:space="0" w:color="BFBFBF"/>
            </w:tcBorders>
            <w:hideMark/>
          </w:tcPr>
          <w:p w14:paraId="1CF01156"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Leyenda de información RESERVADA.</w:t>
            </w:r>
          </w:p>
        </w:tc>
      </w:tr>
      <w:tr w:rsidR="003538C0" w:rsidRPr="003538C0" w14:paraId="1E9CCAFF" w14:textId="77777777" w:rsidTr="00BA2A9B">
        <w:tc>
          <w:tcPr>
            <w:tcW w:w="0" w:type="auto"/>
            <w:tcBorders>
              <w:top w:val="single" w:sz="6" w:space="0" w:color="BFBFBF"/>
              <w:left w:val="single" w:sz="6" w:space="0" w:color="BFBFBF"/>
              <w:bottom w:val="single" w:sz="6" w:space="0" w:color="BFBFBF"/>
              <w:right w:val="single" w:sz="6" w:space="0" w:color="BFBFBF"/>
            </w:tcBorders>
            <w:hideMark/>
          </w:tcPr>
          <w:p w14:paraId="68B8C25A"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1304E405"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Se señalará el nombre del ordenamiento, el o los artículos, fracción(es), párrafo(s) con base en los cuales se sustente la reserva.</w:t>
            </w:r>
          </w:p>
        </w:tc>
        <w:tc>
          <w:tcPr>
            <w:tcW w:w="0" w:type="auto"/>
            <w:tcBorders>
              <w:top w:val="single" w:sz="6" w:space="0" w:color="BFBFBF"/>
              <w:left w:val="single" w:sz="6" w:space="0" w:color="BFBFBF"/>
              <w:bottom w:val="single" w:sz="6" w:space="0" w:color="BFBFBF"/>
              <w:right w:val="single" w:sz="6" w:space="0" w:color="BFBFBF"/>
            </w:tcBorders>
            <w:hideMark/>
          </w:tcPr>
          <w:p w14:paraId="3DAC47D1"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b/>
                <w:bCs/>
                <w:sz w:val="18"/>
                <w:szCs w:val="18"/>
              </w:rPr>
              <w:t>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154BF904"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Se anotará el número de años o meses por los que se mantendrá el documento o las partes del mismo como reservado. Si el expediente no es reservado, sino confidencial, deberá tacharse este apartado.</w:t>
            </w:r>
          </w:p>
        </w:tc>
      </w:tr>
      <w:tr w:rsidR="003538C0" w:rsidRPr="003538C0" w14:paraId="4B271551" w14:textId="77777777" w:rsidTr="00BA2A9B">
        <w:tc>
          <w:tcPr>
            <w:tcW w:w="0" w:type="auto"/>
            <w:tcBorders>
              <w:top w:val="single" w:sz="6" w:space="0" w:color="BFBFBF"/>
              <w:left w:val="single" w:sz="6" w:space="0" w:color="BFBFBF"/>
              <w:bottom w:val="single" w:sz="6" w:space="0" w:color="BFBFBF"/>
              <w:right w:val="single" w:sz="6" w:space="0" w:color="BFBFBF"/>
            </w:tcBorders>
            <w:hideMark/>
          </w:tcPr>
          <w:p w14:paraId="0024697D"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Ampliación del 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0FEF9384"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En caso de haber solicitado la ampliación del periodo de reserva originalmente establecido, se deberá anotar el número de años o meses por los que se amplía la reserva.</w:t>
            </w:r>
          </w:p>
        </w:tc>
        <w:tc>
          <w:tcPr>
            <w:tcW w:w="0" w:type="auto"/>
            <w:tcBorders>
              <w:top w:val="single" w:sz="6" w:space="0" w:color="BFBFBF"/>
              <w:left w:val="single" w:sz="6" w:space="0" w:color="BFBFBF"/>
              <w:bottom w:val="single" w:sz="6" w:space="0" w:color="BFBFBF"/>
              <w:right w:val="single" w:sz="6" w:space="0" w:color="BFBFBF"/>
            </w:tcBorders>
            <w:hideMark/>
          </w:tcPr>
          <w:p w14:paraId="74FADDC8"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b/>
                <w:bCs/>
                <w:sz w:val="18"/>
                <w:szCs w:val="18"/>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571B3E04"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Se señalará el nombre del o de los ordenamientos jurídicos, el o los artículos, fracción(es), párrafo(s) con base en los cuales se sustenta la reserva.</w:t>
            </w:r>
          </w:p>
        </w:tc>
      </w:tr>
      <w:tr w:rsidR="003538C0" w:rsidRPr="003538C0" w14:paraId="50E39272" w14:textId="77777777" w:rsidTr="00BA2A9B">
        <w:tc>
          <w:tcPr>
            <w:tcW w:w="0" w:type="auto"/>
            <w:tcBorders>
              <w:top w:val="single" w:sz="6" w:space="0" w:color="BFBFBF"/>
              <w:left w:val="single" w:sz="6" w:space="0" w:color="BFBFBF"/>
              <w:bottom w:val="single" w:sz="6" w:space="0" w:color="BFBFBF"/>
              <w:right w:val="single" w:sz="6" w:space="0" w:color="BFBFBF"/>
            </w:tcBorders>
            <w:hideMark/>
          </w:tcPr>
          <w:p w14:paraId="3569938D"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lastRenderedPageBreak/>
              <w:t>Confidencial</w:t>
            </w:r>
          </w:p>
        </w:tc>
        <w:tc>
          <w:tcPr>
            <w:tcW w:w="0" w:type="auto"/>
            <w:tcBorders>
              <w:top w:val="single" w:sz="6" w:space="0" w:color="BFBFBF"/>
              <w:left w:val="single" w:sz="6" w:space="0" w:color="BFBFBF"/>
              <w:bottom w:val="single" w:sz="6" w:space="0" w:color="BFBFBF"/>
              <w:right w:val="single" w:sz="6" w:space="0" w:color="BFBFBF"/>
            </w:tcBorders>
            <w:hideMark/>
          </w:tcPr>
          <w:p w14:paraId="2E4E5ADF"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0" w:type="auto"/>
            <w:tcBorders>
              <w:top w:val="single" w:sz="6" w:space="0" w:color="BFBFBF"/>
              <w:left w:val="single" w:sz="6" w:space="0" w:color="BFBFBF"/>
              <w:bottom w:val="single" w:sz="6" w:space="0" w:color="BFBFBF"/>
              <w:right w:val="single" w:sz="6" w:space="0" w:color="BFBFBF"/>
            </w:tcBorders>
            <w:hideMark/>
          </w:tcPr>
          <w:p w14:paraId="0F00DDE7"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b/>
                <w:bCs/>
                <w:sz w:val="18"/>
                <w:szCs w:val="18"/>
              </w:rPr>
              <w:t>Ampliación del 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2F4DA5EF"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En caso de haber solicitado la ampliación del periodo de reserva originalmente establecido, se deberá anotar el número de años o meses por los que se amplía la reserva.</w:t>
            </w:r>
          </w:p>
        </w:tc>
      </w:tr>
      <w:tr w:rsidR="003538C0" w:rsidRPr="003538C0" w14:paraId="14CDC3E6" w14:textId="77777777" w:rsidTr="00BA2A9B">
        <w:tc>
          <w:tcPr>
            <w:tcW w:w="0" w:type="auto"/>
            <w:tcBorders>
              <w:top w:val="single" w:sz="6" w:space="0" w:color="BFBFBF"/>
              <w:left w:val="single" w:sz="6" w:space="0" w:color="BFBFBF"/>
              <w:bottom w:val="single" w:sz="6" w:space="0" w:color="BFBFBF"/>
              <w:right w:val="single" w:sz="6" w:space="0" w:color="BFBFBF"/>
            </w:tcBorders>
            <w:hideMark/>
          </w:tcPr>
          <w:p w14:paraId="45760A56"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5C7766CC"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Se señalará el nombre del ordenamiento, el o los artículos, fracción(es), párrafo(s) con base en los cuales se sustente la confidencialidad.</w:t>
            </w:r>
          </w:p>
        </w:tc>
        <w:tc>
          <w:tcPr>
            <w:tcW w:w="0" w:type="auto"/>
            <w:tcBorders>
              <w:top w:val="single" w:sz="6" w:space="0" w:color="BFBFBF"/>
              <w:left w:val="single" w:sz="6" w:space="0" w:color="BFBFBF"/>
              <w:bottom w:val="single" w:sz="6" w:space="0" w:color="BFBFBF"/>
              <w:right w:val="single" w:sz="6" w:space="0" w:color="BFBFBF"/>
            </w:tcBorders>
            <w:hideMark/>
          </w:tcPr>
          <w:p w14:paraId="6BAF8CFA"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b/>
                <w:bCs/>
                <w:sz w:val="18"/>
                <w:szCs w:val="18"/>
              </w:rPr>
              <w:t>Confidencial</w:t>
            </w:r>
          </w:p>
        </w:tc>
        <w:tc>
          <w:tcPr>
            <w:tcW w:w="0" w:type="auto"/>
            <w:tcBorders>
              <w:top w:val="single" w:sz="6" w:space="0" w:color="BFBFBF"/>
              <w:left w:val="single" w:sz="6" w:space="0" w:color="BFBFBF"/>
              <w:bottom w:val="single" w:sz="6" w:space="0" w:color="BFBFBF"/>
              <w:right w:val="single" w:sz="6" w:space="0" w:color="BFBFBF"/>
            </w:tcBorders>
            <w:hideMark/>
          </w:tcPr>
          <w:p w14:paraId="48C0501A"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Leyenda de información CONFIDENCIAL.</w:t>
            </w:r>
          </w:p>
        </w:tc>
      </w:tr>
      <w:tr w:rsidR="003538C0" w:rsidRPr="003538C0" w14:paraId="3404BDCF" w14:textId="77777777" w:rsidTr="00BA2A9B">
        <w:tc>
          <w:tcPr>
            <w:tcW w:w="0" w:type="auto"/>
            <w:tcBorders>
              <w:top w:val="single" w:sz="6" w:space="0" w:color="BFBFBF"/>
              <w:left w:val="single" w:sz="6" w:space="0" w:color="BFBFBF"/>
              <w:bottom w:val="single" w:sz="6" w:space="0" w:color="BFBFBF"/>
              <w:right w:val="single" w:sz="6" w:space="0" w:color="BFBFBF"/>
            </w:tcBorders>
            <w:hideMark/>
          </w:tcPr>
          <w:p w14:paraId="34E108DA"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Rúbrica del titular del área</w:t>
            </w:r>
          </w:p>
        </w:tc>
        <w:tc>
          <w:tcPr>
            <w:tcW w:w="0" w:type="auto"/>
            <w:tcBorders>
              <w:top w:val="single" w:sz="6" w:space="0" w:color="BFBFBF"/>
              <w:left w:val="single" w:sz="6" w:space="0" w:color="BFBFBF"/>
              <w:bottom w:val="single" w:sz="6" w:space="0" w:color="BFBFBF"/>
              <w:right w:val="single" w:sz="6" w:space="0" w:color="BFBFBF"/>
            </w:tcBorders>
            <w:hideMark/>
          </w:tcPr>
          <w:p w14:paraId="381D52CF"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Rúbrica autógrafa de quien clasifica.</w:t>
            </w:r>
          </w:p>
        </w:tc>
        <w:tc>
          <w:tcPr>
            <w:tcW w:w="0" w:type="auto"/>
            <w:tcBorders>
              <w:top w:val="single" w:sz="6" w:space="0" w:color="BFBFBF"/>
              <w:left w:val="single" w:sz="6" w:space="0" w:color="BFBFBF"/>
              <w:bottom w:val="single" w:sz="6" w:space="0" w:color="BFBFBF"/>
              <w:right w:val="single" w:sz="6" w:space="0" w:color="BFBFBF"/>
            </w:tcBorders>
            <w:hideMark/>
          </w:tcPr>
          <w:p w14:paraId="57FEB134"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b/>
                <w:bCs/>
                <w:sz w:val="18"/>
                <w:szCs w:val="18"/>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60E10835"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Se señalará el nombre del o de los ordenamientos jurídicos, el o los artículos, fracción(es), párrafo(s) con base en los cuales se sustente la confidencialidad.</w:t>
            </w:r>
          </w:p>
        </w:tc>
      </w:tr>
      <w:tr w:rsidR="003538C0" w:rsidRPr="003538C0" w14:paraId="3CAAC1D8" w14:textId="77777777" w:rsidTr="00BA2A9B">
        <w:tc>
          <w:tcPr>
            <w:tcW w:w="0" w:type="auto"/>
            <w:tcBorders>
              <w:top w:val="single" w:sz="6" w:space="0" w:color="BFBFBF"/>
              <w:left w:val="single" w:sz="6" w:space="0" w:color="BFBFBF"/>
              <w:bottom w:val="single" w:sz="6" w:space="0" w:color="BFBFBF"/>
              <w:right w:val="single" w:sz="6" w:space="0" w:color="BFBFBF"/>
            </w:tcBorders>
            <w:hideMark/>
          </w:tcPr>
          <w:p w14:paraId="34F27EE6"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Fecha de desclasificación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55FB0915"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Se anotará la fecha en que se desclasifica el documento.</w:t>
            </w:r>
          </w:p>
        </w:tc>
        <w:tc>
          <w:tcPr>
            <w:tcW w:w="0" w:type="auto"/>
            <w:tcBorders>
              <w:top w:val="single" w:sz="6" w:space="0" w:color="BFBFBF"/>
              <w:left w:val="single" w:sz="6" w:space="0" w:color="BFBFBF"/>
              <w:bottom w:val="single" w:sz="6" w:space="0" w:color="BFBFBF"/>
              <w:right w:val="single" w:sz="6" w:space="0" w:color="BFBFBF"/>
            </w:tcBorders>
            <w:hideMark/>
          </w:tcPr>
          <w:p w14:paraId="1A984811"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b/>
                <w:bCs/>
                <w:sz w:val="18"/>
                <w:szCs w:val="18"/>
              </w:rPr>
              <w:t>Rúbrica del titular del área</w:t>
            </w:r>
          </w:p>
        </w:tc>
        <w:tc>
          <w:tcPr>
            <w:tcW w:w="0" w:type="auto"/>
            <w:tcBorders>
              <w:top w:val="single" w:sz="6" w:space="0" w:color="BFBFBF"/>
              <w:left w:val="single" w:sz="6" w:space="0" w:color="BFBFBF"/>
              <w:bottom w:val="single" w:sz="6" w:space="0" w:color="BFBFBF"/>
              <w:right w:val="single" w:sz="6" w:space="0" w:color="BFBFBF"/>
            </w:tcBorders>
            <w:hideMark/>
          </w:tcPr>
          <w:p w14:paraId="5F117B0E"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Rúbrica autógrafa de quien clasifica.</w:t>
            </w:r>
          </w:p>
        </w:tc>
      </w:tr>
      <w:tr w:rsidR="003538C0" w:rsidRPr="003538C0" w14:paraId="7AC5A972" w14:textId="77777777" w:rsidTr="00BA2A9B">
        <w:tc>
          <w:tcPr>
            <w:tcW w:w="0" w:type="auto"/>
            <w:tcBorders>
              <w:top w:val="single" w:sz="6" w:space="0" w:color="BFBFBF"/>
              <w:left w:val="single" w:sz="6" w:space="0" w:color="BFBFBF"/>
              <w:bottom w:val="single" w:sz="6" w:space="0" w:color="BFBFBF"/>
              <w:right w:val="single" w:sz="6" w:space="0" w:color="BFBFBF"/>
            </w:tcBorders>
            <w:hideMark/>
          </w:tcPr>
          <w:p w14:paraId="7DDB5BAC"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Rúbrica y cargo del servidor público</w:t>
            </w:r>
          </w:p>
        </w:tc>
        <w:tc>
          <w:tcPr>
            <w:tcW w:w="0" w:type="auto"/>
            <w:tcBorders>
              <w:top w:val="single" w:sz="6" w:space="0" w:color="BFBFBF"/>
              <w:left w:val="single" w:sz="6" w:space="0" w:color="BFBFBF"/>
              <w:bottom w:val="single" w:sz="6" w:space="0" w:color="BFBFBF"/>
              <w:right w:val="single" w:sz="6" w:space="0" w:color="BFBFBF"/>
            </w:tcBorders>
            <w:hideMark/>
          </w:tcPr>
          <w:p w14:paraId="6358DE60"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Rúbrica autógrafa de quien desclasifica.</w:t>
            </w:r>
          </w:p>
        </w:tc>
        <w:tc>
          <w:tcPr>
            <w:tcW w:w="0" w:type="auto"/>
            <w:tcBorders>
              <w:top w:val="single" w:sz="6" w:space="0" w:color="BFBFBF"/>
              <w:left w:val="single" w:sz="6" w:space="0" w:color="BFBFBF"/>
              <w:bottom w:val="single" w:sz="6" w:space="0" w:color="BFBFBF"/>
              <w:right w:val="single" w:sz="6" w:space="0" w:color="BFBFBF"/>
            </w:tcBorders>
            <w:hideMark/>
          </w:tcPr>
          <w:p w14:paraId="635803AE"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b/>
                <w:bCs/>
                <w:sz w:val="18"/>
                <w:szCs w:val="18"/>
              </w:rPr>
              <w:t>Fecha de desclasificación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42921F40"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Se anotará la fecha en que se desclasifica.</w:t>
            </w:r>
          </w:p>
        </w:tc>
      </w:tr>
      <w:tr w:rsidR="003538C0" w:rsidRPr="003538C0" w14:paraId="4C8D7595" w14:textId="77777777" w:rsidTr="00BA2A9B">
        <w:tc>
          <w:tcPr>
            <w:tcW w:w="0" w:type="auto"/>
            <w:tcBorders>
              <w:top w:val="single" w:sz="6" w:space="0" w:color="BFBFBF"/>
              <w:left w:val="single" w:sz="6" w:space="0" w:color="BFBFBF"/>
              <w:bottom w:val="single" w:sz="6" w:space="0" w:color="BFBFBF"/>
              <w:right w:val="single" w:sz="6" w:space="0" w:color="BFBFBF"/>
            </w:tcBorders>
            <w:hideMark/>
          </w:tcPr>
          <w:p w14:paraId="0C027A65"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 </w:t>
            </w:r>
          </w:p>
        </w:tc>
        <w:tc>
          <w:tcPr>
            <w:tcW w:w="0" w:type="auto"/>
            <w:tcBorders>
              <w:top w:val="single" w:sz="6" w:space="0" w:color="BFBFBF"/>
              <w:left w:val="single" w:sz="6" w:space="0" w:color="BFBFBF"/>
              <w:bottom w:val="single" w:sz="6" w:space="0" w:color="BFBFBF"/>
              <w:right w:val="single" w:sz="6" w:space="0" w:color="BFBFBF"/>
            </w:tcBorders>
            <w:hideMark/>
          </w:tcPr>
          <w:p w14:paraId="561E3175"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 </w:t>
            </w:r>
          </w:p>
        </w:tc>
        <w:tc>
          <w:tcPr>
            <w:tcW w:w="0" w:type="auto"/>
            <w:tcBorders>
              <w:top w:val="single" w:sz="6" w:space="0" w:color="BFBFBF"/>
              <w:left w:val="single" w:sz="6" w:space="0" w:color="BFBFBF"/>
              <w:bottom w:val="single" w:sz="6" w:space="0" w:color="BFBFBF"/>
              <w:right w:val="single" w:sz="6" w:space="0" w:color="BFBFBF"/>
            </w:tcBorders>
            <w:hideMark/>
          </w:tcPr>
          <w:p w14:paraId="5F5C3B41"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b/>
                <w:bCs/>
                <w:sz w:val="18"/>
                <w:szCs w:val="18"/>
              </w:rPr>
              <w:t>Partes o secciones reservadas o confidenciales</w:t>
            </w:r>
          </w:p>
        </w:tc>
        <w:tc>
          <w:tcPr>
            <w:tcW w:w="0" w:type="auto"/>
            <w:tcBorders>
              <w:top w:val="single" w:sz="6" w:space="0" w:color="BFBFBF"/>
              <w:left w:val="single" w:sz="6" w:space="0" w:color="BFBFBF"/>
              <w:bottom w:val="single" w:sz="6" w:space="0" w:color="BFBFBF"/>
              <w:right w:val="single" w:sz="6" w:space="0" w:color="BFBFBF"/>
            </w:tcBorders>
            <w:hideMark/>
          </w:tcPr>
          <w:p w14:paraId="705A2013"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En caso que una vez desclasificado el expediente, </w:t>
            </w:r>
            <w:proofErr w:type="spellStart"/>
            <w:r w:rsidRPr="003538C0">
              <w:rPr>
                <w:rFonts w:ascii="Palatino Linotype" w:hAnsi="Palatino Linotype"/>
                <w:sz w:val="18"/>
                <w:szCs w:val="18"/>
              </w:rPr>
              <w:t>subsistanpartes</w:t>
            </w:r>
            <w:proofErr w:type="spellEnd"/>
            <w:r w:rsidRPr="003538C0">
              <w:rPr>
                <w:rFonts w:ascii="Palatino Linotype" w:hAnsi="Palatino Linotype"/>
                <w:sz w:val="18"/>
                <w:szCs w:val="18"/>
              </w:rPr>
              <w:t> o secciones del mismo reservadas o confidenciales, se señalará este hecho.</w:t>
            </w:r>
          </w:p>
        </w:tc>
      </w:tr>
      <w:tr w:rsidR="00781F49" w:rsidRPr="003538C0" w14:paraId="01D89E67" w14:textId="77777777" w:rsidTr="00BA2A9B">
        <w:tc>
          <w:tcPr>
            <w:tcW w:w="0" w:type="auto"/>
            <w:tcBorders>
              <w:top w:val="single" w:sz="6" w:space="0" w:color="BFBFBF"/>
              <w:left w:val="single" w:sz="6" w:space="0" w:color="BFBFBF"/>
              <w:bottom w:val="single" w:sz="6" w:space="0" w:color="BFBFBF"/>
              <w:right w:val="single" w:sz="6" w:space="0" w:color="BFBFBF"/>
            </w:tcBorders>
            <w:hideMark/>
          </w:tcPr>
          <w:p w14:paraId="69E4B88E"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lastRenderedPageBreak/>
              <w:t> </w:t>
            </w:r>
          </w:p>
        </w:tc>
        <w:tc>
          <w:tcPr>
            <w:tcW w:w="0" w:type="auto"/>
            <w:tcBorders>
              <w:top w:val="single" w:sz="6" w:space="0" w:color="BFBFBF"/>
              <w:left w:val="single" w:sz="6" w:space="0" w:color="BFBFBF"/>
              <w:bottom w:val="single" w:sz="6" w:space="0" w:color="BFBFBF"/>
              <w:right w:val="single" w:sz="6" w:space="0" w:color="BFBFBF"/>
            </w:tcBorders>
            <w:hideMark/>
          </w:tcPr>
          <w:p w14:paraId="06892137"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 </w:t>
            </w:r>
          </w:p>
        </w:tc>
        <w:tc>
          <w:tcPr>
            <w:tcW w:w="0" w:type="auto"/>
            <w:tcBorders>
              <w:top w:val="single" w:sz="6" w:space="0" w:color="BFBFBF"/>
              <w:left w:val="single" w:sz="6" w:space="0" w:color="BFBFBF"/>
              <w:bottom w:val="single" w:sz="6" w:space="0" w:color="BFBFBF"/>
              <w:right w:val="single" w:sz="6" w:space="0" w:color="BFBFBF"/>
            </w:tcBorders>
            <w:hideMark/>
          </w:tcPr>
          <w:p w14:paraId="55CBF799"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b/>
                <w:bCs/>
                <w:sz w:val="18"/>
                <w:szCs w:val="18"/>
              </w:rPr>
              <w:t>Rúbrica y cargo del servidor público</w:t>
            </w:r>
          </w:p>
        </w:tc>
        <w:tc>
          <w:tcPr>
            <w:tcW w:w="0" w:type="auto"/>
            <w:tcBorders>
              <w:top w:val="single" w:sz="6" w:space="0" w:color="BFBFBF"/>
              <w:left w:val="single" w:sz="6" w:space="0" w:color="BFBFBF"/>
              <w:bottom w:val="single" w:sz="6" w:space="0" w:color="BFBFBF"/>
              <w:right w:val="single" w:sz="6" w:space="0" w:color="BFBFBF"/>
            </w:tcBorders>
            <w:hideMark/>
          </w:tcPr>
          <w:p w14:paraId="0CE68067" w14:textId="77777777" w:rsidR="00781F49" w:rsidRPr="003538C0" w:rsidRDefault="00781F49" w:rsidP="00BA2A9B">
            <w:pPr>
              <w:spacing w:line="360" w:lineRule="auto"/>
              <w:jc w:val="both"/>
              <w:rPr>
                <w:rFonts w:ascii="Palatino Linotype" w:hAnsi="Palatino Linotype"/>
                <w:sz w:val="18"/>
                <w:szCs w:val="18"/>
              </w:rPr>
            </w:pPr>
            <w:r w:rsidRPr="003538C0">
              <w:rPr>
                <w:rFonts w:ascii="Palatino Linotype" w:hAnsi="Palatino Linotype"/>
                <w:sz w:val="18"/>
                <w:szCs w:val="18"/>
              </w:rPr>
              <w:t>Rúbrica autógrafa de quien desclasifica.</w:t>
            </w:r>
          </w:p>
        </w:tc>
      </w:tr>
    </w:tbl>
    <w:p w14:paraId="6E41849F" w14:textId="77777777" w:rsidR="0020586E" w:rsidRPr="003538C0" w:rsidRDefault="0020586E" w:rsidP="00781F49">
      <w:pPr>
        <w:spacing w:line="360" w:lineRule="auto"/>
        <w:contextualSpacing/>
        <w:jc w:val="both"/>
        <w:rPr>
          <w:rFonts w:ascii="Palatino Linotype" w:eastAsia="Palatino Linotype" w:hAnsi="Palatino Linotype" w:cs="Palatino Linotype"/>
          <w:sz w:val="24"/>
          <w:szCs w:val="24"/>
        </w:rPr>
      </w:pPr>
    </w:p>
    <w:p w14:paraId="6289B23C" w14:textId="77777777" w:rsidR="00CF4FA1" w:rsidRPr="003538C0" w:rsidRDefault="00CF4FA1" w:rsidP="00CF4FA1">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7879CE9" w14:textId="77777777" w:rsidR="00CF4FA1" w:rsidRPr="003538C0" w:rsidRDefault="00CF4FA1" w:rsidP="00CF4FA1">
      <w:pPr>
        <w:spacing w:after="0"/>
        <w:ind w:left="-142" w:right="49"/>
        <w:jc w:val="center"/>
        <w:rPr>
          <w:rFonts w:ascii="Palatino Linotype" w:eastAsia="Palatino Linotype" w:hAnsi="Palatino Linotype" w:cs="Palatino Linotype"/>
          <w:b/>
          <w:sz w:val="28"/>
          <w:szCs w:val="28"/>
        </w:rPr>
      </w:pPr>
      <w:r w:rsidRPr="003538C0">
        <w:rPr>
          <w:rFonts w:ascii="Palatino Linotype" w:eastAsia="Palatino Linotype" w:hAnsi="Palatino Linotype" w:cs="Palatino Linotype"/>
          <w:b/>
          <w:sz w:val="28"/>
          <w:szCs w:val="28"/>
        </w:rPr>
        <w:t>R E S U E L V E:</w:t>
      </w:r>
    </w:p>
    <w:p w14:paraId="089B6CD1" w14:textId="77777777" w:rsidR="00CF4FA1" w:rsidRPr="003538C0" w:rsidRDefault="00CF4FA1" w:rsidP="00CF4FA1">
      <w:pPr>
        <w:spacing w:after="0"/>
        <w:ind w:left="-142" w:right="49"/>
        <w:jc w:val="center"/>
        <w:rPr>
          <w:rFonts w:ascii="Palatino Linotype" w:eastAsia="Palatino Linotype" w:hAnsi="Palatino Linotype" w:cs="Palatino Linotype"/>
          <w:b/>
          <w:sz w:val="28"/>
          <w:szCs w:val="28"/>
        </w:rPr>
      </w:pPr>
    </w:p>
    <w:p w14:paraId="4DAA3D0E" w14:textId="2E9DCA80" w:rsidR="00CF4FA1" w:rsidRPr="003538C0" w:rsidRDefault="00CF4FA1" w:rsidP="00CF4FA1">
      <w:pPr>
        <w:spacing w:after="0" w:line="360" w:lineRule="auto"/>
        <w:ind w:right="49"/>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b/>
          <w:sz w:val="24"/>
          <w:szCs w:val="24"/>
        </w:rPr>
        <w:t xml:space="preserve">PRIMERO. </w:t>
      </w:r>
      <w:r w:rsidRPr="003538C0">
        <w:rPr>
          <w:rFonts w:ascii="Palatino Linotype" w:eastAsia="Palatino Linotype" w:hAnsi="Palatino Linotype" w:cs="Palatino Linotype"/>
          <w:sz w:val="24"/>
          <w:szCs w:val="24"/>
        </w:rPr>
        <w:t xml:space="preserve">Resultan </w:t>
      </w:r>
      <w:r w:rsidRPr="003538C0">
        <w:rPr>
          <w:rFonts w:ascii="Palatino Linotype" w:eastAsia="Palatino Linotype" w:hAnsi="Palatino Linotype" w:cs="Palatino Linotype"/>
          <w:b/>
          <w:sz w:val="24"/>
          <w:szCs w:val="24"/>
        </w:rPr>
        <w:t>fundados</w:t>
      </w:r>
      <w:r w:rsidRPr="003538C0">
        <w:rPr>
          <w:rFonts w:ascii="Palatino Linotype" w:eastAsia="Palatino Linotype" w:hAnsi="Palatino Linotype" w:cs="Palatino Linotype"/>
          <w:sz w:val="24"/>
          <w:szCs w:val="24"/>
        </w:rPr>
        <w:t xml:space="preserve"> los motivos de inconformidad del </w:t>
      </w:r>
      <w:r w:rsidRPr="003538C0">
        <w:rPr>
          <w:rFonts w:ascii="Palatino Linotype" w:eastAsia="Palatino Linotype" w:hAnsi="Palatino Linotype" w:cs="Palatino Linotype"/>
          <w:b/>
          <w:sz w:val="24"/>
          <w:szCs w:val="24"/>
        </w:rPr>
        <w:t>RECURRENTE</w:t>
      </w:r>
      <w:r w:rsidRPr="003538C0">
        <w:rPr>
          <w:rFonts w:ascii="Palatino Linotype" w:eastAsia="Palatino Linotype" w:hAnsi="Palatino Linotype" w:cs="Palatino Linotype"/>
          <w:sz w:val="24"/>
          <w:szCs w:val="24"/>
        </w:rPr>
        <w:t>, en el recurso de revisión</w:t>
      </w:r>
      <w:r w:rsidR="00662D32" w:rsidRPr="003538C0">
        <w:rPr>
          <w:rFonts w:ascii="Palatino Linotype" w:eastAsia="Palatino Linotype" w:hAnsi="Palatino Linotype" w:cs="Palatino Linotype"/>
          <w:sz w:val="24"/>
          <w:szCs w:val="24"/>
        </w:rPr>
        <w:t xml:space="preserve"> número</w:t>
      </w:r>
      <w:r w:rsidRPr="003538C0">
        <w:rPr>
          <w:rFonts w:ascii="Palatino Linotype" w:eastAsia="Palatino Linotype" w:hAnsi="Palatino Linotype" w:cs="Palatino Linotype"/>
          <w:sz w:val="24"/>
          <w:szCs w:val="24"/>
        </w:rPr>
        <w:t xml:space="preserve"> </w:t>
      </w:r>
      <w:r w:rsidRPr="003538C0">
        <w:rPr>
          <w:rFonts w:ascii="Palatino Linotype" w:eastAsia="Palatino Linotype" w:hAnsi="Palatino Linotype" w:cs="Palatino Linotype"/>
          <w:b/>
          <w:sz w:val="24"/>
          <w:szCs w:val="24"/>
        </w:rPr>
        <w:t>087</w:t>
      </w:r>
      <w:r w:rsidR="00147496" w:rsidRPr="003538C0">
        <w:rPr>
          <w:rFonts w:ascii="Palatino Linotype" w:eastAsia="Palatino Linotype" w:hAnsi="Palatino Linotype" w:cs="Palatino Linotype"/>
          <w:b/>
          <w:sz w:val="24"/>
          <w:szCs w:val="24"/>
        </w:rPr>
        <w:t>4</w:t>
      </w:r>
      <w:r w:rsidRPr="003538C0">
        <w:rPr>
          <w:rFonts w:ascii="Palatino Linotype" w:eastAsia="Palatino Linotype" w:hAnsi="Palatino Linotype" w:cs="Palatino Linotype"/>
          <w:b/>
          <w:sz w:val="24"/>
          <w:szCs w:val="24"/>
        </w:rPr>
        <w:t xml:space="preserve">9/INFOEM/IP/RR/2022 </w:t>
      </w:r>
      <w:r w:rsidRPr="003538C0">
        <w:rPr>
          <w:rFonts w:ascii="Palatino Linotype" w:eastAsia="Palatino Linotype" w:hAnsi="Palatino Linotype" w:cs="Palatino Linotype"/>
          <w:sz w:val="24"/>
          <w:szCs w:val="24"/>
        </w:rPr>
        <w:t xml:space="preserve">en términos del Considerando </w:t>
      </w:r>
      <w:r w:rsidRPr="003538C0">
        <w:rPr>
          <w:rFonts w:ascii="Palatino Linotype" w:eastAsia="Palatino Linotype" w:hAnsi="Palatino Linotype" w:cs="Palatino Linotype"/>
          <w:b/>
          <w:sz w:val="24"/>
          <w:szCs w:val="24"/>
        </w:rPr>
        <w:t>Cuarto</w:t>
      </w:r>
      <w:r w:rsidRPr="003538C0">
        <w:rPr>
          <w:rFonts w:ascii="Palatino Linotype" w:eastAsia="Palatino Linotype" w:hAnsi="Palatino Linotype" w:cs="Palatino Linotype"/>
          <w:sz w:val="24"/>
          <w:szCs w:val="24"/>
        </w:rPr>
        <w:t xml:space="preserve"> de la presente resolución.</w:t>
      </w:r>
    </w:p>
    <w:p w14:paraId="16F52598" w14:textId="77777777" w:rsidR="00CF4FA1" w:rsidRPr="003538C0" w:rsidRDefault="00CF4FA1" w:rsidP="00CF4FA1">
      <w:pPr>
        <w:pBdr>
          <w:top w:val="nil"/>
          <w:left w:val="nil"/>
          <w:bottom w:val="nil"/>
          <w:right w:val="nil"/>
          <w:between w:val="nil"/>
        </w:pBdr>
        <w:spacing w:after="0" w:line="360" w:lineRule="auto"/>
        <w:ind w:right="-234"/>
        <w:jc w:val="both"/>
        <w:rPr>
          <w:rFonts w:ascii="Palatino Linotype" w:eastAsia="Palatino Linotype" w:hAnsi="Palatino Linotype" w:cs="Palatino Linotype"/>
          <w:sz w:val="24"/>
          <w:szCs w:val="24"/>
        </w:rPr>
      </w:pPr>
    </w:p>
    <w:p w14:paraId="55AFF416" w14:textId="52B509EF" w:rsidR="00CF4FA1" w:rsidRPr="003538C0" w:rsidRDefault="00CF4FA1" w:rsidP="00CF4FA1">
      <w:pPr>
        <w:spacing w:after="0" w:line="360" w:lineRule="auto"/>
        <w:ind w:right="49"/>
        <w:jc w:val="both"/>
        <w:rPr>
          <w:rFonts w:ascii="Palatino Linotype" w:hAnsi="Palatino Linotype"/>
        </w:rPr>
      </w:pPr>
      <w:r w:rsidRPr="003538C0">
        <w:rPr>
          <w:rFonts w:ascii="Palatino Linotype" w:eastAsia="Palatino Linotype" w:hAnsi="Palatino Linotype" w:cs="Palatino Linotype"/>
          <w:b/>
          <w:sz w:val="24"/>
          <w:szCs w:val="24"/>
        </w:rPr>
        <w:t xml:space="preserve">SEGUNDO. </w:t>
      </w:r>
      <w:r w:rsidRPr="003538C0">
        <w:rPr>
          <w:rFonts w:ascii="Palatino Linotype" w:eastAsia="Palatino Linotype" w:hAnsi="Palatino Linotype" w:cs="Palatino Linotype"/>
          <w:sz w:val="24"/>
          <w:szCs w:val="24"/>
        </w:rPr>
        <w:t xml:space="preserve">Se </w:t>
      </w:r>
      <w:r w:rsidRPr="003538C0">
        <w:rPr>
          <w:rFonts w:ascii="Palatino Linotype" w:eastAsia="Palatino Linotype" w:hAnsi="Palatino Linotype" w:cs="Palatino Linotype"/>
          <w:b/>
          <w:sz w:val="24"/>
          <w:szCs w:val="24"/>
        </w:rPr>
        <w:t>ORDENA</w:t>
      </w:r>
      <w:r w:rsidRPr="003538C0">
        <w:rPr>
          <w:rFonts w:ascii="Palatino Linotype" w:eastAsia="Palatino Linotype" w:hAnsi="Palatino Linotype" w:cs="Palatino Linotype"/>
          <w:sz w:val="24"/>
          <w:szCs w:val="24"/>
        </w:rPr>
        <w:t xml:space="preserve"> al </w:t>
      </w:r>
      <w:r w:rsidRPr="003538C0">
        <w:rPr>
          <w:rFonts w:ascii="Palatino Linotype" w:eastAsia="Palatino Linotype" w:hAnsi="Palatino Linotype" w:cs="Palatino Linotype"/>
          <w:b/>
          <w:sz w:val="24"/>
          <w:szCs w:val="24"/>
        </w:rPr>
        <w:t>SUJETO OBLIGADO</w:t>
      </w:r>
      <w:r w:rsidRPr="003538C0">
        <w:rPr>
          <w:rFonts w:ascii="Palatino Linotype" w:eastAsia="Palatino Linotype" w:hAnsi="Palatino Linotype" w:cs="Palatino Linotype"/>
          <w:sz w:val="24"/>
          <w:szCs w:val="24"/>
        </w:rPr>
        <w:t xml:space="preserve">, que en términos del Considerando Cuarto y Quinto de esta resolución </w:t>
      </w:r>
      <w:r w:rsidR="00662D32" w:rsidRPr="003538C0">
        <w:rPr>
          <w:rFonts w:ascii="Palatino Linotype" w:hAnsi="Palatino Linotype"/>
          <w:sz w:val="24"/>
          <w:szCs w:val="24"/>
        </w:rPr>
        <w:t xml:space="preserve">atienda la solicitud de información </w:t>
      </w:r>
      <w:r w:rsidR="00147496" w:rsidRPr="003538C0">
        <w:rPr>
          <w:rFonts w:ascii="Palatino Linotype" w:eastAsia="Palatino Linotype" w:hAnsi="Palatino Linotype" w:cs="Palatino Linotype"/>
          <w:b/>
          <w:sz w:val="24"/>
          <w:szCs w:val="24"/>
        </w:rPr>
        <w:t>00380/ECATEPEC/IP/2022</w:t>
      </w:r>
      <w:r w:rsidR="00662D32" w:rsidRPr="003538C0">
        <w:rPr>
          <w:rFonts w:ascii="Palatino Linotype" w:hAnsi="Palatino Linotype"/>
          <w:b/>
          <w:bCs/>
          <w:sz w:val="24"/>
          <w:szCs w:val="24"/>
        </w:rPr>
        <w:t>,</w:t>
      </w:r>
      <w:r w:rsidR="00662D32" w:rsidRPr="003538C0">
        <w:rPr>
          <w:rFonts w:ascii="Palatino Linotype" w:hAnsi="Palatino Linotype"/>
          <w:sz w:val="24"/>
          <w:szCs w:val="24"/>
        </w:rPr>
        <w:t xml:space="preserve"> y haga entrega a la parte </w:t>
      </w:r>
      <w:r w:rsidR="00662D32" w:rsidRPr="003538C0">
        <w:rPr>
          <w:rFonts w:ascii="Palatino Linotype" w:hAnsi="Palatino Linotype"/>
          <w:b/>
          <w:bCs/>
          <w:sz w:val="24"/>
          <w:szCs w:val="24"/>
        </w:rPr>
        <w:t>Recurrente,</w:t>
      </w:r>
      <w:r w:rsidR="00662D32" w:rsidRPr="003538C0">
        <w:rPr>
          <w:rFonts w:ascii="Palatino Linotype" w:hAnsi="Palatino Linotype"/>
          <w:sz w:val="24"/>
          <w:szCs w:val="24"/>
        </w:rPr>
        <w:t xml:space="preserve"> a través del </w:t>
      </w:r>
      <w:r w:rsidR="00662D32" w:rsidRPr="003538C0">
        <w:rPr>
          <w:rFonts w:ascii="Palatino Linotype" w:hAnsi="Palatino Linotype"/>
          <w:b/>
          <w:bCs/>
          <w:sz w:val="24"/>
          <w:szCs w:val="24"/>
        </w:rPr>
        <w:t>SAIMEX</w:t>
      </w:r>
      <w:r w:rsidR="00662D32" w:rsidRPr="003538C0">
        <w:rPr>
          <w:rFonts w:ascii="Palatino Linotype" w:hAnsi="Palatino Linotype"/>
          <w:sz w:val="24"/>
          <w:szCs w:val="24"/>
        </w:rPr>
        <w:t>, de ser el caso en versión pública, de lo siguiente:</w:t>
      </w:r>
    </w:p>
    <w:p w14:paraId="5A33CEDA" w14:textId="77777777" w:rsidR="00662D32" w:rsidRPr="003538C0" w:rsidRDefault="00662D32" w:rsidP="00CF4FA1">
      <w:pPr>
        <w:spacing w:after="0" w:line="360" w:lineRule="auto"/>
        <w:ind w:right="49"/>
        <w:jc w:val="both"/>
        <w:rPr>
          <w:rFonts w:ascii="Palatino Linotype" w:eastAsia="Palatino Linotype" w:hAnsi="Palatino Linotype" w:cs="Palatino Linotype"/>
          <w:sz w:val="24"/>
          <w:szCs w:val="24"/>
        </w:rPr>
      </w:pPr>
    </w:p>
    <w:p w14:paraId="10935964" w14:textId="77777777" w:rsidR="00CF4FA1" w:rsidRPr="003538C0" w:rsidRDefault="00CF4FA1" w:rsidP="0045017B">
      <w:pPr>
        <w:spacing w:line="360" w:lineRule="auto"/>
        <w:ind w:left="567" w:right="49"/>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 xml:space="preserve">- Los contratos celebrados con el fin de servicio de difusión institucional o de campañas institucionales del año dos mil diecinueve y del primero de enero al cuatro de abril de dos mil veintidós. </w:t>
      </w:r>
    </w:p>
    <w:p w14:paraId="7FD8FCC8" w14:textId="77777777" w:rsidR="00CF4FA1" w:rsidRPr="003538C0" w:rsidRDefault="00CF4FA1" w:rsidP="00CF4FA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i/>
          <w:sz w:val="20"/>
          <w:szCs w:val="20"/>
        </w:rPr>
      </w:pPr>
      <w:r w:rsidRPr="003538C0">
        <w:rPr>
          <w:rFonts w:ascii="Palatino Linotype" w:eastAsia="Palatino Linotype" w:hAnsi="Palatino Linotype" w:cs="Palatino Linotype"/>
          <w:i/>
          <w:sz w:val="20"/>
          <w:szCs w:val="20"/>
        </w:rPr>
        <w:lastRenderedPageBreak/>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42669259" w14:textId="77777777" w:rsidR="00CF4FA1" w:rsidRPr="003538C0" w:rsidRDefault="00CF4FA1" w:rsidP="00CF4FA1">
      <w:pPr>
        <w:pBdr>
          <w:top w:val="nil"/>
          <w:left w:val="nil"/>
          <w:bottom w:val="nil"/>
          <w:right w:val="nil"/>
          <w:between w:val="nil"/>
        </w:pBdr>
        <w:spacing w:after="120" w:line="360" w:lineRule="auto"/>
        <w:ind w:right="49"/>
        <w:jc w:val="both"/>
        <w:rPr>
          <w:rFonts w:ascii="Palatino Linotype" w:eastAsia="Palatino Linotype" w:hAnsi="Palatino Linotype" w:cs="Palatino Linotype"/>
        </w:rPr>
      </w:pPr>
    </w:p>
    <w:p w14:paraId="74092663" w14:textId="77777777" w:rsidR="00CF4FA1" w:rsidRPr="003538C0" w:rsidRDefault="00CF4FA1" w:rsidP="00CF4FA1">
      <w:pPr>
        <w:spacing w:before="240" w:after="0" w:line="360" w:lineRule="auto"/>
        <w:jc w:val="both"/>
        <w:rPr>
          <w:rFonts w:ascii="Palatino Linotype" w:eastAsia="Palatino Linotype" w:hAnsi="Palatino Linotype" w:cs="Palatino Linotype"/>
          <w:b/>
          <w:sz w:val="24"/>
          <w:szCs w:val="24"/>
        </w:rPr>
      </w:pPr>
      <w:r w:rsidRPr="003538C0">
        <w:rPr>
          <w:rFonts w:ascii="Palatino Linotype" w:eastAsia="Palatino Linotype" w:hAnsi="Palatino Linotype" w:cs="Palatino Linotype"/>
          <w:b/>
          <w:sz w:val="24"/>
          <w:szCs w:val="24"/>
        </w:rPr>
        <w:t xml:space="preserve">TERCERO. Notifíquese, </w:t>
      </w:r>
      <w:r w:rsidRPr="003538C0">
        <w:rPr>
          <w:rFonts w:ascii="Palatino Linotype" w:eastAsia="Palatino Linotype" w:hAnsi="Palatino Linotype" w:cs="Palatino Linotype"/>
          <w:sz w:val="24"/>
          <w:szCs w:val="24"/>
        </w:rPr>
        <w:t>vía</w:t>
      </w:r>
      <w:r w:rsidRPr="003538C0">
        <w:rPr>
          <w:rFonts w:ascii="Palatino Linotype" w:eastAsia="Palatino Linotype" w:hAnsi="Palatino Linotype" w:cs="Palatino Linotype"/>
          <w:b/>
          <w:sz w:val="24"/>
          <w:szCs w:val="24"/>
        </w:rPr>
        <w:t xml:space="preserve"> SAIMEX, </w:t>
      </w:r>
      <w:r w:rsidRPr="003538C0">
        <w:rPr>
          <w:rFonts w:ascii="Palatino Linotype" w:eastAsia="Palatino Linotype" w:hAnsi="Palatino Linotype" w:cs="Palatino Linotype"/>
          <w:sz w:val="24"/>
          <w:szCs w:val="24"/>
        </w:rPr>
        <w:t xml:space="preserve">al Responsable de la Unidad de Transparencia del </w:t>
      </w:r>
      <w:r w:rsidRPr="003538C0">
        <w:rPr>
          <w:rFonts w:ascii="Palatino Linotype" w:eastAsia="Palatino Linotype" w:hAnsi="Palatino Linotype" w:cs="Palatino Linotype"/>
          <w:b/>
          <w:sz w:val="24"/>
          <w:szCs w:val="24"/>
        </w:rPr>
        <w:t>SUJETO OBLIGADO</w:t>
      </w:r>
      <w:r w:rsidRPr="003538C0">
        <w:rPr>
          <w:rFonts w:ascii="Palatino Linotype" w:eastAsia="Palatino Linotype" w:hAnsi="Palatino Linotype" w:cs="Palatino Linotype"/>
          <w:sz w:val="24"/>
          <w:szCs w:val="24"/>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3538C0">
        <w:rPr>
          <w:rFonts w:ascii="Palatino Linotype" w:eastAsia="Palatino Linotype" w:hAnsi="Palatino Linotype" w:cs="Palatino Linotype"/>
          <w:b/>
          <w:sz w:val="24"/>
          <w:szCs w:val="24"/>
        </w:rPr>
        <w:t>.</w:t>
      </w:r>
    </w:p>
    <w:p w14:paraId="6B64C8AB" w14:textId="77777777" w:rsidR="00CF4FA1" w:rsidRPr="003538C0" w:rsidRDefault="00CF4FA1" w:rsidP="00CF4FA1">
      <w:pPr>
        <w:spacing w:after="0" w:line="360" w:lineRule="auto"/>
        <w:jc w:val="both"/>
        <w:rPr>
          <w:rFonts w:ascii="Palatino Linotype" w:eastAsia="Palatino Linotype" w:hAnsi="Palatino Linotype" w:cs="Palatino Linotype"/>
          <w:sz w:val="24"/>
          <w:szCs w:val="24"/>
        </w:rPr>
      </w:pPr>
    </w:p>
    <w:p w14:paraId="14733AFD" w14:textId="77777777" w:rsidR="00CF4FA1" w:rsidRPr="003538C0" w:rsidRDefault="00CF4FA1" w:rsidP="00CF4FA1">
      <w:pPr>
        <w:spacing w:after="0" w:line="360" w:lineRule="auto"/>
        <w:jc w:val="both"/>
        <w:rPr>
          <w:rFonts w:ascii="Palatino Linotype" w:eastAsia="Palatino Linotype" w:hAnsi="Palatino Linotype" w:cs="Palatino Linotype"/>
          <w:sz w:val="24"/>
          <w:szCs w:val="24"/>
        </w:rPr>
      </w:pPr>
      <w:bookmarkStart w:id="2" w:name="_heading=h.4d34og8" w:colFirst="0" w:colLast="0"/>
      <w:bookmarkEnd w:id="2"/>
      <w:r w:rsidRPr="003538C0">
        <w:rPr>
          <w:rFonts w:ascii="Palatino Linotype" w:eastAsia="Palatino Linotype" w:hAnsi="Palatino Linotype" w:cs="Palatino Linotype"/>
          <w:b/>
          <w:sz w:val="24"/>
          <w:szCs w:val="24"/>
        </w:rPr>
        <w:t xml:space="preserve">CUARTO.  Notifíquese, </w:t>
      </w:r>
      <w:r w:rsidRPr="003538C0">
        <w:rPr>
          <w:rFonts w:ascii="Palatino Linotype" w:eastAsia="Palatino Linotype" w:hAnsi="Palatino Linotype" w:cs="Palatino Linotype"/>
          <w:sz w:val="24"/>
          <w:szCs w:val="24"/>
        </w:rPr>
        <w:t xml:space="preserve">vía </w:t>
      </w:r>
      <w:r w:rsidRPr="003538C0">
        <w:rPr>
          <w:rFonts w:ascii="Palatino Linotype" w:eastAsia="Palatino Linotype" w:hAnsi="Palatino Linotype" w:cs="Palatino Linotype"/>
          <w:b/>
          <w:sz w:val="24"/>
          <w:szCs w:val="24"/>
        </w:rPr>
        <w:t>SAIMEX</w:t>
      </w:r>
      <w:r w:rsidRPr="003538C0">
        <w:rPr>
          <w:rFonts w:ascii="Palatino Linotype" w:eastAsia="Palatino Linotype" w:hAnsi="Palatino Linotype" w:cs="Palatino Linotype"/>
          <w:sz w:val="24"/>
          <w:szCs w:val="24"/>
        </w:rPr>
        <w:t xml:space="preserve">, a la parte </w:t>
      </w:r>
      <w:r w:rsidRPr="003538C0">
        <w:rPr>
          <w:rFonts w:ascii="Palatino Linotype" w:eastAsia="Palatino Linotype" w:hAnsi="Palatino Linotype" w:cs="Palatino Linotype"/>
          <w:b/>
          <w:sz w:val="24"/>
          <w:szCs w:val="24"/>
        </w:rPr>
        <w:t>RECURRENTE</w:t>
      </w:r>
      <w:r w:rsidRPr="003538C0">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3AAC0EC" w14:textId="77777777" w:rsidR="00CF4FA1" w:rsidRPr="003538C0" w:rsidRDefault="00CF4FA1" w:rsidP="00CF4FA1">
      <w:pPr>
        <w:pBdr>
          <w:top w:val="nil"/>
          <w:left w:val="nil"/>
          <w:bottom w:val="nil"/>
          <w:right w:val="nil"/>
          <w:between w:val="nil"/>
        </w:pBdr>
        <w:spacing w:after="0" w:line="360" w:lineRule="auto"/>
        <w:ind w:right="-234"/>
        <w:jc w:val="both"/>
        <w:rPr>
          <w:rFonts w:ascii="Palatino Linotype" w:eastAsia="Palatino Linotype" w:hAnsi="Palatino Linotype" w:cs="Palatino Linotype"/>
          <w:sz w:val="24"/>
          <w:szCs w:val="24"/>
        </w:rPr>
      </w:pPr>
    </w:p>
    <w:p w14:paraId="68B7DC5F" w14:textId="77777777" w:rsidR="00CF4FA1" w:rsidRPr="003538C0" w:rsidRDefault="00CF4FA1" w:rsidP="00CF4FA1">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b/>
          <w:sz w:val="24"/>
          <w:szCs w:val="24"/>
        </w:rPr>
        <w:t xml:space="preserve">QUINTO. </w:t>
      </w:r>
      <w:r w:rsidRPr="003538C0">
        <w:rPr>
          <w:rFonts w:ascii="Palatino Linotype" w:eastAsia="Palatino Linotype" w:hAnsi="Palatino Linotype" w:cs="Palatino Linotype"/>
          <w:sz w:val="24"/>
          <w:szCs w:val="24"/>
        </w:rPr>
        <w:t xml:space="preserve">Notifíquese, a la parte </w:t>
      </w:r>
      <w:r w:rsidRPr="003538C0">
        <w:rPr>
          <w:rFonts w:ascii="Palatino Linotype" w:eastAsia="Palatino Linotype" w:hAnsi="Palatino Linotype" w:cs="Palatino Linotype"/>
          <w:b/>
          <w:sz w:val="24"/>
          <w:szCs w:val="24"/>
        </w:rPr>
        <w:t>RECURRENTE</w:t>
      </w:r>
      <w:r w:rsidR="0092650E" w:rsidRPr="003538C0">
        <w:rPr>
          <w:rFonts w:ascii="Palatino Linotype" w:eastAsia="Palatino Linotype" w:hAnsi="Palatino Linotype" w:cs="Palatino Linotype"/>
          <w:sz w:val="24"/>
          <w:szCs w:val="24"/>
        </w:rPr>
        <w:t xml:space="preserve"> que la</w:t>
      </w:r>
      <w:r w:rsidRPr="003538C0">
        <w:rPr>
          <w:rFonts w:ascii="Palatino Linotype" w:eastAsia="Palatino Linotype" w:hAnsi="Palatino Linotype" w:cs="Palatino Linotype"/>
          <w:sz w:val="24"/>
          <w:szCs w:val="24"/>
        </w:rPr>
        <w:t xml:space="preserve"> respuesta que dé el </w:t>
      </w:r>
      <w:r w:rsidRPr="003538C0">
        <w:rPr>
          <w:rFonts w:ascii="Palatino Linotype" w:eastAsia="Palatino Linotype" w:hAnsi="Palatino Linotype" w:cs="Palatino Linotype"/>
          <w:b/>
          <w:sz w:val="24"/>
          <w:szCs w:val="24"/>
        </w:rPr>
        <w:t>SUJETO OBLIGADO</w:t>
      </w:r>
      <w:r w:rsidRPr="003538C0">
        <w:rPr>
          <w:rFonts w:ascii="Palatino Linotype" w:eastAsia="Palatino Linotype" w:hAnsi="Palatino Linotype" w:cs="Palatino Linotype"/>
          <w:sz w:val="24"/>
          <w:szCs w:val="24"/>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08E2304" w14:textId="77777777" w:rsidR="00CF4FA1" w:rsidRPr="003538C0" w:rsidRDefault="00CF4FA1" w:rsidP="00CF4FA1">
      <w:pPr>
        <w:spacing w:after="0" w:line="360" w:lineRule="auto"/>
        <w:jc w:val="both"/>
        <w:rPr>
          <w:rFonts w:ascii="Palatino Linotype" w:eastAsia="Palatino Linotype" w:hAnsi="Palatino Linotype" w:cs="Palatino Linotype"/>
          <w:sz w:val="24"/>
          <w:szCs w:val="24"/>
        </w:rPr>
      </w:pPr>
    </w:p>
    <w:p w14:paraId="17E24FFC" w14:textId="77777777" w:rsidR="00CF4FA1" w:rsidRPr="003538C0" w:rsidRDefault="00CF4FA1" w:rsidP="00CF4FA1">
      <w:pPr>
        <w:spacing w:after="0" w:line="360" w:lineRule="auto"/>
        <w:jc w:val="both"/>
        <w:rPr>
          <w:rFonts w:ascii="Palatino Linotype" w:eastAsia="Palatino Linotype" w:hAnsi="Palatino Linotype" w:cs="Palatino Linotype"/>
          <w:b/>
          <w:sz w:val="24"/>
          <w:szCs w:val="24"/>
        </w:rPr>
      </w:pPr>
      <w:r w:rsidRPr="003538C0">
        <w:rPr>
          <w:rFonts w:ascii="Palatino Linotype" w:eastAsia="Palatino Linotype" w:hAnsi="Palatino Linotype" w:cs="Palatino Linotype"/>
          <w:b/>
          <w:sz w:val="24"/>
          <w:szCs w:val="24"/>
        </w:rPr>
        <w:t xml:space="preserve">SEXTO. GÍRESE </w:t>
      </w:r>
      <w:r w:rsidRPr="003538C0">
        <w:rPr>
          <w:rFonts w:ascii="Palatino Linotype" w:eastAsia="Palatino Linotype" w:hAnsi="Palatino Linotype" w:cs="Palatino Linotype"/>
          <w:sz w:val="24"/>
          <w:szCs w:val="24"/>
        </w:rPr>
        <w:t>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Pr="003538C0">
        <w:rPr>
          <w:rFonts w:ascii="Palatino Linotype" w:eastAsia="Palatino Linotype" w:hAnsi="Palatino Linotype" w:cs="Palatino Linotype"/>
          <w:b/>
          <w:sz w:val="24"/>
          <w:szCs w:val="24"/>
        </w:rPr>
        <w:t xml:space="preserve"> Cuarto </w:t>
      </w:r>
      <w:r w:rsidRPr="003538C0">
        <w:rPr>
          <w:rFonts w:ascii="Palatino Linotype" w:eastAsia="Palatino Linotype" w:hAnsi="Palatino Linotype" w:cs="Palatino Linotype"/>
          <w:sz w:val="24"/>
          <w:szCs w:val="24"/>
        </w:rPr>
        <w:t>de la presente resolución.</w:t>
      </w:r>
      <w:r w:rsidRPr="003538C0">
        <w:rPr>
          <w:rFonts w:ascii="Palatino Linotype" w:eastAsia="Palatino Linotype" w:hAnsi="Palatino Linotype" w:cs="Palatino Linotype"/>
          <w:b/>
          <w:sz w:val="24"/>
          <w:szCs w:val="24"/>
        </w:rPr>
        <w:t xml:space="preserve"> </w:t>
      </w:r>
    </w:p>
    <w:p w14:paraId="60233004" w14:textId="77777777" w:rsidR="00CF4FA1" w:rsidRPr="003538C0" w:rsidRDefault="00CF4FA1" w:rsidP="00CF4FA1">
      <w:pPr>
        <w:spacing w:after="0" w:line="360" w:lineRule="auto"/>
        <w:jc w:val="both"/>
        <w:rPr>
          <w:rFonts w:ascii="Palatino Linotype" w:eastAsia="Palatino Linotype" w:hAnsi="Palatino Linotype" w:cs="Palatino Linotype"/>
          <w:b/>
          <w:sz w:val="24"/>
          <w:szCs w:val="24"/>
        </w:rPr>
      </w:pPr>
    </w:p>
    <w:p w14:paraId="40F5EF81" w14:textId="77777777" w:rsidR="00CF4FA1" w:rsidRPr="003538C0" w:rsidRDefault="00CF4FA1" w:rsidP="00CF4FA1">
      <w:pPr>
        <w:spacing w:after="0" w:line="360" w:lineRule="auto"/>
        <w:jc w:val="both"/>
        <w:rPr>
          <w:rFonts w:ascii="Palatino Linotype" w:eastAsia="Palatino Linotype" w:hAnsi="Palatino Linotype" w:cs="Palatino Linotype"/>
          <w:b/>
          <w:sz w:val="24"/>
          <w:szCs w:val="24"/>
        </w:rPr>
      </w:pPr>
      <w:r w:rsidRPr="003538C0">
        <w:rPr>
          <w:rFonts w:ascii="Palatino Linotype" w:eastAsia="Palatino Linotype" w:hAnsi="Palatino Linotype" w:cs="Palatino Linotype"/>
          <w:b/>
          <w:sz w:val="24"/>
          <w:szCs w:val="24"/>
        </w:rPr>
        <w:t xml:space="preserve">SÉPTIMO. </w:t>
      </w:r>
      <w:r w:rsidRPr="003538C0">
        <w:rPr>
          <w:rFonts w:ascii="Palatino Linotype" w:eastAsia="Palatino Linotype" w:hAnsi="Palatino Linotype" w:cs="Palatino Linotype"/>
          <w:sz w:val="24"/>
          <w:szCs w:val="24"/>
        </w:rPr>
        <w:t>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RPr="003538C0">
        <w:rPr>
          <w:rFonts w:ascii="Palatino Linotype" w:eastAsia="Palatino Linotype" w:hAnsi="Palatino Linotype" w:cs="Palatino Linotype"/>
          <w:b/>
          <w:sz w:val="24"/>
          <w:szCs w:val="24"/>
        </w:rPr>
        <w:t xml:space="preserve">  </w:t>
      </w:r>
    </w:p>
    <w:p w14:paraId="35F210D7" w14:textId="77777777" w:rsidR="0092650E" w:rsidRPr="003538C0" w:rsidRDefault="0092650E" w:rsidP="00CF4FA1">
      <w:pPr>
        <w:spacing w:after="0" w:line="360" w:lineRule="auto"/>
        <w:jc w:val="both"/>
        <w:rPr>
          <w:rFonts w:ascii="Palatino Linotype" w:eastAsia="Palatino Linotype" w:hAnsi="Palatino Linotype" w:cs="Palatino Linotype"/>
          <w:sz w:val="24"/>
          <w:szCs w:val="24"/>
        </w:rPr>
      </w:pPr>
    </w:p>
    <w:p w14:paraId="227CCDF1" w14:textId="77777777" w:rsidR="00CF4FA1" w:rsidRPr="003538C0" w:rsidRDefault="00CF4FA1" w:rsidP="00CF4FA1">
      <w:pPr>
        <w:spacing w:after="0" w:line="360" w:lineRule="auto"/>
        <w:jc w:val="both"/>
        <w:rPr>
          <w:rFonts w:ascii="Palatino Linotype" w:eastAsia="Palatino Linotype" w:hAnsi="Palatino Linotype" w:cs="Palatino Linotype"/>
          <w:sz w:val="24"/>
          <w:szCs w:val="24"/>
        </w:rPr>
      </w:pPr>
      <w:r w:rsidRPr="003538C0">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w:t>
      </w:r>
      <w:r w:rsidR="00D929A0" w:rsidRPr="003538C0">
        <w:rPr>
          <w:rFonts w:ascii="Palatino Linotype" w:eastAsia="Palatino Linotype" w:hAnsi="Palatino Linotype" w:cs="Palatino Linotype"/>
          <w:sz w:val="24"/>
          <w:szCs w:val="24"/>
        </w:rPr>
        <w:t>ÍREZ PEÑA; EN LA TRIGÉSIMA SÉPTIMA</w:t>
      </w:r>
      <w:r w:rsidRPr="003538C0">
        <w:rPr>
          <w:rFonts w:ascii="Palatino Linotype" w:eastAsia="Palatino Linotype" w:hAnsi="Palatino Linotype" w:cs="Palatino Linotype"/>
          <w:sz w:val="24"/>
          <w:szCs w:val="24"/>
        </w:rPr>
        <w:t xml:space="preserve"> SESIÓN ORDINARIA CELEBRADA EL </w:t>
      </w:r>
      <w:r w:rsidR="00D929A0" w:rsidRPr="003538C0">
        <w:rPr>
          <w:rFonts w:ascii="Palatino Linotype" w:eastAsia="Palatino Linotype" w:hAnsi="Palatino Linotype" w:cs="Palatino Linotype"/>
          <w:sz w:val="24"/>
          <w:szCs w:val="24"/>
        </w:rPr>
        <w:t>DOCE</w:t>
      </w:r>
      <w:r w:rsidRPr="003538C0">
        <w:rPr>
          <w:rFonts w:ascii="Palatino Linotype" w:eastAsia="Palatino Linotype" w:hAnsi="Palatino Linotype" w:cs="Palatino Linotype"/>
          <w:sz w:val="24"/>
          <w:szCs w:val="24"/>
        </w:rPr>
        <w:t xml:space="preserve"> DE OCTUBRE DE DOS MIL VEINTIDÓS, ANTE EL SECRETARIO TÉCNICO DEL PLENO ALEXIS TAPIA RAMÍREZ.</w:t>
      </w:r>
    </w:p>
    <w:p w14:paraId="28F5551E" w14:textId="77777777" w:rsidR="00690548" w:rsidRPr="003538C0" w:rsidRDefault="00690548" w:rsidP="00690548">
      <w:pPr>
        <w:spacing w:before="240" w:after="0" w:line="360" w:lineRule="auto"/>
        <w:jc w:val="both"/>
        <w:rPr>
          <w:rFonts w:ascii="Palatino Linotype" w:eastAsia="Palatino Linotype" w:hAnsi="Palatino Linotype" w:cs="Palatino Linotype"/>
          <w:sz w:val="24"/>
          <w:szCs w:val="24"/>
        </w:rPr>
      </w:pPr>
    </w:p>
    <w:p w14:paraId="66CF2D13" w14:textId="77777777" w:rsidR="00690548" w:rsidRPr="003538C0" w:rsidRDefault="00690548" w:rsidP="000F1735">
      <w:pPr>
        <w:spacing w:line="360" w:lineRule="auto"/>
        <w:jc w:val="both"/>
        <w:rPr>
          <w:rFonts w:ascii="Palatino Linotype" w:eastAsia="Palatino Linotype" w:hAnsi="Palatino Linotype" w:cs="Palatino Linotype"/>
          <w:sz w:val="24"/>
          <w:szCs w:val="24"/>
        </w:rPr>
      </w:pPr>
      <w:bookmarkStart w:id="3" w:name="_GoBack"/>
      <w:bookmarkEnd w:id="3"/>
    </w:p>
    <w:sectPr w:rsidR="00690548" w:rsidRPr="003538C0" w:rsidSect="00CD2BAA">
      <w:headerReference w:type="default" r:id="rId10"/>
      <w:footerReference w:type="default" r:id="rId11"/>
      <w:headerReference w:type="first" r:id="rId12"/>
      <w:footerReference w:type="firs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9582F" w14:textId="77777777" w:rsidR="005375E7" w:rsidRDefault="005375E7" w:rsidP="00CD2BAA">
      <w:pPr>
        <w:spacing w:after="0" w:line="240" w:lineRule="auto"/>
      </w:pPr>
      <w:r>
        <w:separator/>
      </w:r>
    </w:p>
  </w:endnote>
  <w:endnote w:type="continuationSeparator" w:id="0">
    <w:p w14:paraId="4C233114" w14:textId="77777777" w:rsidR="005375E7" w:rsidRDefault="005375E7" w:rsidP="00CD2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C08BD" w14:textId="77777777" w:rsidR="00CF4FA1" w:rsidRDefault="00CF4FA1" w:rsidP="00CF4FA1">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F4F07">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F4F07">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01C81421" w14:textId="77777777" w:rsidR="00CF4FA1" w:rsidRDefault="00CF4F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9277F" w14:textId="77777777" w:rsidR="00CF4FA1" w:rsidRDefault="00CF4FA1" w:rsidP="00CF4FA1">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F4F07">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F4F07">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73AD1D4F" w14:textId="77777777" w:rsidR="00CF4FA1" w:rsidRDefault="00CF4F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487FE" w14:textId="77777777" w:rsidR="005375E7" w:rsidRDefault="005375E7" w:rsidP="00CD2BAA">
      <w:pPr>
        <w:spacing w:after="0" w:line="240" w:lineRule="auto"/>
      </w:pPr>
      <w:r>
        <w:separator/>
      </w:r>
    </w:p>
  </w:footnote>
  <w:footnote w:type="continuationSeparator" w:id="0">
    <w:p w14:paraId="59CC9612" w14:textId="77777777" w:rsidR="005375E7" w:rsidRDefault="005375E7" w:rsidP="00CD2BAA">
      <w:pPr>
        <w:spacing w:after="0" w:line="240" w:lineRule="auto"/>
      </w:pPr>
      <w:r>
        <w:continuationSeparator/>
      </w:r>
    </w:p>
  </w:footnote>
  <w:footnote w:id="1">
    <w:p w14:paraId="307CA53A" w14:textId="77777777" w:rsidR="004F7A14" w:rsidRDefault="004F7A14" w:rsidP="004F7A14">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38DB6D73" w14:textId="77777777" w:rsidR="004F7A14" w:rsidRDefault="004F7A14" w:rsidP="004F7A14">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5502A446" w14:textId="77777777" w:rsidR="004F7A14" w:rsidRDefault="004F7A14" w:rsidP="004F7A14">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616506EA" w14:textId="77777777" w:rsidR="00B96ADC" w:rsidRDefault="00B96ADC" w:rsidP="00B96AD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CD2BAA" w14:paraId="58C7B7AA" w14:textId="77777777" w:rsidTr="00BB0E93">
      <w:trPr>
        <w:trHeight w:val="244"/>
      </w:trPr>
      <w:tc>
        <w:tcPr>
          <w:tcW w:w="5684" w:type="dxa"/>
        </w:tcPr>
        <w:p w14:paraId="659D3DFA" w14:textId="77777777" w:rsidR="00CD2BAA" w:rsidRDefault="00CD2BAA" w:rsidP="00CD2BA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5C5F8D97" w14:textId="77777777" w:rsidR="00CD2BAA" w:rsidRDefault="00CD2BAA" w:rsidP="00CF4FA1">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087</w:t>
          </w:r>
          <w:r w:rsidR="00CF4FA1">
            <w:rPr>
              <w:rFonts w:ascii="Palatino Linotype" w:eastAsia="Palatino Linotype" w:hAnsi="Palatino Linotype" w:cs="Palatino Linotype"/>
              <w:sz w:val="24"/>
              <w:szCs w:val="24"/>
            </w:rPr>
            <w:t>4</w:t>
          </w:r>
          <w:r>
            <w:rPr>
              <w:rFonts w:ascii="Palatino Linotype" w:eastAsia="Palatino Linotype" w:hAnsi="Palatino Linotype" w:cs="Palatino Linotype"/>
              <w:sz w:val="24"/>
              <w:szCs w:val="24"/>
            </w:rPr>
            <w:t>9/INFOEM/IP/RR/2022</w:t>
          </w:r>
        </w:p>
      </w:tc>
    </w:tr>
    <w:tr w:rsidR="00CD2BAA" w14:paraId="38F968D3" w14:textId="77777777" w:rsidTr="00BB0E93">
      <w:trPr>
        <w:trHeight w:val="210"/>
      </w:trPr>
      <w:tc>
        <w:tcPr>
          <w:tcW w:w="5684" w:type="dxa"/>
        </w:tcPr>
        <w:p w14:paraId="00DDDE7C" w14:textId="77777777" w:rsidR="00CD2BAA" w:rsidRDefault="00CD2BAA" w:rsidP="00CD2BA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5AACF9D6" w14:textId="77777777" w:rsidR="00CD2BAA" w:rsidRDefault="00CD2BAA" w:rsidP="00CD2BAA">
          <w:pPr>
            <w:spacing w:after="120"/>
            <w:ind w:left="-486" w:right="214" w:firstLine="567"/>
            <w:jc w:val="right"/>
            <w:rPr>
              <w:rFonts w:ascii="Palatino Linotype" w:eastAsia="Palatino Linotype" w:hAnsi="Palatino Linotype" w:cs="Palatino Linotype"/>
              <w:sz w:val="24"/>
              <w:szCs w:val="24"/>
            </w:rPr>
          </w:pPr>
        </w:p>
      </w:tc>
    </w:tr>
    <w:tr w:rsidR="00CD2BAA" w14:paraId="302F4616" w14:textId="77777777" w:rsidTr="00BB0E93">
      <w:trPr>
        <w:trHeight w:val="261"/>
      </w:trPr>
      <w:tc>
        <w:tcPr>
          <w:tcW w:w="5684" w:type="dxa"/>
        </w:tcPr>
        <w:p w14:paraId="5337430A" w14:textId="77777777" w:rsidR="00CD2BAA" w:rsidRDefault="00CD2BAA" w:rsidP="00CD2BA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0A13AF0D" w14:textId="77777777" w:rsidR="00CD2BAA" w:rsidRDefault="00CD2BAA" w:rsidP="00CD2BAA">
          <w:pPr>
            <w:spacing w:after="0"/>
            <w:ind w:left="-495" w:right="214" w:firstLine="567"/>
            <w:jc w:val="right"/>
            <w:rPr>
              <w:rFonts w:ascii="Palatino Linotype" w:eastAsia="Palatino Linotype" w:hAnsi="Palatino Linotype" w:cs="Palatino Linotype"/>
              <w:sz w:val="24"/>
              <w:szCs w:val="24"/>
            </w:rPr>
          </w:pPr>
          <w:r w:rsidRPr="00394B28">
            <w:rPr>
              <w:rFonts w:ascii="Palatino Linotype" w:eastAsia="Palatino Linotype" w:hAnsi="Palatino Linotype" w:cs="Palatino Linotype"/>
              <w:sz w:val="24"/>
              <w:szCs w:val="24"/>
            </w:rPr>
            <w:t>Ayuntamiento de Ecatepec de Morelos</w:t>
          </w:r>
        </w:p>
      </w:tc>
    </w:tr>
    <w:tr w:rsidR="00CD2BAA" w14:paraId="6C181478" w14:textId="77777777" w:rsidTr="00BB0E93">
      <w:trPr>
        <w:trHeight w:val="368"/>
      </w:trPr>
      <w:tc>
        <w:tcPr>
          <w:tcW w:w="5684" w:type="dxa"/>
        </w:tcPr>
        <w:p w14:paraId="20A094F5" w14:textId="77777777" w:rsidR="00CD2BAA" w:rsidRDefault="00CD2BAA" w:rsidP="00CD2BA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4B7F421C" w14:textId="77777777" w:rsidR="00CD2BAA" w:rsidRDefault="00CD2BAA" w:rsidP="00CD2BA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2D639CD" w14:textId="77777777" w:rsidR="00CD2BAA" w:rsidRDefault="00CF4FA1">
    <w:pPr>
      <w:pStyle w:val="Encabezado"/>
    </w:pPr>
    <w:r>
      <w:rPr>
        <w:noProof/>
        <w:lang w:eastAsia="es-MX"/>
      </w:rPr>
      <w:drawing>
        <wp:anchor distT="0" distB="0" distL="0" distR="0" simplePos="0" relativeHeight="251659264" behindDoc="1" locked="0" layoutInCell="1" hidden="0" allowOverlap="1" wp14:anchorId="03BC18B1" wp14:editId="620BE33D">
          <wp:simplePos x="0" y="0"/>
          <wp:positionH relativeFrom="column">
            <wp:posOffset>-759677</wp:posOffset>
          </wp:positionH>
          <wp:positionV relativeFrom="paragraph">
            <wp:posOffset>-1502410</wp:posOffset>
          </wp:positionV>
          <wp:extent cx="7753350" cy="9942731"/>
          <wp:effectExtent l="0" t="0" r="0" b="0"/>
          <wp:wrapNone/>
          <wp:docPr id="3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CD2BAA" w14:paraId="473DAE85" w14:textId="77777777" w:rsidTr="00BB0E93">
      <w:trPr>
        <w:trHeight w:val="244"/>
      </w:trPr>
      <w:tc>
        <w:tcPr>
          <w:tcW w:w="5684" w:type="dxa"/>
        </w:tcPr>
        <w:p w14:paraId="172F13ED" w14:textId="77777777" w:rsidR="00CD2BAA" w:rsidRDefault="00CD2BAA" w:rsidP="00CD2BA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041C282B" w14:textId="77777777" w:rsidR="00CD2BAA" w:rsidRDefault="00CD2BAA" w:rsidP="0010665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087</w:t>
          </w:r>
          <w:r w:rsidR="00106659">
            <w:rPr>
              <w:rFonts w:ascii="Palatino Linotype" w:eastAsia="Palatino Linotype" w:hAnsi="Palatino Linotype" w:cs="Palatino Linotype"/>
              <w:sz w:val="24"/>
              <w:szCs w:val="24"/>
            </w:rPr>
            <w:t>4</w:t>
          </w:r>
          <w:r>
            <w:rPr>
              <w:rFonts w:ascii="Palatino Linotype" w:eastAsia="Palatino Linotype" w:hAnsi="Palatino Linotype" w:cs="Palatino Linotype"/>
              <w:sz w:val="24"/>
              <w:szCs w:val="24"/>
            </w:rPr>
            <w:t>9/INFOEM/IP/RR/2022</w:t>
          </w:r>
        </w:p>
      </w:tc>
    </w:tr>
    <w:tr w:rsidR="00CD2BAA" w14:paraId="7FE218F0" w14:textId="77777777" w:rsidTr="00BB0E93">
      <w:trPr>
        <w:trHeight w:val="210"/>
      </w:trPr>
      <w:tc>
        <w:tcPr>
          <w:tcW w:w="5684" w:type="dxa"/>
        </w:tcPr>
        <w:p w14:paraId="245D074C" w14:textId="77777777" w:rsidR="00CD2BAA" w:rsidRDefault="00CD2BAA" w:rsidP="00CD2BA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1FEDC66D" w14:textId="7F862C33" w:rsidR="00CD2BAA" w:rsidRDefault="002F4F07" w:rsidP="002F4F0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 XXXXXXXX XXXXXX XXXXXXXX</w:t>
          </w:r>
        </w:p>
      </w:tc>
    </w:tr>
    <w:tr w:rsidR="00CD2BAA" w14:paraId="3A0A425D" w14:textId="77777777" w:rsidTr="00BB0E93">
      <w:trPr>
        <w:trHeight w:val="261"/>
      </w:trPr>
      <w:tc>
        <w:tcPr>
          <w:tcW w:w="5684" w:type="dxa"/>
        </w:tcPr>
        <w:p w14:paraId="1FE3AB1F" w14:textId="77777777" w:rsidR="00CD2BAA" w:rsidRDefault="00CD2BAA" w:rsidP="00CD2BA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7C288885" w14:textId="77777777" w:rsidR="00CD2BAA" w:rsidRDefault="00CD2BAA" w:rsidP="00CD2BAA">
          <w:pPr>
            <w:spacing w:after="0"/>
            <w:ind w:left="-495" w:right="214" w:firstLine="567"/>
            <w:jc w:val="right"/>
            <w:rPr>
              <w:rFonts w:ascii="Palatino Linotype" w:eastAsia="Palatino Linotype" w:hAnsi="Palatino Linotype" w:cs="Palatino Linotype"/>
              <w:sz w:val="24"/>
              <w:szCs w:val="24"/>
            </w:rPr>
          </w:pPr>
          <w:r w:rsidRPr="00394B28">
            <w:rPr>
              <w:rFonts w:ascii="Palatino Linotype" w:eastAsia="Palatino Linotype" w:hAnsi="Palatino Linotype" w:cs="Palatino Linotype"/>
              <w:sz w:val="24"/>
              <w:szCs w:val="24"/>
            </w:rPr>
            <w:t>Ayuntamiento de Ecatepec de Morelos</w:t>
          </w:r>
        </w:p>
      </w:tc>
    </w:tr>
    <w:tr w:rsidR="00CD2BAA" w14:paraId="7CF4616E" w14:textId="77777777" w:rsidTr="00BB0E93">
      <w:trPr>
        <w:trHeight w:val="368"/>
      </w:trPr>
      <w:tc>
        <w:tcPr>
          <w:tcW w:w="5684" w:type="dxa"/>
        </w:tcPr>
        <w:p w14:paraId="36A0C0ED" w14:textId="77777777" w:rsidR="00CD2BAA" w:rsidRDefault="00CD2BAA" w:rsidP="00CD2BA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50162774" w14:textId="77777777" w:rsidR="00CD2BAA" w:rsidRDefault="00CD2BAA" w:rsidP="00CD2BA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64AC66D" w14:textId="77777777" w:rsidR="00CD2BAA" w:rsidRDefault="004A26B6">
    <w:pPr>
      <w:pStyle w:val="Encabezado"/>
    </w:pPr>
    <w:r>
      <w:rPr>
        <w:noProof/>
        <w:lang w:eastAsia="es-MX"/>
      </w:rPr>
      <w:drawing>
        <wp:anchor distT="0" distB="0" distL="0" distR="0" simplePos="0" relativeHeight="251661312" behindDoc="1" locked="0" layoutInCell="1" hidden="0" allowOverlap="1" wp14:anchorId="7D198A0D" wp14:editId="57D20E55">
          <wp:simplePos x="0" y="0"/>
          <wp:positionH relativeFrom="column">
            <wp:posOffset>-836295</wp:posOffset>
          </wp:positionH>
          <wp:positionV relativeFrom="paragraph">
            <wp:posOffset>-1473835</wp:posOffset>
          </wp:positionV>
          <wp:extent cx="7753350" cy="9942731"/>
          <wp:effectExtent l="0" t="0" r="0" b="0"/>
          <wp:wrapNone/>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F46C6"/>
    <w:multiLevelType w:val="multilevel"/>
    <w:tmpl w:val="DFF2ED1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8040105"/>
    <w:multiLevelType w:val="hybridMultilevel"/>
    <w:tmpl w:val="1F403386"/>
    <w:lvl w:ilvl="0" w:tplc="9EE8947E">
      <w:start w:val="7"/>
      <w:numFmt w:val="bullet"/>
      <w:lvlText w:val="-"/>
      <w:lvlJc w:val="left"/>
      <w:pPr>
        <w:ind w:left="720" w:hanging="360"/>
      </w:pPr>
      <w:rPr>
        <w:rFonts w:ascii="Palatino Linotype" w:eastAsia="Calibri" w:hAnsi="Palatino Linotype" w:cs="Calibri"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BAA"/>
    <w:rsid w:val="00043ABC"/>
    <w:rsid w:val="000B5025"/>
    <w:rsid w:val="000F1735"/>
    <w:rsid w:val="001065B4"/>
    <w:rsid w:val="00106659"/>
    <w:rsid w:val="001108C4"/>
    <w:rsid w:val="00147496"/>
    <w:rsid w:val="00152A3C"/>
    <w:rsid w:val="0018775E"/>
    <w:rsid w:val="0020586E"/>
    <w:rsid w:val="00205A95"/>
    <w:rsid w:val="002201CC"/>
    <w:rsid w:val="00236397"/>
    <w:rsid w:val="002B4050"/>
    <w:rsid w:val="002C7AED"/>
    <w:rsid w:val="002F4F07"/>
    <w:rsid w:val="003538C0"/>
    <w:rsid w:val="00415C6F"/>
    <w:rsid w:val="0045017B"/>
    <w:rsid w:val="004A26B6"/>
    <w:rsid w:val="004F7A14"/>
    <w:rsid w:val="005375E7"/>
    <w:rsid w:val="00590404"/>
    <w:rsid w:val="005B5DFB"/>
    <w:rsid w:val="00606002"/>
    <w:rsid w:val="00611AAA"/>
    <w:rsid w:val="00646F86"/>
    <w:rsid w:val="00662D32"/>
    <w:rsid w:val="00690548"/>
    <w:rsid w:val="006B2AED"/>
    <w:rsid w:val="00781F49"/>
    <w:rsid w:val="0092650E"/>
    <w:rsid w:val="009F1E81"/>
    <w:rsid w:val="00B322EC"/>
    <w:rsid w:val="00B96ADC"/>
    <w:rsid w:val="00C47CBC"/>
    <w:rsid w:val="00CD2BAA"/>
    <w:rsid w:val="00CF4FA1"/>
    <w:rsid w:val="00D261FF"/>
    <w:rsid w:val="00D52189"/>
    <w:rsid w:val="00D752E2"/>
    <w:rsid w:val="00D929A0"/>
    <w:rsid w:val="00E17A49"/>
    <w:rsid w:val="00E27E40"/>
    <w:rsid w:val="00E55880"/>
    <w:rsid w:val="00F26052"/>
    <w:rsid w:val="00F5261B"/>
    <w:rsid w:val="00FB0C11"/>
    <w:rsid w:val="00FD7C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256EA"/>
  <w15:chartTrackingRefBased/>
  <w15:docId w15:val="{589E30AF-C1DC-432B-A215-41BF7706C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BAA"/>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2BAA"/>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CD2BAA"/>
  </w:style>
  <w:style w:type="paragraph" w:styleId="Piedepgina">
    <w:name w:val="footer"/>
    <w:basedOn w:val="Normal"/>
    <w:link w:val="PiedepginaCar"/>
    <w:uiPriority w:val="99"/>
    <w:unhideWhenUsed/>
    <w:rsid w:val="00CD2BAA"/>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CD2BAA"/>
  </w:style>
  <w:style w:type="character" w:styleId="Hipervnculo">
    <w:name w:val="Hyperlink"/>
    <w:basedOn w:val="Fuentedeprrafopredeter"/>
    <w:uiPriority w:val="99"/>
    <w:unhideWhenUsed/>
    <w:rsid w:val="00FB0C11"/>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F7A14"/>
    <w:pPr>
      <w:ind w:left="720"/>
      <w:contextualSpacing/>
    </w:pPr>
  </w:style>
  <w:style w:type="character" w:styleId="Hipervnculovisitado">
    <w:name w:val="FollowedHyperlink"/>
    <w:basedOn w:val="Fuentedeprrafopredeter"/>
    <w:uiPriority w:val="99"/>
    <w:semiHidden/>
    <w:unhideWhenUsed/>
    <w:rsid w:val="00152A3C"/>
    <w:rPr>
      <w:color w:val="954F72" w:themeColor="followed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752E2"/>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aimex.org.mx/saimex/solicitud/downloadAttach/1471952.page"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6358</Words>
  <Characters>34969</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cp:lastModifiedBy>
  <cp:revision>2</cp:revision>
  <cp:lastPrinted>2022-10-13T15:32:00Z</cp:lastPrinted>
  <dcterms:created xsi:type="dcterms:W3CDTF">2022-11-03T18:54:00Z</dcterms:created>
  <dcterms:modified xsi:type="dcterms:W3CDTF">2022-11-03T18:54:00Z</dcterms:modified>
</cp:coreProperties>
</file>