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76CC" w14:textId="77777777" w:rsidR="006B4EAC" w:rsidRDefault="006B4EAC">
      <w:pPr>
        <w:widowControl w:val="0"/>
        <w:pBdr>
          <w:top w:val="nil"/>
          <w:left w:val="nil"/>
          <w:bottom w:val="nil"/>
          <w:right w:val="nil"/>
          <w:between w:val="nil"/>
        </w:pBdr>
        <w:spacing w:line="276" w:lineRule="auto"/>
      </w:pPr>
    </w:p>
    <w:p w14:paraId="76763A96" w14:textId="77777777" w:rsidR="005359FD" w:rsidRDefault="005359FD">
      <w:pPr>
        <w:widowControl w:val="0"/>
        <w:pBdr>
          <w:top w:val="nil"/>
          <w:left w:val="nil"/>
          <w:bottom w:val="nil"/>
          <w:right w:val="nil"/>
          <w:between w:val="nil"/>
        </w:pBdr>
        <w:spacing w:line="276" w:lineRule="auto"/>
      </w:pPr>
    </w:p>
    <w:p w14:paraId="30B27B76" w14:textId="77777777" w:rsidR="005359FD" w:rsidRDefault="005359FD">
      <w:pPr>
        <w:widowControl w:val="0"/>
        <w:pBdr>
          <w:top w:val="nil"/>
          <w:left w:val="nil"/>
          <w:bottom w:val="nil"/>
          <w:right w:val="nil"/>
          <w:between w:val="nil"/>
        </w:pBdr>
        <w:spacing w:line="276" w:lineRule="auto"/>
      </w:pPr>
    </w:p>
    <w:p w14:paraId="4A373828" w14:textId="77777777" w:rsidR="006C478E" w:rsidRPr="00CF1F2E" w:rsidRDefault="006C478E" w:rsidP="006C478E">
      <w:pPr>
        <w:spacing w:line="360" w:lineRule="auto"/>
        <w:jc w:val="both"/>
        <w:rPr>
          <w:rFonts w:ascii="Palatino Linotype" w:hAnsi="Palatino Linotype"/>
        </w:rPr>
      </w:pPr>
      <w:r w:rsidRPr="00CF1F2E">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43722BA6" w14:textId="77777777" w:rsidR="006B4EAC" w:rsidRPr="00CF1F2E" w:rsidRDefault="006B4EAC">
      <w:pPr>
        <w:spacing w:line="360" w:lineRule="auto"/>
        <w:jc w:val="both"/>
        <w:rPr>
          <w:rFonts w:ascii="Palatino Linotype" w:eastAsia="Palatino Linotype" w:hAnsi="Palatino Linotype" w:cs="Palatino Linotype"/>
        </w:rPr>
      </w:pPr>
    </w:p>
    <w:p w14:paraId="0E016656"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b/>
          <w:sz w:val="28"/>
          <w:szCs w:val="28"/>
        </w:rPr>
        <w:t>VISTO</w:t>
      </w:r>
      <w:r w:rsidRPr="00CF1F2E">
        <w:rPr>
          <w:rFonts w:ascii="Palatino Linotype" w:eastAsia="Palatino Linotype" w:hAnsi="Palatino Linotype" w:cs="Palatino Linotype"/>
        </w:rPr>
        <w:t xml:space="preserve"> el expediente formado con motivo del Recurso de Revisión </w:t>
      </w:r>
      <w:r w:rsidRPr="00CF1F2E">
        <w:rPr>
          <w:rFonts w:ascii="Palatino Linotype" w:eastAsia="Palatino Linotype" w:hAnsi="Palatino Linotype" w:cs="Palatino Linotype"/>
          <w:b/>
        </w:rPr>
        <w:t xml:space="preserve">04047/INFOEM/IP/RR/2022, </w:t>
      </w:r>
      <w:r w:rsidRPr="00CF1F2E">
        <w:rPr>
          <w:rFonts w:ascii="Palatino Linotype" w:eastAsia="Palatino Linotype" w:hAnsi="Palatino Linotype" w:cs="Palatino Linotype"/>
        </w:rPr>
        <w:t xml:space="preserve">promovido por un particular de forma anónima, a quien en lo sucesivo se le denominara como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en contra de la respuesta del </w:t>
      </w:r>
      <w:r w:rsidRPr="00CF1F2E">
        <w:rPr>
          <w:rFonts w:ascii="Palatino Linotype" w:eastAsia="Palatino Linotype" w:hAnsi="Palatino Linotype" w:cs="Palatino Linotype"/>
          <w:b/>
        </w:rPr>
        <w:t xml:space="preserve">Organismo Descentralizado de Agua Potable Alcantarillado y Saneamiento de Nezahualcóyotl (ODAPAS), </w:t>
      </w:r>
      <w:r w:rsidRPr="00CF1F2E">
        <w:rPr>
          <w:rFonts w:ascii="Palatino Linotype" w:eastAsia="Palatino Linotype" w:hAnsi="Palatino Linotype" w:cs="Palatino Linotype"/>
        </w:rPr>
        <w:t xml:space="preserve">en lo subsecuente se le denominará </w:t>
      </w:r>
      <w:r w:rsidRPr="00CF1F2E">
        <w:rPr>
          <w:rFonts w:ascii="Palatino Linotype" w:eastAsia="Palatino Linotype" w:hAnsi="Palatino Linotype" w:cs="Palatino Linotype"/>
          <w:b/>
        </w:rPr>
        <w:t xml:space="preserve">EL SUJETO OBLIGADO, </w:t>
      </w:r>
      <w:r w:rsidRPr="00CF1F2E">
        <w:rPr>
          <w:rFonts w:ascii="Palatino Linotype" w:eastAsia="Palatino Linotype" w:hAnsi="Palatino Linotype" w:cs="Palatino Linotype"/>
        </w:rPr>
        <w:t>se procede a dictar la presente resolución con base en lo siguiente:</w:t>
      </w:r>
    </w:p>
    <w:p w14:paraId="66BF9B5A" w14:textId="77777777" w:rsidR="006B4EAC" w:rsidRPr="00CF1F2E" w:rsidRDefault="006B4EAC">
      <w:pPr>
        <w:spacing w:line="360" w:lineRule="auto"/>
        <w:jc w:val="both"/>
        <w:rPr>
          <w:rFonts w:ascii="Palatino Linotype" w:eastAsia="Palatino Linotype" w:hAnsi="Palatino Linotype" w:cs="Palatino Linotype"/>
          <w:b/>
        </w:rPr>
      </w:pPr>
    </w:p>
    <w:p w14:paraId="5FB7A8AE" w14:textId="77777777" w:rsidR="006B4EAC" w:rsidRPr="00CF1F2E" w:rsidRDefault="00401A1E">
      <w:pPr>
        <w:jc w:val="center"/>
        <w:rPr>
          <w:rFonts w:ascii="Palatino Linotype" w:eastAsia="Palatino Linotype" w:hAnsi="Palatino Linotype" w:cs="Palatino Linotype"/>
          <w:b/>
          <w:sz w:val="28"/>
          <w:szCs w:val="28"/>
        </w:rPr>
      </w:pPr>
      <w:r w:rsidRPr="00CF1F2E">
        <w:rPr>
          <w:rFonts w:ascii="Palatino Linotype" w:eastAsia="Palatino Linotype" w:hAnsi="Palatino Linotype" w:cs="Palatino Linotype"/>
          <w:b/>
          <w:sz w:val="28"/>
          <w:szCs w:val="28"/>
        </w:rPr>
        <w:t>ANTECEDENTES</w:t>
      </w:r>
    </w:p>
    <w:p w14:paraId="23CF0503" w14:textId="77777777" w:rsidR="006B4EAC" w:rsidRPr="00CF1F2E" w:rsidRDefault="006B4EAC">
      <w:pPr>
        <w:rPr>
          <w:rFonts w:ascii="Palatino Linotype" w:eastAsia="Palatino Linotype" w:hAnsi="Palatino Linotype" w:cs="Palatino Linotype"/>
          <w:b/>
        </w:rPr>
      </w:pPr>
    </w:p>
    <w:p w14:paraId="580009D9" w14:textId="77777777" w:rsidR="006B4EAC" w:rsidRPr="00CF1F2E" w:rsidRDefault="00401A1E">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F1F2E">
        <w:rPr>
          <w:rFonts w:ascii="Palatino Linotype" w:eastAsia="Palatino Linotype" w:hAnsi="Palatino Linotype" w:cs="Palatino Linotype"/>
          <w:b/>
          <w:sz w:val="28"/>
          <w:szCs w:val="28"/>
        </w:rPr>
        <w:t>I.</w:t>
      </w:r>
      <w:r w:rsidRPr="00CF1F2E">
        <w:rPr>
          <w:rFonts w:ascii="Palatino Linotype" w:eastAsia="Palatino Linotype" w:hAnsi="Palatino Linotype" w:cs="Palatino Linotype"/>
          <w:b/>
        </w:rPr>
        <w:t xml:space="preserve"> </w:t>
      </w:r>
      <w:r w:rsidRPr="00CF1F2E">
        <w:rPr>
          <w:rFonts w:ascii="Palatino Linotype" w:eastAsia="Palatino Linotype" w:hAnsi="Palatino Linotype" w:cs="Palatino Linotype"/>
          <w:b/>
          <w:sz w:val="28"/>
          <w:szCs w:val="28"/>
        </w:rPr>
        <w:t>De la Solicitud de Información</w:t>
      </w:r>
    </w:p>
    <w:p w14:paraId="1486A7CC" w14:textId="77777777" w:rsidR="006B4EAC" w:rsidRPr="00CF1F2E" w:rsidRDefault="00401A1E">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CF1F2E">
        <w:rPr>
          <w:rFonts w:ascii="Palatino Linotype" w:eastAsia="Palatino Linotype" w:hAnsi="Palatino Linotype" w:cs="Palatino Linotype"/>
        </w:rPr>
        <w:t xml:space="preserve"> En fecha </w:t>
      </w:r>
      <w:r w:rsidRPr="00CF1F2E">
        <w:rPr>
          <w:rFonts w:ascii="Palatino Linotype" w:eastAsia="Palatino Linotype" w:hAnsi="Palatino Linotype" w:cs="Palatino Linotype"/>
          <w:b/>
        </w:rPr>
        <w:t>dieciséis de febrero de dos mil veintidós</w:t>
      </w:r>
      <w:r w:rsidRPr="00CF1F2E">
        <w:rPr>
          <w:rFonts w:ascii="Palatino Linotype" w:eastAsia="Palatino Linotype" w:hAnsi="Palatino Linotype" w:cs="Palatino Linotype"/>
        </w:rPr>
        <w:t xml:space="preserve">,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presentó a través del Sistema de Acceso a la Información Mexiquense, en lo subsecuente </w:t>
      </w:r>
      <w:r w:rsidRPr="00CF1F2E">
        <w:rPr>
          <w:rFonts w:ascii="Palatino Linotype" w:eastAsia="Palatino Linotype" w:hAnsi="Palatino Linotype" w:cs="Palatino Linotype"/>
          <w:b/>
        </w:rPr>
        <w:t>EL SAIMEX</w:t>
      </w:r>
      <w:r w:rsidRPr="00CF1F2E">
        <w:rPr>
          <w:rFonts w:ascii="Palatino Linotype" w:eastAsia="Palatino Linotype" w:hAnsi="Palatino Linotype" w:cs="Palatino Linotype"/>
        </w:rPr>
        <w:t xml:space="preserve"> ante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la solicitud de acceso a la información </w:t>
      </w:r>
      <w:r w:rsidRPr="00CF1F2E">
        <w:rPr>
          <w:rFonts w:ascii="Palatino Linotype" w:eastAsia="Palatino Linotype" w:hAnsi="Palatino Linotype" w:cs="Palatino Linotype"/>
        </w:rPr>
        <w:lastRenderedPageBreak/>
        <w:t xml:space="preserve">pública, a la que se le asignó el número de expediente </w:t>
      </w:r>
      <w:r w:rsidRPr="00CF1F2E">
        <w:rPr>
          <w:rFonts w:ascii="Palatino Linotype" w:eastAsia="Palatino Linotype" w:hAnsi="Palatino Linotype" w:cs="Palatino Linotype"/>
          <w:b/>
        </w:rPr>
        <w:t xml:space="preserve">00017/OASNEZA/IP/2022, </w:t>
      </w:r>
      <w:r w:rsidRPr="00CF1F2E">
        <w:rPr>
          <w:rFonts w:ascii="Palatino Linotype" w:eastAsia="Palatino Linotype" w:hAnsi="Palatino Linotype" w:cs="Palatino Linotype"/>
        </w:rPr>
        <w:t>requirió, lo siguiente:</w:t>
      </w:r>
    </w:p>
    <w:p w14:paraId="0CDFE80C" w14:textId="77777777" w:rsidR="006B4EAC" w:rsidRPr="00CF1F2E" w:rsidRDefault="00401A1E">
      <w:pPr>
        <w:ind w:left="850" w:right="899"/>
        <w:jc w:val="both"/>
        <w:rPr>
          <w:rFonts w:ascii="Palatino Linotype" w:eastAsia="Palatino Linotype" w:hAnsi="Palatino Linotype" w:cs="Palatino Linotype"/>
          <w:sz w:val="22"/>
          <w:szCs w:val="22"/>
        </w:rPr>
      </w:pPr>
      <w:r w:rsidRPr="00CF1F2E">
        <w:rPr>
          <w:rFonts w:ascii="Palatino Linotype" w:eastAsia="Palatino Linotype" w:hAnsi="Palatino Linotype" w:cs="Palatino Linotype"/>
          <w:i/>
          <w:sz w:val="22"/>
          <w:szCs w:val="22"/>
        </w:rPr>
        <w:t>“solicito la ultima balanza de comprobacion detallada acumulada trimestral de ese odapas” (sic)</w:t>
      </w:r>
    </w:p>
    <w:p w14:paraId="04D5CAE9" w14:textId="77777777" w:rsidR="006B4EAC" w:rsidRPr="00CF1F2E" w:rsidRDefault="006B4EAC">
      <w:pPr>
        <w:tabs>
          <w:tab w:val="left" w:pos="851"/>
        </w:tabs>
        <w:ind w:right="901"/>
        <w:jc w:val="both"/>
        <w:rPr>
          <w:rFonts w:ascii="Palatino Linotype" w:eastAsia="Palatino Linotype" w:hAnsi="Palatino Linotype" w:cs="Palatino Linotype"/>
          <w:sz w:val="22"/>
          <w:szCs w:val="22"/>
        </w:rPr>
      </w:pPr>
    </w:p>
    <w:p w14:paraId="18D6091D" w14:textId="77777777" w:rsidR="006B4EAC" w:rsidRPr="00CF1F2E" w:rsidRDefault="00401A1E">
      <w:pPr>
        <w:widowControl w:val="0"/>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 xml:space="preserve">MODALIDAD DE ENTREGA: </w:t>
      </w:r>
      <w:r w:rsidRPr="00CF1F2E">
        <w:rPr>
          <w:rFonts w:ascii="Palatino Linotype" w:eastAsia="Palatino Linotype" w:hAnsi="Palatino Linotype" w:cs="Palatino Linotype"/>
        </w:rPr>
        <w:t xml:space="preserve">Vía </w:t>
      </w:r>
      <w:r w:rsidRPr="00CF1F2E">
        <w:rPr>
          <w:rFonts w:ascii="Palatino Linotype" w:eastAsia="Palatino Linotype" w:hAnsi="Palatino Linotype" w:cs="Palatino Linotype"/>
          <w:b/>
        </w:rPr>
        <w:t>SAIMEX.</w:t>
      </w:r>
    </w:p>
    <w:p w14:paraId="6628676A" w14:textId="77777777" w:rsidR="006B4EAC" w:rsidRPr="00CF1F2E" w:rsidRDefault="006B4EAC">
      <w:pPr>
        <w:widowControl w:val="0"/>
        <w:spacing w:line="360" w:lineRule="auto"/>
        <w:jc w:val="both"/>
        <w:rPr>
          <w:rFonts w:ascii="Palatino Linotype" w:eastAsia="Palatino Linotype" w:hAnsi="Palatino Linotype" w:cs="Palatino Linotype"/>
          <w:b/>
        </w:rPr>
      </w:pPr>
    </w:p>
    <w:p w14:paraId="37142B18" w14:textId="77777777" w:rsidR="006B4EAC" w:rsidRPr="00CF1F2E" w:rsidRDefault="00401A1E">
      <w:pPr>
        <w:spacing w:line="360" w:lineRule="auto"/>
        <w:jc w:val="both"/>
        <w:rPr>
          <w:rFonts w:ascii="Palatino Linotype" w:eastAsia="Palatino Linotype" w:hAnsi="Palatino Linotype" w:cs="Palatino Linotype"/>
          <w:b/>
          <w:sz w:val="28"/>
          <w:szCs w:val="28"/>
        </w:rPr>
      </w:pPr>
      <w:r w:rsidRPr="00CF1F2E">
        <w:rPr>
          <w:rFonts w:ascii="Palatino Linotype" w:eastAsia="Palatino Linotype" w:hAnsi="Palatino Linotype" w:cs="Palatino Linotype"/>
          <w:b/>
          <w:sz w:val="28"/>
          <w:szCs w:val="28"/>
        </w:rPr>
        <w:t>II. Turno de Requerimiento del Sujeto Obligado</w:t>
      </w:r>
    </w:p>
    <w:p w14:paraId="1BC60C8A"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De las constancias que obran en el expediente electrónico del SAIMEX, se aprecia en fecha </w:t>
      </w:r>
      <w:r w:rsidRPr="00CF1F2E">
        <w:rPr>
          <w:rFonts w:ascii="Palatino Linotype" w:eastAsia="Palatino Linotype" w:hAnsi="Palatino Linotype" w:cs="Palatino Linotype"/>
          <w:b/>
        </w:rPr>
        <w:t>diecisiete de febrero de dos mil veintidós</w:t>
      </w:r>
      <w:r w:rsidR="00FB48C4" w:rsidRPr="00CF1F2E">
        <w:rPr>
          <w:rFonts w:ascii="Palatino Linotype" w:eastAsia="Palatino Linotype" w:hAnsi="Palatino Linotype" w:cs="Palatino Linotype"/>
          <w:b/>
        </w:rPr>
        <w:t xml:space="preserve">, </w:t>
      </w:r>
      <w:r w:rsidR="00FB48C4" w:rsidRPr="00CF1F2E">
        <w:rPr>
          <w:rFonts w:ascii="Palatino Linotype" w:eastAsia="Palatino Linotype" w:hAnsi="Palatino Linotype" w:cs="Palatino Linotype"/>
        </w:rPr>
        <w:t xml:space="preserve">la Titular de la Unidad de Transparencia </w:t>
      </w:r>
      <w:r w:rsidRPr="00CF1F2E">
        <w:rPr>
          <w:rFonts w:ascii="Palatino Linotype" w:eastAsia="Palatino Linotype" w:hAnsi="Palatino Linotype" w:cs="Palatino Linotype"/>
        </w:rPr>
        <w:t>turn</w:t>
      </w:r>
      <w:r w:rsidR="00FB48C4" w:rsidRPr="00CF1F2E">
        <w:rPr>
          <w:rFonts w:ascii="Palatino Linotype" w:eastAsia="Palatino Linotype" w:hAnsi="Palatino Linotype" w:cs="Palatino Linotype"/>
        </w:rPr>
        <w:t>ó</w:t>
      </w:r>
      <w:r w:rsidRPr="00CF1F2E">
        <w:rPr>
          <w:rFonts w:ascii="Palatino Linotype" w:eastAsia="Palatino Linotype" w:hAnsi="Palatino Linotype" w:cs="Palatino Linotype"/>
        </w:rPr>
        <w:t xml:space="preserve"> e</w:t>
      </w:r>
      <w:r w:rsidR="00FB48C4" w:rsidRPr="00CF1F2E">
        <w:rPr>
          <w:rFonts w:ascii="Palatino Linotype" w:eastAsia="Palatino Linotype" w:hAnsi="Palatino Linotype" w:cs="Palatino Linotype"/>
        </w:rPr>
        <w:t>l</w:t>
      </w:r>
      <w:r w:rsidRPr="00CF1F2E">
        <w:rPr>
          <w:rFonts w:ascii="Palatino Linotype" w:eastAsia="Palatino Linotype" w:hAnsi="Palatino Linotype" w:cs="Palatino Linotype"/>
        </w:rPr>
        <w:t xml:space="preserve"> requerimiento al  servidor público habilitado</w:t>
      </w:r>
      <w:r w:rsidR="00FB48C4" w:rsidRPr="00CF1F2E">
        <w:rPr>
          <w:rFonts w:ascii="Palatino Linotype" w:eastAsia="Palatino Linotype" w:hAnsi="Palatino Linotype" w:cs="Palatino Linotype"/>
        </w:rPr>
        <w:t xml:space="preserve"> competente,</w:t>
      </w:r>
      <w:r w:rsidRPr="00CF1F2E">
        <w:rPr>
          <w:rFonts w:ascii="Palatino Linotype" w:eastAsia="Palatino Linotype" w:hAnsi="Palatino Linotype" w:cs="Palatino Linotype"/>
        </w:rPr>
        <w:t xml:space="preserve"> en cumplimiento al artículo 162 de la Ley de Transparencia y Acceso a la Información Pública del Estado de México y Municipios, a efecto de que realizara la búsqueda y localización de la información solicitada.</w:t>
      </w:r>
    </w:p>
    <w:p w14:paraId="17DBD54A" w14:textId="77777777" w:rsidR="006B4EAC" w:rsidRPr="00CF1F2E" w:rsidRDefault="006B4EAC">
      <w:pPr>
        <w:spacing w:line="360" w:lineRule="auto"/>
        <w:jc w:val="both"/>
        <w:rPr>
          <w:rFonts w:ascii="Palatino Linotype" w:eastAsia="Palatino Linotype" w:hAnsi="Palatino Linotype" w:cs="Palatino Linotype"/>
          <w:b/>
          <w:sz w:val="28"/>
          <w:szCs w:val="28"/>
        </w:rPr>
      </w:pPr>
    </w:p>
    <w:p w14:paraId="6792327A" w14:textId="77777777" w:rsidR="006B4EAC" w:rsidRPr="00CF1F2E" w:rsidRDefault="00401A1E">
      <w:pPr>
        <w:spacing w:line="360" w:lineRule="auto"/>
        <w:jc w:val="both"/>
        <w:rPr>
          <w:rFonts w:ascii="Palatino Linotype" w:eastAsia="Palatino Linotype" w:hAnsi="Palatino Linotype" w:cs="Palatino Linotype"/>
          <w:b/>
          <w:sz w:val="28"/>
          <w:szCs w:val="28"/>
        </w:rPr>
      </w:pPr>
      <w:r w:rsidRPr="00CF1F2E">
        <w:rPr>
          <w:rFonts w:ascii="Palatino Linotype" w:eastAsia="Palatino Linotype" w:hAnsi="Palatino Linotype" w:cs="Palatino Linotype"/>
          <w:b/>
          <w:sz w:val="28"/>
          <w:szCs w:val="28"/>
        </w:rPr>
        <w:t>III. Respuesta del Sujeto Obligado</w:t>
      </w:r>
    </w:p>
    <w:p w14:paraId="6EA74DCE"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En fecha </w:t>
      </w:r>
      <w:r w:rsidRPr="00CF1F2E">
        <w:rPr>
          <w:rFonts w:ascii="Palatino Linotype" w:eastAsia="Palatino Linotype" w:hAnsi="Palatino Linotype" w:cs="Palatino Linotype"/>
          <w:b/>
        </w:rPr>
        <w:t>diez de marzo de dos mil veintidós</w:t>
      </w:r>
      <w:r w:rsidRPr="00CF1F2E">
        <w:rPr>
          <w:rFonts w:ascii="Palatino Linotype" w:eastAsia="Palatino Linotype" w:hAnsi="Palatino Linotype" w:cs="Palatino Linotype"/>
        </w:rPr>
        <w:t xml:space="preserv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dio respuesta a la solicitud de información pública, la cual que fue notificada al particular en la misma  fecha  y consta del archivo denominado </w:t>
      </w:r>
      <w:r w:rsidRPr="00CF1F2E">
        <w:rPr>
          <w:rFonts w:ascii="Palatino Linotype" w:eastAsia="Palatino Linotype" w:hAnsi="Palatino Linotype" w:cs="Palatino Linotype"/>
          <w:i/>
        </w:rPr>
        <w:t xml:space="preserve">solicitud 17 saimex.pdf  </w:t>
      </w:r>
      <w:r w:rsidRPr="00CF1F2E">
        <w:rPr>
          <w:rFonts w:ascii="Palatino Linotype" w:eastAsia="Palatino Linotype" w:hAnsi="Palatino Linotype" w:cs="Palatino Linotype"/>
        </w:rPr>
        <w:t xml:space="preserve">del cual se aprecian 388 fojas y donde consta la respuesta emitida por el Director de Finanzas del </w:t>
      </w:r>
      <w:r w:rsidRPr="00CF1F2E">
        <w:rPr>
          <w:rFonts w:ascii="Palatino Linotype" w:eastAsia="Palatino Linotype" w:hAnsi="Palatino Linotype" w:cs="Palatino Linotype"/>
          <w:b/>
        </w:rPr>
        <w:t xml:space="preserve">SUJETO OBLIGADO </w:t>
      </w:r>
      <w:r w:rsidRPr="00CF1F2E">
        <w:rPr>
          <w:rFonts w:ascii="Palatino Linotype" w:eastAsia="Palatino Linotype" w:hAnsi="Palatino Linotype" w:cs="Palatino Linotype"/>
        </w:rPr>
        <w:t xml:space="preserve">indicando adjuntar </w:t>
      </w:r>
      <w:r w:rsidR="00A20124" w:rsidRPr="00CF1F2E">
        <w:rPr>
          <w:rFonts w:ascii="Palatino Linotype" w:eastAsia="Palatino Linotype" w:hAnsi="Palatino Linotype" w:cs="Palatino Linotype"/>
        </w:rPr>
        <w:t xml:space="preserve">a dicha respuesta la balanza de </w:t>
      </w:r>
      <w:r w:rsidRPr="00CF1F2E">
        <w:rPr>
          <w:rFonts w:ascii="Palatino Linotype" w:eastAsia="Palatino Linotype" w:hAnsi="Palatino Linotype" w:cs="Palatino Linotype"/>
        </w:rPr>
        <w:lastRenderedPageBreak/>
        <w:t xml:space="preserve">comprobación detallada y la Balanza de Comprobación Detallada Acumulada Trimestral del primero de enero al treinta y uno de diciembre de dos mil veintiuno. </w:t>
      </w:r>
    </w:p>
    <w:p w14:paraId="2360CFB9" w14:textId="77777777" w:rsidR="006B4EAC" w:rsidRPr="00CF1F2E" w:rsidRDefault="006B4EAC">
      <w:pPr>
        <w:spacing w:line="360" w:lineRule="auto"/>
        <w:jc w:val="both"/>
        <w:rPr>
          <w:rFonts w:ascii="Palatino Linotype" w:eastAsia="Palatino Linotype" w:hAnsi="Palatino Linotype" w:cs="Palatino Linotype"/>
        </w:rPr>
      </w:pPr>
    </w:p>
    <w:p w14:paraId="540DB7A9" w14:textId="77777777" w:rsidR="006B4EAC" w:rsidRPr="00CF1F2E" w:rsidRDefault="00A20124">
      <w:pPr>
        <w:widowControl w:val="0"/>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sz w:val="28"/>
          <w:szCs w:val="28"/>
        </w:rPr>
        <w:t xml:space="preserve">IV. </w:t>
      </w:r>
      <w:r w:rsidR="00401A1E" w:rsidRPr="00CF1F2E">
        <w:rPr>
          <w:rFonts w:ascii="Palatino Linotype" w:eastAsia="Palatino Linotype" w:hAnsi="Palatino Linotype" w:cs="Palatino Linotype"/>
          <w:b/>
          <w:sz w:val="28"/>
          <w:szCs w:val="28"/>
        </w:rPr>
        <w:t>Del Recurso de Revisión</w:t>
      </w:r>
      <w:r w:rsidR="00401A1E" w:rsidRPr="00CF1F2E">
        <w:rPr>
          <w:rFonts w:ascii="Palatino Linotype" w:eastAsia="Palatino Linotype" w:hAnsi="Palatino Linotype" w:cs="Palatino Linotype"/>
          <w:b/>
        </w:rPr>
        <w:t>.</w:t>
      </w:r>
    </w:p>
    <w:p w14:paraId="2D4BA4DD"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Inconforme por la respuesta del</w:t>
      </w:r>
      <w:r w:rsidRPr="00CF1F2E">
        <w:rPr>
          <w:rFonts w:ascii="Palatino Linotype" w:eastAsia="Palatino Linotype" w:hAnsi="Palatino Linotype" w:cs="Palatino Linotype"/>
          <w:b/>
        </w:rPr>
        <w:t xml:space="preserve"> SUJETO OBLIGADO</w:t>
      </w:r>
      <w:r w:rsidRPr="00CF1F2E">
        <w:rPr>
          <w:rFonts w:ascii="Palatino Linotype" w:eastAsia="Palatino Linotype" w:hAnsi="Palatino Linotype" w:cs="Palatino Linotype"/>
        </w:rPr>
        <w:t xml:space="preserve">, el diecisiete de marzo de dos mil veintidós,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interpuso el Recurso de Revisión. El cual fue registrado en </w:t>
      </w:r>
      <w:r w:rsidRPr="00CF1F2E">
        <w:rPr>
          <w:rFonts w:ascii="Palatino Linotype" w:eastAsia="Palatino Linotype" w:hAnsi="Palatino Linotype" w:cs="Palatino Linotype"/>
          <w:b/>
        </w:rPr>
        <w:t>EL SAIMEX</w:t>
      </w:r>
      <w:r w:rsidRPr="00CF1F2E">
        <w:rPr>
          <w:rFonts w:ascii="Palatino Linotype" w:eastAsia="Palatino Linotype" w:hAnsi="Palatino Linotype" w:cs="Palatino Linotype"/>
        </w:rPr>
        <w:t xml:space="preserve"> y se le asignó el número de expediente </w:t>
      </w:r>
      <w:r w:rsidRPr="00CF1F2E">
        <w:rPr>
          <w:rFonts w:ascii="Palatino Linotype" w:eastAsia="Palatino Linotype" w:hAnsi="Palatino Linotype" w:cs="Palatino Linotype"/>
          <w:b/>
        </w:rPr>
        <w:t xml:space="preserve">04047/INFOEM/IP/RR/2022, </w:t>
      </w:r>
      <w:r w:rsidRPr="00CF1F2E">
        <w:rPr>
          <w:rFonts w:ascii="Palatino Linotype" w:eastAsia="Palatino Linotype" w:hAnsi="Palatino Linotype" w:cs="Palatino Linotype"/>
        </w:rPr>
        <w:t xml:space="preserve">donde los motivos de agravio del </w:t>
      </w:r>
      <w:r w:rsidRPr="00CF1F2E">
        <w:rPr>
          <w:rFonts w:ascii="Palatino Linotype" w:eastAsia="Palatino Linotype" w:hAnsi="Palatino Linotype" w:cs="Palatino Linotype"/>
          <w:b/>
        </w:rPr>
        <w:t xml:space="preserve">RECURRENTE </w:t>
      </w:r>
      <w:r w:rsidRPr="00CF1F2E">
        <w:rPr>
          <w:rFonts w:ascii="Palatino Linotype" w:eastAsia="Palatino Linotype" w:hAnsi="Palatino Linotype" w:cs="Palatino Linotype"/>
        </w:rPr>
        <w:t>fueron los siguientes:</w:t>
      </w:r>
    </w:p>
    <w:p w14:paraId="4A007D4A" w14:textId="77777777" w:rsidR="006B4EAC" w:rsidRPr="00CF1F2E" w:rsidRDefault="006B4EAC">
      <w:pPr>
        <w:spacing w:line="360" w:lineRule="auto"/>
        <w:ind w:left="-57" w:right="-57"/>
        <w:jc w:val="both"/>
        <w:rPr>
          <w:rFonts w:ascii="Palatino Linotype" w:eastAsia="Palatino Linotype" w:hAnsi="Palatino Linotype" w:cs="Palatino Linotype"/>
        </w:rPr>
      </w:pPr>
    </w:p>
    <w:p w14:paraId="0FD352E8" w14:textId="77777777" w:rsidR="006B4EAC" w:rsidRPr="00CF1F2E" w:rsidRDefault="00401A1E">
      <w:pPr>
        <w:spacing w:line="360" w:lineRule="auto"/>
        <w:ind w:left="-57" w:right="-57"/>
        <w:jc w:val="both"/>
        <w:rPr>
          <w:rFonts w:ascii="Palatino Linotype" w:eastAsia="Palatino Linotype" w:hAnsi="Palatino Linotype" w:cs="Palatino Linotype"/>
          <w:b/>
          <w:u w:val="single"/>
        </w:rPr>
      </w:pPr>
      <w:r w:rsidRPr="00CF1F2E">
        <w:rPr>
          <w:rFonts w:ascii="Palatino Linotype" w:eastAsia="Palatino Linotype" w:hAnsi="Palatino Linotype" w:cs="Palatino Linotype"/>
          <w:b/>
          <w:u w:val="single"/>
        </w:rPr>
        <w:t>Acto Impugnado:</w:t>
      </w:r>
      <w:r w:rsidRPr="00CF1F2E">
        <w:rPr>
          <w:b/>
          <w:u w:val="single"/>
        </w:rPr>
        <w:t xml:space="preserve"> </w:t>
      </w:r>
    </w:p>
    <w:p w14:paraId="39204BA6" w14:textId="77777777" w:rsidR="006B4EAC" w:rsidRPr="00CF1F2E" w:rsidRDefault="00401A1E">
      <w:pPr>
        <w:tabs>
          <w:tab w:val="left" w:pos="709"/>
        </w:tabs>
        <w:spacing w:before="66"/>
        <w:ind w:left="850" w:right="899"/>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“la respuesta”</w:t>
      </w:r>
      <w:r w:rsidR="00A20124" w:rsidRPr="00CF1F2E">
        <w:rPr>
          <w:rFonts w:ascii="Palatino Linotype" w:eastAsia="Palatino Linotype" w:hAnsi="Palatino Linotype" w:cs="Palatino Linotype"/>
          <w:i/>
          <w:sz w:val="22"/>
          <w:szCs w:val="22"/>
        </w:rPr>
        <w:t xml:space="preserve"> </w:t>
      </w:r>
      <w:r w:rsidRPr="00CF1F2E">
        <w:rPr>
          <w:rFonts w:ascii="Palatino Linotype" w:eastAsia="Palatino Linotype" w:hAnsi="Palatino Linotype" w:cs="Palatino Linotype"/>
          <w:i/>
          <w:sz w:val="22"/>
          <w:szCs w:val="22"/>
        </w:rPr>
        <w:t>(</w:t>
      </w:r>
      <w:r w:rsidR="00A20124" w:rsidRPr="00CF1F2E">
        <w:rPr>
          <w:rFonts w:ascii="Palatino Linotype" w:eastAsia="Palatino Linotype" w:hAnsi="Palatino Linotype" w:cs="Palatino Linotype"/>
          <w:i/>
          <w:sz w:val="22"/>
          <w:szCs w:val="22"/>
        </w:rPr>
        <w:t>Sic</w:t>
      </w:r>
      <w:r w:rsidRPr="00CF1F2E">
        <w:rPr>
          <w:rFonts w:ascii="Palatino Linotype" w:eastAsia="Palatino Linotype" w:hAnsi="Palatino Linotype" w:cs="Palatino Linotype"/>
          <w:i/>
          <w:sz w:val="22"/>
          <w:szCs w:val="22"/>
        </w:rPr>
        <w:t>)</w:t>
      </w:r>
    </w:p>
    <w:p w14:paraId="2702F014" w14:textId="77777777" w:rsidR="006B4EAC" w:rsidRPr="00CF1F2E" w:rsidRDefault="006B4EAC">
      <w:pPr>
        <w:tabs>
          <w:tab w:val="left" w:pos="709"/>
        </w:tabs>
        <w:spacing w:before="66"/>
        <w:ind w:left="850" w:right="899"/>
        <w:rPr>
          <w:rFonts w:ascii="Palatino Linotype" w:eastAsia="Palatino Linotype" w:hAnsi="Palatino Linotype" w:cs="Palatino Linotype"/>
          <w:i/>
          <w:sz w:val="20"/>
          <w:szCs w:val="20"/>
        </w:rPr>
      </w:pPr>
    </w:p>
    <w:p w14:paraId="36C101C3" w14:textId="77777777" w:rsidR="006B4EAC" w:rsidRPr="00CF1F2E" w:rsidRDefault="00401A1E">
      <w:pPr>
        <w:tabs>
          <w:tab w:val="left" w:pos="709"/>
        </w:tabs>
        <w:spacing w:before="66"/>
        <w:rPr>
          <w:rFonts w:ascii="Palatino Linotype" w:eastAsia="Palatino Linotype" w:hAnsi="Palatino Linotype" w:cs="Palatino Linotype"/>
          <w:b/>
          <w:u w:val="single"/>
        </w:rPr>
      </w:pPr>
      <w:r w:rsidRPr="00CF1F2E">
        <w:rPr>
          <w:rFonts w:ascii="Palatino Linotype" w:eastAsia="Palatino Linotype" w:hAnsi="Palatino Linotype" w:cs="Palatino Linotype"/>
          <w:b/>
          <w:u w:val="single"/>
        </w:rPr>
        <w:t>Razones o motivos de la inconformidad:</w:t>
      </w:r>
    </w:p>
    <w:p w14:paraId="256D6F28" w14:textId="77777777" w:rsidR="006B4EAC" w:rsidRPr="00CF1F2E" w:rsidRDefault="006B4EAC">
      <w:pPr>
        <w:tabs>
          <w:tab w:val="left" w:pos="709"/>
        </w:tabs>
        <w:spacing w:before="66"/>
        <w:rPr>
          <w:rFonts w:ascii="Palatino Linotype" w:eastAsia="Palatino Linotype" w:hAnsi="Palatino Linotype" w:cs="Palatino Linotype"/>
        </w:rPr>
      </w:pPr>
    </w:p>
    <w:p w14:paraId="724E18C9" w14:textId="77777777" w:rsidR="006B4EAC" w:rsidRPr="00CF1F2E" w:rsidRDefault="00401A1E">
      <w:pPr>
        <w:ind w:left="850" w:right="899"/>
        <w:jc w:val="both"/>
        <w:rPr>
          <w:rFonts w:ascii="Palatino Linotype" w:eastAsia="Palatino Linotype" w:hAnsi="Palatino Linotype" w:cs="Palatino Linotype"/>
          <w:b/>
        </w:rPr>
      </w:pPr>
      <w:r w:rsidRPr="00CF1F2E">
        <w:rPr>
          <w:rFonts w:ascii="Palatino Linotype" w:eastAsia="Palatino Linotype" w:hAnsi="Palatino Linotype" w:cs="Palatino Linotype"/>
          <w:i/>
          <w:sz w:val="22"/>
          <w:szCs w:val="22"/>
        </w:rPr>
        <w:t>“niega la entrega de la informacion injustificadamente, amen que admite tenerla y que sobre esta ya se puede acceder parcial y totalmente.” (</w:t>
      </w:r>
      <w:r w:rsidR="00A20124" w:rsidRPr="00CF1F2E">
        <w:rPr>
          <w:rFonts w:ascii="Palatino Linotype" w:eastAsia="Palatino Linotype" w:hAnsi="Palatino Linotype" w:cs="Palatino Linotype"/>
          <w:i/>
          <w:sz w:val="22"/>
          <w:szCs w:val="22"/>
        </w:rPr>
        <w:t>Sic)</w:t>
      </w:r>
    </w:p>
    <w:p w14:paraId="3919CD42" w14:textId="77777777" w:rsidR="006B4EAC" w:rsidRPr="00CF1F2E" w:rsidRDefault="006B4EAC">
      <w:pPr>
        <w:spacing w:line="360" w:lineRule="auto"/>
        <w:jc w:val="both"/>
        <w:rPr>
          <w:rFonts w:ascii="Palatino Linotype" w:eastAsia="Palatino Linotype" w:hAnsi="Palatino Linotype" w:cs="Palatino Linotype"/>
        </w:rPr>
      </w:pPr>
    </w:p>
    <w:p w14:paraId="2DE428BB" w14:textId="77777777" w:rsidR="006B4EAC" w:rsidRPr="00CF1F2E" w:rsidRDefault="00401A1E">
      <w:pPr>
        <w:spacing w:line="360" w:lineRule="auto"/>
        <w:jc w:val="both"/>
        <w:rPr>
          <w:rFonts w:ascii="Palatino Linotype" w:eastAsia="Palatino Linotype" w:hAnsi="Palatino Linotype" w:cs="Palatino Linotype"/>
          <w:b/>
          <w:sz w:val="28"/>
          <w:szCs w:val="28"/>
        </w:rPr>
      </w:pPr>
      <w:r w:rsidRPr="00CF1F2E">
        <w:rPr>
          <w:rFonts w:ascii="Palatino Linotype" w:eastAsia="Palatino Linotype" w:hAnsi="Palatino Linotype" w:cs="Palatino Linotype"/>
          <w:b/>
          <w:sz w:val="28"/>
          <w:szCs w:val="28"/>
        </w:rPr>
        <w:t xml:space="preserve">V. Del turno del Recurso de Revisión. </w:t>
      </w:r>
    </w:p>
    <w:p w14:paraId="24FB59EA"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El </w:t>
      </w:r>
      <w:r w:rsidRPr="00CF1F2E">
        <w:rPr>
          <w:rFonts w:ascii="Palatino Linotype" w:eastAsia="Palatino Linotype" w:hAnsi="Palatino Linotype" w:cs="Palatino Linotype"/>
          <w:b/>
        </w:rPr>
        <w:t>diecisiete de marzo de dos mil veintidós</w:t>
      </w:r>
      <w:r w:rsidRPr="00CF1F2E">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CF1F2E">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CF1F2E">
        <w:rPr>
          <w:rFonts w:ascii="Palatino Linotype" w:eastAsia="Palatino Linotype" w:hAnsi="Palatino Linotype" w:cs="Palatino Linotype"/>
          <w:b/>
        </w:rPr>
        <w:t>Comisionada Sharon Cristina Morales Martínez</w:t>
      </w:r>
      <w:r w:rsidRPr="00CF1F2E">
        <w:rPr>
          <w:rFonts w:ascii="Palatino Linotype" w:eastAsia="Palatino Linotype" w:hAnsi="Palatino Linotype" w:cs="Palatino Linotype"/>
        </w:rPr>
        <w:t>; a efecto de decretar su admisión o desechamiento.</w:t>
      </w:r>
    </w:p>
    <w:p w14:paraId="59B52087" w14:textId="77777777" w:rsidR="005359FD" w:rsidRPr="00CF1F2E" w:rsidRDefault="005359FD">
      <w:pPr>
        <w:spacing w:line="360" w:lineRule="auto"/>
        <w:jc w:val="both"/>
        <w:rPr>
          <w:rFonts w:ascii="Palatino Linotype" w:eastAsia="Palatino Linotype" w:hAnsi="Palatino Linotype" w:cs="Palatino Linotype"/>
        </w:rPr>
      </w:pPr>
    </w:p>
    <w:p w14:paraId="14ADAF91" w14:textId="77777777" w:rsidR="006B4EAC" w:rsidRPr="00CF1F2E" w:rsidRDefault="00401A1E">
      <w:pPr>
        <w:tabs>
          <w:tab w:val="center" w:pos="4252"/>
          <w:tab w:val="right" w:pos="8504"/>
        </w:tabs>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a) Admisión del Recurso de Revisión</w:t>
      </w:r>
    </w:p>
    <w:p w14:paraId="6634FCF4" w14:textId="77777777" w:rsidR="006B4EAC" w:rsidRPr="00CF1F2E" w:rsidRDefault="00401A1E">
      <w:pPr>
        <w:tabs>
          <w:tab w:val="center" w:pos="4252"/>
          <w:tab w:val="right" w:pos="8504"/>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De las constancias que obran en el expediente electrónico del</w:t>
      </w:r>
      <w:r w:rsidRPr="00CF1F2E">
        <w:rPr>
          <w:rFonts w:ascii="Palatino Linotype" w:eastAsia="Palatino Linotype" w:hAnsi="Palatino Linotype" w:cs="Palatino Linotype"/>
          <w:b/>
        </w:rPr>
        <w:t xml:space="preserve"> SAIMEX</w:t>
      </w:r>
      <w:r w:rsidRPr="00CF1F2E">
        <w:rPr>
          <w:rFonts w:ascii="Palatino Linotype" w:eastAsia="Palatino Linotype" w:hAnsi="Palatino Linotype" w:cs="Palatino Linotype"/>
        </w:rPr>
        <w:t xml:space="preserve">, se advierte que en fecha </w:t>
      </w:r>
      <w:r w:rsidRPr="00CF1F2E">
        <w:rPr>
          <w:rFonts w:ascii="Palatino Linotype" w:eastAsia="Palatino Linotype" w:hAnsi="Palatino Linotype" w:cs="Palatino Linotype"/>
          <w:b/>
        </w:rPr>
        <w:t>dieciocho de marzo de dos mil veintidós</w:t>
      </w:r>
      <w:r w:rsidRPr="00CF1F2E">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CF1F2E">
        <w:rPr>
          <w:rFonts w:ascii="Palatino Linotype" w:eastAsia="Palatino Linotype" w:hAnsi="Palatino Linotype" w:cs="Palatino Linotype"/>
          <w:b/>
        </w:rPr>
        <w:t xml:space="preserve">EL RECURRENTE </w:t>
      </w:r>
      <w:r w:rsidRPr="00CF1F2E">
        <w:rPr>
          <w:rFonts w:ascii="Palatino Linotype" w:eastAsia="Palatino Linotype" w:hAnsi="Palatino Linotype" w:cs="Palatino Linotype"/>
        </w:rPr>
        <w:t xml:space="preserve">manifestara lo que a su derecho conviniera, a efecto de presentar pruebas y alegatos; así como, para que </w:t>
      </w:r>
      <w:r w:rsidRPr="00CF1F2E">
        <w:rPr>
          <w:rFonts w:ascii="Palatino Linotype" w:eastAsia="Palatino Linotype" w:hAnsi="Palatino Linotype" w:cs="Palatino Linotype"/>
          <w:b/>
        </w:rPr>
        <w:t xml:space="preserve">EL SUJETO OBLIGADO </w:t>
      </w:r>
      <w:r w:rsidRPr="00CF1F2E">
        <w:rPr>
          <w:rFonts w:ascii="Palatino Linotype" w:eastAsia="Palatino Linotype" w:hAnsi="Palatino Linotype" w:cs="Palatino Linotype"/>
        </w:rPr>
        <w:t>rindiera el correspondiente</w:t>
      </w:r>
      <w:r w:rsidRPr="00CF1F2E">
        <w:rPr>
          <w:rFonts w:ascii="Palatino Linotype" w:eastAsia="Palatino Linotype" w:hAnsi="Palatino Linotype" w:cs="Palatino Linotype"/>
          <w:b/>
        </w:rPr>
        <w:t xml:space="preserve"> </w:t>
      </w:r>
      <w:r w:rsidRPr="00CF1F2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9D90E16" w14:textId="77777777" w:rsidR="006B4EAC" w:rsidRPr="00CF1F2E" w:rsidRDefault="006B4EAC">
      <w:pPr>
        <w:tabs>
          <w:tab w:val="center" w:pos="4252"/>
          <w:tab w:val="right" w:pos="8504"/>
        </w:tabs>
        <w:spacing w:line="360" w:lineRule="auto"/>
        <w:jc w:val="both"/>
        <w:rPr>
          <w:rFonts w:ascii="Palatino Linotype" w:eastAsia="Palatino Linotype" w:hAnsi="Palatino Linotype" w:cs="Palatino Linotype"/>
        </w:rPr>
      </w:pPr>
    </w:p>
    <w:p w14:paraId="36FE159E"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b) Informe Justificado</w:t>
      </w:r>
    </w:p>
    <w:p w14:paraId="4C902E02" w14:textId="77777777" w:rsidR="006B4EAC" w:rsidRPr="00CF1F2E" w:rsidRDefault="00401A1E">
      <w:pPr>
        <w:widowControl w:val="0"/>
        <w:tabs>
          <w:tab w:val="left" w:pos="0"/>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Conforme a las constancias que obran en el expediente del </w:t>
      </w:r>
      <w:r w:rsidRPr="00CF1F2E">
        <w:rPr>
          <w:rFonts w:ascii="Palatino Linotype" w:eastAsia="Palatino Linotype" w:hAnsi="Palatino Linotype" w:cs="Palatino Linotype"/>
          <w:b/>
        </w:rPr>
        <w:t>SAIMEX,</w:t>
      </w:r>
      <w:r w:rsidRPr="00CF1F2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CF1F2E">
        <w:rPr>
          <w:rFonts w:ascii="Palatino Linotype" w:eastAsia="Palatino Linotype" w:hAnsi="Palatino Linotype" w:cs="Palatino Linotype"/>
          <w:b/>
        </w:rPr>
        <w:t>EL</w:t>
      </w:r>
      <w:r w:rsidRPr="00CF1F2E">
        <w:rPr>
          <w:rFonts w:ascii="Palatino Linotype" w:eastAsia="Palatino Linotype" w:hAnsi="Palatino Linotype" w:cs="Palatino Linotype"/>
        </w:rPr>
        <w:t xml:space="preserve"> </w:t>
      </w:r>
      <w:r w:rsidRPr="00CF1F2E">
        <w:rPr>
          <w:rFonts w:ascii="Palatino Linotype" w:eastAsia="Palatino Linotype" w:hAnsi="Palatino Linotype" w:cs="Palatino Linotype"/>
          <w:b/>
        </w:rPr>
        <w:t>RECURRENTE</w:t>
      </w:r>
      <w:r w:rsidRPr="00CF1F2E">
        <w:rPr>
          <w:rFonts w:ascii="Palatino Linotype" w:eastAsia="Palatino Linotype" w:hAnsi="Palatino Linotype" w:cs="Palatino Linotype"/>
        </w:rPr>
        <w:t xml:space="preserve"> no presentó manifestaciones que a su derecho convinieran. </w:t>
      </w:r>
    </w:p>
    <w:p w14:paraId="5241D3E0" w14:textId="77777777" w:rsidR="006B4EAC" w:rsidRPr="00CF1F2E" w:rsidRDefault="00401A1E">
      <w:pPr>
        <w:widowControl w:val="0"/>
        <w:tabs>
          <w:tab w:val="left" w:pos="0"/>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lastRenderedPageBreak/>
        <w:t xml:space="preserve">Por su parte,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remitió los documentos denominados </w:t>
      </w:r>
      <w:r w:rsidRPr="00CF1F2E">
        <w:rPr>
          <w:rFonts w:ascii="Palatino Linotype" w:eastAsia="Palatino Linotype" w:hAnsi="Palatino Linotype" w:cs="Palatino Linotype"/>
          <w:i/>
        </w:rPr>
        <w:t>solicitud 17 recurso de revision_22.pdf</w:t>
      </w:r>
      <w:r w:rsidRPr="00CF1F2E">
        <w:rPr>
          <w:rFonts w:ascii="Palatino Linotype" w:eastAsia="Palatino Linotype" w:hAnsi="Palatino Linotype" w:cs="Palatino Linotype"/>
        </w:rPr>
        <w:t xml:space="preserve"> y </w:t>
      </w:r>
      <w:r w:rsidRPr="00CF1F2E">
        <w:rPr>
          <w:rFonts w:ascii="Palatino Linotype" w:eastAsia="Palatino Linotype" w:hAnsi="Palatino Linotype" w:cs="Palatino Linotype"/>
          <w:i/>
        </w:rPr>
        <w:t>solicitud 17 RECURSO ANEXO 22.pdf</w:t>
      </w:r>
      <w:r w:rsidRPr="00CF1F2E">
        <w:rPr>
          <w:rFonts w:ascii="Palatino Linotype" w:eastAsia="Palatino Linotype" w:hAnsi="Palatino Linotype" w:cs="Palatino Linotype"/>
        </w:rPr>
        <w:t xml:space="preserve"> mismos que aun cuando su contenido es el mismo que el entregado en respuesta y el cual esta Ponencia advierte se encuentra parcialmente publicado en la página oficial del </w:t>
      </w:r>
      <w:r w:rsidRPr="00CF1F2E">
        <w:rPr>
          <w:rFonts w:ascii="Palatino Linotype" w:eastAsia="Palatino Linotype" w:hAnsi="Palatino Linotype" w:cs="Palatino Linotype"/>
          <w:b/>
        </w:rPr>
        <w:t>SUJETO OBLIGADO</w:t>
      </w:r>
      <w:r w:rsidRPr="00CF1F2E">
        <w:rPr>
          <w:rFonts w:ascii="Palatino Linotype" w:eastAsia="Palatino Linotype" w:hAnsi="Palatino Linotype" w:cs="Palatino Linotype"/>
        </w:rPr>
        <w:t xml:space="preserve">,  para poder preservar el principio de máxima publicidad, fueron puestos a disposición del </w:t>
      </w:r>
      <w:r w:rsidRPr="00CF1F2E">
        <w:rPr>
          <w:rFonts w:ascii="Palatino Linotype" w:eastAsia="Palatino Linotype" w:hAnsi="Palatino Linotype" w:cs="Palatino Linotype"/>
          <w:b/>
        </w:rPr>
        <w:t>RECURRENTE</w:t>
      </w:r>
      <w:r w:rsidRPr="00CF1F2E">
        <w:rPr>
          <w:rFonts w:ascii="Palatino Linotype" w:eastAsia="Palatino Linotype" w:hAnsi="Palatino Linotype" w:cs="Palatino Linotype"/>
        </w:rPr>
        <w:t xml:space="preserve"> para que en un término de tres días hábiles manifestara lo que a su derecho conviniera. </w:t>
      </w:r>
    </w:p>
    <w:p w14:paraId="426A0759" w14:textId="77777777" w:rsidR="006B4EAC" w:rsidRPr="00CF1F2E" w:rsidRDefault="006B4EAC">
      <w:pPr>
        <w:widowControl w:val="0"/>
        <w:tabs>
          <w:tab w:val="left" w:pos="0"/>
        </w:tabs>
        <w:spacing w:line="360" w:lineRule="auto"/>
        <w:jc w:val="both"/>
        <w:rPr>
          <w:rFonts w:ascii="Palatino Linotype" w:eastAsia="Palatino Linotype" w:hAnsi="Palatino Linotype" w:cs="Palatino Linotype"/>
        </w:rPr>
      </w:pPr>
    </w:p>
    <w:p w14:paraId="78A8CC67" w14:textId="77777777" w:rsidR="006B4EAC" w:rsidRPr="00CF1F2E" w:rsidRDefault="00401A1E">
      <w:pPr>
        <w:widowControl w:val="0"/>
        <w:tabs>
          <w:tab w:val="left" w:pos="0"/>
        </w:tabs>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 xml:space="preserve">c) De la ampliación </w:t>
      </w:r>
    </w:p>
    <w:p w14:paraId="7EB67AE8"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En fecha doce de mayo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39962146" w14:textId="77777777" w:rsidR="006B4EAC" w:rsidRPr="00CF1F2E" w:rsidRDefault="006B4EAC">
      <w:pPr>
        <w:spacing w:line="360" w:lineRule="auto"/>
        <w:jc w:val="both"/>
        <w:rPr>
          <w:rFonts w:ascii="Palatino Linotype" w:eastAsia="Palatino Linotype" w:hAnsi="Palatino Linotype" w:cs="Palatino Linotype"/>
        </w:rPr>
      </w:pPr>
    </w:p>
    <w:p w14:paraId="4F87522C"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d) Cierre de Instrucción</w:t>
      </w:r>
    </w:p>
    <w:p w14:paraId="1568305D"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Por lo que, una vez analizado el estado procesal que guarda el expediente, </w:t>
      </w:r>
      <w:r w:rsidRPr="00CF1F2E">
        <w:rPr>
          <w:rFonts w:ascii="Palatino Linotype" w:eastAsia="Palatino Linotype" w:hAnsi="Palatino Linotype" w:cs="Palatino Linotype"/>
          <w:b/>
        </w:rPr>
        <w:t>en fecha treinta y uno de mayo de dos mil veintidós</w:t>
      </w:r>
      <w:r w:rsidRPr="00CF1F2E">
        <w:rPr>
          <w:rFonts w:ascii="Palatino Linotype" w:eastAsia="Palatino Linotype" w:hAnsi="Palatino Linotype" w:cs="Palatino Linotype"/>
        </w:rPr>
        <w:t xml:space="preserve">, la </w:t>
      </w:r>
      <w:r w:rsidRPr="00CF1F2E">
        <w:rPr>
          <w:rFonts w:ascii="Palatino Linotype" w:eastAsia="Palatino Linotype" w:hAnsi="Palatino Linotype" w:cs="Palatino Linotype"/>
          <w:b/>
        </w:rPr>
        <w:t xml:space="preserve">Comisionada Sharon Cristina Morales Martínez </w:t>
      </w:r>
      <w:r w:rsidRPr="00CF1F2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5914131C" w14:textId="77777777" w:rsidR="006B4EAC" w:rsidRPr="00CF1F2E" w:rsidRDefault="00401A1E">
      <w:pPr>
        <w:jc w:val="center"/>
        <w:rPr>
          <w:rFonts w:ascii="Palatino Linotype" w:eastAsia="Palatino Linotype" w:hAnsi="Palatino Linotype" w:cs="Palatino Linotype"/>
          <w:b/>
          <w:sz w:val="28"/>
          <w:szCs w:val="28"/>
        </w:rPr>
      </w:pPr>
      <w:r w:rsidRPr="00CF1F2E">
        <w:rPr>
          <w:rFonts w:ascii="Palatino Linotype" w:eastAsia="Palatino Linotype" w:hAnsi="Palatino Linotype" w:cs="Palatino Linotype"/>
          <w:b/>
          <w:sz w:val="28"/>
          <w:szCs w:val="28"/>
        </w:rPr>
        <w:lastRenderedPageBreak/>
        <w:t>CONSIDERANDO</w:t>
      </w:r>
    </w:p>
    <w:p w14:paraId="722E0345" w14:textId="77777777" w:rsidR="006B4EAC" w:rsidRPr="00CF1F2E" w:rsidRDefault="006B4EAC">
      <w:pPr>
        <w:jc w:val="center"/>
        <w:rPr>
          <w:rFonts w:ascii="Palatino Linotype" w:eastAsia="Palatino Linotype" w:hAnsi="Palatino Linotype" w:cs="Palatino Linotype"/>
          <w:b/>
          <w:sz w:val="28"/>
          <w:szCs w:val="28"/>
        </w:rPr>
      </w:pPr>
    </w:p>
    <w:p w14:paraId="6A404FB2" w14:textId="77777777" w:rsidR="006B4EAC" w:rsidRPr="00CF1F2E" w:rsidRDefault="00401A1E">
      <w:pPr>
        <w:widowControl w:val="0"/>
        <w:tabs>
          <w:tab w:val="left" w:pos="1701"/>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b/>
          <w:sz w:val="28"/>
          <w:szCs w:val="28"/>
        </w:rPr>
        <w:t>PRIMERO.</w:t>
      </w:r>
      <w:r w:rsidRPr="00CF1F2E">
        <w:rPr>
          <w:rFonts w:ascii="Palatino Linotype" w:eastAsia="Palatino Linotype" w:hAnsi="Palatino Linotype" w:cs="Palatino Linotype"/>
          <w:b/>
        </w:rPr>
        <w:t xml:space="preserve"> Competencia</w:t>
      </w:r>
      <w:r w:rsidRPr="00CF1F2E">
        <w:rPr>
          <w:rFonts w:ascii="Palatino Linotype" w:eastAsia="Palatino Linotype" w:hAnsi="Palatino Linotype" w:cs="Palatino Linotype"/>
        </w:rPr>
        <w:t>.</w:t>
      </w:r>
      <w:r w:rsidRPr="00CF1F2E">
        <w:rPr>
          <w:rFonts w:ascii="Palatino Linotype" w:eastAsia="Palatino Linotype" w:hAnsi="Palatino Linotype" w:cs="Palatino Linotype"/>
          <w:b/>
        </w:rPr>
        <w:t xml:space="preserve"> </w:t>
      </w:r>
    </w:p>
    <w:p w14:paraId="403E5394" w14:textId="77777777" w:rsidR="006B4EAC" w:rsidRPr="00CF1F2E" w:rsidRDefault="00401A1E">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F1F2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2192E88" w14:textId="77777777" w:rsidR="006B4EAC" w:rsidRPr="00CF1F2E" w:rsidRDefault="006B4EAC">
      <w:pPr>
        <w:widowControl w:val="0"/>
        <w:tabs>
          <w:tab w:val="left" w:pos="1701"/>
          <w:tab w:val="left" w:pos="2977"/>
        </w:tabs>
        <w:spacing w:line="360" w:lineRule="auto"/>
        <w:jc w:val="both"/>
        <w:rPr>
          <w:rFonts w:ascii="Palatino Linotype" w:eastAsia="Palatino Linotype" w:hAnsi="Palatino Linotype" w:cs="Palatino Linotype"/>
        </w:rPr>
      </w:pPr>
    </w:p>
    <w:p w14:paraId="0B1AE21D"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sz w:val="28"/>
          <w:szCs w:val="28"/>
        </w:rPr>
        <w:t>SEGUNDO</w:t>
      </w:r>
      <w:r w:rsidRPr="00CF1F2E">
        <w:rPr>
          <w:rFonts w:ascii="Palatino Linotype" w:eastAsia="Palatino Linotype" w:hAnsi="Palatino Linotype" w:cs="Palatino Linotype"/>
          <w:b/>
        </w:rPr>
        <w:t xml:space="preserve">. Interés. </w:t>
      </w:r>
    </w:p>
    <w:p w14:paraId="216129AF" w14:textId="77777777" w:rsidR="006B4EAC" w:rsidRPr="00CF1F2E" w:rsidRDefault="00401A1E">
      <w:pPr>
        <w:spacing w:line="360" w:lineRule="auto"/>
        <w:jc w:val="both"/>
        <w:rPr>
          <w:rFonts w:ascii="Palatino Linotype" w:eastAsia="Palatino Linotype" w:hAnsi="Palatino Linotype" w:cs="Palatino Linotype"/>
          <w:b/>
          <w:color w:val="000000"/>
        </w:rPr>
      </w:pPr>
      <w:r w:rsidRPr="00CF1F2E">
        <w:rPr>
          <w:rFonts w:ascii="Palatino Linotype" w:eastAsia="Palatino Linotype" w:hAnsi="Palatino Linotype" w:cs="Palatino Linotype"/>
        </w:rPr>
        <w:t>El</w:t>
      </w:r>
      <w:r w:rsidRPr="00CF1F2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CF1F2E">
        <w:rPr>
          <w:rFonts w:ascii="Palatino Linotype" w:eastAsia="Palatino Linotype" w:hAnsi="Palatino Linotype" w:cs="Palatino Linotype"/>
          <w:b/>
        </w:rPr>
        <w:t>EL</w:t>
      </w:r>
      <w:r w:rsidRPr="00CF1F2E">
        <w:rPr>
          <w:rFonts w:ascii="Palatino Linotype" w:eastAsia="Palatino Linotype" w:hAnsi="Palatino Linotype" w:cs="Palatino Linotype"/>
          <w:b/>
          <w:color w:val="000000"/>
        </w:rPr>
        <w:t xml:space="preserve"> RECURRENTE,</w:t>
      </w:r>
      <w:r w:rsidRPr="00CF1F2E">
        <w:rPr>
          <w:rFonts w:ascii="Palatino Linotype" w:eastAsia="Palatino Linotype" w:hAnsi="Palatino Linotype" w:cs="Palatino Linotype"/>
          <w:color w:val="000000"/>
        </w:rPr>
        <w:t xml:space="preserve"> quien es la misma persona que formuló la solicitud de acceso a la información pública al </w:t>
      </w:r>
      <w:r w:rsidRPr="00CF1F2E">
        <w:rPr>
          <w:rFonts w:ascii="Palatino Linotype" w:eastAsia="Palatino Linotype" w:hAnsi="Palatino Linotype" w:cs="Palatino Linotype"/>
          <w:b/>
          <w:color w:val="000000"/>
        </w:rPr>
        <w:t xml:space="preserve">SUJETO OBLIGADO, </w:t>
      </w:r>
      <w:r w:rsidRPr="00CF1F2E">
        <w:rPr>
          <w:rFonts w:ascii="Palatino Linotype" w:eastAsia="Palatino Linotype" w:hAnsi="Palatino Linotype" w:cs="Palatino Linotype"/>
          <w:color w:val="000000"/>
        </w:rPr>
        <w:t xml:space="preserve">pues para ello, es necesario que el particular ingrese al </w:t>
      </w:r>
      <w:r w:rsidRPr="00CF1F2E">
        <w:rPr>
          <w:rFonts w:ascii="Palatino Linotype" w:eastAsia="Palatino Linotype" w:hAnsi="Palatino Linotype" w:cs="Palatino Linotype"/>
          <w:b/>
          <w:color w:val="000000"/>
        </w:rPr>
        <w:t xml:space="preserve">SAIMEX </w:t>
      </w:r>
      <w:r w:rsidRPr="00CF1F2E">
        <w:rPr>
          <w:rFonts w:ascii="Palatino Linotype" w:eastAsia="Palatino Linotype" w:hAnsi="Palatino Linotype" w:cs="Palatino Linotype"/>
          <w:color w:val="000000"/>
        </w:rPr>
        <w:t>mediante la utilización de su clave de usuario y contraseña.</w:t>
      </w:r>
    </w:p>
    <w:p w14:paraId="2788EC6D" w14:textId="77777777" w:rsidR="006B4EAC" w:rsidRPr="00CF1F2E" w:rsidRDefault="006B4EA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AE2E0DF" w14:textId="77777777" w:rsidR="006B4EAC" w:rsidRPr="00CF1F2E" w:rsidRDefault="00401A1E">
      <w:pPr>
        <w:tabs>
          <w:tab w:val="center" w:pos="4252"/>
          <w:tab w:val="right" w:pos="8504"/>
        </w:tabs>
        <w:spacing w:line="360" w:lineRule="auto"/>
        <w:ind w:left="-57"/>
        <w:jc w:val="both"/>
        <w:rPr>
          <w:rFonts w:ascii="Palatino Linotype" w:eastAsia="Palatino Linotype" w:hAnsi="Palatino Linotype" w:cs="Palatino Linotype"/>
          <w:color w:val="000000"/>
        </w:rPr>
      </w:pPr>
      <w:r w:rsidRPr="00CF1F2E">
        <w:rPr>
          <w:rFonts w:ascii="Palatino Linotype" w:eastAsia="Palatino Linotype" w:hAnsi="Palatino Linotype" w:cs="Palatino Linotype"/>
          <w:b/>
          <w:sz w:val="28"/>
          <w:szCs w:val="28"/>
        </w:rPr>
        <w:lastRenderedPageBreak/>
        <w:t>TERCERO.</w:t>
      </w:r>
      <w:r w:rsidRPr="00CF1F2E">
        <w:rPr>
          <w:rFonts w:ascii="Palatino Linotype" w:eastAsia="Palatino Linotype" w:hAnsi="Palatino Linotype" w:cs="Palatino Linotype"/>
        </w:rPr>
        <w:t xml:space="preserve"> </w:t>
      </w:r>
      <w:r w:rsidRPr="00CF1F2E">
        <w:rPr>
          <w:rFonts w:ascii="Palatino Linotype" w:eastAsia="Palatino Linotype" w:hAnsi="Palatino Linotype" w:cs="Palatino Linotype"/>
          <w:b/>
          <w:color w:val="000000"/>
        </w:rPr>
        <w:t>Oportunidad</w:t>
      </w:r>
      <w:r w:rsidRPr="00CF1F2E">
        <w:rPr>
          <w:rFonts w:ascii="Palatino Linotype" w:eastAsia="Palatino Linotype" w:hAnsi="Palatino Linotype" w:cs="Palatino Linotype"/>
          <w:color w:val="000000"/>
        </w:rPr>
        <w:t xml:space="preserve">. </w:t>
      </w:r>
    </w:p>
    <w:p w14:paraId="7CD9AB97" w14:textId="77777777" w:rsidR="006B4EAC" w:rsidRPr="00CF1F2E" w:rsidRDefault="00401A1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F1F2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CF1F2E">
        <w:rPr>
          <w:rFonts w:ascii="Palatino Linotype" w:eastAsia="Palatino Linotype" w:hAnsi="Palatino Linotype" w:cs="Palatino Linotype"/>
          <w:b/>
          <w:color w:val="000000"/>
        </w:rPr>
        <w:t xml:space="preserve">EL RECURRENTE </w:t>
      </w:r>
      <w:r w:rsidRPr="00CF1F2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598C53A" w14:textId="77777777" w:rsidR="006B4EAC" w:rsidRPr="00CF1F2E" w:rsidRDefault="006B4EAC">
      <w:pPr>
        <w:ind w:left="720" w:right="709"/>
        <w:jc w:val="both"/>
        <w:rPr>
          <w:rFonts w:ascii="Palatino Linotype" w:eastAsia="Palatino Linotype" w:hAnsi="Palatino Linotype" w:cs="Palatino Linotype"/>
          <w:i/>
          <w:sz w:val="22"/>
          <w:szCs w:val="22"/>
        </w:rPr>
      </w:pPr>
    </w:p>
    <w:p w14:paraId="10D32833" w14:textId="77777777" w:rsidR="006B4EAC" w:rsidRPr="00CF1F2E" w:rsidRDefault="00401A1E">
      <w:pPr>
        <w:ind w:left="851" w:right="899"/>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w:t>
      </w:r>
      <w:r w:rsidRPr="00CF1F2E">
        <w:rPr>
          <w:rFonts w:ascii="Palatino Linotype" w:eastAsia="Palatino Linotype" w:hAnsi="Palatino Linotype" w:cs="Palatino Linotype"/>
          <w:b/>
          <w:i/>
          <w:sz w:val="22"/>
          <w:szCs w:val="22"/>
        </w:rPr>
        <w:t>Artículo 178.</w:t>
      </w:r>
      <w:r w:rsidRPr="00CF1F2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B9F61C" w14:textId="77777777" w:rsidR="006B4EAC" w:rsidRPr="00CF1F2E" w:rsidRDefault="006B4EAC">
      <w:pPr>
        <w:ind w:left="851" w:right="899"/>
        <w:jc w:val="both"/>
        <w:rPr>
          <w:rFonts w:ascii="Palatino Linotype" w:eastAsia="Palatino Linotype" w:hAnsi="Palatino Linotype" w:cs="Palatino Linotype"/>
          <w:i/>
          <w:sz w:val="22"/>
          <w:szCs w:val="22"/>
        </w:rPr>
      </w:pPr>
    </w:p>
    <w:p w14:paraId="6C2351E2" w14:textId="77777777" w:rsidR="006B4EAC" w:rsidRPr="00CF1F2E" w:rsidRDefault="00401A1E">
      <w:pPr>
        <w:ind w:left="851" w:right="899"/>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2093068" w14:textId="77777777" w:rsidR="006B4EAC" w:rsidRPr="00CF1F2E" w:rsidRDefault="006B4EAC">
      <w:pPr>
        <w:ind w:left="851" w:right="899"/>
        <w:jc w:val="both"/>
        <w:rPr>
          <w:rFonts w:ascii="Palatino Linotype" w:eastAsia="Palatino Linotype" w:hAnsi="Palatino Linotype" w:cs="Palatino Linotype"/>
          <w:i/>
          <w:sz w:val="22"/>
          <w:szCs w:val="22"/>
        </w:rPr>
      </w:pPr>
    </w:p>
    <w:p w14:paraId="5592CF6F" w14:textId="77777777" w:rsidR="006B4EAC" w:rsidRPr="00CF1F2E" w:rsidRDefault="00401A1E">
      <w:pPr>
        <w:ind w:left="851" w:right="899"/>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C2CC45D" w14:textId="77777777" w:rsidR="006B4EAC" w:rsidRPr="00CF1F2E" w:rsidRDefault="006B4EAC">
      <w:pPr>
        <w:ind w:left="720" w:right="709"/>
        <w:jc w:val="both"/>
        <w:rPr>
          <w:rFonts w:ascii="Palatino Linotype" w:eastAsia="Palatino Linotype" w:hAnsi="Palatino Linotype" w:cs="Palatino Linotype"/>
          <w:i/>
          <w:sz w:val="22"/>
          <w:szCs w:val="22"/>
        </w:rPr>
      </w:pPr>
    </w:p>
    <w:p w14:paraId="5C762B54" w14:textId="77777777" w:rsidR="006B4EAC" w:rsidRPr="00CF1F2E" w:rsidRDefault="00401A1E">
      <w:pPr>
        <w:spacing w:line="360" w:lineRule="auto"/>
        <w:jc w:val="both"/>
        <w:rPr>
          <w:rFonts w:ascii="Palatino Linotype" w:eastAsia="Palatino Linotype" w:hAnsi="Palatino Linotype" w:cs="Palatino Linotype"/>
        </w:rPr>
      </w:pPr>
      <w:bookmarkStart w:id="3" w:name="_heading=h.2et92p0" w:colFirst="0" w:colLast="0"/>
      <w:bookmarkEnd w:id="3"/>
      <w:r w:rsidRPr="00CF1F2E">
        <w:rPr>
          <w:rFonts w:ascii="Palatino Linotype" w:eastAsia="Palatino Linotype" w:hAnsi="Palatino Linotype" w:cs="Palatino Linotype"/>
        </w:rPr>
        <w:t xml:space="preserve">En esa tesitura, atendiendo a que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notificó la respuesta a la solicitud de acceso a la información pública el día</w:t>
      </w:r>
      <w:r w:rsidRPr="00CF1F2E">
        <w:rPr>
          <w:rFonts w:ascii="Palatino Linotype" w:eastAsia="Palatino Linotype" w:hAnsi="Palatino Linotype" w:cs="Palatino Linotype"/>
          <w:b/>
        </w:rPr>
        <w:t xml:space="preserve"> diez de marzo de dos mil veintidós</w:t>
      </w:r>
      <w:r w:rsidRPr="00CF1F2E">
        <w:rPr>
          <w:rFonts w:ascii="Palatino Linotype" w:eastAsia="Palatino Linotype" w:hAnsi="Palatino Linotype" w:cs="Palatino Linotype"/>
        </w:rPr>
        <w:t>; así, el plazo de quince días hábiles que el artículo 178 de la Ley de la materia otorga al</w:t>
      </w:r>
      <w:r w:rsidRPr="00CF1F2E">
        <w:rPr>
          <w:rFonts w:ascii="Palatino Linotype" w:eastAsia="Palatino Linotype" w:hAnsi="Palatino Linotype" w:cs="Palatino Linotype"/>
          <w:b/>
        </w:rPr>
        <w:t xml:space="preserve"> RECURRENTE</w:t>
      </w:r>
      <w:r w:rsidRPr="00CF1F2E">
        <w:rPr>
          <w:rFonts w:ascii="Palatino Linotype" w:eastAsia="Palatino Linotype" w:hAnsi="Palatino Linotype" w:cs="Palatino Linotype"/>
        </w:rPr>
        <w:t xml:space="preserve"> para presentar el respectivo Recurso de Revisión, transcurrió del</w:t>
      </w:r>
      <w:r w:rsidRPr="00CF1F2E">
        <w:rPr>
          <w:rFonts w:ascii="Palatino Linotype" w:eastAsia="Palatino Linotype" w:hAnsi="Palatino Linotype" w:cs="Palatino Linotype"/>
          <w:b/>
        </w:rPr>
        <w:t xml:space="preserve"> once al primero de abril de dos mil veintidós, </w:t>
      </w:r>
      <w:r w:rsidRPr="00CF1F2E">
        <w:rPr>
          <w:rFonts w:ascii="Palatino Linotype" w:eastAsia="Palatino Linotype" w:hAnsi="Palatino Linotype" w:cs="Palatino Linotype"/>
        </w:rPr>
        <w:t xml:space="preserve">sin contemplar en el cómputo los días doce, trece, diecinueve, veinte, veintiséis y veintisiete de marzo de dos mil veintidós por </w:t>
      </w:r>
      <w:r w:rsidRPr="00CF1F2E">
        <w:rPr>
          <w:rFonts w:ascii="Palatino Linotype" w:eastAsia="Palatino Linotype" w:hAnsi="Palatino Linotype" w:cs="Palatino Linotype"/>
        </w:rPr>
        <w:lastRenderedPageBreak/>
        <w:t>corresponder a sábados y domingos, considerados como días inhábiles, en términos del artículo 3, fracción X de la Ley de Transparencia y Acceso a la Información Pública del Estado de México y Municipios. Así como, 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CF1F2E">
        <w:rPr>
          <w:rFonts w:ascii="Palatino Linotype" w:eastAsia="Palatino Linotype" w:hAnsi="Palatino Linotype" w:cs="Palatino Linotype"/>
          <w:vertAlign w:val="superscript"/>
        </w:rPr>
        <w:footnoteReference w:id="1"/>
      </w:r>
      <w:r w:rsidRPr="00CF1F2E">
        <w:rPr>
          <w:rFonts w:ascii="Palatino Linotype" w:eastAsia="Palatino Linotype" w:hAnsi="Palatino Linotype" w:cs="Palatino Linotype"/>
        </w:rPr>
        <w:t>.</w:t>
      </w:r>
    </w:p>
    <w:p w14:paraId="3C6925FC" w14:textId="77777777" w:rsidR="006B4EAC" w:rsidRPr="00CF1F2E" w:rsidRDefault="006B4EAC">
      <w:pPr>
        <w:spacing w:line="360" w:lineRule="auto"/>
        <w:jc w:val="both"/>
        <w:rPr>
          <w:rFonts w:ascii="Palatino Linotype" w:eastAsia="Palatino Linotype" w:hAnsi="Palatino Linotype" w:cs="Palatino Linotype"/>
        </w:rPr>
      </w:pPr>
      <w:bookmarkStart w:id="4" w:name="_heading=h.orkc3o7h9xbv" w:colFirst="0" w:colLast="0"/>
      <w:bookmarkEnd w:id="4"/>
    </w:p>
    <w:p w14:paraId="28E300AD" w14:textId="77777777" w:rsidR="006B4EAC" w:rsidRPr="00CF1F2E" w:rsidRDefault="00401A1E">
      <w:pPr>
        <w:spacing w:line="360" w:lineRule="auto"/>
        <w:ind w:left="-5" w:hanging="10"/>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En ese tenor, se advierte que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presentó el medio de impugnación, el día diecisiete de marzo de la anualidad, por lo cual,  se encuentra dentro del plazo establecido por el artículo 178, de la Ley de Transparencia y Acceso a la Información Pública del Estado de México y Municipios. </w:t>
      </w:r>
    </w:p>
    <w:p w14:paraId="279DB54E" w14:textId="77777777" w:rsidR="006B4EAC" w:rsidRPr="00CF1F2E" w:rsidRDefault="006B4EAC">
      <w:pPr>
        <w:spacing w:line="360" w:lineRule="auto"/>
        <w:ind w:left="-5" w:hanging="10"/>
        <w:jc w:val="both"/>
        <w:rPr>
          <w:rFonts w:ascii="Palatino Linotype" w:eastAsia="Palatino Linotype" w:hAnsi="Palatino Linotype" w:cs="Palatino Linotype"/>
          <w:b/>
        </w:rPr>
      </w:pPr>
    </w:p>
    <w:p w14:paraId="68413D9C" w14:textId="77777777" w:rsidR="006B4EAC" w:rsidRPr="00CF1F2E" w:rsidRDefault="00401A1E">
      <w:pPr>
        <w:spacing w:line="360" w:lineRule="auto"/>
        <w:ind w:right="49"/>
        <w:jc w:val="both"/>
        <w:rPr>
          <w:rFonts w:ascii="Palatino Linotype" w:eastAsia="Palatino Linotype" w:hAnsi="Palatino Linotype" w:cs="Palatino Linotype"/>
          <w:b/>
        </w:rPr>
      </w:pPr>
      <w:r w:rsidRPr="00CF1F2E">
        <w:rPr>
          <w:rFonts w:ascii="Palatino Linotype" w:eastAsia="Palatino Linotype" w:hAnsi="Palatino Linotype" w:cs="Palatino Linotype"/>
          <w:b/>
          <w:sz w:val="28"/>
          <w:szCs w:val="28"/>
        </w:rPr>
        <w:t>CUARTO</w:t>
      </w:r>
      <w:r w:rsidRPr="00CF1F2E">
        <w:rPr>
          <w:rFonts w:ascii="Palatino Linotype" w:eastAsia="Palatino Linotype" w:hAnsi="Palatino Linotype" w:cs="Palatino Linotype"/>
          <w:b/>
        </w:rPr>
        <w:t xml:space="preserve">. Procedibilidad. </w:t>
      </w:r>
    </w:p>
    <w:p w14:paraId="29E5866E"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CF1F2E">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6562EDFE" w14:textId="77777777" w:rsidR="006B4EAC" w:rsidRPr="00CF1F2E" w:rsidRDefault="006B4EAC">
      <w:pPr>
        <w:spacing w:line="360" w:lineRule="auto"/>
        <w:ind w:right="49"/>
        <w:jc w:val="both"/>
        <w:rPr>
          <w:rFonts w:ascii="Palatino Linotype" w:eastAsia="Palatino Linotype" w:hAnsi="Palatino Linotype" w:cs="Palatino Linotype"/>
        </w:rPr>
      </w:pPr>
    </w:p>
    <w:p w14:paraId="1F5126C8" w14:textId="77777777" w:rsidR="006B4EAC" w:rsidRPr="00CF1F2E" w:rsidRDefault="00401A1E">
      <w:pPr>
        <w:tabs>
          <w:tab w:val="left" w:pos="851"/>
        </w:tabs>
        <w:ind w:left="851" w:right="901"/>
        <w:jc w:val="both"/>
        <w:rPr>
          <w:rFonts w:ascii="Palatino Linotype" w:eastAsia="Palatino Linotype" w:hAnsi="Palatino Linotype" w:cs="Palatino Linotype"/>
          <w:b/>
          <w:i/>
          <w:sz w:val="22"/>
          <w:szCs w:val="22"/>
        </w:rPr>
      </w:pPr>
      <w:r w:rsidRPr="00CF1F2E">
        <w:rPr>
          <w:rFonts w:ascii="Palatino Linotype" w:eastAsia="Palatino Linotype" w:hAnsi="Palatino Linotype" w:cs="Palatino Linotype"/>
          <w:b/>
          <w:i/>
          <w:sz w:val="22"/>
          <w:szCs w:val="22"/>
        </w:rPr>
        <w:t xml:space="preserve">“Artículo 180. </w:t>
      </w:r>
      <w:r w:rsidRPr="00CF1F2E">
        <w:rPr>
          <w:rFonts w:ascii="Palatino Linotype" w:eastAsia="Palatino Linotype" w:hAnsi="Palatino Linotype" w:cs="Palatino Linotype"/>
          <w:i/>
          <w:sz w:val="22"/>
          <w:szCs w:val="22"/>
        </w:rPr>
        <w:t>El Recurso de Revisión contendrá:</w:t>
      </w:r>
      <w:r w:rsidRPr="00CF1F2E">
        <w:rPr>
          <w:rFonts w:ascii="Palatino Linotype" w:eastAsia="Palatino Linotype" w:hAnsi="Palatino Linotype" w:cs="Palatino Linotype"/>
          <w:b/>
          <w:i/>
          <w:sz w:val="22"/>
          <w:szCs w:val="22"/>
        </w:rPr>
        <w:t xml:space="preserve"> </w:t>
      </w:r>
    </w:p>
    <w:p w14:paraId="074983A7" w14:textId="77777777" w:rsidR="006B4EAC" w:rsidRPr="00CF1F2E" w:rsidRDefault="00401A1E">
      <w:pPr>
        <w:tabs>
          <w:tab w:val="left" w:pos="851"/>
        </w:tabs>
        <w:ind w:left="851" w:right="901"/>
        <w:jc w:val="both"/>
        <w:rPr>
          <w:rFonts w:ascii="Palatino Linotype" w:eastAsia="Palatino Linotype" w:hAnsi="Palatino Linotype" w:cs="Palatino Linotype"/>
          <w:b/>
          <w:i/>
          <w:sz w:val="22"/>
          <w:szCs w:val="22"/>
        </w:rPr>
      </w:pPr>
      <w:r w:rsidRPr="00CF1F2E">
        <w:rPr>
          <w:rFonts w:ascii="Palatino Linotype" w:eastAsia="Palatino Linotype" w:hAnsi="Palatino Linotype" w:cs="Palatino Linotype"/>
          <w:b/>
          <w:i/>
          <w:sz w:val="22"/>
          <w:szCs w:val="22"/>
        </w:rPr>
        <w:t>…</w:t>
      </w:r>
    </w:p>
    <w:p w14:paraId="2A4C4B9A" w14:textId="77777777" w:rsidR="006B4EAC" w:rsidRPr="00CF1F2E" w:rsidRDefault="00401A1E">
      <w:pPr>
        <w:tabs>
          <w:tab w:val="left" w:pos="851"/>
        </w:tabs>
        <w:ind w:left="851" w:right="90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b/>
          <w:i/>
          <w:sz w:val="22"/>
          <w:szCs w:val="22"/>
        </w:rPr>
        <w:t xml:space="preserve">II. El nombre del solicitante </w:t>
      </w:r>
      <w:r w:rsidRPr="00CF1F2E">
        <w:rPr>
          <w:rFonts w:ascii="Palatino Linotype" w:eastAsia="Palatino Linotype" w:hAnsi="Palatino Linotype" w:cs="Palatino Linotype"/>
          <w:b/>
          <w:i/>
          <w:color w:val="222222"/>
          <w:sz w:val="22"/>
          <w:szCs w:val="22"/>
        </w:rPr>
        <w:t>que</w:t>
      </w:r>
      <w:r w:rsidRPr="00CF1F2E">
        <w:rPr>
          <w:rFonts w:ascii="Palatino Linotype" w:eastAsia="Palatino Linotype" w:hAnsi="Palatino Linotype" w:cs="Palatino Linotype"/>
          <w:b/>
          <w:i/>
          <w:sz w:val="22"/>
          <w:szCs w:val="22"/>
        </w:rPr>
        <w:t xml:space="preserve"> recurre </w:t>
      </w:r>
      <w:r w:rsidRPr="00CF1F2E">
        <w:rPr>
          <w:rFonts w:ascii="Palatino Linotype" w:eastAsia="Palatino Linotype" w:hAnsi="Palatino Linotype" w:cs="Palatino Linotype"/>
          <w:i/>
          <w:sz w:val="22"/>
          <w:szCs w:val="22"/>
        </w:rPr>
        <w:t>o de su representante y, en su caso, …</w:t>
      </w:r>
    </w:p>
    <w:p w14:paraId="4BFD13AF" w14:textId="77777777" w:rsidR="006B4EAC" w:rsidRPr="00CF1F2E" w:rsidRDefault="00401A1E">
      <w:pPr>
        <w:tabs>
          <w:tab w:val="left" w:pos="851"/>
        </w:tabs>
        <w:ind w:left="851" w:right="901"/>
        <w:jc w:val="both"/>
        <w:rPr>
          <w:rFonts w:ascii="Palatino Linotype" w:eastAsia="Palatino Linotype" w:hAnsi="Palatino Linotype" w:cs="Palatino Linotype"/>
          <w:b/>
          <w:i/>
          <w:sz w:val="22"/>
          <w:szCs w:val="22"/>
        </w:rPr>
      </w:pPr>
      <w:r w:rsidRPr="00CF1F2E">
        <w:rPr>
          <w:rFonts w:ascii="Palatino Linotype" w:eastAsia="Palatino Linotype" w:hAnsi="Palatino Linotype" w:cs="Palatino Linotype"/>
          <w:b/>
          <w:i/>
          <w:sz w:val="22"/>
          <w:szCs w:val="22"/>
        </w:rPr>
        <w:t xml:space="preserve">En caso de </w:t>
      </w:r>
      <w:r w:rsidRPr="00CF1F2E">
        <w:rPr>
          <w:rFonts w:ascii="Palatino Linotype" w:eastAsia="Palatino Linotype" w:hAnsi="Palatino Linotype" w:cs="Palatino Linotype"/>
          <w:b/>
          <w:i/>
          <w:color w:val="222222"/>
          <w:sz w:val="22"/>
          <w:szCs w:val="22"/>
        </w:rPr>
        <w:t>que</w:t>
      </w:r>
      <w:r w:rsidRPr="00CF1F2E">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F1F2E">
        <w:rPr>
          <w:rFonts w:ascii="Palatino Linotype" w:eastAsia="Palatino Linotype" w:hAnsi="Palatino Linotype" w:cs="Palatino Linotype"/>
          <w:i/>
          <w:sz w:val="22"/>
          <w:szCs w:val="22"/>
        </w:rPr>
        <w:t>, IV, VII y VIII.</w:t>
      </w:r>
      <w:r w:rsidRPr="00CF1F2E">
        <w:rPr>
          <w:rFonts w:ascii="Palatino Linotype" w:eastAsia="Palatino Linotype" w:hAnsi="Palatino Linotype" w:cs="Palatino Linotype"/>
          <w:b/>
          <w:i/>
          <w:sz w:val="22"/>
          <w:szCs w:val="22"/>
        </w:rPr>
        <w:t>”</w:t>
      </w:r>
    </w:p>
    <w:p w14:paraId="46E8F804" w14:textId="77777777" w:rsidR="006B4EAC" w:rsidRPr="00CF1F2E" w:rsidRDefault="00401A1E">
      <w:pPr>
        <w:tabs>
          <w:tab w:val="left" w:pos="851"/>
        </w:tabs>
        <w:ind w:left="851" w:right="90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(Énfasis añadido)</w:t>
      </w:r>
    </w:p>
    <w:p w14:paraId="727F8A51" w14:textId="77777777" w:rsidR="006B4EAC" w:rsidRPr="00CF1F2E" w:rsidRDefault="006B4EAC">
      <w:pPr>
        <w:tabs>
          <w:tab w:val="left" w:pos="851"/>
        </w:tabs>
        <w:ind w:right="901"/>
        <w:jc w:val="both"/>
        <w:rPr>
          <w:rFonts w:ascii="Palatino Linotype" w:eastAsia="Palatino Linotype" w:hAnsi="Palatino Linotype" w:cs="Palatino Linotype"/>
          <w:i/>
          <w:sz w:val="22"/>
          <w:szCs w:val="22"/>
        </w:rPr>
      </w:pPr>
    </w:p>
    <w:p w14:paraId="21EA2F9A"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CF1F2E">
        <w:rPr>
          <w:rFonts w:ascii="Palatino Linotype" w:eastAsia="Palatino Linotype" w:hAnsi="Palatino Linotype" w:cs="Palatino Linotype"/>
          <w:b/>
        </w:rPr>
        <w:t>;</w:t>
      </w:r>
      <w:r w:rsidRPr="00CF1F2E">
        <w:rPr>
          <w:rFonts w:ascii="Palatino Linotype" w:eastAsia="Palatino Linotype" w:hAnsi="Palatino Linotype" w:cs="Palatino Linotype"/>
        </w:rPr>
        <w:t xml:space="preserve"> por lo que, en el presente caso, al haber sido presentado el Recurso de Revisión vía </w:t>
      </w:r>
      <w:r w:rsidRPr="00CF1F2E">
        <w:rPr>
          <w:rFonts w:ascii="Palatino Linotype" w:eastAsia="Palatino Linotype" w:hAnsi="Palatino Linotype" w:cs="Palatino Linotype"/>
          <w:b/>
        </w:rPr>
        <w:t>SAIMEX</w:t>
      </w:r>
      <w:r w:rsidRPr="00CF1F2E">
        <w:rPr>
          <w:rFonts w:ascii="Palatino Linotype" w:eastAsia="Palatino Linotype" w:hAnsi="Palatino Linotype" w:cs="Palatino Linotype"/>
        </w:rPr>
        <w:t>, dicho requisito resulta innecesario.</w:t>
      </w:r>
    </w:p>
    <w:p w14:paraId="3030E942" w14:textId="77777777" w:rsidR="006B4EAC" w:rsidRPr="00CF1F2E" w:rsidRDefault="006B4EAC">
      <w:pPr>
        <w:spacing w:line="360" w:lineRule="auto"/>
        <w:jc w:val="both"/>
        <w:rPr>
          <w:rFonts w:ascii="Palatino Linotype" w:eastAsia="Palatino Linotype" w:hAnsi="Palatino Linotype" w:cs="Palatino Linotype"/>
          <w:b/>
        </w:rPr>
      </w:pPr>
    </w:p>
    <w:p w14:paraId="5F71594C"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F1F2E">
        <w:rPr>
          <w:rFonts w:ascii="Palatino Linotype" w:eastAsia="Palatino Linotype" w:hAnsi="Palatino Linotype" w:cs="Palatino Linotype"/>
          <w:b/>
          <w:u w:val="single"/>
        </w:rPr>
        <w:t xml:space="preserve">el nombre no es un requisito </w:t>
      </w:r>
      <w:r w:rsidRPr="00CF1F2E">
        <w:rPr>
          <w:rFonts w:ascii="Palatino Linotype" w:eastAsia="Palatino Linotype" w:hAnsi="Palatino Linotype" w:cs="Palatino Linotype"/>
          <w:b/>
          <w:i/>
          <w:u w:val="single"/>
        </w:rPr>
        <w:t>sine qua non</w:t>
      </w:r>
      <w:r w:rsidRPr="00CF1F2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A7BAE06" w14:textId="77777777" w:rsidR="006B4EAC" w:rsidRPr="00CF1F2E" w:rsidRDefault="006B4EAC">
      <w:pPr>
        <w:spacing w:line="360" w:lineRule="auto"/>
        <w:jc w:val="both"/>
        <w:rPr>
          <w:rFonts w:ascii="Palatino Linotype" w:eastAsia="Palatino Linotype" w:hAnsi="Palatino Linotype" w:cs="Palatino Linotype"/>
        </w:rPr>
      </w:pPr>
    </w:p>
    <w:p w14:paraId="15CFE7DC" w14:textId="77777777" w:rsidR="006B4EAC" w:rsidRPr="00CF1F2E" w:rsidRDefault="00401A1E">
      <w:pPr>
        <w:spacing w:line="360" w:lineRule="auto"/>
        <w:jc w:val="both"/>
        <w:rPr>
          <w:rFonts w:ascii="Palatino Linotype" w:eastAsia="Palatino Linotype" w:hAnsi="Palatino Linotype" w:cs="Palatino Linotype"/>
          <w:sz w:val="22"/>
          <w:szCs w:val="22"/>
        </w:rPr>
      </w:pPr>
      <w:r w:rsidRPr="00CF1F2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3FEA7EE" w14:textId="77777777" w:rsidR="006B4EAC" w:rsidRPr="00CF1F2E" w:rsidRDefault="006B4EAC">
      <w:pPr>
        <w:tabs>
          <w:tab w:val="left" w:pos="851"/>
        </w:tabs>
        <w:ind w:left="851" w:right="901"/>
        <w:jc w:val="both"/>
        <w:rPr>
          <w:rFonts w:ascii="Palatino Linotype" w:eastAsia="Palatino Linotype" w:hAnsi="Palatino Linotype" w:cs="Palatino Linotype"/>
          <w:sz w:val="22"/>
          <w:szCs w:val="22"/>
        </w:rPr>
      </w:pPr>
    </w:p>
    <w:p w14:paraId="3B7D3A77"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Asimismo, se estima que el requisito relativo al nombre de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F1F2E">
        <w:rPr>
          <w:rFonts w:ascii="Palatino Linotype" w:eastAsia="Palatino Linotype" w:hAnsi="Palatino Linotype" w:cs="Palatino Linotype"/>
          <w:b/>
        </w:rPr>
        <w:t xml:space="preserve">EL RECURRENTE </w:t>
      </w:r>
      <w:r w:rsidRPr="00CF1F2E">
        <w:rPr>
          <w:rFonts w:ascii="Palatino Linotype" w:eastAsia="Palatino Linotype" w:hAnsi="Palatino Linotype" w:cs="Palatino Linotype"/>
        </w:rPr>
        <w:t xml:space="preserve"> es la misma persona que realizó la solicitud de Acceso a la Información Pública que ahora se impugna.</w:t>
      </w:r>
    </w:p>
    <w:p w14:paraId="4E38BB60" w14:textId="77777777" w:rsidR="006B4EAC" w:rsidRPr="00CF1F2E" w:rsidRDefault="006B4EAC">
      <w:pPr>
        <w:tabs>
          <w:tab w:val="left" w:pos="851"/>
        </w:tabs>
        <w:ind w:left="851" w:right="901"/>
        <w:jc w:val="both"/>
        <w:rPr>
          <w:rFonts w:ascii="Palatino Linotype" w:eastAsia="Palatino Linotype" w:hAnsi="Palatino Linotype" w:cs="Palatino Linotype"/>
          <w:sz w:val="22"/>
          <w:szCs w:val="22"/>
        </w:rPr>
      </w:pPr>
    </w:p>
    <w:p w14:paraId="71792B09" w14:textId="77777777" w:rsidR="006B4EAC" w:rsidRPr="00CF1F2E" w:rsidRDefault="00401A1E">
      <w:pPr>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074FE51" w14:textId="77777777" w:rsidR="006B4EAC" w:rsidRPr="00CF1F2E" w:rsidRDefault="006B4EAC">
      <w:pPr>
        <w:spacing w:line="360" w:lineRule="auto"/>
        <w:ind w:right="49"/>
        <w:jc w:val="both"/>
        <w:rPr>
          <w:rFonts w:ascii="Palatino Linotype" w:eastAsia="Palatino Linotype" w:hAnsi="Palatino Linotype" w:cs="Palatino Linotype"/>
        </w:rPr>
      </w:pPr>
    </w:p>
    <w:p w14:paraId="334D419E"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sz w:val="28"/>
          <w:szCs w:val="28"/>
        </w:rPr>
        <w:t>QUINTO</w:t>
      </w:r>
      <w:r w:rsidRPr="00CF1F2E">
        <w:rPr>
          <w:rFonts w:ascii="Palatino Linotype" w:eastAsia="Palatino Linotype" w:hAnsi="Palatino Linotype" w:cs="Palatino Linotype"/>
          <w:b/>
        </w:rPr>
        <w:t xml:space="preserve">. Estudio y resolución del asunto. </w:t>
      </w:r>
    </w:p>
    <w:p w14:paraId="35DB1C39"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En primera instancia, de las constancias que obran en el expediente electrónico del SAIMEX se aprecia que en el caso que nos ocupa se actualiza la hipótesis de procedibilidad prevista en la fracción I, del artículo 179 de la Ley de Transparencia y Acceso a la Información Pública del Estado de México y Municipios, el cual a la letra dice:</w:t>
      </w:r>
    </w:p>
    <w:p w14:paraId="31D677AC" w14:textId="77777777" w:rsidR="006B4EAC" w:rsidRPr="00CF1F2E" w:rsidRDefault="00401A1E">
      <w:pPr>
        <w:ind w:left="851" w:right="90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w:t>
      </w:r>
      <w:r w:rsidRPr="00CF1F2E">
        <w:rPr>
          <w:rFonts w:ascii="Palatino Linotype" w:eastAsia="Palatino Linotype" w:hAnsi="Palatino Linotype" w:cs="Palatino Linotype"/>
          <w:b/>
          <w:i/>
          <w:sz w:val="22"/>
          <w:szCs w:val="22"/>
        </w:rPr>
        <w:t>Artículo 179.</w:t>
      </w:r>
      <w:r w:rsidRPr="00CF1F2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B9C779" w14:textId="77777777" w:rsidR="006B4EAC" w:rsidRPr="00CF1F2E" w:rsidRDefault="00401A1E">
      <w:pPr>
        <w:ind w:left="851" w:right="901"/>
        <w:jc w:val="both"/>
        <w:rPr>
          <w:rFonts w:ascii="Palatino Linotype" w:eastAsia="Palatino Linotype" w:hAnsi="Palatino Linotype" w:cs="Palatino Linotype"/>
          <w:b/>
          <w:i/>
          <w:sz w:val="22"/>
          <w:szCs w:val="22"/>
        </w:rPr>
      </w:pPr>
      <w:r w:rsidRPr="00CF1F2E">
        <w:rPr>
          <w:rFonts w:ascii="Palatino Linotype" w:eastAsia="Palatino Linotype" w:hAnsi="Palatino Linotype" w:cs="Palatino Linotype"/>
          <w:b/>
          <w:i/>
          <w:sz w:val="22"/>
          <w:szCs w:val="22"/>
        </w:rPr>
        <w:t>(…)</w:t>
      </w:r>
    </w:p>
    <w:p w14:paraId="71261318" w14:textId="77777777" w:rsidR="006B4EAC" w:rsidRPr="00CF1F2E" w:rsidRDefault="00401A1E">
      <w:pPr>
        <w:ind w:left="851" w:right="901"/>
        <w:jc w:val="both"/>
        <w:rPr>
          <w:rFonts w:ascii="Palatino Linotype" w:eastAsia="Palatino Linotype" w:hAnsi="Palatino Linotype" w:cs="Palatino Linotype"/>
          <w:b/>
          <w:i/>
          <w:sz w:val="22"/>
          <w:szCs w:val="22"/>
        </w:rPr>
      </w:pPr>
      <w:r w:rsidRPr="00CF1F2E">
        <w:rPr>
          <w:rFonts w:ascii="Palatino Linotype" w:eastAsia="Palatino Linotype" w:hAnsi="Palatino Linotype" w:cs="Palatino Linotype"/>
          <w:b/>
          <w:i/>
          <w:sz w:val="22"/>
          <w:szCs w:val="22"/>
        </w:rPr>
        <w:t>I. La negativa a la información solicitada; ;</w:t>
      </w:r>
    </w:p>
    <w:p w14:paraId="5CB76B04" w14:textId="77777777" w:rsidR="006B4EAC" w:rsidRPr="00CF1F2E" w:rsidRDefault="00401A1E">
      <w:pPr>
        <w:ind w:left="851" w:right="90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b/>
          <w:i/>
          <w:sz w:val="22"/>
          <w:szCs w:val="22"/>
        </w:rPr>
        <w:t>(…)</w:t>
      </w:r>
      <w:r w:rsidRPr="00CF1F2E">
        <w:rPr>
          <w:rFonts w:ascii="Palatino Linotype" w:eastAsia="Palatino Linotype" w:hAnsi="Palatino Linotype" w:cs="Palatino Linotype"/>
          <w:i/>
          <w:sz w:val="22"/>
          <w:szCs w:val="22"/>
        </w:rPr>
        <w:t>”</w:t>
      </w:r>
    </w:p>
    <w:p w14:paraId="0391567E" w14:textId="77777777" w:rsidR="006B4EAC" w:rsidRPr="00CF1F2E" w:rsidRDefault="00401A1E">
      <w:pPr>
        <w:ind w:left="851" w:right="90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(Énfasis añadido)</w:t>
      </w:r>
    </w:p>
    <w:p w14:paraId="79AFD1AC"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lastRenderedPageBreak/>
        <w:t xml:space="preserve">Una vez establecido lo anterior, es necesario realizar un estudio del total de las constancias que integran el expediente electrónico del SAIMEX  a fin de determinar si fue atendido el derecho de acceso a la Información del particular </w:t>
      </w:r>
    </w:p>
    <w:p w14:paraId="690BB2A3" w14:textId="77777777" w:rsidR="005359FD" w:rsidRPr="00CF1F2E" w:rsidRDefault="005359FD">
      <w:pPr>
        <w:spacing w:line="360" w:lineRule="auto"/>
        <w:ind w:right="49"/>
        <w:jc w:val="both"/>
        <w:rPr>
          <w:rFonts w:ascii="Palatino Linotype" w:eastAsia="Palatino Linotype" w:hAnsi="Palatino Linotype" w:cs="Palatino Linotype"/>
        </w:rPr>
      </w:pPr>
    </w:p>
    <w:p w14:paraId="00D0FA80"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En tal sentido, para un mejor estudio y comprensión del asunto que se resuelve, es preciso recordar que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solicitó al </w:t>
      </w:r>
      <w:r w:rsidRPr="00CF1F2E">
        <w:rPr>
          <w:rFonts w:ascii="Palatino Linotype" w:eastAsia="Palatino Linotype" w:hAnsi="Palatino Linotype" w:cs="Palatino Linotype"/>
          <w:b/>
        </w:rPr>
        <w:t>SUJETO OBLIGADO</w:t>
      </w:r>
      <w:r w:rsidRPr="00CF1F2E">
        <w:rPr>
          <w:rFonts w:ascii="Palatino Linotype" w:eastAsia="Palatino Linotype" w:hAnsi="Palatino Linotype" w:cs="Palatino Linotype"/>
        </w:rPr>
        <w:t xml:space="preserve"> lo siguiente: </w:t>
      </w:r>
    </w:p>
    <w:p w14:paraId="6C26A776" w14:textId="77777777" w:rsidR="006B4EAC" w:rsidRPr="00CF1F2E" w:rsidRDefault="00401A1E">
      <w:pPr>
        <w:ind w:left="850" w:right="899"/>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“solicito la ultima balanza de comprobacion detallada acumulada trimestral de ese odapas” (sic)</w:t>
      </w:r>
    </w:p>
    <w:p w14:paraId="21F34518" w14:textId="77777777" w:rsidR="006B4EAC" w:rsidRPr="00CF1F2E" w:rsidRDefault="006B4EAC">
      <w:pPr>
        <w:spacing w:line="360" w:lineRule="auto"/>
        <w:ind w:right="49"/>
        <w:jc w:val="both"/>
        <w:rPr>
          <w:rFonts w:ascii="Palatino Linotype" w:eastAsia="Palatino Linotype" w:hAnsi="Palatino Linotype" w:cs="Palatino Linotype"/>
        </w:rPr>
      </w:pPr>
    </w:p>
    <w:p w14:paraId="0CAE660A"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Por su parte,</w:t>
      </w:r>
      <w:r w:rsidRPr="00CF1F2E">
        <w:rPr>
          <w:rFonts w:ascii="Palatino Linotype" w:eastAsia="Palatino Linotype" w:hAnsi="Palatino Linotype" w:cs="Palatino Linotype"/>
          <w:b/>
        </w:rPr>
        <w:t xml:space="preserve"> EL SUJETO OBLIGADO</w:t>
      </w:r>
      <w:r w:rsidRPr="00CF1F2E">
        <w:rPr>
          <w:rFonts w:ascii="Palatino Linotype" w:eastAsia="Palatino Linotype" w:hAnsi="Palatino Linotype" w:cs="Palatino Linotype"/>
        </w:rPr>
        <w:t xml:space="preserve"> dio respuesta mediante el archivo denominado </w:t>
      </w:r>
      <w:r w:rsidRPr="00CF1F2E">
        <w:rPr>
          <w:rFonts w:ascii="Palatino Linotype" w:eastAsia="Palatino Linotype" w:hAnsi="Palatino Linotype" w:cs="Palatino Linotype"/>
          <w:i/>
        </w:rPr>
        <w:t xml:space="preserve">solicitud 17 saimex.pdf  </w:t>
      </w:r>
      <w:r w:rsidRPr="00CF1F2E">
        <w:rPr>
          <w:rFonts w:ascii="Palatino Linotype" w:eastAsia="Palatino Linotype" w:hAnsi="Palatino Linotype" w:cs="Palatino Linotype"/>
        </w:rPr>
        <w:t xml:space="preserve">del cual se aprecian 388 fojas y donde consta la respuesta emitida por el Director de Finanzas del ente recurrido indicando adjuntar a dicha respuesta la balanza de comprobación detallada al cuarto trimestre del año 2021. </w:t>
      </w:r>
    </w:p>
    <w:p w14:paraId="198D4994" w14:textId="77777777" w:rsidR="006B4EAC" w:rsidRPr="00CF1F2E" w:rsidRDefault="006B4EAC">
      <w:pPr>
        <w:spacing w:line="360" w:lineRule="auto"/>
        <w:ind w:right="49"/>
        <w:jc w:val="both"/>
        <w:rPr>
          <w:rFonts w:ascii="Palatino Linotype" w:eastAsia="Palatino Linotype" w:hAnsi="Palatino Linotype" w:cs="Palatino Linotype"/>
        </w:rPr>
      </w:pPr>
    </w:p>
    <w:p w14:paraId="5C4C723A"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Así también se advierte de la respuesta la Balanza de Comprobación Detallada Acumulada Trimestral del primero de enero al treinta y uno de diciembre de dos mil veintiuno referida por el servidor público habilitado. Se inserta capturas de pantalla de dicho documento para mayor referencia: </w:t>
      </w:r>
    </w:p>
    <w:p w14:paraId="7BC71580"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noProof/>
        </w:rPr>
        <w:lastRenderedPageBreak/>
        <w:drawing>
          <wp:inline distT="114300" distB="114300" distL="114300" distR="114300" wp14:anchorId="28FEEEFF" wp14:editId="57236BE0">
            <wp:extent cx="5524500" cy="4600575"/>
            <wp:effectExtent l="0" t="0" r="0" b="0"/>
            <wp:docPr id="24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5524500" cy="4600575"/>
                    </a:xfrm>
                    <a:prstGeom prst="rect">
                      <a:avLst/>
                    </a:prstGeom>
                    <a:ln/>
                  </pic:spPr>
                </pic:pic>
              </a:graphicData>
            </a:graphic>
          </wp:inline>
        </w:drawing>
      </w:r>
    </w:p>
    <w:p w14:paraId="1F90C810"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noProof/>
        </w:rPr>
        <w:drawing>
          <wp:inline distT="114300" distB="114300" distL="114300" distR="114300" wp14:anchorId="04EE55E8" wp14:editId="46625D7A">
            <wp:extent cx="5791835" cy="1676400"/>
            <wp:effectExtent l="0" t="0" r="0" b="0"/>
            <wp:docPr id="2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91835" cy="1676400"/>
                    </a:xfrm>
                    <a:prstGeom prst="rect">
                      <a:avLst/>
                    </a:prstGeom>
                    <a:ln/>
                  </pic:spPr>
                </pic:pic>
              </a:graphicData>
            </a:graphic>
          </wp:inline>
        </w:drawing>
      </w:r>
    </w:p>
    <w:p w14:paraId="1057CB55"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lastRenderedPageBreak/>
        <w:t xml:space="preserve">De las imágenes insertadas se puede apreciar que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remitió la Balanza de Comprobación Detallada Acumulada Trimestral que corresponde al periodo comprendido entre el primero de enero al treinta y uno de diciembre de dos mil veintiuno.</w:t>
      </w:r>
    </w:p>
    <w:p w14:paraId="1320343A"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  </w:t>
      </w:r>
    </w:p>
    <w:p w14:paraId="55805F53"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Así bien, una vez abierta la etapa de manifestaciones, </w:t>
      </w:r>
      <w:r w:rsidRPr="00CF1F2E">
        <w:rPr>
          <w:rFonts w:ascii="Palatino Linotype" w:eastAsia="Palatino Linotype" w:hAnsi="Palatino Linotype" w:cs="Palatino Linotype"/>
          <w:b/>
        </w:rPr>
        <w:t xml:space="preserve">EL SUJETO OBLIGADO </w:t>
      </w:r>
      <w:r w:rsidRPr="00CF1F2E">
        <w:rPr>
          <w:rFonts w:ascii="Palatino Linotype" w:eastAsia="Palatino Linotype" w:hAnsi="Palatino Linotype" w:cs="Palatino Linotype"/>
        </w:rPr>
        <w:t>presentó su Informe Justificado donde reiteró su respuesta primigenia al adjuntar el mismo archivo antes descrito.</w:t>
      </w:r>
    </w:p>
    <w:p w14:paraId="38D5CD38" w14:textId="77777777" w:rsidR="006B4EAC" w:rsidRPr="00CF1F2E" w:rsidRDefault="006B4EAC">
      <w:pPr>
        <w:tabs>
          <w:tab w:val="left" w:pos="709"/>
        </w:tabs>
        <w:spacing w:line="360" w:lineRule="auto"/>
        <w:jc w:val="both"/>
        <w:rPr>
          <w:rFonts w:ascii="Palatino Linotype" w:eastAsia="Palatino Linotype" w:hAnsi="Palatino Linotype" w:cs="Palatino Linotype"/>
        </w:rPr>
      </w:pPr>
    </w:p>
    <w:p w14:paraId="7D2E9D8E"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En tal sentido es importante mencionar que Reglamento Interno del Organismo Descentralizado de Agua Potable, Alcantarillado y Saneamiento de Nezahualcóyotl en su artículo  6 fracción II contempla la composición del SUJETO OBLIGADO en donde se incluye a la figura del Director General: </w:t>
      </w:r>
    </w:p>
    <w:p w14:paraId="005F43FB"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noProof/>
        </w:rPr>
        <w:lastRenderedPageBreak/>
        <w:drawing>
          <wp:inline distT="114300" distB="114300" distL="114300" distR="114300" wp14:anchorId="46A8F400" wp14:editId="5AA5864E">
            <wp:extent cx="5791835" cy="2882900"/>
            <wp:effectExtent l="0" t="0" r="0" b="0"/>
            <wp:docPr id="24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791835" cy="2882900"/>
                    </a:xfrm>
                    <a:prstGeom prst="rect">
                      <a:avLst/>
                    </a:prstGeom>
                    <a:ln/>
                  </pic:spPr>
                </pic:pic>
              </a:graphicData>
            </a:graphic>
          </wp:inline>
        </w:drawing>
      </w:r>
    </w:p>
    <w:p w14:paraId="61BF9D2B"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Este Director General para el desempeño de sus funciones podrá auxiliarse de las áreas administrativas que se encuentren en el organigrama de  la institución entre las cuales se encuentra la Dirección de Finanzas como indica el artículo 13 de dicho reglamento mismo que se inserta a continuación:  </w:t>
      </w:r>
    </w:p>
    <w:p w14:paraId="0EFD622D"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noProof/>
        </w:rPr>
        <w:lastRenderedPageBreak/>
        <w:drawing>
          <wp:inline distT="114300" distB="114300" distL="114300" distR="114300" wp14:anchorId="1B1E442B" wp14:editId="7329D353">
            <wp:extent cx="5791835" cy="2324100"/>
            <wp:effectExtent l="0" t="0" r="0" b="0"/>
            <wp:docPr id="25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791835" cy="2324100"/>
                    </a:xfrm>
                    <a:prstGeom prst="rect">
                      <a:avLst/>
                    </a:prstGeom>
                    <a:ln/>
                  </pic:spPr>
                </pic:pic>
              </a:graphicData>
            </a:graphic>
          </wp:inline>
        </w:drawing>
      </w:r>
    </w:p>
    <w:p w14:paraId="29AC1B43" w14:textId="77777777" w:rsidR="006B4EAC" w:rsidRPr="00CF1F2E" w:rsidRDefault="006B4EAC">
      <w:pPr>
        <w:tabs>
          <w:tab w:val="left" w:pos="709"/>
        </w:tabs>
        <w:spacing w:line="360" w:lineRule="auto"/>
        <w:jc w:val="both"/>
        <w:rPr>
          <w:rFonts w:ascii="Palatino Linotype" w:eastAsia="Palatino Linotype" w:hAnsi="Palatino Linotype" w:cs="Palatino Linotype"/>
        </w:rPr>
      </w:pPr>
    </w:p>
    <w:p w14:paraId="4A9E94AF"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La Dirección de Finanzas tendrá a su cargo las atribuciones enlistadas en el artículo 18 del  reglamento en comento, de entre las cuales se resalta para el caso que nos ocupa las previstas en las fracciones I, VI y VIII  que contemplan la administración de los recursos financieros  elaboración de los proyectos de ingresos, egresos y estados financieros del Organismo, como se puede apreciar del contenido del artículo referido: </w:t>
      </w:r>
    </w:p>
    <w:p w14:paraId="40BAD205"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noProof/>
        </w:rPr>
        <w:drawing>
          <wp:inline distT="114300" distB="114300" distL="114300" distR="114300" wp14:anchorId="269D0FB7" wp14:editId="72709CFE">
            <wp:extent cx="5791835" cy="901700"/>
            <wp:effectExtent l="0" t="0" r="0" b="0"/>
            <wp:docPr id="2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91835" cy="901700"/>
                    </a:xfrm>
                    <a:prstGeom prst="rect">
                      <a:avLst/>
                    </a:prstGeom>
                    <a:ln/>
                  </pic:spPr>
                </pic:pic>
              </a:graphicData>
            </a:graphic>
          </wp:inline>
        </w:drawing>
      </w:r>
    </w:p>
    <w:p w14:paraId="5A17D87D"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noProof/>
        </w:rPr>
        <w:lastRenderedPageBreak/>
        <w:drawing>
          <wp:inline distT="114300" distB="114300" distL="114300" distR="114300" wp14:anchorId="6543C158" wp14:editId="735D3D95">
            <wp:extent cx="5791835" cy="1384300"/>
            <wp:effectExtent l="0" t="0" r="0" b="0"/>
            <wp:docPr id="2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791835" cy="1384300"/>
                    </a:xfrm>
                    <a:prstGeom prst="rect">
                      <a:avLst/>
                    </a:prstGeom>
                    <a:ln/>
                  </pic:spPr>
                </pic:pic>
              </a:graphicData>
            </a:graphic>
          </wp:inline>
        </w:drawing>
      </w:r>
    </w:p>
    <w:p w14:paraId="5FD928F9" w14:textId="77777777" w:rsidR="006B4EAC" w:rsidRPr="00CF1F2E" w:rsidRDefault="006B4EAC">
      <w:pPr>
        <w:tabs>
          <w:tab w:val="left" w:pos="709"/>
        </w:tabs>
        <w:spacing w:line="360" w:lineRule="auto"/>
        <w:jc w:val="both"/>
        <w:rPr>
          <w:rFonts w:ascii="Palatino Linotype" w:eastAsia="Palatino Linotype" w:hAnsi="Palatino Linotype" w:cs="Palatino Linotype"/>
        </w:rPr>
      </w:pPr>
    </w:p>
    <w:p w14:paraId="2905B213" w14:textId="77777777" w:rsidR="006B4EAC" w:rsidRPr="00CF1F2E" w:rsidRDefault="00401A1E">
      <w:pPr>
        <w:tabs>
          <w:tab w:val="left" w:pos="709"/>
        </w:tabs>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De lo anterior se puede concluir que la información fue aportada por el Director de Finanzas quien de acuerdo al Reglamento Interno del Organismo Descentralizado de Agua Potable, Alcantarillado y</w:t>
      </w:r>
      <w:r w:rsidR="005359FD" w:rsidRPr="00CF1F2E">
        <w:rPr>
          <w:rFonts w:ascii="Palatino Linotype" w:eastAsia="Palatino Linotype" w:hAnsi="Palatino Linotype" w:cs="Palatino Linotype"/>
        </w:rPr>
        <w:t xml:space="preserve"> Saneamiento de Nezahualcóyotl </w:t>
      </w:r>
      <w:r w:rsidRPr="00CF1F2E">
        <w:rPr>
          <w:rFonts w:ascii="Palatino Linotype" w:eastAsia="Palatino Linotype" w:hAnsi="Palatino Linotype" w:cs="Palatino Linotype"/>
        </w:rPr>
        <w:t xml:space="preserve">es el servidor público competente dentro de la estructura orgánica del </w:t>
      </w:r>
      <w:r w:rsidRPr="00CF1F2E">
        <w:rPr>
          <w:rFonts w:ascii="Palatino Linotype" w:eastAsia="Palatino Linotype" w:hAnsi="Palatino Linotype" w:cs="Palatino Linotype"/>
          <w:b/>
        </w:rPr>
        <w:t xml:space="preserve">SUJETO OBLIGADO </w:t>
      </w:r>
      <w:r w:rsidRPr="00CF1F2E">
        <w:rPr>
          <w:rFonts w:ascii="Palatino Linotype" w:eastAsia="Palatino Linotype" w:hAnsi="Palatino Linotype" w:cs="Palatino Linotype"/>
        </w:rPr>
        <w:t xml:space="preserve">para dar atención a la solicitud del particular. </w:t>
      </w:r>
    </w:p>
    <w:p w14:paraId="5A8D3FAB" w14:textId="77777777" w:rsidR="006B4EAC" w:rsidRPr="00CF1F2E" w:rsidRDefault="006B4EAC">
      <w:pPr>
        <w:tabs>
          <w:tab w:val="left" w:pos="709"/>
        </w:tabs>
        <w:spacing w:line="360" w:lineRule="auto"/>
        <w:jc w:val="both"/>
        <w:rPr>
          <w:rFonts w:ascii="Palatino Linotype" w:eastAsia="Palatino Linotype" w:hAnsi="Palatino Linotype" w:cs="Palatino Linotype"/>
        </w:rPr>
      </w:pPr>
    </w:p>
    <w:p w14:paraId="77D068DF" w14:textId="77777777" w:rsidR="006B4EAC" w:rsidRPr="00CF1F2E" w:rsidRDefault="00401A1E">
      <w:pPr>
        <w:tabs>
          <w:tab w:val="left" w:pos="709"/>
        </w:tabs>
        <w:spacing w:line="360" w:lineRule="auto"/>
        <w:jc w:val="both"/>
      </w:pPr>
      <w:r w:rsidRPr="00CF1F2E">
        <w:rPr>
          <w:rFonts w:ascii="Palatino Linotype" w:eastAsia="Palatino Linotype" w:hAnsi="Palatino Linotype" w:cs="Palatino Linotype"/>
        </w:rPr>
        <w:t xml:space="preserve">En tal sentido, es importante señalar  que al haber existido un pronunciamiento por parte del </w:t>
      </w:r>
      <w:r w:rsidRPr="00CF1F2E">
        <w:rPr>
          <w:rFonts w:ascii="Palatino Linotype" w:eastAsia="Palatino Linotype" w:hAnsi="Palatino Linotype" w:cs="Palatino Linotype"/>
          <w:b/>
        </w:rPr>
        <w:t xml:space="preserve">SUJETO OBLIGADO </w:t>
      </w:r>
      <w:r w:rsidRPr="00CF1F2E">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1154267B" w14:textId="77777777" w:rsidR="006B4EAC" w:rsidRPr="00CF1F2E" w:rsidRDefault="00401A1E">
      <w:pPr>
        <w:spacing w:before="280" w:after="280" w:line="360" w:lineRule="auto"/>
        <w:jc w:val="both"/>
      </w:pPr>
      <w:r w:rsidRPr="00CF1F2E">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14:paraId="6454ECB6" w14:textId="77777777" w:rsidR="006B4EAC" w:rsidRPr="00CF1F2E" w:rsidRDefault="00401A1E">
      <w:pPr>
        <w:ind w:left="851" w:right="1041"/>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CF1F2E">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F1F2E">
        <w:rPr>
          <w:rFonts w:ascii="Palatino Linotype" w:eastAsia="Palatino Linotype" w:hAnsi="Palatino Linotype" w:cs="Palatino Linotype"/>
          <w:b/>
          <w:i/>
          <w:sz w:val="22"/>
          <w:szCs w:val="22"/>
        </w:rPr>
        <w:t>”</w:t>
      </w:r>
      <w:r w:rsidRPr="00CF1F2E">
        <w:rPr>
          <w:rFonts w:ascii="Palatino Linotype" w:eastAsia="Palatino Linotype" w:hAnsi="Palatino Linotype" w:cs="Palatino Linotype"/>
          <w:i/>
          <w:sz w:val="22"/>
          <w:szCs w:val="22"/>
        </w:rPr>
        <w:t xml:space="preserve"> (Sic)</w:t>
      </w:r>
    </w:p>
    <w:p w14:paraId="2909EC84" w14:textId="77777777" w:rsidR="006B4EAC" w:rsidRPr="00CF1F2E" w:rsidRDefault="006B4EAC">
      <w:pPr>
        <w:spacing w:line="360" w:lineRule="auto"/>
        <w:ind w:right="-28"/>
        <w:jc w:val="both"/>
        <w:rPr>
          <w:rFonts w:ascii="Palatino Linotype" w:eastAsia="Palatino Linotype" w:hAnsi="Palatino Linotype" w:cs="Palatino Linotype"/>
        </w:rPr>
      </w:pPr>
    </w:p>
    <w:p w14:paraId="7CC35B17" w14:textId="77777777" w:rsidR="006B4EAC" w:rsidRPr="00CF1F2E" w:rsidRDefault="00401A1E">
      <w:pPr>
        <w:spacing w:line="360" w:lineRule="auto"/>
        <w:ind w:right="-28"/>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Aunado a lo anterior, este Instituto advierte que el Estado de Situación Financiera referido por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es parte de la información que los Ayuntamientos deben entregar al Órgano Superior de Fiscalización. </w:t>
      </w:r>
    </w:p>
    <w:p w14:paraId="6D8A8B12" w14:textId="77777777" w:rsidR="006B4EAC" w:rsidRPr="00CF1F2E" w:rsidRDefault="006B4EAC">
      <w:pPr>
        <w:spacing w:line="360" w:lineRule="auto"/>
        <w:ind w:right="-28"/>
        <w:jc w:val="both"/>
        <w:rPr>
          <w:rFonts w:ascii="Palatino Linotype" w:eastAsia="Palatino Linotype" w:hAnsi="Palatino Linotype" w:cs="Palatino Linotype"/>
        </w:rPr>
      </w:pPr>
    </w:p>
    <w:p w14:paraId="77062C58" w14:textId="77777777" w:rsidR="006B4EAC" w:rsidRPr="00CF1F2E" w:rsidRDefault="00401A1E">
      <w:pPr>
        <w:spacing w:line="360" w:lineRule="auto"/>
        <w:ind w:right="-28"/>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Por lo cual, es conveniente señalar que los Lineamientos para la integración y entrega del Informe Trimestral Estatal 2022 emitidos por el órgano en comento señalan dentro de la Matriz de documentos que deben entregarse, la periodicidad con la cual los Sujetos Obligados deberán generar dicha información, que para el caso del Balanza de Comprobación Detallada Acumulada Trimestral, como su nombre lo dice es de manera trimestral como se aprecia de la imagen que se inserta a continuación: </w:t>
      </w:r>
    </w:p>
    <w:p w14:paraId="42E02115" w14:textId="77777777" w:rsidR="006B4EAC" w:rsidRPr="00CF1F2E" w:rsidRDefault="006B4EAC">
      <w:pPr>
        <w:spacing w:line="360" w:lineRule="auto"/>
        <w:ind w:right="-28"/>
        <w:jc w:val="both"/>
        <w:rPr>
          <w:rFonts w:ascii="Palatino Linotype" w:eastAsia="Palatino Linotype" w:hAnsi="Palatino Linotype" w:cs="Palatino Linotype"/>
        </w:rPr>
      </w:pPr>
    </w:p>
    <w:p w14:paraId="2B61F8DF" w14:textId="77777777" w:rsidR="006B4EAC" w:rsidRPr="00CF1F2E" w:rsidRDefault="006B4EAC">
      <w:pPr>
        <w:spacing w:line="360" w:lineRule="auto"/>
        <w:ind w:right="-28"/>
        <w:jc w:val="both"/>
        <w:rPr>
          <w:rFonts w:ascii="Palatino Linotype" w:eastAsia="Palatino Linotype" w:hAnsi="Palatino Linotype" w:cs="Palatino Linotype"/>
        </w:rPr>
      </w:pPr>
    </w:p>
    <w:p w14:paraId="68955F79" w14:textId="77777777" w:rsidR="006B4EAC" w:rsidRPr="00CF1F2E" w:rsidRDefault="00401A1E">
      <w:pPr>
        <w:spacing w:line="360" w:lineRule="auto"/>
        <w:ind w:right="-28"/>
        <w:jc w:val="center"/>
        <w:rPr>
          <w:rFonts w:ascii="Palatino Linotype" w:eastAsia="Palatino Linotype" w:hAnsi="Palatino Linotype" w:cs="Palatino Linotype"/>
        </w:rPr>
      </w:pPr>
      <w:r w:rsidRPr="00CF1F2E">
        <w:rPr>
          <w:rFonts w:ascii="Palatino Linotype" w:eastAsia="Palatino Linotype" w:hAnsi="Palatino Linotype" w:cs="Palatino Linotype"/>
          <w:noProof/>
        </w:rPr>
        <w:drawing>
          <wp:inline distT="114300" distB="114300" distL="114300" distR="114300" wp14:anchorId="5B107D8E" wp14:editId="22AD9751">
            <wp:extent cx="6030278" cy="56197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6030278" cy="561975"/>
                    </a:xfrm>
                    <a:prstGeom prst="rect">
                      <a:avLst/>
                    </a:prstGeom>
                    <a:ln/>
                  </pic:spPr>
                </pic:pic>
              </a:graphicData>
            </a:graphic>
          </wp:inline>
        </w:drawing>
      </w:r>
    </w:p>
    <w:p w14:paraId="457C8457" w14:textId="77777777" w:rsidR="006B4EAC" w:rsidRPr="00CF1F2E" w:rsidRDefault="00401A1E">
      <w:pPr>
        <w:spacing w:line="360" w:lineRule="auto"/>
        <w:ind w:right="-28"/>
        <w:jc w:val="center"/>
        <w:rPr>
          <w:rFonts w:ascii="Palatino Linotype" w:eastAsia="Palatino Linotype" w:hAnsi="Palatino Linotype" w:cs="Palatino Linotype"/>
        </w:rPr>
      </w:pPr>
      <w:r w:rsidRPr="00CF1F2E">
        <w:rPr>
          <w:rFonts w:ascii="Palatino Linotype" w:eastAsia="Palatino Linotype" w:hAnsi="Palatino Linotype" w:cs="Palatino Linotype"/>
          <w:noProof/>
        </w:rPr>
        <w:drawing>
          <wp:inline distT="114300" distB="114300" distL="114300" distR="114300" wp14:anchorId="7892B306" wp14:editId="2EEADAA7">
            <wp:extent cx="5981700" cy="1636541"/>
            <wp:effectExtent l="0" t="0" r="0" b="0"/>
            <wp:docPr id="24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l="3474" r="2035"/>
                    <a:stretch>
                      <a:fillRect/>
                    </a:stretch>
                  </pic:blipFill>
                  <pic:spPr>
                    <a:xfrm>
                      <a:off x="0" y="0"/>
                      <a:ext cx="5981700" cy="1636541"/>
                    </a:xfrm>
                    <a:prstGeom prst="rect">
                      <a:avLst/>
                    </a:prstGeom>
                    <a:ln/>
                  </pic:spPr>
                </pic:pic>
              </a:graphicData>
            </a:graphic>
          </wp:inline>
        </w:drawing>
      </w:r>
    </w:p>
    <w:p w14:paraId="54EDE036" w14:textId="77777777" w:rsidR="006B4EAC" w:rsidRPr="00CF1F2E" w:rsidRDefault="006B4EAC">
      <w:pPr>
        <w:spacing w:line="360" w:lineRule="auto"/>
        <w:ind w:right="-28"/>
        <w:jc w:val="both"/>
        <w:rPr>
          <w:rFonts w:ascii="Palatino Linotype" w:eastAsia="Palatino Linotype" w:hAnsi="Palatino Linotype" w:cs="Palatino Linotype"/>
        </w:rPr>
      </w:pPr>
    </w:p>
    <w:p w14:paraId="44BF52F4" w14:textId="77777777" w:rsidR="006B4EAC" w:rsidRPr="00CF1F2E" w:rsidRDefault="00401A1E">
      <w:pPr>
        <w:spacing w:line="360" w:lineRule="auto"/>
        <w:ind w:right="-28"/>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Luego entonces, si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genera de manera trimestral la información solicitada, esté, únicamente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7ADE4496" w14:textId="77777777" w:rsidR="006B4EAC" w:rsidRPr="00CF1F2E" w:rsidRDefault="006B4EAC">
      <w:pPr>
        <w:spacing w:line="360" w:lineRule="auto"/>
        <w:ind w:right="-28"/>
        <w:jc w:val="both"/>
        <w:rPr>
          <w:rFonts w:ascii="Palatino Linotype" w:eastAsia="Palatino Linotype" w:hAnsi="Palatino Linotype" w:cs="Palatino Linotype"/>
        </w:rPr>
      </w:pPr>
    </w:p>
    <w:p w14:paraId="3BFA288D" w14:textId="77777777" w:rsidR="006B4EAC" w:rsidRPr="00CF1F2E" w:rsidRDefault="00401A1E">
      <w:pPr>
        <w:ind w:left="851" w:right="902"/>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w:t>
      </w:r>
      <w:r w:rsidRPr="00CF1F2E">
        <w:rPr>
          <w:rFonts w:ascii="Palatino Linotype" w:eastAsia="Palatino Linotype" w:hAnsi="Palatino Linotype" w:cs="Palatino Linotype"/>
          <w:b/>
          <w:i/>
          <w:sz w:val="22"/>
          <w:szCs w:val="22"/>
        </w:rPr>
        <w:t>Artículo 12.</w:t>
      </w:r>
      <w:r w:rsidRPr="00CF1F2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6F27F05" w14:textId="77777777" w:rsidR="006B4EAC" w:rsidRPr="00CF1F2E" w:rsidRDefault="00401A1E">
      <w:pPr>
        <w:ind w:left="851" w:right="902"/>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CF1F2E">
        <w:rPr>
          <w:rFonts w:ascii="Palatino Linotype" w:eastAsia="Palatino Linotype" w:hAnsi="Palatino Linotype" w:cs="Palatino Linotype"/>
          <w:i/>
          <w:sz w:val="22"/>
          <w:szCs w:val="22"/>
        </w:rPr>
        <w:lastRenderedPageBreak/>
        <w:t>presentarla conforme al interés del solicitante; no estarán obligados a generarla, resumirla, efectuar cálculos o practicar investigaciones.” (Sic)</w:t>
      </w:r>
    </w:p>
    <w:p w14:paraId="1FFF9578" w14:textId="77777777" w:rsidR="006B4EAC" w:rsidRPr="00CF1F2E" w:rsidRDefault="00401A1E">
      <w:pPr>
        <w:shd w:val="clear" w:color="auto" w:fill="FFFFFF"/>
        <w:jc w:val="both"/>
      </w:pPr>
      <w:r w:rsidRPr="00CF1F2E">
        <w:rPr>
          <w:rFonts w:ascii="Palatino Linotype" w:eastAsia="Palatino Linotype" w:hAnsi="Palatino Linotype" w:cs="Palatino Linotype"/>
          <w:sz w:val="22"/>
          <w:szCs w:val="22"/>
        </w:rPr>
        <w:t> </w:t>
      </w:r>
    </w:p>
    <w:p w14:paraId="2B15EE58" w14:textId="77777777" w:rsidR="006B4EAC" w:rsidRPr="00CF1F2E" w:rsidRDefault="00401A1E">
      <w:pPr>
        <w:shd w:val="clear" w:color="auto" w:fill="FFFFFF"/>
        <w:jc w:val="both"/>
      </w:pPr>
      <w:r w:rsidRPr="00CF1F2E">
        <w:rPr>
          <w:rFonts w:ascii="Palatino Linotype" w:eastAsia="Palatino Linotype" w:hAnsi="Palatino Linotype" w:cs="Palatino Linotype"/>
          <w:sz w:val="22"/>
          <w:szCs w:val="22"/>
        </w:rPr>
        <w:t> </w:t>
      </w:r>
    </w:p>
    <w:p w14:paraId="03655FF8" w14:textId="77777777" w:rsidR="006B4EAC" w:rsidRPr="00CF1F2E" w:rsidRDefault="00401A1E">
      <w:pPr>
        <w:shd w:val="clear" w:color="auto" w:fill="FFFFFF"/>
        <w:spacing w:line="360" w:lineRule="auto"/>
        <w:jc w:val="both"/>
        <w:rPr>
          <w:sz w:val="28"/>
          <w:szCs w:val="28"/>
        </w:rPr>
      </w:pPr>
      <w:r w:rsidRPr="00CF1F2E">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631F50D5" w14:textId="77777777" w:rsidR="006B4EAC" w:rsidRPr="00CF1F2E" w:rsidRDefault="00401A1E">
      <w:pPr>
        <w:shd w:val="clear" w:color="auto" w:fill="FFFFFF"/>
        <w:ind w:left="567" w:right="567"/>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b/>
          <w:i/>
          <w:sz w:val="22"/>
          <w:szCs w:val="22"/>
        </w:rPr>
        <w:t>“No existe obligación de elaborar documentos ad hoc para atender las solicitudes de acceso a la información. </w:t>
      </w:r>
      <w:r w:rsidRPr="00CF1F2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436CEDDF" w14:textId="77777777" w:rsidR="006B4EAC" w:rsidRPr="00CF1F2E" w:rsidRDefault="006B4EAC">
      <w:pPr>
        <w:shd w:val="clear" w:color="auto" w:fill="FFFFFF"/>
        <w:ind w:left="567" w:right="567"/>
        <w:jc w:val="both"/>
        <w:rPr>
          <w:sz w:val="28"/>
          <w:szCs w:val="28"/>
        </w:rPr>
      </w:pPr>
    </w:p>
    <w:p w14:paraId="44EE4C78"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rPr>
        <w:t xml:space="preserve">Del criterio antes referido se desprende que los Sujetos Obligados deben proporcionar la información que se encuentre dentro de sus archivo, sin que ello signifique que deban llevar a cabo el procesamiento de la misma o en su caso elaborar un documento específico, por lo que si este genera la información solicitada de forma mensual no se encuentra obligado a emitir la información a la fecha señalada por el particular.  </w:t>
      </w:r>
    </w:p>
    <w:p w14:paraId="04F863E0" w14:textId="77777777" w:rsidR="006B4EAC" w:rsidRPr="00CF1F2E" w:rsidRDefault="006B4EAC">
      <w:pPr>
        <w:spacing w:line="360" w:lineRule="auto"/>
        <w:jc w:val="both"/>
        <w:rPr>
          <w:rFonts w:ascii="Palatino Linotype" w:eastAsia="Palatino Linotype" w:hAnsi="Palatino Linotype" w:cs="Palatino Linotype"/>
        </w:rPr>
      </w:pPr>
    </w:p>
    <w:p w14:paraId="481C3867" w14:textId="77777777" w:rsidR="006B4EAC" w:rsidRPr="00CF1F2E" w:rsidRDefault="00401A1E">
      <w:pPr>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rPr>
        <w:t xml:space="preserve">Así en atención a lo antes señalado se puede advertir que </w:t>
      </w:r>
      <w:r w:rsidRPr="00CF1F2E">
        <w:rPr>
          <w:rFonts w:ascii="Palatino Linotype" w:eastAsia="Palatino Linotype" w:hAnsi="Palatino Linotype" w:cs="Palatino Linotype"/>
          <w:b/>
        </w:rPr>
        <w:t>EL SUJETO OBLIGADO</w:t>
      </w:r>
      <w:r w:rsidRPr="00CF1F2E">
        <w:rPr>
          <w:rFonts w:ascii="Palatino Linotype" w:eastAsia="Palatino Linotype" w:hAnsi="Palatino Linotype" w:cs="Palatino Linotype"/>
        </w:rPr>
        <w:t xml:space="preserve"> atendió la solicitud de información pública, al hacer entrega de la información </w:t>
      </w:r>
      <w:r w:rsidRPr="00CF1F2E">
        <w:rPr>
          <w:rFonts w:ascii="Palatino Linotype" w:eastAsia="Palatino Linotype" w:hAnsi="Palatino Linotype" w:cs="Palatino Linotype"/>
        </w:rPr>
        <w:lastRenderedPageBreak/>
        <w:t xml:space="preserve">solicitada conforme a los documentos que obran en sus archivos, de acuerdo a sus facultades y atribuciones. </w:t>
      </w:r>
    </w:p>
    <w:p w14:paraId="7DACB1D0" w14:textId="77777777" w:rsidR="006B4EAC" w:rsidRPr="00CF1F2E" w:rsidRDefault="006B4EAC">
      <w:pPr>
        <w:spacing w:line="360" w:lineRule="auto"/>
        <w:jc w:val="both"/>
        <w:rPr>
          <w:rFonts w:ascii="Palatino Linotype" w:eastAsia="Palatino Linotype" w:hAnsi="Palatino Linotype" w:cs="Palatino Linotype"/>
          <w:b/>
        </w:rPr>
      </w:pPr>
      <w:bookmarkStart w:id="5" w:name="_heading=h.1hczcb7e7qwu" w:colFirst="0" w:colLast="0"/>
      <w:bookmarkEnd w:id="5"/>
    </w:p>
    <w:p w14:paraId="652E7611"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42744D9B" w14:textId="77777777" w:rsidR="006B4EAC" w:rsidRPr="00CF1F2E" w:rsidRDefault="006B4EAC">
      <w:pPr>
        <w:ind w:right="902"/>
        <w:jc w:val="both"/>
        <w:rPr>
          <w:rFonts w:ascii="Palatino Linotype" w:eastAsia="Palatino Linotype" w:hAnsi="Palatino Linotype" w:cs="Palatino Linotype"/>
        </w:rPr>
      </w:pPr>
    </w:p>
    <w:p w14:paraId="02D20E93" w14:textId="77777777" w:rsidR="006B4EAC" w:rsidRPr="00CF1F2E" w:rsidRDefault="00401A1E">
      <w:pPr>
        <w:ind w:left="851" w:right="902"/>
        <w:jc w:val="both"/>
        <w:rPr>
          <w:rFonts w:ascii="Palatino Linotype" w:eastAsia="Palatino Linotype" w:hAnsi="Palatino Linotype" w:cs="Palatino Linotype"/>
          <w:i/>
          <w:sz w:val="22"/>
          <w:szCs w:val="22"/>
        </w:rPr>
      </w:pPr>
      <w:r w:rsidRPr="00CF1F2E">
        <w:rPr>
          <w:rFonts w:ascii="Palatino Linotype" w:eastAsia="Palatino Linotype" w:hAnsi="Palatino Linotype" w:cs="Palatino Linotype"/>
          <w:i/>
          <w:sz w:val="22"/>
          <w:szCs w:val="22"/>
        </w:rPr>
        <w:t>“</w:t>
      </w:r>
      <w:r w:rsidRPr="00CF1F2E">
        <w:rPr>
          <w:rFonts w:ascii="Palatino Linotype" w:eastAsia="Palatino Linotype" w:hAnsi="Palatino Linotype" w:cs="Palatino Linotype"/>
          <w:b/>
          <w:i/>
          <w:sz w:val="22"/>
          <w:szCs w:val="22"/>
        </w:rPr>
        <w:t>Congruencia y exhaustividad</w:t>
      </w:r>
      <w:r w:rsidRPr="00CF1F2E">
        <w:rPr>
          <w:rFonts w:ascii="Palatino Linotype" w:eastAsia="Palatino Linotype" w:hAnsi="Palatino Linotype" w:cs="Palatino Linotype"/>
          <w:i/>
          <w:sz w:val="22"/>
          <w:szCs w:val="22"/>
        </w:rPr>
        <w:t>.</w:t>
      </w:r>
      <w:r w:rsidRPr="00CF1F2E">
        <w:rPr>
          <w:rFonts w:ascii="Palatino Linotype" w:eastAsia="Palatino Linotype" w:hAnsi="Palatino Linotype" w:cs="Palatino Linotype"/>
          <w:b/>
          <w:i/>
          <w:sz w:val="22"/>
          <w:szCs w:val="22"/>
        </w:rPr>
        <w:t xml:space="preserve"> Sus alcances para garantizar el derecho de acceso a la información.</w:t>
      </w:r>
      <w:r w:rsidRPr="00CF1F2E">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F85DA05" w14:textId="77777777" w:rsidR="006B4EAC" w:rsidRPr="00CF1F2E" w:rsidRDefault="006B4EA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6" w:name="_heading=h.h5f6uylknmte" w:colFirst="0" w:colLast="0"/>
      <w:bookmarkEnd w:id="6"/>
    </w:p>
    <w:p w14:paraId="5D09C9A2" w14:textId="77777777" w:rsidR="006B4EAC" w:rsidRPr="00CF1F2E" w:rsidRDefault="00401A1E">
      <w:pPr>
        <w:widowControl w:val="0"/>
        <w:tabs>
          <w:tab w:val="left" w:pos="1701"/>
          <w:tab w:val="left" w:pos="1843"/>
        </w:tabs>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w:t>
      </w:r>
      <w:r w:rsidRPr="00CF1F2E">
        <w:rPr>
          <w:rFonts w:ascii="Palatino Linotype" w:eastAsia="Palatino Linotype" w:hAnsi="Palatino Linotype" w:cs="Palatino Linotype"/>
        </w:rPr>
        <w:lastRenderedPageBreak/>
        <w:t xml:space="preserve">solicitud. </w:t>
      </w:r>
    </w:p>
    <w:p w14:paraId="5B893832" w14:textId="77777777" w:rsidR="006B4EAC" w:rsidRPr="00CF1F2E" w:rsidRDefault="006B4EAC">
      <w:pPr>
        <w:ind w:left="851" w:right="1041"/>
        <w:jc w:val="both"/>
        <w:rPr>
          <w:rFonts w:ascii="Palatino Linotype" w:eastAsia="Palatino Linotype" w:hAnsi="Palatino Linotype" w:cs="Palatino Linotype"/>
        </w:rPr>
      </w:pPr>
    </w:p>
    <w:p w14:paraId="3A3DC908" w14:textId="77777777" w:rsidR="006B4EAC" w:rsidRPr="00CF1F2E" w:rsidRDefault="00401A1E">
      <w:pPr>
        <w:widowControl w:val="0"/>
        <w:tabs>
          <w:tab w:val="left" w:pos="1701"/>
          <w:tab w:val="left" w:pos="1843"/>
        </w:tabs>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rPr>
        <w:t xml:space="preserve">Por lo que al haber dado respuesta el área facultada siendo esta la Dirección de Finanzas y al haber entregado lo solicitado por el particular conforme a lo que obra en sus archivos, este Instituto considera que el derecho de acceso a la información del particular fue atendido y por tanto es dable señalar que los motivos de inconformidad vertidos por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resultan </w:t>
      </w:r>
      <w:r w:rsidRPr="00CF1F2E">
        <w:rPr>
          <w:rFonts w:ascii="Palatino Linotype" w:eastAsia="Palatino Linotype" w:hAnsi="Palatino Linotype" w:cs="Palatino Linotype"/>
          <w:b/>
        </w:rPr>
        <w:t xml:space="preserve">infundados </w:t>
      </w:r>
      <w:r w:rsidRPr="00CF1F2E">
        <w:rPr>
          <w:rFonts w:ascii="Palatino Linotype" w:eastAsia="Palatino Linotype" w:hAnsi="Palatino Linotype" w:cs="Palatino Linotype"/>
        </w:rPr>
        <w:t xml:space="preserve">y se determina   </w:t>
      </w:r>
      <w:r w:rsidRPr="00CF1F2E">
        <w:rPr>
          <w:rFonts w:ascii="Palatino Linotype" w:eastAsia="Palatino Linotype" w:hAnsi="Palatino Linotype" w:cs="Palatino Linotype"/>
          <w:b/>
        </w:rPr>
        <w:t>CONFIRMAR</w:t>
      </w:r>
      <w:r w:rsidRPr="00CF1F2E">
        <w:rPr>
          <w:rFonts w:ascii="Palatino Linotype" w:eastAsia="Palatino Linotype" w:hAnsi="Palatino Linotype" w:cs="Palatino Linotype"/>
        </w:rPr>
        <w:t xml:space="preserve"> la respuesta dada por </w:t>
      </w:r>
      <w:r w:rsidRPr="00CF1F2E">
        <w:rPr>
          <w:rFonts w:ascii="Palatino Linotype" w:eastAsia="Palatino Linotype" w:hAnsi="Palatino Linotype" w:cs="Palatino Linotype"/>
          <w:b/>
        </w:rPr>
        <w:t>EL</w:t>
      </w:r>
      <w:r w:rsidRPr="00CF1F2E">
        <w:rPr>
          <w:rFonts w:ascii="Palatino Linotype" w:eastAsia="Palatino Linotype" w:hAnsi="Palatino Linotype" w:cs="Palatino Linotype"/>
        </w:rPr>
        <w:t xml:space="preserve"> </w:t>
      </w:r>
      <w:r w:rsidRPr="00CF1F2E">
        <w:rPr>
          <w:rFonts w:ascii="Palatino Linotype" w:eastAsia="Palatino Linotype" w:hAnsi="Palatino Linotype" w:cs="Palatino Linotype"/>
          <w:b/>
        </w:rPr>
        <w:t xml:space="preserve">SUJETO OBLIGADO </w:t>
      </w:r>
      <w:r w:rsidRPr="00CF1F2E">
        <w:rPr>
          <w:rFonts w:ascii="Palatino Linotype" w:eastAsia="Palatino Linotype" w:hAnsi="Palatino Linotype" w:cs="Palatino Linotype"/>
        </w:rPr>
        <w:t xml:space="preserve">a la solicitud de información materia del presente recurso. </w:t>
      </w:r>
    </w:p>
    <w:p w14:paraId="6F55FCD6" w14:textId="77777777" w:rsidR="006B4EAC" w:rsidRPr="00CF1F2E" w:rsidRDefault="006B4EAC">
      <w:pPr>
        <w:spacing w:line="360" w:lineRule="auto"/>
        <w:jc w:val="both"/>
        <w:rPr>
          <w:rFonts w:ascii="Palatino Linotype" w:eastAsia="Palatino Linotype" w:hAnsi="Palatino Linotype" w:cs="Palatino Linotype"/>
        </w:rPr>
      </w:pPr>
    </w:p>
    <w:p w14:paraId="50D1A224" w14:textId="77777777" w:rsidR="006B4EAC" w:rsidRPr="00CF1F2E" w:rsidRDefault="00401A1E">
      <w:pPr>
        <w:spacing w:line="360" w:lineRule="auto"/>
        <w:jc w:val="both"/>
        <w:rPr>
          <w:rFonts w:ascii="Palatino Linotype" w:eastAsia="Palatino Linotype" w:hAnsi="Palatino Linotype" w:cs="Palatino Linotype"/>
        </w:rPr>
      </w:pPr>
      <w:bookmarkStart w:id="7" w:name="_heading=h.5n8wysaobgd3" w:colFirst="0" w:colLast="0"/>
      <w:bookmarkEnd w:id="7"/>
      <w:r w:rsidRPr="00CF1F2E">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546176C" w14:textId="77777777" w:rsidR="005359FD" w:rsidRPr="00CF1F2E" w:rsidRDefault="005359FD">
      <w:pPr>
        <w:spacing w:line="360" w:lineRule="auto"/>
        <w:jc w:val="both"/>
        <w:rPr>
          <w:rFonts w:ascii="Palatino Linotype" w:eastAsia="Palatino Linotype" w:hAnsi="Palatino Linotype" w:cs="Palatino Linotype"/>
        </w:rPr>
      </w:pPr>
    </w:p>
    <w:p w14:paraId="3CFD43A1" w14:textId="77777777" w:rsidR="006B4EAC" w:rsidRPr="00CF1F2E" w:rsidRDefault="00401A1E">
      <w:pPr>
        <w:spacing w:line="360" w:lineRule="auto"/>
        <w:jc w:val="center"/>
        <w:rPr>
          <w:rFonts w:ascii="Palatino Linotype" w:eastAsia="Palatino Linotype" w:hAnsi="Palatino Linotype" w:cs="Palatino Linotype"/>
          <w:b/>
          <w:sz w:val="26"/>
          <w:szCs w:val="26"/>
        </w:rPr>
      </w:pPr>
      <w:r w:rsidRPr="00CF1F2E">
        <w:rPr>
          <w:rFonts w:ascii="Palatino Linotype" w:eastAsia="Palatino Linotype" w:hAnsi="Palatino Linotype" w:cs="Palatino Linotype"/>
          <w:b/>
          <w:sz w:val="26"/>
          <w:szCs w:val="26"/>
        </w:rPr>
        <w:t>RESUELVE</w:t>
      </w:r>
    </w:p>
    <w:p w14:paraId="5B185692" w14:textId="77777777" w:rsidR="006B4EAC" w:rsidRPr="00CF1F2E" w:rsidRDefault="006B4EAC">
      <w:pPr>
        <w:spacing w:line="360" w:lineRule="auto"/>
        <w:jc w:val="center"/>
        <w:rPr>
          <w:rFonts w:ascii="Palatino Linotype" w:eastAsia="Palatino Linotype" w:hAnsi="Palatino Linotype" w:cs="Palatino Linotype"/>
          <w:b/>
          <w:sz w:val="26"/>
          <w:szCs w:val="26"/>
        </w:rPr>
      </w:pPr>
    </w:p>
    <w:p w14:paraId="4FBE0C22" w14:textId="77777777" w:rsidR="006B4EAC" w:rsidRPr="00CF1F2E" w:rsidRDefault="00401A1E">
      <w:pPr>
        <w:spacing w:line="360" w:lineRule="auto"/>
        <w:ind w:right="49"/>
        <w:jc w:val="both"/>
        <w:rPr>
          <w:rFonts w:ascii="Palatino Linotype" w:eastAsia="Palatino Linotype" w:hAnsi="Palatino Linotype" w:cs="Palatino Linotype"/>
        </w:rPr>
      </w:pPr>
      <w:r w:rsidRPr="00CF1F2E">
        <w:rPr>
          <w:rFonts w:ascii="Palatino Linotype" w:eastAsia="Palatino Linotype" w:hAnsi="Palatino Linotype" w:cs="Palatino Linotype"/>
          <w:b/>
        </w:rPr>
        <w:t>PRIMERO.</w:t>
      </w:r>
      <w:r w:rsidRPr="00CF1F2E">
        <w:rPr>
          <w:rFonts w:ascii="Palatino Linotype" w:eastAsia="Palatino Linotype" w:hAnsi="Palatino Linotype" w:cs="Palatino Linotype"/>
        </w:rPr>
        <w:t xml:space="preserve"> Resultan </w:t>
      </w:r>
      <w:r w:rsidRPr="00CF1F2E">
        <w:rPr>
          <w:rFonts w:ascii="Palatino Linotype" w:eastAsia="Palatino Linotype" w:hAnsi="Palatino Linotype" w:cs="Palatino Linotype"/>
          <w:b/>
        </w:rPr>
        <w:t>infundados</w:t>
      </w:r>
      <w:r w:rsidRPr="00CF1F2E">
        <w:rPr>
          <w:rFonts w:ascii="Palatino Linotype" w:eastAsia="Palatino Linotype" w:hAnsi="Palatino Linotype" w:cs="Palatino Linotype"/>
        </w:rPr>
        <w:t xml:space="preserve"> los motivos de inconformidad hechos valer por </w:t>
      </w:r>
      <w:r w:rsidRPr="00CF1F2E">
        <w:rPr>
          <w:rFonts w:ascii="Palatino Linotype" w:eastAsia="Palatino Linotype" w:hAnsi="Palatino Linotype" w:cs="Palatino Linotype"/>
          <w:b/>
        </w:rPr>
        <w:t>EL RECURRENTE</w:t>
      </w:r>
      <w:r w:rsidRPr="00CF1F2E">
        <w:rPr>
          <w:rFonts w:ascii="Palatino Linotype" w:eastAsia="Palatino Linotype" w:hAnsi="Palatino Linotype" w:cs="Palatino Linotype"/>
        </w:rPr>
        <w:t xml:space="preserve"> en el Recurso de Revisión </w:t>
      </w:r>
      <w:r w:rsidRPr="00CF1F2E">
        <w:rPr>
          <w:rFonts w:ascii="Palatino Linotype" w:eastAsia="Palatino Linotype" w:hAnsi="Palatino Linotype" w:cs="Palatino Linotype"/>
          <w:b/>
        </w:rPr>
        <w:t>04047/INFOEM/IP/RR/2022</w:t>
      </w:r>
      <w:r w:rsidRPr="00CF1F2E">
        <w:rPr>
          <w:rFonts w:ascii="Palatino Linotype" w:eastAsia="Palatino Linotype" w:hAnsi="Palatino Linotype" w:cs="Palatino Linotype"/>
        </w:rPr>
        <w:t xml:space="preserve">, en términos del considerando </w:t>
      </w:r>
      <w:r w:rsidRPr="00CF1F2E">
        <w:rPr>
          <w:rFonts w:ascii="Palatino Linotype" w:eastAsia="Palatino Linotype" w:hAnsi="Palatino Linotype" w:cs="Palatino Linotype"/>
          <w:b/>
        </w:rPr>
        <w:t>QUINTO</w:t>
      </w:r>
      <w:r w:rsidRPr="00CF1F2E">
        <w:rPr>
          <w:rFonts w:ascii="Palatino Linotype" w:eastAsia="Palatino Linotype" w:hAnsi="Palatino Linotype" w:cs="Palatino Linotype"/>
        </w:rPr>
        <w:t>.</w:t>
      </w:r>
    </w:p>
    <w:p w14:paraId="48E4602C"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b/>
        </w:rPr>
        <w:lastRenderedPageBreak/>
        <w:t xml:space="preserve">SEGUNDO. </w:t>
      </w:r>
      <w:r w:rsidRPr="00CF1F2E">
        <w:rPr>
          <w:rFonts w:ascii="Palatino Linotype" w:eastAsia="Palatino Linotype" w:hAnsi="Palatino Linotype" w:cs="Palatino Linotype"/>
        </w:rPr>
        <w:t>Se</w:t>
      </w:r>
      <w:r w:rsidRPr="00CF1F2E">
        <w:rPr>
          <w:rFonts w:ascii="Palatino Linotype" w:eastAsia="Palatino Linotype" w:hAnsi="Palatino Linotype" w:cs="Palatino Linotype"/>
          <w:b/>
        </w:rPr>
        <w:t xml:space="preserve"> CONFIRMA </w:t>
      </w:r>
      <w:r w:rsidRPr="00CF1F2E">
        <w:rPr>
          <w:rFonts w:ascii="Palatino Linotype" w:eastAsia="Palatino Linotype" w:hAnsi="Palatino Linotype" w:cs="Palatino Linotype"/>
        </w:rPr>
        <w:t xml:space="preserve">la respuesta del </w:t>
      </w:r>
      <w:r w:rsidRPr="00CF1F2E">
        <w:rPr>
          <w:rFonts w:ascii="Palatino Linotype" w:eastAsia="Palatino Linotype" w:hAnsi="Palatino Linotype" w:cs="Palatino Linotype"/>
          <w:b/>
        </w:rPr>
        <w:t xml:space="preserve">SUJETO OBLIGADO </w:t>
      </w:r>
      <w:r w:rsidRPr="00CF1F2E">
        <w:rPr>
          <w:rFonts w:ascii="Palatino Linotype" w:eastAsia="Palatino Linotype" w:hAnsi="Palatino Linotype" w:cs="Palatino Linotype"/>
        </w:rPr>
        <w:t>otorgada a la solicitud de acceso a la información con número</w:t>
      </w:r>
      <w:r w:rsidRPr="00CF1F2E">
        <w:rPr>
          <w:rFonts w:ascii="Palatino Linotype" w:eastAsia="Palatino Linotype" w:hAnsi="Palatino Linotype" w:cs="Palatino Linotype"/>
          <w:b/>
        </w:rPr>
        <w:t xml:space="preserve"> 00017/OASNEZA/IP/2022</w:t>
      </w:r>
      <w:r w:rsidRPr="00CF1F2E">
        <w:rPr>
          <w:rFonts w:ascii="Palatino Linotype" w:eastAsia="Palatino Linotype" w:hAnsi="Palatino Linotype" w:cs="Palatino Linotype"/>
        </w:rPr>
        <w:t xml:space="preserve">, en términos del Considerando </w:t>
      </w:r>
      <w:r w:rsidRPr="00CF1F2E">
        <w:rPr>
          <w:rFonts w:ascii="Palatino Linotype" w:eastAsia="Palatino Linotype" w:hAnsi="Palatino Linotype" w:cs="Palatino Linotype"/>
          <w:b/>
        </w:rPr>
        <w:t>QUINTO</w:t>
      </w:r>
      <w:r w:rsidRPr="00CF1F2E">
        <w:rPr>
          <w:rFonts w:ascii="Palatino Linotype" w:eastAsia="Palatino Linotype" w:hAnsi="Palatino Linotype" w:cs="Palatino Linotype"/>
        </w:rPr>
        <w:t>. </w:t>
      </w:r>
    </w:p>
    <w:p w14:paraId="7C4A606E"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w:t>
      </w:r>
    </w:p>
    <w:p w14:paraId="4C62641B"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b/>
        </w:rPr>
        <w:t xml:space="preserve">TERCERO. Notifíquese </w:t>
      </w:r>
      <w:r w:rsidRPr="00CF1F2E">
        <w:rPr>
          <w:rFonts w:ascii="Palatino Linotype" w:eastAsia="Palatino Linotype" w:hAnsi="Palatino Linotype" w:cs="Palatino Linotype"/>
        </w:rPr>
        <w:t xml:space="preserve">la presente resolución al Titular de la Unidad de Transparencia del </w:t>
      </w:r>
      <w:r w:rsidRPr="00CF1F2E">
        <w:rPr>
          <w:rFonts w:ascii="Palatino Linotype" w:eastAsia="Palatino Linotype" w:hAnsi="Palatino Linotype" w:cs="Palatino Linotype"/>
          <w:b/>
        </w:rPr>
        <w:t>SUJETO OBLIGADO</w:t>
      </w:r>
      <w:r w:rsidRPr="00CF1F2E">
        <w:rPr>
          <w:rFonts w:ascii="Palatino Linotype" w:eastAsia="Palatino Linotype" w:hAnsi="Palatino Linotype" w:cs="Palatino Linotype"/>
        </w:rPr>
        <w:t>, para su conocimiento, a través del Sistema de Acceso a la Información Mexiquense (SAIMEX). </w:t>
      </w:r>
    </w:p>
    <w:p w14:paraId="75A73B4B"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w:t>
      </w:r>
    </w:p>
    <w:p w14:paraId="2B9AA422"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b/>
        </w:rPr>
        <w:t>CUARTO. Notifíquese</w:t>
      </w:r>
      <w:r w:rsidRPr="00CF1F2E">
        <w:rPr>
          <w:rFonts w:ascii="Palatino Linotype" w:eastAsia="Palatino Linotype" w:hAnsi="Palatino Linotype" w:cs="Palatino Linotype"/>
        </w:rPr>
        <w:t xml:space="preserve"> al</w:t>
      </w:r>
      <w:r w:rsidRPr="00CF1F2E">
        <w:rPr>
          <w:rFonts w:ascii="Palatino Linotype" w:eastAsia="Palatino Linotype" w:hAnsi="Palatino Linotype" w:cs="Palatino Linotype"/>
          <w:b/>
        </w:rPr>
        <w:t xml:space="preserve"> RECURRENTE</w:t>
      </w:r>
      <w:r w:rsidRPr="00CF1F2E">
        <w:rPr>
          <w:rFonts w:ascii="Palatino Linotype" w:eastAsia="Palatino Linotype" w:hAnsi="Palatino Linotype" w:cs="Palatino Linotype"/>
        </w:rPr>
        <w:t xml:space="preserve"> la presente resolución vía Sistema de Acceso a la Información Mexiquense (</w:t>
      </w:r>
      <w:r w:rsidRPr="00CF1F2E">
        <w:rPr>
          <w:rFonts w:ascii="Palatino Linotype" w:eastAsia="Palatino Linotype" w:hAnsi="Palatino Linotype" w:cs="Palatino Linotype"/>
          <w:b/>
        </w:rPr>
        <w:t>SAIMEX</w:t>
      </w:r>
      <w:r w:rsidRPr="00CF1F2E">
        <w:rPr>
          <w:rFonts w:ascii="Palatino Linotype" w:eastAsia="Palatino Linotype" w:hAnsi="Palatino Linotype" w:cs="Palatino Linotype"/>
        </w:rPr>
        <w:t>). </w:t>
      </w:r>
    </w:p>
    <w:p w14:paraId="669777CD" w14:textId="77777777" w:rsidR="006B4EAC" w:rsidRPr="00CF1F2E" w:rsidRDefault="00401A1E">
      <w:pPr>
        <w:widowControl w:val="0"/>
        <w:spacing w:line="360" w:lineRule="auto"/>
        <w:jc w:val="both"/>
        <w:rPr>
          <w:rFonts w:ascii="Palatino Linotype" w:eastAsia="Palatino Linotype" w:hAnsi="Palatino Linotype" w:cs="Palatino Linotype"/>
        </w:rPr>
      </w:pPr>
      <w:r w:rsidRPr="00CF1F2E">
        <w:rPr>
          <w:rFonts w:ascii="Palatino Linotype" w:eastAsia="Palatino Linotype" w:hAnsi="Palatino Linotype" w:cs="Palatino Linotype"/>
        </w:rPr>
        <w:t> </w:t>
      </w:r>
    </w:p>
    <w:p w14:paraId="5BDBF04D" w14:textId="77777777" w:rsidR="006B4EAC" w:rsidRPr="00CF1F2E" w:rsidRDefault="00401A1E">
      <w:pPr>
        <w:widowControl w:val="0"/>
        <w:spacing w:line="360" w:lineRule="auto"/>
        <w:jc w:val="both"/>
        <w:rPr>
          <w:rFonts w:ascii="Palatino Linotype" w:eastAsia="Palatino Linotype" w:hAnsi="Palatino Linotype" w:cs="Palatino Linotype"/>
          <w:b/>
        </w:rPr>
      </w:pPr>
      <w:r w:rsidRPr="00CF1F2E">
        <w:rPr>
          <w:rFonts w:ascii="Palatino Linotype" w:eastAsia="Palatino Linotype" w:hAnsi="Palatino Linotype" w:cs="Palatino Linotype"/>
          <w:b/>
        </w:rPr>
        <w:t>QUINTO. Hágase del conocimiento</w:t>
      </w:r>
      <w:r w:rsidRPr="00CF1F2E">
        <w:rPr>
          <w:rFonts w:ascii="Palatino Linotype" w:eastAsia="Palatino Linotype" w:hAnsi="Palatino Linotype" w:cs="Palatino Linotype"/>
        </w:rPr>
        <w:t xml:space="preserve"> al </w:t>
      </w:r>
      <w:r w:rsidRPr="00CF1F2E">
        <w:rPr>
          <w:rFonts w:ascii="Palatino Linotype" w:eastAsia="Palatino Linotype" w:hAnsi="Palatino Linotype" w:cs="Palatino Linotype"/>
          <w:b/>
        </w:rPr>
        <w:t>RECURRENTE</w:t>
      </w:r>
      <w:r w:rsidRPr="00CF1F2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1F9EAB57" w14:textId="77777777" w:rsidR="006B4EAC" w:rsidRPr="00CF1F2E" w:rsidRDefault="006B4EAC">
      <w:pPr>
        <w:spacing w:line="360" w:lineRule="auto"/>
        <w:jc w:val="both"/>
        <w:rPr>
          <w:rFonts w:ascii="Palatino Linotype" w:eastAsia="Palatino Linotype" w:hAnsi="Palatino Linotype" w:cs="Palatino Linotype"/>
        </w:rPr>
      </w:pPr>
    </w:p>
    <w:p w14:paraId="251FFBA1" w14:textId="77777777" w:rsidR="00E6394D" w:rsidRPr="00CF1F2E" w:rsidRDefault="00E6394D" w:rsidP="00E6394D">
      <w:pPr>
        <w:widowControl w:val="0"/>
        <w:autoSpaceDE w:val="0"/>
        <w:autoSpaceDN w:val="0"/>
        <w:adjustRightInd w:val="0"/>
        <w:spacing w:line="360" w:lineRule="auto"/>
        <w:jc w:val="both"/>
        <w:rPr>
          <w:rFonts w:ascii="Palatino Linotype" w:hAnsi="Palatino Linotype" w:cs="Arial"/>
          <w:color w:val="000000" w:themeColor="text1"/>
        </w:rPr>
      </w:pPr>
      <w:bookmarkStart w:id="8" w:name="_heading=h.30j0zll" w:colFirst="0" w:colLast="0"/>
      <w:bookmarkStart w:id="9" w:name="_Hlk104936283"/>
      <w:bookmarkEnd w:id="8"/>
      <w:r w:rsidRPr="00CF1F2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F1F2E">
        <w:rPr>
          <w:rFonts w:ascii="Palatino Linotype" w:hAnsi="Palatino Linotype" w:cs="Arial"/>
          <w:color w:val="000000" w:themeColor="text1"/>
        </w:rPr>
        <w:lastRenderedPageBreak/>
        <w:t xml:space="preserve">GUSTAVO PARRA NORIEGA Y GUADALUPE RAMÍREZ PEÑA; EN LA VIGÉSIMA SESIÓN ORDINARIA CELEBRADA EL UNO DE JUNIO DE DOS MIL VEINTIDÓS, ANTE EL SECRETARIO TÉCNICO DEL PLENO, ALEXIS TAPIA RAMÍREZ. </w:t>
      </w:r>
    </w:p>
    <w:bookmarkEnd w:id="9"/>
    <w:p w14:paraId="57050CDA" w14:textId="77777777" w:rsidR="006B4EAC" w:rsidRDefault="00401A1E">
      <w:pPr>
        <w:spacing w:line="360" w:lineRule="auto"/>
        <w:jc w:val="both"/>
        <w:rPr>
          <w:rFonts w:ascii="Palatino Linotype" w:eastAsia="Palatino Linotype" w:hAnsi="Palatino Linotype" w:cs="Palatino Linotype"/>
          <w:sz w:val="14"/>
          <w:szCs w:val="14"/>
        </w:rPr>
      </w:pPr>
      <w:r w:rsidRPr="00CF1F2E">
        <w:rPr>
          <w:rFonts w:ascii="Palatino Linotype" w:eastAsia="Palatino Linotype" w:hAnsi="Palatino Linotype" w:cs="Palatino Linotype"/>
          <w:sz w:val="14"/>
          <w:szCs w:val="14"/>
        </w:rPr>
        <w:t>SCMM/BLA/DEMF/PMRE</w:t>
      </w:r>
    </w:p>
    <w:p w14:paraId="77CAFE54" w14:textId="77777777" w:rsidR="006B4EAC" w:rsidRDefault="00401A1E">
      <w:pPr>
        <w:rPr>
          <w:rFonts w:ascii="Palatino Linotype" w:eastAsia="Palatino Linotype" w:hAnsi="Palatino Linotype" w:cs="Palatino Linotype"/>
        </w:rPr>
      </w:pPr>
      <w:r>
        <w:br w:type="page"/>
      </w:r>
    </w:p>
    <w:p w14:paraId="418BD560" w14:textId="77777777" w:rsidR="006B4EAC" w:rsidRDefault="006B4EAC">
      <w:pPr>
        <w:spacing w:line="360" w:lineRule="auto"/>
        <w:jc w:val="both"/>
        <w:rPr>
          <w:rFonts w:ascii="Palatino Linotype" w:eastAsia="Palatino Linotype" w:hAnsi="Palatino Linotype" w:cs="Palatino Linotype"/>
        </w:rPr>
      </w:pPr>
    </w:p>
    <w:p w14:paraId="2C859D44" w14:textId="77777777" w:rsidR="006B4EAC" w:rsidRDefault="006B4EAC">
      <w:pPr>
        <w:spacing w:line="360" w:lineRule="auto"/>
        <w:jc w:val="both"/>
        <w:rPr>
          <w:rFonts w:ascii="Palatino Linotype" w:eastAsia="Palatino Linotype" w:hAnsi="Palatino Linotype" w:cs="Palatino Linotype"/>
        </w:rPr>
      </w:pPr>
    </w:p>
    <w:p w14:paraId="1CEF07EE" w14:textId="77777777" w:rsidR="006B4EAC" w:rsidRDefault="006B4EAC">
      <w:pPr>
        <w:spacing w:line="360" w:lineRule="auto"/>
        <w:jc w:val="both"/>
        <w:rPr>
          <w:rFonts w:ascii="Palatino Linotype" w:eastAsia="Palatino Linotype" w:hAnsi="Palatino Linotype" w:cs="Palatino Linotype"/>
        </w:rPr>
      </w:pPr>
    </w:p>
    <w:p w14:paraId="19100137" w14:textId="77777777" w:rsidR="006B4EAC" w:rsidRDefault="006B4EAC">
      <w:pPr>
        <w:spacing w:line="360" w:lineRule="auto"/>
        <w:jc w:val="both"/>
        <w:rPr>
          <w:rFonts w:ascii="Palatino Linotype" w:eastAsia="Palatino Linotype" w:hAnsi="Palatino Linotype" w:cs="Palatino Linotype"/>
        </w:rPr>
      </w:pPr>
    </w:p>
    <w:p w14:paraId="160B66F6" w14:textId="77777777" w:rsidR="006B4EAC" w:rsidRDefault="006B4EAC">
      <w:pPr>
        <w:spacing w:line="360" w:lineRule="auto"/>
        <w:jc w:val="both"/>
        <w:rPr>
          <w:rFonts w:ascii="Palatino Linotype" w:eastAsia="Palatino Linotype" w:hAnsi="Palatino Linotype" w:cs="Palatino Linotype"/>
        </w:rPr>
      </w:pPr>
    </w:p>
    <w:p w14:paraId="4E79A5E3" w14:textId="77777777" w:rsidR="006B4EAC" w:rsidRDefault="006B4EAC">
      <w:pPr>
        <w:spacing w:line="360" w:lineRule="auto"/>
        <w:jc w:val="both"/>
        <w:rPr>
          <w:rFonts w:ascii="Palatino Linotype" w:eastAsia="Palatino Linotype" w:hAnsi="Palatino Linotype" w:cs="Palatino Linotype"/>
        </w:rPr>
      </w:pPr>
    </w:p>
    <w:p w14:paraId="2BDDC9FC" w14:textId="77777777" w:rsidR="006B4EAC" w:rsidRDefault="006B4EAC">
      <w:pPr>
        <w:spacing w:line="360" w:lineRule="auto"/>
        <w:jc w:val="both"/>
        <w:rPr>
          <w:rFonts w:ascii="Palatino Linotype" w:eastAsia="Palatino Linotype" w:hAnsi="Palatino Linotype" w:cs="Palatino Linotype"/>
        </w:rPr>
      </w:pPr>
    </w:p>
    <w:p w14:paraId="769A9E30" w14:textId="77777777" w:rsidR="006B4EAC" w:rsidRDefault="006B4EAC">
      <w:pPr>
        <w:spacing w:line="360" w:lineRule="auto"/>
        <w:jc w:val="both"/>
        <w:rPr>
          <w:rFonts w:ascii="Palatino Linotype" w:eastAsia="Palatino Linotype" w:hAnsi="Palatino Linotype" w:cs="Palatino Linotype"/>
        </w:rPr>
      </w:pPr>
    </w:p>
    <w:p w14:paraId="24B388E2" w14:textId="77777777" w:rsidR="006B4EAC" w:rsidRDefault="006B4EAC">
      <w:pPr>
        <w:spacing w:line="360" w:lineRule="auto"/>
        <w:jc w:val="both"/>
        <w:rPr>
          <w:rFonts w:ascii="Palatino Linotype" w:eastAsia="Palatino Linotype" w:hAnsi="Palatino Linotype" w:cs="Palatino Linotype"/>
        </w:rPr>
      </w:pPr>
    </w:p>
    <w:p w14:paraId="1696F9E1" w14:textId="77777777" w:rsidR="006B4EAC" w:rsidRDefault="006B4EAC">
      <w:pPr>
        <w:spacing w:line="360" w:lineRule="auto"/>
        <w:jc w:val="both"/>
        <w:rPr>
          <w:rFonts w:ascii="Palatino Linotype" w:eastAsia="Palatino Linotype" w:hAnsi="Palatino Linotype" w:cs="Palatino Linotype"/>
        </w:rPr>
      </w:pPr>
    </w:p>
    <w:p w14:paraId="38FCF3EC" w14:textId="77777777" w:rsidR="006B4EAC" w:rsidRDefault="006B4EAC">
      <w:pPr>
        <w:spacing w:line="360" w:lineRule="auto"/>
        <w:jc w:val="both"/>
        <w:rPr>
          <w:rFonts w:ascii="Palatino Linotype" w:eastAsia="Palatino Linotype" w:hAnsi="Palatino Linotype" w:cs="Palatino Linotype"/>
        </w:rPr>
      </w:pPr>
    </w:p>
    <w:p w14:paraId="5B266DA3" w14:textId="77777777" w:rsidR="006B4EAC" w:rsidRDefault="006B4EAC">
      <w:pPr>
        <w:spacing w:line="360" w:lineRule="auto"/>
        <w:jc w:val="both"/>
        <w:rPr>
          <w:rFonts w:ascii="Palatino Linotype" w:eastAsia="Palatino Linotype" w:hAnsi="Palatino Linotype" w:cs="Palatino Linotype"/>
        </w:rPr>
      </w:pPr>
    </w:p>
    <w:p w14:paraId="6C48FC4D" w14:textId="77777777" w:rsidR="006B4EAC" w:rsidRDefault="006B4EAC">
      <w:pPr>
        <w:spacing w:line="360" w:lineRule="auto"/>
        <w:jc w:val="both"/>
        <w:rPr>
          <w:rFonts w:ascii="Palatino Linotype" w:eastAsia="Palatino Linotype" w:hAnsi="Palatino Linotype" w:cs="Palatino Linotype"/>
        </w:rPr>
      </w:pPr>
    </w:p>
    <w:p w14:paraId="4703FA00" w14:textId="77777777" w:rsidR="006B4EAC" w:rsidRDefault="006B4EAC">
      <w:pPr>
        <w:spacing w:line="360" w:lineRule="auto"/>
        <w:jc w:val="both"/>
        <w:rPr>
          <w:rFonts w:ascii="Palatino Linotype" w:eastAsia="Palatino Linotype" w:hAnsi="Palatino Linotype" w:cs="Palatino Linotype"/>
        </w:rPr>
      </w:pPr>
    </w:p>
    <w:p w14:paraId="7E9ABEB8" w14:textId="77777777" w:rsidR="006B4EAC" w:rsidRDefault="006B4EAC">
      <w:pPr>
        <w:spacing w:line="360" w:lineRule="auto"/>
        <w:jc w:val="both"/>
        <w:rPr>
          <w:rFonts w:ascii="Palatino Linotype" w:eastAsia="Palatino Linotype" w:hAnsi="Palatino Linotype" w:cs="Palatino Linotype"/>
        </w:rPr>
      </w:pPr>
    </w:p>
    <w:p w14:paraId="11938831" w14:textId="77777777" w:rsidR="006B4EAC" w:rsidRDefault="006B4EAC">
      <w:pPr>
        <w:spacing w:line="360" w:lineRule="auto"/>
        <w:jc w:val="both"/>
        <w:rPr>
          <w:rFonts w:ascii="Palatino Linotype" w:eastAsia="Palatino Linotype" w:hAnsi="Palatino Linotype" w:cs="Palatino Linotype"/>
        </w:rPr>
      </w:pPr>
    </w:p>
    <w:p w14:paraId="63DC7047" w14:textId="77777777" w:rsidR="006B4EAC" w:rsidRDefault="006B4EAC">
      <w:pPr>
        <w:spacing w:line="360" w:lineRule="auto"/>
        <w:jc w:val="both"/>
        <w:rPr>
          <w:rFonts w:ascii="Palatino Linotype" w:eastAsia="Palatino Linotype" w:hAnsi="Palatino Linotype" w:cs="Palatino Linotype"/>
        </w:rPr>
      </w:pPr>
    </w:p>
    <w:p w14:paraId="1ACC41A4" w14:textId="77777777" w:rsidR="006B4EAC" w:rsidRDefault="006B4EAC">
      <w:pPr>
        <w:spacing w:line="360" w:lineRule="auto"/>
        <w:jc w:val="both"/>
        <w:rPr>
          <w:rFonts w:ascii="Palatino Linotype" w:eastAsia="Palatino Linotype" w:hAnsi="Palatino Linotype" w:cs="Palatino Linotype"/>
        </w:rPr>
      </w:pPr>
    </w:p>
    <w:sectPr w:rsidR="006B4EAC">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A9C9" w14:textId="77777777" w:rsidR="00415626" w:rsidRDefault="00415626">
      <w:r>
        <w:separator/>
      </w:r>
    </w:p>
  </w:endnote>
  <w:endnote w:type="continuationSeparator" w:id="0">
    <w:p w14:paraId="37C0F413" w14:textId="77777777" w:rsidR="00415626" w:rsidRDefault="004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9001" w14:textId="77777777" w:rsidR="006B4EAC" w:rsidRDefault="00401A1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C7371">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C7371">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D315" w14:textId="77777777" w:rsidR="006B4EAC" w:rsidRDefault="00401A1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C737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C7371">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FAAF" w14:textId="77777777" w:rsidR="00415626" w:rsidRDefault="00415626">
      <w:r>
        <w:separator/>
      </w:r>
    </w:p>
  </w:footnote>
  <w:footnote w:type="continuationSeparator" w:id="0">
    <w:p w14:paraId="3FBE85B7" w14:textId="77777777" w:rsidR="00415626" w:rsidRDefault="00415626">
      <w:r>
        <w:continuationSeparator/>
      </w:r>
    </w:p>
  </w:footnote>
  <w:footnote w:id="1">
    <w:p w14:paraId="54C053FB" w14:textId="77777777" w:rsidR="006B4EAC" w:rsidRDefault="00401A1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E0C1" w14:textId="77777777" w:rsidR="006B4EAC" w:rsidRDefault="004C31B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9430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25FA" w14:textId="77777777" w:rsidR="006B4EAC" w:rsidRDefault="004C31B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C0C1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4"/>
      <w:tblW w:w="9534" w:type="dxa"/>
      <w:tblInd w:w="-142" w:type="dxa"/>
      <w:tblLayout w:type="fixed"/>
      <w:tblLook w:val="0400" w:firstRow="0" w:lastRow="0" w:firstColumn="0" w:lastColumn="0" w:noHBand="0" w:noVBand="1"/>
    </w:tblPr>
    <w:tblGrid>
      <w:gridCol w:w="3261"/>
      <w:gridCol w:w="2551"/>
      <w:gridCol w:w="3722"/>
    </w:tblGrid>
    <w:tr w:rsidR="006B4EAC" w14:paraId="4870AF2E" w14:textId="77777777">
      <w:tc>
        <w:tcPr>
          <w:tcW w:w="3261" w:type="dxa"/>
          <w:vMerge w:val="restart"/>
        </w:tcPr>
        <w:p w14:paraId="69ECA260"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7F57614" wp14:editId="4EBFC21E">
                <wp:extent cx="1692162" cy="852673"/>
                <wp:effectExtent l="0" t="0" r="0" b="0"/>
                <wp:docPr id="2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61E2810"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DF3AE40"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04047/INFOEM/IP/RR/2022</w:t>
          </w:r>
        </w:p>
      </w:tc>
    </w:tr>
    <w:tr w:rsidR="006B4EAC" w14:paraId="79C1D553" w14:textId="77777777">
      <w:tc>
        <w:tcPr>
          <w:tcW w:w="3261" w:type="dxa"/>
          <w:vMerge/>
        </w:tcPr>
        <w:p w14:paraId="25FD6110" w14:textId="77777777" w:rsidR="006B4EAC" w:rsidRDefault="006B4E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4816521"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3114CF2"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 Nezahualcóyotl (ODAPAS)</w:t>
          </w:r>
        </w:p>
      </w:tc>
    </w:tr>
    <w:tr w:rsidR="006B4EAC" w14:paraId="22A1EE26" w14:textId="77777777">
      <w:trPr>
        <w:trHeight w:val="790"/>
      </w:trPr>
      <w:tc>
        <w:tcPr>
          <w:tcW w:w="3261" w:type="dxa"/>
          <w:vMerge/>
        </w:tcPr>
        <w:p w14:paraId="1C21C345" w14:textId="77777777" w:rsidR="006B4EAC" w:rsidRDefault="006B4E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64CFA1E"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22438BF"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939FDD3" w14:textId="77777777" w:rsidR="006B4EAC" w:rsidRDefault="006B4E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D16" w14:textId="77777777" w:rsidR="006B4EAC" w:rsidRDefault="004C31B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D86E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3"/>
      <w:tblW w:w="9900" w:type="dxa"/>
      <w:tblInd w:w="-833" w:type="dxa"/>
      <w:tblLayout w:type="fixed"/>
      <w:tblLook w:val="0400" w:firstRow="0" w:lastRow="0" w:firstColumn="0" w:lastColumn="0" w:noHBand="0" w:noVBand="1"/>
    </w:tblPr>
    <w:tblGrid>
      <w:gridCol w:w="3805"/>
      <w:gridCol w:w="3000"/>
      <w:gridCol w:w="3095"/>
    </w:tblGrid>
    <w:tr w:rsidR="006B4EAC" w14:paraId="40589597" w14:textId="77777777">
      <w:tc>
        <w:tcPr>
          <w:tcW w:w="3805" w:type="dxa"/>
          <w:vMerge w:val="restart"/>
          <w:shd w:val="clear" w:color="auto" w:fill="auto"/>
        </w:tcPr>
        <w:p w14:paraId="09C48EAF" w14:textId="77777777" w:rsidR="006B4EAC" w:rsidRDefault="00401A1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B1E0E01" wp14:editId="3B0BF4EF">
                <wp:extent cx="1692162" cy="852673"/>
                <wp:effectExtent l="0" t="0" r="0" b="0"/>
                <wp:docPr id="2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4A277BC"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7D84EEB"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04047/INFOEM/IP/RR/2022 </w:t>
          </w:r>
        </w:p>
      </w:tc>
    </w:tr>
    <w:tr w:rsidR="006B4EAC" w14:paraId="5948AD99" w14:textId="77777777">
      <w:tc>
        <w:tcPr>
          <w:tcW w:w="3805" w:type="dxa"/>
          <w:vMerge/>
          <w:shd w:val="clear" w:color="auto" w:fill="auto"/>
        </w:tcPr>
        <w:p w14:paraId="216FA463" w14:textId="77777777" w:rsidR="006B4EAC" w:rsidRDefault="006B4E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023E55"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81E30F4" w14:textId="77777777" w:rsidR="006B4EAC" w:rsidRDefault="006B4EAC">
          <w:pPr>
            <w:jc w:val="both"/>
            <w:rPr>
              <w:rFonts w:ascii="Palatino Linotype" w:eastAsia="Palatino Linotype" w:hAnsi="Palatino Linotype" w:cs="Palatino Linotype"/>
              <w:b/>
            </w:rPr>
          </w:pPr>
        </w:p>
      </w:tc>
    </w:tr>
    <w:tr w:rsidR="006B4EAC" w14:paraId="673E3C16" w14:textId="77777777">
      <w:trPr>
        <w:trHeight w:val="228"/>
      </w:trPr>
      <w:tc>
        <w:tcPr>
          <w:tcW w:w="3805" w:type="dxa"/>
          <w:vMerge/>
          <w:shd w:val="clear" w:color="auto" w:fill="auto"/>
        </w:tcPr>
        <w:p w14:paraId="54389FD2" w14:textId="77777777" w:rsidR="006B4EAC" w:rsidRDefault="006B4E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B5821F2"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F1AEE8C"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 Nezahualcóyotl (ODAPAS)</w:t>
          </w:r>
        </w:p>
      </w:tc>
    </w:tr>
    <w:tr w:rsidR="006B4EAC" w14:paraId="659942E1" w14:textId="77777777">
      <w:tc>
        <w:tcPr>
          <w:tcW w:w="3805" w:type="dxa"/>
          <w:vMerge/>
          <w:shd w:val="clear" w:color="auto" w:fill="auto"/>
        </w:tcPr>
        <w:p w14:paraId="5993FFEB" w14:textId="77777777" w:rsidR="006B4EAC" w:rsidRDefault="006B4EA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DCDB1BD" w14:textId="77777777" w:rsidR="006B4EAC" w:rsidRDefault="00401A1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728718E" w14:textId="77777777" w:rsidR="006B4EAC" w:rsidRDefault="00401A1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3A799F7" w14:textId="77777777" w:rsidR="006B4EAC" w:rsidRDefault="006B4EAC">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AC"/>
    <w:rsid w:val="00401A1E"/>
    <w:rsid w:val="00415626"/>
    <w:rsid w:val="004C31B9"/>
    <w:rsid w:val="005359FD"/>
    <w:rsid w:val="006B4EAC"/>
    <w:rsid w:val="006C478E"/>
    <w:rsid w:val="00A20124"/>
    <w:rsid w:val="00AC7371"/>
    <w:rsid w:val="00CF1F2E"/>
    <w:rsid w:val="00D1547C"/>
    <w:rsid w:val="00E6394D"/>
    <w:rsid w:val="00FB48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BD350"/>
  <w15:docId w15:val="{873EC84D-9647-4EE7-A7BA-709985C8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7"/>
    <w:tblPr>
      <w:tblStyleRowBandSize w:val="1"/>
      <w:tblStyleColBandSize w:val="1"/>
      <w:tblCellMar>
        <w:top w:w="100" w:type="dxa"/>
        <w:left w:w="100" w:type="dxa"/>
        <w:bottom w:w="100" w:type="dxa"/>
        <w:right w:w="100" w:type="dxa"/>
      </w:tblCellMar>
    </w:tblPr>
  </w:style>
  <w:style w:type="table" w:customStyle="1" w:styleId="a0">
    <w:basedOn w:val="TableNormalf7"/>
    <w:tblPr>
      <w:tblStyleRowBandSize w:val="1"/>
      <w:tblStyleColBandSize w:val="1"/>
      <w:tblCellMar>
        <w:left w:w="115" w:type="dxa"/>
        <w:right w:w="115" w:type="dxa"/>
      </w:tblCellMar>
    </w:tblPr>
  </w:style>
  <w:style w:type="table" w:customStyle="1" w:styleId="a1">
    <w:basedOn w:val="TableNormalf7"/>
    <w:tblPr>
      <w:tblStyleRowBandSize w:val="1"/>
      <w:tblStyleColBandSize w:val="1"/>
      <w:tblCellMar>
        <w:left w:w="115" w:type="dxa"/>
        <w:right w:w="115" w:type="dxa"/>
      </w:tblCellMar>
    </w:tblPr>
  </w:style>
  <w:style w:type="table" w:customStyle="1" w:styleId="a2">
    <w:basedOn w:val="TableNormalf7"/>
    <w:tblPr>
      <w:tblStyleRowBandSize w:val="1"/>
      <w:tblStyleColBandSize w:val="1"/>
      <w:tblCellMar>
        <w:left w:w="115" w:type="dxa"/>
        <w:right w:w="115" w:type="dxa"/>
      </w:tblCellMar>
    </w:tblPr>
  </w:style>
  <w:style w:type="table" w:customStyle="1" w:styleId="a3">
    <w:basedOn w:val="TableNormalf7"/>
    <w:tblPr>
      <w:tblStyleRowBandSize w:val="1"/>
      <w:tblStyleColBandSize w:val="1"/>
      <w:tblCellMar>
        <w:left w:w="115" w:type="dxa"/>
        <w:right w:w="115" w:type="dxa"/>
      </w:tblCellMar>
    </w:tblPr>
  </w:style>
  <w:style w:type="table" w:customStyle="1" w:styleId="a4">
    <w:basedOn w:val="TableNormalf7"/>
    <w:tblPr>
      <w:tblStyleRowBandSize w:val="1"/>
      <w:tblStyleColBandSize w:val="1"/>
      <w:tblCellMar>
        <w:left w:w="115" w:type="dxa"/>
        <w:right w:w="115" w:type="dxa"/>
      </w:tblCellMar>
    </w:tblPr>
  </w:style>
  <w:style w:type="table" w:customStyle="1" w:styleId="a5">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7"/>
    <w:tblPr>
      <w:tblStyleRowBandSize w:val="1"/>
      <w:tblStyleColBandSize w:val="1"/>
      <w:tblCellMar>
        <w:left w:w="115" w:type="dxa"/>
        <w:right w:w="115" w:type="dxa"/>
      </w:tblCellMar>
    </w:tblPr>
  </w:style>
  <w:style w:type="table" w:customStyle="1" w:styleId="a7">
    <w:basedOn w:val="TableNormalf7"/>
    <w:tblPr>
      <w:tblStyleRowBandSize w:val="1"/>
      <w:tblStyleColBandSize w:val="1"/>
      <w:tblCellMar>
        <w:left w:w="115" w:type="dxa"/>
        <w:right w:w="115" w:type="dxa"/>
      </w:tblCellMar>
    </w:tblPr>
  </w:style>
  <w:style w:type="table" w:customStyle="1" w:styleId="a8">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6"/>
    <w:tblPr>
      <w:tblStyleRowBandSize w:val="1"/>
      <w:tblStyleColBandSize w:val="1"/>
      <w:tblCellMar>
        <w:left w:w="115" w:type="dxa"/>
        <w:right w:w="115" w:type="dxa"/>
      </w:tblCellMar>
    </w:tblPr>
  </w:style>
  <w:style w:type="table" w:customStyle="1" w:styleId="afff3">
    <w:basedOn w:val="TableNormal6"/>
    <w:tblPr>
      <w:tblStyleRowBandSize w:val="1"/>
      <w:tblStyleColBandSize w:val="1"/>
      <w:tblCellMar>
        <w:top w:w="100" w:type="dxa"/>
        <w:left w:w="100" w:type="dxa"/>
        <w:bottom w:w="100" w:type="dxa"/>
        <w:right w:w="100" w:type="dxa"/>
      </w:tblCellMar>
    </w:tblPr>
  </w:style>
  <w:style w:type="table" w:customStyle="1" w:styleId="a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6"/>
    <w:tblPr>
      <w:tblStyleRowBandSize w:val="1"/>
      <w:tblStyleColBandSize w:val="1"/>
      <w:tblCellMar>
        <w:top w:w="100" w:type="dxa"/>
        <w:left w:w="100" w:type="dxa"/>
        <w:bottom w:w="100" w:type="dxa"/>
        <w:right w:w="100" w:type="dxa"/>
      </w:tblCellMar>
    </w:tblPr>
  </w:style>
  <w:style w:type="table" w:customStyle="1" w:styleId="a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ni4l32fX7UFFUr46r5FLq7m2cg==">AMUW2mUkHka/N1fX3kvhFT7VdTLc0Rp8RJbLn5HluWVTqWwSeSSIERKSPlgADO9/xiGctoIJGlhH6CrtgA5Er90Zv/S+/Pl/Qs4Moj4mhytgHXzYR3Qix3Bfy70jO44RBERPCkNJQZZS/9lPLQbjtv84jIMTiWd0gULcPRAEsD0TpBXAPOFDsXbfNlzgp4mEuXay+z816k0OyvFoEYrDO4A8XNsWzOaeaLbVztidw8cdgfvPfiaCoCcoVIwi5I6oqerOAbYUBkcDKsLrjVvhlzRpthqWotC6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4060</Words>
  <Characters>22330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8</cp:revision>
  <cp:lastPrinted>2022-06-03T04:09:00Z</cp:lastPrinted>
  <dcterms:created xsi:type="dcterms:W3CDTF">2022-05-27T02:40:00Z</dcterms:created>
  <dcterms:modified xsi:type="dcterms:W3CDTF">2022-06-03T04:09:00Z</dcterms:modified>
</cp:coreProperties>
</file>