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24A90F88"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de </w:t>
      </w:r>
      <w:r w:rsidR="00B637DA" w:rsidRPr="00006F07">
        <w:rPr>
          <w:rFonts w:ascii="Palatino Linotype" w:hAnsi="Palatino Linotype"/>
        </w:rPr>
        <w:t xml:space="preserve">fecha </w:t>
      </w:r>
      <w:r w:rsidR="00E357A8">
        <w:rPr>
          <w:rFonts w:ascii="Palatino Linotype" w:hAnsi="Palatino Linotype"/>
        </w:rPr>
        <w:t>die</w:t>
      </w:r>
      <w:r w:rsidR="0097327A">
        <w:rPr>
          <w:rFonts w:ascii="Palatino Linotype" w:hAnsi="Palatino Linotype"/>
        </w:rPr>
        <w:t>ciséis</w:t>
      </w:r>
      <w:r w:rsidR="007D17AA" w:rsidRPr="00006F07">
        <w:rPr>
          <w:rFonts w:ascii="Palatino Linotype" w:hAnsi="Palatino Linotype"/>
        </w:rPr>
        <w:t xml:space="preserve"> </w:t>
      </w:r>
      <w:r w:rsidR="006B149F" w:rsidRPr="00006F07">
        <w:rPr>
          <w:rFonts w:ascii="Palatino Linotype" w:hAnsi="Palatino Linotype"/>
        </w:rPr>
        <w:t>(</w:t>
      </w:r>
      <w:r w:rsidR="00E357A8">
        <w:rPr>
          <w:rFonts w:ascii="Palatino Linotype" w:hAnsi="Palatino Linotype"/>
        </w:rPr>
        <w:t>1</w:t>
      </w:r>
      <w:r w:rsidR="0097327A">
        <w:rPr>
          <w:rFonts w:ascii="Palatino Linotype" w:hAnsi="Palatino Linotype"/>
        </w:rPr>
        <w:t>6</w:t>
      </w:r>
      <w:r w:rsidR="00E357A8">
        <w:rPr>
          <w:rFonts w:ascii="Palatino Linotype" w:hAnsi="Palatino Linotype"/>
        </w:rPr>
        <w:t>)</w:t>
      </w:r>
      <w:r w:rsidR="006B149F" w:rsidRPr="00006F07">
        <w:rPr>
          <w:rFonts w:ascii="Palatino Linotype" w:hAnsi="Palatino Linotype"/>
        </w:rPr>
        <w:t xml:space="preserve"> de </w:t>
      </w:r>
      <w:r w:rsidR="00EE04E9">
        <w:rPr>
          <w:rFonts w:ascii="Palatino Linotype" w:hAnsi="Palatino Linotype"/>
        </w:rPr>
        <w:t>febrero</w:t>
      </w:r>
      <w:r w:rsidR="00FC1A4B" w:rsidRPr="00006F07">
        <w:rPr>
          <w:rFonts w:ascii="Palatino Linotype" w:hAnsi="Palatino Linotype"/>
        </w:rPr>
        <w:t xml:space="preserve"> </w:t>
      </w:r>
      <w:r w:rsidR="00006F07" w:rsidRPr="00006F07">
        <w:rPr>
          <w:rFonts w:ascii="Palatino Linotype" w:hAnsi="Palatino Linotype"/>
        </w:rPr>
        <w:t>de dos mil veinti</w:t>
      </w:r>
      <w:r w:rsidR="00E357A8">
        <w:rPr>
          <w:rFonts w:ascii="Palatino Linotype" w:hAnsi="Palatino Linotype"/>
        </w:rPr>
        <w:t>dós.</w:t>
      </w:r>
    </w:p>
    <w:p w14:paraId="5A51B5EC" w14:textId="77777777" w:rsidR="008A5A73" w:rsidRPr="00C1682A" w:rsidRDefault="008A5A73" w:rsidP="00C1682A">
      <w:pPr>
        <w:tabs>
          <w:tab w:val="left" w:pos="0"/>
          <w:tab w:val="left" w:pos="3465"/>
        </w:tabs>
        <w:spacing w:line="360" w:lineRule="auto"/>
        <w:jc w:val="both"/>
        <w:rPr>
          <w:rFonts w:ascii="Palatino Linotype" w:hAnsi="Palatino Linotype"/>
        </w:rPr>
      </w:pPr>
    </w:p>
    <w:p w14:paraId="7DF270C3" w14:textId="330DA5FE" w:rsidR="00112BFF" w:rsidRPr="00422F2F" w:rsidRDefault="00112BFF" w:rsidP="00112BFF">
      <w:pPr>
        <w:pStyle w:val="Encabezado"/>
        <w:spacing w:line="360" w:lineRule="auto"/>
        <w:jc w:val="both"/>
        <w:rPr>
          <w:rFonts w:ascii="Palatino Linotype" w:hAnsi="Palatino Linotype"/>
          <w:b/>
          <w:color w:val="000000" w:themeColor="text1"/>
        </w:rPr>
      </w:pPr>
      <w:r w:rsidRPr="00422F2F">
        <w:rPr>
          <w:rFonts w:ascii="Palatino Linotype" w:hAnsi="Palatino Linotype"/>
          <w:b/>
          <w:color w:val="000000" w:themeColor="text1"/>
        </w:rPr>
        <w:t>VISTO</w:t>
      </w:r>
      <w:r w:rsidRPr="00422F2F">
        <w:rPr>
          <w:rFonts w:ascii="Palatino Linotype" w:hAnsi="Palatino Linotype"/>
          <w:color w:val="000000" w:themeColor="text1"/>
        </w:rPr>
        <w:t xml:space="preserve"> el expediente electrónico formado con motivo del recurso de revisión número </w:t>
      </w:r>
      <w:r w:rsidR="00422F2F" w:rsidRPr="00422F2F">
        <w:rPr>
          <w:rFonts w:ascii="Palatino Linotype" w:hAnsi="Palatino Linotype" w:cs="Arial"/>
          <w:b/>
          <w:bCs/>
          <w:color w:val="000000" w:themeColor="text1"/>
        </w:rPr>
        <w:t>0</w:t>
      </w:r>
      <w:r w:rsidR="00E357A8">
        <w:rPr>
          <w:rFonts w:ascii="Palatino Linotype" w:hAnsi="Palatino Linotype" w:cs="Arial"/>
          <w:b/>
          <w:bCs/>
          <w:color w:val="000000" w:themeColor="text1"/>
        </w:rPr>
        <w:t>4523</w:t>
      </w:r>
      <w:r w:rsidRPr="00422F2F">
        <w:rPr>
          <w:rFonts w:ascii="Palatino Linotype" w:hAnsi="Palatino Linotype" w:cs="Arial"/>
          <w:b/>
          <w:bCs/>
          <w:color w:val="000000" w:themeColor="text1"/>
        </w:rPr>
        <w:t>/INFOEM/IP/RR/</w:t>
      </w:r>
      <w:r w:rsidR="00006F07" w:rsidRPr="00422F2F">
        <w:rPr>
          <w:rFonts w:ascii="Palatino Linotype" w:hAnsi="Palatino Linotype" w:cs="Arial"/>
          <w:b/>
          <w:bCs/>
          <w:color w:val="000000" w:themeColor="text1"/>
        </w:rPr>
        <w:t>2021</w:t>
      </w:r>
      <w:r w:rsidRPr="00422F2F">
        <w:rPr>
          <w:rFonts w:ascii="Palatino Linotype" w:hAnsi="Palatino Linotype" w:cs="Arial"/>
          <w:bCs/>
          <w:color w:val="000000" w:themeColor="text1"/>
        </w:rPr>
        <w:t xml:space="preserve">, </w:t>
      </w:r>
      <w:r w:rsidRPr="00422F2F">
        <w:rPr>
          <w:rFonts w:ascii="Palatino Linotype" w:hAnsi="Palatino Linotype"/>
          <w:color w:val="000000" w:themeColor="text1"/>
        </w:rPr>
        <w:t xml:space="preserve">promovido por </w:t>
      </w:r>
      <w:r w:rsidR="009C4A2E">
        <w:rPr>
          <w:rFonts w:ascii="Palatino Linotype" w:hAnsi="Palatino Linotype"/>
          <w:b/>
        </w:rPr>
        <w:t>Xxxxx Xxxxxxxx</w:t>
      </w:r>
      <w:r w:rsidR="00E357A8">
        <w:rPr>
          <w:rFonts w:ascii="Palatino Linotype" w:hAnsi="Palatino Linotype"/>
          <w:b/>
        </w:rPr>
        <w:t xml:space="preserve"> </w:t>
      </w:r>
      <w:r w:rsidR="009C4A2E">
        <w:rPr>
          <w:rFonts w:ascii="Palatino Linotype" w:hAnsi="Palatino Linotype"/>
          <w:b/>
        </w:rPr>
        <w:t>Xxxxxxxxxx Xxxxxx</w:t>
      </w:r>
      <w:bookmarkStart w:id="0" w:name="_GoBack"/>
      <w:bookmarkEnd w:id="0"/>
      <w:r w:rsidRPr="00422F2F">
        <w:rPr>
          <w:rFonts w:ascii="Palatino Linotype" w:hAnsi="Palatino Linotype"/>
          <w:b/>
          <w:color w:val="000000" w:themeColor="text1"/>
        </w:rPr>
        <w:t xml:space="preserve">, </w:t>
      </w:r>
      <w:r w:rsidRPr="00422F2F">
        <w:rPr>
          <w:rFonts w:ascii="Palatino Linotype" w:hAnsi="Palatino Linotype" w:cs="Arial"/>
          <w:color w:val="000000" w:themeColor="text1"/>
        </w:rPr>
        <w:t xml:space="preserve">en su calidad de </w:t>
      </w:r>
      <w:r w:rsidRPr="00422F2F">
        <w:rPr>
          <w:rFonts w:ascii="Palatino Linotype" w:hAnsi="Palatino Linotype" w:cs="Arial"/>
          <w:b/>
          <w:color w:val="000000" w:themeColor="text1"/>
        </w:rPr>
        <w:t>RECURRENTE</w:t>
      </w:r>
      <w:r w:rsidRPr="00422F2F">
        <w:rPr>
          <w:rFonts w:ascii="Palatino Linotype" w:hAnsi="Palatino Linotype" w:cs="Arial"/>
          <w:color w:val="000000" w:themeColor="text1"/>
        </w:rPr>
        <w:t xml:space="preserve">, en contra de la respuesta del </w:t>
      </w:r>
      <w:r w:rsidR="00422F2F" w:rsidRPr="00422F2F">
        <w:rPr>
          <w:rFonts w:ascii="Palatino Linotype" w:hAnsi="Palatino Linotype"/>
          <w:b/>
          <w:color w:val="000000" w:themeColor="text1"/>
        </w:rPr>
        <w:t>Fiscalía General de Justicia del Estado de México</w:t>
      </w:r>
      <w:r w:rsidRPr="00422F2F">
        <w:rPr>
          <w:rFonts w:ascii="Palatino Linotype" w:eastAsia="Calibri" w:hAnsi="Palatino Linotype" w:cs="Arial"/>
          <w:color w:val="000000" w:themeColor="text1"/>
          <w:lang w:val="es-ES"/>
        </w:rPr>
        <w:t xml:space="preserve">, </w:t>
      </w:r>
      <w:r w:rsidRPr="00422F2F">
        <w:rPr>
          <w:rFonts w:ascii="Palatino Linotype" w:hAnsi="Palatino Linotype"/>
          <w:color w:val="000000" w:themeColor="text1"/>
        </w:rPr>
        <w:t>en lo sucesivo el</w:t>
      </w:r>
      <w:r w:rsidRPr="00422F2F">
        <w:rPr>
          <w:rFonts w:ascii="Palatino Linotype" w:hAnsi="Palatino Linotype"/>
          <w:b/>
          <w:color w:val="000000" w:themeColor="text1"/>
        </w:rPr>
        <w:t xml:space="preserve"> SUJETO OBLIGADO, </w:t>
      </w:r>
      <w:r w:rsidRPr="00422F2F">
        <w:rPr>
          <w:rFonts w:ascii="Palatino Linotype" w:hAnsi="Palatino Linotype"/>
          <w:color w:val="000000" w:themeColor="text1"/>
        </w:rPr>
        <w:t>se procede a dictar la presente resolución, con base en los siguientes:</w:t>
      </w:r>
    </w:p>
    <w:p w14:paraId="6C589A49" w14:textId="77777777" w:rsidR="00933948" w:rsidRPr="00C1682A" w:rsidRDefault="00933948" w:rsidP="00C1682A">
      <w:pPr>
        <w:tabs>
          <w:tab w:val="left" w:pos="0"/>
        </w:tabs>
        <w:spacing w:line="360" w:lineRule="auto"/>
        <w:jc w:val="both"/>
        <w:rPr>
          <w:rFonts w:ascii="Palatino Linotype" w:hAnsi="Palatino Linotype"/>
        </w:rPr>
      </w:pPr>
    </w:p>
    <w:p w14:paraId="468D1AB4" w14:textId="093D8014" w:rsidR="008A5A73" w:rsidRPr="005D4F86" w:rsidRDefault="00662C69" w:rsidP="005D4F86">
      <w:pPr>
        <w:pStyle w:val="Ttulo2"/>
        <w:jc w:val="center"/>
        <w:rPr>
          <w:rFonts w:ascii="Palatino Linotype" w:hAnsi="Palatino Linotype"/>
          <w:b/>
          <w:color w:val="000000" w:themeColor="text1"/>
          <w:sz w:val="24"/>
        </w:rPr>
      </w:pPr>
      <w:bookmarkStart w:id="1" w:name="_Toc461555884"/>
      <w:bookmarkStart w:id="2" w:name="_Toc466371847"/>
      <w:bookmarkStart w:id="3" w:name="_Toc2248730"/>
      <w:bookmarkStart w:id="4" w:name="_Toc85734224"/>
      <w:r w:rsidRPr="005D4F86">
        <w:rPr>
          <w:rFonts w:ascii="Palatino Linotype" w:hAnsi="Palatino Linotype"/>
          <w:b/>
          <w:color w:val="000000" w:themeColor="text1"/>
          <w:sz w:val="24"/>
        </w:rPr>
        <w:t>ANTECEDENTES</w:t>
      </w:r>
      <w:bookmarkEnd w:id="1"/>
      <w:bookmarkEnd w:id="2"/>
      <w:bookmarkEnd w:id="3"/>
      <w:bookmarkEnd w:id="4"/>
    </w:p>
    <w:p w14:paraId="1294B304" w14:textId="77777777" w:rsidR="00C1682A" w:rsidRPr="00C1682A" w:rsidRDefault="00C1682A" w:rsidP="00C1682A">
      <w:pPr>
        <w:rPr>
          <w:lang w:eastAsia="en-US"/>
        </w:rPr>
      </w:pPr>
    </w:p>
    <w:p w14:paraId="5C8255BB" w14:textId="3D855BE9" w:rsidR="00946C27" w:rsidRDefault="00112BFF"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E357A8" w:rsidRPr="00E357A8">
        <w:rPr>
          <w:rFonts w:ascii="Palatino Linotype" w:eastAsia="Calibri" w:hAnsi="Palatino Linotype" w:cs="Arial"/>
          <w:b/>
          <w:bCs/>
          <w:color w:val="000000" w:themeColor="text1"/>
          <w:lang w:val="es-ES"/>
        </w:rPr>
        <w:t xml:space="preserve">dieciséis </w:t>
      </w:r>
      <w:r w:rsidR="00422F2F">
        <w:rPr>
          <w:rFonts w:ascii="Palatino Linotype" w:eastAsia="Calibri" w:hAnsi="Palatino Linotype" w:cs="Arial"/>
          <w:b/>
          <w:color w:val="000000" w:themeColor="text1"/>
          <w:lang w:val="es-ES"/>
        </w:rPr>
        <w:t>(</w:t>
      </w:r>
      <w:r w:rsidR="00E357A8">
        <w:rPr>
          <w:rFonts w:ascii="Palatino Linotype" w:eastAsia="Calibri" w:hAnsi="Palatino Linotype" w:cs="Arial"/>
          <w:b/>
          <w:color w:val="000000" w:themeColor="text1"/>
          <w:lang w:val="es-ES"/>
        </w:rPr>
        <w:t>16</w:t>
      </w:r>
      <w:r w:rsidRPr="001656D5">
        <w:rPr>
          <w:rFonts w:ascii="Palatino Linotype" w:eastAsia="Calibri" w:hAnsi="Palatino Linotype" w:cs="Arial"/>
          <w:b/>
          <w:color w:val="000000" w:themeColor="text1"/>
          <w:lang w:val="es-ES"/>
        </w:rPr>
        <w:t>) de</w:t>
      </w:r>
      <w:r w:rsidR="00E357A8">
        <w:rPr>
          <w:rFonts w:ascii="Palatino Linotype" w:eastAsia="Calibri" w:hAnsi="Palatino Linotype" w:cs="Arial"/>
          <w:b/>
          <w:color w:val="000000" w:themeColor="text1"/>
          <w:lang w:val="es-ES"/>
        </w:rPr>
        <w:t xml:space="preserve"> agosto</w:t>
      </w:r>
      <w:r w:rsidRPr="001656D5">
        <w:rPr>
          <w:rFonts w:ascii="Palatino Linotype" w:eastAsia="Calibri" w:hAnsi="Palatino Linotype" w:cs="Arial"/>
          <w:color w:val="000000" w:themeColor="text1"/>
          <w:lang w:val="es-ES"/>
        </w:rPr>
        <w:t xml:space="preserve"> de dos mil </w:t>
      </w:r>
      <w:r w:rsidR="00006F07" w:rsidRPr="001656D5">
        <w:rPr>
          <w:rFonts w:ascii="Palatino Linotype" w:eastAsia="Calibri" w:hAnsi="Palatino Linotype" w:cs="Arial"/>
          <w:color w:val="000000" w:themeColor="text1"/>
          <w:lang w:val="es-ES"/>
        </w:rPr>
        <w:t>veintiuno</w:t>
      </w:r>
      <w:r w:rsidRPr="001656D5">
        <w:rPr>
          <w:rFonts w:ascii="Palatino Linotype" w:eastAsia="Calibri" w:hAnsi="Palatino Linotype" w:cs="Arial"/>
          <w:color w:val="000000" w:themeColor="text1"/>
          <w:lang w:val="es-ES"/>
        </w:rPr>
        <w:t>,</w:t>
      </w:r>
      <w:r w:rsidRPr="001656D5">
        <w:rPr>
          <w:rFonts w:ascii="Palatino Linotype" w:eastAsia="Calibri" w:hAnsi="Palatino Linotype"/>
          <w:color w:val="000000" w:themeColor="text1"/>
          <w:lang w:val="es-ES"/>
        </w:rPr>
        <w:t xml:space="preserve"> </w:t>
      </w:r>
      <w:r w:rsidRPr="001656D5">
        <w:rPr>
          <w:rFonts w:ascii="Palatino Linotype" w:eastAsia="Calibri" w:hAnsi="Palatino Linotype" w:cs="Arial"/>
          <w:color w:val="000000" w:themeColor="text1"/>
          <w:lang w:val="es-ES"/>
        </w:rPr>
        <w:t>se</w:t>
      </w:r>
      <w:r w:rsidRPr="001656D5">
        <w:rPr>
          <w:rFonts w:ascii="Palatino Linotype" w:eastAsia="Calibri" w:hAnsi="Palatino Linotype" w:cs="Arial"/>
          <w:b/>
          <w:color w:val="000000" w:themeColor="text1"/>
          <w:lang w:val="es-ES"/>
        </w:rPr>
        <w:t xml:space="preserve"> </w:t>
      </w:r>
      <w:r w:rsidRPr="001656D5">
        <w:rPr>
          <w:rFonts w:ascii="Palatino Linotype" w:hAnsi="Palatino Linotype"/>
          <w:color w:val="000000" w:themeColor="text1"/>
        </w:rPr>
        <w:t>presentó</w:t>
      </w:r>
      <w:r w:rsidRPr="001656D5">
        <w:rPr>
          <w:rFonts w:ascii="Palatino Linotype" w:hAnsi="Palatino Linotype"/>
          <w:b/>
          <w:color w:val="000000" w:themeColor="text1"/>
        </w:rPr>
        <w:t xml:space="preserve"> </w:t>
      </w:r>
      <w:r w:rsidRPr="001656D5">
        <w:rPr>
          <w:rFonts w:ascii="Palatino Linotype" w:eastAsia="Calibri" w:hAnsi="Palatino Linotype" w:cs="Arial"/>
          <w:color w:val="000000" w:themeColor="text1"/>
        </w:rPr>
        <w:t xml:space="preserve">vía </w:t>
      </w:r>
      <w:r w:rsidR="001656D5" w:rsidRPr="001656D5">
        <w:rPr>
          <w:rFonts w:ascii="Palatino Linotype" w:eastAsia="Calibri" w:hAnsi="Palatino Linotype" w:cs="Arial"/>
          <w:color w:val="000000" w:themeColor="text1"/>
        </w:rPr>
        <w:t xml:space="preserve">Sistema de Acceso a la Información Mexiquense </w:t>
      </w:r>
      <w:r w:rsidR="001656D5" w:rsidRPr="001656D5">
        <w:rPr>
          <w:rFonts w:ascii="Palatino Linotype" w:eastAsia="Calibri" w:hAnsi="Palatino Linotype" w:cs="Arial"/>
          <w:b/>
          <w:color w:val="000000" w:themeColor="text1"/>
        </w:rPr>
        <w:t>(SAIME</w:t>
      </w:r>
      <w:r w:rsidR="001656D5" w:rsidRPr="001656D5">
        <w:rPr>
          <w:rFonts w:ascii="Palatino Linotype" w:eastAsia="Calibri" w:hAnsi="Palatino Linotype" w:cs="Arial"/>
          <w:color w:val="000000" w:themeColor="text1"/>
        </w:rPr>
        <w:t>X)</w:t>
      </w:r>
      <w:r w:rsidRPr="001656D5">
        <w:rPr>
          <w:rFonts w:ascii="Palatino Linotype" w:eastAsia="Calibri" w:hAnsi="Palatino Linotype" w:cs="Arial"/>
          <w:color w:val="000000" w:themeColor="text1"/>
          <w:lang w:val="es-ES"/>
        </w:rPr>
        <w:t xml:space="preserve">, la solicitud de información pública registrada con el número </w:t>
      </w:r>
      <w:r w:rsidR="00422F2F">
        <w:rPr>
          <w:rFonts w:ascii="Palatino Linotype" w:hAnsi="Palatino Linotype"/>
          <w:b/>
        </w:rPr>
        <w:t>00</w:t>
      </w:r>
      <w:r w:rsidR="00E357A8">
        <w:rPr>
          <w:rFonts w:ascii="Palatino Linotype" w:hAnsi="Palatino Linotype"/>
          <w:b/>
        </w:rPr>
        <w:t>879</w:t>
      </w:r>
      <w:r w:rsidR="007D17AA" w:rsidRPr="001656D5">
        <w:rPr>
          <w:rFonts w:ascii="Palatino Linotype" w:hAnsi="Palatino Linotype"/>
          <w:b/>
        </w:rPr>
        <w:t>/</w:t>
      </w:r>
      <w:r w:rsidR="00422F2F">
        <w:rPr>
          <w:rFonts w:ascii="Palatino Linotype" w:hAnsi="Palatino Linotype"/>
          <w:b/>
        </w:rPr>
        <w:t>FGJ</w:t>
      </w:r>
      <w:r w:rsidR="00006F07" w:rsidRPr="001656D5">
        <w:rPr>
          <w:rFonts w:ascii="Palatino Linotype" w:hAnsi="Palatino Linotype"/>
          <w:b/>
        </w:rPr>
        <w:t>/IP/2021</w:t>
      </w:r>
      <w:r w:rsidRPr="001656D5">
        <w:rPr>
          <w:rFonts w:ascii="Palatino Linotype" w:hAnsi="Palatino Linotype"/>
          <w:b/>
          <w:bCs/>
          <w:color w:val="000000" w:themeColor="text1"/>
        </w:rPr>
        <w:t>,</w:t>
      </w:r>
      <w:r w:rsidRPr="001656D5">
        <w:rPr>
          <w:rFonts w:ascii="Palatino Linotype" w:eastAsia="Calibri" w:hAnsi="Palatino Linotype" w:cs="Arial"/>
          <w:color w:val="000000" w:themeColor="text1"/>
          <w:lang w:val="es-ES"/>
        </w:rPr>
        <w:t xml:space="preserve"> mediante</w:t>
      </w:r>
      <w:r w:rsidRPr="007D17AA">
        <w:rPr>
          <w:rFonts w:ascii="Palatino Linotype" w:eastAsia="Calibri" w:hAnsi="Palatino Linotype" w:cs="Arial"/>
          <w:color w:val="000000" w:themeColor="text1"/>
          <w:lang w:val="es-ES"/>
        </w:rPr>
        <w:t xml:space="preserve"> la cual</w:t>
      </w:r>
      <w:r w:rsidRPr="00861F0F">
        <w:rPr>
          <w:rFonts w:ascii="Palatino Linotype" w:eastAsia="Calibri" w:hAnsi="Palatino Linotype" w:cs="Arial"/>
          <w:color w:val="000000" w:themeColor="text1"/>
          <w:lang w:val="es-ES"/>
        </w:rPr>
        <w:t xml:space="preserve"> se requirió</w:t>
      </w:r>
      <w:r w:rsidR="007D17AA">
        <w:rPr>
          <w:rFonts w:ascii="Palatino Linotype" w:eastAsia="Calibri" w:hAnsi="Palatino Linotype" w:cs="Arial"/>
          <w:color w:val="000000" w:themeColor="text1"/>
          <w:lang w:val="es-ES"/>
        </w:rPr>
        <w:t xml:space="preserve"> lo siguiente</w:t>
      </w:r>
      <w:r w:rsidRPr="00861F0F">
        <w:rPr>
          <w:rFonts w:ascii="Palatino Linotype" w:eastAsia="Calibri" w:hAnsi="Palatino Linotype" w:cs="Arial"/>
          <w:color w:val="000000" w:themeColor="text1"/>
          <w:lang w:val="es-ES"/>
        </w:rPr>
        <w:t>:</w:t>
      </w:r>
    </w:p>
    <w:p w14:paraId="7A1A09E3" w14:textId="77777777" w:rsidR="007D17AA" w:rsidRDefault="007D17AA" w:rsidP="007D17AA">
      <w:pPr>
        <w:tabs>
          <w:tab w:val="left" w:pos="426"/>
          <w:tab w:val="left" w:pos="567"/>
        </w:tabs>
        <w:spacing w:line="360" w:lineRule="auto"/>
        <w:jc w:val="both"/>
        <w:rPr>
          <w:rFonts w:ascii="Palatino Linotype" w:eastAsia="Calibri" w:hAnsi="Palatino Linotype" w:cs="Arial"/>
          <w:color w:val="000000" w:themeColor="text1"/>
          <w:lang w:val="es-ES"/>
        </w:rPr>
      </w:pPr>
    </w:p>
    <w:p w14:paraId="1915DD5E" w14:textId="0C419D64" w:rsidR="00517C58" w:rsidRPr="00E357A8" w:rsidRDefault="00517C58" w:rsidP="00E357A8">
      <w:pPr>
        <w:ind w:left="567" w:right="565"/>
        <w:rPr>
          <w:rFonts w:ascii="Palatino Linotype" w:hAnsi="Palatino Linotype"/>
          <w:i/>
          <w:sz w:val="22"/>
          <w:szCs w:val="22"/>
        </w:rPr>
      </w:pPr>
      <w:r w:rsidRPr="00E357A8">
        <w:rPr>
          <w:rFonts w:ascii="Palatino Linotype" w:hAnsi="Palatino Linotype"/>
          <w:i/>
          <w:color w:val="000000"/>
          <w:sz w:val="22"/>
          <w:szCs w:val="22"/>
        </w:rPr>
        <w:t>“</w:t>
      </w:r>
      <w:r w:rsidR="00E357A8" w:rsidRPr="00E357A8">
        <w:rPr>
          <w:rFonts w:ascii="Palatino Linotype" w:hAnsi="Palatino Linotype"/>
          <w:i/>
          <w:color w:val="000000"/>
          <w:sz w:val="22"/>
          <w:szCs w:val="22"/>
        </w:rPr>
        <w:t>Solicito relación detallada de hallazgos registrados por la Cobupem en El Gran Canal del Estado de México durante los últimos 10 años (por mes y año).</w:t>
      </w:r>
      <w:r w:rsidRPr="00E357A8">
        <w:rPr>
          <w:rFonts w:ascii="Palatino Linotype" w:hAnsi="Palatino Linotype"/>
          <w:i/>
          <w:color w:val="000000"/>
          <w:sz w:val="22"/>
          <w:szCs w:val="22"/>
        </w:rPr>
        <w:t>” (Sic)</w:t>
      </w:r>
    </w:p>
    <w:p w14:paraId="0E3949EE" w14:textId="77777777" w:rsidR="007D17AA" w:rsidRPr="0010179B" w:rsidRDefault="007D17AA" w:rsidP="002F76D5">
      <w:pPr>
        <w:tabs>
          <w:tab w:val="left" w:pos="426"/>
          <w:tab w:val="left" w:pos="567"/>
        </w:tabs>
        <w:spacing w:line="360" w:lineRule="auto"/>
        <w:ind w:right="565"/>
        <w:jc w:val="both"/>
        <w:rPr>
          <w:rFonts w:ascii="Palatino Linotype" w:eastAsia="Calibri" w:hAnsi="Palatino Linotype" w:cs="Arial"/>
          <w:color w:val="000000" w:themeColor="text1"/>
        </w:rPr>
      </w:pPr>
    </w:p>
    <w:p w14:paraId="1459B9E3" w14:textId="10F41570" w:rsidR="0010179B" w:rsidRPr="00011010" w:rsidRDefault="007D17AA"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10179B" w:rsidRPr="00872650">
        <w:rPr>
          <w:rFonts w:ascii="Palatino Linotype" w:hAnsi="Palatino Linotype" w:cs="Arial"/>
          <w:lang w:val="es-ES"/>
        </w:rPr>
        <w:t>señaló como modalidad de entrega de la información</w:t>
      </w:r>
      <w:r w:rsidR="0010179B">
        <w:rPr>
          <w:rFonts w:ascii="Palatino Linotype" w:hAnsi="Palatino Linotype" w:cs="Arial"/>
          <w:lang w:val="es-ES"/>
        </w:rPr>
        <w:t xml:space="preserve">: a través de </w:t>
      </w:r>
      <w:r w:rsidR="0010179B" w:rsidRPr="00872650">
        <w:rPr>
          <w:rFonts w:ascii="Palatino Linotype" w:hAnsi="Palatino Linotype" w:cs="Arial"/>
          <w:b/>
          <w:lang w:val="es-ES"/>
        </w:rPr>
        <w:t>SAIMEX</w:t>
      </w:r>
      <w:r w:rsidR="00422F2F">
        <w:rPr>
          <w:rFonts w:ascii="Palatino Linotype" w:hAnsi="Palatino Linotype" w:cs="Arial"/>
          <w:b/>
          <w:lang w:val="es-ES"/>
        </w:rPr>
        <w:t>.</w:t>
      </w:r>
    </w:p>
    <w:p w14:paraId="7EC39838" w14:textId="5173B770" w:rsidR="00E41C80" w:rsidRDefault="00946C27"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color w:val="000000" w:themeColor="text1"/>
          <w:lang w:val="es-AR"/>
        </w:rPr>
        <w:lastRenderedPageBreak/>
        <w:t xml:space="preserve">El </w:t>
      </w:r>
      <w:r w:rsidR="00E357A8">
        <w:rPr>
          <w:rFonts w:ascii="Palatino Linotype" w:hAnsi="Palatino Linotype" w:cs="Arial"/>
          <w:b/>
          <w:color w:val="000000" w:themeColor="text1"/>
          <w:lang w:val="es-AR"/>
        </w:rPr>
        <w:t>dieciocho</w:t>
      </w:r>
      <w:r w:rsidR="00422F2F">
        <w:rPr>
          <w:rFonts w:ascii="Palatino Linotype" w:hAnsi="Palatino Linotype" w:cs="Arial"/>
          <w:b/>
          <w:color w:val="000000" w:themeColor="text1"/>
          <w:lang w:val="es-ES"/>
        </w:rPr>
        <w:t xml:space="preserve"> (</w:t>
      </w:r>
      <w:r w:rsidR="00E357A8">
        <w:rPr>
          <w:rFonts w:ascii="Palatino Linotype" w:hAnsi="Palatino Linotype" w:cs="Arial"/>
          <w:b/>
          <w:color w:val="000000" w:themeColor="text1"/>
          <w:lang w:val="es-ES"/>
        </w:rPr>
        <w:t>18</w:t>
      </w:r>
      <w:r w:rsidRPr="00E41C80">
        <w:rPr>
          <w:rFonts w:ascii="Palatino Linotype" w:hAnsi="Palatino Linotype" w:cs="Arial"/>
          <w:b/>
          <w:color w:val="000000" w:themeColor="text1"/>
          <w:lang w:val="es-ES"/>
        </w:rPr>
        <w:t>) de</w:t>
      </w:r>
      <w:r w:rsidR="00E357A8">
        <w:rPr>
          <w:rFonts w:ascii="Palatino Linotype" w:hAnsi="Palatino Linotype" w:cs="Arial"/>
          <w:b/>
          <w:color w:val="000000" w:themeColor="text1"/>
          <w:lang w:val="es-ES"/>
        </w:rPr>
        <w:t xml:space="preserve"> agosto</w:t>
      </w:r>
      <w:r w:rsidR="00F37A4C">
        <w:rPr>
          <w:rFonts w:ascii="Palatino Linotype" w:hAnsi="Palatino Linotype" w:cs="Arial"/>
          <w:b/>
          <w:color w:val="000000" w:themeColor="text1"/>
          <w:lang w:val="es-ES"/>
        </w:rPr>
        <w:t xml:space="preserve"> </w:t>
      </w:r>
      <w:r w:rsidRPr="00946C27">
        <w:rPr>
          <w:rFonts w:ascii="Palatino Linotype" w:hAnsi="Palatino Linotype" w:cs="Arial"/>
          <w:color w:val="000000" w:themeColor="text1"/>
          <w:lang w:val="es-ES"/>
        </w:rPr>
        <w:t xml:space="preserve">de dos mil </w:t>
      </w:r>
      <w:r w:rsidR="00006F07">
        <w:rPr>
          <w:rFonts w:ascii="Palatino Linotype" w:hAnsi="Palatino Linotype" w:cs="Arial"/>
          <w:color w:val="000000" w:themeColor="text1"/>
          <w:lang w:val="es-ES"/>
        </w:rPr>
        <w:t>veintiuno</w:t>
      </w:r>
      <w:r w:rsidR="00E41C80">
        <w:rPr>
          <w:rFonts w:ascii="Palatino Linotype" w:hAnsi="Palatino Linotype" w:cs="Arial"/>
          <w:color w:val="000000" w:themeColor="text1"/>
          <w:lang w:val="es-ES"/>
        </w:rPr>
        <w:t>,</w:t>
      </w:r>
      <w:r w:rsidRPr="00946C27">
        <w:rPr>
          <w:rFonts w:ascii="Palatino Linotype" w:eastAsia="Calibri" w:hAnsi="Palatino Linotype" w:cs="Arial"/>
          <w:color w:val="000000" w:themeColor="text1"/>
          <w:lang w:val="es-AR"/>
        </w:rPr>
        <w:t xml:space="preserve"> el </w:t>
      </w:r>
      <w:r w:rsidRPr="00946C27">
        <w:rPr>
          <w:rFonts w:ascii="Palatino Linotype" w:hAnsi="Palatino Linotype" w:cs="Arial"/>
          <w:b/>
          <w:color w:val="000000" w:themeColor="text1"/>
          <w:lang w:val="es-ES"/>
        </w:rPr>
        <w:t xml:space="preserve">SUJETO OBLIGADO </w:t>
      </w:r>
      <w:r w:rsidRPr="00946C27">
        <w:rPr>
          <w:rFonts w:ascii="Palatino Linotype" w:hAnsi="Palatino Linotype" w:cs="Arial"/>
          <w:color w:val="000000" w:themeColor="text1"/>
          <w:lang w:val="es-ES"/>
        </w:rPr>
        <w:t>emitió su respuesta</w:t>
      </w:r>
      <w:r w:rsidR="00E41C80">
        <w:rPr>
          <w:rFonts w:ascii="Palatino Linotype" w:hAnsi="Palatino Linotype" w:cs="Arial"/>
          <w:color w:val="000000" w:themeColor="text1"/>
          <w:lang w:val="es-ES"/>
        </w:rPr>
        <w:t>,</w:t>
      </w:r>
      <w:r w:rsidRPr="00946C27">
        <w:rPr>
          <w:rFonts w:ascii="Palatino Linotype" w:hAnsi="Palatino Linotype" w:cs="Arial"/>
          <w:color w:val="000000" w:themeColor="text1"/>
          <w:lang w:val="es-ES"/>
        </w:rPr>
        <w:t xml:space="preserve"> en los siguiente</w:t>
      </w:r>
      <w:r w:rsidR="00E41C80">
        <w:rPr>
          <w:rFonts w:ascii="Palatino Linotype" w:hAnsi="Palatino Linotype" w:cs="Arial"/>
          <w:color w:val="000000" w:themeColor="text1"/>
          <w:lang w:val="es-ES"/>
        </w:rPr>
        <w:t xml:space="preserve"> término</w:t>
      </w:r>
      <w:r w:rsidRPr="00946C27">
        <w:rPr>
          <w:rFonts w:ascii="Palatino Linotype" w:hAnsi="Palatino Linotype" w:cs="Arial"/>
          <w:color w:val="000000" w:themeColor="text1"/>
          <w:lang w:val="es-ES"/>
        </w:rPr>
        <w:t>s:</w:t>
      </w:r>
    </w:p>
    <w:p w14:paraId="09BCA6BF" w14:textId="77777777" w:rsidR="00E41C80" w:rsidRPr="00422F2F" w:rsidRDefault="00E41C80" w:rsidP="00E41C80">
      <w:pPr>
        <w:pStyle w:val="Prrafodelista"/>
        <w:tabs>
          <w:tab w:val="left" w:pos="426"/>
          <w:tab w:val="left" w:pos="567"/>
        </w:tabs>
        <w:spacing w:line="360" w:lineRule="auto"/>
        <w:ind w:left="0"/>
        <w:jc w:val="both"/>
        <w:rPr>
          <w:rFonts w:ascii="Palatino Linotype" w:eastAsia="Calibri" w:hAnsi="Palatino Linotype" w:cs="Arial"/>
          <w:i/>
          <w:color w:val="000000" w:themeColor="text1"/>
          <w:sz w:val="22"/>
          <w:szCs w:val="22"/>
          <w:lang w:val="es-ES"/>
        </w:rPr>
      </w:pPr>
    </w:p>
    <w:p w14:paraId="07A5F22F" w14:textId="0CAE9708" w:rsidR="00517C58" w:rsidRPr="00422F2F" w:rsidRDefault="00517C58" w:rsidP="00006F07">
      <w:pPr>
        <w:ind w:left="567" w:right="565"/>
        <w:jc w:val="both"/>
        <w:rPr>
          <w:rFonts w:ascii="Palatino Linotype" w:hAnsi="Palatino Linotype"/>
          <w:i/>
          <w:sz w:val="22"/>
          <w:szCs w:val="22"/>
        </w:rPr>
      </w:pPr>
      <w:r w:rsidRPr="00422F2F">
        <w:rPr>
          <w:rFonts w:ascii="Palatino Linotype" w:hAnsi="Palatino Linotype" w:cs="Arial"/>
          <w:i/>
          <w:sz w:val="22"/>
          <w:szCs w:val="22"/>
        </w:rPr>
        <w:t>“…</w:t>
      </w:r>
      <w:r w:rsidR="00422F2F" w:rsidRPr="00422F2F">
        <w:rPr>
          <w:rFonts w:ascii="Palatino Linotype" w:hAnsi="Palatino Linotype"/>
          <w:i/>
          <w:color w:val="000000"/>
          <w:sz w:val="22"/>
          <w:szCs w:val="22"/>
        </w:rPr>
        <w:t xml:space="preserve">SE ANEXA </w:t>
      </w:r>
      <w:r w:rsidR="00E357A8">
        <w:rPr>
          <w:rFonts w:ascii="Palatino Linotype" w:hAnsi="Palatino Linotype"/>
          <w:i/>
          <w:color w:val="000000"/>
          <w:sz w:val="22"/>
          <w:szCs w:val="22"/>
        </w:rPr>
        <w:t>ORIENTACIÓN…</w:t>
      </w:r>
      <w:r w:rsidRPr="00422F2F">
        <w:rPr>
          <w:rFonts w:ascii="Palatino Linotype" w:hAnsi="Palatino Linotype" w:cs="Arial"/>
          <w:i/>
          <w:sz w:val="22"/>
          <w:szCs w:val="22"/>
        </w:rPr>
        <w:t>” (Sic)</w:t>
      </w:r>
    </w:p>
    <w:p w14:paraId="4A3804D0" w14:textId="77777777" w:rsidR="00F37A4C" w:rsidRDefault="00F37A4C" w:rsidP="00F37A4C">
      <w:pPr>
        <w:pStyle w:val="Prrafodelista"/>
        <w:ind w:left="567" w:right="565"/>
        <w:jc w:val="both"/>
        <w:rPr>
          <w:rFonts w:ascii="Palatino Linotype" w:hAnsi="Palatino Linotype" w:cs="Arial"/>
          <w:sz w:val="22"/>
          <w:szCs w:val="22"/>
        </w:rPr>
      </w:pPr>
    </w:p>
    <w:p w14:paraId="7A47C2CB" w14:textId="2FEED3DE" w:rsidR="00C6512F" w:rsidRDefault="00F37A4C" w:rsidP="00C6512F">
      <w:pPr>
        <w:spacing w:line="276" w:lineRule="auto"/>
        <w:jc w:val="both"/>
        <w:rPr>
          <w:rFonts w:ascii="Palatino Linotype" w:hAnsi="Palatino Linotype" w:cs="Arial"/>
          <w:sz w:val="22"/>
          <w:szCs w:val="22"/>
        </w:rPr>
      </w:pPr>
      <w:r w:rsidRPr="00C6512F">
        <w:rPr>
          <w:rFonts w:ascii="Palatino Linotype" w:hAnsi="Palatino Linotype"/>
          <w:szCs w:val="22"/>
          <w:lang w:eastAsia="es-ES_tradnl"/>
        </w:rPr>
        <w:t xml:space="preserve">Y </w:t>
      </w:r>
      <w:r w:rsidR="00422F2F">
        <w:rPr>
          <w:rFonts w:ascii="Palatino Linotype" w:hAnsi="Palatino Linotype" w:cs="Arial"/>
          <w:szCs w:val="22"/>
        </w:rPr>
        <w:t>se adjuntó</w:t>
      </w:r>
      <w:r w:rsidR="00006F07" w:rsidRPr="00C6512F">
        <w:rPr>
          <w:rFonts w:ascii="Palatino Linotype" w:hAnsi="Palatino Linotype" w:cs="Arial"/>
          <w:szCs w:val="22"/>
        </w:rPr>
        <w:t xml:space="preserve"> </w:t>
      </w:r>
      <w:r w:rsidR="00422F2F">
        <w:rPr>
          <w:rFonts w:ascii="Palatino Linotype" w:hAnsi="Palatino Linotype" w:cs="Arial"/>
          <w:szCs w:val="22"/>
        </w:rPr>
        <w:t>el siguiente</w:t>
      </w:r>
      <w:r w:rsidRPr="00C6512F">
        <w:rPr>
          <w:rFonts w:ascii="Palatino Linotype" w:hAnsi="Palatino Linotype" w:cs="Arial"/>
          <w:szCs w:val="22"/>
        </w:rPr>
        <w:t xml:space="preserve"> archivo</w:t>
      </w:r>
      <w:r w:rsidR="00422F2F">
        <w:rPr>
          <w:rFonts w:ascii="Palatino Linotype" w:hAnsi="Palatino Linotype" w:cs="Arial"/>
          <w:szCs w:val="22"/>
        </w:rPr>
        <w:t xml:space="preserve"> electrónico</w:t>
      </w:r>
      <w:r w:rsidR="00006F07" w:rsidRPr="00C6512F">
        <w:rPr>
          <w:rFonts w:ascii="Palatino Linotype" w:hAnsi="Palatino Linotype" w:cs="Arial"/>
          <w:szCs w:val="22"/>
        </w:rPr>
        <w:t>:</w:t>
      </w:r>
      <w:r w:rsidRPr="00C6512F">
        <w:rPr>
          <w:rFonts w:ascii="Palatino Linotype" w:hAnsi="Palatino Linotype" w:cs="Arial"/>
          <w:szCs w:val="22"/>
        </w:rPr>
        <w:t xml:space="preserve"> </w:t>
      </w:r>
    </w:p>
    <w:p w14:paraId="16E88945" w14:textId="77777777" w:rsidR="00C6512F" w:rsidRPr="00C6512F" w:rsidRDefault="00C6512F" w:rsidP="00C6512F">
      <w:pPr>
        <w:spacing w:line="276" w:lineRule="auto"/>
        <w:jc w:val="both"/>
        <w:rPr>
          <w:rFonts w:ascii="Palatino Linotype" w:hAnsi="Palatino Linotype" w:cs="Arial"/>
        </w:rPr>
      </w:pPr>
    </w:p>
    <w:p w14:paraId="01CBFAEA" w14:textId="07F43F4A" w:rsidR="00422F2F" w:rsidRPr="00422F2F" w:rsidRDefault="00E357A8" w:rsidP="00730AC3">
      <w:pPr>
        <w:pStyle w:val="Prrafodelista"/>
        <w:numPr>
          <w:ilvl w:val="0"/>
          <w:numId w:val="4"/>
        </w:numPr>
        <w:tabs>
          <w:tab w:val="left" w:pos="0"/>
        </w:tabs>
        <w:ind w:left="567" w:right="565" w:firstLine="0"/>
        <w:jc w:val="both"/>
        <w:rPr>
          <w:rFonts w:ascii="Palatino Linotype" w:hAnsi="Palatino Linotype" w:cs="Arial"/>
          <w:sz w:val="22"/>
          <w:szCs w:val="22"/>
        </w:rPr>
      </w:pPr>
      <w:r>
        <w:rPr>
          <w:rFonts w:ascii="Palatino Linotype" w:hAnsi="Palatino Linotype" w:cs="Arial"/>
          <w:b/>
          <w:sz w:val="22"/>
          <w:szCs w:val="22"/>
        </w:rPr>
        <w:t>879</w:t>
      </w:r>
      <w:r w:rsidR="00422F2F" w:rsidRPr="00422F2F">
        <w:rPr>
          <w:rFonts w:ascii="Palatino Linotype" w:hAnsi="Palatino Linotype" w:cs="Arial"/>
          <w:b/>
          <w:sz w:val="22"/>
          <w:szCs w:val="22"/>
        </w:rPr>
        <w:t>_20</w:t>
      </w:r>
      <w:r>
        <w:rPr>
          <w:rFonts w:ascii="Palatino Linotype" w:hAnsi="Palatino Linotype" w:cs="Arial"/>
          <w:b/>
          <w:sz w:val="22"/>
          <w:szCs w:val="22"/>
        </w:rPr>
        <w:t>21</w:t>
      </w:r>
      <w:r w:rsidR="00422F2F" w:rsidRPr="00422F2F">
        <w:rPr>
          <w:rFonts w:ascii="Palatino Linotype" w:hAnsi="Palatino Linotype" w:cs="Arial"/>
          <w:b/>
          <w:sz w:val="22"/>
          <w:szCs w:val="22"/>
        </w:rPr>
        <w:t>_0</w:t>
      </w:r>
      <w:r>
        <w:rPr>
          <w:rFonts w:ascii="Palatino Linotype" w:hAnsi="Palatino Linotype" w:cs="Arial"/>
          <w:b/>
          <w:sz w:val="22"/>
          <w:szCs w:val="22"/>
        </w:rPr>
        <w:t>8</w:t>
      </w:r>
      <w:r w:rsidR="00422F2F" w:rsidRPr="00422F2F">
        <w:rPr>
          <w:rFonts w:ascii="Palatino Linotype" w:hAnsi="Palatino Linotype" w:cs="Arial"/>
          <w:b/>
          <w:sz w:val="22"/>
          <w:szCs w:val="22"/>
        </w:rPr>
        <w:t>_</w:t>
      </w:r>
      <w:r>
        <w:rPr>
          <w:rFonts w:ascii="Palatino Linotype" w:hAnsi="Palatino Linotype" w:cs="Arial"/>
          <w:b/>
          <w:sz w:val="22"/>
          <w:szCs w:val="22"/>
        </w:rPr>
        <w:t>18</w:t>
      </w:r>
      <w:r w:rsidR="00422F2F" w:rsidRPr="00422F2F">
        <w:rPr>
          <w:rFonts w:ascii="Palatino Linotype" w:hAnsi="Palatino Linotype" w:cs="Arial"/>
          <w:b/>
          <w:sz w:val="22"/>
          <w:szCs w:val="22"/>
        </w:rPr>
        <w:t>_</w:t>
      </w:r>
      <w:r>
        <w:rPr>
          <w:rFonts w:ascii="Palatino Linotype" w:hAnsi="Palatino Linotype" w:cs="Arial"/>
          <w:b/>
          <w:sz w:val="22"/>
          <w:szCs w:val="22"/>
        </w:rPr>
        <w:t>13</w:t>
      </w:r>
      <w:r w:rsidR="00422F2F" w:rsidRPr="00422F2F">
        <w:rPr>
          <w:rFonts w:ascii="Palatino Linotype" w:hAnsi="Palatino Linotype" w:cs="Arial"/>
          <w:b/>
          <w:sz w:val="22"/>
          <w:szCs w:val="22"/>
        </w:rPr>
        <w:t>_16_1</w:t>
      </w:r>
      <w:r w:rsidR="00E73195">
        <w:rPr>
          <w:rFonts w:ascii="Palatino Linotype" w:hAnsi="Palatino Linotype" w:cs="Arial"/>
          <w:b/>
          <w:sz w:val="22"/>
          <w:szCs w:val="22"/>
        </w:rPr>
        <w:t>4</w:t>
      </w:r>
      <w:r w:rsidR="00422F2F" w:rsidRPr="00422F2F">
        <w:rPr>
          <w:rFonts w:ascii="Palatino Linotype" w:hAnsi="Palatino Linotype" w:cs="Arial"/>
          <w:b/>
          <w:sz w:val="22"/>
          <w:szCs w:val="22"/>
        </w:rPr>
        <w:t>_</w:t>
      </w:r>
      <w:r w:rsidR="00E73195">
        <w:rPr>
          <w:rFonts w:ascii="Palatino Linotype" w:hAnsi="Palatino Linotype" w:cs="Arial"/>
          <w:b/>
          <w:sz w:val="22"/>
          <w:szCs w:val="22"/>
        </w:rPr>
        <w:t>129</w:t>
      </w:r>
      <w:r w:rsidR="00C6512F" w:rsidRPr="00422F2F">
        <w:rPr>
          <w:rFonts w:ascii="Palatino Linotype" w:hAnsi="Palatino Linotype" w:cs="Arial"/>
          <w:b/>
          <w:sz w:val="22"/>
          <w:szCs w:val="22"/>
        </w:rPr>
        <w:t>.pdf</w:t>
      </w:r>
      <w:r w:rsidR="00517C58" w:rsidRPr="00422F2F">
        <w:rPr>
          <w:rFonts w:ascii="Palatino Linotype" w:hAnsi="Palatino Linotype" w:cs="Arial"/>
          <w:sz w:val="22"/>
          <w:szCs w:val="22"/>
        </w:rPr>
        <w:t xml:space="preserve">: </w:t>
      </w:r>
      <w:r w:rsidR="00C6512F" w:rsidRPr="00422F2F">
        <w:rPr>
          <w:rFonts w:ascii="Palatino Linotype" w:hAnsi="Palatino Linotype" w:cs="Arial"/>
          <w:sz w:val="22"/>
          <w:szCs w:val="22"/>
        </w:rPr>
        <w:t xml:space="preserve">Oficio </w:t>
      </w:r>
      <w:r w:rsidR="00422F2F" w:rsidRPr="00422F2F">
        <w:rPr>
          <w:rFonts w:ascii="Palatino Linotype" w:hAnsi="Palatino Linotype" w:cs="Arial"/>
          <w:sz w:val="22"/>
          <w:szCs w:val="22"/>
        </w:rPr>
        <w:t>número 1</w:t>
      </w:r>
      <w:r w:rsidR="000F7282">
        <w:rPr>
          <w:rFonts w:ascii="Palatino Linotype" w:hAnsi="Palatino Linotype" w:cs="Arial"/>
          <w:sz w:val="22"/>
          <w:szCs w:val="22"/>
        </w:rPr>
        <w:t>763</w:t>
      </w:r>
      <w:r w:rsidR="00422F2F" w:rsidRPr="00422F2F">
        <w:rPr>
          <w:rFonts w:ascii="Palatino Linotype" w:hAnsi="Palatino Linotype" w:cs="Arial"/>
          <w:sz w:val="22"/>
          <w:szCs w:val="22"/>
        </w:rPr>
        <w:t xml:space="preserve">/MAIP/FGJ/2021, de fecha </w:t>
      </w:r>
      <w:r w:rsidR="002F24C2">
        <w:rPr>
          <w:rFonts w:ascii="Palatino Linotype" w:hAnsi="Palatino Linotype" w:cs="Arial"/>
          <w:sz w:val="22"/>
          <w:szCs w:val="22"/>
        </w:rPr>
        <w:t>18</w:t>
      </w:r>
      <w:r w:rsidR="00422F2F" w:rsidRPr="00422F2F">
        <w:rPr>
          <w:rFonts w:ascii="Palatino Linotype" w:hAnsi="Palatino Linotype" w:cs="Arial"/>
          <w:sz w:val="22"/>
          <w:szCs w:val="22"/>
        </w:rPr>
        <w:t xml:space="preserve"> de </w:t>
      </w:r>
      <w:r w:rsidR="002F24C2">
        <w:rPr>
          <w:rFonts w:ascii="Palatino Linotype" w:hAnsi="Palatino Linotype" w:cs="Arial"/>
          <w:sz w:val="22"/>
          <w:szCs w:val="22"/>
        </w:rPr>
        <w:t>agosto</w:t>
      </w:r>
      <w:r w:rsidR="00422F2F" w:rsidRPr="00422F2F">
        <w:rPr>
          <w:rFonts w:ascii="Palatino Linotype" w:hAnsi="Palatino Linotype" w:cs="Arial"/>
          <w:sz w:val="22"/>
          <w:szCs w:val="22"/>
        </w:rPr>
        <w:t xml:space="preserve"> de 2021, suscrito y signado por l</w:t>
      </w:r>
      <w:r w:rsidR="002F24C2">
        <w:rPr>
          <w:rFonts w:ascii="Palatino Linotype" w:hAnsi="Palatino Linotype" w:cs="Arial"/>
          <w:sz w:val="22"/>
          <w:szCs w:val="22"/>
        </w:rPr>
        <w:t>a</w:t>
      </w:r>
      <w:r w:rsidR="00422F2F" w:rsidRPr="00422F2F">
        <w:rPr>
          <w:rFonts w:ascii="Palatino Linotype" w:hAnsi="Palatino Linotype" w:cs="Arial"/>
          <w:sz w:val="22"/>
          <w:szCs w:val="22"/>
        </w:rPr>
        <w:t xml:space="preserve"> Titular de la Unidad de Transparencia, dirigido a la particular, a través del cual informó lo siguiente:</w:t>
      </w:r>
    </w:p>
    <w:p w14:paraId="09658B19" w14:textId="77777777" w:rsidR="00422F2F" w:rsidRPr="00422F2F" w:rsidRDefault="00422F2F" w:rsidP="00422F2F">
      <w:pPr>
        <w:pStyle w:val="Prrafodelista"/>
        <w:tabs>
          <w:tab w:val="left" w:pos="0"/>
        </w:tabs>
        <w:ind w:left="567" w:right="565"/>
        <w:jc w:val="both"/>
        <w:rPr>
          <w:rFonts w:ascii="Palatino Linotype" w:hAnsi="Palatino Linotype" w:cs="Arial"/>
          <w:sz w:val="22"/>
          <w:szCs w:val="22"/>
        </w:rPr>
      </w:pPr>
    </w:p>
    <w:p w14:paraId="0D3A11A4" w14:textId="310FC806" w:rsidR="002F24C2" w:rsidRDefault="00422F2F" w:rsidP="00422F2F">
      <w:pPr>
        <w:pStyle w:val="Prrafodelista"/>
        <w:ind w:left="567" w:right="565"/>
        <w:jc w:val="both"/>
        <w:rPr>
          <w:rFonts w:ascii="Palatino Linotype" w:hAnsi="Palatino Linotype" w:cs="Arial"/>
          <w:i/>
          <w:sz w:val="22"/>
          <w:szCs w:val="22"/>
        </w:rPr>
      </w:pPr>
      <w:r w:rsidRPr="00422F2F">
        <w:rPr>
          <w:rFonts w:ascii="Palatino Linotype" w:hAnsi="Palatino Linotype" w:cs="Arial"/>
          <w:i/>
          <w:sz w:val="22"/>
          <w:szCs w:val="22"/>
        </w:rPr>
        <w:t>“… Al respecto,</w:t>
      </w:r>
      <w:r w:rsidR="002F24C2">
        <w:rPr>
          <w:rFonts w:ascii="Palatino Linotype" w:hAnsi="Palatino Linotype" w:cs="Arial"/>
          <w:i/>
          <w:sz w:val="22"/>
          <w:szCs w:val="22"/>
        </w:rPr>
        <w:t xml:space="preserve"> este órgano autónomo, con fundamento en los artículos 1, 4, 163 y 167 de la</w:t>
      </w:r>
      <w:r w:rsidRPr="00422F2F">
        <w:rPr>
          <w:rFonts w:ascii="Palatino Linotype" w:hAnsi="Palatino Linotype" w:cs="Arial"/>
          <w:i/>
          <w:sz w:val="22"/>
          <w:szCs w:val="22"/>
        </w:rPr>
        <w:t xml:space="preserve"> </w:t>
      </w:r>
      <w:r w:rsidR="002F24C2">
        <w:rPr>
          <w:rFonts w:ascii="Palatino Linotype" w:hAnsi="Palatino Linotype" w:cs="Arial"/>
          <w:i/>
          <w:sz w:val="22"/>
          <w:szCs w:val="22"/>
        </w:rPr>
        <w:t xml:space="preserve">Ley de Transparencia y Acceso a la Información Pública del Estado de México y Municipios, </w:t>
      </w:r>
      <w:r w:rsidR="002F24C2" w:rsidRPr="00C12B37">
        <w:rPr>
          <w:rFonts w:ascii="Palatino Linotype" w:hAnsi="Palatino Linotype" w:cs="Arial"/>
          <w:i/>
          <w:sz w:val="22"/>
          <w:szCs w:val="22"/>
          <w:u w:val="single"/>
        </w:rPr>
        <w:t xml:space="preserve">hace de su conocimiento que dentro de las atribuciones de este Sujeto Obligado, establecidas en el artículo 10 de la Ley de la Fiscalía General de Justicia del Estado de México, no se encuentra la de poseer </w:t>
      </w:r>
      <w:r w:rsidR="00C12B37" w:rsidRPr="00C12B37">
        <w:rPr>
          <w:rFonts w:ascii="Palatino Linotype" w:hAnsi="Palatino Linotype" w:cs="Arial"/>
          <w:i/>
          <w:sz w:val="22"/>
          <w:szCs w:val="22"/>
          <w:u w:val="single"/>
        </w:rPr>
        <w:t>información de hallazgos registraos por la COBUPEM; por lo que se le orienta para que dirija su solicitud a la Unidad de Transparencia de la Comisión de Búsqueda de Personas del Estado de México (COBUPEM), dependiente de la Secretaría de Justicia y Derechos Humanos, ubicada en Instituto Literario Poniente No. 510, Col Centro, Código Postal 50000, de la Ciudad de Toluca, Estado de México, con número de teléfono: (722) 2137511 / 213712 y horario de atención de 9:00 a 18:00 hrs., de lunes a viernes…” (Sic)</w:t>
      </w:r>
    </w:p>
    <w:p w14:paraId="6F6677D8" w14:textId="77777777" w:rsidR="00422F2F" w:rsidRPr="00C12B37" w:rsidRDefault="00422F2F" w:rsidP="00C12B37">
      <w:pPr>
        <w:jc w:val="both"/>
        <w:rPr>
          <w:rFonts w:ascii="Palatino Linotype" w:hAnsi="Palatino Linotype"/>
          <w:sz w:val="22"/>
          <w:szCs w:val="22"/>
          <w:lang w:eastAsia="es-ES_tradnl"/>
        </w:rPr>
      </w:pPr>
    </w:p>
    <w:p w14:paraId="1FADD95B" w14:textId="637C6377" w:rsidR="00D9301B" w:rsidRDefault="00946C27"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7D0051">
        <w:rPr>
          <w:rFonts w:ascii="Palatino Linotype" w:hAnsi="Palatino Linotype" w:cs="Arial"/>
          <w:color w:val="000000" w:themeColor="text1"/>
          <w:lang w:val="es-ES"/>
        </w:rPr>
        <w:t xml:space="preserve">El </w:t>
      </w:r>
      <w:r w:rsidR="000119D5">
        <w:rPr>
          <w:rFonts w:ascii="Palatino Linotype" w:hAnsi="Palatino Linotype" w:cs="Arial"/>
          <w:b/>
          <w:color w:val="000000" w:themeColor="text1"/>
          <w:lang w:val="es-ES"/>
        </w:rPr>
        <w:t>veintiocho</w:t>
      </w:r>
      <w:r w:rsidRPr="006C22E5">
        <w:rPr>
          <w:rFonts w:ascii="Palatino Linotype" w:hAnsi="Palatino Linotype" w:cs="Arial"/>
          <w:b/>
          <w:color w:val="000000" w:themeColor="text1"/>
          <w:lang w:val="es-ES"/>
        </w:rPr>
        <w:t xml:space="preserve"> (</w:t>
      </w:r>
      <w:r w:rsidR="000119D5">
        <w:rPr>
          <w:rFonts w:ascii="Palatino Linotype" w:hAnsi="Palatino Linotype" w:cs="Arial"/>
          <w:b/>
          <w:color w:val="000000" w:themeColor="text1"/>
          <w:lang w:val="es-ES"/>
        </w:rPr>
        <w:t>28</w:t>
      </w:r>
      <w:r w:rsidRPr="006C22E5">
        <w:rPr>
          <w:rFonts w:ascii="Palatino Linotype" w:hAnsi="Palatino Linotype" w:cs="Arial"/>
          <w:b/>
          <w:color w:val="000000" w:themeColor="text1"/>
          <w:lang w:val="es-ES"/>
        </w:rPr>
        <w:t xml:space="preserve">) de </w:t>
      </w:r>
      <w:r w:rsidR="00D9301B">
        <w:rPr>
          <w:rFonts w:ascii="Palatino Linotype" w:hAnsi="Palatino Linotype" w:cs="Arial"/>
          <w:b/>
          <w:color w:val="000000" w:themeColor="text1"/>
          <w:lang w:val="es-ES"/>
        </w:rPr>
        <w:t>agosto</w:t>
      </w:r>
      <w:r w:rsidRPr="007D0051">
        <w:rPr>
          <w:rFonts w:ascii="Palatino Linotype" w:hAnsi="Palatino Linotype" w:cs="Arial"/>
          <w:color w:val="000000" w:themeColor="text1"/>
          <w:lang w:val="es-ES"/>
        </w:rPr>
        <w:t xml:space="preserve"> de dos mil </w:t>
      </w:r>
      <w:r w:rsidR="00D9301B">
        <w:rPr>
          <w:rFonts w:ascii="Palatino Linotype" w:hAnsi="Palatino Linotype" w:cs="Arial"/>
          <w:color w:val="000000" w:themeColor="text1"/>
          <w:lang w:val="es-ES"/>
        </w:rPr>
        <w:t>veintiuno</w:t>
      </w:r>
      <w:r w:rsidRPr="007D0051">
        <w:rPr>
          <w:rFonts w:ascii="Palatino Linotype" w:hAnsi="Palatino Linotype" w:cs="Arial"/>
          <w:color w:val="000000" w:themeColor="text1"/>
          <w:lang w:val="es-ES"/>
        </w:rPr>
        <w:t xml:space="preserve">, </w:t>
      </w:r>
      <w:r w:rsidRPr="007D0051">
        <w:rPr>
          <w:rFonts w:ascii="Palatino Linotype" w:hAnsi="Palatino Linotype"/>
          <w:color w:val="000000" w:themeColor="text1"/>
        </w:rPr>
        <w:t xml:space="preserve">se </w:t>
      </w:r>
      <w:r w:rsidRPr="007D0051">
        <w:rPr>
          <w:rFonts w:ascii="Palatino Linotype" w:hAnsi="Palatino Linotype" w:cs="Arial"/>
          <w:color w:val="000000" w:themeColor="text1"/>
          <w:lang w:val="es-ES"/>
        </w:rPr>
        <w:t>interpuso el recurso de revisión, en contra de la respuesta, señalando como:</w:t>
      </w:r>
      <w:bookmarkStart w:id="5" w:name="_Toc466982514"/>
      <w:bookmarkStart w:id="6" w:name="_Toc471908126"/>
      <w:bookmarkStart w:id="7" w:name="_Toc491791300"/>
      <w:bookmarkStart w:id="8" w:name="_Toc496726170"/>
      <w:bookmarkStart w:id="9" w:name="_Toc497242134"/>
      <w:bookmarkStart w:id="10" w:name="_Toc497292517"/>
      <w:bookmarkStart w:id="11" w:name="_Toc498503716"/>
      <w:bookmarkStart w:id="12" w:name="_Toc499568660"/>
      <w:bookmarkStart w:id="13" w:name="_Toc499568693"/>
      <w:bookmarkStart w:id="14" w:name="_Toc499665452"/>
      <w:bookmarkStart w:id="15" w:name="_Toc499729819"/>
      <w:bookmarkStart w:id="16" w:name="_Toc499835024"/>
      <w:bookmarkStart w:id="17" w:name="_Toc499835835"/>
      <w:bookmarkStart w:id="18" w:name="_Toc499835858"/>
    </w:p>
    <w:p w14:paraId="6323F36D" w14:textId="77777777" w:rsidR="00D9301B" w:rsidRPr="00D9301B" w:rsidRDefault="00D9301B" w:rsidP="00D93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BC627B" w14:textId="77777777" w:rsidR="006C22E5" w:rsidRPr="005E70EB" w:rsidRDefault="00946C27" w:rsidP="00730AC3">
      <w:pPr>
        <w:pStyle w:val="Prrafodelista"/>
        <w:numPr>
          <w:ilvl w:val="0"/>
          <w:numId w:val="2"/>
        </w:numPr>
        <w:ind w:left="851" w:right="567" w:hanging="284"/>
        <w:jc w:val="both"/>
        <w:rPr>
          <w:rFonts w:ascii="Palatino Linotype" w:hAnsi="Palatino Linotype"/>
          <w:i/>
          <w:color w:val="000000"/>
          <w:sz w:val="22"/>
        </w:rPr>
      </w:pPr>
      <w:bookmarkStart w:id="19" w:name="_Toc504377966"/>
      <w:r w:rsidRPr="002B50EC">
        <w:rPr>
          <w:rFonts w:ascii="Palatino Linotype" w:eastAsia="Calibri" w:hAnsi="Palatino Linotype" w:cs="Arial"/>
          <w:b/>
          <w:sz w:val="22"/>
        </w:rPr>
        <w:t>Acto impugnado</w:t>
      </w:r>
      <w:r w:rsidRPr="002B50EC">
        <w:rPr>
          <w:rFonts w:ascii="Palatino Linotype" w:eastAsia="Calibri" w:hAnsi="Palatino Linotype" w:cs="Arial"/>
          <w:sz w:val="22"/>
        </w:rPr>
        <w:t>:</w:t>
      </w:r>
      <w:bookmarkEnd w:id="19"/>
      <w:r w:rsidRPr="002B50EC">
        <w:rPr>
          <w:rFonts w:ascii="Palatino Linotype" w:eastAsia="Calibri" w:hAnsi="Palatino Linotype" w:cs="Arial"/>
          <w:sz w:val="22"/>
        </w:rPr>
        <w:t xml:space="preserve"> </w:t>
      </w:r>
      <w:bookmarkStart w:id="20" w:name="_Toc466982515"/>
      <w:bookmarkStart w:id="21" w:name="_Toc471908127"/>
      <w:bookmarkStart w:id="22" w:name="_Toc491791301"/>
      <w:bookmarkStart w:id="23" w:name="_Toc496726171"/>
      <w:bookmarkStart w:id="24" w:name="_Toc497242135"/>
      <w:bookmarkStart w:id="25" w:name="_Toc497292518"/>
      <w:bookmarkStart w:id="26" w:name="_Toc498503717"/>
      <w:bookmarkStart w:id="27" w:name="_Toc499568661"/>
      <w:bookmarkStart w:id="28" w:name="_Toc499568694"/>
      <w:bookmarkStart w:id="29" w:name="_Toc499665453"/>
      <w:bookmarkStart w:id="30" w:name="_Toc499729820"/>
      <w:bookmarkStart w:id="31" w:name="_Toc499835025"/>
      <w:bookmarkStart w:id="32" w:name="_Toc499835836"/>
      <w:bookmarkStart w:id="33" w:name="_Toc499835859"/>
    </w:p>
    <w:p w14:paraId="16C5AADD" w14:textId="7EF3EE69" w:rsidR="005E70EB" w:rsidRPr="000119D5" w:rsidRDefault="00517C58" w:rsidP="000119D5">
      <w:pPr>
        <w:ind w:left="567" w:right="565"/>
        <w:jc w:val="both"/>
        <w:rPr>
          <w:rFonts w:ascii="Palatino Linotype" w:hAnsi="Palatino Linotype"/>
          <w:i/>
          <w:color w:val="000000"/>
          <w:sz w:val="22"/>
          <w:szCs w:val="22"/>
        </w:rPr>
      </w:pPr>
      <w:r w:rsidRPr="000119D5">
        <w:rPr>
          <w:rFonts w:ascii="Palatino Linotype" w:hAnsi="Palatino Linotype"/>
          <w:i/>
          <w:color w:val="000000"/>
          <w:sz w:val="22"/>
          <w:szCs w:val="22"/>
        </w:rPr>
        <w:t>“</w:t>
      </w:r>
      <w:r w:rsidR="00742906">
        <w:rPr>
          <w:rFonts w:ascii="Palatino Linotype" w:hAnsi="Palatino Linotype"/>
          <w:i/>
          <w:color w:val="000000"/>
          <w:sz w:val="22"/>
          <w:szCs w:val="22"/>
        </w:rPr>
        <w:t>Información en otra dependencia” (Sic)</w:t>
      </w:r>
      <w:r w:rsidR="000119D5" w:rsidRPr="000119D5">
        <w:rPr>
          <w:rFonts w:ascii="Palatino Linotype" w:hAnsi="Palatino Linotype"/>
          <w:i/>
          <w:color w:val="000000"/>
          <w:sz w:val="22"/>
          <w:szCs w:val="22"/>
        </w:rPr>
        <w:t xml:space="preserve"> </w:t>
      </w:r>
    </w:p>
    <w:p w14:paraId="52918F4F" w14:textId="77777777" w:rsidR="00D9301B" w:rsidRPr="00D9301B" w:rsidRDefault="00D9301B" w:rsidP="00D9301B">
      <w:pPr>
        <w:ind w:right="565"/>
        <w:jc w:val="both"/>
        <w:rPr>
          <w:rFonts w:ascii="Palatino Linotype" w:hAnsi="Palatino Linotype"/>
          <w:i/>
          <w:sz w:val="22"/>
          <w:szCs w:val="22"/>
        </w:rPr>
      </w:pPr>
    </w:p>
    <w:p w14:paraId="231FD99D" w14:textId="77777777" w:rsidR="006C22E5" w:rsidRPr="006426C4" w:rsidRDefault="00946C27" w:rsidP="00730AC3">
      <w:pPr>
        <w:pStyle w:val="Prrafodelista"/>
        <w:numPr>
          <w:ilvl w:val="0"/>
          <w:numId w:val="2"/>
        </w:numPr>
        <w:tabs>
          <w:tab w:val="left" w:pos="0"/>
        </w:tabs>
        <w:ind w:left="851" w:right="616" w:hanging="284"/>
        <w:jc w:val="both"/>
        <w:rPr>
          <w:rFonts w:ascii="Palatino Linotype" w:eastAsia="Calibri" w:hAnsi="Palatino Linotype" w:cs="Arial"/>
          <w:i/>
          <w:sz w:val="22"/>
        </w:rPr>
      </w:pPr>
      <w:bookmarkStart w:id="34" w:name="_Toc504377967"/>
      <w:r w:rsidRPr="002B50EC">
        <w:rPr>
          <w:rFonts w:ascii="Palatino Linotype" w:eastAsia="Calibri" w:hAnsi="Palatino Linotype" w:cs="Arial"/>
          <w:b/>
          <w:sz w:val="22"/>
        </w:rPr>
        <w:t>Razones o Motivos de inconformidad</w:t>
      </w:r>
      <w:r w:rsidRPr="002B50EC">
        <w:rPr>
          <w:rFonts w:ascii="Palatino Linotype" w:eastAsia="Calibri" w:hAnsi="Palatino Linotype" w:cs="Arial"/>
          <w:sz w:val="22"/>
        </w:rPr>
        <w: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B50EC">
        <w:rPr>
          <w:rFonts w:ascii="Palatino Linotype" w:eastAsia="Calibri" w:hAnsi="Palatino Linotype" w:cs="Arial"/>
          <w:sz w:val="22"/>
        </w:rPr>
        <w:t xml:space="preserve"> </w:t>
      </w:r>
    </w:p>
    <w:p w14:paraId="6CC63BEF" w14:textId="4110B0F7" w:rsidR="00122818" w:rsidRPr="00742906" w:rsidRDefault="00517C58" w:rsidP="00742906">
      <w:pPr>
        <w:ind w:left="567" w:right="565"/>
        <w:jc w:val="both"/>
        <w:rPr>
          <w:rFonts w:ascii="Palatino Linotype" w:hAnsi="Palatino Linotype"/>
          <w:i/>
          <w:sz w:val="22"/>
          <w:szCs w:val="22"/>
        </w:rPr>
      </w:pPr>
      <w:r w:rsidRPr="00742906">
        <w:rPr>
          <w:rFonts w:ascii="Palatino Linotype" w:hAnsi="Palatino Linotype"/>
          <w:i/>
          <w:color w:val="000000"/>
          <w:sz w:val="22"/>
          <w:szCs w:val="22"/>
        </w:rPr>
        <w:lastRenderedPageBreak/>
        <w:t>“</w:t>
      </w:r>
      <w:r w:rsidR="00742906" w:rsidRPr="00742906">
        <w:rPr>
          <w:rFonts w:ascii="Palatino Linotype" w:hAnsi="Palatino Linotype"/>
          <w:i/>
          <w:color w:val="000000"/>
          <w:sz w:val="22"/>
          <w:szCs w:val="22"/>
        </w:rPr>
        <w:t>Cuando se realiza el hallazgo de un cuerpo el reporte se da a las autoridades periciales de la Fiscalía, por lo tanto, debe contar con la información solicitada. Además, en respuesta a la solicitud con folio 00107/SJDH/IP/2021, la Secretaría de Justicia y Derechos Humanos confirma que la Fiscalía cuenta con estos datos. De hecho ninguna de las dependencias asume la responsabilidad de generar la información solicitada, en cambio, se responsabilizan entre sí. Adjunto ambas respuestas.</w:t>
      </w:r>
      <w:r w:rsidRPr="00742906">
        <w:rPr>
          <w:rFonts w:ascii="Palatino Linotype" w:hAnsi="Palatino Linotype"/>
          <w:i/>
          <w:color w:val="000000"/>
          <w:sz w:val="22"/>
          <w:szCs w:val="22"/>
        </w:rPr>
        <w:t>” (Sic)</w:t>
      </w:r>
    </w:p>
    <w:p w14:paraId="3EF09A0E" w14:textId="77777777" w:rsidR="000119D5" w:rsidRPr="00D9301B" w:rsidRDefault="000119D5" w:rsidP="00D9301B">
      <w:pPr>
        <w:pStyle w:val="Prrafodelista"/>
        <w:ind w:left="567" w:right="565"/>
        <w:jc w:val="both"/>
        <w:rPr>
          <w:rFonts w:ascii="Palatino Linotype" w:hAnsi="Palatino Linotype"/>
          <w:i/>
          <w:sz w:val="22"/>
          <w:szCs w:val="22"/>
        </w:rPr>
      </w:pPr>
    </w:p>
    <w:p w14:paraId="29D3B00F" w14:textId="4FA7D7CF" w:rsidR="00946C27" w:rsidRPr="00946C27" w:rsidRDefault="00946C27"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B0348">
        <w:rPr>
          <w:rFonts w:ascii="Palatino Linotype" w:hAnsi="Palatino Linotype" w:cs="Arial"/>
          <w:color w:val="000000" w:themeColor="text1"/>
          <w:lang w:val="es-ES"/>
        </w:rPr>
        <w:t>Se registró el recurso de revisión bajo el número</w:t>
      </w:r>
      <w:r w:rsidR="006C22E5">
        <w:rPr>
          <w:rFonts w:ascii="Palatino Linotype" w:hAnsi="Palatino Linotype" w:cs="Arial"/>
          <w:color w:val="000000" w:themeColor="text1"/>
          <w:lang w:val="es-ES"/>
        </w:rPr>
        <w:t xml:space="preserve"> </w:t>
      </w:r>
      <w:r w:rsidR="000119D5">
        <w:rPr>
          <w:rFonts w:ascii="Palatino Linotype" w:hAnsi="Palatino Linotype" w:cs="Arial"/>
          <w:b/>
          <w:color w:val="000000" w:themeColor="text1"/>
          <w:lang w:val="es-ES"/>
        </w:rPr>
        <w:t>0</w:t>
      </w:r>
      <w:r w:rsidR="00742906">
        <w:rPr>
          <w:rFonts w:ascii="Palatino Linotype" w:hAnsi="Palatino Linotype" w:cs="Arial"/>
          <w:b/>
          <w:color w:val="000000" w:themeColor="text1"/>
          <w:lang w:val="es-ES"/>
        </w:rPr>
        <w:t>4523</w:t>
      </w:r>
      <w:r w:rsidR="00D9301B">
        <w:rPr>
          <w:rFonts w:ascii="Palatino Linotype" w:hAnsi="Palatino Linotype" w:cs="Arial"/>
          <w:b/>
          <w:color w:val="000000" w:themeColor="text1"/>
          <w:lang w:val="es-ES"/>
        </w:rPr>
        <w:t>/INFOEM/RR/2021</w:t>
      </w:r>
      <w:r w:rsidR="006C22E5">
        <w:rPr>
          <w:rFonts w:ascii="Palatino Linotype" w:hAnsi="Palatino Linotype" w:cs="Arial"/>
          <w:bCs/>
          <w:color w:val="000000" w:themeColor="text1"/>
        </w:rPr>
        <w:t>, asi</w:t>
      </w:r>
      <w:r w:rsidRPr="00CB0348">
        <w:rPr>
          <w:rFonts w:ascii="Palatino Linotype" w:hAnsi="Palatino Linotype" w:cs="Arial"/>
          <w:bCs/>
          <w:color w:val="000000" w:themeColor="text1"/>
        </w:rPr>
        <w:t>mismo</w:t>
      </w:r>
      <w:r w:rsidR="006C22E5">
        <w:rPr>
          <w:rFonts w:ascii="Palatino Linotype" w:hAnsi="Palatino Linotype" w:cs="Arial"/>
          <w:bCs/>
          <w:color w:val="000000" w:themeColor="text1"/>
        </w:rPr>
        <w:t>,</w:t>
      </w:r>
      <w:r w:rsidRPr="00CB0348">
        <w:rPr>
          <w:rFonts w:ascii="Palatino Linotype" w:hAnsi="Palatino Linotype" w:cs="Arial"/>
          <w:bCs/>
          <w:color w:val="000000" w:themeColor="text1"/>
        </w:rPr>
        <w:t xml:space="preserve"> con fundamento en lo dispuesto por el </w:t>
      </w:r>
      <w:r w:rsidRPr="00CB0348">
        <w:rPr>
          <w:rFonts w:ascii="Palatino Linotype" w:eastAsia="Calibri" w:hAnsi="Palatino Linotype" w:cs="Arial"/>
          <w:color w:val="000000" w:themeColor="text1"/>
          <w:lang w:val="es-ES"/>
        </w:rPr>
        <w:t xml:space="preserve">artículo 185 fracción I de la </w:t>
      </w:r>
      <w:r w:rsidRPr="00CB0348">
        <w:rPr>
          <w:rFonts w:ascii="Palatino Linotype" w:eastAsia="Calibri" w:hAnsi="Palatino Linotype" w:cs="Arial"/>
          <w:b/>
          <w:color w:val="000000" w:themeColor="text1"/>
          <w:lang w:val="es-ES"/>
        </w:rPr>
        <w:t xml:space="preserve">Ley de Transparencia y Acceso a la Información Pública del Estado de México y Municipios </w:t>
      </w:r>
      <w:r w:rsidR="000119D5">
        <w:rPr>
          <w:rFonts w:ascii="Palatino Linotype" w:hAnsi="Palatino Linotype" w:cs="Arial"/>
          <w:color w:val="000000" w:themeColor="text1"/>
          <w:lang w:val="es-ES"/>
        </w:rPr>
        <w:t xml:space="preserve">se turnó </w:t>
      </w:r>
      <w:r w:rsidR="00D9301B">
        <w:rPr>
          <w:rFonts w:ascii="Palatino Linotype" w:hAnsi="Palatino Linotype" w:cs="Arial"/>
          <w:color w:val="000000" w:themeColor="text1"/>
          <w:lang w:val="es-ES"/>
        </w:rPr>
        <w:t>a</w:t>
      </w:r>
      <w:r w:rsidR="00742906">
        <w:rPr>
          <w:rFonts w:ascii="Palatino Linotype" w:hAnsi="Palatino Linotype" w:cs="Arial"/>
          <w:color w:val="000000" w:themeColor="text1"/>
          <w:lang w:val="es-ES"/>
        </w:rPr>
        <w:t xml:space="preserve"> </w:t>
      </w:r>
      <w:r w:rsidR="000119D5">
        <w:rPr>
          <w:rFonts w:ascii="Palatino Linotype" w:hAnsi="Palatino Linotype" w:cs="Arial"/>
          <w:color w:val="000000" w:themeColor="text1"/>
          <w:lang w:val="es-ES"/>
        </w:rPr>
        <w:t>l</w:t>
      </w:r>
      <w:r w:rsidR="00742906">
        <w:rPr>
          <w:rFonts w:ascii="Palatino Linotype" w:hAnsi="Palatino Linotype" w:cs="Arial"/>
          <w:color w:val="000000" w:themeColor="text1"/>
          <w:lang w:val="es-ES"/>
        </w:rPr>
        <w:t>a</w:t>
      </w:r>
      <w:r w:rsidRPr="00CB0348">
        <w:rPr>
          <w:rFonts w:ascii="Palatino Linotype" w:hAnsi="Palatino Linotype" w:cs="Arial"/>
          <w:color w:val="000000" w:themeColor="text1"/>
          <w:lang w:val="es-ES"/>
        </w:rPr>
        <w:t xml:space="preserve"> </w:t>
      </w:r>
      <w:r w:rsidR="00D9301B">
        <w:rPr>
          <w:rFonts w:ascii="Palatino Linotype" w:hAnsi="Palatino Linotype" w:cs="Arial"/>
          <w:b/>
          <w:color w:val="000000" w:themeColor="text1"/>
          <w:lang w:val="es-ES"/>
        </w:rPr>
        <w:t>Comisionada</w:t>
      </w:r>
      <w:r w:rsidRPr="00CB0348">
        <w:rPr>
          <w:rFonts w:ascii="Palatino Linotype" w:hAnsi="Palatino Linotype" w:cs="Arial"/>
          <w:b/>
          <w:color w:val="000000" w:themeColor="text1"/>
          <w:lang w:val="es-ES"/>
        </w:rPr>
        <w:t xml:space="preserve"> </w:t>
      </w:r>
      <w:r w:rsidR="00742906">
        <w:rPr>
          <w:rFonts w:ascii="Palatino Linotype" w:hAnsi="Palatino Linotype" w:cs="Arial"/>
          <w:b/>
          <w:color w:val="000000" w:themeColor="text1"/>
          <w:lang w:val="es-ES"/>
        </w:rPr>
        <w:t>María del Rosario Mejía Ayala</w:t>
      </w:r>
      <w:r w:rsidRPr="00CB0348">
        <w:rPr>
          <w:rFonts w:ascii="Palatino Linotype" w:hAnsi="Palatino Linotype" w:cs="Arial"/>
          <w:b/>
          <w:color w:val="000000" w:themeColor="text1"/>
          <w:lang w:val="es-ES"/>
        </w:rPr>
        <w:t xml:space="preserve">, </w:t>
      </w:r>
      <w:r w:rsidRPr="00CB0348">
        <w:rPr>
          <w:rFonts w:ascii="Palatino Linotype" w:hAnsi="Palatino Linotype" w:cs="Arial"/>
          <w:color w:val="000000" w:themeColor="text1"/>
          <w:lang w:val="es-ES"/>
        </w:rPr>
        <w:t xml:space="preserve">con el objeto de </w:t>
      </w:r>
      <w:r w:rsidRPr="00CB0348">
        <w:rPr>
          <w:rFonts w:ascii="Palatino Linotype" w:hAnsi="Palatino Linotype" w:cs="Arial"/>
          <w:color w:val="000000" w:themeColor="text1"/>
        </w:rPr>
        <w:t>su análisis.</w:t>
      </w:r>
    </w:p>
    <w:p w14:paraId="1F65160C"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bookmarkEnd w:id="5"/>
    <w:bookmarkEnd w:id="6"/>
    <w:bookmarkEnd w:id="7"/>
    <w:bookmarkEnd w:id="8"/>
    <w:bookmarkEnd w:id="9"/>
    <w:bookmarkEnd w:id="10"/>
    <w:bookmarkEnd w:id="11"/>
    <w:bookmarkEnd w:id="12"/>
    <w:bookmarkEnd w:id="13"/>
    <w:bookmarkEnd w:id="14"/>
    <w:bookmarkEnd w:id="15"/>
    <w:bookmarkEnd w:id="16"/>
    <w:bookmarkEnd w:id="17"/>
    <w:bookmarkEnd w:id="18"/>
    <w:p w14:paraId="14718D03" w14:textId="5B76D185" w:rsidR="00583389" w:rsidRPr="00946C27" w:rsidRDefault="00220DD2"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eastAsia="Calibri" w:hAnsi="Palatino Linotype" w:cs="Arial"/>
        </w:rPr>
        <w:t xml:space="preserve">El </w:t>
      </w:r>
      <w:r w:rsidRPr="00946C27">
        <w:rPr>
          <w:rFonts w:ascii="Palatino Linotype" w:eastAsia="Calibri" w:hAnsi="Palatino Linotype"/>
        </w:rPr>
        <w:t>Comisionado</w:t>
      </w:r>
      <w:r w:rsidRPr="00946C27">
        <w:rPr>
          <w:rFonts w:ascii="Palatino Linotype" w:eastAsia="Calibri" w:hAnsi="Palatino Linotype" w:cs="Arial"/>
        </w:rPr>
        <w:t xml:space="preserve"> Ponente con fundamento en lo dispuesto por el artículo 185 fracción II de la ley de la materia, a través de</w:t>
      </w:r>
      <w:r w:rsidR="000E6965">
        <w:rPr>
          <w:rFonts w:ascii="Palatino Linotype" w:eastAsia="Calibri" w:hAnsi="Palatino Linotype" w:cs="Arial"/>
        </w:rPr>
        <w:t>l</w:t>
      </w:r>
      <w:r w:rsidRPr="00946C27">
        <w:rPr>
          <w:rFonts w:ascii="Palatino Linotype" w:eastAsia="Calibri" w:hAnsi="Palatino Linotype" w:cs="Arial"/>
        </w:rPr>
        <w:t xml:space="preserve"> acuerdo de admisión de</w:t>
      </w:r>
      <w:r w:rsidR="00D130AF">
        <w:rPr>
          <w:rFonts w:ascii="Palatino Linotype" w:eastAsia="Calibri" w:hAnsi="Palatino Linotype" w:cs="Arial"/>
        </w:rPr>
        <w:t xml:space="preserve">l </w:t>
      </w:r>
      <w:r w:rsidR="00742906">
        <w:rPr>
          <w:rFonts w:ascii="Palatino Linotype" w:eastAsia="Calibri" w:hAnsi="Palatino Linotype" w:cs="Arial"/>
        </w:rPr>
        <w:t>ocho</w:t>
      </w:r>
      <w:r w:rsidR="00122818">
        <w:rPr>
          <w:rFonts w:ascii="Palatino Linotype" w:eastAsia="Calibri" w:hAnsi="Palatino Linotype" w:cs="Arial"/>
          <w:b/>
        </w:rPr>
        <w:t xml:space="preserve"> </w:t>
      </w:r>
      <w:r w:rsidR="000119D5">
        <w:rPr>
          <w:rFonts w:ascii="Palatino Linotype" w:eastAsia="Calibri" w:hAnsi="Palatino Linotype" w:cs="Arial"/>
          <w:b/>
          <w:color w:val="000000" w:themeColor="text1"/>
          <w:lang w:val="es-ES"/>
        </w:rPr>
        <w:t>(0</w:t>
      </w:r>
      <w:r w:rsidR="00742906">
        <w:rPr>
          <w:rFonts w:ascii="Palatino Linotype" w:eastAsia="Calibri" w:hAnsi="Palatino Linotype" w:cs="Arial"/>
          <w:b/>
          <w:color w:val="000000" w:themeColor="text1"/>
          <w:lang w:val="es-ES"/>
        </w:rPr>
        <w:t>8</w:t>
      </w:r>
      <w:r w:rsidR="0007635F" w:rsidRPr="000E6965">
        <w:rPr>
          <w:rFonts w:ascii="Palatino Linotype" w:eastAsia="Calibri" w:hAnsi="Palatino Linotype" w:cs="Arial"/>
          <w:b/>
          <w:color w:val="000000" w:themeColor="text1"/>
          <w:lang w:val="es-ES"/>
        </w:rPr>
        <w:t xml:space="preserve">) de </w:t>
      </w:r>
      <w:r w:rsidR="00742906">
        <w:rPr>
          <w:rFonts w:ascii="Palatino Linotype" w:eastAsia="Calibri" w:hAnsi="Palatino Linotype" w:cs="Arial"/>
          <w:b/>
          <w:color w:val="000000" w:themeColor="text1"/>
          <w:lang w:val="es-ES"/>
        </w:rPr>
        <w:t>septiembre</w:t>
      </w:r>
      <w:r w:rsidR="0007635F" w:rsidRPr="00946C27">
        <w:rPr>
          <w:rFonts w:ascii="Palatino Linotype" w:eastAsia="Calibri" w:hAnsi="Palatino Linotype" w:cs="Arial"/>
          <w:color w:val="000000" w:themeColor="text1"/>
          <w:lang w:val="es-ES"/>
        </w:rPr>
        <w:t xml:space="preserve"> de dos mil </w:t>
      </w:r>
      <w:r w:rsidR="00D130AF">
        <w:rPr>
          <w:rFonts w:ascii="Palatino Linotype" w:eastAsia="Calibri" w:hAnsi="Palatino Linotype" w:cs="Arial"/>
          <w:color w:val="000000" w:themeColor="text1"/>
          <w:lang w:val="es-ES"/>
        </w:rPr>
        <w:t>veintiuno</w:t>
      </w:r>
      <w:r w:rsidRPr="00946C27">
        <w:rPr>
          <w:rFonts w:ascii="Palatino Linotype" w:eastAsia="Calibri" w:hAnsi="Palatino Linotype" w:cs="Arial"/>
        </w:rPr>
        <w:t xml:space="preserve">, puso a disposición de las partes el expediente electrónico vía Sistema de Acceso a la Información Mexiquense </w:t>
      </w:r>
      <w:r w:rsidRPr="00946C27">
        <w:rPr>
          <w:rFonts w:ascii="Palatino Linotype" w:eastAsia="Calibri" w:hAnsi="Palatino Linotype" w:cs="Arial"/>
          <w:b/>
        </w:rPr>
        <w:t xml:space="preserve">SAIMEX </w:t>
      </w:r>
      <w:r w:rsidRPr="00946C27">
        <w:rPr>
          <w:rFonts w:ascii="Palatino Linotype" w:eastAsia="Calibri" w:hAnsi="Palatino Linotype" w:cs="Arial"/>
        </w:rPr>
        <w:t>a efecto de que en un plazo máximo de siete días manifestaran</w:t>
      </w:r>
      <w:r w:rsidR="00113BE4">
        <w:rPr>
          <w:rFonts w:ascii="Palatino Linotype" w:eastAsia="Calibri" w:hAnsi="Palatino Linotype" w:cs="Arial"/>
        </w:rPr>
        <w:t xml:space="preserve"> lo que a su derecho conviniera</w:t>
      </w:r>
      <w:r w:rsidRPr="00946C27">
        <w:rPr>
          <w:rFonts w:ascii="Palatino Linotype" w:eastAsia="Calibri" w:hAnsi="Palatino Linotype" w:cs="Arial"/>
        </w:rPr>
        <w:t>, ofrecieran pruebas</w:t>
      </w:r>
      <w:r w:rsidR="000E6965">
        <w:rPr>
          <w:rFonts w:ascii="Palatino Linotype" w:eastAsia="Calibri" w:hAnsi="Palatino Linotype" w:cs="Arial"/>
        </w:rPr>
        <w:t xml:space="preserve"> y alegatos según corresponda al caso concreto</w:t>
      </w:r>
      <w:r w:rsidRPr="00946C27">
        <w:rPr>
          <w:rFonts w:ascii="Palatino Linotype" w:eastAsia="Calibri" w:hAnsi="Palatino Linotype" w:cs="Arial"/>
        </w:rPr>
        <w:t xml:space="preserve">, de esta forma para que el </w:t>
      </w:r>
      <w:r w:rsidRPr="00946C27">
        <w:rPr>
          <w:rFonts w:ascii="Palatino Linotype" w:eastAsia="Calibri" w:hAnsi="Palatino Linotype" w:cs="Arial"/>
          <w:b/>
        </w:rPr>
        <w:t>SUJETO OBLIGADO</w:t>
      </w:r>
      <w:r w:rsidRPr="00946C27">
        <w:rPr>
          <w:rFonts w:ascii="Palatino Linotype" w:eastAsia="Calibri" w:hAnsi="Palatino Linotype" w:cs="Arial"/>
        </w:rPr>
        <w:t xml:space="preserve"> presentará el Informe Justificado procedente.</w:t>
      </w:r>
    </w:p>
    <w:p w14:paraId="5536C7DA" w14:textId="77777777" w:rsidR="002B50EC" w:rsidRPr="00946C27"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5254B0CD" w:rsidR="0099059B" w:rsidRDefault="00BE231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453AFE">
        <w:rPr>
          <w:rFonts w:ascii="Palatino Linotype" w:eastAsia="Calibri" w:hAnsi="Palatino Linotype" w:cs="Arial"/>
          <w:b/>
          <w:color w:val="000000" w:themeColor="text1"/>
          <w:lang w:val="es-ES"/>
        </w:rPr>
        <w:t>veinte</w:t>
      </w:r>
      <w:r w:rsidR="000119D5">
        <w:rPr>
          <w:rFonts w:ascii="Palatino Linotype" w:eastAsia="Calibri" w:hAnsi="Palatino Linotype" w:cs="Arial"/>
          <w:b/>
          <w:color w:val="000000" w:themeColor="text1"/>
          <w:lang w:val="es-ES"/>
        </w:rPr>
        <w:t xml:space="preserve"> (</w:t>
      </w:r>
      <w:r w:rsidR="00453AFE">
        <w:rPr>
          <w:rFonts w:ascii="Palatino Linotype" w:eastAsia="Calibri" w:hAnsi="Palatino Linotype" w:cs="Arial"/>
          <w:b/>
          <w:color w:val="000000" w:themeColor="text1"/>
          <w:lang w:val="es-ES"/>
        </w:rPr>
        <w:t>20</w:t>
      </w:r>
      <w:r w:rsidR="000119D5">
        <w:rPr>
          <w:rFonts w:ascii="Palatino Linotype" w:eastAsia="Calibri" w:hAnsi="Palatino Linotype" w:cs="Arial"/>
          <w:b/>
          <w:color w:val="000000" w:themeColor="text1"/>
          <w:lang w:val="es-ES"/>
        </w:rPr>
        <w:t xml:space="preserve">) de </w:t>
      </w:r>
      <w:r w:rsidR="00453AFE">
        <w:rPr>
          <w:rFonts w:ascii="Palatino Linotype" w:eastAsia="Calibri" w:hAnsi="Palatino Linotype" w:cs="Arial"/>
          <w:b/>
          <w:color w:val="000000" w:themeColor="text1"/>
          <w:lang w:val="es-ES"/>
        </w:rPr>
        <w:t>septiembre</w:t>
      </w:r>
      <w:r w:rsidR="00D130AF">
        <w:rPr>
          <w:rFonts w:ascii="Palatino Linotype" w:eastAsia="Calibri" w:hAnsi="Palatino Linotype" w:cs="Arial"/>
          <w:color w:val="000000" w:themeColor="text1"/>
          <w:lang w:val="es-ES"/>
        </w:rPr>
        <w:t xml:space="preserve"> de dos mil veintiuno</w:t>
      </w:r>
      <w:r w:rsidR="00B41A55" w:rsidRPr="000D25CC">
        <w:rPr>
          <w:rFonts w:ascii="Palatino Linotype" w:eastAsia="Calibri" w:hAnsi="Palatino Linotype" w:cs="Arial"/>
          <w:color w:val="000000" w:themeColor="text1"/>
          <w:lang w:val="es-ES"/>
        </w:rPr>
        <w:t xml:space="preserve">, el </w:t>
      </w:r>
      <w:r w:rsidR="00B41A55" w:rsidRPr="000D25CC">
        <w:rPr>
          <w:rFonts w:ascii="Palatino Linotype" w:eastAsia="Calibri" w:hAnsi="Palatino Linotype" w:cs="Arial"/>
          <w:b/>
          <w:color w:val="000000" w:themeColor="text1"/>
          <w:lang w:val="es-ES"/>
        </w:rPr>
        <w:t>SUJETO OBLIGADO</w:t>
      </w:r>
      <w:r w:rsidR="00B41A55" w:rsidRPr="000D25CC">
        <w:rPr>
          <w:rFonts w:ascii="Palatino Linotype" w:eastAsia="Calibri" w:hAnsi="Palatino Linotype" w:cs="Arial"/>
          <w:color w:val="000000" w:themeColor="text1"/>
          <w:lang w:val="es-ES"/>
        </w:rPr>
        <w:t xml:space="preserve"> rindió su informe justificado</w:t>
      </w:r>
      <w:r w:rsidR="005171E1" w:rsidRPr="000D25CC">
        <w:rPr>
          <w:rFonts w:ascii="Palatino Linotype" w:eastAsia="Calibri" w:hAnsi="Palatino Linotype" w:cs="Arial"/>
          <w:color w:val="000000" w:themeColor="text1"/>
          <w:lang w:val="es-ES"/>
        </w:rPr>
        <w:t xml:space="preserve"> </w:t>
      </w:r>
      <w:r w:rsidR="00093239">
        <w:rPr>
          <w:rFonts w:ascii="Palatino Linotype" w:eastAsia="Calibri" w:hAnsi="Palatino Linotype" w:cs="Arial"/>
          <w:color w:val="000000" w:themeColor="text1"/>
          <w:lang w:val="es-ES"/>
        </w:rPr>
        <w:t xml:space="preserve">en </w:t>
      </w:r>
      <w:r w:rsidR="000D25CC" w:rsidRPr="000D25CC">
        <w:rPr>
          <w:rFonts w:ascii="Palatino Linotype" w:eastAsia="Calibri" w:hAnsi="Palatino Linotype" w:cs="Arial"/>
          <w:color w:val="000000" w:themeColor="text1"/>
          <w:lang w:val="es-ES"/>
        </w:rPr>
        <w:t>el</w:t>
      </w:r>
      <w:r w:rsidR="00093239">
        <w:rPr>
          <w:rFonts w:ascii="Palatino Linotype" w:eastAsia="Calibri" w:hAnsi="Palatino Linotype" w:cs="Arial"/>
          <w:color w:val="000000" w:themeColor="text1"/>
          <w:lang w:val="es-ES"/>
        </w:rPr>
        <w:t xml:space="preserve"> cual ratificó la</w:t>
      </w:r>
      <w:r w:rsidR="000D25CC">
        <w:rPr>
          <w:rFonts w:ascii="Palatino Linotype" w:eastAsia="Calibri" w:hAnsi="Palatino Linotype" w:cs="Arial"/>
          <w:color w:val="000000" w:themeColor="text1"/>
          <w:lang w:val="es-ES"/>
        </w:rPr>
        <w:t xml:space="preserve"> respuesta inicial</w:t>
      </w:r>
      <w:r w:rsidR="000119D5">
        <w:rPr>
          <w:rFonts w:ascii="Palatino Linotype" w:eastAsia="Calibri" w:hAnsi="Palatino Linotype" w:cs="Arial"/>
          <w:color w:val="000000" w:themeColor="text1"/>
          <w:lang w:val="es-ES"/>
        </w:rPr>
        <w:t xml:space="preserve">, a través de los </w:t>
      </w:r>
      <w:r w:rsidR="000119D5">
        <w:rPr>
          <w:rFonts w:ascii="Palatino Linotype" w:eastAsia="Calibri" w:hAnsi="Palatino Linotype" w:cs="Arial"/>
          <w:color w:val="000000" w:themeColor="text1"/>
          <w:lang w:val="es-ES"/>
        </w:rPr>
        <w:lastRenderedPageBreak/>
        <w:t xml:space="preserve">archivos electrónicos </w:t>
      </w:r>
      <w:r w:rsidR="000119D5" w:rsidRPr="00093239">
        <w:rPr>
          <w:rFonts w:ascii="Palatino Linotype" w:eastAsia="Calibri" w:hAnsi="Palatino Linotype" w:cs="Arial"/>
          <w:b/>
          <w:i/>
          <w:color w:val="000000" w:themeColor="text1"/>
          <w:lang w:val="es-ES"/>
        </w:rPr>
        <w:t>“</w:t>
      </w:r>
      <w:r w:rsidR="00453AFE">
        <w:rPr>
          <w:rFonts w:ascii="Palatino Linotype" w:eastAsia="Calibri" w:hAnsi="Palatino Linotype" w:cs="Arial"/>
          <w:b/>
          <w:i/>
          <w:color w:val="000000" w:themeColor="text1"/>
          <w:lang w:val="es-ES"/>
        </w:rPr>
        <w:t>INF JUST SOL 879 RR 4523.pdf</w:t>
      </w:r>
      <w:r w:rsidR="000119D5" w:rsidRPr="00093239">
        <w:rPr>
          <w:rFonts w:ascii="Palatino Linotype" w:eastAsia="Calibri" w:hAnsi="Palatino Linotype" w:cs="Arial"/>
          <w:b/>
          <w:i/>
          <w:color w:val="000000" w:themeColor="text1"/>
          <w:lang w:val="es-ES"/>
        </w:rPr>
        <w:t>”</w:t>
      </w:r>
      <w:r w:rsidR="000119D5" w:rsidRPr="00093239">
        <w:rPr>
          <w:rFonts w:ascii="Palatino Linotype" w:eastAsia="Calibri" w:hAnsi="Palatino Linotype" w:cs="Arial"/>
          <w:b/>
          <w:color w:val="000000" w:themeColor="text1"/>
          <w:lang w:val="es-ES"/>
        </w:rPr>
        <w:t xml:space="preserve"> y </w:t>
      </w:r>
      <w:r w:rsidR="000119D5" w:rsidRPr="00093239">
        <w:rPr>
          <w:rFonts w:ascii="Palatino Linotype" w:eastAsia="Calibri" w:hAnsi="Palatino Linotype" w:cs="Arial"/>
          <w:b/>
          <w:i/>
          <w:color w:val="000000" w:themeColor="text1"/>
          <w:lang w:val="es-ES"/>
        </w:rPr>
        <w:t>“</w:t>
      </w:r>
      <w:r w:rsidR="00453AFE">
        <w:rPr>
          <w:rFonts w:ascii="Palatino Linotype" w:eastAsia="Calibri" w:hAnsi="Palatino Linotype" w:cs="Arial"/>
          <w:b/>
          <w:i/>
          <w:color w:val="000000" w:themeColor="text1"/>
          <w:lang w:val="es-ES"/>
        </w:rPr>
        <w:t>OF INF JUST SOL 879 RR 4523</w:t>
      </w:r>
      <w:r w:rsidR="00093239" w:rsidRPr="00093239">
        <w:rPr>
          <w:rFonts w:ascii="Palatino Linotype" w:eastAsia="Calibri" w:hAnsi="Palatino Linotype" w:cs="Arial"/>
          <w:b/>
          <w:i/>
          <w:color w:val="000000" w:themeColor="text1"/>
          <w:lang w:val="es-ES"/>
        </w:rPr>
        <w:t>.pdf</w:t>
      </w:r>
      <w:r w:rsidR="000119D5" w:rsidRPr="00093239">
        <w:rPr>
          <w:rFonts w:ascii="Palatino Linotype" w:eastAsia="Calibri" w:hAnsi="Palatino Linotype" w:cs="Arial"/>
          <w:b/>
          <w:i/>
          <w:color w:val="000000" w:themeColor="text1"/>
          <w:lang w:val="es-ES"/>
        </w:rPr>
        <w:t>”</w:t>
      </w:r>
      <w:r w:rsidR="00453AFE">
        <w:rPr>
          <w:rFonts w:ascii="Palatino Linotype" w:eastAsia="Calibri" w:hAnsi="Palatino Linotype" w:cs="Arial"/>
          <w:b/>
          <w:i/>
          <w:color w:val="000000" w:themeColor="text1"/>
          <w:lang w:val="es-ES"/>
        </w:rPr>
        <w:t>.</w:t>
      </w:r>
    </w:p>
    <w:p w14:paraId="626E4372" w14:textId="77777777" w:rsidR="00093239" w:rsidRPr="00093239" w:rsidRDefault="00093239" w:rsidP="00093239">
      <w:pPr>
        <w:pStyle w:val="Prrafodelista"/>
        <w:rPr>
          <w:rFonts w:ascii="Palatino Linotype" w:eastAsia="Calibri" w:hAnsi="Palatino Linotype" w:cs="Arial"/>
          <w:color w:val="000000" w:themeColor="text1"/>
          <w:lang w:val="es-ES"/>
        </w:rPr>
      </w:pPr>
    </w:p>
    <w:p w14:paraId="329392AA" w14:textId="6F7BB71D" w:rsidR="00093239" w:rsidRPr="00093239" w:rsidRDefault="00093239"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93239">
        <w:rPr>
          <w:rFonts w:ascii="Palatino Linotype" w:eastAsia="Calibri" w:hAnsi="Palatino Linotype" w:cs="Arial"/>
          <w:color w:val="000000" w:themeColor="text1"/>
          <w:lang w:val="es-ES"/>
        </w:rPr>
        <w:t xml:space="preserve">Por su parte el recurrente </w:t>
      </w:r>
      <w:r w:rsidR="00453AFE">
        <w:rPr>
          <w:rFonts w:ascii="Palatino Linotype" w:eastAsia="Calibri" w:hAnsi="Palatino Linotype" w:cs="Arial"/>
          <w:color w:val="000000" w:themeColor="text1"/>
          <w:lang w:val="es-ES"/>
        </w:rPr>
        <w:t>no presentó pruebas ni alegatos.</w:t>
      </w:r>
    </w:p>
    <w:p w14:paraId="57B3F381" w14:textId="77777777" w:rsidR="0099059B" w:rsidRDefault="0099059B" w:rsidP="0099059B">
      <w:pPr>
        <w:pStyle w:val="Prrafodelista"/>
        <w:tabs>
          <w:tab w:val="left" w:pos="426"/>
          <w:tab w:val="left" w:pos="567"/>
        </w:tabs>
        <w:spacing w:line="360" w:lineRule="auto"/>
        <w:ind w:left="0"/>
        <w:jc w:val="both"/>
        <w:rPr>
          <w:rFonts w:ascii="Palatino Linotype" w:hAnsi="Palatino Linotype"/>
        </w:rPr>
      </w:pPr>
    </w:p>
    <w:p w14:paraId="7514E10C" w14:textId="6F9A596A" w:rsidR="00AD225D" w:rsidRPr="00453AFE" w:rsidRDefault="00D130AF"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La Comisionada</w:t>
      </w:r>
      <w:r w:rsidR="009B36C8">
        <w:rPr>
          <w:rFonts w:ascii="Palatino Linotype" w:hAnsi="Palatino Linotype"/>
        </w:rPr>
        <w:t xml:space="preserve"> Ponente decretó</w:t>
      </w:r>
      <w:r w:rsidR="00AD225D">
        <w:rPr>
          <w:rFonts w:ascii="Palatino Linotype" w:hAnsi="Palatino Linotype"/>
        </w:rPr>
        <w:t xml:space="preserve"> el cierre de instrucción mediante acuerdo del </w:t>
      </w:r>
      <w:r w:rsidR="00453AFE">
        <w:rPr>
          <w:rFonts w:ascii="Palatino Linotype" w:hAnsi="Palatino Linotype"/>
          <w:b/>
        </w:rPr>
        <w:t>diez</w:t>
      </w:r>
      <w:r w:rsidR="00825DCF">
        <w:rPr>
          <w:rFonts w:ascii="Palatino Linotype" w:hAnsi="Palatino Linotype"/>
          <w:b/>
        </w:rPr>
        <w:t xml:space="preserve"> (</w:t>
      </w:r>
      <w:r w:rsidR="00453AFE">
        <w:rPr>
          <w:rFonts w:ascii="Palatino Linotype" w:hAnsi="Palatino Linotype"/>
          <w:b/>
        </w:rPr>
        <w:t>10</w:t>
      </w:r>
      <w:r w:rsidR="00BE2314" w:rsidRPr="00AD225D">
        <w:rPr>
          <w:rFonts w:ascii="Palatino Linotype" w:hAnsi="Palatino Linotype"/>
          <w:b/>
        </w:rPr>
        <w:t xml:space="preserve">) de </w:t>
      </w:r>
      <w:r w:rsidR="00453AFE">
        <w:rPr>
          <w:rFonts w:ascii="Palatino Linotype" w:hAnsi="Palatino Linotype"/>
          <w:b/>
        </w:rPr>
        <w:t>noviembre</w:t>
      </w:r>
      <w:r w:rsidR="00BE2314" w:rsidRPr="00AD225D">
        <w:rPr>
          <w:rFonts w:ascii="Palatino Linotype" w:hAnsi="Palatino Linotype"/>
        </w:rPr>
        <w:t xml:space="preserve"> de</w:t>
      </w:r>
      <w:r w:rsidR="00825DCF">
        <w:rPr>
          <w:rFonts w:ascii="Palatino Linotype" w:hAnsi="Palatino Linotype"/>
        </w:rPr>
        <w:t xml:space="preserve"> dos mil veintiuno</w:t>
      </w:r>
      <w:r w:rsidR="00AD225D">
        <w:rPr>
          <w:rFonts w:ascii="Palatino Linotype" w:hAnsi="Palatino Linotype"/>
        </w:rPr>
        <w:t>;</w:t>
      </w:r>
      <w:r w:rsidR="00825DCF">
        <w:rPr>
          <w:rFonts w:ascii="Palatino Linotype" w:hAnsi="Palatino Linotype"/>
        </w:rPr>
        <w:t xml:space="preserve"> </w:t>
      </w:r>
      <w:r w:rsidR="00453AFE">
        <w:rPr>
          <w:rFonts w:ascii="Palatino Linotype" w:hAnsi="Palatino Linotype"/>
        </w:rPr>
        <w:t xml:space="preserve">y </w:t>
      </w:r>
      <w:r w:rsidR="00AD225D">
        <w:rPr>
          <w:rFonts w:ascii="Palatino Linotype" w:hAnsi="Palatino Linotype"/>
        </w:rPr>
        <w:t xml:space="preserve">mediante acuerdo </w:t>
      </w:r>
      <w:r w:rsidR="00093239">
        <w:rPr>
          <w:rFonts w:ascii="Palatino Linotype" w:hAnsi="Palatino Linotype"/>
        </w:rPr>
        <w:t>de</w:t>
      </w:r>
      <w:r w:rsidR="00453AFE">
        <w:rPr>
          <w:rFonts w:ascii="Palatino Linotype" w:hAnsi="Palatino Linotype"/>
        </w:rPr>
        <w:t xml:space="preserve"> misma fecha</w:t>
      </w:r>
      <w:r w:rsidR="00AD225D">
        <w:rPr>
          <w:rFonts w:ascii="Palatino Linotype" w:hAnsi="Palatino Linotype"/>
        </w:rPr>
        <w:t xml:space="preserve"> se </w:t>
      </w:r>
      <w:r w:rsidR="009B36C8">
        <w:rPr>
          <w:rFonts w:ascii="Palatino Linotype" w:hAnsi="Palatino Linotype"/>
        </w:rPr>
        <w:t>acordó la ampliación del terminó</w:t>
      </w:r>
      <w:r w:rsidR="00AD225D">
        <w:rPr>
          <w:rFonts w:ascii="Palatino Linotype" w:hAnsi="Palatino Linotype"/>
        </w:rPr>
        <w:t xml:space="preserve"> para resolver</w:t>
      </w:r>
      <w:r w:rsidR="00093239">
        <w:rPr>
          <w:rFonts w:ascii="Palatino Linotype" w:hAnsi="Palatino Linotype"/>
        </w:rPr>
        <w:t>.</w:t>
      </w:r>
    </w:p>
    <w:p w14:paraId="15E0955B" w14:textId="77777777" w:rsidR="00825DCF" w:rsidRPr="00AD225D" w:rsidRDefault="00825DCF" w:rsidP="00AD225D">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5D4F86" w:rsidRDefault="00946C27" w:rsidP="005D4F86">
      <w:pPr>
        <w:pStyle w:val="Ttulo2"/>
        <w:jc w:val="center"/>
        <w:rPr>
          <w:rFonts w:ascii="Palatino Linotype" w:hAnsi="Palatino Linotype"/>
          <w:b/>
          <w:color w:val="000000" w:themeColor="text1"/>
          <w:sz w:val="24"/>
          <w:szCs w:val="24"/>
        </w:rPr>
      </w:pPr>
      <w:bookmarkStart w:id="35" w:name="_Toc85734225"/>
      <w:r w:rsidRPr="005D4F86">
        <w:rPr>
          <w:rFonts w:ascii="Palatino Linotype" w:hAnsi="Palatino Linotype"/>
          <w:b/>
          <w:color w:val="000000" w:themeColor="text1"/>
          <w:sz w:val="24"/>
          <w:szCs w:val="24"/>
        </w:rPr>
        <w:t>CONSIDERANDO</w:t>
      </w:r>
      <w:bookmarkEnd w:id="35"/>
    </w:p>
    <w:p w14:paraId="6A5FAF93" w14:textId="77777777" w:rsidR="00946C27" w:rsidRPr="00946C27" w:rsidRDefault="00946C27" w:rsidP="00946C27">
      <w:pPr>
        <w:rPr>
          <w:lang w:eastAsia="en-US"/>
        </w:rPr>
      </w:pPr>
    </w:p>
    <w:p w14:paraId="2CEF2C06" w14:textId="638F0BCB"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36" w:name="_Toc491791303"/>
      <w:bookmarkStart w:id="37" w:name="_Toc535334651"/>
      <w:bookmarkStart w:id="38" w:name="_Toc2248732"/>
      <w:bookmarkStart w:id="39" w:name="_Toc85734226"/>
      <w:r w:rsidRPr="00C1682A">
        <w:rPr>
          <w:rFonts w:ascii="Palatino Linotype" w:hAnsi="Palatino Linotype"/>
          <w:b/>
          <w:color w:val="auto"/>
          <w:sz w:val="24"/>
          <w:szCs w:val="24"/>
        </w:rPr>
        <w:t>PRIMERO. De la competencia</w:t>
      </w:r>
      <w:bookmarkEnd w:id="36"/>
      <w:bookmarkEnd w:id="37"/>
      <w:bookmarkEnd w:id="38"/>
      <w:bookmarkEnd w:id="39"/>
    </w:p>
    <w:p w14:paraId="01C467A8" w14:textId="77777777" w:rsidR="001C5B87" w:rsidRPr="001C5B87" w:rsidRDefault="001C5B87" w:rsidP="001C5B87">
      <w:pPr>
        <w:rPr>
          <w:lang w:eastAsia="en-US"/>
        </w:rPr>
      </w:pPr>
    </w:p>
    <w:p w14:paraId="443805A2" w14:textId="0EB57D27" w:rsidR="001C5B87" w:rsidRDefault="001C5B87"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0" w:name="_Toc511234456"/>
      <w:bookmarkStart w:id="41" w:name="_Toc466371865"/>
      <w:bookmarkStart w:id="42" w:name="_Toc466377653"/>
      <w:r>
        <w:rPr>
          <w:rFonts w:ascii="Palatino Linotype" w:eastAsia="Calibri" w:hAnsi="Palatino Linotype" w:cs="Arial"/>
          <w:color w:val="000000" w:themeColor="text1"/>
        </w:rPr>
        <w:t xml:space="preserve">Este Instituto de Transparencia, </w:t>
      </w:r>
      <w:r w:rsidRPr="00C1724C">
        <w:rPr>
          <w:rFonts w:ascii="Palatino Linotype" w:eastAsia="Calibri" w:hAnsi="Palatino Linotype"/>
          <w:bCs/>
          <w:color w:val="000000" w:themeColor="text1"/>
        </w:rPr>
        <w:t xml:space="preserve">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w:t>
      </w:r>
      <w:r w:rsidRPr="00C1724C">
        <w:rPr>
          <w:rFonts w:ascii="Palatino Linotype" w:eastAsia="Calibri" w:hAnsi="Palatino Linotype"/>
          <w:bCs/>
          <w:color w:val="000000" w:themeColor="text1"/>
        </w:rPr>
        <w:lastRenderedPageBreak/>
        <w:t>México y Municipios; 7°, 9°, fracciones I y XXIV y 11 del Reglamento Interior del Instituto de Transparencia, Acceso a la Información Pública y Protección de Datos Personales del Estado de México y Municipios</w:t>
      </w:r>
    </w:p>
    <w:p w14:paraId="1148279A" w14:textId="77777777" w:rsidR="001C5B87" w:rsidRDefault="001C5B87" w:rsidP="001C5B8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4155DAE" w14:textId="1823ECE1" w:rsidR="001C5B87" w:rsidRDefault="001C5B87" w:rsidP="001C5B87">
      <w:pPr>
        <w:pStyle w:val="Prrafodelista"/>
        <w:tabs>
          <w:tab w:val="left" w:pos="426"/>
          <w:tab w:val="left" w:pos="567"/>
        </w:tabs>
        <w:spacing w:line="360" w:lineRule="auto"/>
        <w:ind w:left="0"/>
        <w:jc w:val="both"/>
        <w:rPr>
          <w:rFonts w:ascii="Palatino Linotype" w:hAnsi="Palatino Linotype"/>
          <w:b/>
        </w:rPr>
      </w:pPr>
      <w:r w:rsidRPr="00C1682A">
        <w:rPr>
          <w:rFonts w:ascii="Palatino Linotype" w:hAnsi="Palatino Linotype"/>
          <w:b/>
        </w:rPr>
        <w:t>SEGUNDO. De la oportunidad y procedencia</w:t>
      </w:r>
    </w:p>
    <w:p w14:paraId="3543347A" w14:textId="77777777" w:rsidR="001C5B87" w:rsidRDefault="001C5B87" w:rsidP="001C5B8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C7FA5E" w14:textId="441DBF13" w:rsidR="00E95684" w:rsidRPr="009C0164" w:rsidRDefault="00E9568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rPr>
        <w:t xml:space="preserve">El medio de impugnación fue presentado a través </w:t>
      </w:r>
      <w:r w:rsidR="00093239">
        <w:rPr>
          <w:rFonts w:ascii="Palatino Linotype" w:eastAsia="Calibri" w:hAnsi="Palatino Linotype" w:cs="Arial"/>
          <w:color w:val="000000" w:themeColor="text1"/>
        </w:rPr>
        <w:t>d</w:t>
      </w:r>
      <w:r w:rsidR="001656D5" w:rsidRPr="001656D5">
        <w:rPr>
          <w:rFonts w:ascii="Palatino Linotype" w:eastAsia="Calibri" w:hAnsi="Palatino Linotype" w:cs="Arial"/>
          <w:color w:val="000000" w:themeColor="text1"/>
        </w:rPr>
        <w:t xml:space="preserve">el Sistema de Acceso a la Información Mexiquense </w:t>
      </w:r>
      <w:r w:rsidRPr="001656D5">
        <w:rPr>
          <w:rFonts w:ascii="Palatino Linotype" w:eastAsia="Calibri" w:hAnsi="Palatino Linotype" w:cs="Arial"/>
          <w:color w:val="000000" w:themeColor="text1"/>
        </w:rPr>
        <w:t>(SAIMEX)</w:t>
      </w:r>
      <w:r w:rsidRPr="001656D5">
        <w:rPr>
          <w:rFonts w:ascii="Palatino Linotype" w:eastAsia="Calibri" w:hAnsi="Palatino Linotype" w:cs="Arial"/>
          <w:b/>
          <w:color w:val="000000" w:themeColor="text1"/>
        </w:rPr>
        <w:t>,</w:t>
      </w:r>
      <w:r w:rsidRPr="00946C27">
        <w:rPr>
          <w:rFonts w:ascii="Palatino Linotype" w:eastAsia="Calibri" w:hAnsi="Palatino Linotype" w:cs="Arial"/>
          <w:color w:val="000000" w:themeColor="text1"/>
        </w:rPr>
        <w:t xml:space="preserve"> en el formato previamente aprobado y dentro del plazo legal de quince días hábiles otorgados para tal efecto; para el caso en particular es de señalar que el </w:t>
      </w:r>
      <w:r w:rsidRPr="00946C27">
        <w:rPr>
          <w:rFonts w:ascii="Palatino Linotype" w:eastAsia="Calibri" w:hAnsi="Palatino Linotype" w:cs="Arial"/>
          <w:b/>
          <w:color w:val="000000" w:themeColor="text1"/>
        </w:rPr>
        <w:t>SUJETO OBLIGADO</w:t>
      </w:r>
      <w:r w:rsidR="00825DCF">
        <w:rPr>
          <w:rFonts w:ascii="Palatino Linotype" w:eastAsia="Calibri" w:hAnsi="Palatino Linotype" w:cs="Arial"/>
          <w:color w:val="000000" w:themeColor="text1"/>
        </w:rPr>
        <w:t xml:space="preserve"> entregó respuesta el </w:t>
      </w:r>
      <w:r w:rsidR="00453AFE">
        <w:rPr>
          <w:rFonts w:ascii="Palatino Linotype" w:eastAsia="Calibri" w:hAnsi="Palatino Linotype" w:cs="Arial"/>
          <w:b/>
          <w:color w:val="000000" w:themeColor="text1"/>
        </w:rPr>
        <w:t>dieciocho</w:t>
      </w:r>
      <w:r w:rsidR="008D3E52" w:rsidRPr="009C0164">
        <w:rPr>
          <w:rFonts w:ascii="Palatino Linotype" w:eastAsia="Calibri" w:hAnsi="Palatino Linotype" w:cs="Arial"/>
          <w:b/>
          <w:color w:val="000000" w:themeColor="text1"/>
        </w:rPr>
        <w:t xml:space="preserve"> </w:t>
      </w:r>
      <w:r w:rsidRPr="008D3E52">
        <w:rPr>
          <w:rFonts w:ascii="Palatino Linotype" w:hAnsi="Palatino Linotype" w:cs="Arial"/>
          <w:b/>
          <w:color w:val="000000" w:themeColor="text1"/>
          <w:lang w:val="es-ES"/>
        </w:rPr>
        <w:t>(</w:t>
      </w:r>
      <w:r w:rsidR="00453AFE">
        <w:rPr>
          <w:rFonts w:ascii="Palatino Linotype" w:hAnsi="Palatino Linotype" w:cs="Arial"/>
          <w:b/>
          <w:color w:val="000000" w:themeColor="text1"/>
          <w:lang w:val="es-ES"/>
        </w:rPr>
        <w:t>18</w:t>
      </w:r>
      <w:r w:rsidRPr="008D3E52">
        <w:rPr>
          <w:rFonts w:ascii="Palatino Linotype" w:hAnsi="Palatino Linotype" w:cs="Arial"/>
          <w:b/>
          <w:color w:val="000000" w:themeColor="text1"/>
          <w:lang w:val="es-ES"/>
        </w:rPr>
        <w:t xml:space="preserve">) de </w:t>
      </w:r>
      <w:r w:rsidR="00453AFE">
        <w:rPr>
          <w:rFonts w:ascii="Palatino Linotype" w:hAnsi="Palatino Linotype" w:cs="Arial"/>
          <w:b/>
          <w:color w:val="000000" w:themeColor="text1"/>
          <w:lang w:val="es-ES"/>
        </w:rPr>
        <w:t>agosto</w:t>
      </w:r>
      <w:r w:rsidR="00D01254">
        <w:rPr>
          <w:rFonts w:ascii="Palatino Linotype" w:hAnsi="Palatino Linotype" w:cs="Arial"/>
          <w:b/>
          <w:color w:val="000000" w:themeColor="text1"/>
          <w:lang w:val="es-ES"/>
        </w:rPr>
        <w:t xml:space="preserve"> </w:t>
      </w:r>
      <w:r w:rsidRPr="00946C27">
        <w:rPr>
          <w:rFonts w:ascii="Palatino Linotype" w:hAnsi="Palatino Linotype" w:cs="Arial"/>
          <w:color w:val="000000" w:themeColor="text1"/>
          <w:lang w:val="es-ES"/>
        </w:rPr>
        <w:t xml:space="preserve">de dos mil </w:t>
      </w:r>
      <w:r w:rsidR="00825DCF">
        <w:rPr>
          <w:rFonts w:ascii="Palatino Linotype" w:hAnsi="Palatino Linotype" w:cs="Arial"/>
          <w:color w:val="000000" w:themeColor="text1"/>
          <w:lang w:val="es-ES"/>
        </w:rPr>
        <w:t>veintiuno</w:t>
      </w:r>
      <w:r w:rsidRPr="00946C27">
        <w:rPr>
          <w:rFonts w:ascii="Palatino Linotype" w:eastAsia="Calibri" w:hAnsi="Palatino Linotype" w:cs="Arial"/>
          <w:color w:val="000000" w:themeColor="text1"/>
        </w:rPr>
        <w:t xml:space="preserve">, </w:t>
      </w:r>
      <w:r w:rsidRPr="00946C27">
        <w:rPr>
          <w:rFonts w:ascii="Palatino Linotype" w:hAnsi="Palatino Linotype" w:cs="Arial"/>
          <w:color w:val="000000" w:themeColor="text1"/>
        </w:rPr>
        <w:t xml:space="preserve">de tal forma que el plazo para interponer el recurso </w:t>
      </w:r>
      <w:r w:rsidR="005C7D9E" w:rsidRPr="00946C27">
        <w:rPr>
          <w:rFonts w:ascii="Palatino Linotype" w:hAnsi="Palatino Linotype" w:cs="Arial"/>
          <w:color w:val="000000" w:themeColor="text1"/>
        </w:rPr>
        <w:t>de revi</w:t>
      </w:r>
      <w:r w:rsidR="008D3E52">
        <w:rPr>
          <w:rFonts w:ascii="Palatino Linotype" w:hAnsi="Palatino Linotype" w:cs="Arial"/>
          <w:color w:val="000000" w:themeColor="text1"/>
        </w:rPr>
        <w:t xml:space="preserve">sión transcurrió del </w:t>
      </w:r>
      <w:r w:rsidR="00E10124">
        <w:rPr>
          <w:rFonts w:ascii="Palatino Linotype" w:hAnsi="Palatino Linotype" w:cs="Arial"/>
          <w:b/>
          <w:color w:val="000000" w:themeColor="text1"/>
        </w:rPr>
        <w:t>diecinueve</w:t>
      </w:r>
      <w:r w:rsidRPr="008D3E52">
        <w:rPr>
          <w:rFonts w:ascii="Palatino Linotype" w:hAnsi="Palatino Linotype" w:cs="Arial"/>
          <w:b/>
          <w:color w:val="000000" w:themeColor="text1"/>
          <w:lang w:val="es-ES"/>
        </w:rPr>
        <w:t xml:space="preserve"> (</w:t>
      </w:r>
      <w:r w:rsidR="00E10124">
        <w:rPr>
          <w:rFonts w:ascii="Palatino Linotype" w:hAnsi="Palatino Linotype" w:cs="Arial"/>
          <w:b/>
          <w:color w:val="000000" w:themeColor="text1"/>
          <w:lang w:val="es-ES"/>
        </w:rPr>
        <w:t>19</w:t>
      </w:r>
      <w:r w:rsidRPr="008D3E52">
        <w:rPr>
          <w:rFonts w:ascii="Palatino Linotype" w:hAnsi="Palatino Linotype" w:cs="Arial"/>
          <w:b/>
          <w:color w:val="000000" w:themeColor="text1"/>
          <w:lang w:val="es-ES"/>
        </w:rPr>
        <w:t xml:space="preserve">) de </w:t>
      </w:r>
      <w:r w:rsidR="00E10124">
        <w:rPr>
          <w:rFonts w:ascii="Palatino Linotype" w:hAnsi="Palatino Linotype" w:cs="Arial"/>
          <w:b/>
          <w:color w:val="000000" w:themeColor="text1"/>
          <w:lang w:val="es-ES"/>
        </w:rPr>
        <w:t>agosto</w:t>
      </w:r>
      <w:r w:rsidRPr="00946C27">
        <w:rPr>
          <w:rFonts w:ascii="Palatino Linotype" w:hAnsi="Palatino Linotype" w:cs="Arial"/>
          <w:color w:val="000000" w:themeColor="text1"/>
          <w:lang w:val="es-ES"/>
        </w:rPr>
        <w:t xml:space="preserve"> de dos mil </w:t>
      </w:r>
      <w:r w:rsidR="00825DCF">
        <w:rPr>
          <w:rFonts w:ascii="Palatino Linotype" w:hAnsi="Palatino Linotype" w:cs="Arial"/>
          <w:color w:val="000000" w:themeColor="text1"/>
          <w:lang w:val="es-ES"/>
        </w:rPr>
        <w:t>veintiuno</w:t>
      </w:r>
      <w:r w:rsidRPr="00946C27">
        <w:rPr>
          <w:rFonts w:ascii="Palatino Linotype" w:hAnsi="Palatino Linotype" w:cs="Arial"/>
          <w:color w:val="000000" w:themeColor="text1"/>
        </w:rPr>
        <w:t xml:space="preserve"> al</w:t>
      </w:r>
      <w:r w:rsidR="00552490">
        <w:rPr>
          <w:rFonts w:ascii="Palatino Linotype" w:hAnsi="Palatino Linotype" w:cs="Arial"/>
          <w:color w:val="000000" w:themeColor="text1"/>
        </w:rPr>
        <w:t xml:space="preserve"> </w:t>
      </w:r>
      <w:r w:rsidR="00E10124">
        <w:rPr>
          <w:rFonts w:ascii="Palatino Linotype" w:hAnsi="Palatino Linotype" w:cs="Arial"/>
          <w:b/>
          <w:color w:val="000000" w:themeColor="text1"/>
        </w:rPr>
        <w:t xml:space="preserve">ocho </w:t>
      </w:r>
      <w:r w:rsidRPr="008D3E52">
        <w:rPr>
          <w:rFonts w:ascii="Palatino Linotype" w:hAnsi="Palatino Linotype" w:cs="Arial"/>
          <w:b/>
          <w:color w:val="000000" w:themeColor="text1"/>
        </w:rPr>
        <w:t>(</w:t>
      </w:r>
      <w:r w:rsidR="00E10124">
        <w:rPr>
          <w:rFonts w:ascii="Palatino Linotype" w:hAnsi="Palatino Linotype" w:cs="Arial"/>
          <w:b/>
          <w:color w:val="000000" w:themeColor="text1"/>
        </w:rPr>
        <w:t>08</w:t>
      </w:r>
      <w:r w:rsidRPr="008D3E52">
        <w:rPr>
          <w:rFonts w:ascii="Palatino Linotype" w:hAnsi="Palatino Linotype" w:cs="Arial"/>
          <w:b/>
          <w:color w:val="000000" w:themeColor="text1"/>
        </w:rPr>
        <w:t xml:space="preserve">) de </w:t>
      </w:r>
      <w:r w:rsidR="00E10124">
        <w:rPr>
          <w:rFonts w:ascii="Palatino Linotype" w:hAnsi="Palatino Linotype" w:cs="Arial"/>
          <w:b/>
          <w:color w:val="000000" w:themeColor="text1"/>
        </w:rPr>
        <w:t>septiembre</w:t>
      </w:r>
      <w:r w:rsidR="00D01254">
        <w:rPr>
          <w:rFonts w:ascii="Palatino Linotype" w:hAnsi="Palatino Linotype" w:cs="Arial"/>
          <w:b/>
          <w:color w:val="000000" w:themeColor="text1"/>
        </w:rPr>
        <w:t xml:space="preserve"> </w:t>
      </w:r>
      <w:r w:rsidRPr="00946C27">
        <w:rPr>
          <w:rFonts w:ascii="Palatino Linotype" w:hAnsi="Palatino Linotype" w:cs="Arial"/>
          <w:color w:val="000000" w:themeColor="text1"/>
        </w:rPr>
        <w:t xml:space="preserve">de dos mil </w:t>
      </w:r>
      <w:r w:rsidR="00825DCF">
        <w:rPr>
          <w:rFonts w:ascii="Palatino Linotype" w:hAnsi="Palatino Linotype" w:cs="Arial"/>
          <w:color w:val="000000" w:themeColor="text1"/>
        </w:rPr>
        <w:t>veintiuno</w:t>
      </w:r>
      <w:r w:rsidRPr="00946C27">
        <w:rPr>
          <w:rFonts w:ascii="Palatino Linotype" w:hAnsi="Palatino Linotype" w:cs="Arial"/>
          <w:color w:val="000000" w:themeColor="text1"/>
        </w:rPr>
        <w:t>;</w:t>
      </w:r>
      <w:r w:rsidRPr="00946C27">
        <w:rPr>
          <w:rFonts w:ascii="Palatino Linotype" w:eastAsia="Calibri" w:hAnsi="Palatino Linotype" w:cs="Arial"/>
          <w:color w:val="000000" w:themeColor="text1"/>
        </w:rPr>
        <w:t xml:space="preserve"> </w:t>
      </w:r>
      <w:r w:rsidR="00552490">
        <w:rPr>
          <w:rFonts w:ascii="Palatino Linotype" w:hAnsi="Palatino Linotype" w:cs="Arial"/>
          <w:color w:val="000000" w:themeColor="text1"/>
        </w:rPr>
        <w:t>por lo que sí</w:t>
      </w:r>
      <w:r w:rsidR="00FC453A">
        <w:rPr>
          <w:rFonts w:ascii="Palatino Linotype" w:hAnsi="Palatino Linotype" w:cs="Arial"/>
          <w:color w:val="000000" w:themeColor="text1"/>
        </w:rPr>
        <w:t xml:space="preserve"> </w:t>
      </w:r>
      <w:r w:rsidRPr="00946C27">
        <w:rPr>
          <w:rFonts w:ascii="Palatino Linotype" w:hAnsi="Palatino Linotype" w:cs="Arial"/>
          <w:color w:val="000000" w:themeColor="text1"/>
        </w:rPr>
        <w:t xml:space="preserve">presentó su inconformidad el </w:t>
      </w:r>
      <w:r w:rsidR="00E10124">
        <w:rPr>
          <w:rFonts w:ascii="Palatino Linotype" w:hAnsi="Palatino Linotype" w:cs="Arial"/>
          <w:b/>
          <w:color w:val="000000" w:themeColor="text1"/>
        </w:rPr>
        <w:t>tres</w:t>
      </w:r>
      <w:r w:rsidR="009C0164">
        <w:rPr>
          <w:rFonts w:ascii="Palatino Linotype" w:hAnsi="Palatino Linotype" w:cs="Arial"/>
          <w:b/>
          <w:color w:val="000000" w:themeColor="text1"/>
          <w:lang w:val="es-ES"/>
        </w:rPr>
        <w:t xml:space="preserve"> (</w:t>
      </w:r>
      <w:r w:rsidR="00E10124">
        <w:rPr>
          <w:rFonts w:ascii="Palatino Linotype" w:hAnsi="Palatino Linotype" w:cs="Arial"/>
          <w:b/>
          <w:color w:val="000000" w:themeColor="text1"/>
          <w:lang w:val="es-ES"/>
        </w:rPr>
        <w:t>03</w:t>
      </w:r>
      <w:r w:rsidRPr="009C0164">
        <w:rPr>
          <w:rFonts w:ascii="Palatino Linotype" w:hAnsi="Palatino Linotype" w:cs="Arial"/>
          <w:b/>
          <w:color w:val="000000" w:themeColor="text1"/>
          <w:lang w:val="es-ES"/>
        </w:rPr>
        <w:t xml:space="preserve">) de </w:t>
      </w:r>
      <w:r w:rsidR="00E10124">
        <w:rPr>
          <w:rFonts w:ascii="Palatino Linotype" w:hAnsi="Palatino Linotype" w:cs="Arial"/>
          <w:b/>
          <w:color w:val="000000" w:themeColor="text1"/>
          <w:lang w:val="es-ES"/>
        </w:rPr>
        <w:t>septiembre</w:t>
      </w:r>
      <w:r w:rsidRPr="009C0164">
        <w:rPr>
          <w:rFonts w:ascii="Palatino Linotype" w:hAnsi="Palatino Linotype" w:cs="Arial"/>
          <w:color w:val="000000" w:themeColor="text1"/>
          <w:lang w:val="es-ES"/>
        </w:rPr>
        <w:t xml:space="preserve"> </w:t>
      </w:r>
      <w:r w:rsidRPr="009C0164">
        <w:rPr>
          <w:rFonts w:ascii="Palatino Linotype" w:hAnsi="Palatino Linotype"/>
          <w:color w:val="000000" w:themeColor="text1"/>
        </w:rPr>
        <w:t xml:space="preserve">de </w:t>
      </w:r>
      <w:r w:rsidRPr="009C0164">
        <w:rPr>
          <w:rFonts w:ascii="Palatino Linotype" w:hAnsi="Palatino Linotype" w:cs="Arial"/>
          <w:color w:val="000000" w:themeColor="text1"/>
        </w:rPr>
        <w:t xml:space="preserve">dos mil </w:t>
      </w:r>
      <w:r w:rsidR="00825DCF" w:rsidRPr="009C0164">
        <w:rPr>
          <w:rFonts w:ascii="Palatino Linotype" w:hAnsi="Palatino Linotype" w:cs="Arial"/>
          <w:color w:val="000000" w:themeColor="text1"/>
        </w:rPr>
        <w:t>veintiuno</w:t>
      </w:r>
      <w:r w:rsidRPr="009C0164">
        <w:rPr>
          <w:rFonts w:ascii="Palatino Linotype" w:hAnsi="Palatino Linotype" w:cs="Arial"/>
        </w:rPr>
        <w:t xml:space="preserve">, </w:t>
      </w:r>
      <w:r w:rsidRPr="009C0164">
        <w:rPr>
          <w:rFonts w:ascii="Palatino Linotype" w:hAnsi="Palatino Linotype" w:cs="Arial"/>
          <w:color w:val="000000" w:themeColor="text1"/>
        </w:rPr>
        <w:t xml:space="preserve">éste se encuentra dentro de los márgenes temporales previstos en el artículo 178 de la </w:t>
      </w:r>
      <w:r w:rsidRPr="009C0164">
        <w:rPr>
          <w:rFonts w:ascii="Palatino Linotype" w:hAnsi="Palatino Linotype" w:cs="Arial"/>
          <w:b/>
          <w:color w:val="000000" w:themeColor="text1"/>
        </w:rPr>
        <w:t>Ley de Transparencia y Acceso a la Información Pública del Estado de México y Municipios.</w:t>
      </w:r>
    </w:p>
    <w:p w14:paraId="7922599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D054FF" w14:textId="1D60F360" w:rsidR="00825DCF" w:rsidRPr="00E10124" w:rsidRDefault="00163084" w:rsidP="00946C27">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hAnsi="Palatino Linotype"/>
        </w:rPr>
        <w:t>Por</w:t>
      </w:r>
      <w:r w:rsidRPr="00946C27">
        <w:rPr>
          <w:rFonts w:ascii="Palatino Linotype" w:eastAsia="Calibri" w:hAnsi="Palatino Linotype" w:cs="Arial"/>
        </w:rPr>
        <w:t xml:space="preserve"> otro lado, los</w:t>
      </w:r>
      <w:r w:rsidR="0032581C" w:rsidRPr="00946C27">
        <w:rPr>
          <w:rFonts w:ascii="Palatino Linotype" w:eastAsia="Calibri" w:hAnsi="Palatino Linotype" w:cs="Arial"/>
        </w:rPr>
        <w:t xml:space="preserve"> escrito</w:t>
      </w:r>
      <w:r w:rsidRPr="00946C27">
        <w:rPr>
          <w:rFonts w:ascii="Palatino Linotype" w:eastAsia="Calibri" w:hAnsi="Palatino Linotype" w:cs="Arial"/>
        </w:rPr>
        <w:t>s</w:t>
      </w:r>
      <w:r w:rsidR="0032581C" w:rsidRPr="00946C27">
        <w:rPr>
          <w:rFonts w:ascii="Palatino Linotype" w:eastAsia="Calibri" w:hAnsi="Palatino Linotype" w:cs="Arial"/>
        </w:rPr>
        <w:t xml:space="preserve"> contiene</w:t>
      </w:r>
      <w:r w:rsidRPr="00946C27">
        <w:rPr>
          <w:rFonts w:ascii="Palatino Linotype" w:eastAsia="Calibri" w:hAnsi="Palatino Linotype" w:cs="Arial"/>
        </w:rPr>
        <w:t>n</w:t>
      </w:r>
      <w:r w:rsidR="0032581C" w:rsidRPr="00946C2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w:t>
      </w:r>
      <w:r w:rsidR="0032581C" w:rsidRPr="00946C27">
        <w:rPr>
          <w:rFonts w:ascii="Palatino Linotype" w:eastAsia="Calibri" w:hAnsi="Palatino Linotype" w:cs="Arial"/>
        </w:rPr>
        <w:lastRenderedPageBreak/>
        <w:t>Personales del Estado de México y Municipios, conozca y resuelva el presente recurso.</w:t>
      </w:r>
    </w:p>
    <w:p w14:paraId="2148FAB7" w14:textId="07C6F7BB" w:rsidR="00946C27" w:rsidRDefault="00946C27" w:rsidP="00946C27">
      <w:pPr>
        <w:pStyle w:val="Ttulo2"/>
        <w:tabs>
          <w:tab w:val="left" w:pos="0"/>
        </w:tabs>
        <w:spacing w:before="0" w:line="360" w:lineRule="auto"/>
        <w:rPr>
          <w:rFonts w:ascii="Palatino Linotype" w:hAnsi="Palatino Linotype"/>
          <w:b/>
          <w:color w:val="auto"/>
          <w:sz w:val="24"/>
          <w:szCs w:val="24"/>
        </w:rPr>
      </w:pPr>
      <w:bookmarkStart w:id="43" w:name="_Toc535334653"/>
      <w:bookmarkStart w:id="44" w:name="_Toc2248734"/>
      <w:bookmarkStart w:id="45" w:name="_Toc85734228"/>
      <w:r w:rsidRPr="00C1682A">
        <w:rPr>
          <w:rFonts w:ascii="Palatino Linotype" w:hAnsi="Palatino Linotype"/>
          <w:b/>
          <w:color w:val="auto"/>
          <w:sz w:val="24"/>
          <w:szCs w:val="24"/>
        </w:rPr>
        <w:t>TERCERO. Planteamiento de la Litis</w:t>
      </w:r>
      <w:bookmarkEnd w:id="43"/>
      <w:bookmarkEnd w:id="44"/>
      <w:bookmarkEnd w:id="45"/>
    </w:p>
    <w:p w14:paraId="349FF1DF" w14:textId="77777777" w:rsidR="00946C27" w:rsidRPr="00946C27" w:rsidRDefault="00946C27" w:rsidP="00946C27">
      <w:pPr>
        <w:rPr>
          <w:lang w:eastAsia="en-US"/>
        </w:rPr>
      </w:pPr>
    </w:p>
    <w:p w14:paraId="349DA7CF" w14:textId="1C65B1EF" w:rsidR="00543E1A" w:rsidRPr="009C0164" w:rsidRDefault="00FA008B"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46" w:name="_Toc529263621"/>
      <w:bookmarkStart w:id="47" w:name="_Toc530650937"/>
      <w:bookmarkStart w:id="48" w:name="_Toc535334654"/>
      <w:bookmarkStart w:id="49" w:name="_Toc2248735"/>
      <w:r w:rsidRPr="009C0164">
        <w:rPr>
          <w:rFonts w:ascii="Palatino Linotype" w:eastAsia="Calibri" w:hAnsi="Palatino Linotype" w:cs="Arial"/>
          <w:color w:val="000000" w:themeColor="text1"/>
          <w:lang w:val="es-ES"/>
        </w:rPr>
        <w:t>El particular solicitó a</w:t>
      </w:r>
      <w:r w:rsidR="009C0164" w:rsidRPr="009C0164">
        <w:rPr>
          <w:rFonts w:ascii="Palatino Linotype" w:eastAsia="Calibri" w:hAnsi="Palatino Linotype" w:cs="Arial"/>
          <w:color w:val="000000" w:themeColor="text1"/>
          <w:lang w:val="es-ES"/>
        </w:rPr>
        <w:t xml:space="preserve"> </w:t>
      </w:r>
      <w:r w:rsidRPr="009C0164">
        <w:rPr>
          <w:rFonts w:ascii="Palatino Linotype" w:eastAsia="Calibri" w:hAnsi="Palatino Linotype" w:cs="Arial"/>
          <w:color w:val="000000" w:themeColor="text1"/>
          <w:lang w:val="es-ES"/>
        </w:rPr>
        <w:t>l</w:t>
      </w:r>
      <w:r w:rsidR="009C0164" w:rsidRPr="009C0164">
        <w:rPr>
          <w:rFonts w:ascii="Palatino Linotype" w:eastAsia="Calibri" w:hAnsi="Palatino Linotype" w:cs="Arial"/>
          <w:color w:val="000000" w:themeColor="text1"/>
          <w:lang w:val="es-ES"/>
        </w:rPr>
        <w:t>a</w:t>
      </w:r>
      <w:r w:rsidRPr="009C0164">
        <w:rPr>
          <w:rFonts w:ascii="Palatino Linotype" w:eastAsia="Calibri" w:hAnsi="Palatino Linotype" w:cs="Arial"/>
          <w:color w:val="000000" w:themeColor="text1"/>
          <w:lang w:val="es-ES"/>
        </w:rPr>
        <w:t xml:space="preserve"> </w:t>
      </w:r>
      <w:r w:rsidR="009C0164" w:rsidRPr="009C0164">
        <w:rPr>
          <w:rFonts w:ascii="Palatino Linotype" w:hAnsi="Palatino Linotype"/>
          <w:b/>
          <w:color w:val="000000" w:themeColor="text1"/>
        </w:rPr>
        <w:t>Fiscalía General de Justicia del Estado de México</w:t>
      </w:r>
      <w:r w:rsidRPr="009C0164">
        <w:rPr>
          <w:rFonts w:ascii="Palatino Linotype" w:eastAsia="Calibri" w:hAnsi="Palatino Linotype" w:cs="Arial"/>
          <w:color w:val="000000" w:themeColor="text1"/>
          <w:lang w:val="es-ES"/>
        </w:rPr>
        <w:t>, la siguiente informaci</w:t>
      </w:r>
      <w:r w:rsidR="00543E1A" w:rsidRPr="009C0164">
        <w:rPr>
          <w:rFonts w:ascii="Palatino Linotype" w:eastAsia="Calibri" w:hAnsi="Palatino Linotype" w:cs="Arial"/>
          <w:color w:val="000000" w:themeColor="text1"/>
          <w:lang w:val="es-ES"/>
        </w:rPr>
        <w:t>ón:</w:t>
      </w:r>
    </w:p>
    <w:p w14:paraId="70795CE0" w14:textId="77777777" w:rsidR="00543E1A" w:rsidRPr="009C0164" w:rsidRDefault="00543E1A" w:rsidP="009C0164">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szCs w:val="22"/>
          <w:lang w:val="es-ES"/>
        </w:rPr>
      </w:pPr>
    </w:p>
    <w:p w14:paraId="09131743" w14:textId="639096DB" w:rsidR="000B1536" w:rsidRPr="009C0164" w:rsidRDefault="00E10124" w:rsidP="009C0164">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szCs w:val="22"/>
          <w:lang w:val="es-ES"/>
        </w:rPr>
      </w:pPr>
      <w:r>
        <w:rPr>
          <w:rFonts w:ascii="Palatino Linotype" w:eastAsia="Calibri" w:hAnsi="Palatino Linotype" w:cs="Arial"/>
          <w:b/>
          <w:color w:val="000000" w:themeColor="text1"/>
          <w:sz w:val="22"/>
          <w:szCs w:val="22"/>
          <w:lang w:val="es-ES"/>
        </w:rPr>
        <w:t xml:space="preserve">Relación detallada de hallazgos registrados por la COBUPEM en el Gran Canal del Estado de México, durante los últimos 10 años, (por mes y año). </w:t>
      </w:r>
    </w:p>
    <w:p w14:paraId="687EF538" w14:textId="77777777" w:rsidR="009C0164" w:rsidRPr="009C0164" w:rsidRDefault="009C0164" w:rsidP="009C0164">
      <w:pPr>
        <w:pStyle w:val="Prrafodelista"/>
        <w:tabs>
          <w:tab w:val="left" w:pos="426"/>
          <w:tab w:val="left" w:pos="567"/>
        </w:tabs>
        <w:ind w:left="567" w:right="565"/>
        <w:jc w:val="both"/>
        <w:rPr>
          <w:rFonts w:ascii="Palatino Linotype" w:eastAsia="Calibri" w:hAnsi="Palatino Linotype" w:cs="Arial"/>
          <w:b/>
          <w:color w:val="000000" w:themeColor="text1"/>
          <w:sz w:val="22"/>
          <w:lang w:val="es-ES"/>
        </w:rPr>
      </w:pPr>
    </w:p>
    <w:p w14:paraId="6AC530D5" w14:textId="321A615C" w:rsidR="009C0164" w:rsidRPr="009C0164" w:rsidRDefault="004F063C"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C0164">
        <w:rPr>
          <w:rFonts w:ascii="Palatino Linotype" w:eastAsia="Calibri" w:hAnsi="Palatino Linotype" w:cs="Arial"/>
          <w:color w:val="000000" w:themeColor="text1"/>
          <w:lang w:val="es-ES"/>
        </w:rPr>
        <w:t xml:space="preserve">En </w:t>
      </w:r>
      <w:r w:rsidRPr="00D2744D">
        <w:rPr>
          <w:rFonts w:ascii="Palatino Linotype" w:eastAsia="Calibri" w:hAnsi="Palatino Linotype" w:cs="Arial"/>
          <w:color w:val="000000" w:themeColor="text1"/>
          <w:lang w:val="es-ES"/>
        </w:rPr>
        <w:t xml:space="preserve">respuesta, el </w:t>
      </w:r>
      <w:r w:rsidRPr="00D2744D">
        <w:rPr>
          <w:rFonts w:ascii="Palatino Linotype" w:eastAsia="Calibri" w:hAnsi="Palatino Linotype" w:cs="Arial"/>
          <w:b/>
          <w:color w:val="000000" w:themeColor="text1"/>
          <w:lang w:val="es-ES"/>
        </w:rPr>
        <w:t>SUJETO OBLIGADO</w:t>
      </w:r>
      <w:r w:rsidRPr="00D2744D">
        <w:rPr>
          <w:rFonts w:ascii="Palatino Linotype" w:eastAsia="Calibri" w:hAnsi="Palatino Linotype" w:cs="Arial"/>
          <w:color w:val="000000" w:themeColor="text1"/>
          <w:lang w:val="es-ES"/>
        </w:rPr>
        <w:t xml:space="preserve"> </w:t>
      </w:r>
      <w:r w:rsidR="009C0164" w:rsidRPr="00D2744D">
        <w:rPr>
          <w:rFonts w:ascii="Palatino Linotype" w:eastAsia="Calibri" w:hAnsi="Palatino Linotype" w:cs="Arial"/>
          <w:color w:val="000000" w:themeColor="text1"/>
          <w:lang w:val="es-ES"/>
        </w:rPr>
        <w:t>informó que</w:t>
      </w:r>
      <w:r w:rsidR="001A713B" w:rsidRPr="00D2744D">
        <w:rPr>
          <w:rFonts w:ascii="Palatino Linotype" w:eastAsia="Calibri" w:hAnsi="Palatino Linotype" w:cs="Arial"/>
          <w:color w:val="000000" w:themeColor="text1"/>
          <w:lang w:val="es-ES"/>
        </w:rPr>
        <w:t xml:space="preserve"> dentro de sus atribuciones no se encuentra </w:t>
      </w:r>
      <w:r w:rsidR="001A713B" w:rsidRPr="00D2744D">
        <w:rPr>
          <w:rFonts w:ascii="Palatino Linotype" w:hAnsi="Palatino Linotype" w:cs="Arial"/>
        </w:rPr>
        <w:t>la de poseer información de hallazgos registraos por la COBUPEM; por lo que se le orient</w:t>
      </w:r>
      <w:r w:rsidR="00D2744D" w:rsidRPr="00D2744D">
        <w:rPr>
          <w:rFonts w:ascii="Palatino Linotype" w:hAnsi="Palatino Linotype" w:cs="Arial"/>
        </w:rPr>
        <w:t xml:space="preserve">ó a la Particular </w:t>
      </w:r>
      <w:r w:rsidR="001A713B" w:rsidRPr="00D2744D">
        <w:rPr>
          <w:rFonts w:ascii="Palatino Linotype" w:hAnsi="Palatino Linotype" w:cs="Arial"/>
        </w:rPr>
        <w:t xml:space="preserve">para que dirija su solicitud </w:t>
      </w:r>
      <w:r w:rsidR="00D2744D">
        <w:rPr>
          <w:rFonts w:ascii="Palatino Linotype" w:hAnsi="Palatino Linotype" w:cs="Arial"/>
        </w:rPr>
        <w:t xml:space="preserve">de información </w:t>
      </w:r>
      <w:r w:rsidR="001A713B" w:rsidRPr="00D2744D">
        <w:rPr>
          <w:rFonts w:ascii="Palatino Linotype" w:hAnsi="Palatino Linotype" w:cs="Arial"/>
        </w:rPr>
        <w:t>a la Unidad de Transparencia de la Comisión de Búsqueda de Personas del Estado de México (COBUPEM), dependiente de la Secretaría de Justicia y Derechos Humanos</w:t>
      </w:r>
      <w:r w:rsidR="00D2744D" w:rsidRPr="00D2744D">
        <w:rPr>
          <w:rFonts w:ascii="Palatino Linotype" w:hAnsi="Palatino Linotype" w:cs="Arial"/>
        </w:rPr>
        <w:t>.</w:t>
      </w:r>
    </w:p>
    <w:p w14:paraId="11FDF438" w14:textId="77777777" w:rsidR="004F063C" w:rsidRPr="004F063C" w:rsidRDefault="004F063C" w:rsidP="004F063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6590557" w14:textId="0910F5A8" w:rsidR="004F063C" w:rsidRPr="00D27D9F" w:rsidRDefault="004F063C"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27D9F">
        <w:rPr>
          <w:rFonts w:ascii="Palatino Linotype" w:eastAsia="Calibri" w:hAnsi="Palatino Linotype" w:cs="Arial"/>
          <w:color w:val="000000" w:themeColor="text1"/>
          <w:lang w:val="es-ES"/>
        </w:rPr>
        <w:t>El particular señaló en su recurso de revisión, como motivo de inconformidad</w:t>
      </w:r>
      <w:r w:rsidR="00BC4E2C" w:rsidRPr="00D27D9F">
        <w:rPr>
          <w:rFonts w:ascii="Palatino Linotype" w:eastAsia="Calibri" w:hAnsi="Palatino Linotype" w:cs="Arial"/>
          <w:color w:val="000000" w:themeColor="text1"/>
          <w:lang w:val="es-ES"/>
        </w:rPr>
        <w:t xml:space="preserve"> </w:t>
      </w:r>
      <w:r w:rsidR="00FB034D" w:rsidRPr="00D27D9F">
        <w:rPr>
          <w:rFonts w:ascii="Palatino Linotype" w:eastAsia="Calibri" w:hAnsi="Palatino Linotype" w:cs="Arial"/>
          <w:color w:val="000000" w:themeColor="text1"/>
          <w:lang w:val="es-ES"/>
        </w:rPr>
        <w:t xml:space="preserve">que </w:t>
      </w:r>
      <w:r w:rsidR="00D87880" w:rsidRPr="00D27D9F">
        <w:rPr>
          <w:rFonts w:ascii="Palatino Linotype" w:eastAsia="Calibri" w:hAnsi="Palatino Linotype" w:cs="Arial"/>
          <w:color w:val="000000" w:themeColor="text1"/>
          <w:lang w:val="es-ES"/>
        </w:rPr>
        <w:t>el</w:t>
      </w:r>
      <w:r w:rsidR="00045B67" w:rsidRPr="00D27D9F">
        <w:rPr>
          <w:rFonts w:ascii="Palatino Linotype" w:eastAsia="Calibri" w:hAnsi="Palatino Linotype" w:cs="Arial"/>
          <w:color w:val="000000" w:themeColor="text1"/>
          <w:lang w:val="es-ES"/>
        </w:rPr>
        <w:t xml:space="preserve"> </w:t>
      </w:r>
      <w:r w:rsidR="00045B67" w:rsidRPr="00D27D9F">
        <w:rPr>
          <w:rFonts w:ascii="Palatino Linotype" w:eastAsia="Calibri" w:hAnsi="Palatino Linotype" w:cs="Arial"/>
          <w:b/>
          <w:color w:val="000000" w:themeColor="text1"/>
          <w:lang w:val="es-ES"/>
        </w:rPr>
        <w:t>SUJETO OBLIGADO</w:t>
      </w:r>
      <w:r w:rsidR="00045B67" w:rsidRPr="00D27D9F">
        <w:rPr>
          <w:rFonts w:ascii="Palatino Linotype" w:eastAsia="Calibri" w:hAnsi="Palatino Linotype" w:cs="Arial"/>
          <w:color w:val="000000" w:themeColor="text1"/>
          <w:lang w:val="es-ES"/>
        </w:rPr>
        <w:t xml:space="preserve"> </w:t>
      </w:r>
      <w:r w:rsidR="00D2744D">
        <w:rPr>
          <w:rFonts w:ascii="Palatino Linotype" w:eastAsia="Calibri" w:hAnsi="Palatino Linotype" w:cs="Arial"/>
          <w:color w:val="000000" w:themeColor="text1"/>
          <w:lang w:val="es-ES"/>
        </w:rPr>
        <w:t>debe contar con la información solicitada.</w:t>
      </w:r>
    </w:p>
    <w:p w14:paraId="7D0E7544" w14:textId="77777777" w:rsidR="007C75B2" w:rsidRPr="00D27D9F" w:rsidRDefault="007C75B2" w:rsidP="007C75B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A7D845" w14:textId="00C13B23" w:rsidR="004F063C" w:rsidRPr="00D27D9F" w:rsidRDefault="00510DD0"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27D9F">
        <w:rPr>
          <w:rFonts w:ascii="Palatino Linotype" w:eastAsia="Calibri" w:hAnsi="Palatino Linotype" w:cs="Arial"/>
          <w:color w:val="000000" w:themeColor="text1"/>
          <w:lang w:val="es-ES"/>
        </w:rPr>
        <w:t>En consecuencia, la Litis del presente asunto, corresponde a determinar si se actualiza la causal de procedencia previs</w:t>
      </w:r>
      <w:r w:rsidR="00B16DEE" w:rsidRPr="00D27D9F">
        <w:rPr>
          <w:rFonts w:ascii="Palatino Linotype" w:eastAsia="Calibri" w:hAnsi="Palatino Linotype" w:cs="Arial"/>
          <w:color w:val="000000" w:themeColor="text1"/>
          <w:lang w:val="es-ES"/>
        </w:rPr>
        <w:t>t</w:t>
      </w:r>
      <w:r w:rsidR="00F257D6" w:rsidRPr="00D27D9F">
        <w:rPr>
          <w:rFonts w:ascii="Palatino Linotype" w:eastAsia="Calibri" w:hAnsi="Palatino Linotype" w:cs="Arial"/>
          <w:color w:val="000000" w:themeColor="text1"/>
          <w:lang w:val="es-ES"/>
        </w:rPr>
        <w:t>a en el artículo 179, fracción</w:t>
      </w:r>
      <w:r w:rsidR="00B16DEE" w:rsidRPr="00D27D9F">
        <w:rPr>
          <w:rFonts w:ascii="Palatino Linotype" w:eastAsia="Calibri" w:hAnsi="Palatino Linotype" w:cs="Arial"/>
          <w:color w:val="000000" w:themeColor="text1"/>
          <w:lang w:val="es-ES"/>
        </w:rPr>
        <w:t xml:space="preserve"> </w:t>
      </w:r>
      <w:r w:rsidR="005C2C09" w:rsidRPr="00D27D9F">
        <w:rPr>
          <w:rFonts w:ascii="Palatino Linotype" w:eastAsia="Calibri" w:hAnsi="Palatino Linotype" w:cs="Arial"/>
          <w:color w:val="000000" w:themeColor="text1"/>
          <w:lang w:val="es-ES"/>
        </w:rPr>
        <w:t>I</w:t>
      </w:r>
      <w:r w:rsidRPr="00D27D9F">
        <w:rPr>
          <w:rFonts w:ascii="Palatino Linotype" w:eastAsia="Calibri" w:hAnsi="Palatino Linotype" w:cs="Arial"/>
          <w:color w:val="000000" w:themeColor="text1"/>
          <w:lang w:val="es-ES"/>
        </w:rPr>
        <w:t xml:space="preserve"> </w:t>
      </w:r>
      <w:r w:rsidR="00BE3967">
        <w:rPr>
          <w:rFonts w:ascii="Palatino Linotype" w:eastAsia="Calibri" w:hAnsi="Palatino Linotype" w:cs="Arial"/>
          <w:color w:val="000000" w:themeColor="text1"/>
          <w:lang w:val="es-ES"/>
        </w:rPr>
        <w:t xml:space="preserve">y IV </w:t>
      </w:r>
      <w:r w:rsidRPr="00D27D9F">
        <w:rPr>
          <w:rFonts w:ascii="Palatino Linotype" w:eastAsia="Calibri" w:hAnsi="Palatino Linotype" w:cs="Arial"/>
          <w:color w:val="000000" w:themeColor="text1"/>
          <w:lang w:val="es-ES"/>
        </w:rPr>
        <w:t xml:space="preserve">de la Ley de Transparencia y Acceso a la Información Pública del Estado de México y Municipios; que determina </w:t>
      </w:r>
      <w:r w:rsidR="007C75B2" w:rsidRPr="00D27D9F">
        <w:rPr>
          <w:rFonts w:ascii="Palatino Linotype" w:eastAsia="Calibri" w:hAnsi="Palatino Linotype" w:cs="Arial"/>
          <w:color w:val="000000" w:themeColor="text1"/>
          <w:u w:val="single"/>
          <w:lang w:val="es-ES"/>
        </w:rPr>
        <w:t xml:space="preserve">la </w:t>
      </w:r>
      <w:r w:rsidR="005C2C09" w:rsidRPr="00D27D9F">
        <w:rPr>
          <w:rFonts w:ascii="Palatino Linotype" w:eastAsia="Calibri" w:hAnsi="Palatino Linotype" w:cs="Arial"/>
          <w:color w:val="000000" w:themeColor="text1"/>
          <w:u w:val="single"/>
          <w:lang w:val="es-ES"/>
        </w:rPr>
        <w:t>negativa a la información solicitada</w:t>
      </w:r>
      <w:r w:rsidR="00BE3967" w:rsidRPr="00BE3967">
        <w:rPr>
          <w:rFonts w:ascii="Palatino Linotype" w:eastAsia="Calibri" w:hAnsi="Palatino Linotype" w:cs="Arial"/>
          <w:color w:val="000000" w:themeColor="text1"/>
          <w:u w:val="single"/>
          <w:lang w:val="es-ES"/>
        </w:rPr>
        <w:t xml:space="preserve"> </w:t>
      </w:r>
      <w:r w:rsidR="00BE3967" w:rsidRPr="00BE3967">
        <w:rPr>
          <w:rFonts w:ascii="Palatino Linotype" w:eastAsia="Calibri" w:hAnsi="Palatino Linotype" w:cs="Arial"/>
          <w:color w:val="000000" w:themeColor="text1"/>
          <w:lang w:val="es-ES"/>
        </w:rPr>
        <w:t xml:space="preserve">y </w:t>
      </w:r>
      <w:r w:rsidR="00BE3967">
        <w:rPr>
          <w:rFonts w:ascii="Palatino Linotype" w:eastAsia="Calibri" w:hAnsi="Palatino Linotype" w:cs="Arial"/>
          <w:color w:val="000000" w:themeColor="text1"/>
          <w:u w:val="single"/>
          <w:lang w:val="es-ES"/>
        </w:rPr>
        <w:t xml:space="preserve">la declaración </w:t>
      </w:r>
      <w:r w:rsidR="00BE3967">
        <w:rPr>
          <w:rFonts w:ascii="Palatino Linotype" w:eastAsia="Calibri" w:hAnsi="Palatino Linotype" w:cs="Arial"/>
          <w:color w:val="000000" w:themeColor="text1"/>
          <w:u w:val="single"/>
          <w:lang w:val="es-ES"/>
        </w:rPr>
        <w:lastRenderedPageBreak/>
        <w:t>de incompetencia por el sujeto obligado</w:t>
      </w:r>
      <w:r w:rsidRPr="00D27D9F">
        <w:rPr>
          <w:rFonts w:ascii="Palatino Linotype" w:eastAsia="Calibri" w:hAnsi="Palatino Linotype" w:cs="Arial"/>
          <w:color w:val="000000" w:themeColor="text1"/>
          <w:lang w:val="es-ES"/>
        </w:rPr>
        <w:t xml:space="preserve">, hipótesis de la que se inconformó el particular; y acreditar si la respuesta del </w:t>
      </w:r>
      <w:r w:rsidRPr="00D27D9F">
        <w:rPr>
          <w:rFonts w:ascii="Palatino Linotype" w:eastAsia="Calibri" w:hAnsi="Palatino Linotype" w:cs="Arial"/>
          <w:b/>
          <w:color w:val="000000" w:themeColor="text1"/>
          <w:lang w:val="es-ES"/>
        </w:rPr>
        <w:t>SUJETO OBLIGADO</w:t>
      </w:r>
      <w:r w:rsidRPr="00D27D9F">
        <w:rPr>
          <w:rFonts w:ascii="Palatino Linotype" w:eastAsia="Calibri" w:hAnsi="Palatino Linotype" w:cs="Arial"/>
          <w:color w:val="000000" w:themeColor="text1"/>
          <w:lang w:val="es-ES"/>
        </w:rPr>
        <w:t xml:space="preserve"> resulta </w:t>
      </w:r>
      <w:r w:rsidR="005C2C09" w:rsidRPr="00D27D9F">
        <w:rPr>
          <w:rFonts w:ascii="Palatino Linotype" w:eastAsia="Calibri" w:hAnsi="Palatino Linotype" w:cs="Arial"/>
          <w:color w:val="000000" w:themeColor="text1"/>
          <w:u w:val="single"/>
          <w:lang w:val="es-ES"/>
        </w:rPr>
        <w:t>op</w:t>
      </w:r>
      <w:r w:rsidR="00BC0788" w:rsidRPr="00D27D9F">
        <w:rPr>
          <w:rFonts w:ascii="Palatino Linotype" w:eastAsia="Calibri" w:hAnsi="Palatino Linotype" w:cs="Arial"/>
          <w:color w:val="000000" w:themeColor="text1"/>
          <w:u w:val="single"/>
          <w:lang w:val="es-ES"/>
        </w:rPr>
        <w:t>o</w:t>
      </w:r>
      <w:r w:rsidR="005C2C09" w:rsidRPr="00D27D9F">
        <w:rPr>
          <w:rFonts w:ascii="Palatino Linotype" w:eastAsia="Calibri" w:hAnsi="Palatino Linotype" w:cs="Arial"/>
          <w:color w:val="000000" w:themeColor="text1"/>
          <w:u w:val="single"/>
          <w:lang w:val="es-ES"/>
        </w:rPr>
        <w:t>rtuna y expedita</w:t>
      </w:r>
      <w:r w:rsidRPr="00D27D9F">
        <w:rPr>
          <w:rFonts w:ascii="Palatino Linotype" w:eastAsia="Calibri" w:hAnsi="Palatino Linotype" w:cs="Arial"/>
          <w:color w:val="000000" w:themeColor="text1"/>
          <w:lang w:val="es-ES"/>
        </w:rPr>
        <w:t xml:space="preserve"> en apego a los principios establecidos en el artículo 11 de la Ley de Transparencia.</w:t>
      </w:r>
    </w:p>
    <w:p w14:paraId="425AB9EA" w14:textId="77777777" w:rsidR="00A64161" w:rsidRPr="00D27D9F" w:rsidRDefault="00A64161"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9A9390D" w14:textId="77777777" w:rsidR="00946C27" w:rsidRPr="00D27D9F" w:rsidRDefault="00946C27" w:rsidP="00946C27">
      <w:pPr>
        <w:pStyle w:val="Ttulo2"/>
        <w:tabs>
          <w:tab w:val="left" w:pos="0"/>
        </w:tabs>
        <w:spacing w:before="0" w:line="360" w:lineRule="auto"/>
        <w:rPr>
          <w:rFonts w:ascii="Palatino Linotype" w:hAnsi="Palatino Linotype"/>
          <w:b/>
          <w:color w:val="auto"/>
          <w:sz w:val="24"/>
          <w:szCs w:val="24"/>
        </w:rPr>
      </w:pPr>
      <w:bookmarkStart w:id="50" w:name="_Toc85734229"/>
      <w:r w:rsidRPr="00D27D9F">
        <w:rPr>
          <w:rFonts w:ascii="Palatino Linotype" w:hAnsi="Palatino Linotype"/>
          <w:b/>
          <w:color w:val="auto"/>
          <w:sz w:val="24"/>
          <w:szCs w:val="24"/>
        </w:rPr>
        <w:t>CUARTO.</w:t>
      </w:r>
      <w:bookmarkStart w:id="51" w:name="_Toc515462773"/>
      <w:r w:rsidRPr="00D27D9F">
        <w:rPr>
          <w:rFonts w:ascii="Palatino Linotype" w:hAnsi="Palatino Linotype"/>
          <w:b/>
          <w:color w:val="auto"/>
          <w:sz w:val="24"/>
          <w:szCs w:val="24"/>
        </w:rPr>
        <w:t xml:space="preserve"> Estudio y resolución del asunto</w:t>
      </w:r>
      <w:bookmarkEnd w:id="50"/>
      <w:bookmarkEnd w:id="51"/>
    </w:p>
    <w:p w14:paraId="6BFEAC1E" w14:textId="77777777" w:rsidR="00946C27" w:rsidRPr="00D27D9F" w:rsidRDefault="00946C27" w:rsidP="00946C27">
      <w:pPr>
        <w:tabs>
          <w:tab w:val="left" w:pos="0"/>
        </w:tabs>
        <w:spacing w:line="360" w:lineRule="auto"/>
        <w:rPr>
          <w:rFonts w:ascii="Palatino Linotype" w:hAnsi="Palatino Linotype"/>
        </w:rPr>
      </w:pPr>
    </w:p>
    <w:p w14:paraId="499A9CA0" w14:textId="258A650D" w:rsidR="00313A14" w:rsidRPr="00D27D9F" w:rsidRDefault="002E73A2" w:rsidP="00730AC3">
      <w:pPr>
        <w:pStyle w:val="Ttulo2"/>
        <w:numPr>
          <w:ilvl w:val="0"/>
          <w:numId w:val="1"/>
        </w:numPr>
        <w:rPr>
          <w:rFonts w:ascii="Palatino Linotype" w:hAnsi="Palatino Linotype"/>
          <w:b/>
          <w:color w:val="000000" w:themeColor="text1"/>
          <w:sz w:val="24"/>
        </w:rPr>
      </w:pPr>
      <w:bookmarkStart w:id="52" w:name="_Toc2248737"/>
      <w:bookmarkStart w:id="53" w:name="_Toc85734230"/>
      <w:bookmarkEnd w:id="46"/>
      <w:bookmarkEnd w:id="47"/>
      <w:bookmarkEnd w:id="48"/>
      <w:bookmarkEnd w:id="49"/>
      <w:r w:rsidRPr="00D27D9F">
        <w:rPr>
          <w:rFonts w:ascii="Palatino Linotype" w:hAnsi="Palatino Linotype"/>
          <w:b/>
          <w:color w:val="000000" w:themeColor="text1"/>
          <w:sz w:val="24"/>
        </w:rPr>
        <w:t>De la</w:t>
      </w:r>
      <w:bookmarkEnd w:id="52"/>
      <w:r w:rsidR="006C767E" w:rsidRPr="00D27D9F">
        <w:rPr>
          <w:rFonts w:ascii="Palatino Linotype" w:hAnsi="Palatino Linotype"/>
          <w:b/>
          <w:color w:val="000000" w:themeColor="text1"/>
          <w:sz w:val="24"/>
        </w:rPr>
        <w:t xml:space="preserve"> respuesta a </w:t>
      </w:r>
      <w:r w:rsidR="003C0AF0" w:rsidRPr="00D27D9F">
        <w:rPr>
          <w:rFonts w:ascii="Palatino Linotype" w:hAnsi="Palatino Linotype"/>
          <w:b/>
          <w:color w:val="000000" w:themeColor="text1"/>
          <w:sz w:val="24"/>
        </w:rPr>
        <w:t>la</w:t>
      </w:r>
      <w:r w:rsidR="006C767E" w:rsidRPr="00D27D9F">
        <w:rPr>
          <w:rFonts w:ascii="Palatino Linotype" w:hAnsi="Palatino Linotype"/>
          <w:b/>
          <w:color w:val="000000" w:themeColor="text1"/>
          <w:sz w:val="24"/>
        </w:rPr>
        <w:t xml:space="preserve"> solicitud</w:t>
      </w:r>
      <w:r w:rsidR="00A52982" w:rsidRPr="00D27D9F">
        <w:rPr>
          <w:rFonts w:ascii="Palatino Linotype" w:hAnsi="Palatino Linotype"/>
          <w:b/>
          <w:color w:val="000000" w:themeColor="text1"/>
          <w:sz w:val="24"/>
        </w:rPr>
        <w:t xml:space="preserve"> </w:t>
      </w:r>
      <w:r w:rsidR="006C767E" w:rsidRPr="00D27D9F">
        <w:rPr>
          <w:rFonts w:ascii="Palatino Linotype" w:hAnsi="Palatino Linotype"/>
          <w:b/>
          <w:color w:val="000000" w:themeColor="text1"/>
          <w:sz w:val="24"/>
        </w:rPr>
        <w:t>de información.</w:t>
      </w:r>
      <w:bookmarkEnd w:id="53"/>
      <w:r w:rsidR="006C767E" w:rsidRPr="00D27D9F">
        <w:rPr>
          <w:rFonts w:ascii="Palatino Linotype" w:hAnsi="Palatino Linotype"/>
          <w:b/>
          <w:color w:val="000000" w:themeColor="text1"/>
          <w:sz w:val="24"/>
        </w:rPr>
        <w:t xml:space="preserve"> </w:t>
      </w:r>
    </w:p>
    <w:p w14:paraId="1FB06B51" w14:textId="77777777" w:rsidR="003E2E91" w:rsidRPr="00D27D9F" w:rsidRDefault="003E2E91" w:rsidP="003E2E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9C1EAB" w14:textId="622CB719" w:rsidR="007B4CCD" w:rsidRPr="00D27D9F" w:rsidRDefault="003835FE"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27D9F">
        <w:rPr>
          <w:rFonts w:ascii="Palatino Linotype" w:eastAsia="Calibri" w:hAnsi="Palatino Linotype" w:cs="Arial"/>
          <w:color w:val="000000" w:themeColor="text1"/>
          <w:lang w:val="es-ES"/>
        </w:rPr>
        <w:t xml:space="preserve">Es pertinente recapitular que </w:t>
      </w:r>
      <w:r w:rsidR="007B4CCD" w:rsidRPr="00D27D9F">
        <w:rPr>
          <w:rFonts w:ascii="Palatino Linotype" w:eastAsia="Calibri" w:hAnsi="Palatino Linotype" w:cs="Arial"/>
          <w:color w:val="000000" w:themeColor="text1"/>
          <w:lang w:val="es-ES"/>
        </w:rPr>
        <w:t>el particular solicitó lo siguiente:</w:t>
      </w:r>
    </w:p>
    <w:p w14:paraId="6BBCF360" w14:textId="77777777" w:rsidR="007B4CCD" w:rsidRPr="00D27D9F" w:rsidRDefault="007B4CCD" w:rsidP="007B4CC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921164" w14:textId="77777777" w:rsidR="00BE3967" w:rsidRPr="009C0164" w:rsidRDefault="00BE3967" w:rsidP="00BE3967">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szCs w:val="22"/>
          <w:lang w:val="es-ES"/>
        </w:rPr>
      </w:pPr>
      <w:r>
        <w:rPr>
          <w:rFonts w:ascii="Palatino Linotype" w:eastAsia="Calibri" w:hAnsi="Palatino Linotype" w:cs="Arial"/>
          <w:b/>
          <w:color w:val="000000" w:themeColor="text1"/>
          <w:sz w:val="22"/>
          <w:szCs w:val="22"/>
          <w:lang w:val="es-ES"/>
        </w:rPr>
        <w:t xml:space="preserve">Relación detallada de hallazgos registrados por la COBUPEM en el Gran Canal del Estado de México, durante los últimos 10 años, (por mes y año). </w:t>
      </w:r>
    </w:p>
    <w:p w14:paraId="3C7E2990" w14:textId="77777777" w:rsidR="00FB0B57" w:rsidRPr="00D27D9F" w:rsidRDefault="00FB0B57" w:rsidP="00FB0B57">
      <w:pPr>
        <w:pStyle w:val="Prrafodelista"/>
        <w:tabs>
          <w:tab w:val="left" w:pos="426"/>
          <w:tab w:val="left" w:pos="567"/>
        </w:tabs>
        <w:spacing w:line="360" w:lineRule="auto"/>
        <w:ind w:left="567" w:right="565"/>
        <w:jc w:val="both"/>
        <w:rPr>
          <w:rFonts w:ascii="Palatino Linotype" w:eastAsia="Calibri" w:hAnsi="Palatino Linotype" w:cs="Arial"/>
          <w:b/>
          <w:color w:val="000000" w:themeColor="text1"/>
          <w:sz w:val="22"/>
          <w:lang w:val="es-ES"/>
        </w:rPr>
      </w:pPr>
    </w:p>
    <w:p w14:paraId="22728968" w14:textId="56749034" w:rsidR="00AE7FE4" w:rsidRPr="002D2553" w:rsidRDefault="007E570A" w:rsidP="002D2553">
      <w:pPr>
        <w:pStyle w:val="Prrafodelista"/>
        <w:numPr>
          <w:ilvl w:val="0"/>
          <w:numId w:val="3"/>
        </w:numPr>
        <w:tabs>
          <w:tab w:val="left" w:pos="426"/>
          <w:tab w:val="left" w:pos="567"/>
        </w:tabs>
        <w:spacing w:line="360" w:lineRule="auto"/>
        <w:ind w:left="0" w:firstLine="0"/>
        <w:jc w:val="both"/>
        <w:rPr>
          <w:rFonts w:ascii="Palatino Linotype" w:hAnsi="Palatino Linotype" w:cs="Arial"/>
        </w:rPr>
      </w:pPr>
      <w:r w:rsidRPr="00A32355">
        <w:rPr>
          <w:rFonts w:ascii="Palatino Linotype" w:eastAsia="Calibri" w:hAnsi="Palatino Linotype" w:cs="Arial"/>
          <w:color w:val="000000" w:themeColor="text1"/>
          <w:lang w:val="es-ES"/>
        </w:rPr>
        <w:t xml:space="preserve">En respuesta el </w:t>
      </w:r>
      <w:r w:rsidRPr="00A32355">
        <w:rPr>
          <w:rFonts w:ascii="Palatino Linotype" w:eastAsia="Calibri" w:hAnsi="Palatino Linotype" w:cs="Arial"/>
          <w:b/>
          <w:color w:val="000000" w:themeColor="text1"/>
          <w:lang w:val="es-ES"/>
        </w:rPr>
        <w:t>SUJETO OBLIGADO</w:t>
      </w:r>
      <w:r w:rsidRPr="00A32355">
        <w:rPr>
          <w:rFonts w:ascii="Palatino Linotype" w:eastAsia="Calibri" w:hAnsi="Palatino Linotype" w:cs="Arial"/>
          <w:color w:val="000000" w:themeColor="text1"/>
          <w:lang w:val="es-ES"/>
        </w:rPr>
        <w:t xml:space="preserve"> </w:t>
      </w:r>
      <w:r w:rsidR="003835FE" w:rsidRPr="00A32355">
        <w:rPr>
          <w:rFonts w:ascii="Palatino Linotype" w:eastAsia="Calibri" w:hAnsi="Palatino Linotype" w:cs="Arial"/>
          <w:color w:val="000000" w:themeColor="text1"/>
          <w:lang w:val="es-ES"/>
        </w:rPr>
        <w:t xml:space="preserve">remitió </w:t>
      </w:r>
      <w:r w:rsidR="00A3119C" w:rsidRPr="00A32355">
        <w:rPr>
          <w:rFonts w:ascii="Palatino Linotype" w:eastAsia="Calibri" w:hAnsi="Palatino Linotype" w:cs="Arial"/>
          <w:color w:val="000000" w:themeColor="text1"/>
          <w:lang w:val="es-ES"/>
        </w:rPr>
        <w:t xml:space="preserve">un el oficio </w:t>
      </w:r>
      <w:r w:rsidR="00A3119C" w:rsidRPr="00A32355">
        <w:rPr>
          <w:rFonts w:ascii="Palatino Linotype" w:hAnsi="Palatino Linotype" w:cs="Arial"/>
        </w:rPr>
        <w:t xml:space="preserve">número </w:t>
      </w:r>
      <w:r w:rsidR="00BE3967" w:rsidRPr="00A32355">
        <w:rPr>
          <w:rFonts w:ascii="Palatino Linotype" w:hAnsi="Palatino Linotype" w:cs="Arial"/>
        </w:rPr>
        <w:t>1763/MAIP/FGJ/2021</w:t>
      </w:r>
      <w:r w:rsidR="00A3119C" w:rsidRPr="00A32355">
        <w:rPr>
          <w:rFonts w:ascii="Palatino Linotype" w:hAnsi="Palatino Linotype" w:cs="Arial"/>
        </w:rPr>
        <w:t xml:space="preserve">, de fecha </w:t>
      </w:r>
      <w:r w:rsidR="00BE3967" w:rsidRPr="00A32355">
        <w:rPr>
          <w:rFonts w:ascii="Palatino Linotype" w:hAnsi="Palatino Linotype" w:cs="Arial"/>
        </w:rPr>
        <w:t>18</w:t>
      </w:r>
      <w:r w:rsidR="00A3119C" w:rsidRPr="00A32355">
        <w:rPr>
          <w:rFonts w:ascii="Palatino Linotype" w:hAnsi="Palatino Linotype" w:cs="Arial"/>
        </w:rPr>
        <w:t xml:space="preserve"> de </w:t>
      </w:r>
      <w:r w:rsidR="00BE3967" w:rsidRPr="00A32355">
        <w:rPr>
          <w:rFonts w:ascii="Palatino Linotype" w:hAnsi="Palatino Linotype" w:cs="Arial"/>
        </w:rPr>
        <w:t>agosto</w:t>
      </w:r>
      <w:r w:rsidR="00A3119C" w:rsidRPr="00A32355">
        <w:rPr>
          <w:rFonts w:ascii="Palatino Linotype" w:hAnsi="Palatino Linotype" w:cs="Arial"/>
        </w:rPr>
        <w:t xml:space="preserve"> de 2021, suscrito y signado por </w:t>
      </w:r>
      <w:r w:rsidR="00F54F44">
        <w:rPr>
          <w:rFonts w:ascii="Palatino Linotype" w:hAnsi="Palatino Linotype" w:cs="Arial"/>
        </w:rPr>
        <w:t>la</w:t>
      </w:r>
      <w:r w:rsidR="00A3119C" w:rsidRPr="00A32355">
        <w:rPr>
          <w:rFonts w:ascii="Palatino Linotype" w:hAnsi="Palatino Linotype" w:cs="Arial"/>
        </w:rPr>
        <w:t xml:space="preserve"> Titular de la Unidad de Transparencia, dirigido a la particular, a través del cual informó </w:t>
      </w:r>
      <w:r w:rsidR="00A3119C" w:rsidRPr="00A32355">
        <w:rPr>
          <w:rFonts w:ascii="Palatino Linotype" w:eastAsia="Calibri" w:hAnsi="Palatino Linotype" w:cs="Arial"/>
          <w:color w:val="000000" w:themeColor="text1"/>
          <w:lang w:val="es-ES"/>
        </w:rPr>
        <w:t xml:space="preserve">que, </w:t>
      </w:r>
      <w:r w:rsidR="00A32355" w:rsidRPr="00A32355">
        <w:rPr>
          <w:rFonts w:ascii="Palatino Linotype" w:eastAsia="Calibri" w:hAnsi="Palatino Linotype" w:cs="Arial"/>
          <w:color w:val="000000" w:themeColor="text1"/>
          <w:lang w:val="es-ES"/>
        </w:rPr>
        <w:t xml:space="preserve">dentro de sus atribuciones, </w:t>
      </w:r>
      <w:r w:rsidR="00A32355" w:rsidRPr="00A32355">
        <w:rPr>
          <w:rFonts w:ascii="Palatino Linotype" w:hAnsi="Palatino Linotype" w:cs="Arial"/>
        </w:rPr>
        <w:t>establecidas en el artículo 10 de la Ley de la Fiscalía General de Justicia del Estado de México,</w:t>
      </w:r>
      <w:r w:rsidR="00A32355" w:rsidRPr="00A32355">
        <w:rPr>
          <w:rFonts w:ascii="Palatino Linotype" w:eastAsia="Calibri" w:hAnsi="Palatino Linotype" w:cs="Arial"/>
          <w:color w:val="000000" w:themeColor="text1"/>
          <w:lang w:val="es-ES"/>
        </w:rPr>
        <w:t xml:space="preserve"> no se encuentra </w:t>
      </w:r>
      <w:r w:rsidR="00A32355" w:rsidRPr="00A32355">
        <w:rPr>
          <w:rFonts w:ascii="Palatino Linotype" w:hAnsi="Palatino Linotype" w:cs="Arial"/>
        </w:rPr>
        <w:t>la de poseer información de hallazgos registraos por la COBUPEM</w:t>
      </w:r>
      <w:r w:rsidR="002D2553">
        <w:rPr>
          <w:rFonts w:ascii="Palatino Linotype" w:hAnsi="Palatino Linotype" w:cs="Arial"/>
        </w:rPr>
        <w:t>, a</w:t>
      </w:r>
      <w:r w:rsidR="00F54F44" w:rsidRPr="002D2553">
        <w:rPr>
          <w:rFonts w:ascii="Palatino Linotype" w:hAnsi="Palatino Linotype" w:cs="Arial"/>
        </w:rPr>
        <w:t xml:space="preserve">simismo, </w:t>
      </w:r>
      <w:r w:rsidR="00AD6024">
        <w:rPr>
          <w:rFonts w:ascii="Palatino Linotype" w:hAnsi="Palatino Linotype" w:cs="Arial"/>
        </w:rPr>
        <w:t xml:space="preserve">auxilió al </w:t>
      </w:r>
      <w:r w:rsidR="00AD6024" w:rsidRPr="00AD6024">
        <w:rPr>
          <w:rFonts w:ascii="Palatino Linotype" w:hAnsi="Palatino Linotype" w:cs="Arial"/>
          <w:b/>
          <w:bCs/>
        </w:rPr>
        <w:t xml:space="preserve">RECURRENTE </w:t>
      </w:r>
      <w:r w:rsidR="00AD6024" w:rsidRPr="00AD6024">
        <w:rPr>
          <w:rFonts w:ascii="Palatino Linotype" w:hAnsi="Palatino Linotype" w:cs="Arial"/>
        </w:rPr>
        <w:t xml:space="preserve">para </w:t>
      </w:r>
      <w:r w:rsidR="00F54F44" w:rsidRPr="002D2553">
        <w:rPr>
          <w:rFonts w:ascii="Palatino Linotype" w:hAnsi="Palatino Linotype" w:cs="Arial"/>
        </w:rPr>
        <w:t xml:space="preserve">dirigir </w:t>
      </w:r>
      <w:r w:rsidR="00A32355" w:rsidRPr="002D2553">
        <w:rPr>
          <w:rFonts w:ascii="Palatino Linotype" w:hAnsi="Palatino Linotype" w:cs="Arial"/>
        </w:rPr>
        <w:t xml:space="preserve">su solicitud de información a la Unidad de Transparencia de la Comisión de </w:t>
      </w:r>
      <w:r w:rsidR="00A32355" w:rsidRPr="002D2553">
        <w:rPr>
          <w:rFonts w:ascii="Palatino Linotype" w:hAnsi="Palatino Linotype" w:cs="Arial"/>
        </w:rPr>
        <w:lastRenderedPageBreak/>
        <w:t>Búsqueda de Personas del Estado de México (COBUPEM), dependiente de la Secretaría de Justicia y Derechos Humanos.</w:t>
      </w:r>
    </w:p>
    <w:p w14:paraId="38E33163" w14:textId="77777777" w:rsidR="00AE7FE4" w:rsidRPr="00AE7FE4" w:rsidRDefault="00AE7FE4" w:rsidP="00AE7FE4">
      <w:pPr>
        <w:pStyle w:val="Prrafodelista"/>
        <w:tabs>
          <w:tab w:val="left" w:pos="426"/>
          <w:tab w:val="left" w:pos="567"/>
        </w:tabs>
        <w:spacing w:line="360" w:lineRule="auto"/>
        <w:ind w:left="0"/>
        <w:jc w:val="both"/>
        <w:rPr>
          <w:rFonts w:ascii="Palatino Linotype" w:hAnsi="Palatino Linotype" w:cs="Arial"/>
        </w:rPr>
      </w:pPr>
    </w:p>
    <w:p w14:paraId="275002D8" w14:textId="7867855A" w:rsidR="00A3119C" w:rsidRDefault="00AE7FE4" w:rsidP="00A311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noProof/>
        </w:rPr>
        <mc:AlternateContent>
          <mc:Choice Requires="wps">
            <w:drawing>
              <wp:anchor distT="0" distB="0" distL="114300" distR="114300" simplePos="0" relativeHeight="251684864" behindDoc="0" locked="0" layoutInCell="1" allowOverlap="1" wp14:anchorId="37CDE27A" wp14:editId="596C0A8C">
                <wp:simplePos x="0" y="0"/>
                <wp:positionH relativeFrom="margin">
                  <wp:posOffset>-56569</wp:posOffset>
                </wp:positionH>
                <wp:positionV relativeFrom="paragraph">
                  <wp:posOffset>1079850</wp:posOffset>
                </wp:positionV>
                <wp:extent cx="5727430" cy="1492115"/>
                <wp:effectExtent l="50800" t="25400" r="64135" b="70485"/>
                <wp:wrapNone/>
                <wp:docPr id="7" name="Rectángulo 7"/>
                <wp:cNvGraphicFramePr/>
                <a:graphic xmlns:a="http://schemas.openxmlformats.org/drawingml/2006/main">
                  <a:graphicData uri="http://schemas.microsoft.com/office/word/2010/wordprocessingShape">
                    <wps:wsp>
                      <wps:cNvSpPr/>
                      <wps:spPr>
                        <a:xfrm>
                          <a:off x="0" y="0"/>
                          <a:ext cx="5727430" cy="149211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4F409A" id="Rectángulo 7" o:spid="_x0000_s1026" style="position:absolute;margin-left:-4.45pt;margin-top:85.05pt;width:451pt;height:117.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" filled="f" strokecolor="red">
                <v:shadow on="t" color="black" opacity="22937f" origin=",.5" offset="0,.63889mm"/>
                <w10:wrap anchorx="margin"/>
              </v:rect>
            </w:pict>
          </mc:Fallback>
        </mc:AlternateContent>
      </w:r>
      <w:r w:rsidR="00F54F44">
        <w:rPr>
          <w:rFonts w:ascii="Palatino Linotype" w:eastAsia="Calibri" w:hAnsi="Palatino Linotype" w:cs="Arial"/>
          <w:noProof/>
          <w:color w:val="000000" w:themeColor="text1"/>
        </w:rPr>
        <w:drawing>
          <wp:inline distT="0" distB="0" distL="0" distR="0" wp14:anchorId="0E594FF3" wp14:editId="3673B9BE">
            <wp:extent cx="5579745" cy="2674620"/>
            <wp:effectExtent l="12700" t="12700" r="8255"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5579745" cy="2674620"/>
                    </a:xfrm>
                    <a:prstGeom prst="rect">
                      <a:avLst/>
                    </a:prstGeom>
                    <a:ln>
                      <a:solidFill>
                        <a:schemeClr val="tx1"/>
                      </a:solidFill>
                    </a:ln>
                  </pic:spPr>
                </pic:pic>
              </a:graphicData>
            </a:graphic>
          </wp:inline>
        </w:drawing>
      </w:r>
    </w:p>
    <w:p w14:paraId="426AA432" w14:textId="6B192AD1" w:rsidR="007E570A" w:rsidRPr="00AE7FE4" w:rsidRDefault="007E570A" w:rsidP="00AE7FE4">
      <w:pPr>
        <w:rPr>
          <w:rFonts w:ascii="Palatino Linotype" w:eastAsia="Calibri" w:hAnsi="Palatino Linotype" w:cs="Arial"/>
          <w:color w:val="000000" w:themeColor="text1"/>
          <w:lang w:val="es-ES"/>
        </w:rPr>
      </w:pPr>
    </w:p>
    <w:p w14:paraId="3E61B598" w14:textId="78130E82" w:rsidR="000E1A69" w:rsidRDefault="007E570A" w:rsidP="00AD602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3119C">
        <w:rPr>
          <w:rFonts w:ascii="Palatino Linotype" w:eastAsia="Calibri" w:hAnsi="Palatino Linotype" w:cs="Arial"/>
          <w:color w:val="000000" w:themeColor="text1"/>
          <w:lang w:val="es-ES"/>
        </w:rPr>
        <w:t>Inconforme con la respuesta, el particular in</w:t>
      </w:r>
      <w:r w:rsidR="00F3223E" w:rsidRPr="00A3119C">
        <w:rPr>
          <w:rFonts w:ascii="Palatino Linotype" w:eastAsia="Calibri" w:hAnsi="Palatino Linotype" w:cs="Arial"/>
          <w:color w:val="000000" w:themeColor="text1"/>
          <w:lang w:val="es-ES"/>
        </w:rPr>
        <w:t>terpuso el recurso de revisión</w:t>
      </w:r>
      <w:r w:rsidRPr="00A3119C">
        <w:rPr>
          <w:rFonts w:ascii="Palatino Linotype" w:eastAsia="Calibri" w:hAnsi="Palatino Linotype" w:cs="Arial"/>
          <w:color w:val="000000" w:themeColor="text1"/>
          <w:lang w:val="es-ES"/>
        </w:rPr>
        <w:t xml:space="preserve">, en el que </w:t>
      </w:r>
      <w:r w:rsidR="00F3223E" w:rsidRPr="00A3119C">
        <w:rPr>
          <w:rFonts w:ascii="Palatino Linotype" w:eastAsia="Calibri" w:hAnsi="Palatino Linotype" w:cs="Arial"/>
          <w:color w:val="000000" w:themeColor="text1"/>
          <w:lang w:val="es-ES"/>
        </w:rPr>
        <w:t xml:space="preserve">se dolió </w:t>
      </w:r>
      <w:r w:rsidR="006E49DE">
        <w:rPr>
          <w:rFonts w:ascii="Palatino Linotype" w:eastAsia="Calibri" w:hAnsi="Palatino Linotype" w:cs="Arial"/>
          <w:color w:val="000000" w:themeColor="text1"/>
          <w:lang w:val="es-ES"/>
        </w:rPr>
        <w:t>señalando</w:t>
      </w:r>
      <w:r w:rsidRPr="00A3119C">
        <w:rPr>
          <w:rFonts w:ascii="Palatino Linotype" w:eastAsia="Calibri" w:hAnsi="Palatino Linotype" w:cs="Arial"/>
          <w:color w:val="000000" w:themeColor="text1"/>
          <w:lang w:val="es-ES"/>
        </w:rPr>
        <w:t xml:space="preserve"> </w:t>
      </w:r>
      <w:r w:rsidR="00AE7FE4" w:rsidRPr="00A3119C">
        <w:rPr>
          <w:rFonts w:ascii="Palatino Linotype" w:eastAsia="Calibri" w:hAnsi="Palatino Linotype" w:cs="Arial"/>
          <w:color w:val="000000" w:themeColor="text1"/>
          <w:lang w:val="es-ES"/>
        </w:rPr>
        <w:t xml:space="preserve">que </w:t>
      </w:r>
      <w:r w:rsidR="00AE7FE4">
        <w:rPr>
          <w:rFonts w:ascii="Palatino Linotype" w:eastAsia="Calibri" w:hAnsi="Palatino Linotype" w:cs="Arial"/>
          <w:color w:val="000000" w:themeColor="text1"/>
          <w:lang w:val="es-ES"/>
        </w:rPr>
        <w:t xml:space="preserve">a su consideración </w:t>
      </w:r>
      <w:r w:rsidRPr="00A3119C">
        <w:rPr>
          <w:rFonts w:ascii="Palatino Linotype" w:eastAsia="Calibri" w:hAnsi="Palatino Linotype" w:cs="Arial"/>
          <w:color w:val="000000" w:themeColor="text1"/>
          <w:lang w:val="es-ES"/>
        </w:rPr>
        <w:t xml:space="preserve">el </w:t>
      </w:r>
      <w:r w:rsidRPr="00A3119C">
        <w:rPr>
          <w:rFonts w:ascii="Palatino Linotype" w:eastAsia="Calibri" w:hAnsi="Palatino Linotype" w:cs="Arial"/>
          <w:b/>
          <w:color w:val="000000" w:themeColor="text1"/>
          <w:lang w:val="es-ES"/>
        </w:rPr>
        <w:t>SUJETO OBLIGADO</w:t>
      </w:r>
      <w:r w:rsidR="00A3119C" w:rsidRPr="00A3119C">
        <w:rPr>
          <w:rFonts w:ascii="Palatino Linotype" w:eastAsia="Calibri" w:hAnsi="Palatino Linotype" w:cs="Arial"/>
          <w:b/>
          <w:color w:val="000000" w:themeColor="text1"/>
          <w:lang w:val="es-ES"/>
        </w:rPr>
        <w:t xml:space="preserve"> </w:t>
      </w:r>
      <w:r w:rsidR="00AE7FE4">
        <w:rPr>
          <w:rFonts w:ascii="Palatino Linotype" w:eastAsia="Calibri" w:hAnsi="Palatino Linotype" w:cs="Arial"/>
          <w:color w:val="000000" w:themeColor="text1"/>
          <w:lang w:val="es-ES"/>
        </w:rPr>
        <w:t>cuenta con la información solicitada.</w:t>
      </w:r>
    </w:p>
    <w:p w14:paraId="334B8B27" w14:textId="77777777" w:rsidR="00A3119C" w:rsidRPr="00A3119C" w:rsidRDefault="00A3119C" w:rsidP="00A3119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0D1DBF7" w14:textId="73B37B2E" w:rsidR="00A3119C" w:rsidRDefault="007E570A" w:rsidP="001519FF">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27D9F">
        <w:rPr>
          <w:rFonts w:ascii="Palatino Linotype" w:eastAsia="Calibri" w:hAnsi="Palatino Linotype" w:cs="Arial"/>
          <w:color w:val="000000" w:themeColor="text1"/>
          <w:lang w:val="es-ES"/>
        </w:rPr>
        <w:t xml:space="preserve">Por su parte el </w:t>
      </w:r>
      <w:r w:rsidRPr="00D27D9F">
        <w:rPr>
          <w:rFonts w:ascii="Palatino Linotype" w:eastAsia="Calibri" w:hAnsi="Palatino Linotype" w:cs="Arial"/>
          <w:b/>
          <w:color w:val="000000" w:themeColor="text1"/>
          <w:lang w:val="es-ES"/>
        </w:rPr>
        <w:t>SUJETO OBLIGADO</w:t>
      </w:r>
      <w:r w:rsidRPr="00D27D9F">
        <w:rPr>
          <w:rFonts w:ascii="Palatino Linotype" w:eastAsia="Calibri" w:hAnsi="Palatino Linotype" w:cs="Arial"/>
          <w:color w:val="000000" w:themeColor="text1"/>
          <w:lang w:val="es-ES"/>
        </w:rPr>
        <w:t xml:space="preserve"> a través </w:t>
      </w:r>
      <w:r w:rsidR="009107A0" w:rsidRPr="00D27D9F">
        <w:rPr>
          <w:rFonts w:ascii="Palatino Linotype" w:eastAsia="Calibri" w:hAnsi="Palatino Linotype" w:cs="Arial"/>
          <w:color w:val="000000" w:themeColor="text1"/>
          <w:lang w:val="es-ES"/>
        </w:rPr>
        <w:t>del informe justificado,</w:t>
      </w:r>
      <w:r w:rsidR="0089666C" w:rsidRPr="00D27D9F">
        <w:rPr>
          <w:rFonts w:ascii="Palatino Linotype" w:eastAsia="Calibri" w:hAnsi="Palatino Linotype" w:cs="Arial"/>
          <w:color w:val="000000" w:themeColor="text1"/>
          <w:lang w:val="es-ES"/>
        </w:rPr>
        <w:t xml:space="preserve"> reiteró</w:t>
      </w:r>
      <w:r w:rsidR="00FB0B57" w:rsidRPr="00D27D9F">
        <w:rPr>
          <w:rFonts w:ascii="Palatino Linotype" w:eastAsia="Calibri" w:hAnsi="Palatino Linotype" w:cs="Arial"/>
          <w:color w:val="000000" w:themeColor="text1"/>
          <w:lang w:val="es-ES"/>
        </w:rPr>
        <w:t xml:space="preserve"> </w:t>
      </w:r>
      <w:r w:rsidR="007B3A6F" w:rsidRPr="00D27D9F">
        <w:rPr>
          <w:rFonts w:ascii="Palatino Linotype" w:eastAsia="Calibri" w:hAnsi="Palatino Linotype" w:cs="Arial"/>
          <w:color w:val="000000" w:themeColor="text1"/>
          <w:lang w:val="es-ES"/>
        </w:rPr>
        <w:t xml:space="preserve">su respuesta </w:t>
      </w:r>
      <w:r w:rsidR="00A3119C">
        <w:rPr>
          <w:rFonts w:ascii="Palatino Linotype" w:eastAsia="Calibri" w:hAnsi="Palatino Linotype" w:cs="Arial"/>
          <w:color w:val="000000" w:themeColor="text1"/>
          <w:lang w:val="es-ES"/>
        </w:rPr>
        <w:t>inicial</w:t>
      </w:r>
      <w:r w:rsidR="00AE7FE4">
        <w:rPr>
          <w:rFonts w:ascii="Palatino Linotype" w:eastAsia="Calibri" w:hAnsi="Palatino Linotype" w:cs="Arial"/>
          <w:color w:val="000000" w:themeColor="text1"/>
          <w:lang w:val="es-ES"/>
        </w:rPr>
        <w:t xml:space="preserve">, argumentando que </w:t>
      </w:r>
      <w:r w:rsidR="001A17BC">
        <w:rPr>
          <w:rFonts w:ascii="Palatino Linotype" w:eastAsia="Calibri" w:hAnsi="Palatino Linotype" w:cs="Arial"/>
          <w:color w:val="000000" w:themeColor="text1"/>
          <w:lang w:val="es-ES"/>
        </w:rPr>
        <w:t xml:space="preserve">la información que requirió la particular en la solicitud primigenia es referente a los hallazgos registrados por COBUPEM, no a los reportados a la Fiscalía General de Justicia del Estado de México; </w:t>
      </w:r>
      <w:r w:rsidR="000B675B">
        <w:rPr>
          <w:rFonts w:ascii="Palatino Linotype" w:eastAsia="Calibri" w:hAnsi="Palatino Linotype" w:cs="Arial"/>
          <w:color w:val="000000" w:themeColor="text1"/>
          <w:lang w:val="es-ES"/>
        </w:rPr>
        <w:t xml:space="preserve">en este sentido agregó </w:t>
      </w:r>
      <w:r w:rsidR="001A17BC">
        <w:rPr>
          <w:rFonts w:ascii="Palatino Linotype" w:eastAsia="Calibri" w:hAnsi="Palatino Linotype" w:cs="Arial"/>
          <w:color w:val="000000" w:themeColor="text1"/>
          <w:lang w:val="es-ES"/>
        </w:rPr>
        <w:t xml:space="preserve">que la </w:t>
      </w:r>
      <w:r w:rsidR="00E9532F">
        <w:rPr>
          <w:rFonts w:ascii="Palatino Linotype" w:eastAsia="Calibri" w:hAnsi="Palatino Linotype" w:cs="Arial"/>
          <w:color w:val="000000" w:themeColor="text1"/>
          <w:lang w:val="es-ES"/>
        </w:rPr>
        <w:t>Fiscalía</w:t>
      </w:r>
      <w:r w:rsidR="001A17BC">
        <w:rPr>
          <w:rFonts w:ascii="Palatino Linotype" w:eastAsia="Calibri" w:hAnsi="Palatino Linotype" w:cs="Arial"/>
          <w:color w:val="000000" w:themeColor="text1"/>
          <w:lang w:val="es-ES"/>
        </w:rPr>
        <w:t xml:space="preserve"> Especializada para la investigación y Persecución de los </w:t>
      </w:r>
      <w:r w:rsidR="001A17BC">
        <w:rPr>
          <w:rFonts w:ascii="Palatino Linotype" w:eastAsia="Calibri" w:hAnsi="Palatino Linotype" w:cs="Arial"/>
          <w:color w:val="000000" w:themeColor="text1"/>
          <w:lang w:val="es-ES"/>
        </w:rPr>
        <w:lastRenderedPageBreak/>
        <w:t xml:space="preserve">Delitos en Materia de </w:t>
      </w:r>
      <w:r w:rsidR="00E9532F">
        <w:rPr>
          <w:rFonts w:ascii="Palatino Linotype" w:eastAsia="Calibri" w:hAnsi="Palatino Linotype" w:cs="Arial"/>
          <w:color w:val="000000" w:themeColor="text1"/>
          <w:lang w:val="es-ES"/>
        </w:rPr>
        <w:t>Desaparición Forzada de Personas y la Desaparición Cometida por Particulares</w:t>
      </w:r>
      <w:r w:rsidR="001519FF">
        <w:rPr>
          <w:rFonts w:ascii="Palatino Linotype" w:eastAsia="Calibri" w:hAnsi="Palatino Linotype" w:cs="Arial"/>
          <w:color w:val="000000" w:themeColor="text1"/>
          <w:lang w:val="es-ES"/>
        </w:rPr>
        <w:t xml:space="preserve"> </w:t>
      </w:r>
      <w:r w:rsidR="00E9532F">
        <w:rPr>
          <w:rFonts w:ascii="Palatino Linotype" w:eastAsia="Calibri" w:hAnsi="Palatino Linotype" w:cs="Arial"/>
          <w:color w:val="000000" w:themeColor="text1"/>
          <w:lang w:val="es-ES"/>
        </w:rPr>
        <w:t>y la Coordinación General de Servicios Periciales en el ejercicio de sus funciones y en el ámbito de su competencia cuenta</w:t>
      </w:r>
      <w:r w:rsidR="000B675B">
        <w:rPr>
          <w:rFonts w:ascii="Palatino Linotype" w:eastAsia="Calibri" w:hAnsi="Palatino Linotype" w:cs="Arial"/>
          <w:color w:val="000000" w:themeColor="text1"/>
          <w:lang w:val="es-ES"/>
        </w:rPr>
        <w:t>n</w:t>
      </w:r>
      <w:r w:rsidR="00E9532F">
        <w:rPr>
          <w:rFonts w:ascii="Palatino Linotype" w:eastAsia="Calibri" w:hAnsi="Palatino Linotype" w:cs="Arial"/>
          <w:color w:val="000000" w:themeColor="text1"/>
          <w:lang w:val="es-ES"/>
        </w:rPr>
        <w:t xml:space="preserve"> con información relacionada con diversos hallazgos.</w:t>
      </w:r>
    </w:p>
    <w:p w14:paraId="47898DEC" w14:textId="63E40196" w:rsidR="001519FF" w:rsidRPr="005D544A" w:rsidRDefault="005D544A" w:rsidP="005D544A">
      <w:pPr>
        <w:pStyle w:val="Prrafodelista"/>
        <w:tabs>
          <w:tab w:val="left" w:pos="426"/>
          <w:tab w:val="left" w:pos="567"/>
        </w:tabs>
        <w:ind w:left="0"/>
        <w:jc w:val="center"/>
        <w:rPr>
          <w:rFonts w:ascii="Palatino Linotype" w:eastAsia="Calibri" w:hAnsi="Palatino Linotype" w:cs="Arial"/>
          <w:color w:val="000000" w:themeColor="text1"/>
          <w:sz w:val="22"/>
          <w:szCs w:val="22"/>
          <w:lang w:val="es-ES"/>
        </w:rPr>
      </w:pPr>
      <w:r w:rsidRPr="005D544A">
        <w:rPr>
          <w:rFonts w:ascii="Palatino Linotype" w:eastAsia="Calibri" w:hAnsi="Palatino Linotype" w:cs="Arial"/>
          <w:color w:val="000000" w:themeColor="text1"/>
          <w:sz w:val="22"/>
          <w:szCs w:val="22"/>
          <w:lang w:val="es-ES"/>
        </w:rPr>
        <w:t>(…)</w:t>
      </w:r>
    </w:p>
    <w:p w14:paraId="5AEBF8D9" w14:textId="355F196C" w:rsidR="001519FF" w:rsidRPr="005D544A" w:rsidRDefault="001519FF" w:rsidP="005D544A">
      <w:pPr>
        <w:pStyle w:val="Prrafodelista"/>
        <w:tabs>
          <w:tab w:val="left" w:pos="426"/>
          <w:tab w:val="left" w:pos="567"/>
        </w:tabs>
        <w:ind w:left="0"/>
        <w:jc w:val="center"/>
        <w:rPr>
          <w:rFonts w:ascii="Palatino Linotype" w:eastAsia="Calibri" w:hAnsi="Palatino Linotype" w:cs="Arial"/>
          <w:b/>
          <w:color w:val="000000" w:themeColor="text1"/>
          <w:sz w:val="22"/>
          <w:szCs w:val="22"/>
          <w:lang w:val="es-ES"/>
        </w:rPr>
      </w:pPr>
      <w:r w:rsidRPr="005D544A">
        <w:rPr>
          <w:rFonts w:ascii="Palatino Linotype" w:eastAsia="Calibri" w:hAnsi="Palatino Linotype" w:cs="Arial"/>
          <w:b/>
          <w:noProof/>
          <w:color w:val="000000" w:themeColor="text1"/>
          <w:sz w:val="22"/>
          <w:szCs w:val="22"/>
        </w:rPr>
        <w:drawing>
          <wp:inline distT="0" distB="0" distL="0" distR="0" wp14:anchorId="3B0512D7" wp14:editId="02D9AC4B">
            <wp:extent cx="5444266" cy="2663825"/>
            <wp:effectExtent l="12700" t="12700" r="17145" b="158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9"/>
                    <a:srcRect l="6587" t="66525"/>
                    <a:stretch/>
                  </pic:blipFill>
                  <pic:spPr bwMode="auto">
                    <a:xfrm>
                      <a:off x="0" y="0"/>
                      <a:ext cx="5490169" cy="2686285"/>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10605F" w14:textId="528F2CC6" w:rsidR="001519FF" w:rsidRDefault="005D544A" w:rsidP="005D544A">
      <w:pPr>
        <w:pStyle w:val="Prrafodelista"/>
        <w:tabs>
          <w:tab w:val="left" w:pos="426"/>
          <w:tab w:val="left" w:pos="567"/>
        </w:tabs>
        <w:ind w:left="0"/>
        <w:jc w:val="center"/>
        <w:rPr>
          <w:rFonts w:ascii="Palatino Linotype" w:eastAsia="Calibri" w:hAnsi="Palatino Linotype" w:cs="Arial"/>
          <w:color w:val="000000" w:themeColor="text1"/>
          <w:sz w:val="22"/>
          <w:szCs w:val="22"/>
          <w:lang w:val="es-ES"/>
        </w:rPr>
      </w:pPr>
      <w:r w:rsidRPr="005D544A">
        <w:rPr>
          <w:rFonts w:ascii="Palatino Linotype" w:eastAsia="Calibri" w:hAnsi="Palatino Linotype" w:cs="Arial"/>
          <w:color w:val="000000" w:themeColor="text1"/>
          <w:sz w:val="22"/>
          <w:szCs w:val="22"/>
          <w:lang w:val="es-ES"/>
        </w:rPr>
        <w:t>(…)</w:t>
      </w:r>
    </w:p>
    <w:p w14:paraId="59B57BE3" w14:textId="77777777" w:rsidR="005D544A" w:rsidRPr="005D544A" w:rsidRDefault="005D544A" w:rsidP="005D544A">
      <w:pPr>
        <w:pStyle w:val="Prrafodelista"/>
        <w:tabs>
          <w:tab w:val="left" w:pos="426"/>
          <w:tab w:val="left" w:pos="567"/>
        </w:tabs>
        <w:ind w:left="0"/>
        <w:jc w:val="center"/>
        <w:rPr>
          <w:rFonts w:ascii="Palatino Linotype" w:eastAsia="Calibri" w:hAnsi="Palatino Linotype" w:cs="Arial"/>
          <w:color w:val="000000" w:themeColor="text1"/>
          <w:sz w:val="22"/>
          <w:szCs w:val="22"/>
          <w:lang w:val="es-ES"/>
        </w:rPr>
      </w:pPr>
    </w:p>
    <w:p w14:paraId="1583E8D1" w14:textId="5D73790B" w:rsidR="00E43FC4" w:rsidRDefault="005D544A" w:rsidP="00E43FC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Conforme a lo </w:t>
      </w:r>
      <w:r w:rsidR="00FE2FD5">
        <w:rPr>
          <w:rFonts w:ascii="Palatino Linotype" w:eastAsia="Calibri" w:hAnsi="Palatino Linotype" w:cs="Arial"/>
          <w:color w:val="000000" w:themeColor="text1"/>
          <w:lang w:val="es-ES"/>
        </w:rPr>
        <w:t>anterior</w:t>
      </w:r>
      <w:r>
        <w:rPr>
          <w:rFonts w:ascii="Palatino Linotype" w:eastAsia="Calibri" w:hAnsi="Palatino Linotype" w:cs="Arial"/>
          <w:color w:val="000000" w:themeColor="text1"/>
          <w:lang w:val="es-ES"/>
        </w:rPr>
        <w:t>,</w:t>
      </w:r>
      <w:r w:rsidR="00886F73">
        <w:rPr>
          <w:rFonts w:ascii="Palatino Linotype" w:eastAsia="Calibri" w:hAnsi="Palatino Linotype" w:cs="Arial"/>
          <w:color w:val="000000" w:themeColor="text1"/>
          <w:lang w:val="es-ES"/>
        </w:rPr>
        <w:t xml:space="preserve"> </w:t>
      </w:r>
      <w:r w:rsidR="00FE2FD5">
        <w:rPr>
          <w:rFonts w:ascii="Palatino Linotype" w:eastAsia="Calibri" w:hAnsi="Palatino Linotype" w:cs="Arial"/>
          <w:color w:val="000000" w:themeColor="text1"/>
          <w:lang w:val="es-ES"/>
        </w:rPr>
        <w:t xml:space="preserve">observamos a través del informe justificado, </w:t>
      </w:r>
      <w:r>
        <w:rPr>
          <w:rFonts w:ascii="Palatino Linotype" w:eastAsia="Calibri" w:hAnsi="Palatino Linotype" w:cs="Arial"/>
          <w:color w:val="000000" w:themeColor="text1"/>
          <w:lang w:val="es-ES"/>
        </w:rPr>
        <w:t xml:space="preserve">el </w:t>
      </w:r>
      <w:r w:rsidRPr="00EA0E17">
        <w:rPr>
          <w:rFonts w:ascii="Palatino Linotype" w:eastAsia="Calibri" w:hAnsi="Palatino Linotype" w:cs="Arial"/>
          <w:b/>
          <w:bCs/>
          <w:color w:val="000000" w:themeColor="text1"/>
          <w:lang w:val="es-ES"/>
        </w:rPr>
        <w:t xml:space="preserve">SUJETO OBLIGADO </w:t>
      </w:r>
      <w:r>
        <w:rPr>
          <w:rFonts w:ascii="Palatino Linotype" w:eastAsia="Calibri" w:hAnsi="Palatino Linotype" w:cs="Arial"/>
          <w:color w:val="000000" w:themeColor="text1"/>
          <w:lang w:val="es-ES"/>
        </w:rPr>
        <w:t xml:space="preserve">afirmó </w:t>
      </w:r>
      <w:r w:rsidR="00EA0E17">
        <w:rPr>
          <w:rFonts w:ascii="Palatino Linotype" w:eastAsia="Calibri" w:hAnsi="Palatino Linotype" w:cs="Arial"/>
          <w:color w:val="000000" w:themeColor="text1"/>
          <w:lang w:val="es-ES"/>
        </w:rPr>
        <w:t>poseer información relacionada con lo requerido</w:t>
      </w:r>
      <w:r w:rsidR="00886F73">
        <w:rPr>
          <w:rFonts w:ascii="Palatino Linotype" w:eastAsia="Calibri" w:hAnsi="Palatino Linotype" w:cs="Arial"/>
          <w:color w:val="000000" w:themeColor="text1"/>
          <w:lang w:val="es-ES"/>
        </w:rPr>
        <w:t>,</w:t>
      </w:r>
      <w:r w:rsidR="001639CC">
        <w:rPr>
          <w:rFonts w:ascii="Palatino Linotype" w:eastAsia="Calibri" w:hAnsi="Palatino Linotype" w:cs="Arial"/>
          <w:color w:val="000000" w:themeColor="text1"/>
          <w:lang w:val="es-ES"/>
        </w:rPr>
        <w:t xml:space="preserve"> </w:t>
      </w:r>
      <w:r w:rsidR="00FE2FD5">
        <w:rPr>
          <w:rFonts w:ascii="Palatino Linotype" w:eastAsia="Calibri" w:hAnsi="Palatino Linotype" w:cs="Arial"/>
          <w:color w:val="000000" w:themeColor="text1"/>
          <w:lang w:val="es-ES"/>
        </w:rPr>
        <w:t>t</w:t>
      </w:r>
      <w:r w:rsidR="00EA0E17">
        <w:rPr>
          <w:rFonts w:ascii="Palatino Linotype" w:eastAsia="Calibri" w:hAnsi="Palatino Linotype" w:cs="Arial"/>
          <w:color w:val="000000" w:themeColor="text1"/>
          <w:lang w:val="es-ES"/>
        </w:rPr>
        <w:t>an es así que señaló las</w:t>
      </w:r>
      <w:r w:rsidR="001639CC">
        <w:rPr>
          <w:rFonts w:ascii="Palatino Linotype" w:eastAsia="Calibri" w:hAnsi="Palatino Linotype" w:cs="Arial"/>
          <w:color w:val="000000" w:themeColor="text1"/>
          <w:lang w:val="es-ES"/>
        </w:rPr>
        <w:t xml:space="preserve"> Unidades Administrativas que pueden atender la solicitud de información</w:t>
      </w:r>
      <w:r w:rsidR="00FE2FD5">
        <w:rPr>
          <w:rFonts w:ascii="Palatino Linotype" w:eastAsia="Calibri" w:hAnsi="Palatino Linotype" w:cs="Arial"/>
          <w:color w:val="000000" w:themeColor="text1"/>
          <w:lang w:val="es-ES"/>
        </w:rPr>
        <w:t xml:space="preserve">, como lo son la </w:t>
      </w:r>
      <w:r w:rsidR="00FE2FD5" w:rsidRPr="00FE2FD5">
        <w:rPr>
          <w:rFonts w:ascii="Palatino Linotype" w:eastAsia="Calibri" w:hAnsi="Palatino Linotype" w:cs="Arial"/>
          <w:color w:val="000000" w:themeColor="text1"/>
          <w:u w:val="single"/>
          <w:lang w:val="es-ES"/>
        </w:rPr>
        <w:t>Fiscalía Especializada para la Investigación y Persecución de los Delitos en Materia de Desaparición Forzada de Personas y la Desaparición Cometida por Particulares</w:t>
      </w:r>
      <w:r w:rsidR="00FE2FD5">
        <w:rPr>
          <w:rFonts w:ascii="Palatino Linotype" w:eastAsia="Calibri" w:hAnsi="Palatino Linotype" w:cs="Arial"/>
          <w:color w:val="000000" w:themeColor="text1"/>
          <w:lang w:val="es-ES"/>
        </w:rPr>
        <w:t xml:space="preserve"> y la </w:t>
      </w:r>
      <w:r w:rsidR="00FE2FD5" w:rsidRPr="00FE2FD5">
        <w:rPr>
          <w:rFonts w:ascii="Palatino Linotype" w:eastAsia="Calibri" w:hAnsi="Palatino Linotype" w:cs="Arial"/>
          <w:color w:val="000000" w:themeColor="text1"/>
          <w:u w:val="single"/>
          <w:lang w:val="es-ES"/>
        </w:rPr>
        <w:t>Coordinación General de Servicios Periciales</w:t>
      </w:r>
      <w:r w:rsidR="001639CC">
        <w:rPr>
          <w:rFonts w:ascii="Palatino Linotype" w:eastAsia="Calibri" w:hAnsi="Palatino Linotype" w:cs="Arial"/>
          <w:color w:val="000000" w:themeColor="text1"/>
          <w:lang w:val="es-ES"/>
        </w:rPr>
        <w:t xml:space="preserve">, mismas que se encuentran en el Organigrama de la Fiscalía General de </w:t>
      </w:r>
      <w:r w:rsidR="001639CC">
        <w:rPr>
          <w:rFonts w:ascii="Palatino Linotype" w:eastAsia="Calibri" w:hAnsi="Palatino Linotype" w:cs="Arial"/>
          <w:color w:val="000000" w:themeColor="text1"/>
          <w:lang w:val="es-ES"/>
        </w:rPr>
        <w:lastRenderedPageBreak/>
        <w:t xml:space="preserve">Justicia del Estado de México, el cual se puede consultar a través de la siguiente liga electrónica: </w:t>
      </w:r>
    </w:p>
    <w:p w14:paraId="21A835FA" w14:textId="77777777" w:rsidR="00E43FC4" w:rsidRPr="00E43FC4" w:rsidRDefault="00E43FC4" w:rsidP="00E43FC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43FF01" w14:textId="0D26C4FB" w:rsidR="00E43FC4" w:rsidRDefault="00F8404A" w:rsidP="00E43FC4">
      <w:pPr>
        <w:pStyle w:val="Prrafodelista"/>
        <w:tabs>
          <w:tab w:val="left" w:pos="426"/>
          <w:tab w:val="left" w:pos="567"/>
        </w:tabs>
        <w:spacing w:line="360" w:lineRule="auto"/>
        <w:ind w:left="0"/>
        <w:jc w:val="center"/>
        <w:rPr>
          <w:rFonts w:ascii="Palatino Linotype" w:eastAsia="Calibri" w:hAnsi="Palatino Linotype" w:cs="Arial"/>
          <w:color w:val="000000" w:themeColor="text1"/>
          <w:sz w:val="20"/>
          <w:szCs w:val="20"/>
          <w:lang w:val="es-ES"/>
        </w:rPr>
      </w:pPr>
      <w:hyperlink r:id="rId10" w:history="1">
        <w:r w:rsidR="001639CC" w:rsidRPr="00BA7E8B">
          <w:rPr>
            <w:rStyle w:val="Hipervnculo"/>
            <w:rFonts w:ascii="Palatino Linotype" w:eastAsia="Calibri" w:hAnsi="Palatino Linotype" w:cs="Arial"/>
            <w:sz w:val="20"/>
            <w:szCs w:val="20"/>
            <w:lang w:val="es-ES"/>
          </w:rPr>
          <w:t>https://dgi.edomex.gob.mx/sites/dgi.edomex.gob.mx/files/organigramas/pdf/22891512618261.pdf</w:t>
        </w:r>
      </w:hyperlink>
    </w:p>
    <w:p w14:paraId="072D629E" w14:textId="77777777" w:rsidR="00FE2FD5" w:rsidRPr="00BA7E8B" w:rsidRDefault="00FE2FD5" w:rsidP="00E43FC4">
      <w:pPr>
        <w:pStyle w:val="Prrafodelista"/>
        <w:tabs>
          <w:tab w:val="left" w:pos="426"/>
          <w:tab w:val="left" w:pos="567"/>
        </w:tabs>
        <w:spacing w:line="360" w:lineRule="auto"/>
        <w:ind w:left="0"/>
        <w:jc w:val="both"/>
        <w:rPr>
          <w:rFonts w:ascii="Palatino Linotype" w:eastAsia="Calibri" w:hAnsi="Palatino Linotype" w:cs="Arial"/>
          <w:color w:val="000000" w:themeColor="text1"/>
          <w:sz w:val="20"/>
          <w:szCs w:val="20"/>
          <w:lang w:val="es-ES"/>
        </w:rPr>
      </w:pPr>
    </w:p>
    <w:p w14:paraId="1ABFFFBF" w14:textId="7D601DD9" w:rsidR="001639CC" w:rsidRDefault="00886F73" w:rsidP="001639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rPr>
        <mc:AlternateContent>
          <mc:Choice Requires="wps">
            <w:drawing>
              <wp:anchor distT="0" distB="0" distL="114300" distR="114300" simplePos="0" relativeHeight="251687936" behindDoc="0" locked="0" layoutInCell="1" allowOverlap="1" wp14:anchorId="6984BC61" wp14:editId="021460CB">
                <wp:simplePos x="0" y="0"/>
                <wp:positionH relativeFrom="column">
                  <wp:posOffset>1931035</wp:posOffset>
                </wp:positionH>
                <wp:positionV relativeFrom="paragraph">
                  <wp:posOffset>784225</wp:posOffset>
                </wp:positionV>
                <wp:extent cx="246380" cy="191770"/>
                <wp:effectExtent l="50800" t="25400" r="33020" b="74930"/>
                <wp:wrapNone/>
                <wp:docPr id="15" name="Elipse 15"/>
                <wp:cNvGraphicFramePr/>
                <a:graphic xmlns:a="http://schemas.openxmlformats.org/drawingml/2006/main">
                  <a:graphicData uri="http://schemas.microsoft.com/office/word/2010/wordprocessingShape">
                    <wps:wsp>
                      <wps:cNvSpPr/>
                      <wps:spPr>
                        <a:xfrm>
                          <a:off x="0" y="0"/>
                          <a:ext cx="246380" cy="19177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AAE3A4" id="Elipse 15" o:spid="_x0000_s1026" style="position:absolute;margin-left:152.05pt;margin-top:61.75pt;width:19.4pt;height:1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" filled="f" strokecolor="red">
                <v:shadow on="t" color="black" opacity="22937f" origin=",.5" offset="0,.63889mm"/>
              </v:oval>
            </w:pict>
          </mc:Fallback>
        </mc:AlternateContent>
      </w:r>
      <w:r>
        <w:rPr>
          <w:rFonts w:ascii="Palatino Linotype" w:eastAsia="Calibri" w:hAnsi="Palatino Linotype" w:cs="Arial"/>
          <w:noProof/>
          <w:color w:val="000000" w:themeColor="text1"/>
        </w:rPr>
        <mc:AlternateContent>
          <mc:Choice Requires="wps">
            <w:drawing>
              <wp:anchor distT="0" distB="0" distL="114300" distR="114300" simplePos="0" relativeHeight="251685888" behindDoc="0" locked="0" layoutInCell="1" allowOverlap="1" wp14:anchorId="7BBF9D12" wp14:editId="0E30E7E7">
                <wp:simplePos x="0" y="0"/>
                <wp:positionH relativeFrom="column">
                  <wp:posOffset>3702685</wp:posOffset>
                </wp:positionH>
                <wp:positionV relativeFrom="paragraph">
                  <wp:posOffset>544195</wp:posOffset>
                </wp:positionV>
                <wp:extent cx="349250" cy="351790"/>
                <wp:effectExtent l="50800" t="25400" r="69850" b="80010"/>
                <wp:wrapNone/>
                <wp:docPr id="14" name="Elipse 14"/>
                <wp:cNvGraphicFramePr/>
                <a:graphic xmlns:a="http://schemas.openxmlformats.org/drawingml/2006/main">
                  <a:graphicData uri="http://schemas.microsoft.com/office/word/2010/wordprocessingShape">
                    <wps:wsp>
                      <wps:cNvSpPr/>
                      <wps:spPr>
                        <a:xfrm>
                          <a:off x="0" y="0"/>
                          <a:ext cx="349250" cy="35179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B85AE02" id="Elipse 14" o:spid="_x0000_s1026" style="position:absolute;margin-left:291.55pt;margin-top:42.85pt;width:27.5pt;height:2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" filled="f" strokecolor="red">
                <v:shadow on="t" color="black" opacity="22937f" origin=",.5" offset="0,.63889mm"/>
              </v:oval>
            </w:pict>
          </mc:Fallback>
        </mc:AlternateContent>
      </w:r>
      <w:r w:rsidR="00BA7E8B">
        <w:rPr>
          <w:rFonts w:ascii="Palatino Linotype" w:eastAsia="Calibri" w:hAnsi="Palatino Linotype" w:cs="Arial"/>
          <w:noProof/>
          <w:color w:val="000000" w:themeColor="text1"/>
        </w:rPr>
        <w:drawing>
          <wp:inline distT="0" distB="0" distL="0" distR="0" wp14:anchorId="0FA9CCF6" wp14:editId="0003B452">
            <wp:extent cx="5579745" cy="2166620"/>
            <wp:effectExtent l="12700" t="12700" r="8255" b="177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1"/>
                    <a:stretch>
                      <a:fillRect/>
                    </a:stretch>
                  </pic:blipFill>
                  <pic:spPr>
                    <a:xfrm>
                      <a:off x="0" y="0"/>
                      <a:ext cx="5582934" cy="2167858"/>
                    </a:xfrm>
                    <a:prstGeom prst="rect">
                      <a:avLst/>
                    </a:prstGeom>
                    <a:ln>
                      <a:solidFill>
                        <a:schemeClr val="tx1"/>
                      </a:solidFill>
                    </a:ln>
                  </pic:spPr>
                </pic:pic>
              </a:graphicData>
            </a:graphic>
          </wp:inline>
        </w:drawing>
      </w:r>
    </w:p>
    <w:p w14:paraId="12BF771B" w14:textId="564902AD" w:rsidR="00BA7E8B" w:rsidRDefault="00BA7E8B" w:rsidP="001639C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54A3C2" w14:textId="4D2B85F8" w:rsidR="000B675B" w:rsidRPr="000B675B" w:rsidRDefault="00BA7E8B" w:rsidP="00E43FC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rPr>
        <w:drawing>
          <wp:inline distT="0" distB="0" distL="0" distR="0" wp14:anchorId="714FDAAC" wp14:editId="2531E766">
            <wp:extent cx="2614693" cy="2421890"/>
            <wp:effectExtent l="12700" t="12700" r="14605" b="165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rotWithShape="1">
                    <a:blip r:embed="rId12"/>
                    <a:srcRect l="22629" t="37819" r="32943" b="432"/>
                    <a:stretch/>
                  </pic:blipFill>
                  <pic:spPr bwMode="auto">
                    <a:xfrm>
                      <a:off x="0" y="0"/>
                      <a:ext cx="2632315" cy="2438212"/>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Pr>
          <w:rFonts w:ascii="Palatino Linotype" w:eastAsia="Calibri" w:hAnsi="Palatino Linotype" w:cs="Arial"/>
          <w:color w:val="000000" w:themeColor="text1"/>
          <w:lang w:val="es-ES"/>
        </w:rPr>
        <w:t xml:space="preserve">   </w:t>
      </w:r>
      <w:r>
        <w:rPr>
          <w:rFonts w:ascii="Palatino Linotype" w:eastAsia="Calibri" w:hAnsi="Palatino Linotype" w:cs="Arial"/>
          <w:noProof/>
          <w:color w:val="000000" w:themeColor="text1"/>
        </w:rPr>
        <w:drawing>
          <wp:inline distT="0" distB="0" distL="0" distR="0" wp14:anchorId="58A8983C" wp14:editId="23376CE4">
            <wp:extent cx="2719543" cy="2423160"/>
            <wp:effectExtent l="12700" t="12700" r="11430" b="1524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rotWithShape="1">
                    <a:blip r:embed="rId13"/>
                    <a:srcRect l="26977" t="67" r="34399" b="65038"/>
                    <a:stretch/>
                  </pic:blipFill>
                  <pic:spPr bwMode="auto">
                    <a:xfrm>
                      <a:off x="0" y="0"/>
                      <a:ext cx="2755637" cy="2455321"/>
                    </a:xfrm>
                    <a:prstGeom prst="rect">
                      <a:avLst/>
                    </a:prstGeom>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641944B7" w14:textId="7DB25869" w:rsidR="002D2553" w:rsidRPr="00CE5082" w:rsidRDefault="00CE5082"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Conforme </w:t>
      </w:r>
      <w:r>
        <w:rPr>
          <w:rFonts w:ascii="Palatino Linotype" w:eastAsia="MS Mincho" w:hAnsi="Palatino Linotype"/>
          <w:lang w:val="es-ES_tradnl" w:eastAsia="es-ES"/>
        </w:rPr>
        <w:t>a lo anterior, evidentemente la Titular de la Unidad de Transparencia no siguió el procedimiento de búsqueda de la información, previsto en el artículo 162 de la Ley de Transparencia Local, toda vez que omitió turnar las solicitudes de información a todas las áreas que pudieran o deban contar con lo requerido conforme a sus facultades, competencias y funciones, con el propósito de realizar una búsqueda exhaustiva y razonable de la información</w:t>
      </w:r>
      <w:r w:rsidR="00DA693C">
        <w:rPr>
          <w:rFonts w:ascii="Palatino Linotype" w:eastAsia="MS Mincho" w:hAnsi="Palatino Linotype"/>
        </w:rPr>
        <w:t>.</w:t>
      </w:r>
    </w:p>
    <w:p w14:paraId="647D77CB" w14:textId="77777777" w:rsidR="00CE5082" w:rsidRDefault="00CE5082" w:rsidP="00CE508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F7619E" w14:textId="43B5DD6D" w:rsidR="002D2553" w:rsidRDefault="00DA693C"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Es </w:t>
      </w:r>
      <w:r>
        <w:rPr>
          <w:rFonts w:ascii="Palatino Linotype" w:eastAsia="MS Mincho" w:hAnsi="Palatino Linotype"/>
          <w:lang w:val="es-ES_tradnl" w:eastAsia="es-ES"/>
        </w:rPr>
        <w:t xml:space="preserve">importante referir que, las Unidades de Transparencia son las áreas responsables en cada Sujeto Obligado de dar tención a las solicitudes de información, por lo tanto, el responsable de dicha área es el enlace entre el </w:t>
      </w:r>
      <w:r w:rsidRPr="00C41FFB">
        <w:rPr>
          <w:rFonts w:ascii="Palatino Linotype" w:eastAsia="MS Mincho" w:hAnsi="Palatino Linotype"/>
          <w:b/>
          <w:bCs/>
          <w:lang w:val="es-ES_tradnl" w:eastAsia="es-ES"/>
        </w:rPr>
        <w:t>SUJETO OBLIGADO</w:t>
      </w:r>
      <w:r>
        <w:rPr>
          <w:rFonts w:ascii="Palatino Linotype" w:eastAsia="MS Mincho" w:hAnsi="Palatino Linotype"/>
          <w:lang w:val="es-ES_tradnl" w:eastAsia="es-ES"/>
        </w:rPr>
        <w:t xml:space="preserve"> y los solicitantes, quien cuenta con la responsabilidad de dar tramite internamente a las mismas solicitudes de información.</w:t>
      </w:r>
    </w:p>
    <w:p w14:paraId="02D81C33" w14:textId="77777777" w:rsidR="00DA693C" w:rsidRPr="00DA693C" w:rsidRDefault="00DA693C" w:rsidP="00DA693C">
      <w:pPr>
        <w:rPr>
          <w:rFonts w:ascii="Palatino Linotype" w:eastAsia="Calibri" w:hAnsi="Palatino Linotype" w:cs="Arial"/>
          <w:color w:val="000000" w:themeColor="text1"/>
          <w:lang w:val="es-ES"/>
        </w:rPr>
      </w:pPr>
    </w:p>
    <w:p w14:paraId="2B16F84A" w14:textId="48579D1C" w:rsidR="00DA693C" w:rsidRPr="0048508C" w:rsidRDefault="00DA693C" w:rsidP="00DA693C">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ese </w:t>
      </w:r>
      <w:r>
        <w:rPr>
          <w:rFonts w:ascii="Palatino Linotype" w:eastAsia="MS Mincho" w:hAnsi="Palatino Linotype"/>
          <w:lang w:val="es-ES_tradnl" w:eastAsia="es-ES"/>
        </w:rPr>
        <w:t xml:space="preserve">sentido, corresponde al Titular de la Unidad de Transparencia garantizar que las solicitudes se turnen a todas las áreas competentes que puedan contar con la información, con el objeto de que realicen una búsqueda exhaustiva y razonable, en este caso, de turnar la solicitud a todas las unidades administrativas que conforme a sus atribuciones previstas en </w:t>
      </w:r>
      <w:r w:rsidR="006673FD" w:rsidRPr="008441F5">
        <w:rPr>
          <w:rFonts w:ascii="Palatino Linotype" w:eastAsia="MS Mincho" w:hAnsi="Palatino Linotype"/>
        </w:rPr>
        <w:t>la Ley de la Fiscalía General de Justicia del Estado de México</w:t>
      </w:r>
      <w:r w:rsidRPr="008441F5">
        <w:rPr>
          <w:rFonts w:ascii="Palatino Linotype" w:eastAsia="MS Mincho" w:hAnsi="Palatino Linotype"/>
          <w:lang w:val="es-ES_tradnl" w:eastAsia="es-ES"/>
        </w:rPr>
        <w:t xml:space="preserve"> y </w:t>
      </w:r>
      <w:r w:rsidR="006673FD" w:rsidRPr="008441F5">
        <w:rPr>
          <w:rFonts w:ascii="Palatino Linotype" w:eastAsia="MS Mincho" w:hAnsi="Palatino Linotype"/>
        </w:rPr>
        <w:t xml:space="preserve">el Reglamento de la Ley </w:t>
      </w:r>
      <w:r w:rsidR="008441F5" w:rsidRPr="008441F5">
        <w:rPr>
          <w:rFonts w:ascii="Palatino Linotype" w:eastAsia="MS Mincho" w:hAnsi="Palatino Linotype"/>
        </w:rPr>
        <w:t>Orgánica</w:t>
      </w:r>
      <w:r w:rsidR="006673FD" w:rsidRPr="008441F5">
        <w:rPr>
          <w:rFonts w:ascii="Palatino Linotype" w:eastAsia="MS Mincho" w:hAnsi="Palatino Linotype"/>
        </w:rPr>
        <w:t xml:space="preserve"> de la </w:t>
      </w:r>
      <w:r w:rsidR="008441F5" w:rsidRPr="008441F5">
        <w:rPr>
          <w:rFonts w:ascii="Palatino Linotype" w:eastAsia="MS Mincho" w:hAnsi="Palatino Linotype"/>
        </w:rPr>
        <w:t>Fiscalía</w:t>
      </w:r>
      <w:r w:rsidR="006673FD" w:rsidRPr="008441F5">
        <w:rPr>
          <w:rFonts w:ascii="Palatino Linotype" w:eastAsia="MS Mincho" w:hAnsi="Palatino Linotype"/>
        </w:rPr>
        <w:t xml:space="preserve"> General de</w:t>
      </w:r>
      <w:r w:rsidR="008441F5" w:rsidRPr="008441F5">
        <w:rPr>
          <w:rFonts w:ascii="Palatino Linotype" w:eastAsia="MS Mincho" w:hAnsi="Palatino Linotype"/>
        </w:rPr>
        <w:t xml:space="preserve"> Justicia del Estado de México.</w:t>
      </w:r>
    </w:p>
    <w:p w14:paraId="64330FEA" w14:textId="77777777" w:rsidR="0048508C" w:rsidRPr="0048508C" w:rsidRDefault="0048508C" w:rsidP="0048508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2D11F7" w14:textId="36649711" w:rsidR="00DA693C" w:rsidRPr="00AC096D" w:rsidRDefault="008441F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Asimismo, se advierte que </w:t>
      </w:r>
      <w:r>
        <w:rPr>
          <w:rFonts w:ascii="Palatino Linotype" w:eastAsia="MS Mincho" w:hAnsi="Palatino Linotype"/>
          <w:lang w:val="es-ES_tradnl" w:eastAsia="es-ES"/>
        </w:rPr>
        <w:t xml:space="preserve">el Derecho de Acceso a la Información Pública, consiste en que la información solicitada conste en un soporte documental, como lo son: expedientes, reportes, estudios, actas, resoluciones, oficios, correspondencia, acuerdos, directivas, circulares, contratos, convenios, instructivos, notas, memorandos, estadísticas o bien, cualquier otro registro que documente el ejercicio de las facultades, funciones y competencias del los Sujetos Obligados; los que podrían estar en cualquier medio, sea escrito, impreso, sonoro, visual, electrónico, informático u holográfico, de conformidad con el artículo 3, fracción XI de la Ley de la </w:t>
      </w:r>
      <w:r w:rsidRPr="00AC096D">
        <w:rPr>
          <w:rFonts w:ascii="Palatino Linotype" w:eastAsia="MS Mincho" w:hAnsi="Palatino Linotype"/>
          <w:lang w:val="es-ES_tradnl" w:eastAsia="es-ES"/>
        </w:rPr>
        <w:t>materia, que a la letra dice:</w:t>
      </w:r>
    </w:p>
    <w:p w14:paraId="4C0426B7" w14:textId="21DBA6BA" w:rsidR="008441F5" w:rsidRPr="00AC096D" w:rsidRDefault="008441F5" w:rsidP="008441F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2AC9BD" w14:textId="77777777" w:rsidR="008441F5" w:rsidRPr="00AC096D" w:rsidRDefault="008441F5" w:rsidP="008441F5">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w:t>
      </w:r>
      <w:r w:rsidRPr="00AC096D">
        <w:rPr>
          <w:rFonts w:ascii="Palatino Linotype" w:eastAsiaTheme="minorHAnsi" w:hAnsi="Palatino Linotype"/>
          <w:b/>
          <w:bCs/>
          <w:i/>
          <w:iCs/>
          <w:sz w:val="22"/>
          <w:szCs w:val="22"/>
          <w:lang w:eastAsia="en-US"/>
        </w:rPr>
        <w:t>Artículo 3.</w:t>
      </w:r>
      <w:r w:rsidRPr="00AC096D">
        <w:rPr>
          <w:rFonts w:ascii="Palatino Linotype" w:eastAsiaTheme="minorHAnsi" w:hAnsi="Palatino Linotype"/>
          <w:i/>
          <w:iCs/>
          <w:sz w:val="22"/>
          <w:szCs w:val="22"/>
          <w:lang w:eastAsia="en-US"/>
        </w:rPr>
        <w:t xml:space="preserve"> Para los efectos de la presente Ley se entenderá por:</w:t>
      </w:r>
    </w:p>
    <w:p w14:paraId="3F8A4EDF" w14:textId="77777777" w:rsidR="008441F5" w:rsidRPr="00AC096D" w:rsidRDefault="008441F5" w:rsidP="008441F5">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w:t>
      </w:r>
    </w:p>
    <w:p w14:paraId="38009A8D" w14:textId="77777777" w:rsidR="008441F5" w:rsidRPr="00AC096D" w:rsidRDefault="008441F5" w:rsidP="008441F5">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b/>
          <w:bCs/>
          <w:i/>
          <w:iCs/>
          <w:sz w:val="22"/>
          <w:szCs w:val="22"/>
          <w:lang w:eastAsia="en-US"/>
        </w:rPr>
        <w:t>XI. Documento:</w:t>
      </w:r>
      <w:r w:rsidRPr="00AC096D">
        <w:rPr>
          <w:rFonts w:ascii="Palatino Linotype" w:eastAsiaTheme="minorHAnsi" w:hAnsi="Palatino Linotype"/>
          <w:i/>
          <w:iCs/>
          <w:sz w:val="22"/>
          <w:szCs w:val="22"/>
          <w:lang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A35EF63" w14:textId="77777777" w:rsidR="008441F5" w:rsidRPr="00AC096D" w:rsidRDefault="008441F5" w:rsidP="008441F5">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w:t>
      </w:r>
    </w:p>
    <w:p w14:paraId="522D6C79" w14:textId="77777777" w:rsidR="008441F5" w:rsidRPr="00AC096D" w:rsidRDefault="008441F5" w:rsidP="008441F5">
      <w:pPr>
        <w:autoSpaceDE w:val="0"/>
        <w:autoSpaceDN w:val="0"/>
        <w:adjustRightInd w:val="0"/>
        <w:ind w:left="567" w:right="567"/>
        <w:jc w:val="both"/>
        <w:rPr>
          <w:rFonts w:ascii="Palatino Linotype" w:eastAsiaTheme="minorHAnsi" w:hAnsi="Palatino Linotype"/>
          <w:i/>
          <w:iCs/>
          <w:sz w:val="22"/>
          <w:szCs w:val="22"/>
          <w:lang w:eastAsia="en-US"/>
        </w:rPr>
      </w:pPr>
    </w:p>
    <w:p w14:paraId="0297F4E8" w14:textId="595AA9E2" w:rsidR="008441F5" w:rsidRPr="00AC096D" w:rsidRDefault="008441F5" w:rsidP="008441F5">
      <w:pPr>
        <w:autoSpaceDE w:val="0"/>
        <w:autoSpaceDN w:val="0"/>
        <w:adjustRightInd w:val="0"/>
        <w:ind w:left="567" w:right="567"/>
        <w:jc w:val="both"/>
        <w:rPr>
          <w:rFonts w:ascii="Palatino Linotype" w:eastAsiaTheme="minorHAnsi" w:hAnsi="Palatino Linotype" w:cstheme="minorBidi"/>
          <w:b/>
          <w:bCs/>
          <w:i/>
          <w:iCs/>
          <w:sz w:val="22"/>
          <w:szCs w:val="22"/>
          <w:lang w:val="es-ES_tradnl" w:eastAsia="en-US"/>
        </w:rPr>
      </w:pPr>
      <w:r w:rsidRPr="00AC096D">
        <w:rPr>
          <w:rFonts w:ascii="Palatino Linotype" w:eastAsiaTheme="minorHAnsi" w:hAnsi="Palatino Linotype"/>
          <w:b/>
          <w:bCs/>
          <w:i/>
          <w:iCs/>
          <w:sz w:val="22"/>
          <w:szCs w:val="22"/>
          <w:lang w:eastAsia="en-US"/>
        </w:rPr>
        <w:t>(Énfasis Añadido)</w:t>
      </w:r>
      <w:r w:rsidRPr="00AC096D">
        <w:rPr>
          <w:rFonts w:ascii="Palatino Linotype" w:eastAsia="MS Mincho" w:hAnsi="Palatino Linotype"/>
          <w:b/>
          <w:bCs/>
          <w:i/>
          <w:iCs/>
          <w:lang w:val="es-ES_tradnl" w:eastAsia="es-ES"/>
        </w:rPr>
        <w:t xml:space="preserve"> </w:t>
      </w:r>
    </w:p>
    <w:p w14:paraId="14FB15EF" w14:textId="3FC8E651" w:rsidR="00B51B82" w:rsidRPr="00AC096D" w:rsidRDefault="00B51B82" w:rsidP="00B51B8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550461" w14:textId="77777777" w:rsidR="009513B0" w:rsidRPr="00AC096D" w:rsidRDefault="009513B0" w:rsidP="009513B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C096D">
        <w:rPr>
          <w:rFonts w:ascii="Palatino Linotype" w:eastAsia="Calibri" w:hAnsi="Palatino Linotype" w:cs="Arial"/>
          <w:color w:val="000000" w:themeColor="text1"/>
          <w:lang w:val="es-ES"/>
        </w:rPr>
        <w:t xml:space="preserve">Es así como, </w:t>
      </w:r>
      <w:r w:rsidRPr="00AC096D">
        <w:rPr>
          <w:rFonts w:ascii="Palatino Linotype" w:hAnsi="Palatino Linotype"/>
          <w:lang w:val="es-ES"/>
        </w:rPr>
        <w:t xml:space="preserve">todos los actos de autoridad que realicen los Sujetos Obligados deben estar documentados y, bajo el más alto estándar de transparencia deberán </w:t>
      </w:r>
      <w:r w:rsidRPr="00AC096D">
        <w:rPr>
          <w:rFonts w:ascii="Palatino Linotype" w:hAnsi="Palatino Linotype"/>
          <w:lang w:val="es-ES"/>
        </w:rPr>
        <w:lastRenderedPageBreak/>
        <w:t>poner toda la información que se encuentre en su posesión, a disposición de los particulares que la soliciten.</w:t>
      </w:r>
    </w:p>
    <w:p w14:paraId="4B95B0DD" w14:textId="77777777" w:rsidR="009513B0" w:rsidRPr="00AC096D" w:rsidRDefault="009513B0" w:rsidP="009513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AEEDE5" w14:textId="77777777" w:rsidR="009513B0" w:rsidRPr="00AC096D" w:rsidRDefault="009513B0" w:rsidP="009513B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C096D">
        <w:rPr>
          <w:rFonts w:ascii="Palatino Linotype" w:eastAsia="Calibri" w:hAnsi="Palatino Linotype" w:cs="Arial"/>
          <w:color w:val="000000" w:themeColor="text1"/>
          <w:lang w:val="es-ES"/>
        </w:rPr>
        <w:t xml:space="preserve">Siendo aplicable el </w:t>
      </w:r>
      <w:r w:rsidRPr="00AC096D">
        <w:rPr>
          <w:rFonts w:ascii="Palatino Linotype" w:eastAsia="MS Mincho" w:hAnsi="Palatino Linotype"/>
          <w:lang w:val="es-ES_tradnl" w:eastAsia="es-ES"/>
        </w:rPr>
        <w:t>criterio numero 0002-11, emitido por Acuerdo d</w:t>
      </w:r>
      <w:r w:rsidRPr="00AC096D">
        <w:rPr>
          <w:rFonts w:ascii="Palatino Linotype" w:eastAsia="MS Mincho" w:hAnsi="Palatino Linotype"/>
        </w:rPr>
        <w:t>e</w:t>
      </w:r>
      <w:r w:rsidRPr="00AC096D">
        <w:rPr>
          <w:rFonts w:ascii="Palatino Linotype" w:eastAsia="MS Mincho" w:hAnsi="Palatino Linotype"/>
          <w:lang w:val="es-ES_tradnl" w:eastAsia="es-ES"/>
        </w:rPr>
        <w:t xml:space="preserve"> Pleno del Instituto de Transparencia y Acceso a la Información Pública del Estado de México y Municipios, publicado en el Periódico Oficial del Gobierno del Estado Libre y Soberano de México “Gaceta del Gobierno” el diecinueve de octubre de dos mil once, mismo que dispone lo siguiente:</w:t>
      </w:r>
    </w:p>
    <w:p w14:paraId="79E93B56" w14:textId="77777777" w:rsidR="009513B0" w:rsidRPr="00AC096D" w:rsidRDefault="009513B0" w:rsidP="009513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964795" w14:textId="77777777" w:rsidR="009513B0" w:rsidRPr="00AC096D" w:rsidRDefault="009513B0" w:rsidP="009513B0">
      <w:pPr>
        <w:autoSpaceDE w:val="0"/>
        <w:autoSpaceDN w:val="0"/>
        <w:adjustRightInd w:val="0"/>
        <w:jc w:val="center"/>
        <w:rPr>
          <w:rFonts w:ascii="Palatino Linotype" w:eastAsiaTheme="minorHAnsi" w:hAnsi="Palatino Linotype"/>
          <w:b/>
          <w:bCs/>
          <w:i/>
          <w:iCs/>
          <w:sz w:val="22"/>
          <w:szCs w:val="22"/>
          <w:lang w:eastAsia="en-US"/>
        </w:rPr>
      </w:pPr>
      <w:r w:rsidRPr="00AC096D">
        <w:rPr>
          <w:rFonts w:ascii="Palatino Linotype" w:eastAsiaTheme="minorHAnsi" w:hAnsi="Palatino Linotype"/>
          <w:b/>
          <w:bCs/>
          <w:i/>
          <w:iCs/>
          <w:sz w:val="22"/>
          <w:szCs w:val="22"/>
          <w:lang w:eastAsia="en-US"/>
        </w:rPr>
        <w:t>“CRITERIO 0002-11</w:t>
      </w:r>
    </w:p>
    <w:p w14:paraId="3744E3FD"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b/>
          <w:bCs/>
          <w:i/>
          <w:iCs/>
          <w:sz w:val="22"/>
          <w:szCs w:val="22"/>
          <w:u w:val="single"/>
          <w:lang w:eastAsia="en-US"/>
        </w:rPr>
        <w:t>INFORMACIÓN PÚBLICA, CONCEPTO DE, EN MATERIA DE TRANSPARENCIA. INTERPRETACIÓN SISTEMÁTICA DE LOS ARTÍCULOS 2°, FRACCIÓN V, XV, Y XVI, 3°, 4°, 11 Y 41.</w:t>
      </w:r>
      <w:r w:rsidRPr="00AC096D">
        <w:rPr>
          <w:rFonts w:ascii="Palatino Linotype" w:eastAsiaTheme="minorHAnsi" w:hAnsi="Palatino Linotype"/>
          <w:b/>
          <w:bCs/>
          <w:i/>
          <w:iCs/>
          <w:sz w:val="22"/>
          <w:szCs w:val="22"/>
          <w:lang w:eastAsia="en-US"/>
        </w:rPr>
        <w:t xml:space="preserve"> </w:t>
      </w:r>
      <w:r w:rsidRPr="00AC096D">
        <w:rPr>
          <w:rFonts w:ascii="Palatino Linotype" w:eastAsiaTheme="minorHAnsi" w:hAnsi="Palatino Linotype"/>
          <w:i/>
          <w:iCs/>
          <w:sz w:val="22"/>
          <w:szCs w:val="22"/>
          <w:lang w:eastAsia="en-US"/>
        </w:rPr>
        <w:t xml:space="preserve">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w:t>
      </w:r>
    </w:p>
    <w:p w14:paraId="68EB37FA"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En consecuencia el acceso a la información se refiere a que se cumplan cualquiera de</w:t>
      </w:r>
    </w:p>
    <w:p w14:paraId="22CF4E36"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los siguientes tres supuestos:</w:t>
      </w:r>
    </w:p>
    <w:p w14:paraId="05F81FAC"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1) Que se trate de información registrada en cualquier soporte documental, que en ejercicio de las atribuciones conferidas, sea generada por los Sujetos Obligados;</w:t>
      </w:r>
    </w:p>
    <w:p w14:paraId="1AE3C9DA"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2) Que se trate de información registrada en cualquier soporte documental, que en ejercicio de las atribuciones conferidas, sea administrada por los Sujetos Obligados, y</w:t>
      </w:r>
    </w:p>
    <w:p w14:paraId="2FC364CC"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r w:rsidRPr="00AC096D">
        <w:rPr>
          <w:rFonts w:ascii="Palatino Linotype" w:eastAsiaTheme="minorHAnsi" w:hAnsi="Palatino Linotype"/>
          <w:i/>
          <w:iCs/>
          <w:sz w:val="22"/>
          <w:szCs w:val="22"/>
          <w:lang w:eastAsia="en-US"/>
        </w:rPr>
        <w:t>3) Que se trate de información registrada en cualquier soporte documental, que en ejercicio de las atribuciones conferidas, se encuentre en posesión de los Sujetos Obligados.”</w:t>
      </w:r>
    </w:p>
    <w:p w14:paraId="75FEAD37" w14:textId="77777777" w:rsidR="009513B0" w:rsidRPr="00AC096D" w:rsidRDefault="009513B0" w:rsidP="009513B0">
      <w:pPr>
        <w:autoSpaceDE w:val="0"/>
        <w:autoSpaceDN w:val="0"/>
        <w:adjustRightInd w:val="0"/>
        <w:ind w:left="567" w:right="567"/>
        <w:jc w:val="both"/>
        <w:rPr>
          <w:rFonts w:ascii="Palatino Linotype" w:eastAsiaTheme="minorHAnsi" w:hAnsi="Palatino Linotype"/>
          <w:i/>
          <w:iCs/>
          <w:sz w:val="22"/>
          <w:szCs w:val="22"/>
          <w:lang w:eastAsia="en-US"/>
        </w:rPr>
      </w:pPr>
    </w:p>
    <w:p w14:paraId="39AF38E3" w14:textId="11820F0C" w:rsidR="00A4088D" w:rsidRPr="00A4088D" w:rsidRDefault="009513B0" w:rsidP="00A4088D">
      <w:pPr>
        <w:ind w:left="567" w:right="567"/>
        <w:contextualSpacing/>
        <w:jc w:val="both"/>
        <w:rPr>
          <w:rFonts w:ascii="Palatino Linotype" w:eastAsia="MS Mincho" w:hAnsi="Palatino Linotype" w:cstheme="minorBidi"/>
          <w:b/>
          <w:bCs/>
          <w:i/>
          <w:iCs/>
          <w:lang w:val="es-ES_tradnl" w:eastAsia="es-ES"/>
        </w:rPr>
      </w:pPr>
      <w:r w:rsidRPr="00AC096D">
        <w:rPr>
          <w:rFonts w:ascii="Palatino Linotype" w:eastAsiaTheme="minorHAnsi" w:hAnsi="Palatino Linotype"/>
          <w:b/>
          <w:bCs/>
          <w:i/>
          <w:iCs/>
          <w:sz w:val="22"/>
          <w:szCs w:val="22"/>
          <w:lang w:eastAsia="en-US"/>
        </w:rPr>
        <w:t>(Énfasis Añadido)</w:t>
      </w:r>
    </w:p>
    <w:p w14:paraId="2A17A380" w14:textId="23C9FB61" w:rsidR="00AC096D" w:rsidRPr="00ED0348" w:rsidRDefault="005D2F2F"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lastRenderedPageBreak/>
        <w:t xml:space="preserve">Dicho lo anterior, </w:t>
      </w:r>
      <w:r w:rsidRPr="00ED0348">
        <w:rPr>
          <w:rFonts w:ascii="Palatino Linotype" w:hAnsi="Palatino Linotype"/>
        </w:rPr>
        <w:t xml:space="preserve">se debe hacer mención que la información que peticiona el </w:t>
      </w:r>
      <w:r w:rsidRPr="00ED0348">
        <w:rPr>
          <w:rFonts w:ascii="Palatino Linotype" w:hAnsi="Palatino Linotype"/>
          <w:b/>
        </w:rPr>
        <w:t>RECURRENTE</w:t>
      </w:r>
      <w:r w:rsidRPr="00ED0348">
        <w:rPr>
          <w:rFonts w:ascii="Palatino Linotype" w:hAnsi="Palatino Linotype"/>
        </w:rPr>
        <w:t xml:space="preserve"> se enc</w:t>
      </w:r>
      <w:r w:rsidR="00056F7E" w:rsidRPr="00ED0348">
        <w:rPr>
          <w:rFonts w:ascii="Palatino Linotype" w:hAnsi="Palatino Linotype"/>
        </w:rPr>
        <w:t>uentra</w:t>
      </w:r>
      <w:r w:rsidRPr="00ED0348">
        <w:rPr>
          <w:rFonts w:ascii="Palatino Linotype" w:hAnsi="Palatino Linotype"/>
        </w:rPr>
        <w:t xml:space="preserve"> idealmente dentro de expedientes o carpetas de investigación</w:t>
      </w:r>
      <w:r w:rsidR="00056F7E" w:rsidRPr="00ED0348">
        <w:rPr>
          <w:rFonts w:ascii="Palatino Linotype" w:hAnsi="Palatino Linotype"/>
        </w:rPr>
        <w:t xml:space="preserve"> a partir de denuncias, en este sentido,</w:t>
      </w:r>
      <w:r w:rsidRPr="00ED0348">
        <w:rPr>
          <w:rFonts w:ascii="Palatino Linotype" w:hAnsi="Palatino Linotype"/>
        </w:rPr>
        <w:t xml:space="preserve"> posiblemente </w:t>
      </w:r>
      <w:r w:rsidR="00056F7E" w:rsidRPr="00ED0348">
        <w:rPr>
          <w:rFonts w:ascii="Palatino Linotype" w:hAnsi="Palatino Linotype"/>
        </w:rPr>
        <w:t xml:space="preserve">la misma </w:t>
      </w:r>
      <w:r w:rsidRPr="00ED0348">
        <w:rPr>
          <w:rFonts w:ascii="Palatino Linotype" w:hAnsi="Palatino Linotype"/>
        </w:rPr>
        <w:t>encuadra dentro de la fracción VI del numeral 140 de la Ley de Transparencia y Acceso a la Información Pública del Estado de México y Municipios, respecto de la información clasificada como reservada, el cual atiende a lo siguiente:</w:t>
      </w:r>
    </w:p>
    <w:p w14:paraId="48BA5839" w14:textId="2FD77101" w:rsidR="00056F7E" w:rsidRPr="00ED0348" w:rsidRDefault="00056F7E" w:rsidP="00056F7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3D268C8" w14:textId="77777777" w:rsidR="00056F7E" w:rsidRPr="00ED0348" w:rsidRDefault="00056F7E" w:rsidP="00056F7E">
      <w:pPr>
        <w:pStyle w:val="Sinespaciado"/>
        <w:ind w:left="851" w:right="567"/>
        <w:jc w:val="both"/>
        <w:rPr>
          <w:rFonts w:ascii="Palatino Linotype" w:hAnsi="Palatino Linotype"/>
          <w:i/>
          <w:sz w:val="22"/>
        </w:rPr>
      </w:pPr>
      <w:r w:rsidRPr="00ED0348">
        <w:rPr>
          <w:rFonts w:ascii="Palatino Linotype" w:hAnsi="Palatino Linotype"/>
          <w:i/>
          <w:sz w:val="22"/>
        </w:rPr>
        <w:t>“</w:t>
      </w:r>
      <w:r w:rsidRPr="00ED0348">
        <w:rPr>
          <w:rFonts w:ascii="Palatino Linotype" w:hAnsi="Palatino Linotype"/>
          <w:b/>
          <w:i/>
          <w:sz w:val="22"/>
        </w:rPr>
        <w:t>Artículo 140.</w:t>
      </w:r>
      <w:r w:rsidRPr="00ED0348">
        <w:rPr>
          <w:rFonts w:ascii="Palatino Linotype" w:hAnsi="Palatino Linotype"/>
          <w:i/>
          <w:sz w:val="22"/>
        </w:rPr>
        <w:t xml:space="preserve"> </w:t>
      </w:r>
      <w:r w:rsidRPr="00ED0348">
        <w:rPr>
          <w:rFonts w:ascii="Palatino Linotype" w:hAnsi="Palatino Linotype"/>
          <w:b/>
          <w:i/>
          <w:sz w:val="22"/>
        </w:rPr>
        <w:t>El acceso a la información pública será restringido excepcionalmente, cuando</w:t>
      </w:r>
      <w:r w:rsidRPr="00ED0348">
        <w:rPr>
          <w:rFonts w:ascii="Palatino Linotype" w:hAnsi="Palatino Linotype"/>
          <w:i/>
          <w:sz w:val="22"/>
        </w:rPr>
        <w:t xml:space="preserve"> por razones de interés público, ésta sea clasificada como reservada, conforme a los criterios siguientes:</w:t>
      </w:r>
    </w:p>
    <w:p w14:paraId="4A0A9ACB" w14:textId="77777777" w:rsidR="00056F7E" w:rsidRPr="00ED0348" w:rsidRDefault="00056F7E" w:rsidP="00056F7E">
      <w:pPr>
        <w:pStyle w:val="Sinespaciado"/>
        <w:ind w:left="851" w:right="567"/>
        <w:jc w:val="both"/>
        <w:rPr>
          <w:rFonts w:ascii="Palatino Linotype" w:hAnsi="Palatino Linotype"/>
          <w:i/>
          <w:sz w:val="22"/>
        </w:rPr>
      </w:pPr>
      <w:r w:rsidRPr="00ED0348">
        <w:rPr>
          <w:rFonts w:ascii="Palatino Linotype" w:hAnsi="Palatino Linotype"/>
          <w:i/>
          <w:sz w:val="22"/>
        </w:rPr>
        <w:t>(…)</w:t>
      </w:r>
    </w:p>
    <w:p w14:paraId="13E14B4B" w14:textId="77777777" w:rsidR="00056F7E" w:rsidRPr="00ED0348" w:rsidRDefault="00056F7E" w:rsidP="00056F7E">
      <w:pPr>
        <w:pStyle w:val="Sinespaciado"/>
        <w:ind w:left="851" w:right="567"/>
        <w:jc w:val="both"/>
        <w:rPr>
          <w:rFonts w:ascii="Palatino Linotype" w:hAnsi="Palatino Linotype"/>
          <w:i/>
          <w:sz w:val="22"/>
        </w:rPr>
      </w:pPr>
      <w:r w:rsidRPr="00ED0348">
        <w:rPr>
          <w:rFonts w:ascii="Palatino Linotype" w:hAnsi="Palatino Linotype"/>
          <w:b/>
          <w:i/>
          <w:sz w:val="22"/>
        </w:rPr>
        <w:t>VI.</w:t>
      </w:r>
      <w:r w:rsidRPr="00ED0348">
        <w:rPr>
          <w:rFonts w:ascii="Palatino Linotype" w:hAnsi="Palatino Linotype"/>
          <w:i/>
          <w:sz w:val="22"/>
        </w:rPr>
        <w:t xml:space="preserve"> </w:t>
      </w:r>
      <w:r w:rsidRPr="00ED0348">
        <w:rPr>
          <w:rFonts w:ascii="Palatino Linotype" w:hAnsi="Palatino Linotype"/>
          <w:b/>
          <w:i/>
          <w:sz w:val="22"/>
        </w:rPr>
        <w:t>Pueda causar daño u obstruya la prevención o persecución de los delitos, altere el proceso de investigación de las carpetas de investigación, afecte o vulnere la conducción o los derechos del debido proceso en los procedimientos judiciales</w:t>
      </w:r>
      <w:r w:rsidRPr="00ED0348">
        <w:rPr>
          <w:rFonts w:ascii="Palatino Linotype" w:hAnsi="Palatino Linotype"/>
          <w:i/>
          <w:sz w:val="22"/>
        </w:rPr>
        <w:t xml:space="preserve"> </w:t>
      </w:r>
      <w:r w:rsidRPr="00ED0348">
        <w:rPr>
          <w:rFonts w:ascii="Palatino Linotype" w:hAnsi="Palatino Linotype"/>
          <w:b/>
          <w:i/>
          <w:sz w:val="22"/>
        </w:rPr>
        <w:t>o administrativos</w:t>
      </w:r>
      <w:r w:rsidRPr="00ED0348">
        <w:rPr>
          <w:rFonts w:ascii="Palatino Linotype" w:hAnsi="Palatino Linotype"/>
          <w:i/>
          <w:sz w:val="22"/>
        </w:rPr>
        <w:t>,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124527" w14:textId="6459137D" w:rsidR="00056F7E" w:rsidRPr="00ED0348" w:rsidRDefault="00056F7E" w:rsidP="00056F7E">
      <w:pPr>
        <w:pStyle w:val="Sinespaciado"/>
        <w:ind w:left="851" w:right="567"/>
        <w:jc w:val="both"/>
        <w:rPr>
          <w:rFonts w:ascii="Palatino Linotype" w:hAnsi="Palatino Linotype"/>
          <w:i/>
          <w:sz w:val="22"/>
        </w:rPr>
      </w:pPr>
      <w:r w:rsidRPr="00ED0348">
        <w:rPr>
          <w:rFonts w:ascii="Palatino Linotype" w:hAnsi="Palatino Linotype"/>
          <w:i/>
          <w:sz w:val="22"/>
        </w:rPr>
        <w:t>(…)”</w:t>
      </w:r>
    </w:p>
    <w:p w14:paraId="484D8BAF" w14:textId="77777777" w:rsidR="00056F7E" w:rsidRPr="00ED0348" w:rsidRDefault="00056F7E" w:rsidP="00056F7E">
      <w:pPr>
        <w:pStyle w:val="Sinespaciado"/>
        <w:ind w:left="851" w:right="567"/>
        <w:jc w:val="both"/>
        <w:rPr>
          <w:rFonts w:ascii="Palatino Linotype" w:hAnsi="Palatino Linotype"/>
          <w:i/>
          <w:sz w:val="22"/>
        </w:rPr>
      </w:pPr>
    </w:p>
    <w:p w14:paraId="68F3B8E4" w14:textId="77777777" w:rsidR="00056F7E" w:rsidRPr="00ED0348" w:rsidRDefault="00056F7E" w:rsidP="00056F7E">
      <w:pPr>
        <w:pStyle w:val="Sinespaciado"/>
        <w:ind w:left="851" w:right="567"/>
        <w:jc w:val="both"/>
        <w:rPr>
          <w:rFonts w:ascii="Palatino Linotype" w:hAnsi="Palatino Linotype"/>
          <w:b/>
          <w:bCs/>
          <w:i/>
          <w:sz w:val="22"/>
        </w:rPr>
      </w:pPr>
      <w:r w:rsidRPr="00ED0348">
        <w:rPr>
          <w:rFonts w:ascii="Palatino Linotype" w:hAnsi="Palatino Linotype"/>
          <w:b/>
          <w:bCs/>
          <w:i/>
          <w:sz w:val="22"/>
        </w:rPr>
        <w:t>(Énfasis añadido)</w:t>
      </w:r>
    </w:p>
    <w:p w14:paraId="6174F1D6" w14:textId="77777777" w:rsidR="00056F7E" w:rsidRPr="00ED0348" w:rsidRDefault="00056F7E" w:rsidP="00056F7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1DE94C7" w14:textId="2EAF46BB" w:rsidR="00AC096D" w:rsidRPr="00ED0348" w:rsidRDefault="00056F7E"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 xml:space="preserve">Sin embargo, </w:t>
      </w:r>
      <w:r w:rsidRPr="00ED0348">
        <w:rPr>
          <w:rFonts w:ascii="Palatino Linotype" w:hAnsi="Palatino Linotype"/>
        </w:rPr>
        <w:t xml:space="preserve">contrario a lo estipulado en el artículo legislativo antes citado, la propia Ley de la Materia prevé una excepción a su propia norma cuando la información solicitada tenga relación con violaciones graves a los derechos </w:t>
      </w:r>
      <w:r w:rsidRPr="00ED0348">
        <w:rPr>
          <w:rFonts w:ascii="Palatino Linotype" w:hAnsi="Palatino Linotype"/>
        </w:rPr>
        <w:lastRenderedPageBreak/>
        <w:t>humanos o delitos de lesa humanidad, lo anterior por medio de su artículo 142, el cual dicta lo siguiente:</w:t>
      </w:r>
    </w:p>
    <w:p w14:paraId="153944C9" w14:textId="5110861F" w:rsidR="00056F7E" w:rsidRPr="00ED0348" w:rsidRDefault="00056F7E" w:rsidP="00056F7E">
      <w:pPr>
        <w:pStyle w:val="Prrafodelista"/>
        <w:tabs>
          <w:tab w:val="left" w:pos="426"/>
          <w:tab w:val="left" w:pos="567"/>
        </w:tabs>
        <w:spacing w:line="360" w:lineRule="auto"/>
        <w:ind w:left="0"/>
        <w:jc w:val="both"/>
        <w:rPr>
          <w:rFonts w:ascii="Palatino Linotype" w:hAnsi="Palatino Linotype"/>
          <w:lang w:val="es-ES"/>
        </w:rPr>
      </w:pPr>
    </w:p>
    <w:p w14:paraId="22EB883F" w14:textId="77777777" w:rsidR="00056F7E" w:rsidRPr="00ED0348" w:rsidRDefault="00056F7E" w:rsidP="00056F7E">
      <w:pPr>
        <w:pStyle w:val="Prrafodelista"/>
        <w:tabs>
          <w:tab w:val="left" w:pos="426"/>
          <w:tab w:val="left" w:pos="567"/>
        </w:tabs>
        <w:ind w:left="567" w:right="565"/>
        <w:jc w:val="both"/>
        <w:rPr>
          <w:rFonts w:ascii="Palatino Linotype" w:hAnsi="Palatino Linotype"/>
          <w:i/>
          <w:iCs/>
          <w:sz w:val="22"/>
          <w:szCs w:val="22"/>
          <w:lang w:val="es-ES"/>
        </w:rPr>
      </w:pPr>
      <w:r w:rsidRPr="00ED0348">
        <w:rPr>
          <w:rFonts w:ascii="Palatino Linotype" w:hAnsi="Palatino Linotype"/>
          <w:i/>
          <w:iCs/>
          <w:sz w:val="22"/>
          <w:szCs w:val="22"/>
          <w:lang w:val="es-ES"/>
        </w:rPr>
        <w:t>“</w:t>
      </w:r>
      <w:r w:rsidRPr="00ED0348">
        <w:rPr>
          <w:rFonts w:ascii="Palatino Linotype" w:hAnsi="Palatino Linotype"/>
          <w:b/>
          <w:bCs/>
          <w:i/>
          <w:iCs/>
          <w:sz w:val="22"/>
          <w:szCs w:val="22"/>
          <w:lang w:val="es-ES"/>
        </w:rPr>
        <w:t>Artículo 142</w:t>
      </w:r>
      <w:r w:rsidRPr="00ED0348">
        <w:rPr>
          <w:rFonts w:ascii="Palatino Linotype" w:hAnsi="Palatino Linotype"/>
          <w:i/>
          <w:iCs/>
          <w:sz w:val="22"/>
          <w:szCs w:val="22"/>
          <w:lang w:val="es-ES"/>
        </w:rPr>
        <w:t xml:space="preserve">. </w:t>
      </w:r>
      <w:r w:rsidRPr="00ED0348">
        <w:rPr>
          <w:rFonts w:ascii="Palatino Linotype" w:hAnsi="Palatino Linotype"/>
          <w:b/>
          <w:bCs/>
          <w:i/>
          <w:iCs/>
          <w:sz w:val="22"/>
          <w:szCs w:val="22"/>
          <w:lang w:val="es-ES"/>
        </w:rPr>
        <w:t>Bajo ninguna circunstancia</w:t>
      </w:r>
      <w:r w:rsidRPr="00ED0348">
        <w:rPr>
          <w:rFonts w:ascii="Palatino Linotype" w:hAnsi="Palatino Linotype"/>
          <w:i/>
          <w:iCs/>
          <w:sz w:val="22"/>
          <w:szCs w:val="22"/>
          <w:lang w:val="es-ES"/>
        </w:rPr>
        <w:t xml:space="preserve"> podrá invocarse el carácter de reservado cuando: </w:t>
      </w:r>
    </w:p>
    <w:p w14:paraId="40D6A9A9" w14:textId="77777777" w:rsidR="00056F7E" w:rsidRPr="00ED0348" w:rsidRDefault="00056F7E" w:rsidP="00056F7E">
      <w:pPr>
        <w:pStyle w:val="Prrafodelista"/>
        <w:tabs>
          <w:tab w:val="left" w:pos="426"/>
          <w:tab w:val="left" w:pos="567"/>
        </w:tabs>
        <w:ind w:left="567" w:right="565"/>
        <w:jc w:val="both"/>
        <w:rPr>
          <w:rFonts w:ascii="Palatino Linotype" w:hAnsi="Palatino Linotype"/>
          <w:i/>
          <w:iCs/>
          <w:sz w:val="22"/>
          <w:szCs w:val="22"/>
          <w:lang w:val="es-ES"/>
        </w:rPr>
      </w:pPr>
      <w:r w:rsidRPr="00ED0348">
        <w:rPr>
          <w:rFonts w:ascii="Palatino Linotype" w:hAnsi="Palatino Linotype"/>
          <w:i/>
          <w:iCs/>
          <w:sz w:val="22"/>
          <w:szCs w:val="22"/>
          <w:lang w:val="es-ES"/>
        </w:rPr>
        <w:t>(...)</w:t>
      </w:r>
    </w:p>
    <w:p w14:paraId="06378AE5" w14:textId="77777777" w:rsidR="00056F7E" w:rsidRPr="00ED0348" w:rsidRDefault="00056F7E" w:rsidP="00056F7E">
      <w:pPr>
        <w:pStyle w:val="Prrafodelista"/>
        <w:tabs>
          <w:tab w:val="left" w:pos="426"/>
          <w:tab w:val="left" w:pos="567"/>
        </w:tabs>
        <w:ind w:left="567" w:right="565"/>
        <w:jc w:val="both"/>
        <w:rPr>
          <w:rFonts w:ascii="Palatino Linotype" w:hAnsi="Palatino Linotype"/>
          <w:i/>
          <w:iCs/>
          <w:sz w:val="22"/>
          <w:szCs w:val="22"/>
          <w:lang w:val="es-ES"/>
        </w:rPr>
      </w:pPr>
      <w:r w:rsidRPr="00ED0348">
        <w:rPr>
          <w:rFonts w:ascii="Palatino Linotype" w:hAnsi="Palatino Linotype"/>
          <w:i/>
          <w:iCs/>
          <w:sz w:val="22"/>
          <w:szCs w:val="22"/>
          <w:lang w:val="es-ES"/>
        </w:rPr>
        <w:t xml:space="preserve">II. Se trate de la investigación de posibles </w:t>
      </w:r>
      <w:r w:rsidRPr="00ED0348">
        <w:rPr>
          <w:rFonts w:ascii="Palatino Linotype" w:hAnsi="Palatino Linotype"/>
          <w:b/>
          <w:bCs/>
          <w:i/>
          <w:iCs/>
          <w:sz w:val="22"/>
          <w:szCs w:val="22"/>
          <w:lang w:val="es-ES"/>
        </w:rPr>
        <w:t>violaciones graves de derechos humanos</w:t>
      </w:r>
      <w:r w:rsidRPr="00ED0348">
        <w:rPr>
          <w:rFonts w:ascii="Palatino Linotype" w:hAnsi="Palatino Linotype"/>
          <w:i/>
          <w:iCs/>
          <w:sz w:val="22"/>
          <w:szCs w:val="22"/>
          <w:lang w:val="es-ES"/>
        </w:rPr>
        <w:t xml:space="preserve"> aun cuando no exista pronunciamiento previo de autoridad competente, cuando se determine, a partir de criterios cuantitativos y cualitativos la trascendencia social de las violaciones; </w:t>
      </w:r>
    </w:p>
    <w:p w14:paraId="01F62876" w14:textId="1BD82625" w:rsidR="00056F7E" w:rsidRPr="00ED0348" w:rsidRDefault="00056F7E" w:rsidP="00056F7E">
      <w:pPr>
        <w:pStyle w:val="Prrafodelista"/>
        <w:tabs>
          <w:tab w:val="left" w:pos="426"/>
          <w:tab w:val="left" w:pos="567"/>
        </w:tabs>
        <w:ind w:left="567" w:right="565"/>
        <w:jc w:val="both"/>
        <w:rPr>
          <w:rFonts w:ascii="Palatino Linotype" w:hAnsi="Palatino Linotype"/>
          <w:i/>
          <w:iCs/>
          <w:sz w:val="22"/>
          <w:szCs w:val="22"/>
          <w:lang w:val="es-ES"/>
        </w:rPr>
      </w:pPr>
      <w:r w:rsidRPr="00ED0348">
        <w:rPr>
          <w:rFonts w:ascii="Palatino Linotype" w:hAnsi="Palatino Linotype"/>
          <w:i/>
          <w:iCs/>
          <w:sz w:val="22"/>
          <w:szCs w:val="22"/>
          <w:lang w:val="es-ES"/>
        </w:rPr>
        <w:t>(...)”</w:t>
      </w:r>
    </w:p>
    <w:p w14:paraId="12C28312" w14:textId="77777777" w:rsidR="00056F7E" w:rsidRPr="00ED0348" w:rsidRDefault="00056F7E" w:rsidP="00056F7E">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08ED04" w14:textId="6B91722D" w:rsidR="00AC096D" w:rsidRPr="00ED0348" w:rsidRDefault="00442895"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 xml:space="preserve">Artículo </w:t>
      </w:r>
      <w:r w:rsidRPr="00ED0348">
        <w:rPr>
          <w:rFonts w:ascii="Palatino Linotype" w:hAnsi="Palatino Linotype"/>
        </w:rPr>
        <w:t>que es robustecido mediante la Tesis Aislada 1a. IX/2012 (10a.), de la Primera Sala de la Suprema Corte de Justicia de la Nación, misma que se ofrece a continuación:</w:t>
      </w:r>
    </w:p>
    <w:p w14:paraId="45D60F73" w14:textId="401B8638" w:rsidR="00442895" w:rsidRPr="00ED0348" w:rsidRDefault="00442895" w:rsidP="00442895">
      <w:pPr>
        <w:pStyle w:val="Prrafodelista"/>
        <w:tabs>
          <w:tab w:val="left" w:pos="426"/>
          <w:tab w:val="left" w:pos="567"/>
        </w:tabs>
        <w:spacing w:line="360" w:lineRule="auto"/>
        <w:ind w:left="0"/>
        <w:jc w:val="both"/>
        <w:rPr>
          <w:rFonts w:ascii="Palatino Linotype" w:hAnsi="Palatino Linotype"/>
        </w:rPr>
      </w:pPr>
    </w:p>
    <w:p w14:paraId="6FAC8994" w14:textId="16D80324" w:rsidR="00442895" w:rsidRPr="00ED0348" w:rsidRDefault="00442895" w:rsidP="00442895">
      <w:pPr>
        <w:pStyle w:val="Sinespaciado"/>
        <w:ind w:left="851" w:right="567"/>
        <w:jc w:val="both"/>
        <w:rPr>
          <w:rFonts w:ascii="Palatino Linotype" w:hAnsi="Palatino Linotype"/>
          <w:i/>
          <w:sz w:val="22"/>
        </w:rPr>
      </w:pPr>
      <w:r w:rsidRPr="00ED0348">
        <w:rPr>
          <w:rFonts w:ascii="Palatino Linotype" w:hAnsi="Palatino Linotype"/>
          <w:b/>
          <w:i/>
          <w:sz w:val="22"/>
        </w:rPr>
        <w:t>DERECHO A LA INFORMACIÓN. ACCESO A LAS AVERIGUACIONES PREVIAS QUE INVESTIGUEN HECHOS QUE CONSTITUYAN GRAVES VIOLACIONES A DERECHOS HUMANOS O DELITOS DE LESA HUMANIDAD.</w:t>
      </w:r>
      <w:r w:rsidRPr="00ED0348">
        <w:rPr>
          <w:rFonts w:ascii="Palatino Linotype" w:hAnsi="Palatino Linotype"/>
          <w:i/>
          <w:sz w:val="22"/>
        </w:rPr>
        <w:t xml:space="preserve"> “En materia de derecho a la información pública, la regla general en un Estado democrático de derecho debe ser el acceso y máxima publicidad de la información. Sin embargo, la regla general presenta algunas excepciones, las cuales, por mandato constitucional, deben estar previstas en leyes en sentido formal y material. Una de estas excepciones es el caso de las averiguaciones previas, cuyo contenido debe considerarse como estrictamente reservado, en términos de lo dispuesto en el artículo 16 del Código Federal de Procedimientos Penales, y de los artículos 13, fracción V, y 14, fracción III, de la Ley Federal de Transparencia y Acceso a la Información Pública Gubernamental. Ahora bien, esta limitante tampoco puede considerarse como absoluta y presenta una excepción -de modo que estamos ante una excepción a la excepción- consistente en que, </w:t>
      </w:r>
      <w:r w:rsidRPr="00ED0348">
        <w:rPr>
          <w:rFonts w:ascii="Palatino Linotype" w:hAnsi="Palatino Linotype"/>
          <w:b/>
          <w:i/>
          <w:sz w:val="22"/>
        </w:rPr>
        <w:t xml:space="preserve">de conformidad con lo </w:t>
      </w:r>
      <w:r w:rsidRPr="00ED0348">
        <w:rPr>
          <w:rFonts w:ascii="Palatino Linotype" w:hAnsi="Palatino Linotype"/>
          <w:b/>
          <w:i/>
          <w:sz w:val="22"/>
        </w:rPr>
        <w:lastRenderedPageBreak/>
        <w:t>dispuesto en el último párrafo del artículo 14 de la Ley Federal de Transparencia y Acceso a la Información Pública Gubernamental, no puede alegarse el carácter de reservado cuando la averiguación previa investigue hechos constitutivos de graves violaciones a derechos humanos o delitos de lesa humanidad</w:t>
      </w:r>
      <w:r w:rsidRPr="00ED0348">
        <w:rPr>
          <w:rFonts w:ascii="Palatino Linotype" w:hAnsi="Palatino Linotype"/>
          <w:i/>
          <w:sz w:val="22"/>
        </w:rPr>
        <w:t xml:space="preserve">. Las averiguaciones previas se mantienen reservadas en atención a que la difusión de la información contenida en ellas podría afectar gravemente la persecución de delitos y, con ello, al sistema de impartición de justicia. A pesar de lo anterior, </w:t>
      </w:r>
      <w:r w:rsidRPr="00ED0348">
        <w:rPr>
          <w:rFonts w:ascii="Palatino Linotype" w:hAnsi="Palatino Linotype"/>
          <w:b/>
          <w:i/>
          <w:sz w:val="22"/>
        </w:rPr>
        <w:t>la ley previó como excepción a la reserva de las averiguaciones previas aquellos casos extremos en los cuales</w:t>
      </w:r>
      <w:r w:rsidRPr="00ED0348">
        <w:rPr>
          <w:rFonts w:ascii="Palatino Linotype" w:hAnsi="Palatino Linotype"/>
          <w:i/>
          <w:sz w:val="22"/>
        </w:rPr>
        <w:t xml:space="preserve"> </w:t>
      </w:r>
      <w:r w:rsidRPr="00ED0348">
        <w:rPr>
          <w:rFonts w:ascii="Palatino Linotype" w:hAnsi="Palatino Linotype"/>
          <w:b/>
          <w:i/>
          <w:sz w:val="22"/>
        </w:rPr>
        <w:t>el delito perseguido es de tal gravedad que el interés público en mantener la averiguación previa en reserva se ve superado por el interés de la sociedad en su conjunto de conocer todas las diligencias que se estén llevando a cabo para la oportuna investigación, detención, juicio y sanción de los responsables</w:t>
      </w:r>
      <w:r w:rsidRPr="00ED0348">
        <w:rPr>
          <w:rFonts w:ascii="Palatino Linotype" w:hAnsi="Palatino Linotype"/>
          <w:i/>
          <w:sz w:val="22"/>
        </w:rPr>
        <w:t xml:space="preserve">. Estos casos de excepción son las investigaciones sobre graves violaciones a derechos humanos y delitos o crímenes de lesa humanidad. Esta Primera Sala de la Suprema Corte de Justicia de la Nación recuerda que el Tribunal Pleno reconoció en la tesis jurisprudencial P./J. 54/2008, el doble carácter del derecho de acceso a la información, como un derecho en sí mismo, pero también como un medio o instrumento para el ejercicio de otros derechos. En este sentido, el Tribunal Pleno destacó que el derecho de acceso a la información es la base para que los gobernados ejerzan un control respecto del funcionamiento institucional de los poderes públicos, por lo cual se perfila como un límite a la exclusividad estatal en el manejo de la información y, por ende, como una exigencia social de todo Estado de Derecho. </w:t>
      </w:r>
      <w:r w:rsidRPr="00ED0348">
        <w:rPr>
          <w:rFonts w:ascii="Palatino Linotype" w:hAnsi="Palatino Linotype"/>
          <w:b/>
          <w:i/>
          <w:sz w:val="22"/>
        </w:rPr>
        <w:t>En virtud de lo anterior, cobra una especial relevancia la necesidad de permitir el acceso a la información que conste en averiguaciones previas que investiguen hechos que constituyan graves violaciones a derechos humanos o crímenes de lesa humanidad, pues estos supuestos no sólo afectan a las víctimas y ofendidos en forma directa por los hechos antijurídicos, sino que ofenden a toda la sociedad, precisamente por su gravedad y por las repercusiones que implican</w:t>
      </w:r>
      <w:r w:rsidRPr="00ED0348">
        <w:rPr>
          <w:rFonts w:ascii="Palatino Linotype" w:hAnsi="Palatino Linotype"/>
          <w:i/>
          <w:sz w:val="22"/>
        </w:rPr>
        <w:t>.”</w:t>
      </w:r>
    </w:p>
    <w:p w14:paraId="77FD3BFD" w14:textId="77777777" w:rsidR="00442895" w:rsidRPr="00ED0348" w:rsidRDefault="00442895" w:rsidP="00442895">
      <w:pPr>
        <w:pStyle w:val="Sinespaciado"/>
        <w:ind w:left="851" w:right="567"/>
        <w:jc w:val="both"/>
        <w:rPr>
          <w:rFonts w:ascii="Palatino Linotype" w:hAnsi="Palatino Linotype"/>
          <w:sz w:val="22"/>
        </w:rPr>
      </w:pPr>
    </w:p>
    <w:p w14:paraId="4926E9FA" w14:textId="77777777" w:rsidR="00442895" w:rsidRPr="00ED0348" w:rsidRDefault="00442895" w:rsidP="00442895">
      <w:pPr>
        <w:pStyle w:val="Sinespaciado"/>
        <w:ind w:left="851" w:right="567"/>
        <w:jc w:val="both"/>
        <w:rPr>
          <w:rFonts w:ascii="Palatino Linotype" w:hAnsi="Palatino Linotype"/>
          <w:sz w:val="22"/>
        </w:rPr>
      </w:pPr>
      <w:r w:rsidRPr="00ED0348">
        <w:rPr>
          <w:rFonts w:ascii="Palatino Linotype" w:hAnsi="Palatino Linotype"/>
          <w:sz w:val="22"/>
        </w:rPr>
        <w:t>(Énfasis añadido)</w:t>
      </w:r>
    </w:p>
    <w:p w14:paraId="7AF8EB35" w14:textId="74EAF55B" w:rsidR="00442895" w:rsidRPr="00ED0348" w:rsidRDefault="00442895" w:rsidP="00442895">
      <w:pPr>
        <w:pStyle w:val="Prrafodelista"/>
        <w:tabs>
          <w:tab w:val="left" w:pos="426"/>
          <w:tab w:val="left" w:pos="567"/>
        </w:tabs>
        <w:spacing w:line="360" w:lineRule="auto"/>
        <w:ind w:left="0"/>
        <w:jc w:val="both"/>
        <w:rPr>
          <w:rFonts w:ascii="Palatino Linotype" w:hAnsi="Palatino Linotype"/>
        </w:rPr>
      </w:pPr>
    </w:p>
    <w:p w14:paraId="32225046" w14:textId="77777777" w:rsidR="00442895" w:rsidRPr="00ED0348" w:rsidRDefault="00442895" w:rsidP="0044289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3BF42E6" w14:textId="57F1EF46" w:rsidR="00056F7E" w:rsidRPr="00ED0348" w:rsidRDefault="00442895"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lastRenderedPageBreak/>
        <w:t xml:space="preserve">De los </w:t>
      </w:r>
      <w:r w:rsidRPr="00ED0348">
        <w:rPr>
          <w:rFonts w:ascii="Palatino Linotype" w:hAnsi="Palatino Linotype"/>
        </w:rPr>
        <w:t>preceptos legales citados, se puede arribar a la conclusión de que si bien es cierto que las carpetas de investigación, o bien, los procesos jurisdiccionales en lo general se encuentran clasificados como reservados hasta en cuanto no hayan recaído en una resolución o causado estado; la Ley contempla en un marco jurídico diferente a las carpetas de investigación o averiguaciones previas que se hallen relacionadas con delitos de lesa humanidad o violaciones a los derechos humanos. Ello es así porque aquéllos supuestos no sólo generan una afectación a las víctimas y ofendidos directos que resienten un hecho antijurídico, sino que se considera a toda la sociedad como ofendido por la gravedad de los actos y por las repercusiones sociales y morales que implican dentro de una sociedad moderna.</w:t>
      </w:r>
    </w:p>
    <w:p w14:paraId="7775398D" w14:textId="77777777" w:rsidR="00442895" w:rsidRPr="00ED0348" w:rsidRDefault="00442895" w:rsidP="0044289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D4C9CB" w14:textId="53CAFB5D" w:rsidR="00056F7E" w:rsidRPr="00ED0348" w:rsidRDefault="00442895"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En este contexto, cabe señalar que ningún derecho es absoluto, por lo que, cuando la información que se solicita esté  relacionada con  violaciones graves a derechos humanos, calificada así por la autoridad competente; investigaciones de posibles violaciones graves a derechos humanos aun cuando no exista pronunciamiento previo de la autoridad competente; se trate delitos de lesa humanidad y con información relacionada con actos de corrupción, es información que no encuadra en los supuestos de reserva, pues es aquí donde prevalece el derecho de acceso a la información.</w:t>
      </w:r>
    </w:p>
    <w:p w14:paraId="5C40B74F" w14:textId="1B24FEFB" w:rsidR="00442895" w:rsidRPr="00ED0348" w:rsidRDefault="00442895" w:rsidP="00442895">
      <w:pPr>
        <w:rPr>
          <w:rFonts w:ascii="Palatino Linotype" w:eastAsia="Calibri" w:hAnsi="Palatino Linotype" w:cs="Arial"/>
          <w:color w:val="000000" w:themeColor="text1"/>
          <w:lang w:val="es-ES"/>
        </w:rPr>
      </w:pPr>
    </w:p>
    <w:p w14:paraId="2D1A1267" w14:textId="34930F27" w:rsidR="00442895" w:rsidRPr="00ED0348" w:rsidRDefault="00442895"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lastRenderedPageBreak/>
        <w:t>Al respecto, la Corte Interamericana de Derechos Humanos ha establecido la obligación que tiene los Estado parte de la Convención para proporcionar cualquier información relacionada con graves violaciones a derechos humanos:</w:t>
      </w:r>
    </w:p>
    <w:p w14:paraId="08B92AA1" w14:textId="04265DAD" w:rsidR="00442895" w:rsidRPr="00ED0348" w:rsidRDefault="00442895" w:rsidP="0044289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E47769" w14:textId="56F4DB8F" w:rsidR="00442895" w:rsidRPr="00ED0348" w:rsidRDefault="00442895" w:rsidP="00442895">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ED0348">
        <w:rPr>
          <w:rFonts w:ascii="Palatino Linotype" w:eastAsia="Calibri" w:hAnsi="Palatino Linotype" w:cs="Arial"/>
          <w:i/>
          <w:iCs/>
          <w:color w:val="000000" w:themeColor="text1"/>
          <w:sz w:val="22"/>
          <w:szCs w:val="22"/>
          <w:lang w:val="es-ES"/>
        </w:rPr>
        <w:t>“... que toda persona, incluyendo los familiares de las víctimas de graves violaciones a derechos humanos, tiene el derecho a conocer la verdad. En consecuencia, los familiares de las víctimas, y la sociedad, deben ser informados de todo lo sucedido con relación a dichas violaciones. (…)”</w:t>
      </w:r>
    </w:p>
    <w:p w14:paraId="1890497D" w14:textId="77777777" w:rsidR="00442895" w:rsidRPr="00ED0348" w:rsidRDefault="00442895" w:rsidP="0044289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E5E7C0" w14:textId="431CD9B4" w:rsidR="00056F7E" w:rsidRPr="00ED0348" w:rsidRDefault="00442895"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Asimismo, existen dos sentencias en materia de amparo, en ellas, los Jueces reconocen que no es necesario un pronunciamiento previo de autoridad competente que determine la existencia de tales violaciones y delitos, pues el órgano garante sí cuenta con dichas facultades:</w:t>
      </w:r>
    </w:p>
    <w:p w14:paraId="44D8A442" w14:textId="462257F6" w:rsidR="00442895" w:rsidRPr="00ED0348" w:rsidRDefault="00442895" w:rsidP="0044289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B0A592" w14:textId="77777777" w:rsidR="00442895" w:rsidRPr="00ED0348" w:rsidRDefault="00442895" w:rsidP="00442895">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ED0348">
        <w:rPr>
          <w:rFonts w:ascii="Palatino Linotype" w:eastAsia="Calibri" w:hAnsi="Palatino Linotype" w:cs="Arial"/>
          <w:i/>
          <w:iCs/>
          <w:color w:val="000000" w:themeColor="text1"/>
          <w:sz w:val="22"/>
          <w:szCs w:val="22"/>
          <w:lang w:val="es-ES"/>
        </w:rPr>
        <w:t xml:space="preserve">• Juicio de Amparo 1371/2013 resuelto por el Juzgado Octavo de Distrito en Materia Administrativa en el D.F., en cuya sentencia se señala: “Contrario a lo asentado por el IFAI, dicho Instituto sí cuenta con facultades para pronunciarse prima facie sobre las violaciones graves de derechos humanos únicamente para efectos de asumir y ejercer sus propias competencias en materia de acceso a la información de las averiguaciones previas” </w:t>
      </w:r>
    </w:p>
    <w:p w14:paraId="20CCCD4C" w14:textId="77777777" w:rsidR="00442895" w:rsidRPr="00ED0348" w:rsidRDefault="00442895" w:rsidP="00442895">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p>
    <w:p w14:paraId="2E9545FF" w14:textId="6BECAECE" w:rsidR="00442895" w:rsidRPr="00ED0348" w:rsidRDefault="00442895" w:rsidP="00442895">
      <w:pPr>
        <w:pStyle w:val="Prrafodelista"/>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ED0348">
        <w:rPr>
          <w:rFonts w:ascii="Palatino Linotype" w:eastAsia="Calibri" w:hAnsi="Palatino Linotype" w:cs="Arial"/>
          <w:i/>
          <w:iCs/>
          <w:color w:val="000000" w:themeColor="text1"/>
          <w:sz w:val="22"/>
          <w:szCs w:val="22"/>
          <w:lang w:val="es-ES"/>
        </w:rPr>
        <w:t>• Juicio de Amparo 1189/2013 resuelto por el Juzgado Sexto de Distrito en Materia Administrativa en el D.F.: “En este contexto, de los razonamientos anteriores, se concluye que el Instituto Federal de Acceso a la Información, en términos del artículo 37 de la Ley Federal de Transparencia y Acceso a la Información Pública Gubernamental, sí cuenta con facultades para interpretar si en el caso específico, opera la excepción de reserva prevista en el artículo 14, último párrafo, respecto de la averiguación previa (…)”</w:t>
      </w:r>
    </w:p>
    <w:p w14:paraId="4E78CD4F" w14:textId="77777777" w:rsidR="00442895" w:rsidRPr="00ED0348" w:rsidRDefault="00442895" w:rsidP="0044289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424ECE7" w14:textId="28319A5B" w:rsidR="00056F7E" w:rsidRPr="00ED0348" w:rsidRDefault="00442895" w:rsidP="00A4088D">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lastRenderedPageBreak/>
        <w:t>Por tal razón, el Órgano Garante puede pronunciarse prima facie sobre violaciones graves y delitos de lesa humanidad para efectos de ejercer su competencia en materia de acceso a la información, si bien, no es el Órgano Garante quien investigará sobre las violaciones cometidas, ni determinará las sanciones aplicables, si se podrá determinar si a primera vista, aquello de lo que se trata consistente en eventos de aquella naturaleza, para efectos de garantizar el derecho de acceso a la información.</w:t>
      </w:r>
    </w:p>
    <w:p w14:paraId="7733CDE3" w14:textId="77777777" w:rsidR="00442895" w:rsidRPr="00ED0348" w:rsidRDefault="00442895" w:rsidP="00DA687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22638DB" w14:textId="37A22FEC" w:rsidR="00A4088D" w:rsidRPr="00ED0348" w:rsidRDefault="00DA6876" w:rsidP="00DA687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 xml:space="preserve">Una vez </w:t>
      </w:r>
      <w:r w:rsidRPr="00ED0348">
        <w:rPr>
          <w:rFonts w:ascii="Palatino Linotype" w:hAnsi="Palatino Linotype"/>
        </w:rPr>
        <w:t xml:space="preserve">individualizadas las facultades con las que cuenta éste Órgano Garante para conocer, estudiar y en su caso ordenar la entrega de la información peticionada por el </w:t>
      </w:r>
      <w:r w:rsidRPr="00ED0348">
        <w:rPr>
          <w:rFonts w:ascii="Palatino Linotype" w:hAnsi="Palatino Linotype"/>
          <w:b/>
        </w:rPr>
        <w:t>RECURRENTE</w:t>
      </w:r>
      <w:r w:rsidRPr="00ED0348">
        <w:rPr>
          <w:rFonts w:ascii="Palatino Linotype" w:hAnsi="Palatino Linotype"/>
        </w:rPr>
        <w:t xml:space="preserve">, es necesario establecer el marco jurídico y conceptual sobre lo requerido; para lo cual </w:t>
      </w:r>
      <w:r w:rsidR="00A4088D" w:rsidRPr="00ED0348">
        <w:rPr>
          <w:rFonts w:ascii="Palatino Linotype" w:eastAsia="Calibri" w:hAnsi="Palatino Linotype" w:cs="Arial"/>
          <w:color w:val="000000" w:themeColor="text1"/>
          <w:lang w:val="es-ES"/>
        </w:rPr>
        <w:t xml:space="preserve">el Protocolo Homologado para la Búsqueda de Personas Desaparecidas y No Localizadas, </w:t>
      </w:r>
      <w:r w:rsidRPr="00ED0348">
        <w:rPr>
          <w:rFonts w:ascii="Palatino Linotype" w:eastAsia="Calibri" w:hAnsi="Palatino Linotype" w:cs="Arial"/>
          <w:color w:val="000000" w:themeColor="text1"/>
          <w:lang w:val="es-ES"/>
        </w:rPr>
        <w:t>nos proporciona el “Contexto de hallazgos de restos humanos”</w:t>
      </w:r>
      <w:r w:rsidR="00A213A4" w:rsidRPr="00ED0348">
        <w:rPr>
          <w:rFonts w:ascii="Palatino Linotype" w:eastAsia="Calibri" w:hAnsi="Palatino Linotype" w:cs="Arial"/>
          <w:color w:val="000000" w:themeColor="text1"/>
          <w:lang w:val="es-ES"/>
        </w:rPr>
        <w:t xml:space="preserve">, </w:t>
      </w:r>
      <w:r w:rsidRPr="00ED0348">
        <w:rPr>
          <w:rFonts w:ascii="Palatino Linotype" w:eastAsia="Calibri" w:hAnsi="Palatino Linotype" w:cs="Arial"/>
          <w:color w:val="000000" w:themeColor="text1"/>
          <w:lang w:val="es-ES"/>
        </w:rPr>
        <w:t>de la siguiente manera</w:t>
      </w:r>
      <w:r w:rsidR="00A4088D" w:rsidRPr="00ED0348">
        <w:rPr>
          <w:rFonts w:ascii="Palatino Linotype" w:eastAsia="Calibri" w:hAnsi="Palatino Linotype" w:cs="Arial"/>
          <w:color w:val="000000" w:themeColor="text1"/>
          <w:lang w:val="es-ES"/>
        </w:rPr>
        <w:t>:</w:t>
      </w:r>
    </w:p>
    <w:p w14:paraId="5F5FDB9C" w14:textId="77777777" w:rsidR="00A4088D" w:rsidRPr="00ED0348" w:rsidRDefault="00A4088D" w:rsidP="00A4088D">
      <w:pPr>
        <w:pStyle w:val="Prrafodelista"/>
        <w:tabs>
          <w:tab w:val="left" w:pos="426"/>
          <w:tab w:val="left" w:pos="567"/>
        </w:tabs>
        <w:spacing w:line="360" w:lineRule="auto"/>
        <w:ind w:left="0"/>
        <w:jc w:val="both"/>
        <w:rPr>
          <w:rFonts w:ascii="Palatino Linotype" w:eastAsia="Calibri" w:hAnsi="Palatino Linotype" w:cs="Arial"/>
          <w:b/>
          <w:bCs/>
          <w:color w:val="000000" w:themeColor="text1"/>
          <w:lang w:val="es-ES"/>
        </w:rPr>
      </w:pPr>
    </w:p>
    <w:p w14:paraId="0F3C25C7" w14:textId="19CC67B7" w:rsidR="00A4088D" w:rsidRPr="00ED0348" w:rsidRDefault="00A4088D" w:rsidP="00A213A4">
      <w:pPr>
        <w:spacing w:after="101"/>
        <w:ind w:left="567" w:right="565"/>
        <w:jc w:val="both"/>
        <w:rPr>
          <w:rFonts w:ascii="Palatino Linotype" w:hAnsi="Palatino Linotype" w:cs="Arial"/>
          <w:i/>
          <w:iCs/>
          <w:color w:val="000000" w:themeColor="text1"/>
          <w:sz w:val="22"/>
        </w:rPr>
      </w:pPr>
      <w:r w:rsidRPr="00ED0348">
        <w:rPr>
          <w:rFonts w:ascii="Palatino Linotype" w:hAnsi="Palatino Linotype" w:cs="Arial"/>
          <w:i/>
          <w:iCs/>
          <w:color w:val="000000" w:themeColor="text1"/>
          <w:sz w:val="22"/>
        </w:rPr>
        <w:t xml:space="preserve">68. Sitio donde ilegalmente han sido depositados, degradados, ocultados o transportados restos humanos no arqueológicos, y/u otros indicios asociados a cuerpos o restos que sean susceptibles de procesamiento forense. Ejemplos de contextos de hallazgo son fosas clandestinas, pozos artesianos, cavernas, tiros de minas, cuerpos de agua, basureros, inmuebles habitacionales y sistemas de drenaje. La información sistemática y detallada de estos sitios, sus entornos, los restos humanos hallados y los objetos asociados a ellos es fundamental para el análisis de contexto, pues posibilita la identificación de patrones de ocultamiento y destrucción de restos humanos y contribuye a su identificación. Por lo anterior, este Protocolo dispone que todos deben ser registrados en el Registro Nacional de Fosas Comunes y Fosas Clandestinas (RNFCFC) (vid infra, 2.5, 4.7), y </w:t>
      </w:r>
      <w:r w:rsidRPr="00ED0348">
        <w:rPr>
          <w:rFonts w:ascii="Palatino Linotype" w:hAnsi="Palatino Linotype" w:cs="Arial"/>
          <w:i/>
          <w:iCs/>
          <w:color w:val="000000" w:themeColor="text1"/>
          <w:sz w:val="22"/>
        </w:rPr>
        <w:lastRenderedPageBreak/>
        <w:t>aconseja la revisión del segmento "Condiciones de contexto Forense"del apartado "10. Análisis de Contexto", del PHI.”</w:t>
      </w:r>
    </w:p>
    <w:p w14:paraId="0F6BE7FB" w14:textId="77777777" w:rsidR="00A4088D" w:rsidRPr="00ED0348" w:rsidRDefault="00A4088D" w:rsidP="00A4088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E0FD59" w14:textId="68D1A5E0" w:rsidR="00A213A4" w:rsidRPr="00ED0348" w:rsidRDefault="00A213A4" w:rsidP="000225A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 xml:space="preserve">Una vez </w:t>
      </w:r>
      <w:r w:rsidRPr="00ED0348">
        <w:rPr>
          <w:rFonts w:ascii="Palatino Linotype" w:hAnsi="Palatino Linotype"/>
        </w:rPr>
        <w:t xml:space="preserve">establecido lo anterior, resulta pertinente estudiar la fuente obligacional del </w:t>
      </w:r>
      <w:r w:rsidRPr="00ED0348">
        <w:rPr>
          <w:rFonts w:ascii="Palatino Linotype" w:hAnsi="Palatino Linotype"/>
          <w:b/>
        </w:rPr>
        <w:t>SUJETO OBLIGADO</w:t>
      </w:r>
      <w:r w:rsidRPr="00ED0348">
        <w:rPr>
          <w:rFonts w:ascii="Palatino Linotype" w:hAnsi="Palatino Linotype"/>
        </w:rPr>
        <w:t xml:space="preserve">, a efecto de determinar si éste debe generar, poseer o administrar la información solicitada por el hoy </w:t>
      </w:r>
      <w:r w:rsidRPr="00ED0348">
        <w:rPr>
          <w:rFonts w:ascii="Palatino Linotype" w:hAnsi="Palatino Linotype"/>
          <w:b/>
        </w:rPr>
        <w:t>RECURRENTE</w:t>
      </w:r>
      <w:r w:rsidRPr="00ED0348">
        <w:rPr>
          <w:rFonts w:ascii="Palatino Linotype" w:hAnsi="Palatino Linotype"/>
        </w:rPr>
        <w:t>.</w:t>
      </w:r>
    </w:p>
    <w:p w14:paraId="4DD56C53" w14:textId="77777777" w:rsidR="00A213A4" w:rsidRPr="00ED0348" w:rsidRDefault="00A213A4" w:rsidP="00A213A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CA1F38E" w14:textId="2F22CC9D" w:rsidR="000225A3" w:rsidRPr="00ED0348" w:rsidRDefault="00A213A4" w:rsidP="000225A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t>En este sentido</w:t>
      </w:r>
      <w:r w:rsidR="000225A3" w:rsidRPr="00ED0348">
        <w:rPr>
          <w:rFonts w:ascii="Palatino Linotype" w:eastAsia="Calibri" w:hAnsi="Palatino Linotype" w:cs="Arial"/>
          <w:color w:val="000000" w:themeColor="text1"/>
          <w:lang w:val="es-ES"/>
        </w:rPr>
        <w:t xml:space="preserve">, la Ley en Materia de Desaparición Forzada de Personas y Desaparición Cometida por Particulares para el Estado Libre y Soberano de México dispone en sus artículos 62, 67, 71 y 72, </w:t>
      </w:r>
      <w:r w:rsidR="00A4088D" w:rsidRPr="00ED0348">
        <w:rPr>
          <w:rFonts w:ascii="Palatino Linotype" w:eastAsia="Calibri" w:hAnsi="Palatino Linotype" w:cs="Arial"/>
          <w:color w:val="000000" w:themeColor="text1"/>
          <w:lang w:val="es-ES"/>
        </w:rPr>
        <w:t>lo siguiente</w:t>
      </w:r>
      <w:r w:rsidR="000225A3" w:rsidRPr="00ED0348">
        <w:rPr>
          <w:rFonts w:ascii="Palatino Linotype" w:eastAsia="Calibri" w:hAnsi="Palatino Linotype" w:cs="Arial"/>
          <w:color w:val="000000" w:themeColor="text1"/>
          <w:lang w:val="es-ES"/>
        </w:rPr>
        <w:t>:</w:t>
      </w:r>
    </w:p>
    <w:p w14:paraId="6C099AC6" w14:textId="77777777" w:rsidR="000225A3" w:rsidRPr="00ED0348" w:rsidRDefault="000225A3" w:rsidP="000225A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7839870" w14:textId="77777777" w:rsidR="000225A3" w:rsidRPr="00ED0348" w:rsidRDefault="000225A3" w:rsidP="000225A3">
      <w:pPr>
        <w:ind w:left="567" w:right="565"/>
        <w:jc w:val="both"/>
        <w:rPr>
          <w:rFonts w:ascii="Palatino Linotype" w:hAnsi="Palatino Linotype"/>
          <w:sz w:val="22"/>
          <w:szCs w:val="22"/>
        </w:rPr>
      </w:pPr>
      <w:r w:rsidRPr="00ED0348">
        <w:rPr>
          <w:rFonts w:ascii="Palatino Linotype" w:hAnsi="Palatino Linotype"/>
          <w:sz w:val="22"/>
          <w:szCs w:val="22"/>
        </w:rPr>
        <w:t>“</w:t>
      </w:r>
      <w:r w:rsidRPr="00ED0348">
        <w:rPr>
          <w:rFonts w:ascii="Palatino Linotype" w:hAnsi="Palatino Linotype"/>
          <w:b/>
          <w:bCs/>
          <w:sz w:val="22"/>
          <w:szCs w:val="22"/>
        </w:rPr>
        <w:t>Artículo 62.</w:t>
      </w:r>
      <w:r w:rsidRPr="00ED0348">
        <w:rPr>
          <w:rFonts w:ascii="Palatino Linotype" w:hAnsi="Palatino Linotype"/>
          <w:sz w:val="22"/>
          <w:szCs w:val="22"/>
        </w:rPr>
        <w:t xml:space="preserve"> El Banco Estatal de Datos Forenses está a cargo de la Fiscalía Estatal y tiene por objeto concentrar la información relevante para la búsqueda e identificación de Personas Desaparecidas, así como para la investigación de los delitos materia de la Ley General. El Banco Estatal de Datos Forenses, se conforma con la base de datos de registros forenses, incluidos los de información genética, los cuales deben estar interconectados en tiempo real al Banco Nacional de Datos Forenses.</w:t>
      </w:r>
    </w:p>
    <w:p w14:paraId="1E7BD9EE" w14:textId="77777777" w:rsidR="000225A3" w:rsidRPr="00ED0348" w:rsidRDefault="000225A3" w:rsidP="000225A3">
      <w:pPr>
        <w:ind w:left="567" w:right="565"/>
        <w:jc w:val="both"/>
        <w:rPr>
          <w:rFonts w:ascii="Palatino Linotype" w:hAnsi="Palatino Linotype"/>
          <w:sz w:val="22"/>
          <w:szCs w:val="22"/>
        </w:rPr>
      </w:pPr>
    </w:p>
    <w:p w14:paraId="10643FC1" w14:textId="77777777" w:rsidR="000225A3" w:rsidRPr="006E49DE" w:rsidRDefault="000225A3" w:rsidP="000225A3">
      <w:pPr>
        <w:ind w:left="567" w:right="565"/>
        <w:jc w:val="both"/>
        <w:rPr>
          <w:rFonts w:ascii="Palatino Linotype" w:hAnsi="Palatino Linotype"/>
          <w:sz w:val="22"/>
          <w:szCs w:val="22"/>
        </w:rPr>
      </w:pPr>
      <w:r w:rsidRPr="00ED0348">
        <w:rPr>
          <w:rFonts w:ascii="Palatino Linotype" w:hAnsi="Palatino Linotype"/>
          <w:sz w:val="22"/>
          <w:szCs w:val="22"/>
        </w:rPr>
        <w:t>El Banco Estatal de Datos Forenses debe estar interconectado con las herramientas de búsqueda e identificación previstas en esta Ley y en la Ley General, y ser actualizado en tiempo real, mediante personal designado y capacitado para ello. La información</w:t>
      </w:r>
      <w:r w:rsidRPr="006E49DE">
        <w:rPr>
          <w:rFonts w:ascii="Palatino Linotype" w:hAnsi="Palatino Linotype"/>
          <w:sz w:val="22"/>
          <w:szCs w:val="22"/>
        </w:rPr>
        <w:t xml:space="preserve"> deberá ser recabada de conformidad con los protocolos correspondientes. El Banco Estatal de Datos Forenses deberá realizar cruces de información de manera permanente y continua con el Registro Estatal y el Registro Nacional. Así como, con otros registros que no forman parte del Sistema Nacional que contengan información forense relevante para la búsqueda de personas.</w:t>
      </w:r>
    </w:p>
    <w:p w14:paraId="70EE7CBE" w14:textId="77777777" w:rsidR="000225A3" w:rsidRPr="006E49DE" w:rsidRDefault="000225A3" w:rsidP="000225A3">
      <w:pPr>
        <w:ind w:left="567" w:right="565"/>
        <w:jc w:val="both"/>
        <w:rPr>
          <w:rFonts w:ascii="Palatino Linotype" w:hAnsi="Palatino Linotype"/>
          <w:sz w:val="22"/>
          <w:szCs w:val="22"/>
        </w:rPr>
      </w:pPr>
    </w:p>
    <w:p w14:paraId="0834769E" w14:textId="77777777" w:rsidR="000225A3" w:rsidRPr="006E49DE" w:rsidRDefault="000225A3" w:rsidP="000225A3">
      <w:pPr>
        <w:ind w:left="567" w:right="565"/>
        <w:jc w:val="center"/>
        <w:rPr>
          <w:rFonts w:ascii="Palatino Linotype" w:hAnsi="Palatino Linotype"/>
          <w:b/>
          <w:bCs/>
          <w:sz w:val="22"/>
          <w:szCs w:val="22"/>
        </w:rPr>
      </w:pPr>
      <w:r w:rsidRPr="006E49DE">
        <w:rPr>
          <w:rFonts w:ascii="Palatino Linotype" w:hAnsi="Palatino Linotype"/>
          <w:b/>
          <w:bCs/>
          <w:sz w:val="22"/>
          <w:szCs w:val="22"/>
        </w:rPr>
        <w:lastRenderedPageBreak/>
        <w:t>CAPÍTULO NOVENO</w:t>
      </w:r>
    </w:p>
    <w:p w14:paraId="5FB74CF6" w14:textId="77777777" w:rsidR="000225A3" w:rsidRPr="006E49DE" w:rsidRDefault="000225A3" w:rsidP="000225A3">
      <w:pPr>
        <w:ind w:left="567" w:right="565"/>
        <w:jc w:val="center"/>
        <w:rPr>
          <w:rFonts w:ascii="Palatino Linotype" w:hAnsi="Palatino Linotype"/>
          <w:b/>
          <w:bCs/>
          <w:sz w:val="22"/>
          <w:szCs w:val="22"/>
        </w:rPr>
      </w:pPr>
      <w:r w:rsidRPr="006E49DE">
        <w:rPr>
          <w:rFonts w:ascii="Palatino Linotype" w:hAnsi="Palatino Linotype"/>
          <w:b/>
          <w:bCs/>
          <w:sz w:val="22"/>
          <w:szCs w:val="22"/>
        </w:rPr>
        <w:t>Del Banco Estatal de Datos Forenses</w:t>
      </w:r>
    </w:p>
    <w:p w14:paraId="161050BD" w14:textId="77777777" w:rsidR="000225A3" w:rsidRPr="006E49DE" w:rsidRDefault="000225A3" w:rsidP="000225A3">
      <w:pPr>
        <w:ind w:left="567" w:right="565"/>
        <w:jc w:val="both"/>
        <w:rPr>
          <w:rFonts w:ascii="Palatino Linotype" w:hAnsi="Palatino Linotype"/>
          <w:sz w:val="22"/>
          <w:szCs w:val="22"/>
        </w:rPr>
      </w:pPr>
      <w:r w:rsidRPr="006E49DE">
        <w:rPr>
          <w:rFonts w:ascii="Palatino Linotype" w:hAnsi="Palatino Linotype"/>
          <w:b/>
          <w:bCs/>
          <w:sz w:val="22"/>
          <w:szCs w:val="22"/>
        </w:rPr>
        <w:t>Artículo 67.</w:t>
      </w:r>
      <w:r w:rsidRPr="006E49DE">
        <w:rPr>
          <w:rFonts w:ascii="Palatino Linotype" w:hAnsi="Palatino Linotype"/>
          <w:sz w:val="22"/>
          <w:szCs w:val="22"/>
        </w:rPr>
        <w:t xml:space="preserve"> El Banco Estatal de Datos Forenses, además de la información pericial y forense, útil para la identificación de una persona, debe contar con una base de datos de información genética que contenga, los mínimos exigidos por la Ley General </w:t>
      </w:r>
    </w:p>
    <w:p w14:paraId="0AF60E32" w14:textId="77777777" w:rsidR="000225A3" w:rsidRPr="006E49DE" w:rsidRDefault="000225A3" w:rsidP="000225A3">
      <w:pPr>
        <w:ind w:left="567" w:right="565"/>
        <w:jc w:val="both"/>
        <w:rPr>
          <w:rFonts w:ascii="Palatino Linotype" w:hAnsi="Palatino Linotype"/>
          <w:sz w:val="22"/>
          <w:szCs w:val="22"/>
        </w:rPr>
      </w:pPr>
    </w:p>
    <w:p w14:paraId="1C8B5C19" w14:textId="77777777" w:rsidR="000225A3" w:rsidRPr="006E49DE" w:rsidRDefault="000225A3" w:rsidP="000225A3">
      <w:pPr>
        <w:ind w:left="567" w:right="565"/>
        <w:jc w:val="center"/>
        <w:rPr>
          <w:rFonts w:ascii="Palatino Linotype" w:hAnsi="Palatino Linotype"/>
          <w:b/>
          <w:bCs/>
          <w:sz w:val="22"/>
          <w:szCs w:val="22"/>
        </w:rPr>
      </w:pPr>
      <w:r w:rsidRPr="006E49DE">
        <w:rPr>
          <w:rFonts w:ascii="Palatino Linotype" w:hAnsi="Palatino Linotype"/>
          <w:b/>
          <w:bCs/>
          <w:sz w:val="22"/>
          <w:szCs w:val="22"/>
        </w:rPr>
        <w:t>CAPÍTULO DÉCIMO</w:t>
      </w:r>
    </w:p>
    <w:p w14:paraId="2958ECF2" w14:textId="77777777" w:rsidR="000225A3" w:rsidRPr="006E49DE" w:rsidRDefault="000225A3" w:rsidP="000225A3">
      <w:pPr>
        <w:ind w:left="567" w:right="565"/>
        <w:jc w:val="center"/>
        <w:rPr>
          <w:rFonts w:ascii="Palatino Linotype" w:hAnsi="Palatino Linotype"/>
          <w:b/>
          <w:bCs/>
          <w:sz w:val="22"/>
          <w:szCs w:val="22"/>
        </w:rPr>
      </w:pPr>
      <w:r w:rsidRPr="006E49DE">
        <w:rPr>
          <w:rFonts w:ascii="Palatino Linotype" w:hAnsi="Palatino Linotype"/>
          <w:b/>
          <w:bCs/>
          <w:sz w:val="22"/>
          <w:szCs w:val="22"/>
        </w:rPr>
        <w:t>De la Disposición de Cadáveres de Personas</w:t>
      </w:r>
    </w:p>
    <w:p w14:paraId="5386CCCA" w14:textId="77777777" w:rsidR="000225A3" w:rsidRDefault="000225A3" w:rsidP="000225A3">
      <w:pPr>
        <w:ind w:left="567" w:right="565"/>
        <w:jc w:val="both"/>
        <w:rPr>
          <w:rFonts w:ascii="Palatino Linotype" w:hAnsi="Palatino Linotype"/>
          <w:sz w:val="22"/>
          <w:szCs w:val="22"/>
        </w:rPr>
      </w:pPr>
      <w:r w:rsidRPr="006E49DE">
        <w:rPr>
          <w:rFonts w:ascii="Palatino Linotype" w:hAnsi="Palatino Linotype"/>
          <w:b/>
          <w:bCs/>
          <w:sz w:val="22"/>
          <w:szCs w:val="22"/>
        </w:rPr>
        <w:t>Artículo 71.</w:t>
      </w:r>
      <w:r w:rsidRPr="006E49DE">
        <w:rPr>
          <w:rFonts w:ascii="Palatino Linotype" w:hAnsi="Palatino Linotype"/>
          <w:sz w:val="22"/>
          <w:szCs w:val="22"/>
        </w:rPr>
        <w:t xml:space="preserve"> La Fiscalía Especializada deberá contar con un Registro Estatal de Fosas que concentrará la información de las que existen en los cementerios y panteones de todos los municipios de la entidad, así como de las Fosas Clandestinas que se localicen en la entidad la Fiscalía Estatal o la Fiscalía Especializada; que estará interconectado en tiempo real con el Registro Nacional de Fosas. La Comisión de Búsqueda de Personas, para el cumplimiento de sus atribuciones, puede acceder al Registro Estatal de Fosas en cualquier momento. </w:t>
      </w:r>
    </w:p>
    <w:p w14:paraId="756B4928" w14:textId="77777777" w:rsidR="000225A3" w:rsidRPr="006E49DE" w:rsidRDefault="000225A3" w:rsidP="000225A3">
      <w:pPr>
        <w:ind w:left="567" w:right="565"/>
        <w:jc w:val="both"/>
        <w:rPr>
          <w:rFonts w:ascii="Palatino Linotype" w:hAnsi="Palatino Linotype"/>
          <w:sz w:val="22"/>
          <w:szCs w:val="22"/>
        </w:rPr>
      </w:pPr>
    </w:p>
    <w:p w14:paraId="2FE27353" w14:textId="77777777" w:rsidR="000225A3" w:rsidRPr="006E49DE" w:rsidRDefault="000225A3" w:rsidP="000225A3">
      <w:pPr>
        <w:ind w:left="567" w:right="565"/>
        <w:jc w:val="both"/>
        <w:rPr>
          <w:rFonts w:ascii="Palatino Linotype" w:hAnsi="Palatino Linotype"/>
          <w:sz w:val="22"/>
          <w:szCs w:val="22"/>
        </w:rPr>
      </w:pPr>
      <w:r w:rsidRPr="006E49DE">
        <w:rPr>
          <w:rFonts w:ascii="Palatino Linotype" w:hAnsi="Palatino Linotype"/>
          <w:b/>
          <w:bCs/>
          <w:sz w:val="22"/>
          <w:szCs w:val="22"/>
        </w:rPr>
        <w:t>Artículo 72.</w:t>
      </w:r>
      <w:r w:rsidRPr="006E49DE">
        <w:rPr>
          <w:rFonts w:ascii="Palatino Linotype" w:hAnsi="Palatino Linotype"/>
          <w:sz w:val="22"/>
          <w:szCs w:val="22"/>
        </w:rPr>
        <w:t xml:space="preserve"> Los servicios periciales y los servicios médicos forenses de la Fiscalía Estatal deben capturar en el Registro Forense Estatal, la información que recaben, de conformidad con la Ley General y el protocolo correspondiente.</w:t>
      </w:r>
    </w:p>
    <w:p w14:paraId="1D6F114B" w14:textId="77777777" w:rsidR="000225A3" w:rsidRPr="006E49DE" w:rsidRDefault="000225A3" w:rsidP="000225A3">
      <w:pPr>
        <w:ind w:left="567" w:right="565"/>
        <w:jc w:val="both"/>
        <w:rPr>
          <w:rFonts w:ascii="Palatino Linotype" w:hAnsi="Palatino Linotype"/>
          <w:sz w:val="22"/>
          <w:szCs w:val="22"/>
        </w:rPr>
      </w:pPr>
      <w:r w:rsidRPr="006E49DE">
        <w:rPr>
          <w:rFonts w:ascii="Palatino Linotype" w:hAnsi="Palatino Linotype"/>
          <w:sz w:val="22"/>
          <w:szCs w:val="22"/>
        </w:rPr>
        <w:t xml:space="preserve">Los cadáveres o restos de personas cuya identidad se desconozca o no hayan sido reclamados no pueden ser incinerados, destruidos o desintegrados, ni disponerse de sus pertenencias. </w:t>
      </w:r>
    </w:p>
    <w:p w14:paraId="48F7316E" w14:textId="77777777" w:rsidR="000225A3" w:rsidRPr="006E49DE" w:rsidRDefault="000225A3" w:rsidP="000225A3">
      <w:pPr>
        <w:ind w:left="567" w:right="565"/>
        <w:jc w:val="both"/>
        <w:rPr>
          <w:rFonts w:ascii="Palatino Linotype" w:hAnsi="Palatino Linotype"/>
          <w:sz w:val="22"/>
          <w:szCs w:val="22"/>
        </w:rPr>
      </w:pPr>
    </w:p>
    <w:p w14:paraId="4E3011DE" w14:textId="77777777" w:rsidR="000225A3" w:rsidRPr="006E49DE" w:rsidRDefault="000225A3" w:rsidP="000225A3">
      <w:pPr>
        <w:ind w:left="567" w:right="565"/>
        <w:jc w:val="both"/>
        <w:rPr>
          <w:rFonts w:ascii="Palatino Linotype" w:hAnsi="Palatino Linotype"/>
          <w:sz w:val="22"/>
          <w:szCs w:val="22"/>
        </w:rPr>
      </w:pPr>
      <w:r w:rsidRPr="006E49DE">
        <w:rPr>
          <w:rFonts w:ascii="Palatino Linotype" w:hAnsi="Palatino Linotype"/>
          <w:sz w:val="22"/>
          <w:szCs w:val="22"/>
        </w:rPr>
        <w:t xml:space="preserve">La Fiscalía Estatal debe tener el registro del lugar donde sean colocados los cadáveres o restos de personas cuya identidad se desconozca o no hayan sido reclamados. </w:t>
      </w:r>
    </w:p>
    <w:p w14:paraId="252A4160" w14:textId="77777777" w:rsidR="000225A3" w:rsidRPr="006E49DE" w:rsidRDefault="000225A3" w:rsidP="000225A3">
      <w:pPr>
        <w:ind w:left="567" w:right="565"/>
        <w:jc w:val="both"/>
        <w:rPr>
          <w:rFonts w:ascii="Palatino Linotype" w:hAnsi="Palatino Linotype"/>
          <w:sz w:val="22"/>
          <w:szCs w:val="22"/>
        </w:rPr>
      </w:pPr>
    </w:p>
    <w:p w14:paraId="611ABD8A" w14:textId="77777777" w:rsidR="000225A3" w:rsidRPr="006E49DE" w:rsidRDefault="000225A3" w:rsidP="000225A3">
      <w:pPr>
        <w:ind w:left="567" w:right="565"/>
        <w:jc w:val="both"/>
        <w:rPr>
          <w:rFonts w:ascii="Palatino Linotype" w:hAnsi="Palatino Linotype"/>
          <w:sz w:val="22"/>
          <w:szCs w:val="22"/>
        </w:rPr>
      </w:pPr>
      <w:r w:rsidRPr="006E49DE">
        <w:rPr>
          <w:rFonts w:ascii="Palatino Linotype" w:hAnsi="Palatino Linotype"/>
          <w:sz w:val="22"/>
          <w:szCs w:val="22"/>
        </w:rPr>
        <w:t xml:space="preserve">Cuando las investigaciones revelen la identidad del cadáver o los restos de la persona, el agente del Ministerio Público competente podrá autorizar que los Familiares dispongan de él y de sus pertenencias, salvo que sean necesarios para continuar con las investigaciones o para el correcto desarrollo del proceso penal, en cuyo caso dictará las medidas correspondientes. </w:t>
      </w:r>
    </w:p>
    <w:p w14:paraId="59E643C7" w14:textId="77777777" w:rsidR="000225A3" w:rsidRPr="006E49DE" w:rsidRDefault="000225A3" w:rsidP="000225A3">
      <w:pPr>
        <w:ind w:left="567" w:right="565"/>
        <w:jc w:val="both"/>
        <w:rPr>
          <w:rFonts w:ascii="Palatino Linotype" w:hAnsi="Palatino Linotype"/>
          <w:sz w:val="22"/>
          <w:szCs w:val="22"/>
        </w:rPr>
      </w:pPr>
    </w:p>
    <w:p w14:paraId="71C311AA" w14:textId="77777777" w:rsidR="000225A3" w:rsidRPr="006E49DE" w:rsidRDefault="000225A3" w:rsidP="000225A3">
      <w:pPr>
        <w:ind w:left="567" w:right="565"/>
        <w:jc w:val="both"/>
        <w:rPr>
          <w:rFonts w:ascii="Palatino Linotype" w:hAnsi="Palatino Linotype"/>
          <w:sz w:val="22"/>
          <w:szCs w:val="22"/>
        </w:rPr>
      </w:pPr>
      <w:r w:rsidRPr="006E49DE">
        <w:rPr>
          <w:rFonts w:ascii="Palatino Linotype" w:hAnsi="Palatino Linotype"/>
          <w:sz w:val="22"/>
          <w:szCs w:val="22"/>
        </w:rPr>
        <w:lastRenderedPageBreak/>
        <w:t>En caso de emergencia sanitaria o desastres naturales, se adoptarán las medidas que establezca la Secretaría de Salud.”</w:t>
      </w:r>
    </w:p>
    <w:p w14:paraId="6389A7EF" w14:textId="77777777" w:rsidR="000225A3" w:rsidRPr="006E49DE" w:rsidRDefault="000225A3" w:rsidP="000225A3">
      <w:pPr>
        <w:ind w:left="567" w:right="565"/>
        <w:jc w:val="both"/>
        <w:rPr>
          <w:rFonts w:ascii="Palatino Linotype" w:hAnsi="Palatino Linotype"/>
          <w:sz w:val="22"/>
          <w:szCs w:val="22"/>
        </w:rPr>
      </w:pPr>
    </w:p>
    <w:p w14:paraId="32FC5B5C" w14:textId="77777777" w:rsidR="000225A3" w:rsidRPr="006E49DE" w:rsidRDefault="000225A3" w:rsidP="000225A3">
      <w:pPr>
        <w:ind w:left="567" w:right="565"/>
        <w:jc w:val="both"/>
        <w:rPr>
          <w:rFonts w:ascii="Palatino Linotype" w:hAnsi="Palatino Linotype"/>
          <w:b/>
          <w:bCs/>
          <w:i/>
          <w:iCs/>
          <w:sz w:val="22"/>
          <w:szCs w:val="22"/>
        </w:rPr>
      </w:pPr>
      <w:r w:rsidRPr="006E49DE">
        <w:rPr>
          <w:rFonts w:ascii="Palatino Linotype" w:hAnsi="Palatino Linotype"/>
          <w:b/>
          <w:bCs/>
          <w:i/>
          <w:iCs/>
          <w:sz w:val="22"/>
          <w:szCs w:val="22"/>
        </w:rPr>
        <w:t>(Énfasis Añadido)</w:t>
      </w:r>
    </w:p>
    <w:p w14:paraId="1649A29B" w14:textId="77777777" w:rsidR="000225A3" w:rsidRDefault="000225A3" w:rsidP="000225A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3896F5" w14:textId="1A83E80B" w:rsidR="000225A3" w:rsidRPr="000225A3" w:rsidRDefault="000225A3" w:rsidP="00B51B8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De los preceptos legales citados</w:t>
      </w:r>
      <w:r w:rsidRPr="00B51B82">
        <w:rPr>
          <w:rFonts w:ascii="Palatino Linotype" w:eastAsia="Calibri" w:hAnsi="Palatino Linotype" w:cs="Arial"/>
          <w:color w:val="000000" w:themeColor="text1"/>
          <w:lang w:val="es-ES"/>
        </w:rPr>
        <w:t>,</w:t>
      </w:r>
      <w:r w:rsidR="00A4088D">
        <w:rPr>
          <w:rFonts w:ascii="Palatino Linotype" w:eastAsia="Calibri" w:hAnsi="Palatino Linotype" w:cs="Arial"/>
          <w:color w:val="000000" w:themeColor="text1"/>
          <w:lang w:val="es-ES"/>
        </w:rPr>
        <w:t xml:space="preserve"> se tiene que</w:t>
      </w:r>
      <w:r>
        <w:rPr>
          <w:rFonts w:ascii="Palatino Linotype" w:eastAsia="Calibri" w:hAnsi="Palatino Linotype" w:cs="Arial"/>
          <w:color w:val="000000" w:themeColor="text1"/>
          <w:lang w:val="es-ES"/>
        </w:rPr>
        <w:t xml:space="preserve"> </w:t>
      </w:r>
      <w:r w:rsidRPr="00B51B82">
        <w:rPr>
          <w:rFonts w:ascii="Palatino Linotype" w:eastAsia="Calibri" w:hAnsi="Palatino Linotype" w:cs="Arial"/>
          <w:color w:val="000000" w:themeColor="text1"/>
          <w:lang w:val="es-ES"/>
        </w:rPr>
        <w:t xml:space="preserve">el </w:t>
      </w:r>
      <w:r w:rsidRPr="00B51B82">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w:t>
      </w:r>
      <w:r w:rsidRPr="00B51B82">
        <w:rPr>
          <w:rFonts w:ascii="Palatino Linotype" w:eastAsia="Calibri" w:hAnsi="Palatino Linotype" w:cs="Arial"/>
          <w:color w:val="000000" w:themeColor="text1"/>
          <w:lang w:val="es-ES"/>
        </w:rPr>
        <w:t xml:space="preserve">cuenta con registros de naturaleza </w:t>
      </w:r>
      <w:r w:rsidRPr="00B51B82">
        <w:rPr>
          <w:rFonts w:ascii="Palatino Linotype" w:hAnsi="Palatino Linotype"/>
        </w:rPr>
        <w:t xml:space="preserve">forense, personas fallecidas, </w:t>
      </w:r>
      <w:r w:rsidRPr="00A4088D">
        <w:rPr>
          <w:rFonts w:ascii="Palatino Linotype" w:hAnsi="Palatino Linotype"/>
          <w:b/>
          <w:bCs/>
        </w:rPr>
        <w:t>desaparecidas,</w:t>
      </w:r>
      <w:r w:rsidRPr="00B51B82">
        <w:rPr>
          <w:rFonts w:ascii="Palatino Linotype" w:hAnsi="Palatino Linotype"/>
        </w:rPr>
        <w:t xml:space="preserve"> fosas comunes, entre otras.</w:t>
      </w:r>
    </w:p>
    <w:p w14:paraId="50AFA035" w14:textId="77777777" w:rsidR="000225A3" w:rsidRDefault="000225A3" w:rsidP="00B51B82">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3F8CB1" w14:textId="5C8A158B" w:rsidR="009513B0" w:rsidRDefault="00A4088D"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otro </w:t>
      </w:r>
      <w:r w:rsidR="00FA506D">
        <w:rPr>
          <w:rFonts w:ascii="Palatino Linotype" w:eastAsia="Calibri" w:hAnsi="Palatino Linotype" w:cs="Arial"/>
          <w:color w:val="000000" w:themeColor="text1"/>
          <w:lang w:val="es-ES"/>
        </w:rPr>
        <w:t>lado</w:t>
      </w:r>
      <w:r w:rsidR="000225A3">
        <w:rPr>
          <w:rFonts w:ascii="Palatino Linotype" w:eastAsia="Calibri" w:hAnsi="Palatino Linotype" w:cs="Arial"/>
          <w:color w:val="000000" w:themeColor="text1"/>
          <w:lang w:val="es-ES"/>
        </w:rPr>
        <w:t>,</w:t>
      </w:r>
      <w:r>
        <w:rPr>
          <w:rFonts w:ascii="Palatino Linotype" w:eastAsia="Calibri" w:hAnsi="Palatino Linotype" w:cs="Arial"/>
          <w:color w:val="000000" w:themeColor="text1"/>
          <w:lang w:val="es-ES"/>
        </w:rPr>
        <w:t xml:space="preserve"> </w:t>
      </w:r>
      <w:r w:rsidR="000225A3" w:rsidRPr="0075618F">
        <w:rPr>
          <w:rFonts w:ascii="Palatino Linotype" w:eastAsia="Calibri" w:hAnsi="Palatino Linotype" w:cs="Arial"/>
          <w:color w:val="000000" w:themeColor="text1"/>
          <w:lang w:val="es-ES"/>
        </w:rPr>
        <w:t>dentro de las atribuciones la Comisión de Búsqueda de Personas del Estado de México</w:t>
      </w:r>
      <w:r w:rsidR="000225A3">
        <w:rPr>
          <w:rFonts w:ascii="Palatino Linotype" w:eastAsia="Calibri" w:hAnsi="Palatino Linotype" w:cs="Arial"/>
          <w:color w:val="000000" w:themeColor="text1"/>
          <w:lang w:val="es-ES"/>
        </w:rPr>
        <w:t xml:space="preserve"> </w:t>
      </w:r>
      <w:r w:rsidR="000225A3" w:rsidRPr="000615B8">
        <w:rPr>
          <w:rFonts w:ascii="Palatino Linotype" w:eastAsia="Calibri" w:hAnsi="Palatino Linotype" w:cs="Arial"/>
          <w:b/>
          <w:bCs/>
          <w:color w:val="000000" w:themeColor="text1"/>
          <w:lang w:val="es-ES"/>
        </w:rPr>
        <w:t>(COBUPEM),</w:t>
      </w:r>
      <w:r w:rsidR="000225A3" w:rsidRPr="0075618F">
        <w:rPr>
          <w:rFonts w:ascii="Palatino Linotype" w:eastAsia="Calibri" w:hAnsi="Palatino Linotype" w:cs="Arial"/>
          <w:color w:val="000000" w:themeColor="text1"/>
          <w:lang w:val="es-ES"/>
        </w:rPr>
        <w:t xml:space="preserve"> se encuentra el dar aviso a la </w:t>
      </w:r>
      <w:r w:rsidR="000225A3" w:rsidRPr="00DF5465">
        <w:rPr>
          <w:rFonts w:ascii="Palatino Linotype" w:eastAsia="Calibri" w:hAnsi="Palatino Linotype" w:cs="Arial"/>
          <w:b/>
          <w:bCs/>
          <w:color w:val="000000" w:themeColor="text1"/>
          <w:lang w:val="es-ES"/>
        </w:rPr>
        <w:t xml:space="preserve">Fiscalía </w:t>
      </w:r>
      <w:r w:rsidR="000225A3" w:rsidRPr="009513B0">
        <w:rPr>
          <w:rFonts w:ascii="Palatino Linotype" w:eastAsia="Calibri" w:hAnsi="Palatino Linotype" w:cs="Arial"/>
          <w:b/>
          <w:bCs/>
          <w:color w:val="000000" w:themeColor="text1"/>
          <w:lang w:val="es-ES"/>
        </w:rPr>
        <w:t>Especializada correspondiente</w:t>
      </w:r>
      <w:r w:rsidR="000225A3" w:rsidRPr="0075618F">
        <w:rPr>
          <w:rFonts w:ascii="Palatino Linotype" w:eastAsia="Calibri" w:hAnsi="Palatino Linotype" w:cs="Arial"/>
          <w:color w:val="000000" w:themeColor="text1"/>
          <w:lang w:val="es-ES"/>
        </w:rPr>
        <w:t xml:space="preserve"> sobre la existencia de información relevante y elementos que sean útiles para la investigación de los delitos de desaparición de personas, </w:t>
      </w:r>
      <w:r w:rsidR="000225A3">
        <w:rPr>
          <w:rFonts w:ascii="Palatino Linotype" w:eastAsia="Calibri" w:hAnsi="Palatino Linotype" w:cs="Arial"/>
          <w:color w:val="000000" w:themeColor="text1"/>
          <w:lang w:val="es-ES"/>
        </w:rPr>
        <w:t xml:space="preserve">y </w:t>
      </w:r>
      <w:r w:rsidR="000225A3">
        <w:rPr>
          <w:rFonts w:ascii="Palatino Linotype" w:eastAsia="Calibri" w:hAnsi="Palatino Linotype" w:cs="Arial"/>
          <w:color w:val="000000" w:themeColor="text1"/>
        </w:rPr>
        <w:t xml:space="preserve">en caso que durante las acciones de búsqueda se encuentre algún indicio de la probable comisión de un delito se dará aviso inmediato, </w:t>
      </w:r>
      <w:r w:rsidR="000225A3" w:rsidRPr="0075618F">
        <w:rPr>
          <w:rFonts w:ascii="Palatino Linotype" w:eastAsia="Calibri" w:hAnsi="Palatino Linotype" w:cs="Arial"/>
          <w:color w:val="000000" w:themeColor="text1"/>
          <w:lang w:val="es-ES"/>
        </w:rPr>
        <w:t>conforme al artículo 5 del Decreto del Ejecutivo del Estado por el que se crea la Comisión de Búsqueda de Personas del Estado de México</w:t>
      </w:r>
      <w:r w:rsidR="009513B0">
        <w:rPr>
          <w:rFonts w:ascii="Palatino Linotype" w:eastAsia="Calibri" w:hAnsi="Palatino Linotype" w:cs="Arial"/>
          <w:color w:val="000000" w:themeColor="text1"/>
          <w:lang w:val="es-ES"/>
        </w:rPr>
        <w:t>.</w:t>
      </w:r>
    </w:p>
    <w:p w14:paraId="570791C1" w14:textId="77777777" w:rsidR="009513B0" w:rsidRDefault="009513B0" w:rsidP="009513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C78897"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b/>
          <w:bCs/>
          <w:i/>
          <w:iCs/>
          <w:color w:val="000000" w:themeColor="text1"/>
          <w:sz w:val="22"/>
          <w:szCs w:val="22"/>
          <w:lang w:val="es-ES"/>
        </w:rPr>
        <w:t>“Artículo 5</w:t>
      </w:r>
      <w:r w:rsidRPr="00DE3C6C">
        <w:rPr>
          <w:rFonts w:ascii="Palatino Linotype" w:eastAsia="Calibri" w:hAnsi="Palatino Linotype" w:cs="Arial"/>
          <w:i/>
          <w:iCs/>
          <w:color w:val="000000" w:themeColor="text1"/>
          <w:sz w:val="22"/>
          <w:szCs w:val="22"/>
          <w:lang w:val="es-ES"/>
        </w:rPr>
        <w:t>. La Comisión tiene las siguientes atribuciones:</w:t>
      </w:r>
    </w:p>
    <w:p w14:paraId="49CFFD72"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w:t>
      </w:r>
    </w:p>
    <w:p w14:paraId="4B3ACA2B"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 xml:space="preserve">XX. </w:t>
      </w:r>
      <w:r w:rsidRPr="00DE3C6C">
        <w:rPr>
          <w:rFonts w:ascii="Palatino Linotype" w:eastAsia="Calibri" w:hAnsi="Palatino Linotype" w:cs="Arial"/>
          <w:b/>
          <w:bCs/>
          <w:i/>
          <w:iCs/>
          <w:color w:val="000000" w:themeColor="text1"/>
          <w:sz w:val="22"/>
          <w:szCs w:val="22"/>
          <w:lang w:val="es-ES"/>
        </w:rPr>
        <w:t>Dar aviso de manera inmediata a la Fiscalía Especializada</w:t>
      </w:r>
      <w:r w:rsidRPr="00DE3C6C">
        <w:rPr>
          <w:rFonts w:ascii="Palatino Linotype" w:eastAsia="Calibri" w:hAnsi="Palatino Linotype" w:cs="Arial"/>
          <w:i/>
          <w:iCs/>
          <w:color w:val="000000" w:themeColor="text1"/>
          <w:sz w:val="22"/>
          <w:szCs w:val="22"/>
          <w:lang w:val="es-ES"/>
        </w:rPr>
        <w:t xml:space="preserve"> que corresponda sobre la existencia de información relevante y elementos que sean útiles para la investigación de los delitos materia de la Ley General y otras leyes, de conformidad con el Protocolo Homologado de Búsqueda;</w:t>
      </w:r>
    </w:p>
    <w:p w14:paraId="296A9F9A"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 xml:space="preserve">XXI. </w:t>
      </w:r>
      <w:r w:rsidRPr="00DE3C6C">
        <w:rPr>
          <w:rFonts w:ascii="Palatino Linotype" w:eastAsia="Calibri" w:hAnsi="Palatino Linotype" w:cs="Arial"/>
          <w:b/>
          <w:bCs/>
          <w:i/>
          <w:iCs/>
          <w:color w:val="000000" w:themeColor="text1"/>
          <w:sz w:val="22"/>
          <w:szCs w:val="22"/>
          <w:lang w:val="es-ES"/>
        </w:rPr>
        <w:t>Colaborar con las instituciones de procuración de justicia en la investigación y persecución de otros delitos</w:t>
      </w:r>
      <w:r w:rsidRPr="00DE3C6C">
        <w:rPr>
          <w:rFonts w:ascii="Palatino Linotype" w:eastAsia="Calibri" w:hAnsi="Palatino Linotype" w:cs="Arial"/>
          <w:i/>
          <w:iCs/>
          <w:color w:val="000000" w:themeColor="text1"/>
          <w:sz w:val="22"/>
          <w:szCs w:val="22"/>
          <w:lang w:val="es-ES"/>
        </w:rPr>
        <w:t>;</w:t>
      </w:r>
    </w:p>
    <w:p w14:paraId="7A799176"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lastRenderedPageBreak/>
        <w:t>(…)</w:t>
      </w:r>
    </w:p>
    <w:p w14:paraId="24CE56C0"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XXXI. Establecer acciones de búsqueda específicas para las desapariciones de personas vinculadas con movimientos políticos.</w:t>
      </w:r>
    </w:p>
    <w:p w14:paraId="1AE2D965"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b/>
          <w:bCs/>
          <w:i/>
          <w:iCs/>
          <w:color w:val="000000" w:themeColor="text1"/>
          <w:sz w:val="22"/>
          <w:szCs w:val="22"/>
          <w:lang w:val="es-ES"/>
        </w:rPr>
        <w:t>En caso que durante las acciones de búsqueda se encuentre algún indicio de la probable comisión de un delito, se dará aviso inmediato a la fiscalía correspondiente</w:t>
      </w:r>
      <w:r w:rsidRPr="00DE3C6C">
        <w:rPr>
          <w:rFonts w:ascii="Palatino Linotype" w:eastAsia="Calibri" w:hAnsi="Palatino Linotype" w:cs="Arial"/>
          <w:i/>
          <w:iCs/>
          <w:color w:val="000000" w:themeColor="text1"/>
          <w:sz w:val="22"/>
          <w:szCs w:val="22"/>
          <w:lang w:val="es-ES"/>
        </w:rPr>
        <w:t>;</w:t>
      </w:r>
    </w:p>
    <w:p w14:paraId="49A4C944" w14:textId="3BFF095B" w:rsidR="009513B0" w:rsidRPr="009513B0"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w:t>
      </w:r>
    </w:p>
    <w:p w14:paraId="04EFC6A9" w14:textId="4F0E0151" w:rsidR="006E49DE" w:rsidRDefault="006E49DE" w:rsidP="009513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94CFA2A" w14:textId="6AAABE71" w:rsidR="00B51B82" w:rsidRDefault="00A4088D"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Asimismo</w:t>
      </w:r>
      <w:r w:rsidR="009513B0">
        <w:rPr>
          <w:rFonts w:ascii="Palatino Linotype" w:eastAsia="Calibri" w:hAnsi="Palatino Linotype" w:cs="Arial"/>
          <w:color w:val="000000" w:themeColor="text1"/>
          <w:lang w:val="es-ES"/>
        </w:rPr>
        <w:t xml:space="preserve">, el </w:t>
      </w:r>
      <w:r w:rsidR="009513B0" w:rsidRPr="002C0240">
        <w:rPr>
          <w:rFonts w:ascii="Palatino Linotype" w:eastAsia="Calibri" w:hAnsi="Palatino Linotype" w:cs="Arial"/>
          <w:color w:val="000000" w:themeColor="text1"/>
          <w:lang w:val="es-ES"/>
        </w:rPr>
        <w:t>acuerdo SNBP/002/2020 por el que se aprueba el Protocolo Homologado para la Búsqueda de Personas Desaparecidas y No Localizadas, dispone que las autoridades ministeriales</w:t>
      </w:r>
      <w:r w:rsidR="009513B0">
        <w:rPr>
          <w:rFonts w:ascii="Palatino Linotype" w:eastAsia="Calibri" w:hAnsi="Palatino Linotype" w:cs="Arial"/>
          <w:color w:val="000000" w:themeColor="text1"/>
          <w:lang w:val="es-ES"/>
        </w:rPr>
        <w:t xml:space="preserve">, es decir, </w:t>
      </w:r>
      <w:r w:rsidR="009513B0" w:rsidRPr="002C0240">
        <w:rPr>
          <w:rFonts w:ascii="Palatino Linotype" w:eastAsia="Calibri" w:hAnsi="Palatino Linotype" w:cs="Arial"/>
          <w:b/>
          <w:bCs/>
          <w:color w:val="000000" w:themeColor="text1"/>
          <w:lang w:val="es-ES"/>
        </w:rPr>
        <w:t>procuradurías y fiscalías</w:t>
      </w:r>
      <w:r w:rsidR="009513B0" w:rsidRPr="002C0240">
        <w:rPr>
          <w:rFonts w:ascii="Palatino Linotype" w:eastAsia="Calibri" w:hAnsi="Palatino Linotype" w:cs="Arial"/>
          <w:color w:val="000000" w:themeColor="text1"/>
          <w:lang w:val="es-ES"/>
        </w:rPr>
        <w:t xml:space="preserve"> son las responsables de investigar los delitos cometidos contra personas desaparecidas</w:t>
      </w:r>
      <w:r w:rsidR="009513B0">
        <w:rPr>
          <w:rFonts w:ascii="Palatino Linotype" w:eastAsia="Calibri" w:hAnsi="Palatino Linotype" w:cs="Arial"/>
          <w:color w:val="000000" w:themeColor="text1"/>
          <w:lang w:val="es-ES"/>
        </w:rPr>
        <w:t xml:space="preserve">, </w:t>
      </w:r>
      <w:r w:rsidR="009513B0" w:rsidRPr="002C0240">
        <w:rPr>
          <w:rFonts w:ascii="Palatino Linotype" w:eastAsia="Calibri" w:hAnsi="Palatino Linotype" w:cs="Arial"/>
          <w:color w:val="000000" w:themeColor="text1"/>
          <w:lang w:val="es-ES"/>
        </w:rPr>
        <w:t>tomar medidas para garantizar, dentro de la investigación, la seguridad de familiares, víctimas y testigos, e impulsar y ejecutar oficiosamente, por su cuenta y en coordinación con otras autoridades</w:t>
      </w:r>
      <w:r w:rsidR="009513B0">
        <w:rPr>
          <w:rFonts w:ascii="Palatino Linotype" w:eastAsia="Calibri" w:hAnsi="Palatino Linotype" w:cs="Arial"/>
          <w:color w:val="000000" w:themeColor="text1"/>
          <w:lang w:val="es-ES"/>
        </w:rPr>
        <w:t xml:space="preserve"> acciones</w:t>
      </w:r>
      <w:r w:rsidR="009513B0">
        <w:rPr>
          <w:rFonts w:ascii="Palatino Linotype" w:eastAsia="Calibri" w:hAnsi="Palatino Linotype" w:cs="Arial"/>
          <w:color w:val="000000" w:themeColor="text1"/>
          <w:lang w:val="x-none"/>
        </w:rPr>
        <w:t xml:space="preserve"> de </w:t>
      </w:r>
      <w:r w:rsidR="009513B0">
        <w:rPr>
          <w:rFonts w:ascii="Palatino Linotype" w:eastAsia="Calibri" w:hAnsi="Palatino Linotype" w:cs="Arial"/>
          <w:color w:val="000000" w:themeColor="text1"/>
        </w:rPr>
        <w:t xml:space="preserve">Búsqueda Individualizada </w:t>
      </w:r>
      <w:r w:rsidR="009513B0">
        <w:rPr>
          <w:rFonts w:ascii="Palatino Linotype" w:eastAsia="Calibri" w:hAnsi="Palatino Linotype" w:cs="Arial"/>
          <w:color w:val="000000" w:themeColor="text1"/>
          <w:lang w:val="x-none"/>
        </w:rPr>
        <w:t>para localizar a las víctimas</w:t>
      </w:r>
      <w:r w:rsidR="009513B0">
        <w:rPr>
          <w:rFonts w:ascii="Palatino Linotype" w:eastAsia="Calibri" w:hAnsi="Palatino Linotype" w:cs="Arial"/>
          <w:color w:val="000000" w:themeColor="text1"/>
        </w:rPr>
        <w:t xml:space="preserve"> y brindarles auxilio, </w:t>
      </w:r>
      <w:r w:rsidR="009513B0">
        <w:rPr>
          <w:rFonts w:ascii="Palatino Linotype" w:eastAsia="Calibri" w:hAnsi="Palatino Linotype" w:cs="Arial"/>
          <w:color w:val="000000" w:themeColor="text1"/>
          <w:lang w:val="x-none"/>
        </w:rPr>
        <w:t xml:space="preserve"> así como </w:t>
      </w:r>
      <w:r w:rsidR="009513B0" w:rsidRPr="008E7AF3">
        <w:rPr>
          <w:rFonts w:ascii="Palatino Linotype" w:eastAsia="Calibri" w:hAnsi="Palatino Linotype" w:cs="Arial"/>
          <w:b/>
          <w:bCs/>
          <w:color w:val="000000" w:themeColor="text1"/>
          <w:lang w:val="x-none"/>
        </w:rPr>
        <w:t>recuperar</w:t>
      </w:r>
      <w:r w:rsidR="009513B0">
        <w:rPr>
          <w:rFonts w:ascii="Palatino Linotype" w:eastAsia="Calibri" w:hAnsi="Palatino Linotype" w:cs="Arial"/>
          <w:b/>
          <w:bCs/>
          <w:color w:val="000000" w:themeColor="text1"/>
        </w:rPr>
        <w:t xml:space="preserve">, </w:t>
      </w:r>
      <w:r w:rsidR="009513B0" w:rsidRPr="008E7AF3">
        <w:rPr>
          <w:rFonts w:ascii="Palatino Linotype" w:eastAsia="Calibri" w:hAnsi="Palatino Linotype" w:cs="Arial"/>
          <w:b/>
          <w:bCs/>
          <w:color w:val="000000" w:themeColor="text1"/>
          <w:lang w:val="x-none"/>
        </w:rPr>
        <w:t xml:space="preserve">identificar y </w:t>
      </w:r>
      <w:r w:rsidR="009513B0" w:rsidRPr="008E7AF3">
        <w:rPr>
          <w:rFonts w:ascii="Palatino Linotype" w:eastAsia="Calibri" w:hAnsi="Palatino Linotype" w:cs="Arial"/>
          <w:b/>
          <w:bCs/>
          <w:color w:val="000000" w:themeColor="text1"/>
        </w:rPr>
        <w:t>restituir</w:t>
      </w:r>
      <w:r w:rsidR="009513B0" w:rsidRPr="008E7AF3">
        <w:rPr>
          <w:rFonts w:ascii="Palatino Linotype" w:eastAsia="Calibri" w:hAnsi="Palatino Linotype" w:cs="Arial"/>
          <w:b/>
          <w:bCs/>
          <w:color w:val="000000" w:themeColor="text1"/>
          <w:lang w:val="x-none"/>
        </w:rPr>
        <w:t xml:space="preserve"> con</w:t>
      </w:r>
      <w:r w:rsidR="009513B0" w:rsidRPr="008E7AF3">
        <w:rPr>
          <w:rFonts w:ascii="Palatino Linotype" w:eastAsia="Calibri" w:hAnsi="Palatino Linotype" w:cs="Arial"/>
          <w:b/>
          <w:bCs/>
          <w:color w:val="000000" w:themeColor="text1"/>
        </w:rPr>
        <w:t xml:space="preserve"> dignidad </w:t>
      </w:r>
      <w:r w:rsidR="009513B0" w:rsidRPr="008E7AF3">
        <w:rPr>
          <w:rFonts w:ascii="Palatino Linotype" w:eastAsia="Calibri" w:hAnsi="Palatino Linotype" w:cs="Arial"/>
          <w:b/>
          <w:bCs/>
          <w:color w:val="000000" w:themeColor="text1"/>
          <w:lang w:val="x-none"/>
        </w:rPr>
        <w:t>cuerpos y restos humanos humanos</w:t>
      </w:r>
      <w:r w:rsidR="009513B0">
        <w:rPr>
          <w:rFonts w:ascii="Palatino Linotype" w:eastAsia="Calibri" w:hAnsi="Palatino Linotype" w:cs="Arial"/>
          <w:color w:val="000000" w:themeColor="text1"/>
        </w:rPr>
        <w:t>, en su caso</w:t>
      </w:r>
      <w:r w:rsidR="009513B0">
        <w:rPr>
          <w:rFonts w:ascii="Palatino Linotype" w:eastAsia="Calibri" w:hAnsi="Palatino Linotype" w:cs="Arial"/>
          <w:color w:val="000000" w:themeColor="text1"/>
          <w:lang w:val="es-ES"/>
        </w:rPr>
        <w:t xml:space="preserve"> como a continuación se observa</w:t>
      </w:r>
      <w:r w:rsidR="009513B0" w:rsidRPr="002C0240">
        <w:rPr>
          <w:rFonts w:ascii="Palatino Linotype" w:eastAsia="Calibri" w:hAnsi="Palatino Linotype" w:cs="Arial"/>
          <w:color w:val="000000" w:themeColor="text1"/>
          <w:lang w:val="es-ES"/>
        </w:rPr>
        <w:t>:</w:t>
      </w:r>
    </w:p>
    <w:p w14:paraId="6A01CC9B" w14:textId="6213371D" w:rsidR="009513B0" w:rsidRDefault="009513B0" w:rsidP="009513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07AA7C9" w14:textId="77777777" w:rsidR="009513B0" w:rsidRPr="00DE3C6C" w:rsidRDefault="009513B0" w:rsidP="009513B0">
      <w:pPr>
        <w:tabs>
          <w:tab w:val="left" w:pos="426"/>
          <w:tab w:val="left" w:pos="567"/>
        </w:tabs>
        <w:ind w:left="567" w:right="565"/>
        <w:jc w:val="both"/>
        <w:rPr>
          <w:rFonts w:ascii="Palatino Linotype" w:eastAsia="Calibri" w:hAnsi="Palatino Linotype" w:cs="Arial"/>
          <w:b/>
          <w:bCs/>
          <w:i/>
          <w:iCs/>
          <w:color w:val="000000" w:themeColor="text1"/>
          <w:sz w:val="22"/>
          <w:szCs w:val="22"/>
          <w:lang w:val="es-ES"/>
        </w:rPr>
      </w:pPr>
      <w:r>
        <w:rPr>
          <w:rFonts w:ascii="Palatino Linotype" w:eastAsia="Calibri" w:hAnsi="Palatino Linotype" w:cs="Arial"/>
          <w:b/>
          <w:bCs/>
          <w:i/>
          <w:iCs/>
          <w:color w:val="000000" w:themeColor="text1"/>
          <w:sz w:val="22"/>
          <w:szCs w:val="22"/>
          <w:lang w:val="es-ES"/>
        </w:rPr>
        <w:t>“</w:t>
      </w:r>
      <w:r w:rsidRPr="00DE3C6C">
        <w:rPr>
          <w:rFonts w:ascii="Palatino Linotype" w:eastAsia="Calibri" w:hAnsi="Palatino Linotype" w:cs="Arial"/>
          <w:b/>
          <w:bCs/>
          <w:i/>
          <w:iCs/>
          <w:color w:val="000000" w:themeColor="text1"/>
          <w:sz w:val="22"/>
          <w:szCs w:val="22"/>
          <w:lang w:val="es-ES"/>
        </w:rPr>
        <w:t>III. Autoridades ministeriales</w:t>
      </w:r>
    </w:p>
    <w:p w14:paraId="4C8385A9"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 xml:space="preserve"> </w:t>
      </w:r>
    </w:p>
    <w:p w14:paraId="6CAB94B6"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 xml:space="preserve">99. Las autoridades ministeriales </w:t>
      </w:r>
      <w:r w:rsidRPr="002C0240">
        <w:rPr>
          <w:rFonts w:ascii="Palatino Linotype" w:eastAsia="Calibri" w:hAnsi="Palatino Linotype" w:cs="Arial"/>
          <w:b/>
          <w:bCs/>
          <w:i/>
          <w:iCs/>
          <w:color w:val="000000" w:themeColor="text1"/>
          <w:sz w:val="22"/>
          <w:szCs w:val="22"/>
          <w:lang w:val="es-ES"/>
        </w:rPr>
        <w:t>(procuradurías y fiscalías</w:t>
      </w:r>
      <w:r w:rsidRPr="00DE3C6C">
        <w:rPr>
          <w:rFonts w:ascii="Palatino Linotype" w:eastAsia="Calibri" w:hAnsi="Palatino Linotype" w:cs="Arial"/>
          <w:i/>
          <w:iCs/>
          <w:color w:val="000000" w:themeColor="text1"/>
          <w:sz w:val="22"/>
          <w:szCs w:val="22"/>
          <w:lang w:val="es-ES"/>
        </w:rPr>
        <w:t xml:space="preserve">) son las responsables de investigar los delitos cometidos contra personas desaparecidas (cualquiera sea éste), tomar medidas para garantizar, dentro de la investigación, la seguridad de familiares, víctimas y testigos, e impulsar y ejecutar oficiosamente, por su cuenta y en coordinación con otras autoridades, acciones de Búsqueda Individualizada para localizar a las víctimas y brindarles auxilio, así como recuperar, identificar y restituir con dignidad </w:t>
      </w:r>
      <w:r w:rsidRPr="00DE3C6C">
        <w:rPr>
          <w:rFonts w:ascii="Palatino Linotype" w:eastAsia="Calibri" w:hAnsi="Palatino Linotype" w:cs="Arial"/>
          <w:i/>
          <w:iCs/>
          <w:color w:val="000000" w:themeColor="text1"/>
          <w:sz w:val="22"/>
          <w:szCs w:val="22"/>
          <w:lang w:val="es-ES"/>
        </w:rPr>
        <w:lastRenderedPageBreak/>
        <w:t>cuerpos y restos humanos, en su caso. Estas obligaciones se extienden a cualquier unidad ministerial que conozca de la imposibilidad de localizar a una persona o que sea responsable de investigar cualquier delito que posiblemente la cause (desaparición forzada, desaparición por particulares, secuestro, tráfico humano, sustracción de menores, delincuencia organizada, etc.).</w:t>
      </w:r>
    </w:p>
    <w:p w14:paraId="0D74EEAD"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p>
    <w:p w14:paraId="59F50D55"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 xml:space="preserve">100. Es de notarse que el PHI indica en su página 10 que "algunas de las acciones necesarias para la búsqueda y localización de la persona desaparecida requieren de control judicial [...], por lo que corresponde a la/el AMP [Agente del Ministerio Público] coadyuvar con la solicitud de dichos actos. </w:t>
      </w:r>
      <w:r w:rsidRPr="002C0240">
        <w:rPr>
          <w:rFonts w:ascii="Palatino Linotype" w:eastAsia="Calibri" w:hAnsi="Palatino Linotype" w:cs="Arial"/>
          <w:b/>
          <w:bCs/>
          <w:i/>
          <w:iCs/>
          <w:color w:val="000000" w:themeColor="text1"/>
          <w:sz w:val="22"/>
          <w:szCs w:val="22"/>
          <w:lang w:val="es-ES"/>
        </w:rPr>
        <w:t>[...] Las Fiscalías Especializadas también pueden desarrollar acciones encaminadas a la búsqueda y localización de la persona desaparecida, a partir de los indicios y datos de prueba en los que se presuma</w:t>
      </w:r>
      <w:r w:rsidRPr="00DE3C6C">
        <w:rPr>
          <w:rFonts w:ascii="Palatino Linotype" w:eastAsia="Calibri" w:hAnsi="Palatino Linotype" w:cs="Arial"/>
          <w:i/>
          <w:iCs/>
          <w:color w:val="000000" w:themeColor="text1"/>
          <w:sz w:val="22"/>
          <w:szCs w:val="22"/>
          <w:lang w:val="es-ES"/>
        </w:rPr>
        <w:t xml:space="preserve"> [sic] el posible paradero de la persona desaparecida; en cuyo caso, la/el AMP tendrá que priorizar las acciones de investigación encaminadas a localización [sic] con vida de la persona desaparecida. Estas acciones de búsqueda tendrán que realizarse conforme a los objetivos, políticas, procesos, técnicas y métodos específicos que se señalen en el Protocolo Homologado de Búsqueda [...]." Lo anterior, en concordancia con la propia LGD, implica el reconocimiento de que las autoridades ministeriales realizan acciones de búsqueda, y de que este Protocolo es la referencia de sus obligaciones al respecto.</w:t>
      </w:r>
    </w:p>
    <w:p w14:paraId="290D4F58"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p>
    <w:p w14:paraId="7EA9B829"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101.Las autoridades ministeriales poseen facultades exclusivas cuyo ejercicio es crucial para la búsqueda y la identificación. Este Protocolo les asigna las siguientes funciones generales, como autoridades primarias:</w:t>
      </w:r>
    </w:p>
    <w:p w14:paraId="500AEAE3"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p>
    <w:p w14:paraId="6835FF33" w14:textId="30096A0B" w:rsidR="009513B0" w:rsidRPr="009513B0"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a. Reciben reportes y denuncias directamente y por intermediación de las autoridades transmisoras (vid infra, 1.1);</w:t>
      </w:r>
    </w:p>
    <w:p w14:paraId="1219E364"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b. Advierten noticias (vid infra, 1.1);</w:t>
      </w:r>
    </w:p>
    <w:p w14:paraId="0635205D"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c. Alimentan el RNPDNO (vid infra, 1.1);</w:t>
      </w:r>
    </w:p>
    <w:p w14:paraId="3F2749A1"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d. Administran (FGR) y alimentan el Registro Nacional de Personas Fallecidas No Identificadas y No Reclamadas (RNPFNINR) y el Banco Nacional de Datos Forenses (BNDF) (vid infra, 2.4, 2.5, 4.7.5);</w:t>
      </w:r>
    </w:p>
    <w:p w14:paraId="61408804"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e. Alimentan el Registro Nacional de Fosas Comunes y Fosas Clandestinas (vid infra, 2.9 y 4.7.5);</w:t>
      </w:r>
    </w:p>
    <w:p w14:paraId="03AEFC31"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f. Alimentan la Bitácora Única de Acciones de Búsqueda Individualizada (vid infra, 2);</w:t>
      </w:r>
    </w:p>
    <w:p w14:paraId="6B0D8524"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lastRenderedPageBreak/>
        <w:t>g. Detonan y coordinan la Búsqueda Inmediata cuando son las primeras en conocer de la imposibilidad de localizar a una persona (se cumpla o no algún supuesto para presumir la comisión de un delito en su contra), despliegan personal con capacidad operativa cuando se encuentra en la cercanía de los puntos y polígonos de búsqueda (vid infra, 1.7);</w:t>
      </w:r>
    </w:p>
    <w:p w14:paraId="00B9AFC4"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h. Ejecutan oficiosamente la Búsqueda Individualizada de las personas desaparecidas (vid infra, 2);</w:t>
      </w:r>
    </w:p>
    <w:p w14:paraId="6E98A514"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i. Activan Protocolos de Búsqueda Inmediata complementarios a éste que les asignen responsabilidades específicas, en los términos de la normatividad que los regule (vid infra, 1.9);</w:t>
      </w:r>
    </w:p>
    <w:p w14:paraId="7101D6EA"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j. Integran, a solicitud de las comisiones de búsqueda, enlaces a las coordinaciones interinstitucionales de Búsqueda por Patrones cuando sus casos hayan sido relacionados con otros mediante el análisis de contexto (vid infra, 3, 3.2, 3.3.1, 3.3.2);</w:t>
      </w:r>
    </w:p>
    <w:p w14:paraId="6E9ED4E7"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k. Proponen a las comisiones de búsqueda la realización de Búsquedas por Patrones cuando sus unidades de análisis de contexto, áreas de inteligencia o dependencias semejantes identifican patrones en la desaparición de personas (vid infra, 3);</w:t>
      </w:r>
    </w:p>
    <w:p w14:paraId="5E5A9289"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l. Explotan indicios sobre el paradero de las personas que generen los métodos de Búsqueda Generalizada (vid infra, 2.4 y 4);</w:t>
      </w:r>
    </w:p>
    <w:p w14:paraId="53B46BE8"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m. Planean, coordinan y participan de la ejecución de acciones de búsqueda forense al integrarse a Grupos Especializados interinstitucionales (vid infra, 4.7 y 4.7.2);</w:t>
      </w:r>
    </w:p>
    <w:p w14:paraId="4B9C90D3"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n. Procesan contextos de hallazgo (vid infra, 4.7.3) e identifican cuerpos y restos humanos (vid infra, 4.7.4);</w:t>
      </w:r>
    </w:p>
    <w:p w14:paraId="506CDDEC" w14:textId="77777777" w:rsidR="009513B0" w:rsidRPr="00DE3C6C"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o. Ejecutan la Búsqueda de Familia de personas a las que pertenecieron cuerpos identificados no reclamados (vid infra, 4.7.4 y 5.2);</w:t>
      </w:r>
    </w:p>
    <w:p w14:paraId="3B4A5B59" w14:textId="4FF2C8AD" w:rsidR="009513B0" w:rsidRPr="009513B0"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p. Ejecutan, por su cuenta o en coordinación con otras autoridades, procesos de localización con vida y sin vida, producen informes de localización, notifican a familiares (vid infra, 6, 6.1 y 6.2);</w:t>
      </w:r>
    </w:p>
    <w:p w14:paraId="2FE25A2A" w14:textId="7435EFA0" w:rsidR="009513B0" w:rsidRPr="00B75A94" w:rsidRDefault="009513B0" w:rsidP="009513B0">
      <w:pPr>
        <w:tabs>
          <w:tab w:val="left" w:pos="426"/>
          <w:tab w:val="left" w:pos="567"/>
        </w:tabs>
        <w:ind w:left="567" w:right="565"/>
        <w:jc w:val="both"/>
        <w:rPr>
          <w:rFonts w:ascii="Palatino Linotype" w:eastAsia="Calibri" w:hAnsi="Palatino Linotype" w:cs="Arial"/>
          <w:i/>
          <w:iCs/>
          <w:color w:val="000000" w:themeColor="text1"/>
          <w:sz w:val="22"/>
          <w:szCs w:val="22"/>
          <w:lang w:val="es-ES"/>
        </w:rPr>
      </w:pPr>
      <w:r w:rsidRPr="00DE3C6C">
        <w:rPr>
          <w:rFonts w:ascii="Palatino Linotype" w:eastAsia="Calibri" w:hAnsi="Palatino Linotype" w:cs="Arial"/>
          <w:i/>
          <w:iCs/>
          <w:color w:val="000000" w:themeColor="text1"/>
          <w:sz w:val="22"/>
          <w:szCs w:val="22"/>
          <w:lang w:val="es-ES"/>
        </w:rPr>
        <w:t>q.</w:t>
      </w:r>
      <w:r>
        <w:rPr>
          <w:rFonts w:ascii="Palatino Linotype" w:eastAsia="Calibri" w:hAnsi="Palatino Linotype" w:cs="Arial"/>
          <w:i/>
          <w:iCs/>
          <w:color w:val="000000" w:themeColor="text1"/>
          <w:sz w:val="22"/>
          <w:szCs w:val="22"/>
          <w:lang w:val="es-ES"/>
        </w:rPr>
        <w:t xml:space="preserve"> </w:t>
      </w:r>
      <w:r w:rsidRPr="00DE3C6C">
        <w:rPr>
          <w:rFonts w:ascii="Palatino Linotype" w:eastAsia="Calibri" w:hAnsi="Palatino Linotype" w:cs="Arial"/>
          <w:i/>
          <w:iCs/>
          <w:color w:val="000000" w:themeColor="text1"/>
          <w:sz w:val="22"/>
          <w:szCs w:val="22"/>
          <w:lang w:val="es-ES"/>
        </w:rPr>
        <w:t xml:space="preserve">Realizan las actividades descritas en el Protocolo Homologado de Investigación para los delitos de Desaparición Forzada y Desaparición Cometida por Particulares (vid </w:t>
      </w:r>
      <w:r w:rsidRPr="00B75A94">
        <w:rPr>
          <w:rFonts w:ascii="Palatino Linotype" w:eastAsia="Calibri" w:hAnsi="Palatino Linotype" w:cs="Arial"/>
          <w:i/>
          <w:iCs/>
          <w:color w:val="000000" w:themeColor="text1"/>
          <w:sz w:val="22"/>
          <w:szCs w:val="22"/>
          <w:lang w:val="es-ES"/>
        </w:rPr>
        <w:t>infra, 2.1).”</w:t>
      </w:r>
    </w:p>
    <w:p w14:paraId="2188A475" w14:textId="77777777" w:rsidR="009513B0" w:rsidRPr="00B75A94" w:rsidRDefault="009513B0" w:rsidP="009513B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BAB839F" w14:textId="755794FA" w:rsidR="00B51B82" w:rsidRPr="00B75A94"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B75A94">
        <w:rPr>
          <w:rFonts w:ascii="Palatino Linotype" w:eastAsia="Calibri" w:hAnsi="Palatino Linotype" w:cs="Arial"/>
          <w:color w:val="000000" w:themeColor="text1"/>
          <w:lang w:val="es-ES"/>
        </w:rPr>
        <w:t>Por lo anteriormente expuesto,</w:t>
      </w:r>
      <w:r w:rsidR="00B75A94" w:rsidRPr="00B75A94">
        <w:rPr>
          <w:rFonts w:ascii="Palatino Linotype" w:eastAsia="Calibri" w:hAnsi="Palatino Linotype"/>
        </w:rPr>
        <w:t xml:space="preserve"> queda demostrado que compete al </w:t>
      </w:r>
      <w:r w:rsidR="00B75A94" w:rsidRPr="00B75A94">
        <w:rPr>
          <w:rFonts w:ascii="Palatino Linotype" w:eastAsia="Calibri" w:hAnsi="Palatino Linotype"/>
          <w:b/>
        </w:rPr>
        <w:t>SUJETO OBLIGADO</w:t>
      </w:r>
      <w:r w:rsidR="00B75A94" w:rsidRPr="00B75A94">
        <w:rPr>
          <w:rFonts w:ascii="Palatino Linotype" w:eastAsia="Calibri" w:hAnsi="Palatino Linotype"/>
        </w:rPr>
        <w:t xml:space="preserve"> poseer, generar y administrar la información concerniente a lo </w:t>
      </w:r>
      <w:r w:rsidR="00B75A94" w:rsidRPr="00B75A94">
        <w:rPr>
          <w:rFonts w:ascii="Palatino Linotype" w:eastAsia="Calibri" w:hAnsi="Palatino Linotype"/>
        </w:rPr>
        <w:lastRenderedPageBreak/>
        <w:t>requerido y</w:t>
      </w:r>
      <w:r w:rsidRPr="00B75A94">
        <w:rPr>
          <w:rFonts w:ascii="Palatino Linotype" w:eastAsia="Calibri" w:hAnsi="Palatino Linotype" w:cs="Arial"/>
          <w:color w:val="000000" w:themeColor="text1"/>
          <w:lang w:val="es-ES"/>
        </w:rPr>
        <w:t xml:space="preserve"> </w:t>
      </w:r>
      <w:r w:rsidRPr="00B75A94">
        <w:rPr>
          <w:rFonts w:ascii="Palatino Linotype" w:eastAsia="Palatino Linotype" w:hAnsi="Palatino Linotype" w:cs="Palatino Linotype"/>
        </w:rPr>
        <w:t xml:space="preserve">es dable ordenar que a través de la Unidad de Transparencia turne la solicitud a las distintas áreas que conforman su estructura y que de acuerdo con sus facultades y obligaciones puedan contar dentro de sus archivos con la información </w:t>
      </w:r>
      <w:r w:rsidR="00B75A94" w:rsidRPr="00B75A94">
        <w:rPr>
          <w:rFonts w:ascii="Palatino Linotype" w:eastAsia="Palatino Linotype" w:hAnsi="Palatino Linotype" w:cs="Palatino Linotype"/>
        </w:rPr>
        <w:t xml:space="preserve">solicitada </w:t>
      </w:r>
      <w:r w:rsidRPr="00B75A94">
        <w:rPr>
          <w:rFonts w:ascii="Palatino Linotype" w:eastAsia="Palatino Linotype" w:hAnsi="Palatino Linotype" w:cs="Palatino Linotype"/>
        </w:rPr>
        <w:t xml:space="preserve">por el </w:t>
      </w:r>
      <w:r w:rsidRPr="00B75A94">
        <w:rPr>
          <w:rFonts w:ascii="Palatino Linotype" w:eastAsia="Palatino Linotype" w:hAnsi="Palatino Linotype" w:cs="Palatino Linotype"/>
          <w:b/>
        </w:rPr>
        <w:t>RECURRENTE</w:t>
      </w:r>
      <w:r w:rsidRPr="00B75A94">
        <w:rPr>
          <w:rFonts w:ascii="Palatino Linotype" w:eastAsia="Palatino Linotype" w:hAnsi="Palatino Linotype" w:cs="Palatino Linotype"/>
        </w:rPr>
        <w:t>, con el objeto de que realicen una búsqueda exhaustiva y razonable de la información</w:t>
      </w:r>
      <w:r w:rsidR="00B75A94" w:rsidRPr="00B75A94">
        <w:rPr>
          <w:rFonts w:ascii="Palatino Linotype" w:eastAsia="Palatino Linotype" w:hAnsi="Palatino Linotype" w:cs="Palatino Linotype"/>
        </w:rPr>
        <w:t>.</w:t>
      </w:r>
    </w:p>
    <w:p w14:paraId="0F997E20" w14:textId="77777777" w:rsidR="00F058F4"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A9CDCC" w14:textId="6DB47217" w:rsidR="009513B0"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Ahora bien, </w:t>
      </w:r>
      <w:r w:rsidRPr="0062782B">
        <w:rPr>
          <w:rFonts w:ascii="Palatino Linotype" w:eastAsia="Palatino Linotype" w:hAnsi="Palatino Linotype" w:cs="Palatino Linotype"/>
        </w:rPr>
        <w:t>en el supuesto de que el S</w:t>
      </w:r>
      <w:r w:rsidRPr="0062782B">
        <w:rPr>
          <w:rFonts w:ascii="Palatino Linotype" w:eastAsia="Palatino Linotype" w:hAnsi="Palatino Linotype" w:cs="Palatino Linotype"/>
          <w:b/>
        </w:rPr>
        <w:t>UJETO OBLIGADO</w:t>
      </w:r>
      <w:r w:rsidRPr="0062782B">
        <w:rPr>
          <w:rFonts w:ascii="Palatino Linotype" w:eastAsia="Palatino Linotype" w:hAnsi="Palatino Linotype" w:cs="Palatino Linotype"/>
        </w:rPr>
        <w:t xml:space="preserve"> no localice la información solicitada, el Comité de Transparencia deberá emitir el Acuerdo de la</w:t>
      </w:r>
      <w:r w:rsidRPr="0062782B">
        <w:rPr>
          <w:rFonts w:ascii="Palatino Linotype" w:eastAsia="Palatino Linotype" w:hAnsi="Palatino Linotype" w:cs="Palatino Linotype"/>
          <w:b/>
        </w:rPr>
        <w:t xml:space="preserve"> declaratoria de inexistencia</w:t>
      </w:r>
      <w:r w:rsidRPr="0062782B">
        <w:rPr>
          <w:rFonts w:ascii="Palatino Linotype" w:eastAsia="Palatino Linotype" w:hAnsi="Palatino Linotype" w:cs="Palatino Linotype"/>
        </w:rPr>
        <w:t>, debidamente fundado y motivado conforme a lo dispuesto en los artículos 19, 49 fracción III, 169 fracción II y 170 de la Ley de Transparencia y Acceso a la Información Pública del Estado de México y Municipios, que establecen la forma en que los Sujetos Obligados deben dar curso; preceptos que se transcriben a continuación:</w:t>
      </w:r>
    </w:p>
    <w:p w14:paraId="47F681AE" w14:textId="66ECB15F" w:rsidR="00F058F4" w:rsidRPr="0062782B" w:rsidRDefault="00F058F4" w:rsidP="00F058F4">
      <w:pPr>
        <w:rPr>
          <w:rFonts w:ascii="Palatino Linotype" w:eastAsia="Calibri" w:hAnsi="Palatino Linotype" w:cs="Arial"/>
          <w:color w:val="000000" w:themeColor="text1"/>
          <w:lang w:val="es-ES"/>
        </w:rPr>
      </w:pPr>
    </w:p>
    <w:p w14:paraId="182934D1" w14:textId="77777777" w:rsidR="00F058F4" w:rsidRPr="0062782B" w:rsidRDefault="00F058F4" w:rsidP="00F058F4">
      <w:pPr>
        <w:shd w:val="clear" w:color="auto" w:fill="FFFFFF"/>
        <w:spacing w:before="240" w:after="240"/>
        <w:ind w:left="567" w:right="849"/>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b/>
          <w:i/>
          <w:sz w:val="22"/>
          <w:szCs w:val="22"/>
        </w:rPr>
        <w:t>“Artículo 19.</w:t>
      </w:r>
      <w:r w:rsidRPr="0062782B">
        <w:rPr>
          <w:rFonts w:ascii="Palatino Linotype" w:eastAsia="Palatino Linotype" w:hAnsi="Palatino Linotype" w:cs="Palatino Linotype"/>
          <w:i/>
          <w:sz w:val="22"/>
          <w:szCs w:val="22"/>
        </w:rPr>
        <w:t xml:space="preserve"> Se presume que la información debe existir si se refiere a las facultades, competencias y funciones que los ordenamientos jurídicos aplicables otorgan a los sujetos obligados. </w:t>
      </w:r>
    </w:p>
    <w:p w14:paraId="3DECD90B" w14:textId="77777777" w:rsidR="00F058F4" w:rsidRPr="0062782B" w:rsidRDefault="00F058F4" w:rsidP="00F058F4">
      <w:pPr>
        <w:shd w:val="clear" w:color="auto" w:fill="FFFFFF"/>
        <w:spacing w:before="240" w:after="240"/>
        <w:ind w:left="567" w:right="900"/>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4F60B6" w14:textId="77777777" w:rsidR="00F058F4" w:rsidRPr="0062782B" w:rsidRDefault="00F058F4" w:rsidP="00F058F4">
      <w:pPr>
        <w:shd w:val="clear" w:color="auto" w:fill="FFFFFF"/>
        <w:ind w:left="567" w:right="851"/>
        <w:jc w:val="both"/>
        <w:rPr>
          <w:rFonts w:ascii="Georgia" w:eastAsia="Georgia" w:hAnsi="Georgia" w:cs="Georgia"/>
          <w:sz w:val="22"/>
          <w:szCs w:val="22"/>
        </w:rPr>
      </w:pPr>
      <w:r w:rsidRPr="0062782B">
        <w:rPr>
          <w:rFonts w:ascii="Palatino Linotype" w:eastAsia="Palatino Linotype" w:hAnsi="Palatino Linotype" w:cs="Palatino Linotype"/>
          <w:b/>
          <w:i/>
          <w:sz w:val="22"/>
          <w:szCs w:val="22"/>
        </w:rPr>
        <w:t>Artículo 49.</w:t>
      </w:r>
      <w:r w:rsidRPr="0062782B">
        <w:rPr>
          <w:rFonts w:ascii="Palatino Linotype" w:eastAsia="Palatino Linotype" w:hAnsi="Palatino Linotype" w:cs="Palatino Linotype"/>
          <w:i/>
          <w:sz w:val="22"/>
          <w:szCs w:val="22"/>
        </w:rPr>
        <w:t xml:space="preserve"> Los Comités de Transparencia tendrán las siguientes atribuciones:</w:t>
      </w:r>
    </w:p>
    <w:p w14:paraId="7A3E02E0" w14:textId="77777777" w:rsidR="00F058F4" w:rsidRPr="0062782B" w:rsidRDefault="00F058F4" w:rsidP="00F058F4">
      <w:pPr>
        <w:shd w:val="clear" w:color="auto" w:fill="FFFFFF"/>
        <w:ind w:left="567" w:right="851"/>
        <w:jc w:val="both"/>
        <w:rPr>
          <w:rFonts w:ascii="Georgia" w:eastAsia="Georgia" w:hAnsi="Georgia" w:cs="Georgia"/>
          <w:sz w:val="22"/>
          <w:szCs w:val="22"/>
        </w:rPr>
      </w:pPr>
      <w:r w:rsidRPr="0062782B">
        <w:rPr>
          <w:rFonts w:ascii="Palatino Linotype" w:eastAsia="Palatino Linotype" w:hAnsi="Palatino Linotype" w:cs="Palatino Linotype"/>
          <w:i/>
          <w:sz w:val="22"/>
          <w:szCs w:val="22"/>
        </w:rPr>
        <w:t>(…)</w:t>
      </w:r>
    </w:p>
    <w:p w14:paraId="380146A2" w14:textId="77777777" w:rsidR="00F058F4" w:rsidRPr="0062782B" w:rsidRDefault="00F058F4" w:rsidP="00F058F4">
      <w:pPr>
        <w:shd w:val="clear" w:color="auto" w:fill="FFFFFF"/>
        <w:ind w:left="567" w:right="851"/>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lastRenderedPageBreak/>
        <w:t>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23FF870D" w14:textId="77777777" w:rsidR="00F058F4" w:rsidRPr="0062782B" w:rsidRDefault="00F058F4" w:rsidP="00F058F4">
      <w:pPr>
        <w:shd w:val="clear" w:color="auto" w:fill="FFFFFF"/>
        <w:ind w:left="567" w:right="851"/>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w:t>
      </w:r>
    </w:p>
    <w:p w14:paraId="1CECBB2B" w14:textId="77777777" w:rsidR="00F058F4" w:rsidRPr="0062782B" w:rsidRDefault="00F058F4" w:rsidP="00F058F4">
      <w:pPr>
        <w:shd w:val="clear" w:color="auto" w:fill="FFFFFF"/>
        <w:ind w:left="567" w:right="851"/>
        <w:jc w:val="both"/>
        <w:rPr>
          <w:rFonts w:ascii="Palatino Linotype" w:eastAsia="Palatino Linotype" w:hAnsi="Palatino Linotype" w:cs="Palatino Linotype"/>
          <w:i/>
          <w:sz w:val="22"/>
          <w:szCs w:val="22"/>
        </w:rPr>
      </w:pPr>
    </w:p>
    <w:p w14:paraId="40D51200" w14:textId="77777777" w:rsidR="00F058F4" w:rsidRPr="0062782B" w:rsidRDefault="00F058F4" w:rsidP="00F058F4">
      <w:pPr>
        <w:shd w:val="clear" w:color="auto" w:fill="FFFFFF"/>
        <w:ind w:left="567" w:right="851"/>
        <w:jc w:val="both"/>
        <w:rPr>
          <w:rFonts w:ascii="Georgia" w:eastAsia="Georgia" w:hAnsi="Georgia" w:cs="Georgia"/>
          <w:sz w:val="22"/>
          <w:szCs w:val="22"/>
        </w:rPr>
      </w:pPr>
      <w:r w:rsidRPr="0062782B">
        <w:rPr>
          <w:rFonts w:ascii="Palatino Linotype" w:eastAsia="Palatino Linotype" w:hAnsi="Palatino Linotype" w:cs="Palatino Linotype"/>
          <w:b/>
          <w:i/>
          <w:sz w:val="22"/>
          <w:szCs w:val="22"/>
        </w:rPr>
        <w:t>Artículo 169.</w:t>
      </w:r>
      <w:r w:rsidRPr="0062782B">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49205860" w14:textId="77777777" w:rsidR="00F058F4" w:rsidRPr="0062782B" w:rsidRDefault="00F058F4" w:rsidP="00F058F4">
      <w:pPr>
        <w:shd w:val="clear" w:color="auto" w:fill="FFFFFF"/>
        <w:ind w:left="567" w:right="851"/>
        <w:jc w:val="both"/>
        <w:rPr>
          <w:rFonts w:ascii="Georgia" w:eastAsia="Georgia" w:hAnsi="Georgia" w:cs="Georgia"/>
          <w:sz w:val="22"/>
          <w:szCs w:val="22"/>
        </w:rPr>
      </w:pPr>
      <w:r w:rsidRPr="0062782B">
        <w:rPr>
          <w:rFonts w:ascii="Palatino Linotype" w:eastAsia="Palatino Linotype" w:hAnsi="Palatino Linotype" w:cs="Palatino Linotype"/>
          <w:i/>
          <w:sz w:val="22"/>
          <w:szCs w:val="22"/>
        </w:rPr>
        <w:t>(…)</w:t>
      </w:r>
    </w:p>
    <w:p w14:paraId="78EB3490" w14:textId="77777777" w:rsidR="00F058F4" w:rsidRPr="0062782B" w:rsidRDefault="00F058F4" w:rsidP="00F058F4">
      <w:pPr>
        <w:shd w:val="clear" w:color="auto" w:fill="FFFFFF"/>
        <w:ind w:left="567" w:right="851"/>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II. Expedirá una resolución que confirme la inexistencia del documento;</w:t>
      </w:r>
    </w:p>
    <w:p w14:paraId="724C6269" w14:textId="77777777" w:rsidR="00F058F4" w:rsidRPr="0062782B" w:rsidRDefault="00F058F4" w:rsidP="00F058F4">
      <w:pPr>
        <w:shd w:val="clear" w:color="auto" w:fill="FFFFFF"/>
        <w:ind w:left="567" w:right="851"/>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w:t>
      </w:r>
    </w:p>
    <w:p w14:paraId="776837C6" w14:textId="77777777" w:rsidR="00F058F4" w:rsidRPr="0062782B" w:rsidRDefault="00F058F4" w:rsidP="00F058F4">
      <w:pPr>
        <w:shd w:val="clear" w:color="auto" w:fill="FFFFFF"/>
        <w:ind w:left="567" w:right="851"/>
        <w:jc w:val="both"/>
        <w:rPr>
          <w:rFonts w:ascii="Palatino Linotype" w:eastAsia="Palatino Linotype" w:hAnsi="Palatino Linotype" w:cs="Palatino Linotype"/>
          <w:i/>
          <w:sz w:val="22"/>
          <w:szCs w:val="22"/>
        </w:rPr>
      </w:pPr>
    </w:p>
    <w:p w14:paraId="215D6CF2" w14:textId="2C5C1BB0" w:rsidR="00F058F4" w:rsidRPr="0062782B" w:rsidRDefault="00F058F4" w:rsidP="00F058F4">
      <w:pPr>
        <w:ind w:left="567" w:right="849"/>
        <w:rPr>
          <w:rFonts w:ascii="Palatino Linotype" w:eastAsia="Calibri" w:hAnsi="Palatino Linotype" w:cs="Arial"/>
          <w:color w:val="000000" w:themeColor="text1"/>
          <w:lang w:val="es-ES"/>
        </w:rPr>
      </w:pPr>
      <w:r w:rsidRPr="0062782B">
        <w:rPr>
          <w:rFonts w:ascii="Palatino Linotype" w:eastAsia="Palatino Linotype" w:hAnsi="Palatino Linotype" w:cs="Palatino Linotype"/>
          <w:b/>
          <w:i/>
          <w:sz w:val="22"/>
          <w:szCs w:val="22"/>
        </w:rPr>
        <w:t>Artículo 170.</w:t>
      </w:r>
      <w:r w:rsidRPr="0062782B">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(Sic)</w:t>
      </w:r>
    </w:p>
    <w:p w14:paraId="3E89CFD2" w14:textId="77777777"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F74D720" w14:textId="125A8EEE" w:rsidR="009513B0"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De </w:t>
      </w:r>
      <w:r w:rsidRPr="0062782B">
        <w:rPr>
          <w:rFonts w:ascii="Palatino Linotype" w:eastAsia="Palatino Linotype" w:hAnsi="Palatino Linotype" w:cs="Palatino Linotype"/>
        </w:rPr>
        <w:t>los dispositivos legales se desprende, que los sujetos obligados deben emitir la Declaratoria de Inexistencia precisando de manera enunciativa más no limitativa, las áreas en las que se instruyó la búsqueda, las respuestas otorgadas por los Servidores Públicos habilitados y las circunstancias que tomó en cuenta para determinar que la información requerida no obra en los archivos, debiendo notificar al interesado de tal circunstancia.</w:t>
      </w:r>
    </w:p>
    <w:p w14:paraId="3729F3F0" w14:textId="77777777"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04BCB3" w14:textId="70E0E013" w:rsidR="00F058F4"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lastRenderedPageBreak/>
        <w:t xml:space="preserve">Robustece </w:t>
      </w:r>
      <w:r w:rsidRPr="0062782B">
        <w:rPr>
          <w:rFonts w:ascii="Palatino Linotype" w:eastAsia="Palatino Linotype" w:hAnsi="Palatino Linotype" w:cs="Palatino Linotype"/>
        </w:rPr>
        <w:t>a lo anterior, los Criterios 0003-11 y 0004-11, emitidos por el Pleno de este Instituto, publicados en el periódico oficial del Estado de México “Gaceta del Gobierno”, el diecinueve de octubre de dos mil once, que establecen lo siguiente:</w:t>
      </w:r>
    </w:p>
    <w:p w14:paraId="7E0119A2" w14:textId="0EEC80FB"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2F29826" w14:textId="77777777" w:rsidR="00F058F4" w:rsidRPr="0062782B" w:rsidRDefault="00F058F4" w:rsidP="00F058F4">
      <w:pPr>
        <w:ind w:left="567" w:right="565"/>
        <w:jc w:val="center"/>
        <w:rPr>
          <w:rFonts w:ascii="Palatino Linotype" w:eastAsia="Palatino Linotype" w:hAnsi="Palatino Linotype" w:cs="Palatino Linotype"/>
          <w:b/>
          <w:i/>
          <w:sz w:val="22"/>
          <w:szCs w:val="22"/>
        </w:rPr>
      </w:pPr>
      <w:r w:rsidRPr="0062782B">
        <w:rPr>
          <w:rFonts w:ascii="Palatino Linotype" w:eastAsia="Palatino Linotype" w:hAnsi="Palatino Linotype" w:cs="Palatino Linotype"/>
          <w:i/>
          <w:sz w:val="22"/>
          <w:szCs w:val="22"/>
        </w:rPr>
        <w:t>“</w:t>
      </w:r>
      <w:r w:rsidRPr="0062782B">
        <w:rPr>
          <w:rFonts w:ascii="Palatino Linotype" w:eastAsia="Palatino Linotype" w:hAnsi="Palatino Linotype" w:cs="Palatino Linotype"/>
          <w:b/>
          <w:i/>
          <w:sz w:val="22"/>
          <w:szCs w:val="22"/>
        </w:rPr>
        <w:t>CRITERIO 0003-11</w:t>
      </w:r>
    </w:p>
    <w:p w14:paraId="1FC3C991" w14:textId="77777777"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b/>
          <w:i/>
          <w:sz w:val="22"/>
          <w:szCs w:val="22"/>
        </w:rPr>
        <w:t>INEXISTENCIA, CONCEPTO DE, EN MATERIA DE TRANSPARENCIA.</w:t>
      </w:r>
      <w:r w:rsidRPr="0062782B">
        <w:rPr>
          <w:rFonts w:ascii="Palatino Linotype" w:eastAsia="Palatino Linotype" w:hAnsi="Palatino Linotype" w:cs="Palatino Linotype"/>
          <w:i/>
          <w:sz w:val="22"/>
          <w:szCs w:val="22"/>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35187866" w14:textId="77777777"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06CFA7CA" w14:textId="77777777"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b) En los casos en que por las atribuciones conferidas al Sujeto Obligado éste debió generar, administrar o poseer la información, pero en incumplimiento a la normatividad respectiva no llevó a cabo ninguna de es acciones.</w:t>
      </w:r>
    </w:p>
    <w:p w14:paraId="6764B5D7" w14:textId="77777777"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Transparencia.”(Sic)</w:t>
      </w:r>
    </w:p>
    <w:p w14:paraId="1DA0E18F" w14:textId="77777777" w:rsidR="00F058F4" w:rsidRPr="0062782B" w:rsidRDefault="00F058F4" w:rsidP="00F058F4">
      <w:pPr>
        <w:pStyle w:val="Prrafodelista"/>
        <w:tabs>
          <w:tab w:val="left" w:pos="426"/>
          <w:tab w:val="left" w:pos="567"/>
        </w:tabs>
        <w:ind w:left="567" w:right="565"/>
        <w:jc w:val="both"/>
        <w:rPr>
          <w:rFonts w:ascii="Palatino Linotype" w:eastAsia="Calibri" w:hAnsi="Palatino Linotype" w:cs="Arial"/>
          <w:color w:val="000000" w:themeColor="text1"/>
          <w:lang w:val="es-ES"/>
        </w:rPr>
      </w:pPr>
    </w:p>
    <w:p w14:paraId="3FF9E65E" w14:textId="77777777" w:rsidR="00F058F4" w:rsidRPr="0062782B" w:rsidRDefault="00F058F4" w:rsidP="00F058F4">
      <w:pPr>
        <w:ind w:left="567" w:right="565"/>
        <w:jc w:val="center"/>
        <w:rPr>
          <w:rFonts w:ascii="Palatino Linotype" w:eastAsia="Palatino Linotype" w:hAnsi="Palatino Linotype" w:cs="Palatino Linotype"/>
          <w:b/>
          <w:i/>
          <w:sz w:val="22"/>
          <w:szCs w:val="22"/>
        </w:rPr>
      </w:pPr>
      <w:r w:rsidRPr="0062782B">
        <w:rPr>
          <w:rFonts w:ascii="Palatino Linotype" w:eastAsia="Palatino Linotype" w:hAnsi="Palatino Linotype" w:cs="Palatino Linotype"/>
          <w:b/>
          <w:i/>
          <w:sz w:val="22"/>
          <w:szCs w:val="22"/>
        </w:rPr>
        <w:t>CRITERIO 0004-11</w:t>
      </w:r>
    </w:p>
    <w:p w14:paraId="4B60EFD7" w14:textId="33570A44" w:rsidR="00F058F4" w:rsidRPr="0062782B" w:rsidRDefault="00F058F4" w:rsidP="00F058F4">
      <w:pPr>
        <w:pStyle w:val="Prrafodelista"/>
        <w:tabs>
          <w:tab w:val="left" w:pos="426"/>
          <w:tab w:val="left" w:pos="567"/>
        </w:tabs>
        <w:ind w:left="567" w:right="565"/>
        <w:jc w:val="both"/>
        <w:rPr>
          <w:rFonts w:ascii="Palatino Linotype" w:eastAsia="Calibri" w:hAnsi="Palatino Linotype" w:cs="Arial"/>
          <w:color w:val="000000" w:themeColor="text1"/>
          <w:lang w:val="es-ES"/>
        </w:rPr>
      </w:pPr>
      <w:r w:rsidRPr="0062782B">
        <w:rPr>
          <w:rFonts w:ascii="Palatino Linotype" w:eastAsia="Palatino Linotype" w:hAnsi="Palatino Linotype" w:cs="Palatino Linotype"/>
          <w:b/>
          <w:i/>
          <w:sz w:val="22"/>
          <w:szCs w:val="22"/>
        </w:rPr>
        <w:t>INEXISTENCIA, DECLARATORIA DE LA. ALCANCES Y PROCEDIMIENTOS</w:t>
      </w:r>
      <w:r w:rsidRPr="0062782B">
        <w:rPr>
          <w:rFonts w:ascii="Palatino Linotype" w:eastAsia="Palatino Linotype" w:hAnsi="Palatino Linotype" w:cs="Palatino Linotype"/>
          <w:i/>
          <w:sz w:val="22"/>
          <w:szCs w:val="22"/>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w:t>
      </w:r>
      <w:r w:rsidRPr="0062782B">
        <w:rPr>
          <w:rFonts w:ascii="Palatino Linotype" w:eastAsia="Palatino Linotype" w:hAnsi="Palatino Linotype" w:cs="Palatino Linotype"/>
          <w:i/>
          <w:sz w:val="22"/>
          <w:szCs w:val="22"/>
        </w:rPr>
        <w:lastRenderedPageBreak/>
        <w:t>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0DDED2F" w14:textId="2D31B456"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Bajo el entendido de que dicha búsqueda exhaustiva permitirá dos determinaciones:</w:t>
      </w:r>
    </w:p>
    <w:p w14:paraId="3CE11B5C" w14:textId="77777777"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1ª) Que se localice la documentación que contenga la información solicitada y de ser así la información pueda entregarse al solicitante en la forma en que se encuentra disponible, o</w:t>
      </w:r>
    </w:p>
    <w:p w14:paraId="22E378DB" w14:textId="77777777" w:rsidR="00F058F4" w:rsidRPr="0062782B" w:rsidRDefault="00F058F4" w:rsidP="00F058F4">
      <w:pPr>
        <w:ind w:left="567" w:right="565"/>
        <w:jc w:val="both"/>
        <w:rPr>
          <w:rFonts w:ascii="Palatino Linotype" w:eastAsia="Palatino Linotype" w:hAnsi="Palatino Linotype" w:cs="Palatino Linotype"/>
          <w:i/>
          <w:sz w:val="22"/>
          <w:szCs w:val="22"/>
        </w:rPr>
      </w:pPr>
      <w:r w:rsidRPr="0062782B">
        <w:rPr>
          <w:rFonts w:ascii="Palatino Linotype" w:eastAsia="Palatino Linotype" w:hAnsi="Palatino Linotype" w:cs="Palatino Linotype"/>
          <w:i/>
          <w:sz w:val="22"/>
          <w:szCs w:val="22"/>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 (Sic)</w:t>
      </w:r>
    </w:p>
    <w:p w14:paraId="75C616AD" w14:textId="77777777"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0F5DC87" w14:textId="794F8083" w:rsidR="00F058F4"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En </w:t>
      </w:r>
      <w:r w:rsidRPr="0062782B">
        <w:rPr>
          <w:rFonts w:ascii="Palatino Linotype" w:eastAsia="Palatino Linotype" w:hAnsi="Palatino Linotype" w:cs="Palatino Linotype"/>
        </w:rPr>
        <w:t>las relatadas argumentaciones, se puede afirmar que cuando la información requerida por un particular no exista en los archivos de los sujetos obligados; se requiere de un mecanismo para brindar certeza jurídica y a la vez para determinar el tipo y grado de responsabilidad de los servidores públicos que intervienen en el proceso de elaboración de la información.</w:t>
      </w:r>
    </w:p>
    <w:p w14:paraId="7A020A99" w14:textId="77777777"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413D02" w14:textId="5A1DC700" w:rsidR="00F058F4"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Por tanto, </w:t>
      </w:r>
      <w:r w:rsidRPr="0062782B">
        <w:rPr>
          <w:rFonts w:ascii="Palatino Linotype" w:eastAsia="Palatino Linotype" w:hAnsi="Palatino Linotype" w:cs="Palatino Linotype"/>
        </w:rPr>
        <w:t>tanto, la declaratoria de inexistencia no es un mero trámite por el cual de manera mecánica o simple manifieste que la información no existe en sus archivos</w:t>
      </w:r>
      <w:r w:rsidRPr="0062782B">
        <w:rPr>
          <w:rFonts w:ascii="Palatino Linotype" w:eastAsia="Palatino Linotype" w:hAnsi="Palatino Linotype" w:cs="Palatino Linotype"/>
          <w:b/>
        </w:rPr>
        <w:t xml:space="preserve">, </w:t>
      </w:r>
      <w:r w:rsidRPr="0062782B">
        <w:rPr>
          <w:rFonts w:ascii="Palatino Linotype" w:eastAsia="Palatino Linotype" w:hAnsi="Palatino Linotype" w:cs="Palatino Linotype"/>
        </w:rPr>
        <w:t xml:space="preserve"> cuando la misma por disposición legal debería de obrar, sino que su contenido y alcance implica la responsabilidad y atribución del Comité de </w:t>
      </w:r>
      <w:r w:rsidRPr="0062782B">
        <w:rPr>
          <w:rFonts w:ascii="Palatino Linotype" w:eastAsia="Palatino Linotype" w:hAnsi="Palatino Linotype" w:cs="Palatino Linotype"/>
        </w:rPr>
        <w:lastRenderedPageBreak/>
        <w:t xml:space="preserve">Transparencia del </w:t>
      </w:r>
      <w:r w:rsidRPr="0062782B">
        <w:rPr>
          <w:rFonts w:ascii="Palatino Linotype" w:eastAsia="Palatino Linotype" w:hAnsi="Palatino Linotype" w:cs="Palatino Linotype"/>
          <w:b/>
          <w:bCs/>
        </w:rPr>
        <w:t>SUJETO OBLIGADO</w:t>
      </w:r>
      <w:r w:rsidRPr="0062782B">
        <w:rPr>
          <w:rFonts w:ascii="Palatino Linotype" w:eastAsia="Palatino Linotype" w:hAnsi="Palatino Linotype" w:cs="Palatino Linotype"/>
          <w:b/>
        </w:rPr>
        <w:t xml:space="preserve">, </w:t>
      </w:r>
      <w:r w:rsidRPr="0062782B">
        <w:rPr>
          <w:rFonts w:ascii="Palatino Linotype" w:eastAsia="Palatino Linotype" w:hAnsi="Palatino Linotype" w:cs="Palatino Linotype"/>
        </w:rPr>
        <w:t>de instruir una búsqueda exhaustiva a todas y cada una de las áreas administrativas de las que se compone, para localizar los documentos que contengan la información materia de una solicitud, asimismo, para supervisar que esa búsqueda se lleve a cabo en todas y cada una de las áreas de que se compone dicho órgano, lo anterior manifestado con fundamento en el artículo 162 de la Ley de Transparencia y acceso a la Información Pública del Estado de México y Municipios.</w:t>
      </w:r>
    </w:p>
    <w:p w14:paraId="43683D31" w14:textId="77777777"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06014F1" w14:textId="238A6000" w:rsidR="00F058F4"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Bajo </w:t>
      </w:r>
      <w:r w:rsidRPr="0062782B">
        <w:rPr>
          <w:rFonts w:ascii="Palatino Linotype" w:eastAsia="Palatino Linotype" w:hAnsi="Palatino Linotype" w:cs="Palatino Linotype"/>
        </w:rPr>
        <w:t>el entendido de que dicha búsqueda exhaustiva permitirá:</w:t>
      </w:r>
    </w:p>
    <w:p w14:paraId="0E919BA5" w14:textId="6DBA1357"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5FE0ECD" w14:textId="2DB3A4F6" w:rsidR="00F058F4" w:rsidRPr="0062782B" w:rsidRDefault="00F058F4" w:rsidP="00F058F4">
      <w:pPr>
        <w:pStyle w:val="Prrafodelista"/>
        <w:tabs>
          <w:tab w:val="left" w:pos="426"/>
          <w:tab w:val="left" w:pos="567"/>
        </w:tabs>
        <w:spacing w:line="360" w:lineRule="auto"/>
        <w:ind w:left="567" w:right="565"/>
        <w:jc w:val="both"/>
        <w:rPr>
          <w:rFonts w:ascii="Palatino Linotype" w:eastAsia="Palatino Linotype" w:hAnsi="Palatino Linotype" w:cs="Palatino Linotype"/>
          <w:color w:val="000000"/>
        </w:rPr>
      </w:pPr>
      <w:r w:rsidRPr="0062782B">
        <w:rPr>
          <w:rFonts w:ascii="Palatino Linotype" w:eastAsia="Calibri" w:hAnsi="Palatino Linotype" w:cs="Arial"/>
          <w:color w:val="000000" w:themeColor="text1"/>
          <w:lang w:val="es-ES"/>
        </w:rPr>
        <w:t xml:space="preserve">Que </w:t>
      </w:r>
      <w:r w:rsidRPr="0062782B">
        <w:rPr>
          <w:rFonts w:ascii="Palatino Linotype" w:eastAsia="Palatino Linotype" w:hAnsi="Palatino Linotype" w:cs="Palatino Linotype"/>
          <w:color w:val="000000"/>
        </w:rPr>
        <w:t>se localice la documentación que contenga la información solicitada. En este caso habrá que señalar que de acuerdo con las disposiciones transcritas, la información puede obrar en sus archivos ya sea porque la genera, la administra o simplemente la posee.</w:t>
      </w:r>
    </w:p>
    <w:p w14:paraId="5FCC4F8D" w14:textId="77777777" w:rsidR="00B75A94" w:rsidRPr="0062782B" w:rsidRDefault="00B75A94" w:rsidP="00B75A94">
      <w:pPr>
        <w:tabs>
          <w:tab w:val="left" w:pos="426"/>
          <w:tab w:val="left" w:pos="567"/>
        </w:tabs>
        <w:spacing w:line="360" w:lineRule="auto"/>
        <w:ind w:right="565"/>
        <w:jc w:val="both"/>
        <w:rPr>
          <w:rFonts w:ascii="Palatino Linotype" w:eastAsia="Calibri" w:hAnsi="Palatino Linotype" w:cs="Arial"/>
          <w:color w:val="000000" w:themeColor="text1"/>
          <w:lang w:val="es-ES"/>
        </w:rPr>
      </w:pPr>
    </w:p>
    <w:p w14:paraId="5B0A6BBA" w14:textId="4A5D61ED" w:rsidR="00F058F4" w:rsidRPr="0062782B" w:rsidRDefault="00F058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De </w:t>
      </w:r>
      <w:r w:rsidRPr="0062782B">
        <w:rPr>
          <w:rFonts w:ascii="Palatino Linotype" w:eastAsia="Palatino Linotype" w:hAnsi="Palatino Linotype" w:cs="Palatino Linotype"/>
        </w:rPr>
        <w:t xml:space="preserve">actualizarse esta primera hipótesis, la información debe entregarse a la </w:t>
      </w:r>
      <w:r w:rsidRPr="0062782B">
        <w:rPr>
          <w:rFonts w:ascii="Palatino Linotype" w:eastAsia="Palatino Linotype" w:hAnsi="Palatino Linotype" w:cs="Palatino Linotype"/>
          <w:b/>
        </w:rPr>
        <w:t>recurrente</w:t>
      </w:r>
      <w:r w:rsidRPr="0062782B">
        <w:rPr>
          <w:rFonts w:ascii="Palatino Linotype" w:eastAsia="Palatino Linotype" w:hAnsi="Palatino Linotype" w:cs="Palatino Linotype"/>
          <w:b/>
          <w:i/>
        </w:rPr>
        <w:t xml:space="preserve"> </w:t>
      </w:r>
      <w:r w:rsidRPr="0062782B">
        <w:rPr>
          <w:rFonts w:ascii="Palatino Linotype" w:eastAsia="Palatino Linotype" w:hAnsi="Palatino Linotype" w:cs="Palatino Linotype"/>
        </w:rPr>
        <w:t>a través del o los documentos fuente.</w:t>
      </w:r>
    </w:p>
    <w:p w14:paraId="7B829025" w14:textId="25841DB5" w:rsidR="00F058F4" w:rsidRPr="0062782B" w:rsidRDefault="00F058F4"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8746585" w14:textId="4A8ADE01" w:rsidR="00606B8B" w:rsidRPr="0062782B" w:rsidRDefault="00606B8B" w:rsidP="00606B8B">
      <w:pPr>
        <w:pStyle w:val="Prrafodelista"/>
        <w:tabs>
          <w:tab w:val="left" w:pos="426"/>
          <w:tab w:val="left" w:pos="567"/>
        </w:tabs>
        <w:spacing w:line="360" w:lineRule="auto"/>
        <w:ind w:left="567" w:right="565"/>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Que </w:t>
      </w:r>
      <w:r w:rsidRPr="0062782B">
        <w:rPr>
          <w:rFonts w:ascii="Palatino Linotype" w:eastAsia="Palatino Linotype" w:hAnsi="Palatino Linotype" w:cs="Palatino Linotype"/>
          <w:color w:val="000000"/>
        </w:rPr>
        <w:t>no se localice documento alguno que contenga la información requerida, en este supuesto, el Comité de Transparencia deberá resolver la declaratoria de inexistencia de la información y notificarla al recurrente</w:t>
      </w:r>
      <w:r w:rsidRPr="0062782B">
        <w:rPr>
          <w:rFonts w:ascii="Palatino Linotype" w:eastAsia="Palatino Linotype" w:hAnsi="Palatino Linotype" w:cs="Palatino Linotype"/>
          <w:b/>
          <w:i/>
          <w:color w:val="000000"/>
        </w:rPr>
        <w:t xml:space="preserve"> </w:t>
      </w:r>
      <w:r w:rsidRPr="0062782B">
        <w:rPr>
          <w:rFonts w:ascii="Palatino Linotype" w:eastAsia="Palatino Linotype" w:hAnsi="Palatino Linotype" w:cs="Palatino Linotype"/>
          <w:color w:val="000000"/>
        </w:rPr>
        <w:t>y a este Pleno.</w:t>
      </w:r>
    </w:p>
    <w:p w14:paraId="1268D0A5" w14:textId="77777777" w:rsidR="00606B8B" w:rsidRPr="0062782B" w:rsidRDefault="00606B8B" w:rsidP="00F058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827FC3" w14:textId="189B8741" w:rsidR="00F058F4" w:rsidRPr="0062782B" w:rsidRDefault="00606B8B"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Además, </w:t>
      </w:r>
      <w:r w:rsidRPr="0062782B">
        <w:rPr>
          <w:rFonts w:ascii="Palatino Linotype" w:eastAsia="Palatino Linotype" w:hAnsi="Palatino Linotype" w:cs="Palatino Linotype"/>
        </w:rPr>
        <w:t>de los requisitos formales y sustanciales señalados, la declaratoria de inexistencia de la información debe exponer las razones por las que se buscó la información, las áreas en las que se instruyó la búsqueda, los criterios y los métodos de búsqueda de la información utilizados, las respuestas otorgadas por los servidores públicos habilitados y en general, todas aquellas circunstancias que se tomaron en cuenta para llegar a determinar que no obra en sus archivos las información requerida. Con el fin de que el particular pueda tener certeza de que se hizo una búsqueda exhaustiva de la información solicitada y que se le dio la adecuada atención a su solicitud, bajo el entendido que la búsqueda es un elemento previo acreditable antes de la emisión del acuerdo de inexistencia.</w:t>
      </w:r>
    </w:p>
    <w:p w14:paraId="21A089CE" w14:textId="77777777" w:rsidR="00606B8B" w:rsidRPr="0062782B" w:rsidRDefault="00606B8B" w:rsidP="00606B8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8FA268B" w14:textId="77777777" w:rsidR="00ED0348" w:rsidRPr="0062782B" w:rsidRDefault="00606B8B" w:rsidP="00ED03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62782B">
        <w:rPr>
          <w:rFonts w:ascii="Palatino Linotype" w:eastAsia="Calibri" w:hAnsi="Palatino Linotype" w:cs="Arial"/>
          <w:color w:val="000000" w:themeColor="text1"/>
          <w:lang w:val="es-ES"/>
        </w:rPr>
        <w:t xml:space="preserve">En efecto, </w:t>
      </w:r>
      <w:r w:rsidRPr="0062782B">
        <w:rPr>
          <w:rFonts w:ascii="Palatino Linotype" w:eastAsia="Palatino Linotype" w:hAnsi="Palatino Linotype" w:cs="Palatino Linotype"/>
        </w:rPr>
        <w:t>la búsqueda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Procede expedir una resolución que confirme la inexistencia de la información o documento solicitado y notificar el acuerdo correspondiente.</w:t>
      </w:r>
    </w:p>
    <w:p w14:paraId="1FA56F3A" w14:textId="77777777" w:rsidR="00ED0348" w:rsidRPr="00ED0348" w:rsidRDefault="00ED0348" w:rsidP="00ED0348">
      <w:pPr>
        <w:pStyle w:val="Prrafodelista"/>
        <w:rPr>
          <w:rFonts w:ascii="Palatino Linotype" w:eastAsia="Calibri" w:hAnsi="Palatino Linotype" w:cs="Arial"/>
          <w:color w:val="000000" w:themeColor="text1"/>
          <w:lang w:val="es-ES"/>
        </w:rPr>
      </w:pPr>
    </w:p>
    <w:p w14:paraId="317647E3" w14:textId="64B5AEA7" w:rsidR="00B75A94" w:rsidRPr="00ED0348" w:rsidRDefault="00B75A94" w:rsidP="00ED03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D0348">
        <w:rPr>
          <w:rFonts w:ascii="Palatino Linotype" w:eastAsia="Calibri" w:hAnsi="Palatino Linotype" w:cs="Arial"/>
          <w:color w:val="000000" w:themeColor="text1"/>
          <w:lang w:val="es-ES"/>
        </w:rPr>
        <w:lastRenderedPageBreak/>
        <w:t>Finalmente</w:t>
      </w:r>
      <w:r w:rsidR="006E09B4" w:rsidRPr="00ED0348">
        <w:rPr>
          <w:rFonts w:ascii="Palatino Linotype" w:eastAsia="Calibri" w:hAnsi="Palatino Linotype" w:cs="Arial"/>
          <w:color w:val="000000" w:themeColor="text1"/>
          <w:lang w:val="es-ES"/>
        </w:rPr>
        <w:t xml:space="preserve">, es importante hacer énfasis en que la </w:t>
      </w:r>
      <w:r w:rsidR="006E09B4" w:rsidRPr="00ED0348">
        <w:rPr>
          <w:rFonts w:ascii="Palatino Linotype" w:eastAsia="Calibri" w:hAnsi="Palatino Linotype" w:cs="Arial"/>
          <w:b/>
          <w:bCs/>
          <w:color w:val="000000" w:themeColor="text1"/>
          <w:lang w:val="es-ES"/>
        </w:rPr>
        <w:t>RECURRENTE</w:t>
      </w:r>
      <w:r w:rsidR="006E09B4" w:rsidRPr="00ED0348">
        <w:rPr>
          <w:rFonts w:ascii="Palatino Linotype" w:eastAsia="Calibri" w:hAnsi="Palatino Linotype" w:cs="Arial"/>
          <w:color w:val="000000" w:themeColor="text1"/>
          <w:lang w:val="es-ES"/>
        </w:rPr>
        <w:t xml:space="preserve"> solicitó información </w:t>
      </w:r>
      <w:r w:rsidR="007B22ED" w:rsidRPr="00ED0348">
        <w:rPr>
          <w:rFonts w:ascii="Palatino Linotype" w:eastAsia="Calibri" w:hAnsi="Palatino Linotype" w:cs="Arial"/>
          <w:color w:val="000000" w:themeColor="text1"/>
          <w:lang w:val="es-ES"/>
        </w:rPr>
        <w:t>registrada por l</w:t>
      </w:r>
      <w:r w:rsidR="007B22ED" w:rsidRPr="00ED0348">
        <w:rPr>
          <w:rFonts w:ascii="Palatino Linotype" w:hAnsi="Palatino Linotype"/>
        </w:rPr>
        <w:t>a Comisión de Búsqueda de Personas del Estado de México</w:t>
      </w:r>
      <w:r w:rsidR="006E09B4" w:rsidRPr="00ED0348">
        <w:rPr>
          <w:rFonts w:ascii="Palatino Linotype" w:eastAsia="Calibri" w:hAnsi="Palatino Linotype" w:cs="Arial"/>
          <w:color w:val="000000" w:themeColor="text1"/>
          <w:lang w:val="es-ES"/>
        </w:rPr>
        <w:t xml:space="preserve"> durante los últimos 10 años</w:t>
      </w:r>
    </w:p>
    <w:p w14:paraId="53A42C59" w14:textId="77777777" w:rsidR="00842519" w:rsidRPr="00842519" w:rsidRDefault="00842519" w:rsidP="0084251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95311D" w14:textId="6F80F03F" w:rsidR="00842519" w:rsidRPr="00842519" w:rsidRDefault="005B126C" w:rsidP="0084251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42519">
        <w:rPr>
          <w:rFonts w:ascii="Palatino Linotype" w:eastAsia="Calibri" w:hAnsi="Palatino Linotype" w:cs="Arial"/>
          <w:color w:val="000000" w:themeColor="text1"/>
          <w:lang w:val="es-ES"/>
        </w:rPr>
        <w:t>En este sentido, se advierte que la Institución denominada COBUPEM, fue creada mediante Decreto del Poder Ejecutivo</w:t>
      </w:r>
      <w:r w:rsidR="00842519" w:rsidRPr="00842519">
        <w:rPr>
          <w:rFonts w:ascii="Palatino Linotype" w:eastAsia="Calibri" w:hAnsi="Palatino Linotype" w:cs="Arial"/>
          <w:color w:val="000000" w:themeColor="text1"/>
          <w:lang w:val="es-ES"/>
        </w:rPr>
        <w:t xml:space="preserve">, quedando </w:t>
      </w:r>
      <w:r w:rsidR="00842519" w:rsidRPr="00842519">
        <w:rPr>
          <w:rFonts w:ascii="Palatino Linotype" w:hAnsi="Palatino Linotype"/>
        </w:rPr>
        <w:t xml:space="preserve">plasmada en la gaceta de Gobierno número 0011021, en </w:t>
      </w:r>
      <w:r w:rsidR="00842519" w:rsidRPr="000D2ED1">
        <w:rPr>
          <w:rFonts w:ascii="Palatino Linotype" w:hAnsi="Palatino Linotype"/>
          <w:b/>
          <w:bCs/>
        </w:rPr>
        <w:t>fecha 17 de abril de 2018</w:t>
      </w:r>
      <w:r w:rsidR="00842519" w:rsidRPr="00842519">
        <w:rPr>
          <w:rFonts w:ascii="Palatino Linotype" w:hAnsi="Palatino Linotype"/>
        </w:rPr>
        <w:t>, la cual en lo que interesa se cita a la literalidad</w:t>
      </w:r>
      <w:r w:rsidR="007B22ED">
        <w:rPr>
          <w:rFonts w:ascii="Palatino Linotype" w:hAnsi="Palatino Linotype"/>
        </w:rPr>
        <w:t>:</w:t>
      </w:r>
    </w:p>
    <w:p w14:paraId="39B429D5" w14:textId="48924210" w:rsidR="00842519" w:rsidRDefault="00842519" w:rsidP="00842519">
      <w:pPr>
        <w:tabs>
          <w:tab w:val="left" w:pos="426"/>
          <w:tab w:val="left" w:pos="567"/>
        </w:tabs>
        <w:spacing w:line="360" w:lineRule="auto"/>
        <w:jc w:val="both"/>
        <w:rPr>
          <w:rFonts w:ascii="Palatino Linotype" w:eastAsia="Calibri" w:hAnsi="Palatino Linotype" w:cs="Arial"/>
          <w:color w:val="000000" w:themeColor="text1"/>
          <w:lang w:val="es-ES"/>
        </w:rPr>
      </w:pPr>
    </w:p>
    <w:p w14:paraId="1413A0C0" w14:textId="6D93C5D6" w:rsidR="00842519" w:rsidRPr="00842519" w:rsidRDefault="00842519" w:rsidP="00842519">
      <w:pPr>
        <w:ind w:left="567" w:right="565"/>
        <w:jc w:val="center"/>
        <w:rPr>
          <w:rFonts w:ascii="Palatino Linotype" w:hAnsi="Palatino Linotype"/>
          <w:b/>
          <w:bCs/>
          <w:i/>
          <w:iCs/>
          <w:sz w:val="22"/>
          <w:szCs w:val="22"/>
        </w:rPr>
      </w:pPr>
      <w:r>
        <w:rPr>
          <w:rFonts w:ascii="Palatino Linotype" w:hAnsi="Palatino Linotype"/>
          <w:b/>
          <w:bCs/>
          <w:i/>
          <w:iCs/>
          <w:sz w:val="22"/>
          <w:szCs w:val="22"/>
        </w:rPr>
        <w:t>“</w:t>
      </w:r>
      <w:r w:rsidRPr="00842519">
        <w:rPr>
          <w:rFonts w:ascii="Palatino Linotype" w:hAnsi="Palatino Linotype"/>
          <w:b/>
          <w:bCs/>
          <w:i/>
          <w:iCs/>
          <w:sz w:val="22"/>
          <w:szCs w:val="22"/>
        </w:rPr>
        <w:t xml:space="preserve">CAPÍTULO PRIMERO </w:t>
      </w:r>
    </w:p>
    <w:p w14:paraId="6A417888" w14:textId="31513965" w:rsidR="00842519" w:rsidRPr="00842519" w:rsidRDefault="00842519" w:rsidP="00842519">
      <w:pPr>
        <w:ind w:left="567" w:right="565"/>
        <w:jc w:val="center"/>
        <w:rPr>
          <w:rFonts w:ascii="Palatino Linotype" w:hAnsi="Palatino Linotype"/>
          <w:b/>
          <w:bCs/>
          <w:i/>
          <w:iCs/>
          <w:sz w:val="22"/>
          <w:szCs w:val="22"/>
        </w:rPr>
      </w:pPr>
      <w:r w:rsidRPr="00842519">
        <w:rPr>
          <w:rFonts w:ascii="Palatino Linotype" w:hAnsi="Palatino Linotype"/>
          <w:b/>
          <w:bCs/>
          <w:i/>
          <w:iCs/>
          <w:sz w:val="22"/>
          <w:szCs w:val="22"/>
        </w:rPr>
        <w:t>DE LA COMISIÓN DE BÚSQUEDA DE PERSONAS DEL ESTADO DE MÉXICO</w:t>
      </w:r>
    </w:p>
    <w:p w14:paraId="330415C1" w14:textId="3B41E6D6" w:rsidR="00842519" w:rsidRPr="00842519" w:rsidRDefault="00842519" w:rsidP="00842519">
      <w:pPr>
        <w:ind w:left="567" w:right="565"/>
        <w:jc w:val="both"/>
        <w:rPr>
          <w:rFonts w:ascii="Palatino Linotype" w:hAnsi="Palatino Linotype"/>
          <w:i/>
          <w:iCs/>
          <w:sz w:val="22"/>
          <w:szCs w:val="22"/>
        </w:rPr>
      </w:pPr>
      <w:r w:rsidRPr="00842519">
        <w:rPr>
          <w:rFonts w:ascii="Palatino Linotype" w:hAnsi="Palatino Linotype"/>
          <w:b/>
          <w:bCs/>
          <w:i/>
          <w:iCs/>
          <w:sz w:val="22"/>
          <w:szCs w:val="22"/>
        </w:rPr>
        <w:t>Artículo 1.</w:t>
      </w:r>
      <w:r w:rsidRPr="00842519">
        <w:rPr>
          <w:rFonts w:ascii="Palatino Linotype" w:hAnsi="Palatino Linotype"/>
          <w:i/>
          <w:iCs/>
          <w:sz w:val="22"/>
          <w:szCs w:val="22"/>
        </w:rPr>
        <w:t xml:space="preserve"> La Comisión de Búsqueda de Personas del Estado de México es un órgano administrativo desconcentrado de la Secretaría de Justicia y Derechos Humanos, que determina, ejecuta y da seguimiento a las acciones de búsqueda de Personas Desaparecidas y No Localizadas, en el territorio del Estado de México, en coordinación con la Comisión Nacional de Búsqueda de Personas, las instituciones que integran el Sistema Nacional de Búsqueda de Personas, las instituciones de Seguridad Pública, las Fiscalías Especializadas de la Procuraduría General de la República, de la Fiscalía General de Justicia del Estado de México y de las Procuradurías o Fiscalías Locales, cuyo objeto es la investigación y persecución de los delitos de desaparición forzada de personas y la cometida por particulares y las demás autoridades competentes en la materia, de conformidad con lo establecido en el presente Decreto, en la Ley General en Materia de Desaparición Forzada de Personas, Desaparición Cometida por Particulares y del Sistema Nacional de Búsqueda de Personas y las demás disposiciones legales aplicables, para impulsar los esfuerzos de vinculación, operación, gestión, evaluación y seguimiento de las acciones entre autoridades que participan en la búsqueda, localización e identificación de personas. </w:t>
      </w:r>
    </w:p>
    <w:p w14:paraId="64ED82E0" w14:textId="77777777" w:rsidR="00842519" w:rsidRPr="00842519" w:rsidRDefault="00842519" w:rsidP="00842519">
      <w:pPr>
        <w:ind w:left="567" w:right="565"/>
        <w:jc w:val="both"/>
        <w:rPr>
          <w:rFonts w:ascii="Palatino Linotype" w:hAnsi="Palatino Linotype"/>
          <w:i/>
          <w:iCs/>
          <w:sz w:val="22"/>
          <w:szCs w:val="22"/>
        </w:rPr>
      </w:pPr>
    </w:p>
    <w:p w14:paraId="79FA5F15" w14:textId="77777777" w:rsidR="00842519" w:rsidRPr="00842519" w:rsidRDefault="00842519" w:rsidP="00842519">
      <w:pPr>
        <w:ind w:left="567" w:right="565"/>
        <w:jc w:val="both"/>
        <w:rPr>
          <w:rFonts w:ascii="Palatino Linotype" w:hAnsi="Palatino Linotype"/>
          <w:i/>
          <w:iCs/>
          <w:sz w:val="22"/>
          <w:szCs w:val="22"/>
        </w:rPr>
      </w:pPr>
      <w:r w:rsidRPr="00842519">
        <w:rPr>
          <w:rFonts w:ascii="Palatino Linotype" w:hAnsi="Palatino Linotype"/>
          <w:i/>
          <w:iCs/>
          <w:sz w:val="22"/>
          <w:szCs w:val="22"/>
        </w:rPr>
        <w:lastRenderedPageBreak/>
        <w:t xml:space="preserve">Todas las autoridades Estatales, en el ámbito de sus competencias, están obligadas a colaborar de forma eficaz con la Comisión Nacional de Búsqueda de Personas y con la Comisión de Búsqueda de Personas del Estado de México para el debido cumplimiento de lo establecido en este Decreto y en la Ley General en Materia de Desaparición Forzada de Personas, Desaparición Cometida por Particulares y del Sistema Nacional de Búsqueda de Personas. </w:t>
      </w:r>
    </w:p>
    <w:p w14:paraId="7CB55D2D" w14:textId="42ECA4F1" w:rsidR="00842519" w:rsidRDefault="00842519" w:rsidP="00842519">
      <w:pPr>
        <w:ind w:left="567" w:right="565"/>
        <w:jc w:val="both"/>
        <w:rPr>
          <w:rFonts w:ascii="Palatino Linotype" w:hAnsi="Palatino Linotype"/>
          <w:i/>
          <w:iCs/>
          <w:sz w:val="22"/>
          <w:szCs w:val="22"/>
        </w:rPr>
      </w:pPr>
      <w:r w:rsidRPr="00842519">
        <w:rPr>
          <w:rFonts w:ascii="Palatino Linotype" w:hAnsi="Palatino Linotype"/>
          <w:i/>
          <w:iCs/>
          <w:sz w:val="22"/>
          <w:szCs w:val="22"/>
        </w:rPr>
        <w:t>(…)”</w:t>
      </w:r>
    </w:p>
    <w:p w14:paraId="0B809BCD" w14:textId="77777777" w:rsidR="00842519" w:rsidRPr="00842519" w:rsidRDefault="00842519" w:rsidP="00842519">
      <w:pPr>
        <w:ind w:right="565"/>
        <w:jc w:val="both"/>
        <w:rPr>
          <w:rFonts w:ascii="Palatino Linotype" w:hAnsi="Palatino Linotype"/>
          <w:i/>
          <w:iCs/>
          <w:sz w:val="22"/>
          <w:szCs w:val="22"/>
        </w:rPr>
      </w:pPr>
    </w:p>
    <w:p w14:paraId="131B6925" w14:textId="7A1F59DA" w:rsidR="00B75A94" w:rsidRDefault="000D2ED1" w:rsidP="00ED03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tanto, se advierte que la temporalidad de cual se podría pronunciar el </w:t>
      </w:r>
      <w:r w:rsidRPr="000D2ED1">
        <w:rPr>
          <w:rFonts w:ascii="Palatino Linotype" w:eastAsia="Calibri" w:hAnsi="Palatino Linotype" w:cs="Arial"/>
          <w:b/>
          <w:bCs/>
          <w:color w:val="000000" w:themeColor="text1"/>
          <w:lang w:val="es-ES"/>
        </w:rPr>
        <w:t xml:space="preserve">SUJETO </w:t>
      </w:r>
      <w:r w:rsidR="00ED0348" w:rsidRPr="000D2ED1">
        <w:rPr>
          <w:rFonts w:ascii="Palatino Linotype" w:eastAsia="Calibri" w:hAnsi="Palatino Linotype" w:cs="Arial"/>
          <w:b/>
          <w:bCs/>
          <w:color w:val="000000" w:themeColor="text1"/>
          <w:lang w:val="es-ES"/>
        </w:rPr>
        <w:t>OBLIGADO</w:t>
      </w:r>
      <w:r>
        <w:rPr>
          <w:rFonts w:ascii="Palatino Linotype" w:eastAsia="Calibri" w:hAnsi="Palatino Linotype" w:cs="Arial"/>
          <w:color w:val="000000" w:themeColor="text1"/>
          <w:lang w:val="es-ES"/>
        </w:rPr>
        <w:t xml:space="preserve"> es a partir de la creación de l</w:t>
      </w:r>
      <w:r w:rsidRPr="007B22ED">
        <w:rPr>
          <w:rFonts w:ascii="Palatino Linotype" w:hAnsi="Palatino Linotype"/>
        </w:rPr>
        <w:t>a Comisión de Búsqueda de Personas del Estado de México</w:t>
      </w:r>
      <w:r>
        <w:rPr>
          <w:rFonts w:ascii="Palatino Linotype" w:hAnsi="Palatino Linotype"/>
        </w:rPr>
        <w:t xml:space="preserve"> a la fecha de la solicitud de información, es decir, </w:t>
      </w:r>
      <w:r w:rsidRPr="000D2ED1">
        <w:rPr>
          <w:rFonts w:ascii="Palatino Linotype" w:hAnsi="Palatino Linotype"/>
          <w:b/>
          <w:bCs/>
        </w:rPr>
        <w:t>17 de abril de 2018</w:t>
      </w:r>
      <w:r>
        <w:rPr>
          <w:rFonts w:ascii="Palatino Linotype" w:hAnsi="Palatino Linotype"/>
          <w:b/>
          <w:bCs/>
        </w:rPr>
        <w:t xml:space="preserve"> al </w:t>
      </w:r>
      <w:r w:rsidRPr="000D2ED1">
        <w:rPr>
          <w:rFonts w:ascii="Palatino Linotype" w:hAnsi="Palatino Linotype"/>
          <w:b/>
          <w:bCs/>
        </w:rPr>
        <w:t>1</w:t>
      </w:r>
      <w:r>
        <w:rPr>
          <w:rFonts w:ascii="Palatino Linotype" w:hAnsi="Palatino Linotype"/>
          <w:b/>
          <w:bCs/>
        </w:rPr>
        <w:t>6 de agosto de 2021.</w:t>
      </w:r>
    </w:p>
    <w:p w14:paraId="13D51F7D" w14:textId="081F6270" w:rsidR="00E177DE" w:rsidRPr="000D2ED1" w:rsidRDefault="00E177DE" w:rsidP="000D2ED1">
      <w:pPr>
        <w:tabs>
          <w:tab w:val="left" w:pos="426"/>
          <w:tab w:val="left" w:pos="567"/>
        </w:tabs>
        <w:spacing w:line="360" w:lineRule="auto"/>
        <w:ind w:right="565"/>
        <w:jc w:val="both"/>
        <w:rPr>
          <w:rFonts w:ascii="Palatino Linotype" w:eastAsia="Calibri" w:hAnsi="Palatino Linotype" w:cs="Arial"/>
          <w:b/>
          <w:bCs/>
          <w:color w:val="000000" w:themeColor="text1"/>
          <w:lang w:val="es-ES"/>
        </w:rPr>
      </w:pPr>
    </w:p>
    <w:p w14:paraId="22E35A68" w14:textId="4FC18E9A" w:rsidR="00E177DE" w:rsidRPr="009034F4" w:rsidRDefault="009034F4" w:rsidP="009034F4">
      <w:pPr>
        <w:pStyle w:val="Ttulo2"/>
        <w:tabs>
          <w:tab w:val="left" w:pos="0"/>
        </w:tabs>
        <w:spacing w:before="0" w:line="360" w:lineRule="auto"/>
        <w:rPr>
          <w:rFonts w:ascii="Palatino Linotype" w:hAnsi="Palatino Linotype"/>
          <w:b/>
          <w:color w:val="000000" w:themeColor="text1"/>
          <w:sz w:val="24"/>
          <w:szCs w:val="24"/>
          <w:lang w:val="es-ES_tradnl"/>
        </w:rPr>
      </w:pPr>
      <w:r w:rsidRPr="009034F4">
        <w:rPr>
          <w:rFonts w:ascii="Palatino Linotype" w:hAnsi="Palatino Linotype"/>
          <w:b/>
          <w:color w:val="000000" w:themeColor="text1"/>
          <w:sz w:val="24"/>
          <w:szCs w:val="24"/>
        </w:rPr>
        <w:t>QUINTO</w:t>
      </w:r>
      <w:r w:rsidR="00192D53" w:rsidRPr="009034F4">
        <w:rPr>
          <w:rFonts w:ascii="Palatino Linotype" w:hAnsi="Palatino Linotype"/>
          <w:b/>
          <w:color w:val="000000" w:themeColor="text1"/>
          <w:sz w:val="24"/>
          <w:szCs w:val="24"/>
        </w:rPr>
        <w:t xml:space="preserve">. </w:t>
      </w:r>
      <w:r w:rsidRPr="009034F4">
        <w:rPr>
          <w:rFonts w:ascii="Palatino Linotype" w:eastAsia="MS Mincho" w:hAnsi="Palatino Linotype"/>
          <w:b/>
          <w:color w:val="000000" w:themeColor="text1"/>
          <w:sz w:val="24"/>
          <w:szCs w:val="24"/>
          <w:lang w:val="es-ES_tradnl"/>
        </w:rPr>
        <w:t>De la elaboración de la versión pública y el acuerdo de clasificación como información confidencial.</w:t>
      </w:r>
    </w:p>
    <w:p w14:paraId="3FF32CC9" w14:textId="5F6CF798" w:rsidR="00192D53" w:rsidRPr="00192D53" w:rsidRDefault="00192D53" w:rsidP="00192D53">
      <w:pPr>
        <w:pStyle w:val="Prrafodelista"/>
        <w:ind w:left="0"/>
        <w:jc w:val="both"/>
        <w:rPr>
          <w:rFonts w:ascii="Palatino Linotype" w:hAnsi="Palatino Linotype"/>
        </w:rPr>
      </w:pPr>
    </w:p>
    <w:p w14:paraId="39A9D03C" w14:textId="71DA960E" w:rsidR="00192D53" w:rsidRPr="009034F4" w:rsidRDefault="00192D53" w:rsidP="00192D53">
      <w:pPr>
        <w:pStyle w:val="Prrafodelista"/>
        <w:numPr>
          <w:ilvl w:val="0"/>
          <w:numId w:val="3"/>
        </w:numPr>
        <w:tabs>
          <w:tab w:val="left" w:pos="426"/>
          <w:tab w:val="left" w:pos="567"/>
        </w:tabs>
        <w:spacing w:line="360" w:lineRule="auto"/>
        <w:ind w:left="0" w:firstLine="0"/>
        <w:jc w:val="both"/>
        <w:rPr>
          <w:rFonts w:ascii="Palatino Linotype" w:eastAsia="Calibri" w:hAnsi="Palatino Linotype"/>
          <w:color w:val="000000" w:themeColor="text1"/>
          <w:lang w:val="es-ES"/>
        </w:rPr>
      </w:pPr>
      <w:r w:rsidRPr="00192D53">
        <w:rPr>
          <w:rFonts w:ascii="Palatino Linotype" w:eastAsia="Calibri" w:hAnsi="Palatino Linotype"/>
          <w:color w:val="000000" w:themeColor="text1"/>
          <w:lang w:val="es-ES"/>
        </w:rPr>
        <w:t xml:space="preserve">Debe </w:t>
      </w:r>
      <w:r w:rsidR="009034F4" w:rsidRPr="000C1184">
        <w:rPr>
          <w:rFonts w:ascii="Palatino Linotype" w:hAnsi="Palatino Linotype" w:cs="Arial"/>
          <w:color w:val="000000"/>
          <w:lang w:val="es-ES_tradnl"/>
        </w:rPr>
        <w:t xml:space="preserve">destacarse que debido a la naturaleza de </w:t>
      </w:r>
      <w:r w:rsidR="009034F4" w:rsidRPr="000C1184">
        <w:rPr>
          <w:rFonts w:ascii="Palatino Linotype" w:hAnsi="Palatino Linotype"/>
          <w:color w:val="000000"/>
          <w:lang w:val="es-ES_tradnl"/>
        </w:rPr>
        <w:t xml:space="preserve">la información solicitada, en la misma pudieran obrar datos personales o información reservada susceptibles de protegerse </w:t>
      </w:r>
      <w:r w:rsidR="009034F4" w:rsidRPr="000C1184">
        <w:rPr>
          <w:rFonts w:ascii="Palatino Linotype" w:hAnsi="Palatino Linotype" w:cs="Arial"/>
          <w:color w:val="000000"/>
          <w:lang w:val="es-ES_tradnl"/>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14:paraId="69BB94D0" w14:textId="77777777" w:rsidR="009034F4" w:rsidRPr="00192D53" w:rsidRDefault="009034F4" w:rsidP="009034F4">
      <w:pPr>
        <w:pStyle w:val="Prrafodelista"/>
        <w:tabs>
          <w:tab w:val="left" w:pos="426"/>
          <w:tab w:val="left" w:pos="567"/>
        </w:tabs>
        <w:spacing w:line="360" w:lineRule="auto"/>
        <w:ind w:left="0"/>
        <w:jc w:val="both"/>
        <w:rPr>
          <w:rFonts w:ascii="Palatino Linotype" w:eastAsia="Calibri" w:hAnsi="Palatino Linotype"/>
          <w:color w:val="000000" w:themeColor="text1"/>
          <w:lang w:val="es-ES"/>
        </w:rPr>
      </w:pPr>
    </w:p>
    <w:p w14:paraId="0E0103CE" w14:textId="07935C13" w:rsidR="00E177DE"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eastAsia="es-ES"/>
        </w:rPr>
      </w:pPr>
      <w:r>
        <w:rPr>
          <w:rFonts w:ascii="Palatino Linotype" w:eastAsia="Calibri" w:hAnsi="Palatino Linotype" w:cs="Arial"/>
          <w:color w:val="000000" w:themeColor="text1"/>
          <w:lang w:val="es-ES"/>
        </w:rPr>
        <w:lastRenderedPageBreak/>
        <w:t xml:space="preserve">Es </w:t>
      </w:r>
      <w:r w:rsidRPr="000C1184">
        <w:rPr>
          <w:rFonts w:ascii="Palatino Linotype" w:eastAsia="Calibri" w:hAnsi="Palatino Linotype" w:cs="Arial"/>
          <w:color w:val="000000"/>
        </w:rPr>
        <w:t xml:space="preserve">de señalar que, por lo que hace a las versiones públicas, el </w:t>
      </w:r>
      <w:r w:rsidRPr="000C1184">
        <w:rPr>
          <w:rFonts w:ascii="Palatino Linotype" w:eastAsia="Calibri" w:hAnsi="Palatino Linotype" w:cs="Arial"/>
          <w:b/>
          <w:color w:val="000000"/>
        </w:rPr>
        <w:t>SUJETO OBLIGADO</w:t>
      </w:r>
      <w:r w:rsidRPr="000C1184">
        <w:rPr>
          <w:rFonts w:ascii="Palatino Linotype" w:eastAsia="Calibri" w:hAnsi="Palatino Linotype" w:cs="Arial"/>
          <w:color w:val="000000"/>
        </w:rPr>
        <w:t xml:space="preserve"> debe cumplir con las formalidades exigidas en la Ley, por lo que </w:t>
      </w:r>
      <w:r w:rsidRPr="000C1184">
        <w:rPr>
          <w:rFonts w:ascii="Palatino Linotype" w:hAnsi="Palatino Linotype" w:cs="Arial"/>
          <w:color w:val="000000"/>
          <w:lang w:val="es-ES_tradnl"/>
        </w:rPr>
        <w:t xml:space="preserve">para tal efecto emitirá el </w:t>
      </w:r>
      <w:r w:rsidRPr="000C1184">
        <w:rPr>
          <w:rFonts w:ascii="Palatino Linotype" w:eastAsia="Calibri" w:hAnsi="Palatino Linotype" w:cs="Arial"/>
          <w:color w:val="000000"/>
        </w:rPr>
        <w:t>Acuerdo del Comité de Transparencia en términos de los artículos 49 fracción</w:t>
      </w:r>
      <w:r w:rsidRPr="000C1184">
        <w:rPr>
          <w:rFonts w:ascii="Palatino Linotype" w:eastAsia="Calibri" w:hAnsi="Palatino Linotype" w:cs="Arial"/>
          <w:bCs/>
          <w:color w:val="000000"/>
          <w:lang w:val="es-ES_tradnl"/>
        </w:rPr>
        <w:t xml:space="preserve"> VIII,</w:t>
      </w:r>
      <w:r w:rsidRPr="000C1184">
        <w:rPr>
          <w:rFonts w:ascii="Palatino Linotype" w:eastAsia="Calibri" w:hAnsi="Palatino Linotype" w:cs="Arial"/>
          <w:color w:val="000000"/>
        </w:rPr>
        <w:t xml:space="preserve"> 122</w:t>
      </w:r>
      <w:r w:rsidRPr="000C1184">
        <w:rPr>
          <w:rFonts w:ascii="Palatino Linotype" w:hAnsi="Palatino Linotype"/>
          <w:vertAlign w:val="superscript"/>
        </w:rPr>
        <w:footnoteReference w:id="1"/>
      </w:r>
      <w:r w:rsidRPr="000C1184">
        <w:rPr>
          <w:rFonts w:ascii="Palatino Linotype" w:eastAsia="Calibri" w:hAnsi="Palatino Linotype" w:cs="Arial"/>
          <w:color w:val="000000"/>
        </w:rPr>
        <w:t>, 135</w:t>
      </w:r>
      <w:r w:rsidRPr="000C1184">
        <w:rPr>
          <w:rFonts w:ascii="Palatino Linotype" w:hAnsi="Palatino Linotype"/>
          <w:vertAlign w:val="superscript"/>
        </w:rPr>
        <w:footnoteReference w:id="2"/>
      </w:r>
      <w:r w:rsidRPr="000C1184">
        <w:rPr>
          <w:rFonts w:ascii="Palatino Linotype" w:eastAsia="Calibri" w:hAnsi="Palatino Linotype" w:cs="Arial"/>
          <w:color w:val="000000"/>
        </w:rPr>
        <w:t xml:space="preserve"> y 149 de la </w:t>
      </w:r>
      <w:r w:rsidRPr="000C1184">
        <w:rPr>
          <w:rFonts w:ascii="Palatino Linotype" w:eastAsia="Calibri" w:hAnsi="Palatino Linotype" w:cs="Arial"/>
          <w:b/>
          <w:color w:val="000000"/>
        </w:rPr>
        <w:t>Ley de Transparencia y Acceso a la Información Pública del Estado de México y Municipios</w:t>
      </w:r>
      <w:r w:rsidRPr="000C1184">
        <w:rPr>
          <w:rFonts w:ascii="Palatino Linotype" w:eastAsia="Calibri" w:hAnsi="Palatino Linotype" w:cs="Arial"/>
          <w:color w:val="000000"/>
        </w:rPr>
        <w:t>, con el cual sustentara de forma fundada y motivada la clasificación de datos y con ello la "versión pública" de los documentos materia de la solicitud.</w:t>
      </w:r>
    </w:p>
    <w:p w14:paraId="22C0750A" w14:textId="5ABE82CD" w:rsidR="009034F4" w:rsidRDefault="009034F4" w:rsidP="009034F4">
      <w:pPr>
        <w:rPr>
          <w:rFonts w:ascii="Palatino Linotype" w:eastAsia="Calibri" w:hAnsi="Palatino Linotype" w:cs="Arial"/>
          <w:color w:val="000000" w:themeColor="text1"/>
          <w:lang w:val="es-ES"/>
        </w:rPr>
      </w:pPr>
    </w:p>
    <w:p w14:paraId="59ACDC7F" w14:textId="62FBB2FB" w:rsidR="009034F4" w:rsidRPr="009034F4" w:rsidRDefault="009034F4" w:rsidP="009034F4">
      <w:pPr>
        <w:pStyle w:val="Ttulo1"/>
        <w:numPr>
          <w:ilvl w:val="0"/>
          <w:numId w:val="7"/>
        </w:numPr>
        <w:tabs>
          <w:tab w:val="num" w:pos="360"/>
        </w:tabs>
        <w:spacing w:line="360" w:lineRule="auto"/>
        <w:ind w:left="284" w:hanging="284"/>
        <w:rPr>
          <w:b w:val="0"/>
          <w:color w:val="000000" w:themeColor="text1"/>
          <w:szCs w:val="24"/>
          <w:lang w:val="es-ES_tradnl"/>
        </w:rPr>
      </w:pPr>
      <w:bookmarkStart w:id="54" w:name="_Toc85125479"/>
      <w:r w:rsidRPr="000C1184">
        <w:rPr>
          <w:color w:val="000000" w:themeColor="text1"/>
          <w:szCs w:val="24"/>
          <w:lang w:val="es-ES_tradnl"/>
        </w:rPr>
        <w:t>De la clasificación de la información.</w:t>
      </w:r>
      <w:bookmarkEnd w:id="54"/>
      <w:r w:rsidRPr="000C1184">
        <w:rPr>
          <w:color w:val="000000" w:themeColor="text1"/>
          <w:szCs w:val="24"/>
          <w:lang w:val="es-ES_tradnl"/>
        </w:rPr>
        <w:t xml:space="preserve"> </w:t>
      </w:r>
    </w:p>
    <w:p w14:paraId="5C716011" w14:textId="77777777" w:rsidR="009034F4" w:rsidRPr="009034F4" w:rsidRDefault="009034F4" w:rsidP="009034F4">
      <w:pPr>
        <w:rPr>
          <w:rFonts w:ascii="Palatino Linotype" w:eastAsia="Calibri" w:hAnsi="Palatino Linotype" w:cs="Arial"/>
          <w:color w:val="000000" w:themeColor="text1"/>
          <w:lang w:val="es-ES"/>
        </w:rPr>
      </w:pPr>
    </w:p>
    <w:p w14:paraId="3B4009B0" w14:textId="088A279D"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w:t>
      </w:r>
      <w:r w:rsidRPr="000C1184">
        <w:rPr>
          <w:rFonts w:ascii="Palatino Linotype" w:hAnsi="Palatino Linotype"/>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0C1184">
        <w:rPr>
          <w:rFonts w:ascii="Palatino Linotype" w:hAnsi="Palatino Linotype"/>
          <w:vertAlign w:val="superscript"/>
          <w:lang w:val="es-ES_tradnl"/>
        </w:rPr>
        <w:footnoteReference w:id="3"/>
      </w:r>
      <w:r w:rsidRPr="000C1184">
        <w:rPr>
          <w:rFonts w:ascii="Palatino Linotype" w:hAnsi="Palatino Linotype"/>
          <w:lang w:val="es-ES_tradnl"/>
        </w:rPr>
        <w:t xml:space="preserve"> aunque cualquier límite o restricción, </w:t>
      </w:r>
      <w:r w:rsidRPr="000C1184">
        <w:rPr>
          <w:rFonts w:ascii="Palatino Linotype" w:hAnsi="Palatino Linotype"/>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0C1184">
        <w:rPr>
          <w:rFonts w:ascii="Palatino Linotype" w:hAnsi="Palatino Linotype"/>
          <w:vertAlign w:val="superscript"/>
          <w:lang w:val="es-ES_tradnl"/>
        </w:rPr>
        <w:footnoteReference w:id="4"/>
      </w:r>
      <w:r w:rsidRPr="000C1184">
        <w:rPr>
          <w:rFonts w:ascii="Palatino Linotype" w:hAnsi="Palatino Linotype"/>
          <w:lang w:val="es-ES_tradnl"/>
        </w:rPr>
        <w:t xml:space="preserve"> En este caso, la clasificación total o parcial de la información es un</w:t>
      </w:r>
      <w:r>
        <w:rPr>
          <w:rFonts w:ascii="Palatino Linotype" w:hAnsi="Palatino Linotype"/>
          <w:lang w:val="es-ES_tradnl"/>
        </w:rPr>
        <w:t xml:space="preserve"> </w:t>
      </w:r>
      <w:r w:rsidRPr="000C1184">
        <w:rPr>
          <w:rFonts w:ascii="Palatino Linotype" w:hAnsi="Palatino Linotype"/>
          <w:lang w:val="es-ES_tradnl"/>
        </w:rPr>
        <w:t xml:space="preserve">supuesto que tanto la Ley General de Transparencia y Acceso a la Información Pública, en adelante, la Ley General, como la Ley de Transparencia y Acceso a la </w:t>
      </w:r>
      <w:r w:rsidRPr="000C1184">
        <w:rPr>
          <w:rFonts w:ascii="Palatino Linotype" w:hAnsi="Palatino Linotype"/>
          <w:lang w:val="es-ES_tradnl"/>
        </w:rPr>
        <w:lastRenderedPageBreak/>
        <w:t>Información Pública del Estado de México y Municipios, en adelante, la Ley Estatal, establecen, y agotar el procedimiento legalmente establecido, es precisamente lo que permite acreditar el cumplimiento de los otros dos requisitos.</w:t>
      </w:r>
    </w:p>
    <w:p w14:paraId="371E79BE" w14:textId="728925E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39EB9D" w14:textId="452F9BB9" w:rsidR="009034F4" w:rsidRPr="009034F4" w:rsidRDefault="009034F4" w:rsidP="009034F4">
      <w:pPr>
        <w:keepNext/>
        <w:keepLines/>
        <w:spacing w:before="240" w:line="360" w:lineRule="auto"/>
        <w:outlineLvl w:val="0"/>
        <w:rPr>
          <w:rFonts w:ascii="Palatino Linotype" w:hAnsi="Palatino Linotype"/>
          <w:b/>
          <w:lang w:eastAsia="en-US"/>
        </w:rPr>
      </w:pPr>
      <w:bookmarkStart w:id="55" w:name="_Toc5890461"/>
      <w:bookmarkStart w:id="56" w:name="_Toc50062187"/>
      <w:bookmarkStart w:id="57" w:name="_Toc63348478"/>
      <w:bookmarkStart w:id="58" w:name="_Toc67598515"/>
      <w:bookmarkStart w:id="59" w:name="_Toc69999204"/>
      <w:bookmarkStart w:id="60" w:name="_Toc73033013"/>
      <w:bookmarkStart w:id="61" w:name="_Toc85125480"/>
      <w:r w:rsidRPr="000C1184">
        <w:rPr>
          <w:rFonts w:ascii="Palatino Linotype" w:hAnsi="Palatino Linotype"/>
          <w:b/>
          <w:lang w:eastAsia="en-US"/>
        </w:rPr>
        <w:t>II. Requisitos previos.</w:t>
      </w:r>
      <w:bookmarkEnd w:id="55"/>
      <w:bookmarkEnd w:id="56"/>
      <w:bookmarkEnd w:id="57"/>
      <w:bookmarkEnd w:id="58"/>
      <w:bookmarkEnd w:id="59"/>
      <w:bookmarkEnd w:id="60"/>
      <w:bookmarkEnd w:id="61"/>
    </w:p>
    <w:p w14:paraId="6AE64764" w14:textId="729F0417" w:rsidR="00E177DE"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Los </w:t>
      </w:r>
      <w:r w:rsidRPr="000C1184">
        <w:rPr>
          <w:rFonts w:ascii="Palatino Linotype" w:hAnsi="Palatino Linotype"/>
          <w:lang w:val="es-ES_tradnl"/>
        </w:rPr>
        <w:t>artículos</w:t>
      </w:r>
      <w:r w:rsidRPr="000C1184">
        <w:rPr>
          <w:rFonts w:ascii="Palatino Linotype" w:hAnsi="Palatino Linotype" w:cs="Arial"/>
          <w:color w:val="000000"/>
          <w:lang w:val="es-ES_tradnl"/>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96CD6F9" w14:textId="7777777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1FE6B6C" w14:textId="4F0927E1" w:rsidR="00E177DE"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Además, </w:t>
      </w:r>
      <w:r w:rsidRPr="000C1184">
        <w:rPr>
          <w:rFonts w:ascii="Palatino Linotype" w:hAnsi="Palatino Linotype" w:cs="Arial"/>
          <w:color w:val="000000"/>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073EA12" w14:textId="77777777" w:rsidR="009034F4" w:rsidRPr="009034F4" w:rsidRDefault="009034F4" w:rsidP="009034F4">
      <w:pPr>
        <w:rPr>
          <w:rFonts w:ascii="Palatino Linotype" w:eastAsia="Calibri" w:hAnsi="Palatino Linotype" w:cs="Arial"/>
          <w:color w:val="000000" w:themeColor="text1"/>
          <w:lang w:val="es-ES"/>
        </w:rPr>
      </w:pPr>
    </w:p>
    <w:p w14:paraId="2D4BCFE9" w14:textId="0472E0E7"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0C1184">
        <w:rPr>
          <w:rFonts w:ascii="Palatino Linotype" w:hAnsi="Palatino Linotype" w:cs="Arial"/>
          <w:color w:val="000000"/>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0C1184">
        <w:rPr>
          <w:rFonts w:ascii="Palatino Linotype" w:hAnsi="Palatino Linotype" w:cs="Arial"/>
          <w:b/>
          <w:color w:val="000000"/>
          <w:lang w:val="es-ES_tradnl"/>
        </w:rPr>
        <w:t xml:space="preserve">no se puede hacer un acuerdo para clasificar de manera general todos los documentos de un expediente o área,  </w:t>
      </w:r>
      <w:r w:rsidRPr="000C1184">
        <w:rPr>
          <w:rFonts w:ascii="Palatino Linotype" w:hAnsi="Palatino Linotype" w:cs="Arial"/>
          <w:color w:val="000000"/>
          <w:lang w:val="es-ES_tradnl"/>
        </w:rPr>
        <w:t>sin individualizar su análisis y tampoco se puede hacer un acuerdo por cada dato que se vaya a clasificar dentro de un documento con diez datos, por ejemplo, susceptibles de ser clasificados.</w:t>
      </w:r>
    </w:p>
    <w:p w14:paraId="462AABD9" w14:textId="1748E9FE"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D5BFE04" w14:textId="03B8931E" w:rsidR="009034F4" w:rsidRDefault="009034F4" w:rsidP="009034F4">
      <w:pPr>
        <w:keepNext/>
        <w:keepLines/>
        <w:spacing w:before="240" w:line="360" w:lineRule="auto"/>
        <w:outlineLvl w:val="0"/>
        <w:rPr>
          <w:rFonts w:ascii="Palatino Linotype" w:hAnsi="Palatino Linotype"/>
          <w:b/>
          <w:lang w:eastAsia="en-US"/>
        </w:rPr>
      </w:pPr>
      <w:bookmarkStart w:id="62" w:name="_Toc5890462"/>
      <w:bookmarkStart w:id="63" w:name="_Toc50062188"/>
      <w:bookmarkStart w:id="64" w:name="_Toc63348479"/>
      <w:bookmarkStart w:id="65" w:name="_Toc67598516"/>
      <w:bookmarkStart w:id="66" w:name="_Toc69999205"/>
      <w:bookmarkStart w:id="67" w:name="_Toc73033014"/>
      <w:bookmarkStart w:id="68" w:name="_Toc85125481"/>
      <w:r w:rsidRPr="000C1184">
        <w:rPr>
          <w:rFonts w:ascii="Palatino Linotype" w:hAnsi="Palatino Linotype"/>
          <w:b/>
          <w:lang w:eastAsia="en-US"/>
        </w:rPr>
        <w:t>III</w:t>
      </w:r>
      <w:bookmarkStart w:id="69" w:name="_Toc5890463"/>
      <w:bookmarkStart w:id="70" w:name="_Toc50062189"/>
      <w:bookmarkStart w:id="71" w:name="_Toc63348480"/>
      <w:bookmarkStart w:id="72" w:name="_Toc67598517"/>
      <w:bookmarkStart w:id="73" w:name="_Toc69999206"/>
      <w:bookmarkStart w:id="74" w:name="_Toc73033015"/>
      <w:bookmarkEnd w:id="62"/>
      <w:bookmarkEnd w:id="63"/>
      <w:bookmarkEnd w:id="64"/>
      <w:bookmarkEnd w:id="65"/>
      <w:bookmarkEnd w:id="66"/>
      <w:bookmarkEnd w:id="67"/>
      <w:r w:rsidRPr="000C1184">
        <w:rPr>
          <w:rFonts w:ascii="Palatino Linotype" w:hAnsi="Palatino Linotype"/>
          <w:b/>
          <w:lang w:eastAsia="en-US"/>
        </w:rPr>
        <w:t>. La intervención del comité de transparencia.</w:t>
      </w:r>
      <w:bookmarkEnd w:id="68"/>
      <w:bookmarkEnd w:id="69"/>
      <w:bookmarkEnd w:id="70"/>
      <w:bookmarkEnd w:id="71"/>
      <w:bookmarkEnd w:id="72"/>
      <w:bookmarkEnd w:id="73"/>
      <w:bookmarkEnd w:id="74"/>
    </w:p>
    <w:p w14:paraId="5AF0AA28" w14:textId="319CF8B4" w:rsidR="009034F4" w:rsidRPr="009034F4" w:rsidRDefault="009034F4" w:rsidP="009034F4">
      <w:pPr>
        <w:keepNext/>
        <w:keepLines/>
        <w:numPr>
          <w:ilvl w:val="0"/>
          <w:numId w:val="8"/>
        </w:numPr>
        <w:spacing w:before="240" w:after="160" w:line="360" w:lineRule="auto"/>
        <w:ind w:left="0" w:firstLine="0"/>
        <w:outlineLvl w:val="0"/>
        <w:rPr>
          <w:rFonts w:ascii="Palatino Linotype" w:hAnsi="Palatino Linotype"/>
          <w:b/>
          <w:lang w:eastAsia="en-US"/>
        </w:rPr>
      </w:pPr>
      <w:bookmarkStart w:id="75" w:name="_Toc5890464"/>
      <w:bookmarkStart w:id="76" w:name="_Toc50062190"/>
      <w:bookmarkStart w:id="77" w:name="_Toc63348481"/>
      <w:bookmarkStart w:id="78" w:name="_Toc67598518"/>
      <w:bookmarkStart w:id="79" w:name="_Toc69999207"/>
      <w:bookmarkStart w:id="80" w:name="_Toc73033016"/>
      <w:bookmarkStart w:id="81" w:name="_Toc85125482"/>
      <w:r w:rsidRPr="000C1184">
        <w:rPr>
          <w:rFonts w:ascii="Palatino Linotype" w:hAnsi="Palatino Linotype"/>
          <w:b/>
          <w:lang w:eastAsia="en-US"/>
        </w:rPr>
        <w:t>Formalidades para emitir el acuerdo de clasificación.</w:t>
      </w:r>
      <w:bookmarkEnd w:id="75"/>
      <w:bookmarkEnd w:id="76"/>
      <w:bookmarkEnd w:id="77"/>
      <w:bookmarkEnd w:id="78"/>
      <w:bookmarkEnd w:id="79"/>
      <w:bookmarkEnd w:id="80"/>
      <w:bookmarkEnd w:id="81"/>
    </w:p>
    <w:p w14:paraId="779D242E" w14:textId="21080170" w:rsidR="00E177DE"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0C1184">
        <w:rPr>
          <w:rFonts w:ascii="Palatino Linotype" w:hAnsi="Palatino Linotype" w:cs="Arial"/>
          <w:color w:val="000000"/>
          <w:lang w:val="es-ES_tradnl"/>
        </w:rPr>
        <w:t xml:space="preserve">Comité de Transparencia, según lo dispuesto en los artículos 128 y 103 de la Ley Estatal y de la Ley General, respectivamente, y </w:t>
      </w:r>
      <w:r w:rsidRPr="000C1184">
        <w:rPr>
          <w:rFonts w:ascii="Palatino Linotype" w:hAnsi="Palatino Linotype"/>
          <w:lang w:val="es-ES_tradnl"/>
        </w:rPr>
        <w:t xml:space="preserve">la fracción III del numeral Segundo de los </w:t>
      </w:r>
      <w:r w:rsidRPr="000C1184">
        <w:rPr>
          <w:rFonts w:ascii="Palatino Linotype" w:hAnsi="Palatino Linotype" w:cs="Arial"/>
          <w:color w:val="000000"/>
          <w:lang w:val="es-ES_tradnl"/>
        </w:rPr>
        <w:t>Lineamientos generales en materia de clasificación y desclasificación de la información, así como para la elaboración de versiones públicas, en adelante los Lineamientos Generales,</w:t>
      </w:r>
      <w:r w:rsidRPr="000C1184">
        <w:rPr>
          <w:rFonts w:ascii="Palatino Linotype" w:hAnsi="Palatino Linotype"/>
          <w:lang w:val="es-ES_tradnl"/>
        </w:rPr>
        <w:t xml:space="preserve"> </w:t>
      </w:r>
      <w:r w:rsidRPr="000C1184">
        <w:rPr>
          <w:rFonts w:ascii="Palatino Linotype" w:hAnsi="Palatino Linotype" w:cs="Arial"/>
          <w:color w:val="000000"/>
          <w:lang w:val="es-ES_tradnl"/>
        </w:rPr>
        <w:t xml:space="preserve">cuenta con las facultades para </w:t>
      </w:r>
      <w:r w:rsidRPr="000C1184">
        <w:rPr>
          <w:rFonts w:ascii="Palatino Linotype" w:hAnsi="Palatino Linotype" w:cs="Arial"/>
          <w:b/>
          <w:color w:val="000000"/>
          <w:lang w:val="es-ES_tradnl"/>
        </w:rPr>
        <w:t>confirmar, modificar o revocar</w:t>
      </w:r>
      <w:r w:rsidRPr="000C1184">
        <w:rPr>
          <w:rFonts w:ascii="Palatino Linotype" w:hAnsi="Palatino Linotype" w:cs="Arial"/>
          <w:color w:val="000000"/>
          <w:lang w:val="es-ES_tradnl"/>
        </w:rPr>
        <w:t xml:space="preserve"> la clasificación de la información que ha hecho el titular del área que administra la información. Por lo tanto, el Comité </w:t>
      </w:r>
      <w:r w:rsidRPr="000C1184">
        <w:rPr>
          <w:rFonts w:ascii="Palatino Linotype" w:hAnsi="Palatino Linotype" w:cs="Arial"/>
          <w:b/>
          <w:color w:val="000000"/>
          <w:lang w:val="es-ES_tradnl"/>
        </w:rPr>
        <w:t>no aprueba</w:t>
      </w:r>
      <w:r w:rsidRPr="000C1184">
        <w:rPr>
          <w:rFonts w:ascii="Palatino Linotype" w:hAnsi="Palatino Linotype" w:cs="Arial"/>
          <w:color w:val="000000"/>
          <w:lang w:val="es-ES_tradnl"/>
        </w:rPr>
        <w:t xml:space="preserve"> la clasificación, sino</w:t>
      </w:r>
      <w:r>
        <w:rPr>
          <w:rFonts w:ascii="Palatino Linotype" w:hAnsi="Palatino Linotype" w:cs="Arial"/>
          <w:color w:val="000000"/>
          <w:lang w:val="es-ES_tradnl"/>
        </w:rPr>
        <w:t xml:space="preserve"> </w:t>
      </w:r>
      <w:r w:rsidRPr="000C1184">
        <w:rPr>
          <w:rFonts w:ascii="Palatino Linotype" w:hAnsi="Palatino Linotype" w:cs="Arial"/>
          <w:color w:val="000000"/>
          <w:lang w:val="es-ES_tradnl"/>
        </w:rPr>
        <w:t>que revisa lo que ha hecho el titular del área y confirma, modifica o revoca la decisión a través de un acuerdo.</w:t>
      </w:r>
    </w:p>
    <w:p w14:paraId="4B2BF9C2" w14:textId="7777777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ACDB1C" w14:textId="12886402"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Evidentemente, </w:t>
      </w:r>
      <w:r w:rsidRPr="000C1184">
        <w:rPr>
          <w:rFonts w:ascii="Palatino Linotype" w:hAnsi="Palatino Linotype" w:cs="Arial"/>
          <w:color w:val="000000"/>
          <w:lang w:val="es-ES_tradnl"/>
        </w:rPr>
        <w:t xml:space="preserve">, esta decisión implica una restricción a un derecho humano, por lo tanto, puede generar un agravio al particular y, en consecuencia, es necesario que </w:t>
      </w:r>
      <w:r w:rsidRPr="000C1184">
        <w:rPr>
          <w:rFonts w:ascii="Palatino Linotype" w:hAnsi="Palatino Linotype" w:cs="Arial"/>
          <w:b/>
          <w:color w:val="000000"/>
          <w:lang w:val="es-ES_tradnl"/>
        </w:rPr>
        <w:t>el acto reúna con los requisitos elementales</w:t>
      </w:r>
      <w:r w:rsidRPr="000C1184">
        <w:rPr>
          <w:rFonts w:ascii="Palatino Linotype" w:hAnsi="Palatino Linotype" w:cs="Arial"/>
          <w:color w:val="000000"/>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5715BC6" w14:textId="7777777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3FECDA" w14:textId="659675B6"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decisión </w:t>
      </w:r>
      <w:r w:rsidRPr="000C1184">
        <w:rPr>
          <w:rFonts w:ascii="Palatino Linotype" w:hAnsi="Palatino Linotype"/>
          <w:lang w:val="es-ES_tradnl"/>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82EC346" w14:textId="42F7361E"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F1CDED" w14:textId="5E3ECC09" w:rsidR="009034F4" w:rsidRPr="009034F4" w:rsidRDefault="009034F4" w:rsidP="009034F4">
      <w:pPr>
        <w:keepNext/>
        <w:keepLines/>
        <w:spacing w:before="240" w:line="360" w:lineRule="auto"/>
        <w:outlineLvl w:val="0"/>
        <w:rPr>
          <w:rFonts w:ascii="Palatino Linotype" w:hAnsi="Palatino Linotype"/>
          <w:b/>
          <w:lang w:eastAsia="en-US"/>
        </w:rPr>
      </w:pPr>
      <w:bookmarkStart w:id="82" w:name="_Toc63348482"/>
      <w:bookmarkStart w:id="83" w:name="_Toc67598519"/>
      <w:bookmarkStart w:id="84" w:name="_Toc69999208"/>
      <w:bookmarkStart w:id="85" w:name="_Toc73033017"/>
      <w:bookmarkStart w:id="86" w:name="_Toc85125483"/>
      <w:r w:rsidRPr="000C1184">
        <w:rPr>
          <w:rFonts w:ascii="Palatino Linotype" w:hAnsi="Palatino Linotype"/>
          <w:b/>
          <w:lang w:eastAsia="en-US"/>
        </w:rPr>
        <w:lastRenderedPageBreak/>
        <w:t xml:space="preserve">b) </w:t>
      </w:r>
      <w:bookmarkStart w:id="87" w:name="_Toc5890465"/>
      <w:bookmarkStart w:id="88" w:name="_Toc50062191"/>
      <w:r w:rsidRPr="000C1184">
        <w:rPr>
          <w:rFonts w:ascii="Palatino Linotype" w:hAnsi="Palatino Linotype"/>
          <w:b/>
          <w:lang w:eastAsia="en-US"/>
        </w:rPr>
        <w:t>Requisitos de fondo del acuerdo de clasificación.</w:t>
      </w:r>
      <w:bookmarkEnd w:id="82"/>
      <w:bookmarkEnd w:id="83"/>
      <w:bookmarkEnd w:id="84"/>
      <w:bookmarkEnd w:id="85"/>
      <w:bookmarkEnd w:id="86"/>
      <w:bookmarkEnd w:id="87"/>
      <w:bookmarkEnd w:id="88"/>
    </w:p>
    <w:p w14:paraId="2EC4D353" w14:textId="054DC04E"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Como </w:t>
      </w:r>
      <w:r w:rsidRPr="000C1184">
        <w:rPr>
          <w:rFonts w:ascii="Palatino Linotype" w:hAnsi="Palatino Linotype" w:cs="Arial"/>
          <w:color w:val="000000"/>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2D71FD8" w14:textId="7777777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D188F6" w14:textId="021BB50F" w:rsidR="009034F4" w:rsidRPr="000D2ED1" w:rsidRDefault="009034F4" w:rsidP="009034F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 </w:t>
      </w:r>
      <w:r w:rsidRPr="000C1184">
        <w:rPr>
          <w:rFonts w:ascii="Palatino Linotype" w:hAnsi="Palatino Linotype"/>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BFDBD4A" w14:textId="77777777" w:rsidR="000D2ED1" w:rsidRPr="009034F4" w:rsidRDefault="000D2ED1" w:rsidP="000D2E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27C693" w14:textId="09B48A2C"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Han </w:t>
      </w:r>
      <w:r w:rsidRPr="000C1184">
        <w:rPr>
          <w:rFonts w:ascii="Palatino Linotype" w:hAnsi="Palatino Linotype" w:cs="Arial"/>
          <w:color w:val="222222"/>
          <w:lang w:val="es-ES_tradnl"/>
        </w:rPr>
        <w:t xml:space="preserve">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0C1184">
        <w:rPr>
          <w:rFonts w:ascii="Palatino Linotype" w:hAnsi="Palatino Linotype" w:cs="Arial"/>
          <w:color w:val="222222"/>
          <w:lang w:val="es-ES_tradnl"/>
        </w:rPr>
        <w:lastRenderedPageBreak/>
        <w:t>deber de precisar las disposiciones jurídicas que aplican a los hechos de que se trate y que</w:t>
      </w:r>
      <w:r>
        <w:rPr>
          <w:rFonts w:ascii="Palatino Linotype" w:hAnsi="Palatino Linotype" w:cs="Arial"/>
          <w:color w:val="222222"/>
          <w:lang w:val="es-ES_tradnl"/>
        </w:rPr>
        <w:t xml:space="preserve"> </w:t>
      </w:r>
      <w:r w:rsidRPr="000C1184">
        <w:rPr>
          <w:rFonts w:ascii="Palatino Linotype" w:hAnsi="Palatino Linotype" w:cs="Arial"/>
          <w:color w:val="222222"/>
          <w:lang w:val="es-ES_tradnl"/>
        </w:rPr>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0C1184">
        <w:rPr>
          <w:rFonts w:ascii="Palatino Linotype" w:hAnsi="Palatino Linotype"/>
          <w:vertAlign w:val="superscript"/>
          <w:lang w:val="es-ES_tradnl"/>
        </w:rPr>
        <w:footnoteReference w:id="5"/>
      </w:r>
    </w:p>
    <w:p w14:paraId="6E255D46" w14:textId="77777777" w:rsidR="009034F4" w:rsidRP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E91FDD" w14:textId="5554B107" w:rsidR="009034F4" w:rsidRPr="009034F4" w:rsidRDefault="009034F4" w:rsidP="009034F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034F4">
        <w:rPr>
          <w:rFonts w:ascii="Palatino Linotype" w:eastAsia="Calibri" w:hAnsi="Palatino Linotype" w:cs="Arial"/>
          <w:color w:val="000000" w:themeColor="text1"/>
          <w:lang w:val="es-ES"/>
        </w:rPr>
        <w:t xml:space="preserve">Por </w:t>
      </w:r>
      <w:r w:rsidRPr="009034F4">
        <w:rPr>
          <w:rFonts w:ascii="Palatino Linotype" w:hAnsi="Palatino Linotype" w:cs="Arial"/>
          <w:color w:val="222222"/>
          <w:lang w:val="es-ES_tradnl"/>
        </w:rPr>
        <w:t>su parte, el intérprete judicial del país ha establecido una jurisprudencia respecto a qué debe entenderse por fundamentación y motivación, en los siguientes términos:</w:t>
      </w:r>
    </w:p>
    <w:p w14:paraId="494BB1AA" w14:textId="77777777" w:rsidR="009034F4" w:rsidRPr="009034F4" w:rsidRDefault="009034F4" w:rsidP="009034F4">
      <w:pPr>
        <w:ind w:left="567" w:right="618"/>
        <w:contextualSpacing/>
        <w:jc w:val="both"/>
        <w:rPr>
          <w:rFonts w:ascii="Palatino Linotype" w:hAnsi="Palatino Linotype" w:cs="Arial"/>
          <w:i/>
          <w:color w:val="000000"/>
          <w:sz w:val="22"/>
          <w:szCs w:val="22"/>
          <w:lang w:val="es-ES_tradnl"/>
        </w:rPr>
      </w:pPr>
      <w:r w:rsidRPr="009034F4">
        <w:rPr>
          <w:rFonts w:ascii="Palatino Linotype" w:hAnsi="Palatino Linotype" w:cs="Arial"/>
          <w:b/>
          <w:i/>
          <w:color w:val="000000"/>
          <w:sz w:val="22"/>
          <w:szCs w:val="22"/>
          <w:lang w:val="es-ES_tradnl"/>
        </w:rPr>
        <w:t>FUNDAMENTACIÓN Y MOTIVACIÓN.</w:t>
      </w:r>
      <w:r w:rsidRPr="009034F4">
        <w:rPr>
          <w:rFonts w:ascii="Palatino Linotype" w:hAnsi="Palatino Linotype" w:cs="Arial"/>
          <w:i/>
          <w:color w:val="000000"/>
          <w:sz w:val="22"/>
          <w:szCs w:val="22"/>
          <w:lang w:val="es-ES_tradnl"/>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77EBA4DD" w14:textId="77777777" w:rsidR="009034F4" w:rsidRPr="009034F4" w:rsidRDefault="009034F4" w:rsidP="009034F4">
      <w:pPr>
        <w:ind w:left="567" w:right="618"/>
        <w:contextualSpacing/>
        <w:jc w:val="both"/>
        <w:rPr>
          <w:rFonts w:ascii="Palatino Linotype" w:hAnsi="Palatino Linotype" w:cs="Arial"/>
          <w:i/>
          <w:color w:val="000000"/>
          <w:sz w:val="22"/>
          <w:szCs w:val="22"/>
          <w:lang w:val="es-ES_tradnl"/>
        </w:rPr>
      </w:pPr>
      <w:r w:rsidRPr="009034F4">
        <w:rPr>
          <w:rFonts w:ascii="Palatino Linotype" w:hAnsi="Palatino Linotype" w:cs="Arial"/>
          <w:i/>
          <w:color w:val="000000"/>
          <w:sz w:val="22"/>
          <w:szCs w:val="22"/>
          <w:lang w:val="es-ES_tradnl"/>
        </w:rPr>
        <w:t>SEGUNDO TRIBUNAL COLEGIADO DEL SEXTO CIRCUITO.</w:t>
      </w:r>
    </w:p>
    <w:p w14:paraId="2620B7E2" w14:textId="3C698298" w:rsidR="009034F4" w:rsidRPr="009034F4" w:rsidRDefault="009034F4" w:rsidP="009034F4">
      <w:pPr>
        <w:ind w:left="567" w:right="565"/>
        <w:contextualSpacing/>
        <w:jc w:val="both"/>
        <w:rPr>
          <w:rFonts w:ascii="Palatino Linotype" w:hAnsi="Palatino Linotype" w:cs="Arial"/>
          <w:i/>
          <w:color w:val="000000"/>
          <w:sz w:val="22"/>
          <w:szCs w:val="22"/>
          <w:lang w:val="es-ES_tradnl"/>
        </w:rPr>
      </w:pPr>
      <w:r w:rsidRPr="009034F4">
        <w:rPr>
          <w:rFonts w:ascii="Palatino Linotype" w:hAnsi="Palatino Linotype" w:cs="Arial"/>
          <w:i/>
          <w:color w:val="000000"/>
          <w:sz w:val="22"/>
          <w:szCs w:val="22"/>
          <w:lang w:val="es-ES_tradnl"/>
        </w:rPr>
        <w:t>Amparo directo 194/88. Bufete Industrial Construcciones, S.A. de C.V. 28 de junio de 1988. Unanimidad de votos. Ponente: Gustavo Calvillo Rangel. Secretario: Jorge Alberto González Álvarez.</w:t>
      </w:r>
    </w:p>
    <w:p w14:paraId="10421C72" w14:textId="77777777" w:rsidR="009034F4" w:rsidRPr="009034F4" w:rsidRDefault="009034F4" w:rsidP="009034F4">
      <w:pPr>
        <w:ind w:left="567" w:right="565"/>
        <w:contextualSpacing/>
        <w:jc w:val="both"/>
        <w:rPr>
          <w:rFonts w:ascii="Palatino Linotype" w:hAnsi="Palatino Linotype" w:cs="Arial"/>
          <w:i/>
          <w:color w:val="000000"/>
          <w:sz w:val="22"/>
          <w:szCs w:val="22"/>
          <w:lang w:val="es-ES_tradnl"/>
        </w:rPr>
      </w:pPr>
      <w:r w:rsidRPr="009034F4">
        <w:rPr>
          <w:rFonts w:ascii="Palatino Linotype" w:hAnsi="Palatino Linotype" w:cs="Arial"/>
          <w:i/>
          <w:color w:val="000000"/>
          <w:sz w:val="22"/>
          <w:szCs w:val="22"/>
          <w:lang w:val="es-ES_tradnl"/>
        </w:rPr>
        <w:t>Revisión fiscal 103/88. Instituto Mexicano del Seguro Social. 18 de octubre de 1988. Unanimidad de votos. Ponente: Arnoldo Nájera Virgen. Secretario: Alejandro Esponda Rincón.</w:t>
      </w:r>
    </w:p>
    <w:p w14:paraId="534A0898" w14:textId="77777777" w:rsidR="009034F4" w:rsidRPr="009034F4" w:rsidRDefault="009034F4" w:rsidP="009034F4">
      <w:pPr>
        <w:ind w:left="567" w:right="565"/>
        <w:contextualSpacing/>
        <w:jc w:val="both"/>
        <w:rPr>
          <w:rFonts w:ascii="Palatino Linotype" w:hAnsi="Palatino Linotype" w:cs="Arial"/>
          <w:i/>
          <w:color w:val="000000"/>
          <w:sz w:val="22"/>
          <w:szCs w:val="22"/>
          <w:lang w:val="es-ES_tradnl"/>
        </w:rPr>
      </w:pPr>
      <w:r w:rsidRPr="009034F4">
        <w:rPr>
          <w:rFonts w:ascii="Palatino Linotype" w:hAnsi="Palatino Linotype" w:cs="Arial"/>
          <w:i/>
          <w:color w:val="000000"/>
          <w:sz w:val="22"/>
          <w:szCs w:val="22"/>
          <w:lang w:val="es-ES_tradnl"/>
        </w:rPr>
        <w:lastRenderedPageBreak/>
        <w:t>Amparo en revisión 333/88. Adilia Romero. 26 de octubre de 1988. Unanimidad de votos. Ponente: Arnoldo Nájera Virgen. Secretario: Enrique Crispín Campos Ramírez.</w:t>
      </w:r>
    </w:p>
    <w:p w14:paraId="5A389E7C" w14:textId="77777777" w:rsidR="009034F4" w:rsidRPr="009034F4" w:rsidRDefault="009034F4" w:rsidP="009034F4">
      <w:pPr>
        <w:ind w:left="567" w:right="565"/>
        <w:contextualSpacing/>
        <w:jc w:val="both"/>
        <w:rPr>
          <w:rFonts w:ascii="Palatino Linotype" w:hAnsi="Palatino Linotype" w:cs="Arial"/>
          <w:i/>
          <w:color w:val="000000"/>
          <w:sz w:val="22"/>
          <w:szCs w:val="22"/>
          <w:lang w:val="es-ES_tradnl"/>
        </w:rPr>
      </w:pPr>
      <w:r w:rsidRPr="009034F4">
        <w:rPr>
          <w:rFonts w:ascii="Palatino Linotype" w:hAnsi="Palatino Linotype" w:cs="Arial"/>
          <w:i/>
          <w:color w:val="000000"/>
          <w:sz w:val="22"/>
          <w:szCs w:val="22"/>
          <w:lang w:val="es-ES_tradnl"/>
        </w:rPr>
        <w:t>Amparo en revisión 597/95. Emilio Maurer Bretón. 15 de noviembre de 1995. Unanimidad de votos. Ponente: Clementina Ramírez Moguel Goyzueta. Secretario: Gonzalo Carrera Molina.</w:t>
      </w:r>
    </w:p>
    <w:p w14:paraId="4C5C3082" w14:textId="25D918CF" w:rsidR="009034F4" w:rsidRDefault="009034F4" w:rsidP="009034F4">
      <w:pPr>
        <w:ind w:left="567" w:right="565"/>
        <w:contextualSpacing/>
        <w:jc w:val="both"/>
        <w:rPr>
          <w:rFonts w:ascii="Palatino Linotype" w:hAnsi="Palatino Linotype" w:cs="Arial"/>
          <w:i/>
          <w:color w:val="000000"/>
          <w:sz w:val="22"/>
          <w:szCs w:val="22"/>
          <w:lang w:val="es-ES_tradnl"/>
        </w:rPr>
      </w:pPr>
      <w:r w:rsidRPr="009034F4">
        <w:rPr>
          <w:rFonts w:ascii="Palatino Linotype" w:hAnsi="Palatino Linotype" w:cs="Arial"/>
          <w:i/>
          <w:color w:val="000000"/>
          <w:sz w:val="22"/>
          <w:szCs w:val="22"/>
          <w:lang w:val="es-ES_tradnl"/>
        </w:rPr>
        <w:t>Amparo directo 7/96. Pedro Vicente López Miro. 21 de febrero de 1996. Unanimidad de votos. Ponente: María Eugenia Estela Martínez Cardiel. Secretario: Enrique Baigts Muñoz.</w:t>
      </w:r>
    </w:p>
    <w:p w14:paraId="14998D9A" w14:textId="77777777" w:rsidR="009034F4" w:rsidRPr="009034F4" w:rsidRDefault="009034F4" w:rsidP="009034F4">
      <w:pPr>
        <w:ind w:left="567" w:right="565"/>
        <w:contextualSpacing/>
        <w:jc w:val="both"/>
        <w:rPr>
          <w:rFonts w:ascii="Palatino Linotype" w:hAnsi="Palatino Linotype" w:cs="Arial"/>
          <w:i/>
          <w:color w:val="000000"/>
          <w:sz w:val="22"/>
          <w:szCs w:val="22"/>
          <w:lang w:val="es-ES_tradnl"/>
        </w:rPr>
      </w:pPr>
    </w:p>
    <w:p w14:paraId="5CAE03AA" w14:textId="7B77C0DF"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0C1184">
        <w:rPr>
          <w:rFonts w:ascii="Palatino Linotype" w:hAnsi="Palatino Linotype" w:cs="Arial"/>
          <w:color w:val="222222"/>
          <w:lang w:val="es-ES_tradnl"/>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C2F1556" w14:textId="7777777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9B285E" w14:textId="0D5FED26"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0C1184">
        <w:rPr>
          <w:rFonts w:ascii="Palatino Linotype" w:hAnsi="Palatino Linotype" w:cs="Arial"/>
          <w:color w:val="222222"/>
          <w:lang w:val="es-ES_tradnl"/>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4197D62" w14:textId="77777777" w:rsidR="009034F4" w:rsidRDefault="009034F4" w:rsidP="009034F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A379D70" w14:textId="4E5249EE"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0C1184">
        <w:rPr>
          <w:rFonts w:ascii="Palatino Linotype" w:hAnsi="Palatino Linotype" w:cs="Arial"/>
          <w:color w:val="222222"/>
          <w:lang w:val="es-ES_tradnl"/>
        </w:rPr>
        <w:t>ese mismo sentido, el numeral trigésimo tercero fracción V de los Lineamientos Generales, precisa que para motivar la clasificación se deben acreditar las circunstancias de tiempo, modo y lugar.</w:t>
      </w:r>
    </w:p>
    <w:p w14:paraId="10FA2A53" w14:textId="77777777" w:rsidR="009034F4" w:rsidRPr="009034F4" w:rsidRDefault="009034F4" w:rsidP="009034F4">
      <w:pPr>
        <w:tabs>
          <w:tab w:val="left" w:pos="426"/>
          <w:tab w:val="left" w:pos="567"/>
        </w:tabs>
        <w:spacing w:line="360" w:lineRule="auto"/>
        <w:jc w:val="both"/>
        <w:rPr>
          <w:rFonts w:ascii="Palatino Linotype" w:eastAsia="Calibri" w:hAnsi="Palatino Linotype" w:cs="Arial"/>
          <w:color w:val="000000" w:themeColor="text1"/>
          <w:lang w:val="es-ES"/>
        </w:rPr>
      </w:pPr>
    </w:p>
    <w:p w14:paraId="08533545" w14:textId="50B2C146" w:rsidR="009034F4" w:rsidRPr="009034F4" w:rsidRDefault="009034F4"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Ahora </w:t>
      </w:r>
      <w:r w:rsidRPr="000C1184">
        <w:rPr>
          <w:rFonts w:ascii="Palatino Linotype" w:hAnsi="Palatino Linotype" w:cs="Arial"/>
          <w:color w:val="222222"/>
          <w:lang w:val="es-ES_tradnl"/>
        </w:rPr>
        <w:t xml:space="preserve">bien, </w:t>
      </w:r>
      <w:r w:rsidRPr="000C1184">
        <w:rPr>
          <w:rFonts w:ascii="Palatino Linotype" w:hAnsi="Palatino Linotype" w:cs="Arial"/>
          <w:b/>
          <w:color w:val="222222"/>
          <w:lang w:val="es-ES_tradnl"/>
        </w:rPr>
        <w:t>para cada caso además de fundar y motivar</w:t>
      </w:r>
      <w:r w:rsidRPr="000C1184">
        <w:rPr>
          <w:rFonts w:ascii="Palatino Linotype" w:hAnsi="Palatino Linotype" w:cs="Arial"/>
          <w:color w:val="222222"/>
          <w:lang w:val="es-ES_tradnl"/>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0C1184">
        <w:rPr>
          <w:rFonts w:ascii="Palatino Linotype" w:eastAsia="Calibri" w:hAnsi="Palatino Linotype" w:cs="Arial"/>
        </w:rPr>
        <w:t>el Registro Federal de Contribuyentes (R.F.C.), y los Códigos Bidimensionales, también denominados Códigos QR, se consideran datos públicos, o de ser el caso en que una documental contenga datos personales relacionados con algún procedimiento judicial será susceptible de clasificarse como reservada.</w:t>
      </w:r>
    </w:p>
    <w:p w14:paraId="6AA4F652" w14:textId="77777777" w:rsidR="009034F4" w:rsidRPr="009034F4" w:rsidRDefault="009034F4" w:rsidP="009034F4">
      <w:pPr>
        <w:pStyle w:val="Prrafodelista"/>
        <w:rPr>
          <w:rFonts w:ascii="Palatino Linotype" w:eastAsia="Calibri" w:hAnsi="Palatino Linotype" w:cs="Arial"/>
          <w:color w:val="000000" w:themeColor="text1"/>
          <w:lang w:val="es-ES"/>
        </w:rPr>
      </w:pPr>
    </w:p>
    <w:p w14:paraId="31D59AEB" w14:textId="53FF07B0" w:rsidR="009034F4" w:rsidRDefault="00CC1AA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Finalmente, </w:t>
      </w:r>
      <w:r w:rsidRPr="000C1184">
        <w:rPr>
          <w:rFonts w:ascii="Palatino Linotype" w:eastAsia="Calibri" w:hAnsi="Palatino Linotype" w:cs="Arial"/>
        </w:rPr>
        <w:t>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w:t>
      </w:r>
    </w:p>
    <w:p w14:paraId="6445254D" w14:textId="37EEF6C2" w:rsidR="00CC1AA5" w:rsidRDefault="00CC1AA5" w:rsidP="00CC1AA5">
      <w:pPr>
        <w:rPr>
          <w:rFonts w:ascii="Palatino Linotype" w:eastAsia="Calibri" w:hAnsi="Palatino Linotype" w:cs="Arial"/>
          <w:color w:val="000000" w:themeColor="text1"/>
          <w:lang w:val="es-ES"/>
        </w:rPr>
      </w:pPr>
    </w:p>
    <w:p w14:paraId="1F8D0BB8" w14:textId="5D91266C" w:rsidR="00CC1AA5" w:rsidRPr="00CC1AA5" w:rsidRDefault="00CC1AA5" w:rsidP="00CC1AA5">
      <w:pPr>
        <w:keepNext/>
        <w:keepLines/>
        <w:spacing w:before="240" w:line="360" w:lineRule="auto"/>
        <w:jc w:val="both"/>
        <w:outlineLvl w:val="0"/>
        <w:rPr>
          <w:rFonts w:ascii="Palatino Linotype" w:hAnsi="Palatino Linotype"/>
          <w:b/>
          <w:lang w:eastAsia="en-US"/>
        </w:rPr>
      </w:pPr>
      <w:bookmarkStart w:id="89" w:name="_Toc5711929"/>
      <w:bookmarkStart w:id="90" w:name="_Toc5890466"/>
      <w:bookmarkStart w:id="91" w:name="_Toc50062192"/>
      <w:bookmarkStart w:id="92" w:name="_Toc63348483"/>
      <w:bookmarkStart w:id="93" w:name="_Toc67598520"/>
      <w:bookmarkStart w:id="94" w:name="_Toc69999209"/>
      <w:bookmarkStart w:id="95" w:name="_Toc73033018"/>
      <w:bookmarkStart w:id="96" w:name="_Toc85125484"/>
      <w:r w:rsidRPr="000C1184">
        <w:rPr>
          <w:rFonts w:ascii="Palatino Linotype" w:hAnsi="Palatino Linotype"/>
          <w:b/>
          <w:lang w:eastAsia="en-US"/>
        </w:rPr>
        <w:t>IV. Condiciones especiales de la clasificación de la información como confidencial.</w:t>
      </w:r>
      <w:bookmarkEnd w:id="89"/>
      <w:bookmarkEnd w:id="90"/>
      <w:bookmarkEnd w:id="91"/>
      <w:bookmarkEnd w:id="92"/>
      <w:bookmarkEnd w:id="93"/>
      <w:bookmarkEnd w:id="94"/>
      <w:bookmarkEnd w:id="95"/>
      <w:bookmarkEnd w:id="96"/>
    </w:p>
    <w:p w14:paraId="307CB9BC" w14:textId="247BDCB2" w:rsidR="009034F4" w:rsidRPr="00CC1AA5" w:rsidRDefault="00CC1AA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 Las disposiciones </w:t>
      </w:r>
      <w:r w:rsidRPr="000C1184">
        <w:rPr>
          <w:rFonts w:ascii="Palatino Linotype" w:hAnsi="Palatino Linotype" w:cs="Arial"/>
          <w:color w:val="000000"/>
          <w:lang w:val="es-ES_tradnl"/>
        </w:rPr>
        <w:t>constitucionales y legales en la materia establecen los dos supuestos generales para clasificar la información: por reserva y por confidencialidad</w:t>
      </w:r>
      <w:r>
        <w:rPr>
          <w:rFonts w:ascii="Palatino Linotype" w:hAnsi="Palatino Linotype" w:cs="Arial"/>
          <w:color w:val="000000"/>
          <w:lang w:val="es-ES_tradnl"/>
        </w:rPr>
        <w:t>.</w:t>
      </w:r>
    </w:p>
    <w:p w14:paraId="3ECE5BE0" w14:textId="77777777" w:rsidR="00CC1AA5" w:rsidRDefault="00CC1AA5" w:rsidP="00CC1A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4EEE34" w14:textId="6C1E125D" w:rsidR="009034F4" w:rsidRPr="00CC1AA5" w:rsidRDefault="00CC1AA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Los </w:t>
      </w:r>
      <w:r w:rsidRPr="000C1184">
        <w:rPr>
          <w:rFonts w:ascii="Palatino Linotype" w:hAnsi="Palatino Linotype" w:cs="Arial"/>
          <w:color w:val="000000"/>
          <w:lang w:val="es-ES_tradnl"/>
        </w:rPr>
        <w:t>artículos 143 y 116 de la Ley Estatal y de la Ley General, respectivamente, señalan los supuestos para que la información pueda ser clasificada como confidencial:</w:t>
      </w:r>
    </w:p>
    <w:p w14:paraId="77DA568C" w14:textId="7EDB1FE5" w:rsidR="00CC1AA5" w:rsidRDefault="00CC1AA5" w:rsidP="00CC1AA5">
      <w:pPr>
        <w:rPr>
          <w:rFonts w:ascii="Palatino Linotype" w:eastAsia="Calibri" w:hAnsi="Palatino Linotype" w:cs="Arial"/>
          <w:color w:val="000000" w:themeColor="text1"/>
          <w:lang w:val="es-ES"/>
        </w:rPr>
      </w:pPr>
    </w:p>
    <w:p w14:paraId="4070CC92" w14:textId="77777777" w:rsidR="00CC1AA5" w:rsidRPr="00CC1AA5" w:rsidRDefault="00CC1AA5" w:rsidP="00CC1AA5">
      <w:pPr>
        <w:widowControl w:val="0"/>
        <w:autoSpaceDE w:val="0"/>
        <w:autoSpaceDN w:val="0"/>
        <w:adjustRightInd w:val="0"/>
        <w:spacing w:after="240"/>
        <w:ind w:left="567" w:right="565"/>
        <w:jc w:val="both"/>
        <w:rPr>
          <w:rFonts w:ascii="Palatino Linotype" w:hAnsi="Palatino Linotype" w:cs="Times"/>
          <w:i/>
          <w:color w:val="000000"/>
          <w:sz w:val="22"/>
          <w:szCs w:val="22"/>
          <w:lang w:val="es-ES_tradnl"/>
        </w:rPr>
      </w:pPr>
      <w:r w:rsidRPr="00CC1AA5">
        <w:rPr>
          <w:rFonts w:ascii="Palatino Linotype" w:hAnsi="Palatino Linotype" w:cs="Bookman Old Style"/>
          <w:bCs/>
          <w:i/>
          <w:color w:val="000000"/>
          <w:sz w:val="22"/>
          <w:szCs w:val="22"/>
          <w:lang w:val="es-ES_tradnl"/>
        </w:rPr>
        <w:t xml:space="preserve">I. </w:t>
      </w:r>
      <w:r w:rsidRPr="00CC1AA5">
        <w:rPr>
          <w:rFonts w:ascii="Palatino Linotype" w:hAnsi="Palatino Linotype" w:cs="Bookman Old Style"/>
          <w:i/>
          <w:color w:val="000000"/>
          <w:sz w:val="22"/>
          <w:szCs w:val="22"/>
          <w:lang w:val="es-ES_tradnl"/>
        </w:rPr>
        <w:t xml:space="preserve">Se refiera a la información privada y los datos personales concernientes a una persona física o jurídico colectiva identificada o identificable; </w:t>
      </w:r>
    </w:p>
    <w:p w14:paraId="4264E4D1" w14:textId="77777777" w:rsidR="00CC1AA5" w:rsidRPr="00CC1AA5" w:rsidRDefault="00CC1AA5" w:rsidP="00CC1AA5">
      <w:pPr>
        <w:widowControl w:val="0"/>
        <w:autoSpaceDE w:val="0"/>
        <w:autoSpaceDN w:val="0"/>
        <w:adjustRightInd w:val="0"/>
        <w:spacing w:after="240"/>
        <w:ind w:left="567" w:right="565"/>
        <w:jc w:val="both"/>
        <w:rPr>
          <w:rFonts w:ascii="Palatino Linotype" w:hAnsi="Palatino Linotype" w:cs="Times"/>
          <w:i/>
          <w:color w:val="000000"/>
          <w:sz w:val="22"/>
          <w:szCs w:val="22"/>
          <w:lang w:val="es-ES_tradnl"/>
        </w:rPr>
      </w:pPr>
      <w:r w:rsidRPr="00CC1AA5">
        <w:rPr>
          <w:rFonts w:ascii="Palatino Linotype" w:hAnsi="Palatino Linotype" w:cs="Bookman Old Style"/>
          <w:bCs/>
          <w:i/>
          <w:color w:val="000000"/>
          <w:sz w:val="22"/>
          <w:szCs w:val="22"/>
          <w:lang w:val="es-ES_tradnl"/>
        </w:rPr>
        <w:t xml:space="preserve">II. </w:t>
      </w:r>
      <w:r w:rsidRPr="00CC1AA5">
        <w:rPr>
          <w:rFonts w:ascii="Palatino Linotype" w:hAnsi="Palatino Linotype" w:cs="Bookman Old Style"/>
          <w:i/>
          <w:color w:val="000000"/>
          <w:sz w:val="22"/>
          <w:szCs w:val="22"/>
          <w:lang w:val="es-ES_tradnl"/>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AAEF5B" w14:textId="77777777" w:rsidR="00CC1AA5" w:rsidRPr="00CC1AA5" w:rsidRDefault="00CC1AA5" w:rsidP="00CC1AA5">
      <w:pPr>
        <w:widowControl w:val="0"/>
        <w:autoSpaceDE w:val="0"/>
        <w:autoSpaceDN w:val="0"/>
        <w:adjustRightInd w:val="0"/>
        <w:spacing w:after="240"/>
        <w:ind w:left="567" w:right="565"/>
        <w:jc w:val="both"/>
        <w:rPr>
          <w:rFonts w:ascii="Palatino Linotype" w:hAnsi="Palatino Linotype" w:cs="Times"/>
          <w:i/>
          <w:color w:val="000000"/>
          <w:sz w:val="22"/>
          <w:szCs w:val="22"/>
          <w:lang w:val="es-ES_tradnl"/>
        </w:rPr>
      </w:pPr>
      <w:r w:rsidRPr="00CC1AA5">
        <w:rPr>
          <w:rFonts w:ascii="Palatino Linotype" w:hAnsi="Palatino Linotype" w:cs="Bookman Old Style"/>
          <w:bCs/>
          <w:i/>
          <w:color w:val="000000"/>
          <w:sz w:val="22"/>
          <w:szCs w:val="22"/>
          <w:lang w:val="es-ES_tradnl"/>
        </w:rPr>
        <w:t xml:space="preserve">III. </w:t>
      </w:r>
      <w:r w:rsidRPr="00CC1AA5">
        <w:rPr>
          <w:rFonts w:ascii="Palatino Linotype" w:hAnsi="Palatino Linotype" w:cs="Bookman Old Style"/>
          <w:i/>
          <w:color w:val="000000"/>
          <w:sz w:val="22"/>
          <w:szCs w:val="22"/>
          <w:lang w:val="es-ES_tradnl"/>
        </w:rPr>
        <w:t xml:space="preserve">La que presenten los particulares a los sujetos obligados, de conformidad con lo dispuesto por las leyes o los tratados internacionales. </w:t>
      </w:r>
    </w:p>
    <w:p w14:paraId="376391D9" w14:textId="6528EF2D" w:rsidR="00CC1AA5" w:rsidRPr="00CC1AA5" w:rsidRDefault="00CC1AA5" w:rsidP="00CC1AA5">
      <w:pPr>
        <w:ind w:left="567" w:right="565"/>
        <w:rPr>
          <w:rFonts w:ascii="Palatino Linotype" w:hAnsi="Palatino Linotype" w:cs="Bookman Old Style"/>
          <w:i/>
          <w:color w:val="000000"/>
          <w:sz w:val="22"/>
          <w:szCs w:val="22"/>
          <w:lang w:val="es-ES_tradnl"/>
        </w:rPr>
      </w:pPr>
      <w:r w:rsidRPr="00CC1AA5">
        <w:rPr>
          <w:rFonts w:ascii="Palatino Linotype" w:hAnsi="Palatino Linotype" w:cs="Bookman Old Style"/>
          <w:i/>
          <w:color w:val="000000"/>
          <w:sz w:val="22"/>
          <w:szCs w:val="22"/>
          <w:lang w:val="es-ES_tradnl"/>
        </w:rPr>
        <w:t>La información confidencial no estará sujeta a temporalidad alguna y sólo podrán tener acceso a ella los titulares de la misma, sus representantes y los servidores públicos facultados para ello.</w:t>
      </w:r>
    </w:p>
    <w:p w14:paraId="6E6C8DCD" w14:textId="0F83D5AB" w:rsidR="00CC1AA5" w:rsidRPr="00CC1AA5" w:rsidRDefault="00CC1AA5" w:rsidP="00CC1AA5">
      <w:pPr>
        <w:widowControl w:val="0"/>
        <w:autoSpaceDE w:val="0"/>
        <w:autoSpaceDN w:val="0"/>
        <w:adjustRightInd w:val="0"/>
        <w:spacing w:after="240"/>
        <w:ind w:left="567" w:right="616"/>
        <w:jc w:val="both"/>
        <w:rPr>
          <w:rFonts w:ascii="Palatino Linotype" w:hAnsi="Palatino Linotype" w:cs="Bookman Old Style"/>
          <w:i/>
          <w:color w:val="000000"/>
          <w:sz w:val="22"/>
          <w:szCs w:val="22"/>
          <w:lang w:val="es-ES_tradnl"/>
        </w:rPr>
      </w:pPr>
      <w:r w:rsidRPr="00CC1AA5">
        <w:rPr>
          <w:rFonts w:ascii="Palatino Linotype" w:hAnsi="Palatino Linotype" w:cs="Bookman Old Style"/>
          <w:i/>
          <w:color w:val="000000"/>
          <w:sz w:val="22"/>
          <w:szCs w:val="22"/>
          <w:lang w:val="es-ES_tradnl"/>
        </w:rPr>
        <w:t xml:space="preserve">No se considerará confidencial la información que se encuentre en los registros públicos o en fuentes de acceso público, ni tampoco la que sea considerada por la presente ley como información pública. </w:t>
      </w:r>
    </w:p>
    <w:p w14:paraId="629670C3" w14:textId="77777777" w:rsidR="00CC1AA5" w:rsidRPr="00CC1AA5" w:rsidRDefault="00CC1AA5" w:rsidP="00CC1AA5">
      <w:pPr>
        <w:rPr>
          <w:rFonts w:ascii="Palatino Linotype" w:eastAsia="Calibri" w:hAnsi="Palatino Linotype" w:cs="Arial"/>
          <w:color w:val="000000" w:themeColor="text1"/>
          <w:lang w:val="es-ES"/>
        </w:rPr>
      </w:pPr>
    </w:p>
    <w:p w14:paraId="58B3769D" w14:textId="7BD89A54" w:rsidR="00CC1AA5" w:rsidRPr="00CC1AA5" w:rsidRDefault="00CC1AA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Mientras que los </w:t>
      </w:r>
      <w:r w:rsidRPr="000C1184">
        <w:rPr>
          <w:rFonts w:ascii="Palatino Linotype" w:hAnsi="Palatino Linotype" w:cs="Arial"/>
          <w:color w:val="000000"/>
          <w:lang w:val="es-ES_tradnl"/>
        </w:rPr>
        <w:t>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FA574A3" w14:textId="77777777" w:rsidR="00CC1AA5" w:rsidRDefault="00CC1AA5" w:rsidP="00CC1A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F751E2" w14:textId="78002C83" w:rsidR="009034F4" w:rsidRPr="00CC1AA5" w:rsidRDefault="00CC1AA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Como </w:t>
      </w:r>
      <w:r w:rsidRPr="000C1184">
        <w:rPr>
          <w:rFonts w:ascii="Palatino Linotype" w:hAnsi="Palatino Linotype" w:cs="Arial"/>
          <w:color w:val="000000"/>
          <w:lang w:val="es-ES_tradnl"/>
        </w:rPr>
        <w:t xml:space="preserve">consecuencia de lo anterior, el </w:t>
      </w:r>
      <w:r w:rsidRPr="000C1184">
        <w:rPr>
          <w:rFonts w:ascii="Palatino Linotype" w:hAnsi="Palatino Linotype" w:cs="Arial"/>
          <w:b/>
          <w:color w:val="000000"/>
          <w:lang w:val="es-ES_tradnl"/>
        </w:rPr>
        <w:t>SUJETO OBLIGADO</w:t>
      </w:r>
      <w:r w:rsidRPr="000C1184">
        <w:rPr>
          <w:rFonts w:ascii="Palatino Linotype" w:hAnsi="Palatino Linotype" w:cs="Arial"/>
          <w:color w:val="000000"/>
          <w:lang w:val="es-ES_tradnl"/>
        </w:rPr>
        <w:t xml:space="preserve"> debe identificar claramente el tipo de información y hacer un juicio de subsunción o encaje</w:t>
      </w:r>
      <w:r w:rsidRPr="000C1184">
        <w:rPr>
          <w:rFonts w:ascii="Palatino Linotype" w:hAnsi="Palatino Linotype"/>
          <w:vertAlign w:val="superscript"/>
          <w:lang w:val="es-ES_tradnl"/>
        </w:rPr>
        <w:footnoteReference w:id="6"/>
      </w:r>
      <w:r w:rsidRPr="000C1184">
        <w:rPr>
          <w:rFonts w:ascii="Palatino Linotype" w:hAnsi="Palatino Linotype" w:cs="Arial"/>
          <w:color w:val="000000"/>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39B88FEE" w14:textId="77777777" w:rsidR="00CC1AA5" w:rsidRDefault="00CC1AA5" w:rsidP="00CC1A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85CC48" w14:textId="793ABAAF" w:rsidR="009034F4" w:rsidRDefault="00CC1AA5"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Una </w:t>
      </w:r>
      <w:r w:rsidRPr="000C1184">
        <w:rPr>
          <w:rFonts w:ascii="Palatino Linotype" w:hAnsi="Palatino Linotype" w:cs="Arial"/>
          <w:color w:val="000000"/>
          <w:lang w:val="es-ES_tradnl"/>
        </w:rPr>
        <w:t>vez hecho lo anterior, se remite la información al Titular de la Unidad de Transparencia, con el acuerdo de clasificación correspondiente, para que sea sometido al conocimiento del Comité de Transparencia.</w:t>
      </w:r>
    </w:p>
    <w:p w14:paraId="51104E1D" w14:textId="242C6525" w:rsidR="009034F4" w:rsidRDefault="009034F4" w:rsidP="004865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7242210" w14:textId="5ADC74D9" w:rsidR="0048655D" w:rsidRPr="0048655D" w:rsidRDefault="0048655D" w:rsidP="0048655D">
      <w:pPr>
        <w:keepNext/>
        <w:keepLines/>
        <w:spacing w:before="40" w:line="360" w:lineRule="auto"/>
        <w:outlineLvl w:val="1"/>
        <w:rPr>
          <w:rFonts w:ascii="Palatino Linotype" w:eastAsia="MS Mincho" w:hAnsi="Palatino Linotype"/>
          <w:b/>
          <w:color w:val="000000"/>
          <w:lang w:val="es-ES_tradnl"/>
        </w:rPr>
      </w:pPr>
      <w:bookmarkStart w:id="97" w:name="_Toc67588008"/>
      <w:bookmarkStart w:id="98" w:name="_Toc68804770"/>
      <w:bookmarkStart w:id="99" w:name="_Toc85125487"/>
      <w:r w:rsidRPr="000C1184">
        <w:rPr>
          <w:rFonts w:ascii="Palatino Linotype" w:eastAsia="MS Mincho" w:hAnsi="Palatino Linotype"/>
          <w:b/>
          <w:color w:val="000000"/>
          <w:lang w:val="es-ES_tradnl"/>
        </w:rPr>
        <w:t>SEXTO. De la decisión.</w:t>
      </w:r>
      <w:bookmarkEnd w:id="97"/>
      <w:bookmarkEnd w:id="98"/>
      <w:bookmarkEnd w:id="99"/>
      <w:r w:rsidRPr="000C1184">
        <w:rPr>
          <w:rFonts w:ascii="Palatino Linotype" w:eastAsia="MS Mincho" w:hAnsi="Palatino Linotype"/>
          <w:b/>
          <w:color w:val="000000"/>
          <w:lang w:val="es-ES_tradnl"/>
        </w:rPr>
        <w:t xml:space="preserve"> </w:t>
      </w:r>
    </w:p>
    <w:p w14:paraId="2A5E92FC" w14:textId="42EC4011" w:rsidR="0099101B" w:rsidRPr="0048655D" w:rsidRDefault="00F344EE" w:rsidP="000D41A2">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8655D">
        <w:rPr>
          <w:rFonts w:ascii="Palatino Linotype" w:eastAsia="Calibri" w:hAnsi="Palatino Linotype" w:cs="Arial"/>
          <w:color w:val="000000" w:themeColor="text1"/>
          <w:lang w:val="es-ES"/>
        </w:rPr>
        <w:t xml:space="preserve">Con </w:t>
      </w:r>
      <w:r w:rsidR="0048655D" w:rsidRPr="000C1184">
        <w:rPr>
          <w:rFonts w:ascii="Palatino Linotype" w:hAnsi="Palatino Linotype" w:cs="Tahoma"/>
        </w:rPr>
        <w:t xml:space="preserve">base en todo lo expuesto, y con fundamento en el artículo 186, fracción III, de la Ley de Transparencia y Acceso a la Información Pública del Estado de México </w:t>
      </w:r>
      <w:r w:rsidR="0048655D" w:rsidRPr="000C1184">
        <w:rPr>
          <w:rFonts w:ascii="Palatino Linotype" w:hAnsi="Palatino Linotype" w:cs="Tahoma"/>
        </w:rPr>
        <w:lastRenderedPageBreak/>
        <w:t>y Municipios, este Instituto considera procedente</w:t>
      </w:r>
      <w:r w:rsidR="0048655D" w:rsidRPr="000C1184">
        <w:rPr>
          <w:rFonts w:ascii="Palatino Linotype" w:hAnsi="Palatino Linotype" w:cs="Tahoma"/>
          <w:b/>
        </w:rPr>
        <w:t xml:space="preserve"> REVOCAR </w:t>
      </w:r>
      <w:r w:rsidR="0048655D" w:rsidRPr="000C1184">
        <w:rPr>
          <w:rFonts w:ascii="Palatino Linotype" w:hAnsi="Palatino Linotype" w:cs="Tahoma"/>
        </w:rPr>
        <w:t xml:space="preserve">la respuesta otorgada por la </w:t>
      </w:r>
      <w:r w:rsidR="0048655D">
        <w:rPr>
          <w:rFonts w:ascii="Palatino Linotype" w:hAnsi="Palatino Linotype" w:cs="Tahoma"/>
          <w:b/>
        </w:rPr>
        <w:t>Fiscalía General de Justicia del Estado de México</w:t>
      </w:r>
      <w:r w:rsidR="0048655D" w:rsidRPr="000C1184">
        <w:rPr>
          <w:rFonts w:ascii="Palatino Linotype" w:hAnsi="Palatino Linotype" w:cs="Tahoma"/>
          <w:b/>
        </w:rPr>
        <w:t xml:space="preserve"> </w:t>
      </w:r>
      <w:r w:rsidR="0048655D" w:rsidRPr="000C1184">
        <w:rPr>
          <w:rFonts w:ascii="Palatino Linotype" w:eastAsia="MS Mincho" w:hAnsi="Palatino Linotype"/>
          <w:lang w:val="es-ES_tradnl"/>
        </w:rPr>
        <w:t xml:space="preserve">y ordenar la entrega de los documentos donde conste la información </w:t>
      </w:r>
      <w:r w:rsidR="0048655D">
        <w:rPr>
          <w:rFonts w:ascii="Palatino Linotype" w:eastAsia="MS Mincho" w:hAnsi="Palatino Linotype"/>
          <w:lang w:val="es-ES_tradnl"/>
        </w:rPr>
        <w:t>requerida por la Particular.</w:t>
      </w:r>
    </w:p>
    <w:p w14:paraId="029C65FC" w14:textId="77777777" w:rsidR="0048655D" w:rsidRPr="0048655D" w:rsidRDefault="0048655D" w:rsidP="0048655D">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9AE9684" w14:textId="72EBD942" w:rsidR="00F24D34" w:rsidRDefault="00066A7E" w:rsidP="00730AC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rPr>
        <mc:AlternateContent>
          <mc:Choice Requires="wps">
            <w:drawing>
              <wp:anchor distT="0" distB="0" distL="114300" distR="114300" simplePos="0" relativeHeight="251682816" behindDoc="0" locked="0" layoutInCell="1" allowOverlap="1" wp14:anchorId="169F7A12" wp14:editId="3F92947B">
                <wp:simplePos x="0" y="0"/>
                <wp:positionH relativeFrom="margin">
                  <wp:posOffset>43108</wp:posOffset>
                </wp:positionH>
                <wp:positionV relativeFrom="paragraph">
                  <wp:posOffset>570159</wp:posOffset>
                </wp:positionV>
                <wp:extent cx="5593645" cy="5719234"/>
                <wp:effectExtent l="50800" t="38100" r="45720" b="72390"/>
                <wp:wrapNone/>
                <wp:docPr id="30" name="Conector recto 30"/>
                <wp:cNvGraphicFramePr/>
                <a:graphic xmlns:a="http://schemas.openxmlformats.org/drawingml/2006/main">
                  <a:graphicData uri="http://schemas.microsoft.com/office/word/2010/wordprocessingShape">
                    <wps:wsp>
                      <wps:cNvCnPr/>
                      <wps:spPr>
                        <a:xfrm>
                          <a:off x="0" y="0"/>
                          <a:ext cx="5593645" cy="5719234"/>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362918" id="Conector recto 30"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pt,44.9pt" to="443.85pt,49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" strokecolor="#4f81bd [3204]" strokeweight="2pt">
                <v:shadow on="t" color="black" opacity="24903f" origin=",.5" offset="0,.55556mm"/>
                <w10:wrap anchorx="margin"/>
              </v:line>
            </w:pict>
          </mc:Fallback>
        </mc:AlternateContent>
      </w:r>
      <w:r w:rsidR="00F45BE1">
        <w:rPr>
          <w:rFonts w:ascii="Palatino Linotype" w:eastAsia="Calibri" w:hAnsi="Palatino Linotype" w:cs="Arial"/>
          <w:color w:val="000000" w:themeColor="text1"/>
          <w:lang w:val="es-ES"/>
        </w:rPr>
        <w:t xml:space="preserve">Por lo anteriormente expuesto y fundado, este </w:t>
      </w:r>
      <w:r w:rsidR="00F45BE1" w:rsidRPr="002F265F">
        <w:rPr>
          <w:rFonts w:ascii="Palatino Linotype" w:eastAsia="Calibri" w:hAnsi="Palatino Linotype" w:cs="Arial"/>
          <w:b/>
          <w:color w:val="000000" w:themeColor="text1"/>
          <w:lang w:val="es-ES"/>
        </w:rPr>
        <w:t>ÓRGANO GARANTE</w:t>
      </w:r>
      <w:r w:rsidR="00F45BE1">
        <w:rPr>
          <w:rFonts w:ascii="Palatino Linotype" w:eastAsia="Calibri" w:hAnsi="Palatino Linotype" w:cs="Arial"/>
          <w:color w:val="000000" w:themeColor="text1"/>
          <w:lang w:val="es-ES"/>
        </w:rPr>
        <w:t xml:space="preserve"> emite los siguientes:</w:t>
      </w:r>
    </w:p>
    <w:p w14:paraId="22F1DC4E" w14:textId="7C62A6B0" w:rsidR="0074759C" w:rsidRDefault="0074759C"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FA197F5" w14:textId="254F931B" w:rsidR="0048655D" w:rsidRDefault="0048655D"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8CB4B72" w14:textId="2A1A500C" w:rsidR="0048655D" w:rsidRDefault="0048655D"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E7DAB1C" w14:textId="461A2757" w:rsidR="0048655D" w:rsidRDefault="0048655D"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4640A19" w14:textId="3CE44496" w:rsidR="0048655D" w:rsidRDefault="0048655D"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C2810BA" w14:textId="48166811" w:rsidR="0048655D" w:rsidRDefault="0048655D"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A32C5E" w14:textId="6DB76DBF" w:rsidR="0048655D" w:rsidRDefault="0048655D"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0FA172C" w14:textId="0557C449"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311DB12" w14:textId="2F0DFE02"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D65C9B" w14:textId="28AB83E5"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EFBD02" w14:textId="4632E73E"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9DE167B" w14:textId="4811482C"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A0A9181" w14:textId="627CF3AD"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E9D30AD" w14:textId="77777777" w:rsidR="00ED0348" w:rsidRDefault="00ED0348"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48BB365" w14:textId="53D62954" w:rsidR="00D27D9F" w:rsidRPr="0099101B" w:rsidRDefault="00D27D9F" w:rsidP="0099101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342ADFB" w14:textId="6BDE5430" w:rsidR="00A345A3" w:rsidRPr="005D4F86" w:rsidRDefault="00A345A3" w:rsidP="0099101B">
      <w:pPr>
        <w:pStyle w:val="Ttulo2"/>
        <w:jc w:val="center"/>
        <w:rPr>
          <w:rFonts w:ascii="Palatino Linotype" w:hAnsi="Palatino Linotype"/>
          <w:b/>
          <w:color w:val="000000" w:themeColor="text1"/>
          <w:sz w:val="24"/>
          <w:szCs w:val="24"/>
          <w:lang w:val="es-ES"/>
        </w:rPr>
      </w:pPr>
      <w:bookmarkStart w:id="100" w:name="_Toc504500693"/>
      <w:bookmarkStart w:id="101" w:name="_Toc534742545"/>
      <w:bookmarkStart w:id="102" w:name="_Toc2248738"/>
      <w:bookmarkStart w:id="103" w:name="_Toc85734231"/>
      <w:r w:rsidRPr="005D4F86">
        <w:rPr>
          <w:rFonts w:ascii="Palatino Linotype" w:hAnsi="Palatino Linotype"/>
          <w:b/>
          <w:color w:val="000000" w:themeColor="text1"/>
          <w:sz w:val="24"/>
          <w:szCs w:val="24"/>
          <w:lang w:val="es-ES"/>
        </w:rPr>
        <w:lastRenderedPageBreak/>
        <w:t>R E S O L U T I V O S</w:t>
      </w:r>
      <w:bookmarkEnd w:id="100"/>
      <w:bookmarkEnd w:id="101"/>
      <w:bookmarkEnd w:id="102"/>
      <w:bookmarkEnd w:id="103"/>
    </w:p>
    <w:p w14:paraId="70193EA3" w14:textId="77777777" w:rsidR="00A345A3" w:rsidRPr="00C1682A" w:rsidRDefault="00A345A3" w:rsidP="0099101B">
      <w:pPr>
        <w:spacing w:line="360" w:lineRule="auto"/>
        <w:jc w:val="both"/>
        <w:rPr>
          <w:rFonts w:ascii="Palatino Linotype" w:hAnsi="Palatino Linotype"/>
          <w:lang w:val="es-ES"/>
        </w:rPr>
      </w:pPr>
    </w:p>
    <w:p w14:paraId="29563BDE" w14:textId="77DFF58F" w:rsidR="00EE04E9" w:rsidRPr="0097327A" w:rsidRDefault="00DB2B46" w:rsidP="0099101B">
      <w:pPr>
        <w:spacing w:line="360" w:lineRule="auto"/>
        <w:jc w:val="both"/>
        <w:rPr>
          <w:rFonts w:ascii="Palatino Linotype" w:eastAsiaTheme="minorEastAsia" w:hAnsi="Palatino Linotype" w:cs="Arial"/>
          <w:bCs/>
          <w:lang w:val="es-ES_tradnl"/>
        </w:rPr>
      </w:pPr>
      <w:r w:rsidRPr="00C1682A">
        <w:rPr>
          <w:rFonts w:ascii="Palatino Linotype" w:hAnsi="Palatino Linotype" w:cs="Arial"/>
          <w:b/>
        </w:rPr>
        <w:t xml:space="preserve">PRIMERO. </w:t>
      </w:r>
      <w:r w:rsidRPr="00C1682A">
        <w:rPr>
          <w:rFonts w:ascii="Palatino Linotype" w:hAnsi="Palatino Linotype" w:cs="Arial"/>
        </w:rPr>
        <w:t xml:space="preserve">Resultan </w:t>
      </w:r>
      <w:r w:rsidR="0048655D" w:rsidRPr="000C1184">
        <w:rPr>
          <w:rFonts w:ascii="Palatino Linotype" w:hAnsi="Palatino Linotype" w:cs="Arial"/>
          <w:lang w:val="es-ES_tradnl"/>
        </w:rPr>
        <w:t>fundadas las</w:t>
      </w:r>
      <w:r w:rsidR="0048655D" w:rsidRPr="000C1184">
        <w:rPr>
          <w:rFonts w:ascii="Palatino Linotype" w:hAnsi="Palatino Linotype" w:cs="Arial"/>
          <w:b/>
          <w:lang w:val="es-ES_tradnl"/>
        </w:rPr>
        <w:t xml:space="preserve"> </w:t>
      </w:r>
      <w:r w:rsidR="0048655D" w:rsidRPr="000C1184">
        <w:rPr>
          <w:rFonts w:ascii="Palatino Linotype" w:hAnsi="Palatino Linotype" w:cs="Arial"/>
          <w:lang w:val="es-ES_tradnl"/>
        </w:rPr>
        <w:t xml:space="preserve">razones y motivos de inconformidad hechos valer </w:t>
      </w:r>
      <w:r w:rsidR="0048655D" w:rsidRPr="000C1184">
        <w:rPr>
          <w:rFonts w:ascii="Palatino Linotype" w:eastAsia="Calibri" w:hAnsi="Palatino Linotype" w:cs="Arial"/>
          <w:lang w:val="es-ES_tradnl"/>
        </w:rPr>
        <w:t xml:space="preserve">en el recurso de revisión </w:t>
      </w:r>
      <w:r w:rsidR="0048655D" w:rsidRPr="000C1184">
        <w:rPr>
          <w:rFonts w:ascii="Palatino Linotype" w:eastAsia="Calibri" w:hAnsi="Palatino Linotype" w:cs="Arial"/>
          <w:b/>
          <w:lang w:val="es-ES_tradnl"/>
        </w:rPr>
        <w:t>0</w:t>
      </w:r>
      <w:r w:rsidR="0048655D">
        <w:rPr>
          <w:rFonts w:ascii="Palatino Linotype" w:eastAsia="Calibri" w:hAnsi="Palatino Linotype" w:cs="Arial"/>
          <w:b/>
          <w:lang w:val="es-ES_tradnl"/>
        </w:rPr>
        <w:t>4523</w:t>
      </w:r>
      <w:r w:rsidR="0048655D" w:rsidRPr="000C1184">
        <w:rPr>
          <w:rFonts w:ascii="Palatino Linotype" w:eastAsia="Calibri" w:hAnsi="Palatino Linotype" w:cs="Arial"/>
          <w:b/>
          <w:lang w:val="es-ES_tradnl"/>
        </w:rPr>
        <w:t>/INFOEM/IP/RR/2021</w:t>
      </w:r>
      <w:r w:rsidR="0048655D" w:rsidRPr="000C1184">
        <w:rPr>
          <w:rFonts w:ascii="Palatino Linotype" w:eastAsiaTheme="minorEastAsia" w:hAnsi="Palatino Linotype" w:cs="Arial"/>
          <w:b/>
          <w:bCs/>
          <w:lang w:val="es-ES_tradnl"/>
        </w:rPr>
        <w:t xml:space="preserve">, </w:t>
      </w:r>
      <w:r w:rsidR="0048655D" w:rsidRPr="000C1184">
        <w:rPr>
          <w:rFonts w:ascii="Palatino Linotype" w:eastAsiaTheme="minorEastAsia" w:hAnsi="Palatino Linotype" w:cs="Arial"/>
          <w:bCs/>
          <w:lang w:val="es-ES_tradnl"/>
        </w:rPr>
        <w:t xml:space="preserve">en términos de los </w:t>
      </w:r>
      <w:r w:rsidR="0048655D" w:rsidRPr="000C1184">
        <w:rPr>
          <w:rFonts w:ascii="Palatino Linotype" w:eastAsiaTheme="minorEastAsia" w:hAnsi="Palatino Linotype" w:cs="Arial"/>
          <w:b/>
          <w:bCs/>
          <w:lang w:val="es-ES_tradnl"/>
        </w:rPr>
        <w:t>Considerandos</w:t>
      </w:r>
      <w:r w:rsidR="0048655D" w:rsidRPr="000C1184">
        <w:rPr>
          <w:rFonts w:ascii="Palatino Linotype" w:eastAsiaTheme="minorEastAsia" w:hAnsi="Palatino Linotype" w:cs="Arial"/>
          <w:bCs/>
          <w:lang w:val="es-ES_tradnl"/>
        </w:rPr>
        <w:t xml:space="preserve"> </w:t>
      </w:r>
      <w:r w:rsidR="0048655D" w:rsidRPr="000C1184">
        <w:rPr>
          <w:rFonts w:ascii="Palatino Linotype" w:eastAsiaTheme="minorEastAsia" w:hAnsi="Palatino Linotype" w:cs="Arial"/>
          <w:b/>
          <w:bCs/>
          <w:lang w:val="es-ES_tradnl"/>
        </w:rPr>
        <w:t xml:space="preserve">CUARTO y QUINTO </w:t>
      </w:r>
      <w:r w:rsidR="0048655D" w:rsidRPr="000C1184">
        <w:rPr>
          <w:rFonts w:ascii="Palatino Linotype" w:eastAsiaTheme="minorEastAsia" w:hAnsi="Palatino Linotype" w:cs="Arial"/>
          <w:bCs/>
          <w:lang w:val="es-ES_tradnl"/>
        </w:rPr>
        <w:t>de la presente resolución.</w:t>
      </w:r>
    </w:p>
    <w:p w14:paraId="29928B89" w14:textId="7ECB1653" w:rsidR="00FF078C" w:rsidRDefault="00DB2B46" w:rsidP="00FF078C">
      <w:pPr>
        <w:spacing w:before="240" w:after="240" w:line="360" w:lineRule="auto"/>
        <w:jc w:val="both"/>
        <w:rPr>
          <w:rFonts w:ascii="Palatino Linotype" w:eastAsia="MS Mincho" w:hAnsi="Palatino Linotype" w:cs="Arial"/>
        </w:rPr>
      </w:pPr>
      <w:r w:rsidRPr="00C1682A">
        <w:rPr>
          <w:rFonts w:ascii="Palatino Linotype" w:hAnsi="Palatino Linotype"/>
          <w:b/>
        </w:rPr>
        <w:t>SEGUNDO.</w:t>
      </w:r>
      <w:r w:rsidRPr="00C1682A">
        <w:rPr>
          <w:rStyle w:val="Ttulo2Car"/>
          <w:rFonts w:ascii="Palatino Linotype" w:hAnsi="Palatino Linotype"/>
          <w:b/>
          <w:sz w:val="24"/>
          <w:szCs w:val="24"/>
        </w:rPr>
        <w:t xml:space="preserve"> </w:t>
      </w:r>
      <w:r w:rsidRPr="00C1682A">
        <w:rPr>
          <w:rFonts w:ascii="Palatino Linotype" w:eastAsia="Calibri" w:hAnsi="Palatino Linotype" w:cs="Arial"/>
          <w:lang w:val="es-ES"/>
        </w:rPr>
        <w:t>Se</w:t>
      </w:r>
      <w:r w:rsidRPr="00C1682A">
        <w:rPr>
          <w:rFonts w:ascii="Palatino Linotype" w:eastAsia="Calibri" w:hAnsi="Palatino Linotype" w:cs="Arial"/>
          <w:b/>
          <w:lang w:val="es-ES"/>
        </w:rPr>
        <w:t xml:space="preserve"> </w:t>
      </w:r>
      <w:r w:rsidR="0048655D" w:rsidRPr="000C1184">
        <w:rPr>
          <w:rFonts w:ascii="Palatino Linotype" w:eastAsia="Calibri" w:hAnsi="Palatino Linotype" w:cs="Arial"/>
          <w:b/>
          <w:lang w:val="es-ES_tradnl"/>
        </w:rPr>
        <w:t xml:space="preserve">REVOCA </w:t>
      </w:r>
      <w:r w:rsidR="0048655D" w:rsidRPr="000C1184">
        <w:rPr>
          <w:rFonts w:ascii="Palatino Linotype" w:eastAsia="Calibri" w:hAnsi="Palatino Linotype" w:cs="Arial"/>
          <w:lang w:val="es-ES_tradnl"/>
        </w:rPr>
        <w:t xml:space="preserve">la respuesta emitida por la </w:t>
      </w:r>
      <w:r w:rsidR="0048655D">
        <w:rPr>
          <w:rFonts w:ascii="Palatino Linotype" w:eastAsia="Calibri" w:hAnsi="Palatino Linotype" w:cs="Arial"/>
          <w:b/>
          <w:lang w:val="es-ES_tradnl"/>
        </w:rPr>
        <w:t>Fiscalía General de Justicia del Estado de México</w:t>
      </w:r>
      <w:r w:rsidR="0048655D" w:rsidRPr="000C1184">
        <w:rPr>
          <w:rFonts w:ascii="Palatino Linotype" w:eastAsia="Calibri" w:hAnsi="Palatino Linotype" w:cs="Arial"/>
          <w:b/>
          <w:lang w:val="es-ES_tradnl"/>
        </w:rPr>
        <w:t xml:space="preserve"> </w:t>
      </w:r>
      <w:r w:rsidR="0048655D" w:rsidRPr="000C1184">
        <w:rPr>
          <w:rFonts w:ascii="Palatino Linotype" w:eastAsia="Calibri" w:hAnsi="Palatino Linotype" w:cs="Arial"/>
          <w:lang w:val="es-ES_tradnl"/>
        </w:rPr>
        <w:t>y se</w:t>
      </w:r>
      <w:r w:rsidR="0048655D" w:rsidRPr="000C1184">
        <w:rPr>
          <w:rFonts w:ascii="Palatino Linotype" w:eastAsia="Calibri" w:hAnsi="Palatino Linotype" w:cs="Arial"/>
          <w:b/>
          <w:lang w:val="es-ES_tradnl"/>
        </w:rPr>
        <w:t xml:space="preserve"> ORDENA </w:t>
      </w:r>
      <w:r w:rsidR="0048655D" w:rsidRPr="000C1184">
        <w:rPr>
          <w:rFonts w:ascii="Palatino Linotype" w:hAnsi="Palatino Linotype" w:cs="Arial"/>
          <w:lang w:val="es-ES_tradnl"/>
        </w:rPr>
        <w:t xml:space="preserve">entregar vía Sistema de Acceso a la Información Mexiquense </w:t>
      </w:r>
      <w:r w:rsidR="0048655D" w:rsidRPr="000C1184">
        <w:rPr>
          <w:rFonts w:ascii="Palatino Linotype" w:hAnsi="Palatino Linotype" w:cs="Arial"/>
          <w:b/>
          <w:lang w:val="es-ES_tradnl"/>
        </w:rPr>
        <w:t xml:space="preserve">(SAIMEX), </w:t>
      </w:r>
      <w:r w:rsidR="0048655D">
        <w:rPr>
          <w:rFonts w:ascii="Palatino Linotype" w:hAnsi="Palatino Linotype" w:cs="Arial"/>
          <w:lang w:val="es-ES_tradnl"/>
        </w:rPr>
        <w:t xml:space="preserve">previa </w:t>
      </w:r>
      <w:r w:rsidR="0048655D" w:rsidRPr="000C1184">
        <w:rPr>
          <w:rFonts w:ascii="Palatino Linotype" w:hAnsi="Palatino Linotype" w:cs="Arial"/>
          <w:lang w:val="es-ES_tradnl"/>
        </w:rPr>
        <w:t>búsqueda exhaustiva</w:t>
      </w:r>
      <w:r w:rsidR="0048655D">
        <w:rPr>
          <w:rFonts w:ascii="Palatino Linotype" w:hAnsi="Palatino Linotype" w:cs="Arial"/>
          <w:lang w:val="es-ES_tradnl"/>
        </w:rPr>
        <w:t xml:space="preserve"> y razonable</w:t>
      </w:r>
      <w:r w:rsidR="0048655D" w:rsidRPr="000C1184">
        <w:rPr>
          <w:rFonts w:ascii="Palatino Linotype" w:hAnsi="Palatino Linotype" w:cs="Arial"/>
          <w:b/>
          <w:lang w:val="es-ES_tradnl"/>
        </w:rPr>
        <w:t>,</w:t>
      </w:r>
      <w:r w:rsidR="0048655D" w:rsidRPr="000C1184">
        <w:rPr>
          <w:rFonts w:ascii="Palatino Linotype" w:eastAsia="MS Mincho" w:hAnsi="Palatino Linotype" w:cs="Arial"/>
          <w:color w:val="000000" w:themeColor="text1"/>
        </w:rPr>
        <w:t xml:space="preserve"> de ser procedente en versión pública, </w:t>
      </w:r>
      <w:r w:rsidR="0097327A">
        <w:rPr>
          <w:rFonts w:ascii="Palatino Linotype" w:eastAsia="MS Mincho" w:hAnsi="Palatino Linotype" w:cs="Arial"/>
          <w:color w:val="000000" w:themeColor="text1"/>
        </w:rPr>
        <w:t xml:space="preserve">los documentos donde </w:t>
      </w:r>
      <w:r w:rsidR="0048655D">
        <w:rPr>
          <w:rFonts w:ascii="Palatino Linotype" w:eastAsia="MS Mincho" w:hAnsi="Palatino Linotype" w:cs="Arial"/>
        </w:rPr>
        <w:t>lo siguiente:</w:t>
      </w:r>
    </w:p>
    <w:p w14:paraId="76E71C6C" w14:textId="77777777" w:rsidR="00FF078C" w:rsidRDefault="00FF078C" w:rsidP="0097327A">
      <w:pPr>
        <w:spacing w:before="240" w:after="240" w:line="360" w:lineRule="auto"/>
        <w:ind w:right="565"/>
        <w:jc w:val="both"/>
        <w:rPr>
          <w:rFonts w:ascii="Palatino Linotype" w:eastAsia="MS Mincho" w:hAnsi="Palatino Linotype" w:cs="Arial"/>
        </w:rPr>
      </w:pPr>
    </w:p>
    <w:p w14:paraId="68B46E8B" w14:textId="5E6DF446" w:rsidR="00FF078C" w:rsidRDefault="0097327A" w:rsidP="0097327A">
      <w:pPr>
        <w:spacing w:before="240" w:after="240" w:line="360" w:lineRule="auto"/>
        <w:ind w:left="567" w:right="565"/>
        <w:jc w:val="both"/>
        <w:rPr>
          <w:rFonts w:ascii="Palatino Linotype" w:eastAsia="Calibri" w:hAnsi="Palatino Linotype" w:cs="Arial"/>
          <w:b/>
          <w:bCs/>
          <w:color w:val="000000" w:themeColor="text1"/>
          <w:lang w:val="es-ES"/>
        </w:rPr>
      </w:pPr>
      <w:r>
        <w:rPr>
          <w:rFonts w:ascii="Palatino Linotype" w:eastAsia="Calibri" w:hAnsi="Palatino Linotype" w:cs="Arial"/>
          <w:b/>
          <w:bCs/>
          <w:color w:val="000000" w:themeColor="text1"/>
          <w:lang w:val="es-ES"/>
        </w:rPr>
        <w:t>R</w:t>
      </w:r>
      <w:r w:rsidR="00FF078C" w:rsidRPr="00FF078C">
        <w:rPr>
          <w:rFonts w:ascii="Palatino Linotype" w:eastAsia="Calibri" w:hAnsi="Palatino Linotype" w:cs="Arial"/>
          <w:b/>
          <w:bCs/>
          <w:color w:val="000000" w:themeColor="text1"/>
          <w:lang w:val="es-ES"/>
        </w:rPr>
        <w:t xml:space="preserve">elación de hallazgos </w:t>
      </w:r>
      <w:r w:rsidRPr="00EF022E">
        <w:rPr>
          <w:rFonts w:ascii="Palatino Linotype" w:eastAsia="Calibri" w:hAnsi="Palatino Linotype" w:cs="Arial"/>
          <w:b/>
          <w:bCs/>
          <w:color w:val="000000" w:themeColor="text1"/>
          <w:lang w:val="es-ES"/>
        </w:rPr>
        <w:t xml:space="preserve">en el Gran Canal del Estado de México, reportados </w:t>
      </w:r>
      <w:r w:rsidR="002C04D4">
        <w:rPr>
          <w:rFonts w:ascii="Palatino Linotype" w:eastAsia="Calibri" w:hAnsi="Palatino Linotype" w:cs="Arial"/>
          <w:b/>
          <w:bCs/>
          <w:color w:val="000000" w:themeColor="text1"/>
          <w:lang w:val="es-ES"/>
        </w:rPr>
        <w:t>por la Comisión de Búsqueda de Personas del Estado de México (COBUPEM), del 17 de abril de 2018 al 16 de agosto de 2021.</w:t>
      </w:r>
    </w:p>
    <w:p w14:paraId="72DFE82E" w14:textId="77777777" w:rsidR="0097327A" w:rsidRPr="0097327A" w:rsidRDefault="0097327A" w:rsidP="0097327A">
      <w:pPr>
        <w:spacing w:before="240" w:after="240" w:line="360" w:lineRule="auto"/>
        <w:ind w:right="565"/>
        <w:jc w:val="both"/>
        <w:rPr>
          <w:rFonts w:ascii="Palatino Linotype" w:eastAsia="Calibri" w:hAnsi="Palatino Linotype" w:cs="Arial"/>
          <w:b/>
          <w:bCs/>
          <w:color w:val="000000" w:themeColor="text1"/>
          <w:lang w:val="es-ES"/>
        </w:rPr>
      </w:pPr>
    </w:p>
    <w:p w14:paraId="2CB8D865" w14:textId="7556FEA8" w:rsidR="00EE04E9" w:rsidRDefault="0048655D" w:rsidP="00ED0348">
      <w:pPr>
        <w:tabs>
          <w:tab w:val="left" w:pos="142"/>
        </w:tabs>
        <w:spacing w:before="240" w:after="240" w:line="360" w:lineRule="auto"/>
        <w:ind w:right="-2"/>
        <w:jc w:val="both"/>
        <w:rPr>
          <w:rFonts w:ascii="Palatino Linotype" w:eastAsia="Calibri" w:hAnsi="Palatino Linotype" w:cs="Arial"/>
          <w:lang w:val="es-ES_tradnl"/>
        </w:rPr>
      </w:pPr>
      <w:r w:rsidRPr="000C1184">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w:t>
      </w:r>
      <w:r w:rsidRPr="000C1184">
        <w:rPr>
          <w:rFonts w:ascii="Palatino Linotype" w:eastAsia="Calibri" w:hAnsi="Palatino Linotype" w:cs="Arial"/>
          <w:lang w:val="es-ES_tradnl"/>
        </w:rPr>
        <w:lastRenderedPageBreak/>
        <w:t xml:space="preserve">eliminen dentro del soporte documental respectivo objeto de las versiones públicas que se formulen y se ponga a disposición del recurrente. </w:t>
      </w:r>
    </w:p>
    <w:p w14:paraId="0B1FF9EF" w14:textId="5DD20E08" w:rsidR="00ED0348" w:rsidRPr="00ED0348" w:rsidRDefault="00ED0348" w:rsidP="009C66AA">
      <w:pPr>
        <w:tabs>
          <w:tab w:val="left" w:pos="142"/>
        </w:tabs>
        <w:spacing w:line="360" w:lineRule="auto"/>
        <w:ind w:right="-2"/>
        <w:jc w:val="both"/>
        <w:rPr>
          <w:rFonts w:ascii="Palatino Linotype" w:eastAsia="Arial Unicode MS" w:hAnsi="Palatino Linotype" w:cs="Arial"/>
          <w:color w:val="000000" w:themeColor="text1"/>
        </w:rPr>
      </w:pPr>
      <w:r w:rsidRPr="000301AC">
        <w:rPr>
          <w:rFonts w:ascii="Palatino Linotype" w:hAnsi="Palatino Linotype" w:cs="Bookman Old Style"/>
          <w:bCs/>
          <w:color w:val="000000" w:themeColor="text1"/>
        </w:rPr>
        <w:t xml:space="preserve">Para el caso de que la información </w:t>
      </w:r>
      <w:r w:rsidRPr="000301AC">
        <w:rPr>
          <w:rFonts w:ascii="Palatino Linotype" w:eastAsia="Arial Unicode MS" w:hAnsi="Palatino Linotype" w:cs="Arial"/>
          <w:color w:val="000000" w:themeColor="text1"/>
        </w:rPr>
        <w:t xml:space="preserve">referida en la solicitud no sea localizada </w:t>
      </w:r>
      <w:r w:rsidRPr="000301AC">
        <w:rPr>
          <w:rFonts w:ascii="Palatino Linotype" w:hAnsi="Palatino Linotype" w:cs="Bookman Old Style"/>
          <w:b/>
          <w:bCs/>
          <w:color w:val="000000" w:themeColor="text1"/>
        </w:rPr>
        <w:t>EL SUJETO OBLIGADO</w:t>
      </w:r>
      <w:r w:rsidRPr="000301AC">
        <w:rPr>
          <w:rFonts w:ascii="Palatino Linotype" w:hAnsi="Palatino Linotype" w:cs="Bookman Old Style"/>
          <w:bCs/>
          <w:color w:val="000000" w:themeColor="text1"/>
        </w:rPr>
        <w:t xml:space="preserve"> deberá emitir el Acuerdo de Inexistencia en términos de los artículos 49, fracciones II y XIII, 169 y 170 de la Ley de Transparencia y Acceso a la Información Pública del Estado de México y Municipios</w:t>
      </w:r>
    </w:p>
    <w:p w14:paraId="389FD7F8" w14:textId="7DA47B56" w:rsidR="00DB2B46" w:rsidRPr="0097327A" w:rsidRDefault="0099101B" w:rsidP="0097327A">
      <w:pPr>
        <w:spacing w:before="240" w:after="240" w:line="360" w:lineRule="auto"/>
        <w:jc w:val="both"/>
        <w:rPr>
          <w:rFonts w:ascii="Palatino Linotype" w:eastAsia="MS Mincho" w:hAnsi="Palatino Linotype" w:cs="Arial"/>
        </w:rPr>
      </w:pPr>
      <w:r w:rsidRPr="00391C32">
        <w:rPr>
          <w:rFonts w:ascii="Palatino Linotype" w:eastAsia="Palatino Linotype" w:hAnsi="Palatino Linotype" w:cs="Palatino Linotype"/>
          <w:b/>
        </w:rPr>
        <w:t xml:space="preserve">TERCERO. </w:t>
      </w:r>
      <w:r w:rsidR="0048655D" w:rsidRPr="000C1184">
        <w:rPr>
          <w:rFonts w:ascii="Palatino Linotype" w:hAnsi="Palatino Linotype" w:cs="Arial"/>
          <w:color w:val="222222"/>
          <w:lang w:val="es-ES_tradnl"/>
        </w:rPr>
        <w:t>Notifíquese</w:t>
      </w:r>
      <w:r w:rsidR="0048655D" w:rsidRPr="000C1184">
        <w:rPr>
          <w:rFonts w:ascii="Palatino Linotype" w:hAnsi="Palatino Linotype" w:cs="Arial"/>
          <w:b/>
          <w:bCs/>
          <w:color w:val="222222"/>
          <w:lang w:val="es-ES_tradnl"/>
        </w:rPr>
        <w:t xml:space="preserve"> </w:t>
      </w:r>
      <w:r w:rsidR="0048655D" w:rsidRPr="000C1184">
        <w:rPr>
          <w:rFonts w:ascii="Palatino Linotype" w:hAnsi="Palatino Linotype" w:cs="Arial"/>
          <w:color w:val="222222"/>
          <w:lang w:val="es-ES_tradnl"/>
        </w:rPr>
        <w:t xml:space="preserve">al Titular de la Unidad de Transparencia del </w:t>
      </w:r>
      <w:r w:rsidR="0048655D" w:rsidRPr="000C1184">
        <w:rPr>
          <w:rFonts w:ascii="Palatino Linotype" w:hAnsi="Palatino Linotype" w:cs="Arial"/>
          <w:b/>
          <w:bCs/>
          <w:color w:val="222222"/>
          <w:lang w:val="es-ES_tradnl"/>
        </w:rPr>
        <w:t>SUJETO OBLIGADO</w:t>
      </w:r>
      <w:r w:rsidR="0048655D" w:rsidRPr="000C1184">
        <w:rPr>
          <w:rFonts w:ascii="Palatino Linotype" w:hAnsi="Palatino Linotype" w:cs="Arial"/>
          <w:color w:val="222222"/>
          <w:lang w:val="es-ES_tradnl"/>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14:paraId="454593D2" w14:textId="4D652EF6" w:rsidR="00DB2B46" w:rsidRDefault="00DB2B46" w:rsidP="00EE04E9">
      <w:pPr>
        <w:shd w:val="clear" w:color="auto" w:fill="FFFFFF"/>
        <w:spacing w:line="360" w:lineRule="auto"/>
        <w:jc w:val="both"/>
        <w:rPr>
          <w:rFonts w:ascii="Palatino Linotype" w:hAnsi="Palatino Linotype"/>
        </w:rPr>
      </w:pPr>
      <w:r w:rsidRPr="00992F8F">
        <w:rPr>
          <w:rFonts w:ascii="Palatino Linotype" w:hAnsi="Palatino Linotype" w:cs="Arial"/>
          <w:b/>
        </w:rPr>
        <w:t xml:space="preserve">CUARTO. </w:t>
      </w:r>
      <w:r w:rsidR="00FF078C" w:rsidRPr="00D774A2">
        <w:rPr>
          <w:rFonts w:ascii="Palatino Linotype" w:eastAsiaTheme="minorEastAsia" w:hAnsi="Palatino Linotype"/>
          <w:lang w:val="es-ES_tradnl" w:eastAsia="es-ES"/>
        </w:rPr>
        <w:t>Notifíquese a</w:t>
      </w:r>
      <w:r w:rsidR="00ED0348">
        <w:rPr>
          <w:rFonts w:ascii="Palatino Linotype" w:eastAsiaTheme="minorEastAsia" w:hAnsi="Palatino Linotype"/>
          <w:lang w:val="es-ES_tradnl" w:eastAsia="es-ES"/>
        </w:rPr>
        <w:t xml:space="preserve"> </w:t>
      </w:r>
      <w:r w:rsidR="00FF078C" w:rsidRPr="00D774A2">
        <w:rPr>
          <w:rFonts w:ascii="Palatino Linotype" w:eastAsiaTheme="minorEastAsia" w:hAnsi="Palatino Linotype"/>
          <w:lang w:val="es-ES_tradnl" w:eastAsia="es-ES"/>
        </w:rPr>
        <w:t>l</w:t>
      </w:r>
      <w:r w:rsidR="00ED0348">
        <w:rPr>
          <w:rFonts w:ascii="Palatino Linotype" w:eastAsiaTheme="minorEastAsia" w:hAnsi="Palatino Linotype"/>
          <w:lang w:val="es-ES_tradnl" w:eastAsia="es-ES"/>
        </w:rPr>
        <w:t>a</w:t>
      </w:r>
      <w:r w:rsidR="00FF078C" w:rsidRPr="00D774A2">
        <w:rPr>
          <w:rFonts w:ascii="Palatino Linotype" w:eastAsiaTheme="minorEastAsia" w:hAnsi="Palatino Linotype"/>
          <w:b/>
          <w:lang w:val="es-ES_tradnl" w:eastAsia="es-ES"/>
        </w:rPr>
        <w:t xml:space="preserve"> RECURRENTE</w:t>
      </w:r>
      <w:r w:rsidR="00FF078C" w:rsidRPr="00D774A2">
        <w:rPr>
          <w:rFonts w:ascii="Palatino Linotype" w:eastAsiaTheme="minorEastAsia" w:hAnsi="Palatino Linotype"/>
          <w:lang w:val="es-ES_tradnl" w:eastAsia="es-ES"/>
        </w:rPr>
        <w:t xml:space="preserve">, la presente resolución, vía Sistema de Acceso a la Información Mexiquense </w:t>
      </w:r>
      <w:r w:rsidR="00FF078C" w:rsidRPr="00D774A2">
        <w:rPr>
          <w:rFonts w:ascii="Palatino Linotype" w:eastAsiaTheme="minorEastAsia" w:hAnsi="Palatino Linotype"/>
          <w:b/>
          <w:lang w:val="es-ES_tradnl" w:eastAsia="es-ES"/>
        </w:rPr>
        <w:t>(SAIMEX).</w:t>
      </w:r>
      <w:r w:rsidR="0097327A">
        <w:rPr>
          <w:rFonts w:ascii="Palatino Linotype" w:hAnsi="Palatino Linotype"/>
        </w:rPr>
        <w:t xml:space="preserve"> </w:t>
      </w:r>
    </w:p>
    <w:p w14:paraId="44E3F2A1" w14:textId="77777777" w:rsidR="0097327A" w:rsidRPr="0097327A" w:rsidRDefault="0097327A" w:rsidP="00EE04E9">
      <w:pPr>
        <w:shd w:val="clear" w:color="auto" w:fill="FFFFFF"/>
        <w:spacing w:line="360" w:lineRule="auto"/>
        <w:jc w:val="both"/>
        <w:rPr>
          <w:rFonts w:ascii="Palatino Linotype" w:hAnsi="Palatino Linotype"/>
          <w:sz w:val="13"/>
          <w:szCs w:val="13"/>
        </w:rPr>
      </w:pPr>
    </w:p>
    <w:p w14:paraId="44CB91D7" w14:textId="6C4377E8" w:rsidR="00FF078C" w:rsidRDefault="00DB2B46" w:rsidP="002A3023">
      <w:pPr>
        <w:spacing w:line="360" w:lineRule="auto"/>
        <w:jc w:val="both"/>
        <w:rPr>
          <w:rFonts w:ascii="Palatino Linotype" w:eastAsia="MS Mincho" w:hAnsi="Palatino Linotype"/>
          <w:lang w:val="es-ES"/>
        </w:rPr>
      </w:pPr>
      <w:r w:rsidRPr="00992F8F">
        <w:rPr>
          <w:rFonts w:ascii="Palatino Linotype" w:eastAsia="MS Mincho" w:hAnsi="Palatino Linotype"/>
          <w:b/>
        </w:rPr>
        <w:t>QUINTO.</w:t>
      </w:r>
      <w:r w:rsidRPr="00992F8F">
        <w:rPr>
          <w:rFonts w:ascii="Palatino Linotype" w:eastAsia="MS Mincho" w:hAnsi="Palatino Linotype"/>
        </w:rPr>
        <w:t xml:space="preserve"> </w:t>
      </w:r>
      <w:r w:rsidRPr="00992F8F">
        <w:rPr>
          <w:rFonts w:ascii="Palatino Linotype" w:eastAsia="MS Mincho" w:hAnsi="Palatino Linotype"/>
          <w:lang w:val="es-ES"/>
        </w:rPr>
        <w:t>Se hace del conocimiento de</w:t>
      </w:r>
      <w:r w:rsidR="00F344EE">
        <w:rPr>
          <w:rFonts w:ascii="Palatino Linotype" w:eastAsia="MS Mincho" w:hAnsi="Palatino Linotype"/>
          <w:lang w:val="es-ES"/>
        </w:rPr>
        <w:t xml:space="preserve"> </w:t>
      </w:r>
      <w:r w:rsidR="0074759C">
        <w:rPr>
          <w:rFonts w:ascii="Palatino Linotype" w:eastAsia="MS Mincho" w:hAnsi="Palatino Linotype"/>
          <w:lang w:val="es-ES"/>
        </w:rPr>
        <w:t>l</w:t>
      </w:r>
      <w:r w:rsidR="00F344EE">
        <w:rPr>
          <w:rFonts w:ascii="Palatino Linotype" w:eastAsia="MS Mincho" w:hAnsi="Palatino Linotype"/>
          <w:lang w:val="es-ES"/>
        </w:rPr>
        <w:t>a</w:t>
      </w:r>
      <w:r w:rsidRPr="00992F8F">
        <w:rPr>
          <w:rFonts w:ascii="Palatino Linotype" w:eastAsia="MS Mincho" w:hAnsi="Palatino Linotype"/>
          <w:lang w:val="es-ES"/>
        </w:rPr>
        <w:t xml:space="preserve"> </w:t>
      </w:r>
      <w:r w:rsidR="0074759C">
        <w:rPr>
          <w:rFonts w:ascii="Palatino Linotype" w:hAnsi="Palatino Linotype"/>
          <w:b/>
        </w:rPr>
        <w:t>RECURRENTE</w:t>
      </w:r>
      <w:r w:rsidR="00E63CF5" w:rsidRPr="00992F8F">
        <w:rPr>
          <w:rFonts w:ascii="Palatino Linotype" w:eastAsia="MS Mincho" w:hAnsi="Palatino Linotype"/>
          <w:lang w:val="es-ES"/>
        </w:rPr>
        <w:t xml:space="preserve"> </w:t>
      </w:r>
      <w:r w:rsidRPr="00992F8F">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w:t>
      </w:r>
      <w:r w:rsidR="00FC453A" w:rsidRPr="00992F8F">
        <w:rPr>
          <w:rFonts w:ascii="Palatino Linotype" w:eastAsia="MS Mincho" w:hAnsi="Palatino Linotype"/>
          <w:lang w:val="es-ES"/>
        </w:rPr>
        <w:t xml:space="preserve">lgún perjuicio podrá impugnarla </w:t>
      </w:r>
      <w:r w:rsidRPr="00992F8F">
        <w:rPr>
          <w:rFonts w:ascii="Palatino Linotype" w:eastAsia="MS Mincho" w:hAnsi="Palatino Linotype"/>
          <w:bCs/>
          <w:lang w:val="es-ES"/>
        </w:rPr>
        <w:t>vía juicio de amparo</w:t>
      </w:r>
      <w:r w:rsidRPr="00992F8F">
        <w:rPr>
          <w:rFonts w:ascii="Palatino Linotype" w:eastAsia="MS Mincho" w:hAnsi="Palatino Linotype"/>
          <w:lang w:val="es-ES"/>
        </w:rPr>
        <w:t xml:space="preserve"> en los términos de las leyes aplicables.</w:t>
      </w:r>
    </w:p>
    <w:p w14:paraId="7AF7B4D6" w14:textId="692A3C0E" w:rsidR="00EE04E9" w:rsidRPr="00EE04E9" w:rsidRDefault="00FF078C" w:rsidP="00FF078C">
      <w:pPr>
        <w:shd w:val="clear" w:color="auto" w:fill="FFFFFF"/>
        <w:spacing w:before="240" w:after="360" w:line="360" w:lineRule="auto"/>
        <w:ind w:right="49"/>
        <w:jc w:val="both"/>
        <w:rPr>
          <w:rFonts w:ascii="Palatino Linotype" w:hAnsi="Palatino Linotype"/>
          <w:color w:val="000000"/>
          <w:lang w:val="es-ES"/>
        </w:rPr>
      </w:pPr>
      <w:r w:rsidRPr="00D774A2">
        <w:rPr>
          <w:rFonts w:ascii="Palatino Linotype" w:eastAsiaTheme="minorEastAsia" w:hAnsi="Palatino Linotype"/>
          <w:b/>
          <w:lang w:val="es-ES_tradnl" w:eastAsia="es-ES"/>
        </w:rPr>
        <w:lastRenderedPageBreak/>
        <w:t>SEXTO</w:t>
      </w:r>
      <w:r w:rsidRPr="00D774A2">
        <w:rPr>
          <w:rFonts w:ascii="Palatino Linotype" w:eastAsiaTheme="minorEastAsia" w:hAnsi="Palatino Linotype"/>
          <w:lang w:val="es-ES_tradnl" w:eastAsia="es-ES"/>
        </w:rPr>
        <w:t xml:space="preserve">. De </w:t>
      </w:r>
      <w:r w:rsidRPr="00D774A2">
        <w:rPr>
          <w:rFonts w:ascii="Palatino Linotype" w:hAnsi="Palatino Linotype"/>
          <w:color w:val="000000"/>
          <w:lang w:val="es-ES"/>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40"/>
    <w:bookmarkEnd w:id="41"/>
    <w:bookmarkEnd w:id="42"/>
    <w:p w14:paraId="4B98E626" w14:textId="77777777" w:rsidR="0062782B" w:rsidRDefault="0062782B" w:rsidP="0062782B">
      <w:pPr>
        <w:spacing w:line="360" w:lineRule="auto"/>
        <w:jc w:val="both"/>
        <w:rPr>
          <w:rFonts w:ascii="Palatino Linotype" w:hAnsi="Palatino Linotype" w:cs="Arial"/>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SEXTA SESIÓN ORDINARIA CELEBRADA EL DIECISÉIS DE FEBRERO DE DOS MIL VEINTIDÓS, ANTE EL SECRETARIO TÉCNICO DEL PLENO, ALEXIS TAPIA RAMÍREZ.</w:t>
      </w:r>
    </w:p>
    <w:p w14:paraId="363311B0" w14:textId="77777777" w:rsidR="00F344EE" w:rsidRDefault="00F344EE" w:rsidP="00D27D9F">
      <w:pPr>
        <w:spacing w:line="360" w:lineRule="auto"/>
        <w:jc w:val="both"/>
        <w:rPr>
          <w:rFonts w:ascii="Palatino Linotype" w:hAnsi="Palatino Linotype" w:cs="Tahoma"/>
        </w:rPr>
      </w:pPr>
    </w:p>
    <w:p w14:paraId="603A62E1" w14:textId="77777777" w:rsidR="00F344EE" w:rsidRDefault="00F344EE" w:rsidP="00D27D9F">
      <w:pPr>
        <w:spacing w:line="360" w:lineRule="auto"/>
        <w:jc w:val="both"/>
        <w:rPr>
          <w:rFonts w:ascii="Palatino Linotype" w:hAnsi="Palatino Linotype" w:cs="Tahoma"/>
        </w:rPr>
      </w:pPr>
    </w:p>
    <w:p w14:paraId="3AF038B1" w14:textId="77777777" w:rsidR="00F344EE" w:rsidRDefault="00F344EE" w:rsidP="00D27D9F">
      <w:pPr>
        <w:spacing w:line="360" w:lineRule="auto"/>
        <w:jc w:val="both"/>
        <w:rPr>
          <w:rFonts w:ascii="Palatino Linotype" w:hAnsi="Palatino Linotype" w:cs="Tahoma"/>
        </w:rPr>
      </w:pPr>
    </w:p>
    <w:p w14:paraId="2CBBA7CF" w14:textId="77777777" w:rsidR="00F344EE" w:rsidRDefault="00F344EE" w:rsidP="00D27D9F">
      <w:pPr>
        <w:spacing w:line="360" w:lineRule="auto"/>
        <w:jc w:val="both"/>
        <w:rPr>
          <w:rFonts w:ascii="Palatino Linotype" w:hAnsi="Palatino Linotype" w:cs="Tahoma"/>
        </w:rPr>
      </w:pPr>
    </w:p>
    <w:p w14:paraId="36216AF2" w14:textId="77777777" w:rsidR="00F344EE" w:rsidRDefault="00F344EE" w:rsidP="00D27D9F">
      <w:pPr>
        <w:spacing w:line="360" w:lineRule="auto"/>
        <w:jc w:val="both"/>
        <w:rPr>
          <w:rFonts w:ascii="Palatino Linotype" w:hAnsi="Palatino Linotype" w:cs="Tahoma"/>
        </w:rPr>
      </w:pPr>
    </w:p>
    <w:p w14:paraId="3B1088FA" w14:textId="77777777" w:rsidR="00F344EE" w:rsidRDefault="00F344EE" w:rsidP="00D27D9F">
      <w:pPr>
        <w:spacing w:line="360" w:lineRule="auto"/>
        <w:jc w:val="both"/>
        <w:rPr>
          <w:rFonts w:ascii="Palatino Linotype" w:hAnsi="Palatino Linotype" w:cs="Tahoma"/>
        </w:rPr>
      </w:pPr>
    </w:p>
    <w:p w14:paraId="0463A81B" w14:textId="77777777" w:rsidR="00F344EE" w:rsidRDefault="00F344EE" w:rsidP="00D27D9F">
      <w:pPr>
        <w:spacing w:line="360" w:lineRule="auto"/>
        <w:jc w:val="both"/>
        <w:rPr>
          <w:rFonts w:ascii="Palatino Linotype" w:hAnsi="Palatino Linotype" w:cs="Tahoma"/>
        </w:rPr>
      </w:pPr>
    </w:p>
    <w:p w14:paraId="7E34B9A5" w14:textId="77777777" w:rsidR="00F344EE" w:rsidRDefault="00F344EE" w:rsidP="00D27D9F">
      <w:pPr>
        <w:spacing w:line="360" w:lineRule="auto"/>
        <w:jc w:val="both"/>
        <w:rPr>
          <w:rFonts w:ascii="Palatino Linotype" w:hAnsi="Palatino Linotype" w:cs="Tahoma"/>
        </w:rPr>
      </w:pPr>
    </w:p>
    <w:p w14:paraId="47C2E4BB" w14:textId="77777777" w:rsidR="00F344EE" w:rsidRDefault="00F344EE" w:rsidP="00D27D9F">
      <w:pPr>
        <w:spacing w:line="360" w:lineRule="auto"/>
        <w:jc w:val="both"/>
        <w:rPr>
          <w:rFonts w:ascii="Palatino Linotype" w:hAnsi="Palatino Linotype" w:cs="Tahoma"/>
        </w:rPr>
      </w:pPr>
    </w:p>
    <w:p w14:paraId="1ACDA218" w14:textId="77777777" w:rsidR="00F344EE" w:rsidRDefault="00F344EE" w:rsidP="00D27D9F">
      <w:pPr>
        <w:spacing w:line="360" w:lineRule="auto"/>
        <w:jc w:val="both"/>
        <w:rPr>
          <w:rFonts w:ascii="Palatino Linotype" w:hAnsi="Palatino Linotype" w:cs="Tahoma"/>
        </w:rPr>
      </w:pPr>
    </w:p>
    <w:p w14:paraId="5DD0231F" w14:textId="77777777" w:rsidR="00F344EE" w:rsidRDefault="00F344EE" w:rsidP="00D27D9F">
      <w:pPr>
        <w:spacing w:line="360" w:lineRule="auto"/>
        <w:jc w:val="both"/>
        <w:rPr>
          <w:rFonts w:ascii="Palatino Linotype" w:hAnsi="Palatino Linotype" w:cs="Tahoma"/>
        </w:rPr>
      </w:pPr>
    </w:p>
    <w:p w14:paraId="14E04324" w14:textId="77777777" w:rsidR="00F344EE" w:rsidRDefault="00F344EE" w:rsidP="00D27D9F">
      <w:pPr>
        <w:spacing w:line="360" w:lineRule="auto"/>
        <w:jc w:val="both"/>
        <w:rPr>
          <w:rFonts w:ascii="Palatino Linotype" w:hAnsi="Palatino Linotype" w:cs="Tahoma"/>
        </w:rPr>
      </w:pPr>
    </w:p>
    <w:p w14:paraId="7A7C7E9C" w14:textId="77777777" w:rsidR="00F344EE" w:rsidRDefault="00F344EE" w:rsidP="00D27D9F">
      <w:pPr>
        <w:spacing w:line="360" w:lineRule="auto"/>
        <w:jc w:val="both"/>
        <w:rPr>
          <w:rFonts w:ascii="Palatino Linotype" w:hAnsi="Palatino Linotype" w:cs="Tahoma"/>
        </w:rPr>
      </w:pPr>
    </w:p>
    <w:p w14:paraId="15123244" w14:textId="77777777" w:rsidR="00F344EE" w:rsidRDefault="00F344EE" w:rsidP="00D27D9F">
      <w:pPr>
        <w:spacing w:line="360" w:lineRule="auto"/>
        <w:jc w:val="both"/>
        <w:rPr>
          <w:rFonts w:ascii="Palatino Linotype" w:hAnsi="Palatino Linotype" w:cs="Tahoma"/>
        </w:rPr>
      </w:pPr>
    </w:p>
    <w:p w14:paraId="761F1D76" w14:textId="77777777" w:rsidR="00F344EE" w:rsidRPr="00D27D9F" w:rsidRDefault="00F344EE" w:rsidP="00D27D9F">
      <w:pPr>
        <w:spacing w:line="360" w:lineRule="auto"/>
        <w:jc w:val="both"/>
        <w:rPr>
          <w:rFonts w:ascii="Palatino Linotype" w:hAnsi="Palatino Linotype" w:cs="Tahoma"/>
        </w:rPr>
      </w:pPr>
    </w:p>
    <w:sectPr w:rsidR="00F344EE" w:rsidRPr="00D27D9F" w:rsidSect="00C1682A">
      <w:headerReference w:type="default" r:id="rId14"/>
      <w:footerReference w:type="default" r:id="rId15"/>
      <w:headerReference w:type="first" r:id="rId16"/>
      <w:footerReference w:type="first" r:id="rId17"/>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E3F1C" w14:textId="77777777" w:rsidR="00F8404A" w:rsidRDefault="00F8404A" w:rsidP="00587366">
      <w:r>
        <w:separator/>
      </w:r>
    </w:p>
  </w:endnote>
  <w:endnote w:type="continuationSeparator" w:id="0">
    <w:p w14:paraId="4D998DFD" w14:textId="77777777" w:rsidR="00F8404A" w:rsidRDefault="00F8404A"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FD2D42" w:rsidRPr="00883450" w:rsidRDefault="00FD2D4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C4A2E">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C4A2E">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FD2D42" w:rsidRDefault="00FD2D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D2D42" w:rsidRPr="00883450" w:rsidRDefault="00FD2D42"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C4A2E" w:rsidRPr="009C4A2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C4A2E" w:rsidRPr="009C4A2E">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FD2D42" w:rsidRPr="00883450" w:rsidRDefault="00FD2D4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487A8" w14:textId="77777777" w:rsidR="00F8404A" w:rsidRDefault="00F8404A" w:rsidP="00587366">
      <w:r>
        <w:separator/>
      </w:r>
    </w:p>
  </w:footnote>
  <w:footnote w:type="continuationSeparator" w:id="0">
    <w:p w14:paraId="2ACEB121" w14:textId="77777777" w:rsidR="00F8404A" w:rsidRDefault="00F8404A" w:rsidP="00587366">
      <w:r>
        <w:continuationSeparator/>
      </w:r>
    </w:p>
  </w:footnote>
  <w:footnote w:id="1">
    <w:p w14:paraId="0152606D" w14:textId="77777777" w:rsidR="009034F4" w:rsidRPr="00985DD4" w:rsidRDefault="009034F4" w:rsidP="009034F4">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049F476" w14:textId="77777777" w:rsidR="009034F4" w:rsidRPr="00985DD4" w:rsidRDefault="009034F4" w:rsidP="009034F4">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40343BEB" w14:textId="77777777" w:rsidR="009034F4" w:rsidRPr="00BE13A0" w:rsidRDefault="009034F4" w:rsidP="009034F4">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2">
    <w:p w14:paraId="2EEB7EA3" w14:textId="77777777" w:rsidR="009034F4" w:rsidRPr="00985DD4" w:rsidRDefault="009034F4" w:rsidP="009034F4">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3">
    <w:p w14:paraId="21F90C97" w14:textId="77777777" w:rsidR="009034F4" w:rsidRPr="009F19BE" w:rsidRDefault="009034F4" w:rsidP="009034F4">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A64C888" w14:textId="77777777" w:rsidR="009034F4" w:rsidRPr="009F19BE" w:rsidRDefault="009034F4" w:rsidP="009034F4">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4">
    <w:p w14:paraId="376DF4C8" w14:textId="77777777" w:rsidR="009034F4" w:rsidRPr="009F19BE" w:rsidRDefault="009034F4" w:rsidP="009034F4">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5">
    <w:p w14:paraId="134C5793" w14:textId="77777777" w:rsidR="009034F4" w:rsidRPr="00034B44" w:rsidRDefault="009034F4" w:rsidP="009034F4">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14:paraId="60B3EC58" w14:textId="77777777" w:rsidR="00CC1AA5" w:rsidRPr="00034B44" w:rsidRDefault="00CC1AA5" w:rsidP="00CC1AA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17ED923" w14:textId="77777777" w:rsidR="00CC1AA5" w:rsidRPr="00034B44" w:rsidRDefault="00CC1AA5" w:rsidP="00CC1AA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A5D0682" w14:textId="77777777" w:rsidR="00CC1AA5" w:rsidRPr="00034B44" w:rsidRDefault="00CC1AA5" w:rsidP="00CC1AA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D2773B9" w:rsidR="00FD2D42" w:rsidRDefault="00F8404A" w:rsidP="001C6012">
    <w:pPr>
      <w:pStyle w:val="Encabezado"/>
      <w:tabs>
        <w:tab w:val="clear" w:pos="4252"/>
        <w:tab w:val="clear" w:pos="8504"/>
        <w:tab w:val="left" w:pos="8460"/>
      </w:tabs>
    </w:pPr>
    <w:r>
      <w:rPr>
        <w:rFonts w:ascii="Palatino Linotype" w:hAnsi="Palatino Linotype"/>
        <w:b/>
        <w:noProof/>
        <w:sz w:val="22"/>
        <w:szCs w:val="22"/>
      </w:rPr>
      <w:pict w14:anchorId="23987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1.6pt;margin-top:-118.75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FD2D42">
      <w:tab/>
    </w:r>
  </w:p>
  <w:p w14:paraId="64F5F23E" w14:textId="390690E5" w:rsidR="00FD2D42" w:rsidRDefault="00FD2D42">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D2D42" w:rsidRPr="00674A46" w14:paraId="07F2896E" w14:textId="77777777" w:rsidTr="00F3586F">
      <w:trPr>
        <w:trHeight w:val="138"/>
      </w:trPr>
      <w:tc>
        <w:tcPr>
          <w:tcW w:w="3544" w:type="dxa"/>
          <w:vAlign w:val="center"/>
        </w:tcPr>
        <w:p w14:paraId="4A5B1974" w14:textId="24466F45" w:rsidR="00FD2D42" w:rsidRPr="00674A46" w:rsidRDefault="00FD2D42"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790B9B7F" w:rsidR="00FD2D42" w:rsidRPr="0017265D" w:rsidRDefault="00FD2D42" w:rsidP="00986821">
          <w:pPr>
            <w:pStyle w:val="Encabezado"/>
            <w:jc w:val="both"/>
            <w:rPr>
              <w:rFonts w:ascii="Palatino Linotype" w:hAnsi="Palatino Linotype" w:cs="Arial"/>
              <w:b/>
              <w:bCs/>
              <w:sz w:val="22"/>
              <w:szCs w:val="22"/>
            </w:rPr>
          </w:pPr>
          <w:r w:rsidRPr="00ED007B">
            <w:rPr>
              <w:rFonts w:ascii="Palatino Linotype" w:hAnsi="Palatino Linotype" w:cs="Arial"/>
              <w:b/>
              <w:bCs/>
              <w:sz w:val="22"/>
              <w:szCs w:val="22"/>
            </w:rPr>
            <w:t>0</w:t>
          </w:r>
          <w:r w:rsidR="00E357A8">
            <w:rPr>
              <w:rFonts w:ascii="Palatino Linotype" w:hAnsi="Palatino Linotype" w:cs="Arial"/>
              <w:b/>
              <w:bCs/>
              <w:sz w:val="22"/>
              <w:szCs w:val="22"/>
            </w:rPr>
            <w:t>4523</w:t>
          </w:r>
          <w:r>
            <w:rPr>
              <w:rFonts w:ascii="Palatino Linotype" w:hAnsi="Palatino Linotype" w:cs="Arial"/>
              <w:b/>
              <w:bCs/>
              <w:sz w:val="22"/>
              <w:szCs w:val="22"/>
            </w:rPr>
            <w:t>/INFOEM/IP/RR/2021</w:t>
          </w:r>
        </w:p>
      </w:tc>
    </w:tr>
    <w:tr w:rsidR="00FD2D42" w:rsidRPr="00674A46" w14:paraId="1B5D8690" w14:textId="77777777" w:rsidTr="00F3586F">
      <w:trPr>
        <w:trHeight w:val="233"/>
      </w:trPr>
      <w:tc>
        <w:tcPr>
          <w:tcW w:w="3544" w:type="dxa"/>
          <w:vAlign w:val="center"/>
        </w:tcPr>
        <w:p w14:paraId="3903F2C6" w14:textId="35D57A2C" w:rsidR="00FD2D42" w:rsidRPr="00674A46" w:rsidRDefault="00FD2D42"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9489548" w:rsidR="00FD2D42" w:rsidRPr="00B75F20" w:rsidRDefault="00FD2D42" w:rsidP="005C7D9E">
          <w:pPr>
            <w:pStyle w:val="Encabezado"/>
            <w:jc w:val="both"/>
            <w:rPr>
              <w:rFonts w:ascii="Palatino Linotype" w:hAnsi="Palatino Linotype"/>
              <w:b/>
              <w:sz w:val="22"/>
              <w:szCs w:val="22"/>
            </w:rPr>
          </w:pPr>
          <w:r>
            <w:rPr>
              <w:rFonts w:ascii="Palatino Linotype" w:hAnsi="Palatino Linotype"/>
              <w:b/>
              <w:color w:val="000000" w:themeColor="text1"/>
              <w:sz w:val="22"/>
              <w:szCs w:val="22"/>
            </w:rPr>
            <w:t>Fiscalía General de Justicia del Estado de México</w:t>
          </w:r>
        </w:p>
      </w:tc>
    </w:tr>
    <w:tr w:rsidR="00FD2D42" w:rsidRPr="00674A46" w14:paraId="095EB01B" w14:textId="77777777" w:rsidTr="00F3586F">
      <w:trPr>
        <w:trHeight w:val="321"/>
      </w:trPr>
      <w:tc>
        <w:tcPr>
          <w:tcW w:w="3544" w:type="dxa"/>
          <w:vAlign w:val="center"/>
        </w:tcPr>
        <w:p w14:paraId="6E000A51" w14:textId="0EDEFF28" w:rsidR="00FD2D42" w:rsidRPr="00674A46" w:rsidRDefault="00FD2D42"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252" w:type="dxa"/>
          <w:vAlign w:val="center"/>
        </w:tcPr>
        <w:p w14:paraId="07560085" w14:textId="7F8B2514" w:rsidR="00FD2D42" w:rsidRPr="00674A46" w:rsidRDefault="00FD2D42"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193F0C87" w:rsidR="00FD2D42" w:rsidRDefault="00FD2D42"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AEF61CA" w:rsidR="00FD2D42" w:rsidRDefault="00F8404A" w:rsidP="00472C41">
    <w:pPr>
      <w:pStyle w:val="Encabezado"/>
      <w:tabs>
        <w:tab w:val="clear" w:pos="4252"/>
        <w:tab w:val="clear" w:pos="8504"/>
        <w:tab w:val="left" w:pos="3103"/>
      </w:tabs>
    </w:pPr>
    <w:r>
      <w:rPr>
        <w:noProof/>
      </w:rPr>
      <w:pict w14:anchorId="1CE5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93.6pt;margin-top:-131.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FD2D42">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D2D42" w:rsidRPr="00674A46" w14:paraId="0A3256F2" w14:textId="77777777" w:rsidTr="00F3586F">
      <w:trPr>
        <w:trHeight w:val="138"/>
      </w:trPr>
      <w:tc>
        <w:tcPr>
          <w:tcW w:w="3261" w:type="dxa"/>
          <w:vAlign w:val="center"/>
        </w:tcPr>
        <w:p w14:paraId="3D80769D" w14:textId="316F11F8" w:rsidR="00FD2D42" w:rsidRPr="00674A46" w:rsidRDefault="00FD2D42"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4435CCE" w:rsidR="00FD2D42" w:rsidRPr="00F37A4C" w:rsidRDefault="00FD2D42" w:rsidP="00184C8E">
          <w:pPr>
            <w:pStyle w:val="Encabezado"/>
            <w:rPr>
              <w:rFonts w:ascii="Palatino Linotype" w:hAnsi="Palatino Linotype"/>
              <w:b/>
              <w:sz w:val="22"/>
              <w:szCs w:val="22"/>
            </w:rPr>
          </w:pPr>
          <w:r>
            <w:rPr>
              <w:rFonts w:ascii="Palatino Linotype" w:hAnsi="Palatino Linotype" w:cs="Arial"/>
              <w:b/>
              <w:bCs/>
              <w:sz w:val="22"/>
              <w:szCs w:val="22"/>
            </w:rPr>
            <w:t>0</w:t>
          </w:r>
          <w:r w:rsidR="00E357A8">
            <w:rPr>
              <w:rFonts w:ascii="Palatino Linotype" w:hAnsi="Palatino Linotype" w:cs="Arial"/>
              <w:b/>
              <w:bCs/>
              <w:sz w:val="22"/>
              <w:szCs w:val="22"/>
            </w:rPr>
            <w:t>4523</w:t>
          </w:r>
          <w:r>
            <w:rPr>
              <w:rFonts w:ascii="Palatino Linotype" w:hAnsi="Palatino Linotype" w:cs="Arial"/>
              <w:b/>
              <w:bCs/>
              <w:sz w:val="22"/>
              <w:szCs w:val="22"/>
            </w:rPr>
            <w:t>/INFOEM/IP/RR/2021</w:t>
          </w:r>
        </w:p>
      </w:tc>
    </w:tr>
    <w:tr w:rsidR="00FD2D42" w:rsidRPr="00B75F20" w14:paraId="128C8B3C" w14:textId="77777777" w:rsidTr="00F3586F">
      <w:trPr>
        <w:trHeight w:val="233"/>
      </w:trPr>
      <w:tc>
        <w:tcPr>
          <w:tcW w:w="3261" w:type="dxa"/>
          <w:vAlign w:val="center"/>
        </w:tcPr>
        <w:p w14:paraId="483E3371" w14:textId="66B1BC74" w:rsidR="00FD2D42" w:rsidRPr="00674A46" w:rsidRDefault="00FD2D42"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8D7D502" w:rsidR="00FD2D42" w:rsidRPr="00F37A4C" w:rsidRDefault="009C4A2E" w:rsidP="009C4A2E">
          <w:pPr>
            <w:pStyle w:val="Encabezado"/>
            <w:ind w:right="234"/>
            <w:rPr>
              <w:rFonts w:ascii="Palatino Linotype" w:hAnsi="Palatino Linotype"/>
              <w:b/>
              <w:sz w:val="22"/>
              <w:szCs w:val="22"/>
            </w:rPr>
          </w:pPr>
          <w:r>
            <w:rPr>
              <w:rFonts w:ascii="Palatino Linotype" w:hAnsi="Palatino Linotype"/>
              <w:b/>
              <w:sz w:val="22"/>
              <w:szCs w:val="22"/>
            </w:rPr>
            <w:t>Xxxxx Xxxxxxxx</w:t>
          </w:r>
          <w:r w:rsidR="00E357A8">
            <w:rPr>
              <w:rFonts w:ascii="Palatino Linotype" w:hAnsi="Palatino Linotype"/>
              <w:b/>
              <w:sz w:val="22"/>
              <w:szCs w:val="22"/>
            </w:rPr>
            <w:t xml:space="preserve"> </w:t>
          </w:r>
          <w:r>
            <w:rPr>
              <w:rFonts w:ascii="Palatino Linotype" w:hAnsi="Palatino Linotype"/>
              <w:b/>
              <w:sz w:val="22"/>
              <w:szCs w:val="22"/>
            </w:rPr>
            <w:t>Xxxxxxxxxx Xxxxxx</w:t>
          </w:r>
        </w:p>
      </w:tc>
    </w:tr>
    <w:tr w:rsidR="00FD2D42" w:rsidRPr="00674A46" w14:paraId="41BE0704" w14:textId="77777777" w:rsidTr="00F3586F">
      <w:trPr>
        <w:trHeight w:val="321"/>
      </w:trPr>
      <w:tc>
        <w:tcPr>
          <w:tcW w:w="3261" w:type="dxa"/>
          <w:vAlign w:val="center"/>
        </w:tcPr>
        <w:p w14:paraId="34C64148" w14:textId="10C6C8A9" w:rsidR="00FD2D42" w:rsidRPr="00674A46" w:rsidRDefault="00FD2D42"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EDD05FB" w:rsidR="00FD2D42" w:rsidRPr="00F37A4C" w:rsidRDefault="00FD2D42" w:rsidP="00006F07">
          <w:pPr>
            <w:pStyle w:val="Encabezado"/>
            <w:jc w:val="both"/>
            <w:rPr>
              <w:rFonts w:ascii="Palatino Linotype" w:hAnsi="Palatino Linotype"/>
              <w:b/>
              <w:sz w:val="22"/>
              <w:szCs w:val="22"/>
            </w:rPr>
          </w:pPr>
          <w:r>
            <w:rPr>
              <w:rFonts w:ascii="Palatino Linotype" w:hAnsi="Palatino Linotype"/>
              <w:b/>
              <w:color w:val="000000" w:themeColor="text1"/>
              <w:sz w:val="22"/>
              <w:szCs w:val="22"/>
            </w:rPr>
            <w:t>Fiscalía General de Justicia del Estado de México</w:t>
          </w:r>
        </w:p>
      </w:tc>
    </w:tr>
    <w:tr w:rsidR="00FD2D42" w:rsidRPr="00674A46" w14:paraId="0C8B6193" w14:textId="77777777" w:rsidTr="00F3586F">
      <w:trPr>
        <w:trHeight w:val="321"/>
      </w:trPr>
      <w:tc>
        <w:tcPr>
          <w:tcW w:w="3261" w:type="dxa"/>
          <w:vAlign w:val="center"/>
        </w:tcPr>
        <w:p w14:paraId="321FFAFF" w14:textId="4B5194B8" w:rsidR="00FD2D42" w:rsidRPr="00674A46" w:rsidRDefault="00FD2D42"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4111" w:type="dxa"/>
          <w:vAlign w:val="center"/>
        </w:tcPr>
        <w:p w14:paraId="0FECDA9D" w14:textId="50867E5E" w:rsidR="00FD2D42" w:rsidRPr="00F37A4C" w:rsidRDefault="00FD2D42" w:rsidP="00006F07">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D2D42" w:rsidRDefault="00FD2D42"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623A"/>
    <w:multiLevelType w:val="hybridMultilevel"/>
    <w:tmpl w:val="C36483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782460"/>
    <w:multiLevelType w:val="hybridMultilevel"/>
    <w:tmpl w:val="49709A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536658"/>
    <w:multiLevelType w:val="hybridMultilevel"/>
    <w:tmpl w:val="DC54136E"/>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7DBC185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CD8C9C0">
      <w:start w:val="1"/>
      <w:numFmt w:val="decimal"/>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02B190D"/>
    <w:multiLevelType w:val="hybridMultilevel"/>
    <w:tmpl w:val="7FC65C82"/>
    <w:lvl w:ilvl="0" w:tplc="3EF48730">
      <w:start w:val="1"/>
      <w:numFmt w:val="decimal"/>
      <w:lvlText w:val="%1."/>
      <w:lvlJc w:val="left"/>
      <w:pPr>
        <w:ind w:left="644"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8"/>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7"/>
  </w:num>
  <w:num w:numId="8">
    <w:abstractNumId w:val="1"/>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0"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19D5"/>
    <w:rsid w:val="000120C5"/>
    <w:rsid w:val="00012472"/>
    <w:rsid w:val="00012E4F"/>
    <w:rsid w:val="0001398B"/>
    <w:rsid w:val="00015566"/>
    <w:rsid w:val="000169D4"/>
    <w:rsid w:val="000179E3"/>
    <w:rsid w:val="00017FCB"/>
    <w:rsid w:val="000203D3"/>
    <w:rsid w:val="000205A3"/>
    <w:rsid w:val="000211F8"/>
    <w:rsid w:val="000225A3"/>
    <w:rsid w:val="00022803"/>
    <w:rsid w:val="0002384D"/>
    <w:rsid w:val="000244AD"/>
    <w:rsid w:val="00024833"/>
    <w:rsid w:val="00024C70"/>
    <w:rsid w:val="00024F35"/>
    <w:rsid w:val="00026BE9"/>
    <w:rsid w:val="0003063D"/>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56F7E"/>
    <w:rsid w:val="00060B80"/>
    <w:rsid w:val="00061344"/>
    <w:rsid w:val="00061CE1"/>
    <w:rsid w:val="00061FA9"/>
    <w:rsid w:val="0006262D"/>
    <w:rsid w:val="00062648"/>
    <w:rsid w:val="000631D9"/>
    <w:rsid w:val="0006407E"/>
    <w:rsid w:val="00064A37"/>
    <w:rsid w:val="00064B95"/>
    <w:rsid w:val="00066A7E"/>
    <w:rsid w:val="00070338"/>
    <w:rsid w:val="0007192E"/>
    <w:rsid w:val="00072930"/>
    <w:rsid w:val="000730E1"/>
    <w:rsid w:val="00073684"/>
    <w:rsid w:val="00075BD2"/>
    <w:rsid w:val="00075FAB"/>
    <w:rsid w:val="0007635F"/>
    <w:rsid w:val="000763CC"/>
    <w:rsid w:val="0007671D"/>
    <w:rsid w:val="000800AC"/>
    <w:rsid w:val="000804E7"/>
    <w:rsid w:val="00080946"/>
    <w:rsid w:val="00081DF2"/>
    <w:rsid w:val="0008230A"/>
    <w:rsid w:val="00082D11"/>
    <w:rsid w:val="000844A2"/>
    <w:rsid w:val="000849F1"/>
    <w:rsid w:val="0008542A"/>
    <w:rsid w:val="00085B6E"/>
    <w:rsid w:val="000869A5"/>
    <w:rsid w:val="00086D80"/>
    <w:rsid w:val="00090D6F"/>
    <w:rsid w:val="00091508"/>
    <w:rsid w:val="00093239"/>
    <w:rsid w:val="00093CF9"/>
    <w:rsid w:val="00094331"/>
    <w:rsid w:val="000944D8"/>
    <w:rsid w:val="000948D4"/>
    <w:rsid w:val="00094F93"/>
    <w:rsid w:val="000967AE"/>
    <w:rsid w:val="000A24C0"/>
    <w:rsid w:val="000A2A67"/>
    <w:rsid w:val="000A3F90"/>
    <w:rsid w:val="000A4E44"/>
    <w:rsid w:val="000A58CC"/>
    <w:rsid w:val="000A63BA"/>
    <w:rsid w:val="000A74F1"/>
    <w:rsid w:val="000A77ED"/>
    <w:rsid w:val="000A7B8F"/>
    <w:rsid w:val="000B0370"/>
    <w:rsid w:val="000B0A5E"/>
    <w:rsid w:val="000B0C92"/>
    <w:rsid w:val="000B1536"/>
    <w:rsid w:val="000B32C8"/>
    <w:rsid w:val="000B418F"/>
    <w:rsid w:val="000B5AB1"/>
    <w:rsid w:val="000B5D79"/>
    <w:rsid w:val="000B675B"/>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855"/>
    <w:rsid w:val="000D11A8"/>
    <w:rsid w:val="000D1B4C"/>
    <w:rsid w:val="000D1E0F"/>
    <w:rsid w:val="000D20D2"/>
    <w:rsid w:val="000D25CC"/>
    <w:rsid w:val="000D2ED1"/>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7B8"/>
    <w:rsid w:val="000F063C"/>
    <w:rsid w:val="000F2D23"/>
    <w:rsid w:val="000F2EDD"/>
    <w:rsid w:val="000F34CB"/>
    <w:rsid w:val="000F34DE"/>
    <w:rsid w:val="000F3501"/>
    <w:rsid w:val="000F37A8"/>
    <w:rsid w:val="000F3CB2"/>
    <w:rsid w:val="000F5D21"/>
    <w:rsid w:val="000F6D7E"/>
    <w:rsid w:val="000F7282"/>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19FF"/>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599"/>
    <w:rsid w:val="00161658"/>
    <w:rsid w:val="00163084"/>
    <w:rsid w:val="0016349A"/>
    <w:rsid w:val="00163780"/>
    <w:rsid w:val="001639CC"/>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653A"/>
    <w:rsid w:val="001775DF"/>
    <w:rsid w:val="0017788D"/>
    <w:rsid w:val="00177CA5"/>
    <w:rsid w:val="00181E9E"/>
    <w:rsid w:val="00183AD5"/>
    <w:rsid w:val="0018435D"/>
    <w:rsid w:val="00184C8E"/>
    <w:rsid w:val="001854A8"/>
    <w:rsid w:val="001854E7"/>
    <w:rsid w:val="00185F07"/>
    <w:rsid w:val="00187007"/>
    <w:rsid w:val="00190999"/>
    <w:rsid w:val="0019100C"/>
    <w:rsid w:val="0019160F"/>
    <w:rsid w:val="0019217F"/>
    <w:rsid w:val="00192D53"/>
    <w:rsid w:val="00192E4B"/>
    <w:rsid w:val="00194538"/>
    <w:rsid w:val="001946FE"/>
    <w:rsid w:val="001972CC"/>
    <w:rsid w:val="001976DD"/>
    <w:rsid w:val="001A1188"/>
    <w:rsid w:val="001A125F"/>
    <w:rsid w:val="001A138D"/>
    <w:rsid w:val="001A17BC"/>
    <w:rsid w:val="001A1F2D"/>
    <w:rsid w:val="001A2857"/>
    <w:rsid w:val="001A2A89"/>
    <w:rsid w:val="001A2DF1"/>
    <w:rsid w:val="001A3634"/>
    <w:rsid w:val="001A38AD"/>
    <w:rsid w:val="001A3B77"/>
    <w:rsid w:val="001A3EBB"/>
    <w:rsid w:val="001A4D5D"/>
    <w:rsid w:val="001A5901"/>
    <w:rsid w:val="001A61E1"/>
    <w:rsid w:val="001A6C1E"/>
    <w:rsid w:val="001A713B"/>
    <w:rsid w:val="001A7217"/>
    <w:rsid w:val="001A7367"/>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5B87"/>
    <w:rsid w:val="001C6012"/>
    <w:rsid w:val="001C66F7"/>
    <w:rsid w:val="001C67B0"/>
    <w:rsid w:val="001C79FA"/>
    <w:rsid w:val="001D0572"/>
    <w:rsid w:val="001D07C9"/>
    <w:rsid w:val="001D1A8B"/>
    <w:rsid w:val="001D393C"/>
    <w:rsid w:val="001D39FC"/>
    <w:rsid w:val="001D3AB5"/>
    <w:rsid w:val="001D47E9"/>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5CF"/>
    <w:rsid w:val="00231B8E"/>
    <w:rsid w:val="00232469"/>
    <w:rsid w:val="002345FF"/>
    <w:rsid w:val="0023495B"/>
    <w:rsid w:val="00234A2F"/>
    <w:rsid w:val="002350A0"/>
    <w:rsid w:val="00235722"/>
    <w:rsid w:val="00237611"/>
    <w:rsid w:val="00237777"/>
    <w:rsid w:val="0024022A"/>
    <w:rsid w:val="00241160"/>
    <w:rsid w:val="00241FD2"/>
    <w:rsid w:val="00244476"/>
    <w:rsid w:val="00244D17"/>
    <w:rsid w:val="00244DAA"/>
    <w:rsid w:val="00246BC2"/>
    <w:rsid w:val="002474CE"/>
    <w:rsid w:val="00250956"/>
    <w:rsid w:val="00252A20"/>
    <w:rsid w:val="00252B41"/>
    <w:rsid w:val="002535F7"/>
    <w:rsid w:val="002538FF"/>
    <w:rsid w:val="002547CE"/>
    <w:rsid w:val="00254B01"/>
    <w:rsid w:val="0025524F"/>
    <w:rsid w:val="00256FDC"/>
    <w:rsid w:val="0025763A"/>
    <w:rsid w:val="00257A6E"/>
    <w:rsid w:val="00257D56"/>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51A"/>
    <w:rsid w:val="00282686"/>
    <w:rsid w:val="00282AC8"/>
    <w:rsid w:val="00284959"/>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18B1"/>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D1D"/>
    <w:rsid w:val="002B78E6"/>
    <w:rsid w:val="002C0074"/>
    <w:rsid w:val="002C04D4"/>
    <w:rsid w:val="002C0804"/>
    <w:rsid w:val="002C2D44"/>
    <w:rsid w:val="002C3A0E"/>
    <w:rsid w:val="002C3B2D"/>
    <w:rsid w:val="002C4715"/>
    <w:rsid w:val="002C4780"/>
    <w:rsid w:val="002C47ED"/>
    <w:rsid w:val="002C481B"/>
    <w:rsid w:val="002C484A"/>
    <w:rsid w:val="002C570D"/>
    <w:rsid w:val="002C5B8F"/>
    <w:rsid w:val="002C61FB"/>
    <w:rsid w:val="002C6339"/>
    <w:rsid w:val="002C6DB3"/>
    <w:rsid w:val="002C6FA8"/>
    <w:rsid w:val="002C7130"/>
    <w:rsid w:val="002D0E3D"/>
    <w:rsid w:val="002D10C8"/>
    <w:rsid w:val="002D1A38"/>
    <w:rsid w:val="002D2553"/>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4C2"/>
    <w:rsid w:val="002F265F"/>
    <w:rsid w:val="002F287A"/>
    <w:rsid w:val="002F2A37"/>
    <w:rsid w:val="002F364F"/>
    <w:rsid w:val="002F3672"/>
    <w:rsid w:val="002F6C6C"/>
    <w:rsid w:val="002F72FA"/>
    <w:rsid w:val="002F76D5"/>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EE"/>
    <w:rsid w:val="00355D3B"/>
    <w:rsid w:val="00356D43"/>
    <w:rsid w:val="0036073F"/>
    <w:rsid w:val="003607B9"/>
    <w:rsid w:val="003629EE"/>
    <w:rsid w:val="003641F0"/>
    <w:rsid w:val="003643B3"/>
    <w:rsid w:val="003646AC"/>
    <w:rsid w:val="00364DE0"/>
    <w:rsid w:val="00364ECD"/>
    <w:rsid w:val="003656E5"/>
    <w:rsid w:val="00365AD3"/>
    <w:rsid w:val="003672CE"/>
    <w:rsid w:val="00370BB1"/>
    <w:rsid w:val="00370EDD"/>
    <w:rsid w:val="003721B2"/>
    <w:rsid w:val="00372328"/>
    <w:rsid w:val="00372E18"/>
    <w:rsid w:val="00373680"/>
    <w:rsid w:val="00373688"/>
    <w:rsid w:val="0037428A"/>
    <w:rsid w:val="00374A4E"/>
    <w:rsid w:val="00374BE8"/>
    <w:rsid w:val="00375EC8"/>
    <w:rsid w:val="003762FD"/>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07F9B"/>
    <w:rsid w:val="00412E24"/>
    <w:rsid w:val="00413903"/>
    <w:rsid w:val="00413B40"/>
    <w:rsid w:val="00413DAD"/>
    <w:rsid w:val="00414836"/>
    <w:rsid w:val="00415050"/>
    <w:rsid w:val="004158FF"/>
    <w:rsid w:val="00415C57"/>
    <w:rsid w:val="00416727"/>
    <w:rsid w:val="00417E3F"/>
    <w:rsid w:val="0042068A"/>
    <w:rsid w:val="004207CF"/>
    <w:rsid w:val="00420907"/>
    <w:rsid w:val="00422DE8"/>
    <w:rsid w:val="00422F2F"/>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61D"/>
    <w:rsid w:val="00437702"/>
    <w:rsid w:val="004401B5"/>
    <w:rsid w:val="00440800"/>
    <w:rsid w:val="00440DF4"/>
    <w:rsid w:val="00442393"/>
    <w:rsid w:val="004424F2"/>
    <w:rsid w:val="00442895"/>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AFE"/>
    <w:rsid w:val="00453BB4"/>
    <w:rsid w:val="00453E1C"/>
    <w:rsid w:val="004540C4"/>
    <w:rsid w:val="00454738"/>
    <w:rsid w:val="00456317"/>
    <w:rsid w:val="00456348"/>
    <w:rsid w:val="0046105E"/>
    <w:rsid w:val="004613B1"/>
    <w:rsid w:val="00461513"/>
    <w:rsid w:val="0046231E"/>
    <w:rsid w:val="0046283C"/>
    <w:rsid w:val="004635E2"/>
    <w:rsid w:val="00463A2B"/>
    <w:rsid w:val="00464688"/>
    <w:rsid w:val="00464CB6"/>
    <w:rsid w:val="0046566E"/>
    <w:rsid w:val="0046739F"/>
    <w:rsid w:val="0047025A"/>
    <w:rsid w:val="0047081C"/>
    <w:rsid w:val="00470B36"/>
    <w:rsid w:val="00471B63"/>
    <w:rsid w:val="00471E56"/>
    <w:rsid w:val="00472092"/>
    <w:rsid w:val="00472700"/>
    <w:rsid w:val="00472C41"/>
    <w:rsid w:val="00473115"/>
    <w:rsid w:val="00473224"/>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08C"/>
    <w:rsid w:val="00485468"/>
    <w:rsid w:val="00485803"/>
    <w:rsid w:val="00485DB6"/>
    <w:rsid w:val="0048655D"/>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C7B88"/>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42C3"/>
    <w:rsid w:val="00594590"/>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26C"/>
    <w:rsid w:val="005B169C"/>
    <w:rsid w:val="005B1B39"/>
    <w:rsid w:val="005B1FAC"/>
    <w:rsid w:val="005B2DD1"/>
    <w:rsid w:val="005B31C8"/>
    <w:rsid w:val="005B3A49"/>
    <w:rsid w:val="005B472E"/>
    <w:rsid w:val="005B4816"/>
    <w:rsid w:val="005B5855"/>
    <w:rsid w:val="005B5C9F"/>
    <w:rsid w:val="005B6626"/>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2F2F"/>
    <w:rsid w:val="005D3493"/>
    <w:rsid w:val="005D3DD3"/>
    <w:rsid w:val="005D3F92"/>
    <w:rsid w:val="005D3FD2"/>
    <w:rsid w:val="005D4F86"/>
    <w:rsid w:val="005D544A"/>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865"/>
    <w:rsid w:val="00605995"/>
    <w:rsid w:val="00606B8B"/>
    <w:rsid w:val="00607049"/>
    <w:rsid w:val="00607B16"/>
    <w:rsid w:val="00607F0A"/>
    <w:rsid w:val="00611B94"/>
    <w:rsid w:val="0061496C"/>
    <w:rsid w:val="00614DFF"/>
    <w:rsid w:val="006158DE"/>
    <w:rsid w:val="00615F70"/>
    <w:rsid w:val="00617125"/>
    <w:rsid w:val="00617813"/>
    <w:rsid w:val="00620176"/>
    <w:rsid w:val="006206CC"/>
    <w:rsid w:val="0062072F"/>
    <w:rsid w:val="00620812"/>
    <w:rsid w:val="00620984"/>
    <w:rsid w:val="00621554"/>
    <w:rsid w:val="00622B06"/>
    <w:rsid w:val="006237B4"/>
    <w:rsid w:val="0062552B"/>
    <w:rsid w:val="006260B4"/>
    <w:rsid w:val="00626821"/>
    <w:rsid w:val="00627163"/>
    <w:rsid w:val="00627561"/>
    <w:rsid w:val="0062768A"/>
    <w:rsid w:val="0062782B"/>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AC"/>
    <w:rsid w:val="0065061D"/>
    <w:rsid w:val="00651230"/>
    <w:rsid w:val="006521D9"/>
    <w:rsid w:val="006521F7"/>
    <w:rsid w:val="00653E8D"/>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673FD"/>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E1A"/>
    <w:rsid w:val="006C767E"/>
    <w:rsid w:val="006D27EF"/>
    <w:rsid w:val="006D499E"/>
    <w:rsid w:val="006D518B"/>
    <w:rsid w:val="006D52D1"/>
    <w:rsid w:val="006E013D"/>
    <w:rsid w:val="006E09B4"/>
    <w:rsid w:val="006E1056"/>
    <w:rsid w:val="006E13E3"/>
    <w:rsid w:val="006E1475"/>
    <w:rsid w:val="006E2DEC"/>
    <w:rsid w:val="006E3145"/>
    <w:rsid w:val="006E3985"/>
    <w:rsid w:val="006E3A2A"/>
    <w:rsid w:val="006E3C4C"/>
    <w:rsid w:val="006E49DE"/>
    <w:rsid w:val="006E4BD4"/>
    <w:rsid w:val="006E4E2A"/>
    <w:rsid w:val="006E5950"/>
    <w:rsid w:val="006E6B65"/>
    <w:rsid w:val="006E6C14"/>
    <w:rsid w:val="006E7637"/>
    <w:rsid w:val="006E7CC5"/>
    <w:rsid w:val="006F1E31"/>
    <w:rsid w:val="006F21C6"/>
    <w:rsid w:val="006F2B0A"/>
    <w:rsid w:val="006F2C12"/>
    <w:rsid w:val="006F2F92"/>
    <w:rsid w:val="006F48DF"/>
    <w:rsid w:val="006F54CB"/>
    <w:rsid w:val="006F6271"/>
    <w:rsid w:val="006F729B"/>
    <w:rsid w:val="006F7E87"/>
    <w:rsid w:val="00700D85"/>
    <w:rsid w:val="0070160E"/>
    <w:rsid w:val="00702887"/>
    <w:rsid w:val="0070499C"/>
    <w:rsid w:val="007049C8"/>
    <w:rsid w:val="007050B1"/>
    <w:rsid w:val="00707096"/>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0AC3"/>
    <w:rsid w:val="00731F1F"/>
    <w:rsid w:val="007332BB"/>
    <w:rsid w:val="00734BB2"/>
    <w:rsid w:val="0073505D"/>
    <w:rsid w:val="007351D1"/>
    <w:rsid w:val="007365AD"/>
    <w:rsid w:val="0073797C"/>
    <w:rsid w:val="0074007F"/>
    <w:rsid w:val="0074154B"/>
    <w:rsid w:val="00742486"/>
    <w:rsid w:val="0074290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64C8"/>
    <w:rsid w:val="00777B16"/>
    <w:rsid w:val="007802A1"/>
    <w:rsid w:val="0078079A"/>
    <w:rsid w:val="00780E72"/>
    <w:rsid w:val="00784508"/>
    <w:rsid w:val="00784885"/>
    <w:rsid w:val="007857AF"/>
    <w:rsid w:val="00785BE3"/>
    <w:rsid w:val="007860B9"/>
    <w:rsid w:val="0078678D"/>
    <w:rsid w:val="007867FB"/>
    <w:rsid w:val="00786AE8"/>
    <w:rsid w:val="007914E4"/>
    <w:rsid w:val="00791BE3"/>
    <w:rsid w:val="00791DC2"/>
    <w:rsid w:val="00791E58"/>
    <w:rsid w:val="00792364"/>
    <w:rsid w:val="00792F6E"/>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602"/>
    <w:rsid w:val="007A7683"/>
    <w:rsid w:val="007B0118"/>
    <w:rsid w:val="007B02B9"/>
    <w:rsid w:val="007B1AED"/>
    <w:rsid w:val="007B22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E4C"/>
    <w:rsid w:val="00834D56"/>
    <w:rsid w:val="0083555E"/>
    <w:rsid w:val="008361C3"/>
    <w:rsid w:val="00836224"/>
    <w:rsid w:val="00836DC1"/>
    <w:rsid w:val="00837BE4"/>
    <w:rsid w:val="00840559"/>
    <w:rsid w:val="008421F7"/>
    <w:rsid w:val="00842519"/>
    <w:rsid w:val="00842A68"/>
    <w:rsid w:val="00843153"/>
    <w:rsid w:val="00843908"/>
    <w:rsid w:val="008441F5"/>
    <w:rsid w:val="008444BC"/>
    <w:rsid w:val="008446B5"/>
    <w:rsid w:val="00845D12"/>
    <w:rsid w:val="00846713"/>
    <w:rsid w:val="00846AC8"/>
    <w:rsid w:val="00846CCC"/>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86F73"/>
    <w:rsid w:val="0089031E"/>
    <w:rsid w:val="0089067B"/>
    <w:rsid w:val="00891381"/>
    <w:rsid w:val="008920EF"/>
    <w:rsid w:val="0089412A"/>
    <w:rsid w:val="00894B33"/>
    <w:rsid w:val="00896532"/>
    <w:rsid w:val="0089666C"/>
    <w:rsid w:val="00896AD4"/>
    <w:rsid w:val="008974A5"/>
    <w:rsid w:val="008A015E"/>
    <w:rsid w:val="008A0AC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7F8"/>
    <w:rsid w:val="008B1A5A"/>
    <w:rsid w:val="008B2F39"/>
    <w:rsid w:val="008B382F"/>
    <w:rsid w:val="008B4590"/>
    <w:rsid w:val="008B49B9"/>
    <w:rsid w:val="008B551D"/>
    <w:rsid w:val="008B5AB4"/>
    <w:rsid w:val="008B64A5"/>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4F4"/>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677C"/>
    <w:rsid w:val="0093681A"/>
    <w:rsid w:val="00936B46"/>
    <w:rsid w:val="00941D44"/>
    <w:rsid w:val="0094424D"/>
    <w:rsid w:val="009457AE"/>
    <w:rsid w:val="00945A61"/>
    <w:rsid w:val="00945BAD"/>
    <w:rsid w:val="00946C27"/>
    <w:rsid w:val="00946D27"/>
    <w:rsid w:val="00947D99"/>
    <w:rsid w:val="00950154"/>
    <w:rsid w:val="00950A03"/>
    <w:rsid w:val="009513B0"/>
    <w:rsid w:val="00951E78"/>
    <w:rsid w:val="00953054"/>
    <w:rsid w:val="00953A04"/>
    <w:rsid w:val="009541DD"/>
    <w:rsid w:val="0095465F"/>
    <w:rsid w:val="009548C1"/>
    <w:rsid w:val="00955323"/>
    <w:rsid w:val="009563A5"/>
    <w:rsid w:val="00956868"/>
    <w:rsid w:val="009574A3"/>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27A"/>
    <w:rsid w:val="00973878"/>
    <w:rsid w:val="00974907"/>
    <w:rsid w:val="00975768"/>
    <w:rsid w:val="00977C40"/>
    <w:rsid w:val="00980FE9"/>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164"/>
    <w:rsid w:val="009C0940"/>
    <w:rsid w:val="009C125E"/>
    <w:rsid w:val="009C1D99"/>
    <w:rsid w:val="009C1F8B"/>
    <w:rsid w:val="009C2099"/>
    <w:rsid w:val="009C20A8"/>
    <w:rsid w:val="009C2F43"/>
    <w:rsid w:val="009C3701"/>
    <w:rsid w:val="009C46AE"/>
    <w:rsid w:val="009C4A2E"/>
    <w:rsid w:val="009C5625"/>
    <w:rsid w:val="009C66AA"/>
    <w:rsid w:val="009C7053"/>
    <w:rsid w:val="009C717B"/>
    <w:rsid w:val="009D232B"/>
    <w:rsid w:val="009D2384"/>
    <w:rsid w:val="009D3240"/>
    <w:rsid w:val="009D3A6E"/>
    <w:rsid w:val="009D4647"/>
    <w:rsid w:val="009D4C4C"/>
    <w:rsid w:val="009D554C"/>
    <w:rsid w:val="009D61D9"/>
    <w:rsid w:val="009D624D"/>
    <w:rsid w:val="009D6EC9"/>
    <w:rsid w:val="009D7380"/>
    <w:rsid w:val="009D7581"/>
    <w:rsid w:val="009D7724"/>
    <w:rsid w:val="009E0583"/>
    <w:rsid w:val="009E0AB4"/>
    <w:rsid w:val="009E1FA4"/>
    <w:rsid w:val="009E21FE"/>
    <w:rsid w:val="009E23A1"/>
    <w:rsid w:val="009E2906"/>
    <w:rsid w:val="009E3562"/>
    <w:rsid w:val="009E4814"/>
    <w:rsid w:val="009E4942"/>
    <w:rsid w:val="009E7975"/>
    <w:rsid w:val="009F089F"/>
    <w:rsid w:val="009F0B67"/>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13A4"/>
    <w:rsid w:val="00A235D0"/>
    <w:rsid w:val="00A24E56"/>
    <w:rsid w:val="00A266E1"/>
    <w:rsid w:val="00A27A7F"/>
    <w:rsid w:val="00A3119C"/>
    <w:rsid w:val="00A32355"/>
    <w:rsid w:val="00A3276A"/>
    <w:rsid w:val="00A32E8C"/>
    <w:rsid w:val="00A32FAD"/>
    <w:rsid w:val="00A33705"/>
    <w:rsid w:val="00A33D3A"/>
    <w:rsid w:val="00A345A3"/>
    <w:rsid w:val="00A348A1"/>
    <w:rsid w:val="00A349D2"/>
    <w:rsid w:val="00A35492"/>
    <w:rsid w:val="00A36E2B"/>
    <w:rsid w:val="00A371F7"/>
    <w:rsid w:val="00A37596"/>
    <w:rsid w:val="00A4044E"/>
    <w:rsid w:val="00A4088D"/>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6228"/>
    <w:rsid w:val="00AA69A4"/>
    <w:rsid w:val="00AA7382"/>
    <w:rsid w:val="00AB0C23"/>
    <w:rsid w:val="00AB2006"/>
    <w:rsid w:val="00AB2744"/>
    <w:rsid w:val="00AB274F"/>
    <w:rsid w:val="00AB2D31"/>
    <w:rsid w:val="00AB5F30"/>
    <w:rsid w:val="00AB6BE3"/>
    <w:rsid w:val="00AC067E"/>
    <w:rsid w:val="00AC096D"/>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569"/>
    <w:rsid w:val="00AD0B3C"/>
    <w:rsid w:val="00AD0F54"/>
    <w:rsid w:val="00AD1CC0"/>
    <w:rsid w:val="00AD225D"/>
    <w:rsid w:val="00AD22B5"/>
    <w:rsid w:val="00AD3DB4"/>
    <w:rsid w:val="00AD4C0A"/>
    <w:rsid w:val="00AD5106"/>
    <w:rsid w:val="00AD5D95"/>
    <w:rsid w:val="00AD5ECA"/>
    <w:rsid w:val="00AD6024"/>
    <w:rsid w:val="00AD69A6"/>
    <w:rsid w:val="00AD6F04"/>
    <w:rsid w:val="00AE3B0B"/>
    <w:rsid w:val="00AE567C"/>
    <w:rsid w:val="00AE5853"/>
    <w:rsid w:val="00AE5A72"/>
    <w:rsid w:val="00AE5D6F"/>
    <w:rsid w:val="00AE69CC"/>
    <w:rsid w:val="00AE7935"/>
    <w:rsid w:val="00AE7FE4"/>
    <w:rsid w:val="00AF149D"/>
    <w:rsid w:val="00AF1CCA"/>
    <w:rsid w:val="00AF1F04"/>
    <w:rsid w:val="00AF3D59"/>
    <w:rsid w:val="00AF47BE"/>
    <w:rsid w:val="00AF623F"/>
    <w:rsid w:val="00AF6794"/>
    <w:rsid w:val="00B016F7"/>
    <w:rsid w:val="00B02BDD"/>
    <w:rsid w:val="00B055B9"/>
    <w:rsid w:val="00B059CC"/>
    <w:rsid w:val="00B10171"/>
    <w:rsid w:val="00B11372"/>
    <w:rsid w:val="00B11CB2"/>
    <w:rsid w:val="00B1200C"/>
    <w:rsid w:val="00B138BB"/>
    <w:rsid w:val="00B13D85"/>
    <w:rsid w:val="00B1414A"/>
    <w:rsid w:val="00B15BD0"/>
    <w:rsid w:val="00B16296"/>
    <w:rsid w:val="00B16DEE"/>
    <w:rsid w:val="00B16FCC"/>
    <w:rsid w:val="00B1786A"/>
    <w:rsid w:val="00B206D8"/>
    <w:rsid w:val="00B216E2"/>
    <w:rsid w:val="00B21C9A"/>
    <w:rsid w:val="00B23627"/>
    <w:rsid w:val="00B23909"/>
    <w:rsid w:val="00B24217"/>
    <w:rsid w:val="00B249F0"/>
    <w:rsid w:val="00B25BF3"/>
    <w:rsid w:val="00B25D17"/>
    <w:rsid w:val="00B275EA"/>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62C1"/>
    <w:rsid w:val="00B47CBE"/>
    <w:rsid w:val="00B47D0D"/>
    <w:rsid w:val="00B47D39"/>
    <w:rsid w:val="00B51454"/>
    <w:rsid w:val="00B51B82"/>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A94"/>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2938"/>
    <w:rsid w:val="00BA3241"/>
    <w:rsid w:val="00BA33E2"/>
    <w:rsid w:val="00BA3DCE"/>
    <w:rsid w:val="00BA4923"/>
    <w:rsid w:val="00BA4EEA"/>
    <w:rsid w:val="00BA4F66"/>
    <w:rsid w:val="00BA5A80"/>
    <w:rsid w:val="00BA71D7"/>
    <w:rsid w:val="00BA7987"/>
    <w:rsid w:val="00BA7AAE"/>
    <w:rsid w:val="00BA7CFA"/>
    <w:rsid w:val="00BA7E8B"/>
    <w:rsid w:val="00BB04E3"/>
    <w:rsid w:val="00BB0919"/>
    <w:rsid w:val="00BB1309"/>
    <w:rsid w:val="00BB16B8"/>
    <w:rsid w:val="00BB2592"/>
    <w:rsid w:val="00BB2C94"/>
    <w:rsid w:val="00BB3156"/>
    <w:rsid w:val="00BB3C9C"/>
    <w:rsid w:val="00BB594C"/>
    <w:rsid w:val="00BB5CA9"/>
    <w:rsid w:val="00BB6662"/>
    <w:rsid w:val="00BC0361"/>
    <w:rsid w:val="00BC0788"/>
    <w:rsid w:val="00BC0CE4"/>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3D4"/>
    <w:rsid w:val="00BE0C95"/>
    <w:rsid w:val="00BE1300"/>
    <w:rsid w:val="00BE2314"/>
    <w:rsid w:val="00BE309D"/>
    <w:rsid w:val="00BE3967"/>
    <w:rsid w:val="00BE545A"/>
    <w:rsid w:val="00BE5E11"/>
    <w:rsid w:val="00BE6C95"/>
    <w:rsid w:val="00BE74FA"/>
    <w:rsid w:val="00BE75D9"/>
    <w:rsid w:val="00BF055D"/>
    <w:rsid w:val="00BF0A54"/>
    <w:rsid w:val="00BF0F1C"/>
    <w:rsid w:val="00BF1B7F"/>
    <w:rsid w:val="00BF2A79"/>
    <w:rsid w:val="00BF2C41"/>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1482"/>
    <w:rsid w:val="00C12B37"/>
    <w:rsid w:val="00C13AEF"/>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4B44"/>
    <w:rsid w:val="00C36D48"/>
    <w:rsid w:val="00C37DED"/>
    <w:rsid w:val="00C40541"/>
    <w:rsid w:val="00C4085C"/>
    <w:rsid w:val="00C40FE3"/>
    <w:rsid w:val="00C41015"/>
    <w:rsid w:val="00C41CA7"/>
    <w:rsid w:val="00C43166"/>
    <w:rsid w:val="00C43EDF"/>
    <w:rsid w:val="00C43FC1"/>
    <w:rsid w:val="00C43FEF"/>
    <w:rsid w:val="00C4418A"/>
    <w:rsid w:val="00C44811"/>
    <w:rsid w:val="00C45194"/>
    <w:rsid w:val="00C454B0"/>
    <w:rsid w:val="00C45BF0"/>
    <w:rsid w:val="00C465D1"/>
    <w:rsid w:val="00C465FA"/>
    <w:rsid w:val="00C47330"/>
    <w:rsid w:val="00C47468"/>
    <w:rsid w:val="00C475CD"/>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2C86"/>
    <w:rsid w:val="00CB3524"/>
    <w:rsid w:val="00CB3C69"/>
    <w:rsid w:val="00CB57BF"/>
    <w:rsid w:val="00CB6D7D"/>
    <w:rsid w:val="00CB6EE8"/>
    <w:rsid w:val="00CB7FE7"/>
    <w:rsid w:val="00CC1AA5"/>
    <w:rsid w:val="00CC2DE4"/>
    <w:rsid w:val="00CC360E"/>
    <w:rsid w:val="00CC3D79"/>
    <w:rsid w:val="00CC46A9"/>
    <w:rsid w:val="00CC48D6"/>
    <w:rsid w:val="00CC5F83"/>
    <w:rsid w:val="00CC76D0"/>
    <w:rsid w:val="00CC7FEE"/>
    <w:rsid w:val="00CD221B"/>
    <w:rsid w:val="00CD296A"/>
    <w:rsid w:val="00CD3616"/>
    <w:rsid w:val="00CD3D8C"/>
    <w:rsid w:val="00CD3DC7"/>
    <w:rsid w:val="00CD4DB2"/>
    <w:rsid w:val="00CD5543"/>
    <w:rsid w:val="00CD5CAA"/>
    <w:rsid w:val="00CD6866"/>
    <w:rsid w:val="00CD76D4"/>
    <w:rsid w:val="00CD7893"/>
    <w:rsid w:val="00CE03CC"/>
    <w:rsid w:val="00CE0D44"/>
    <w:rsid w:val="00CE0E42"/>
    <w:rsid w:val="00CE24C5"/>
    <w:rsid w:val="00CE2827"/>
    <w:rsid w:val="00CE4A83"/>
    <w:rsid w:val="00CE5082"/>
    <w:rsid w:val="00CE5729"/>
    <w:rsid w:val="00CE66D8"/>
    <w:rsid w:val="00CE670C"/>
    <w:rsid w:val="00CE6C5A"/>
    <w:rsid w:val="00CE7724"/>
    <w:rsid w:val="00CE7E6A"/>
    <w:rsid w:val="00CF030B"/>
    <w:rsid w:val="00CF23A2"/>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2C5F"/>
    <w:rsid w:val="00D12D70"/>
    <w:rsid w:val="00D12EE7"/>
    <w:rsid w:val="00D130AF"/>
    <w:rsid w:val="00D1373C"/>
    <w:rsid w:val="00D1418F"/>
    <w:rsid w:val="00D15162"/>
    <w:rsid w:val="00D1674E"/>
    <w:rsid w:val="00D16EC5"/>
    <w:rsid w:val="00D17702"/>
    <w:rsid w:val="00D17C3D"/>
    <w:rsid w:val="00D20924"/>
    <w:rsid w:val="00D225CB"/>
    <w:rsid w:val="00D23EC0"/>
    <w:rsid w:val="00D24BA0"/>
    <w:rsid w:val="00D25A9F"/>
    <w:rsid w:val="00D2734A"/>
    <w:rsid w:val="00D2744D"/>
    <w:rsid w:val="00D276CF"/>
    <w:rsid w:val="00D27D9F"/>
    <w:rsid w:val="00D27FD7"/>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495"/>
    <w:rsid w:val="00D3789A"/>
    <w:rsid w:val="00D406EC"/>
    <w:rsid w:val="00D407B7"/>
    <w:rsid w:val="00D408E9"/>
    <w:rsid w:val="00D409B3"/>
    <w:rsid w:val="00D40DD6"/>
    <w:rsid w:val="00D41D2C"/>
    <w:rsid w:val="00D41E2D"/>
    <w:rsid w:val="00D4287D"/>
    <w:rsid w:val="00D42957"/>
    <w:rsid w:val="00D4409E"/>
    <w:rsid w:val="00D44EAC"/>
    <w:rsid w:val="00D47265"/>
    <w:rsid w:val="00D472EB"/>
    <w:rsid w:val="00D4793C"/>
    <w:rsid w:val="00D53F55"/>
    <w:rsid w:val="00D55346"/>
    <w:rsid w:val="00D56485"/>
    <w:rsid w:val="00D57066"/>
    <w:rsid w:val="00D614CF"/>
    <w:rsid w:val="00D61B2A"/>
    <w:rsid w:val="00D62723"/>
    <w:rsid w:val="00D63990"/>
    <w:rsid w:val="00D6404D"/>
    <w:rsid w:val="00D64632"/>
    <w:rsid w:val="00D65068"/>
    <w:rsid w:val="00D65243"/>
    <w:rsid w:val="00D658A1"/>
    <w:rsid w:val="00D675ED"/>
    <w:rsid w:val="00D70F0E"/>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FFF"/>
    <w:rsid w:val="00D8510C"/>
    <w:rsid w:val="00D85885"/>
    <w:rsid w:val="00D85A93"/>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F73"/>
    <w:rsid w:val="00D963CC"/>
    <w:rsid w:val="00D96E40"/>
    <w:rsid w:val="00D96EB7"/>
    <w:rsid w:val="00D9728D"/>
    <w:rsid w:val="00DA0C4C"/>
    <w:rsid w:val="00DA0D61"/>
    <w:rsid w:val="00DA1BEE"/>
    <w:rsid w:val="00DA3A4F"/>
    <w:rsid w:val="00DA42C0"/>
    <w:rsid w:val="00DA52A2"/>
    <w:rsid w:val="00DA61FD"/>
    <w:rsid w:val="00DA6876"/>
    <w:rsid w:val="00DA693C"/>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E0D83"/>
    <w:rsid w:val="00DE0F77"/>
    <w:rsid w:val="00DE0FC0"/>
    <w:rsid w:val="00DE224D"/>
    <w:rsid w:val="00DE2866"/>
    <w:rsid w:val="00DE3A31"/>
    <w:rsid w:val="00DE3ED4"/>
    <w:rsid w:val="00DE47A8"/>
    <w:rsid w:val="00DE53F5"/>
    <w:rsid w:val="00DE573B"/>
    <w:rsid w:val="00DE58ED"/>
    <w:rsid w:val="00DE608A"/>
    <w:rsid w:val="00DE761E"/>
    <w:rsid w:val="00DE7E44"/>
    <w:rsid w:val="00DF074E"/>
    <w:rsid w:val="00DF13A5"/>
    <w:rsid w:val="00DF13EF"/>
    <w:rsid w:val="00DF178A"/>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124"/>
    <w:rsid w:val="00E10739"/>
    <w:rsid w:val="00E10C25"/>
    <w:rsid w:val="00E1123F"/>
    <w:rsid w:val="00E11924"/>
    <w:rsid w:val="00E12D1C"/>
    <w:rsid w:val="00E1327D"/>
    <w:rsid w:val="00E13842"/>
    <w:rsid w:val="00E142AF"/>
    <w:rsid w:val="00E14317"/>
    <w:rsid w:val="00E147FB"/>
    <w:rsid w:val="00E14EF0"/>
    <w:rsid w:val="00E15A6C"/>
    <w:rsid w:val="00E16412"/>
    <w:rsid w:val="00E165DD"/>
    <w:rsid w:val="00E177DE"/>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4706"/>
    <w:rsid w:val="00E34942"/>
    <w:rsid w:val="00E357A8"/>
    <w:rsid w:val="00E35EA3"/>
    <w:rsid w:val="00E37290"/>
    <w:rsid w:val="00E37AE3"/>
    <w:rsid w:val="00E41C80"/>
    <w:rsid w:val="00E42427"/>
    <w:rsid w:val="00E43ABE"/>
    <w:rsid w:val="00E43FC4"/>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5731E"/>
    <w:rsid w:val="00E57F9C"/>
    <w:rsid w:val="00E600D2"/>
    <w:rsid w:val="00E601CE"/>
    <w:rsid w:val="00E602CF"/>
    <w:rsid w:val="00E60719"/>
    <w:rsid w:val="00E61EE8"/>
    <w:rsid w:val="00E62441"/>
    <w:rsid w:val="00E63879"/>
    <w:rsid w:val="00E63CF5"/>
    <w:rsid w:val="00E64036"/>
    <w:rsid w:val="00E64EF0"/>
    <w:rsid w:val="00E66EE6"/>
    <w:rsid w:val="00E71633"/>
    <w:rsid w:val="00E72689"/>
    <w:rsid w:val="00E72CBD"/>
    <w:rsid w:val="00E730AA"/>
    <w:rsid w:val="00E730DE"/>
    <w:rsid w:val="00E73195"/>
    <w:rsid w:val="00E73682"/>
    <w:rsid w:val="00E73A2E"/>
    <w:rsid w:val="00E752CA"/>
    <w:rsid w:val="00E767B9"/>
    <w:rsid w:val="00E76F52"/>
    <w:rsid w:val="00E77951"/>
    <w:rsid w:val="00E80774"/>
    <w:rsid w:val="00E815A9"/>
    <w:rsid w:val="00E828A5"/>
    <w:rsid w:val="00E82B54"/>
    <w:rsid w:val="00E83035"/>
    <w:rsid w:val="00E83095"/>
    <w:rsid w:val="00E838B2"/>
    <w:rsid w:val="00E84521"/>
    <w:rsid w:val="00E856B0"/>
    <w:rsid w:val="00E85D3F"/>
    <w:rsid w:val="00E867B1"/>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32F"/>
    <w:rsid w:val="00E95684"/>
    <w:rsid w:val="00E969D2"/>
    <w:rsid w:val="00E96EDD"/>
    <w:rsid w:val="00EA0CA1"/>
    <w:rsid w:val="00EA0DB8"/>
    <w:rsid w:val="00EA0E17"/>
    <w:rsid w:val="00EA3249"/>
    <w:rsid w:val="00EA3C59"/>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C064C"/>
    <w:rsid w:val="00EC0BFA"/>
    <w:rsid w:val="00EC115D"/>
    <w:rsid w:val="00EC2222"/>
    <w:rsid w:val="00EC239D"/>
    <w:rsid w:val="00EC2D83"/>
    <w:rsid w:val="00EC3328"/>
    <w:rsid w:val="00EC34A9"/>
    <w:rsid w:val="00EC3934"/>
    <w:rsid w:val="00EC3BEB"/>
    <w:rsid w:val="00EC3C4B"/>
    <w:rsid w:val="00EC4708"/>
    <w:rsid w:val="00EC7352"/>
    <w:rsid w:val="00ED007B"/>
    <w:rsid w:val="00ED0348"/>
    <w:rsid w:val="00ED11BD"/>
    <w:rsid w:val="00ED1395"/>
    <w:rsid w:val="00ED163A"/>
    <w:rsid w:val="00ED2270"/>
    <w:rsid w:val="00ED512E"/>
    <w:rsid w:val="00ED541F"/>
    <w:rsid w:val="00ED5AF4"/>
    <w:rsid w:val="00ED7CCE"/>
    <w:rsid w:val="00EE0293"/>
    <w:rsid w:val="00EE048D"/>
    <w:rsid w:val="00EE04E9"/>
    <w:rsid w:val="00EE09CF"/>
    <w:rsid w:val="00EE0ACB"/>
    <w:rsid w:val="00EE107C"/>
    <w:rsid w:val="00EE1343"/>
    <w:rsid w:val="00EE280E"/>
    <w:rsid w:val="00EE3641"/>
    <w:rsid w:val="00EE3E9C"/>
    <w:rsid w:val="00EE4319"/>
    <w:rsid w:val="00EE43A8"/>
    <w:rsid w:val="00EE4D4C"/>
    <w:rsid w:val="00EE4FBE"/>
    <w:rsid w:val="00EE73F2"/>
    <w:rsid w:val="00EF03E7"/>
    <w:rsid w:val="00EF0539"/>
    <w:rsid w:val="00EF1AD7"/>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8F4"/>
    <w:rsid w:val="00F05DE1"/>
    <w:rsid w:val="00F06692"/>
    <w:rsid w:val="00F07200"/>
    <w:rsid w:val="00F07353"/>
    <w:rsid w:val="00F104E6"/>
    <w:rsid w:val="00F10D6B"/>
    <w:rsid w:val="00F11ACD"/>
    <w:rsid w:val="00F120C4"/>
    <w:rsid w:val="00F12139"/>
    <w:rsid w:val="00F123F5"/>
    <w:rsid w:val="00F12CDC"/>
    <w:rsid w:val="00F13A46"/>
    <w:rsid w:val="00F13E45"/>
    <w:rsid w:val="00F147C6"/>
    <w:rsid w:val="00F152E2"/>
    <w:rsid w:val="00F158B6"/>
    <w:rsid w:val="00F160E5"/>
    <w:rsid w:val="00F17FAE"/>
    <w:rsid w:val="00F21705"/>
    <w:rsid w:val="00F231FC"/>
    <w:rsid w:val="00F23AEF"/>
    <w:rsid w:val="00F24D2E"/>
    <w:rsid w:val="00F24D34"/>
    <w:rsid w:val="00F257D6"/>
    <w:rsid w:val="00F25E84"/>
    <w:rsid w:val="00F2706D"/>
    <w:rsid w:val="00F27818"/>
    <w:rsid w:val="00F27ADB"/>
    <w:rsid w:val="00F3072D"/>
    <w:rsid w:val="00F31039"/>
    <w:rsid w:val="00F31178"/>
    <w:rsid w:val="00F317F5"/>
    <w:rsid w:val="00F31A7A"/>
    <w:rsid w:val="00F31D0B"/>
    <w:rsid w:val="00F3223E"/>
    <w:rsid w:val="00F32971"/>
    <w:rsid w:val="00F3400B"/>
    <w:rsid w:val="00F344EE"/>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4F44"/>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183"/>
    <w:rsid w:val="00F80B93"/>
    <w:rsid w:val="00F81136"/>
    <w:rsid w:val="00F81620"/>
    <w:rsid w:val="00F82323"/>
    <w:rsid w:val="00F827AD"/>
    <w:rsid w:val="00F8404A"/>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3191"/>
    <w:rsid w:val="00FA3B14"/>
    <w:rsid w:val="00FA4681"/>
    <w:rsid w:val="00FA506D"/>
    <w:rsid w:val="00FA5AE3"/>
    <w:rsid w:val="00FA602E"/>
    <w:rsid w:val="00FA7073"/>
    <w:rsid w:val="00FA73DD"/>
    <w:rsid w:val="00FA78F3"/>
    <w:rsid w:val="00FB034D"/>
    <w:rsid w:val="00FB0B57"/>
    <w:rsid w:val="00FB13C2"/>
    <w:rsid w:val="00FB229D"/>
    <w:rsid w:val="00FB380D"/>
    <w:rsid w:val="00FB3C33"/>
    <w:rsid w:val="00FB3D6A"/>
    <w:rsid w:val="00FB4154"/>
    <w:rsid w:val="00FB4196"/>
    <w:rsid w:val="00FB462E"/>
    <w:rsid w:val="00FB50B4"/>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22AA"/>
    <w:rsid w:val="00FD2D42"/>
    <w:rsid w:val="00FD38A5"/>
    <w:rsid w:val="00FD4AEA"/>
    <w:rsid w:val="00FD4B65"/>
    <w:rsid w:val="00FD5D3B"/>
    <w:rsid w:val="00FD6729"/>
    <w:rsid w:val="00FD7EFE"/>
    <w:rsid w:val="00FE192F"/>
    <w:rsid w:val="00FE2025"/>
    <w:rsid w:val="00FE2D9D"/>
    <w:rsid w:val="00FE2FD5"/>
    <w:rsid w:val="00FE3280"/>
    <w:rsid w:val="00FE4790"/>
    <w:rsid w:val="00FE49E3"/>
    <w:rsid w:val="00FE4CD6"/>
    <w:rsid w:val="00FE4E1B"/>
    <w:rsid w:val="00FE7078"/>
    <w:rsid w:val="00FE737F"/>
    <w:rsid w:val="00FE7904"/>
    <w:rsid w:val="00FE79C6"/>
    <w:rsid w:val="00FE7DA8"/>
    <w:rsid w:val="00FF0008"/>
    <w:rsid w:val="00FF078C"/>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9DE"/>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style>
  <w:style w:type="paragraph" w:styleId="Lista2">
    <w:name w:val="List 2"/>
    <w:basedOn w:val="Normal"/>
    <w:uiPriority w:val="99"/>
    <w:unhideWhenUsed/>
    <w:rsid w:val="009C46AE"/>
    <w:pPr>
      <w:ind w:left="566" w:hanging="283"/>
      <w:contextualSpacing/>
    </w:pPr>
  </w:style>
  <w:style w:type="paragraph" w:styleId="Sangradetextonormal">
    <w:name w:val="Body Text Indent"/>
    <w:basedOn w:val="Normal"/>
    <w:link w:val="SangradetextonormalCar"/>
    <w:uiPriority w:val="99"/>
    <w:semiHidden/>
    <w:unhideWhenUsed/>
    <w:rsid w:val="009C46AE"/>
    <w:pPr>
      <w:spacing w:after="120"/>
      <w:ind w:left="283"/>
    </w:p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 w:type="paragraph" w:styleId="Textosinformato">
    <w:name w:val="Plain Text"/>
    <w:basedOn w:val="Normal"/>
    <w:link w:val="TextosinformatoCar"/>
    <w:rsid w:val="00FD2D42"/>
    <w:rPr>
      <w:rFonts w:ascii="Courier New" w:hAnsi="Courier New"/>
      <w:sz w:val="20"/>
      <w:szCs w:val="20"/>
      <w:lang w:val="es-ES"/>
    </w:rPr>
  </w:style>
  <w:style w:type="character" w:customStyle="1" w:styleId="TextosinformatoCar">
    <w:name w:val="Texto sin formato Car"/>
    <w:basedOn w:val="Fuentedeprrafopredeter"/>
    <w:link w:val="Textosinformato"/>
    <w:rsid w:val="00FD2D42"/>
    <w:rPr>
      <w:rFonts w:ascii="Courier New" w:eastAsia="Times New Roman" w:hAnsi="Courier New" w:cs="Times New Roman"/>
      <w:sz w:val="20"/>
      <w:szCs w:val="20"/>
      <w:lang w:val="es-ES"/>
    </w:rPr>
  </w:style>
  <w:style w:type="character" w:customStyle="1" w:styleId="UnresolvedMention">
    <w:name w:val="Unresolved Mention"/>
    <w:basedOn w:val="Fuentedeprrafopredeter"/>
    <w:uiPriority w:val="99"/>
    <w:semiHidden/>
    <w:unhideWhenUsed/>
    <w:rsid w:val="00163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5301405">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007144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61879019">
      <w:bodyDiv w:val="1"/>
      <w:marLeft w:val="0"/>
      <w:marRight w:val="0"/>
      <w:marTop w:val="0"/>
      <w:marBottom w:val="0"/>
      <w:divBdr>
        <w:top w:val="none" w:sz="0" w:space="0" w:color="auto"/>
        <w:left w:val="none" w:sz="0" w:space="0" w:color="auto"/>
        <w:bottom w:val="none" w:sz="0" w:space="0" w:color="auto"/>
        <w:right w:val="none" w:sz="0" w:space="0" w:color="auto"/>
      </w:divBdr>
    </w:div>
    <w:div w:id="776944627">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1722218">
      <w:bodyDiv w:val="1"/>
      <w:marLeft w:val="0"/>
      <w:marRight w:val="0"/>
      <w:marTop w:val="0"/>
      <w:marBottom w:val="0"/>
      <w:divBdr>
        <w:top w:val="none" w:sz="0" w:space="0" w:color="auto"/>
        <w:left w:val="none" w:sz="0" w:space="0" w:color="auto"/>
        <w:bottom w:val="none" w:sz="0" w:space="0" w:color="auto"/>
        <w:right w:val="none" w:sz="0" w:space="0" w:color="auto"/>
      </w:divBdr>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07947098">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1230289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3868192">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25896132">
      <w:bodyDiv w:val="1"/>
      <w:marLeft w:val="0"/>
      <w:marRight w:val="0"/>
      <w:marTop w:val="0"/>
      <w:marBottom w:val="0"/>
      <w:divBdr>
        <w:top w:val="none" w:sz="0" w:space="0" w:color="auto"/>
        <w:left w:val="none" w:sz="0" w:space="0" w:color="auto"/>
        <w:bottom w:val="none" w:sz="0" w:space="0" w:color="auto"/>
        <w:right w:val="none" w:sz="0" w:space="0" w:color="auto"/>
      </w:divBdr>
    </w:div>
    <w:div w:id="162511490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29187571">
      <w:bodyDiv w:val="1"/>
      <w:marLeft w:val="0"/>
      <w:marRight w:val="0"/>
      <w:marTop w:val="0"/>
      <w:marBottom w:val="0"/>
      <w:divBdr>
        <w:top w:val="none" w:sz="0" w:space="0" w:color="auto"/>
        <w:left w:val="none" w:sz="0" w:space="0" w:color="auto"/>
        <w:bottom w:val="none" w:sz="0" w:space="0" w:color="auto"/>
        <w:right w:val="none" w:sz="0" w:space="0" w:color="auto"/>
      </w:divBdr>
    </w:div>
    <w:div w:id="1750274502">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813404865">
      <w:bodyDiv w:val="1"/>
      <w:marLeft w:val="0"/>
      <w:marRight w:val="0"/>
      <w:marTop w:val="0"/>
      <w:marBottom w:val="0"/>
      <w:divBdr>
        <w:top w:val="none" w:sz="0" w:space="0" w:color="auto"/>
        <w:left w:val="none" w:sz="0" w:space="0" w:color="auto"/>
        <w:bottom w:val="none" w:sz="0" w:space="0" w:color="auto"/>
        <w:right w:val="none" w:sz="0" w:space="0" w:color="auto"/>
      </w:divBdr>
    </w:div>
    <w:div w:id="1816794511">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6157636">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43819337">
      <w:bodyDiv w:val="1"/>
      <w:marLeft w:val="0"/>
      <w:marRight w:val="0"/>
      <w:marTop w:val="0"/>
      <w:marBottom w:val="0"/>
      <w:divBdr>
        <w:top w:val="none" w:sz="0" w:space="0" w:color="auto"/>
        <w:left w:val="none" w:sz="0" w:space="0" w:color="auto"/>
        <w:bottom w:val="none" w:sz="0" w:space="0" w:color="auto"/>
        <w:right w:val="none" w:sz="0" w:space="0" w:color="auto"/>
      </w:divBdr>
    </w:div>
    <w:div w:id="2099710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gi.edomex.gob.mx/sites/dgi.edomex.gob.mx/files/organigramas/pdf/22891512618261.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B8C91-E98E-4810-B622-2AABB88D3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10264</Words>
  <Characters>56454</Characters>
  <Application>Microsoft Office Word</Application>
  <DocSecurity>0</DocSecurity>
  <Lines>470</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ESTELA infoem</cp:lastModifiedBy>
  <cp:revision>2</cp:revision>
  <cp:lastPrinted>2019-01-21T23:42:00Z</cp:lastPrinted>
  <dcterms:created xsi:type="dcterms:W3CDTF">2022-03-07T21:24:00Z</dcterms:created>
  <dcterms:modified xsi:type="dcterms:W3CDTF">2022-03-07T21:24:00Z</dcterms:modified>
</cp:coreProperties>
</file>