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C6F" w:rsidRDefault="00E462DA">
      <w:pPr>
        <w:spacing w:before="240" w:after="240" w:line="360" w:lineRule="auto"/>
        <w:ind w:right="49"/>
        <w:jc w:val="both"/>
        <w:rPr>
          <w:rFonts w:ascii="Palatino Linotype" w:eastAsia="Palatino Linotype" w:hAnsi="Palatino Linotype" w:cs="Palatino Linotype"/>
          <w:sz w:val="24"/>
          <w:szCs w:val="24"/>
        </w:rPr>
      </w:pPr>
      <w:bookmarkStart w:id="0" w:name="_GoBack"/>
      <w:bookmarkEnd w:id="0"/>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cuatro de mayo de dos mil veintidós.</w:t>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00884/INFOEM/IP/RR/2022</w:t>
      </w:r>
      <w:r>
        <w:rPr>
          <w:rFonts w:ascii="Palatino Linotype" w:eastAsia="Palatino Linotype" w:hAnsi="Palatino Linotype" w:cs="Palatino Linotype"/>
          <w:sz w:val="24"/>
          <w:szCs w:val="24"/>
        </w:rPr>
        <w:t xml:space="preserve">, interpuesto por una persona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00016/SECOGEM/IP/2022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 la Secretaría de la Contraloría,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F22C6F" w:rsidRDefault="00E462DA">
      <w:pPr>
        <w:spacing w:before="24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rsidR="00F22C6F" w:rsidRDefault="00E462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veinticinco de enero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FF0000"/>
        </w:rPr>
        <w:t> </w:t>
      </w:r>
      <w:r>
        <w:rPr>
          <w:rFonts w:ascii="Palatino Linotype" w:eastAsia="Palatino Linotype" w:hAnsi="Palatino Linotype" w:cs="Palatino Linotype"/>
          <w:b/>
          <w:color w:val="000000"/>
          <w:sz w:val="24"/>
          <w:szCs w:val="24"/>
        </w:rPr>
        <w:t>00016/SECOGEM/IP/2022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rsidR="00F22C6F" w:rsidRDefault="00E462DA">
      <w:pPr>
        <w:spacing w:before="240" w:after="240" w:line="276" w:lineRule="auto"/>
        <w:ind w:left="851" w:right="900"/>
        <w:jc w:val="both"/>
        <w:rPr>
          <w:rFonts w:ascii="Palatino Linotype" w:eastAsia="Palatino Linotype" w:hAnsi="Palatino Linotype" w:cs="Palatino Linotype"/>
          <w:i/>
          <w:sz w:val="40"/>
          <w:szCs w:val="40"/>
        </w:rPr>
      </w:pPr>
      <w:r>
        <w:rPr>
          <w:rFonts w:ascii="Palatino Linotype" w:eastAsia="Palatino Linotype" w:hAnsi="Palatino Linotype" w:cs="Palatino Linotype"/>
          <w:i/>
          <w:color w:val="000000"/>
        </w:rPr>
        <w:t>“Buenas tardes, le adjunto la solicitud de información “(Sic)</w:t>
      </w:r>
    </w:p>
    <w:p w:rsidR="00F22C6F" w:rsidRDefault="00E462DA">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w:t>
      </w:r>
    </w:p>
    <w:p w:rsidR="00F22C6F" w:rsidRDefault="00E462DA">
      <w:pPr>
        <w:spacing w:before="280" w:after="280" w:line="360" w:lineRule="auto"/>
        <w:rPr>
          <w:rFonts w:ascii="Arial" w:eastAsia="Arial" w:hAnsi="Arial" w:cs="Arial"/>
          <w:color w:val="333333"/>
          <w:sz w:val="27"/>
          <w:szCs w:val="27"/>
        </w:rPr>
      </w:pPr>
      <w:r>
        <w:rPr>
          <w:rFonts w:ascii="Palatino Linotype" w:eastAsia="Palatino Linotype" w:hAnsi="Palatino Linotype" w:cs="Palatino Linotype"/>
          <w:color w:val="000000"/>
          <w:sz w:val="24"/>
          <w:szCs w:val="24"/>
        </w:rPr>
        <w:t>Resulta preciso señalar que el Recurrente adjuntó el documento electrónico “</w:t>
      </w:r>
      <w:r>
        <w:rPr>
          <w:rFonts w:ascii="Palatino Linotype" w:eastAsia="Palatino Linotype" w:hAnsi="Palatino Linotype" w:cs="Palatino Linotype"/>
          <w:b/>
          <w:color w:val="000000"/>
          <w:sz w:val="24"/>
          <w:szCs w:val="24"/>
        </w:rPr>
        <w:t>Sec. Contraloría denuncias.pdf</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en el que precisa lo siguiente:</w:t>
      </w:r>
    </w:p>
    <w:p w:rsidR="00F22C6F" w:rsidRDefault="00E462DA">
      <w:r>
        <w:rPr>
          <w:noProof/>
        </w:rPr>
        <w:lastRenderedPageBreak/>
        <w:drawing>
          <wp:inline distT="0" distB="0" distL="0" distR="0">
            <wp:extent cx="5451328" cy="7163604"/>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4637" t="12070" r="28886" b="26071"/>
                    <a:stretch>
                      <a:fillRect/>
                    </a:stretch>
                  </pic:blipFill>
                  <pic:spPr>
                    <a:xfrm>
                      <a:off x="0" y="0"/>
                      <a:ext cx="5451328" cy="7163604"/>
                    </a:xfrm>
                    <a:prstGeom prst="rect">
                      <a:avLst/>
                    </a:prstGeom>
                    <a:ln/>
                  </pic:spPr>
                </pic:pic>
              </a:graphicData>
            </a:graphic>
          </wp:inline>
        </w:drawing>
      </w:r>
    </w:p>
    <w:p w:rsidR="00F22C6F" w:rsidRDefault="00E462DA">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 xml:space="preserve">2. DE LA RESPUESTA DEL SUJETO OBLIGADO. </w:t>
      </w:r>
      <w:r>
        <w:rPr>
          <w:rFonts w:ascii="Palatino Linotype" w:eastAsia="Palatino Linotype" w:hAnsi="Palatino Linotype" w:cs="Palatino Linotype"/>
          <w:sz w:val="24"/>
          <w:szCs w:val="24"/>
        </w:rPr>
        <w:t xml:space="preserve">Con fechas catorce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rsidR="00F22C6F" w:rsidRDefault="00E462DA">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22C6F" w:rsidRDefault="00E462DA">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SIRVASE ENCONTRAR EN ARCHIVOS ADJUNTOS, EN FORMATO .PDF, OFICIO DE RESPUESTA SIGNADO POR EL JEFE DE LA UNIDAD DE PREVENCIÓN DE LA CORRUPCIÓN Y TITULAR DE LA UNIDAD DE TRANSPARENCIA, ASÍ COMO EL OFICIO SIGNADO POR EL SERVIDOR PÚBLICO HABILITADO QUE ATENDIO EL REQUERIMIENTO.</w:t>
      </w:r>
    </w:p>
    <w:p w:rsidR="00F22C6F" w:rsidRDefault="00E462DA">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F22C6F" w:rsidRDefault="00E462DA">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MTRO. MARCO ANTONIO BECERRIL GARCÉS</w:t>
      </w:r>
    </w:p>
    <w:p w:rsidR="00F22C6F" w:rsidRDefault="00F22C6F">
      <w:pPr>
        <w:rPr>
          <w:rFonts w:ascii="Palatino Linotype" w:eastAsia="Palatino Linotype" w:hAnsi="Palatino Linotype" w:cs="Palatino Linotype"/>
        </w:rPr>
      </w:pPr>
    </w:p>
    <w:p w:rsidR="00F22C6F" w:rsidRDefault="00E462DA">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adjuntó para tal efecto los archivos electrónicos denominados:</w:t>
      </w:r>
    </w:p>
    <w:p w:rsidR="00F22C6F" w:rsidRDefault="00E462DA">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u w:val="single"/>
        </w:rPr>
        <w:t>OFICIO DE RESPUESTA UT_1.PDF</w:t>
      </w:r>
      <w:r>
        <w:rPr>
          <w:rFonts w:ascii="Palatino Linotype" w:eastAsia="Palatino Linotype" w:hAnsi="Palatino Linotype" w:cs="Palatino Linotype"/>
          <w:color w:val="000000"/>
          <w:sz w:val="24"/>
          <w:szCs w:val="24"/>
        </w:rPr>
        <w:t>” el cual contiene el oficio de fecha once de febrero de dos mil veintidós, signado por el C. Marco Antonio Becerril Garcés, Jefe de la Unidad y Responsable de la Unidad de Transparencia, tal como se observa a continuación:</w:t>
      </w:r>
    </w:p>
    <w:p w:rsidR="00F22C6F" w:rsidRDefault="00E462DA">
      <w:pPr>
        <w:spacing w:before="240" w:after="240"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extent cx="5398684" cy="7217188"/>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41752" t="12673" r="26002" b="10682"/>
                    <a:stretch>
                      <a:fillRect/>
                    </a:stretch>
                  </pic:blipFill>
                  <pic:spPr>
                    <a:xfrm>
                      <a:off x="0" y="0"/>
                      <a:ext cx="5398684" cy="7217188"/>
                    </a:xfrm>
                    <a:prstGeom prst="rect">
                      <a:avLst/>
                    </a:prstGeom>
                    <a:ln/>
                  </pic:spPr>
                </pic:pic>
              </a:graphicData>
            </a:graphic>
          </wp:inline>
        </w:drawing>
      </w:r>
    </w:p>
    <w:p w:rsidR="00F22C6F" w:rsidRDefault="00E462DA">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u w:val="single"/>
        </w:rPr>
        <w:lastRenderedPageBreak/>
        <w:t>“OFICIO DE RESPUESTA SPH_1.PDF”</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el cual contiene el oficio 21800001A000000/204/2021 </w:t>
      </w:r>
      <w:r>
        <w:rPr>
          <w:rFonts w:ascii="Palatino Linotype" w:eastAsia="Palatino Linotype" w:hAnsi="Palatino Linotype" w:cs="Palatino Linotype"/>
          <w:color w:val="000000"/>
          <w:sz w:val="24"/>
          <w:szCs w:val="24"/>
        </w:rPr>
        <w:t>de fecha nueve de febrero de dos mil veintidós, signado por el Maestro Antonio Contreras Valdés, Director General de Investigación, tal como se observa a continuación:</w:t>
      </w:r>
    </w:p>
    <w:p w:rsidR="00F22C6F" w:rsidRDefault="00E462DA">
      <w:pPr>
        <w:jc w:val="center"/>
        <w:rPr>
          <w:rFonts w:ascii="Palatino Linotype" w:eastAsia="Palatino Linotype" w:hAnsi="Palatino Linotype" w:cs="Palatino Linotype"/>
          <w:sz w:val="24"/>
          <w:szCs w:val="24"/>
        </w:rPr>
      </w:pPr>
      <w:r>
        <w:rPr>
          <w:noProof/>
        </w:rPr>
        <w:drawing>
          <wp:inline distT="0" distB="0" distL="0" distR="0">
            <wp:extent cx="4518718" cy="6016904"/>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41242" t="12371" r="27020" b="12492"/>
                    <a:stretch>
                      <a:fillRect/>
                    </a:stretch>
                  </pic:blipFill>
                  <pic:spPr>
                    <a:xfrm>
                      <a:off x="0" y="0"/>
                      <a:ext cx="4518718" cy="6016904"/>
                    </a:xfrm>
                    <a:prstGeom prst="rect">
                      <a:avLst/>
                    </a:prstGeom>
                    <a:ln/>
                  </pic:spPr>
                </pic:pic>
              </a:graphicData>
            </a:graphic>
          </wp:inline>
        </w:drawing>
      </w:r>
    </w:p>
    <w:p w:rsidR="00F22C6F" w:rsidRDefault="00E462DA">
      <w:pPr>
        <w:jc w:val="center"/>
        <w:rPr>
          <w:rFonts w:ascii="Palatino Linotype" w:eastAsia="Palatino Linotype" w:hAnsi="Palatino Linotype" w:cs="Palatino Linotype"/>
          <w:sz w:val="24"/>
          <w:szCs w:val="24"/>
        </w:rPr>
      </w:pPr>
      <w:r>
        <w:rPr>
          <w:noProof/>
        </w:rPr>
        <w:lastRenderedPageBreak/>
        <w:drawing>
          <wp:inline distT="0" distB="0" distL="0" distR="0">
            <wp:extent cx="5566135" cy="7450963"/>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41751" t="18105" r="26171" b="5550"/>
                    <a:stretch>
                      <a:fillRect/>
                    </a:stretch>
                  </pic:blipFill>
                  <pic:spPr>
                    <a:xfrm>
                      <a:off x="0" y="0"/>
                      <a:ext cx="5566135" cy="7450963"/>
                    </a:xfrm>
                    <a:prstGeom prst="rect">
                      <a:avLst/>
                    </a:prstGeom>
                    <a:ln/>
                  </pic:spPr>
                </pic:pic>
              </a:graphicData>
            </a:graphic>
          </wp:inline>
        </w:drawing>
      </w:r>
    </w:p>
    <w:p w:rsidR="00F22C6F" w:rsidRDefault="00E462DA">
      <w:pPr>
        <w:jc w:val="center"/>
        <w:rPr>
          <w:rFonts w:ascii="Palatino Linotype" w:eastAsia="Palatino Linotype" w:hAnsi="Palatino Linotype" w:cs="Palatino Linotype"/>
          <w:sz w:val="24"/>
          <w:szCs w:val="24"/>
        </w:rPr>
      </w:pPr>
      <w:r>
        <w:rPr>
          <w:noProof/>
        </w:rPr>
        <w:lastRenderedPageBreak/>
        <w:drawing>
          <wp:inline distT="0" distB="0" distL="0" distR="0">
            <wp:extent cx="5511715" cy="667996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41412" t="27458" r="27358" b="5250"/>
                    <a:stretch>
                      <a:fillRect/>
                    </a:stretch>
                  </pic:blipFill>
                  <pic:spPr>
                    <a:xfrm>
                      <a:off x="0" y="0"/>
                      <a:ext cx="5511715" cy="6679960"/>
                    </a:xfrm>
                    <a:prstGeom prst="rect">
                      <a:avLst/>
                    </a:prstGeom>
                    <a:ln/>
                  </pic:spPr>
                </pic:pic>
              </a:graphicData>
            </a:graphic>
          </wp:inline>
        </w:drawing>
      </w:r>
    </w:p>
    <w:p w:rsidR="00F22C6F" w:rsidRDefault="00E462DA">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dieciséis de febrero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lastRenderedPageBreak/>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00884/INFOEM/IP/RR/2022</w:t>
      </w:r>
      <w:r>
        <w:rPr>
          <w:rFonts w:ascii="Palatino Linotype" w:eastAsia="Palatino Linotype" w:hAnsi="Palatino Linotype" w:cs="Palatino Linotype"/>
          <w:sz w:val="24"/>
          <w:szCs w:val="24"/>
        </w:rPr>
        <w:t>, en el cual manifiesta, lo siguiente:</w:t>
      </w:r>
    </w:p>
    <w:p w:rsidR="00F22C6F" w:rsidRDefault="00E462DA">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F22C6F" w:rsidRDefault="00E462DA">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Respuesta incompleta</w:t>
      </w:r>
      <w:r>
        <w:rPr>
          <w:rFonts w:ascii="Palatino Linotype" w:eastAsia="Palatino Linotype" w:hAnsi="Palatino Linotype" w:cs="Palatino Linotype"/>
          <w:i/>
        </w:rPr>
        <w:t>” [sic]</w:t>
      </w:r>
    </w:p>
    <w:p w:rsidR="00F22C6F" w:rsidRDefault="00E462DA">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F22C6F" w:rsidRDefault="00E462DA">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Adjunto recurso de revisión” </w:t>
      </w:r>
      <w:r>
        <w:rPr>
          <w:rFonts w:ascii="Palatino Linotype" w:eastAsia="Palatino Linotype" w:hAnsi="Palatino Linotype" w:cs="Palatino Linotype"/>
          <w:i/>
        </w:rPr>
        <w:t>[sic]</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Resulta preciso señalar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adjuntó el documento electrónico </w:t>
      </w:r>
      <w:r>
        <w:rPr>
          <w:rFonts w:ascii="Palatino Linotype" w:eastAsia="Palatino Linotype" w:hAnsi="Palatino Linotype" w:cs="Palatino Linotype"/>
          <w:b/>
          <w:sz w:val="24"/>
          <w:szCs w:val="24"/>
          <w:u w:val="single"/>
        </w:rPr>
        <w:t>“Secretaría de la Contraloría Revisión.pdf”</w:t>
      </w:r>
      <w:r>
        <w:rPr>
          <w:rFonts w:ascii="Palatino Linotype" w:eastAsia="Palatino Linotype" w:hAnsi="Palatino Linotype" w:cs="Palatino Linotype"/>
          <w:sz w:val="24"/>
          <w:szCs w:val="24"/>
        </w:rPr>
        <w:t>, en el que precisa lo siguiente:</w:t>
      </w:r>
      <w:r>
        <w:rPr>
          <w:noProof/>
        </w:rPr>
        <mc:AlternateContent>
          <mc:Choice Requires="wpg">
            <w:drawing>
              <wp:anchor distT="0" distB="0" distL="114300" distR="114300" simplePos="0" relativeHeight="251658240" behindDoc="0" locked="0" layoutInCell="1" hidden="0" allowOverlap="1">
                <wp:simplePos x="0" y="0"/>
                <wp:positionH relativeFrom="column">
                  <wp:posOffset>-50799</wp:posOffset>
                </wp:positionH>
                <wp:positionV relativeFrom="paragraph">
                  <wp:posOffset>812800</wp:posOffset>
                </wp:positionV>
                <wp:extent cx="5638800" cy="3962400"/>
                <wp:effectExtent l="0" t="0" r="0" b="0"/>
                <wp:wrapNone/>
                <wp:docPr id="14" name="Conector recto de flecha 14"/>
                <wp:cNvGraphicFramePr/>
                <a:graphic xmlns:a="http://schemas.openxmlformats.org/drawingml/2006/main">
                  <a:graphicData uri="http://schemas.microsoft.com/office/word/2010/wordprocessingShape">
                    <wps:wsp>
                      <wps:cNvCnPr/>
                      <wps:spPr>
                        <a:xfrm>
                          <a:off x="2545650" y="1817850"/>
                          <a:ext cx="5600700" cy="3924300"/>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812800</wp:posOffset>
                </wp:positionV>
                <wp:extent cx="5638800" cy="3962400"/>
                <wp:effectExtent b="0" l="0" r="0" t="0"/>
                <wp:wrapNone/>
                <wp:docPr id="14"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638800" cy="3962400"/>
                        </a:xfrm>
                        <a:prstGeom prst="rect"/>
                        <a:ln/>
                      </pic:spPr>
                    </pic:pic>
                  </a:graphicData>
                </a:graphic>
              </wp:anchor>
            </w:drawing>
          </mc:Fallback>
        </mc:AlternateContent>
      </w:r>
    </w:p>
    <w:p w:rsidR="00F22C6F" w:rsidRDefault="00E462DA">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5269340" cy="7333735"/>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42877" t="18732" r="28500" b="10441"/>
                    <a:stretch>
                      <a:fillRect/>
                    </a:stretch>
                  </pic:blipFill>
                  <pic:spPr>
                    <a:xfrm>
                      <a:off x="0" y="0"/>
                      <a:ext cx="5269340" cy="7333735"/>
                    </a:xfrm>
                    <a:prstGeom prst="rect">
                      <a:avLst/>
                    </a:prstGeom>
                    <a:ln/>
                  </pic:spPr>
                </pic:pic>
              </a:graphicData>
            </a:graphic>
          </wp:inline>
        </w:drawing>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4. TURNO.  </w:t>
      </w:r>
      <w:r>
        <w:rPr>
          <w:rFonts w:ascii="Palatino Linotype" w:eastAsia="Palatino Linotype" w:hAnsi="Palatino Linotype" w:cs="Palatino Linotype"/>
          <w:sz w:val="24"/>
          <w:szCs w:val="24"/>
        </w:rPr>
        <w:t xml:space="preserve">De conformidad con el artículo 185 Fracción I </w:t>
      </w:r>
      <w:r>
        <w:rPr>
          <w:rFonts w:ascii="Palatino Linotype" w:eastAsia="Palatino Linotype" w:hAnsi="Palatino Linotype" w:cs="Palatino Linotype"/>
          <w:sz w:val="24"/>
          <w:szCs w:val="24"/>
          <w:highlight w:val="white"/>
        </w:rPr>
        <w:t>de la Ley Transparencia y Acceso a la Información Pública</w:t>
      </w:r>
      <w:r>
        <w:rPr>
          <w:rFonts w:ascii="Palatino Linotype" w:eastAsia="Palatino Linotype" w:hAnsi="Palatino Linotype" w:cs="Palatino Linotype"/>
          <w:sz w:val="24"/>
          <w:szCs w:val="24"/>
        </w:rPr>
        <w:t>, el recurso de revisión número</w:t>
      </w:r>
      <w:r>
        <w:rPr>
          <w:rFonts w:ascii="Palatino Linotype" w:eastAsia="Palatino Linotype" w:hAnsi="Palatino Linotype" w:cs="Palatino Linotype"/>
          <w:b/>
          <w:sz w:val="24"/>
          <w:szCs w:val="24"/>
        </w:rPr>
        <w:t xml:space="preserve"> 00884/INFOEM/IP/RR/2022 </w:t>
      </w:r>
      <w:r>
        <w:rPr>
          <w:rFonts w:ascii="Palatino Linotype" w:eastAsia="Palatino Linotype" w:hAnsi="Palatino Linotype" w:cs="Palatino Linotype"/>
          <w:sz w:val="24"/>
          <w:szCs w:val="24"/>
        </w:rPr>
        <w:t xml:space="preserve">fue turnado en fecha dieciséis de febrero de dos mil veintidós a la Comisionada Ponente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ADMISIÓN. </w:t>
      </w:r>
      <w:r>
        <w:rPr>
          <w:rFonts w:ascii="Palatino Linotype" w:eastAsia="Palatino Linotype" w:hAnsi="Palatino Linotype" w:cs="Palatino Linotype"/>
          <w:sz w:val="24"/>
          <w:szCs w:val="24"/>
        </w:rPr>
        <w:t>En fecha veintiuno de febrero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F22C6F" w:rsidRDefault="00E462DA">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primero de marzo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rsidR="00F22C6F" w:rsidRDefault="00E462DA">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sz w:val="24"/>
          <w:szCs w:val="24"/>
          <w:u w:val="single"/>
        </w:rPr>
        <w:t xml:space="preserve">Informe Justificado_00734_2022.pdf </w:t>
      </w:r>
      <w:r>
        <w:rPr>
          <w:rFonts w:ascii="Palatino Linotype" w:eastAsia="Palatino Linotype" w:hAnsi="Palatino Linotype" w:cs="Palatino Linotype"/>
          <w:color w:val="000000"/>
          <w:sz w:val="24"/>
          <w:szCs w:val="24"/>
        </w:rPr>
        <w:t xml:space="preserve">contiene el oficio número UT/RR/0033/2022 a través del cual la Titular de la Unidad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ratifica en términos generales su respuesta original.</w:t>
      </w:r>
    </w:p>
    <w:p w:rsidR="00F22C6F" w:rsidRDefault="00E462DA">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7. CIERRE DE INSTRUCCIÓN. </w:t>
      </w:r>
      <w:r w:rsidR="007F2614">
        <w:rPr>
          <w:rFonts w:ascii="Palatino Linotype" w:eastAsia="Palatino Linotype" w:hAnsi="Palatino Linotype" w:cs="Palatino Linotype"/>
          <w:color w:val="000000"/>
          <w:sz w:val="24"/>
          <w:szCs w:val="24"/>
        </w:rPr>
        <w:t>El veintiocho</w:t>
      </w:r>
      <w:r>
        <w:rPr>
          <w:rFonts w:ascii="Palatino Linotype" w:eastAsia="Palatino Linotype" w:hAnsi="Palatino Linotype" w:cs="Palatino Linotype"/>
          <w:color w:val="000000"/>
          <w:sz w:val="24"/>
          <w:szCs w:val="24"/>
        </w:rPr>
        <w:t xml:space="preserve"> de abril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tal como se aprecia a continuación:</w:t>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8. DE LA AMPLIACIÓN DE PLAZO.</w:t>
      </w:r>
      <w:r>
        <w:rPr>
          <w:rFonts w:ascii="Palatino Linotype" w:eastAsia="Palatino Linotype" w:hAnsi="Palatino Linotype" w:cs="Palatino Linotype"/>
          <w:color w:val="202124"/>
          <w:highlight w:val="white"/>
        </w:rPr>
        <w:t xml:space="preserve"> </w:t>
      </w:r>
      <w:r>
        <w:rPr>
          <w:rFonts w:ascii="Palatino Linotype" w:eastAsia="Palatino Linotype" w:hAnsi="Palatino Linotype" w:cs="Palatino Linotype"/>
          <w:color w:val="202124"/>
          <w:sz w:val="24"/>
          <w:szCs w:val="24"/>
          <w:highlight w:val="white"/>
        </w:rPr>
        <w:t xml:space="preserve">En fecha </w:t>
      </w:r>
      <w:r>
        <w:rPr>
          <w:rFonts w:ascii="Palatino Linotype" w:eastAsia="Palatino Linotype" w:hAnsi="Palatino Linotype" w:cs="Palatino Linotype"/>
          <w:color w:val="000000"/>
          <w:sz w:val="24"/>
          <w:szCs w:val="24"/>
        </w:rPr>
        <w:t>veintiocho de abril</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202124"/>
          <w:sz w:val="24"/>
          <w:szCs w:val="24"/>
          <w:highlight w:val="white"/>
        </w:rPr>
        <w:t>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F22C6F" w:rsidRDefault="00E462DA">
      <w:pPr>
        <w:spacing w:before="240" w:after="12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rsidR="00F22C6F" w:rsidRDefault="00E462DA">
      <w:pPr>
        <w:spacing w:before="24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F22C6F" w:rsidRDefault="00E462DA">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w:t>
      </w:r>
      <w:r>
        <w:rPr>
          <w:rFonts w:ascii="Palatino Linotype" w:eastAsia="Palatino Linotype" w:hAnsi="Palatino Linotype" w:cs="Palatino Linotype"/>
          <w:sz w:val="24"/>
          <w:szCs w:val="24"/>
        </w:rPr>
        <w:lastRenderedPageBreak/>
        <w:t>previstos en los artículos 178 y 180 de la Ley de Transparencia y Acceso a la Información Pública del Estado de México y Municipios.</w:t>
      </w:r>
    </w:p>
    <w:p w:rsidR="00F22C6F" w:rsidRDefault="00E462DA">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ésta fue pronunciada el día catorce de febrero de dos mil veintidós, 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fecha dieciséis de febrero de dos mil veintidós, esto es al segundo día hábil siguiente de aquel en que tuvo conocimiento de la respuesta</w:t>
      </w:r>
      <w:r>
        <w:rPr>
          <w:rFonts w:ascii="Palatino Linotype" w:eastAsia="Palatino Linotype" w:hAnsi="Palatino Linotype" w:cs="Palatino Linotype"/>
          <w:sz w:val="24"/>
          <w:szCs w:val="24"/>
          <w:highlight w:val="white"/>
        </w:rPr>
        <w:t>;</w:t>
      </w:r>
      <w:r>
        <w:rPr>
          <w:rFonts w:ascii="Palatino Linotype" w:eastAsia="Palatino Linotype" w:hAnsi="Palatino Linotype" w:cs="Palatino Linotype"/>
          <w:sz w:val="24"/>
          <w:szCs w:val="24"/>
        </w:rPr>
        <w:t xml:space="preserve"> evidenciándose que la interposición del recurso se encuentra dentro de los márgenes temporales previstos en el citado precepto legal.</w:t>
      </w:r>
    </w:p>
    <w:p w:rsidR="00F22C6F" w:rsidRDefault="00E462DA">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ésta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así como, en la que se interpuso el recurso de revisión, éste se encuentra dentro de los márgenes temporales previstos en el citado precepto legal.</w:t>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22C6F" w:rsidRDefault="00E462DA">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rsidR="00F22C6F" w:rsidRDefault="00E462D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rsidR="00F22C6F" w:rsidRDefault="00F22C6F">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p>
    <w:p w:rsidR="00F22C6F" w:rsidRDefault="00E462D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F22C6F" w:rsidRDefault="00E462D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F22C6F" w:rsidRDefault="00E462D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 La entrega de información incompleta;” (Sic)</w:t>
      </w:r>
    </w:p>
    <w:p w:rsidR="00F22C6F" w:rsidRDefault="00E462DA">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TERCERO. Materia de la Revisión. </w:t>
      </w:r>
      <w:r>
        <w:rPr>
          <w:rFonts w:ascii="Palatino Linotype" w:eastAsia="Palatino Linotype" w:hAnsi="Palatino Linotype" w:cs="Palatino Linotype"/>
          <w:sz w:val="24"/>
          <w:szCs w:val="24"/>
        </w:rPr>
        <w:t xml:space="preserve">Una vez realizado el análisis de las constancias y documentos que obran en expediente electrónico, en que se actúa, se advierte que el tema sobre el que este Organismo Garante de Transparencia y Acceso a la Información se pronunciará será: verificar si la respuesta otorgada por </w:t>
      </w:r>
      <w:r>
        <w:rPr>
          <w:rFonts w:ascii="Palatino Linotype" w:eastAsia="Palatino Linotype" w:hAnsi="Palatino Linotype" w:cs="Palatino Linotype"/>
          <w:b/>
          <w:sz w:val="24"/>
          <w:szCs w:val="24"/>
        </w:rPr>
        <w:t xml:space="preserve">EL SUJETO </w:t>
      </w:r>
      <w:r>
        <w:rPr>
          <w:rFonts w:ascii="Palatino Linotype" w:eastAsia="Palatino Linotype" w:hAnsi="Palatino Linotype" w:cs="Palatino Linotype"/>
          <w:b/>
          <w:sz w:val="24"/>
          <w:szCs w:val="24"/>
        </w:rPr>
        <w:lastRenderedPageBreak/>
        <w:t>OBLIGADO</w:t>
      </w:r>
      <w:r>
        <w:rPr>
          <w:rFonts w:ascii="Palatino Linotype" w:eastAsia="Palatino Linotype" w:hAnsi="Palatino Linotype" w:cs="Palatino Linotype"/>
          <w:sz w:val="24"/>
          <w:szCs w:val="24"/>
        </w:rPr>
        <w:t xml:space="preserve"> es adecuada y suficiente para satisfacer el derecho de acceso a la información pública del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rsidR="00F22C6F" w:rsidRDefault="00E462DA">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sz w:val="28"/>
          <w:szCs w:val="28"/>
        </w:rPr>
        <w:t xml:space="preserve">CUARTO. Estudio y resolución del Asunto. </w:t>
      </w:r>
      <w:r>
        <w:rPr>
          <w:rFonts w:ascii="Palatino Linotype" w:eastAsia="Palatino Linotype" w:hAnsi="Palatino Linotype" w:cs="Palatino Linotype"/>
          <w:sz w:val="24"/>
          <w:szCs w:val="24"/>
        </w:rPr>
        <w:t xml:space="preserve">Antes de entrar al análisis de los pronunciamientos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la respuesta e informe justificado proporcionados,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22C6F" w:rsidRDefault="00E462DA">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F22C6F" w:rsidRDefault="00E462DA">
      <w:pPr>
        <w:tabs>
          <w:tab w:val="left" w:pos="709"/>
        </w:tabs>
        <w:spacing w:before="240" w:after="240"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F22C6F" w:rsidRDefault="00E462DA">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F22C6F" w:rsidRDefault="00E462DA">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rsidR="00F22C6F" w:rsidRDefault="00E462DA">
      <w:pPr>
        <w:spacing w:before="240" w:after="24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rsidR="00F22C6F" w:rsidRDefault="00E462DA">
      <w:pPr>
        <w:spacing w:before="240" w:after="24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rsidR="00F22C6F" w:rsidRDefault="00E462DA">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rsidR="00F22C6F" w:rsidRDefault="00E462DA">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22C6F" w:rsidRDefault="00E462DA">
      <w:pPr>
        <w:spacing w:before="240" w:after="24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w:t>
      </w: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F22C6F" w:rsidRDefault="00E462DA">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rsidR="00F22C6F" w:rsidRDefault="00E462DA">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F22C6F" w:rsidRDefault="00E462DA">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disponibles, la información completa y actualizada sobre el ejercicio de los recursos </w:t>
      </w:r>
      <w:r>
        <w:rPr>
          <w:rFonts w:ascii="Palatino Linotype" w:eastAsia="Palatino Linotype" w:hAnsi="Palatino Linotype" w:cs="Palatino Linotype"/>
          <w:i/>
        </w:rPr>
        <w:lastRenderedPageBreak/>
        <w:t>públicos y los indicadores que permitan rendir cuenta del cumplimiento de sus objetivos y de los resultados obtenidos.</w:t>
      </w:r>
    </w:p>
    <w:p w:rsidR="00F22C6F" w:rsidRDefault="00E462DA">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F22C6F" w:rsidRDefault="00E462DA">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22C6F" w:rsidRDefault="00E462DA">
      <w:pPr>
        <w:spacing w:before="240" w:after="24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22C6F" w:rsidRDefault="00E462DA">
      <w:pPr>
        <w:spacing w:before="240" w:after="240" w:line="276" w:lineRule="auto"/>
        <w:ind w:left="709" w:right="76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w:t>
      </w:r>
      <w:r>
        <w:rPr>
          <w:rFonts w:ascii="Palatino Linotype" w:eastAsia="Palatino Linotype" w:hAnsi="Palatino Linotype" w:cs="Palatino Linotype"/>
          <w:b/>
          <w:i/>
        </w:rPr>
        <w:lastRenderedPageBreak/>
        <w:t>Municipios 29 como reservada temporalmente por razones de interés público, en los términos de las causas legítimas y estrictamente necesarias previstas por esta Ley.</w:t>
      </w:r>
    </w:p>
    <w:p w:rsidR="00F22C6F" w:rsidRDefault="00E462DA">
      <w:pPr>
        <w:spacing w:before="240" w:after="24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solicitantes.”(Sic)</w:t>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F22C6F" w:rsidRDefault="00E462DA">
      <w:pPr>
        <w:spacing w:before="240" w:after="24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F22C6F" w:rsidRDefault="00E462DA">
      <w:pPr>
        <w:spacing w:before="240" w:after="24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 como así lo establece</w:t>
      </w:r>
      <w:r>
        <w:rPr>
          <w:rFonts w:ascii="Palatino Linotype" w:eastAsia="Palatino Linotype" w:hAnsi="Palatino Linotype" w:cs="Palatino Linotype"/>
          <w:strike/>
          <w:color w:val="FF0000"/>
          <w:sz w:val="24"/>
          <w:szCs w:val="24"/>
        </w:rPr>
        <w:t xml:space="preserve"> </w:t>
      </w:r>
      <w:r>
        <w:rPr>
          <w:rFonts w:ascii="Palatino Linotype" w:eastAsia="Palatino Linotype" w:hAnsi="Palatino Linotype" w:cs="Palatino Linotype"/>
          <w:sz w:val="24"/>
          <w:szCs w:val="24"/>
        </w:rPr>
        <w:t xml:space="preserve">el criterio 03/17 emitido por el Instituto </w:t>
      </w:r>
      <w:r>
        <w:rPr>
          <w:rFonts w:ascii="Palatino Linotype" w:eastAsia="Palatino Linotype" w:hAnsi="Palatino Linotype" w:cs="Palatino Linotype"/>
          <w:sz w:val="24"/>
          <w:szCs w:val="24"/>
        </w:rPr>
        <w:lastRenderedPageBreak/>
        <w:t>Nacional de Transparencia, Acceso a la Información Pública y Protección de Datos Personales, los cuales señalan lo siguiente:</w:t>
      </w:r>
    </w:p>
    <w:p w:rsidR="00F22C6F" w:rsidRDefault="00E462DA">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03/17</w:t>
      </w:r>
    </w:p>
    <w:p w:rsidR="00F22C6F" w:rsidRDefault="00E462DA">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“NO EXISTE OBLIGACIÓN DE ELABORAR DOCUMENTOS AD HOC PARA ATENDER LAS SOLICITUDES DE ACCESO A LA INFORMACIÓN.</w:t>
      </w:r>
    </w:p>
    <w:p w:rsidR="00F22C6F" w:rsidRDefault="00E462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22C6F" w:rsidRDefault="00E462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Pr>
          <w:rFonts w:ascii="Palatino Linotype" w:eastAsia="Palatino Linotype" w:hAnsi="Palatino Linotype" w:cs="Palatino Linotype"/>
          <w:sz w:val="24"/>
          <w:szCs w:val="24"/>
        </w:rPr>
        <w:lastRenderedPageBreak/>
        <w:t>Ley de Transparencia y Acceso a la Información Pública del Estado de México y Municipios.</w:t>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22C6F" w:rsidRDefault="00E462DA">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F22C6F" w:rsidRDefault="00E462DA">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F22C6F" w:rsidRDefault="00E462DA">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w:t>
      </w:r>
      <w:r>
        <w:rPr>
          <w:rFonts w:ascii="Palatino Linotype" w:eastAsia="Palatino Linotype" w:hAnsi="Palatino Linotype" w:cs="Palatino Linotype"/>
          <w:b/>
          <w:i/>
        </w:rPr>
        <w:t>actas,</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 (Sic)</w:t>
      </w:r>
    </w:p>
    <w:p w:rsidR="00F22C6F" w:rsidRDefault="00E462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rsidR="00F22C6F" w:rsidRDefault="00E462DA">
      <w:pPr>
        <w:spacing w:before="240" w:after="240" w:line="276" w:lineRule="auto"/>
        <w:ind w:left="567" w:right="899"/>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F22C6F" w:rsidRDefault="00E462DA">
      <w:pPr>
        <w:spacing w:before="240" w:after="240" w:line="276" w:lineRule="auto"/>
        <w:ind w:left="567" w:right="899"/>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22C6F" w:rsidRDefault="00E462DA">
      <w:pPr>
        <w:spacing w:before="240" w:after="240" w:line="276" w:lineRule="auto"/>
        <w:ind w:left="567" w:right="899"/>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F22C6F" w:rsidRDefault="00E462DA">
      <w:pPr>
        <w:numPr>
          <w:ilvl w:val="0"/>
          <w:numId w:val="4"/>
        </w:numPr>
        <w:spacing w:before="240" w:after="240" w:line="276" w:lineRule="auto"/>
        <w:ind w:left="567" w:right="899"/>
        <w:jc w:val="both"/>
        <w:rPr>
          <w:rFonts w:ascii="Palatino Linotype" w:eastAsia="Palatino Linotype" w:hAnsi="Palatino Linotype" w:cs="Palatino Linotype"/>
          <w:b/>
          <w:i/>
        </w:rPr>
      </w:pPr>
      <w:r>
        <w:rPr>
          <w:rFonts w:ascii="Palatino Linotype" w:eastAsia="Palatino Linotype" w:hAnsi="Palatino Linotype" w:cs="Palatino Linotype"/>
          <w:b/>
          <w:i/>
        </w:rPr>
        <w:t>Que se trate de información registrada en cualquier soporte documental, que en ejercicio de las atribuciones conferidas, sea generada por los Sujetos Obligados;</w:t>
      </w:r>
    </w:p>
    <w:p w:rsidR="00F22C6F" w:rsidRDefault="00E462DA">
      <w:pPr>
        <w:numPr>
          <w:ilvl w:val="0"/>
          <w:numId w:val="4"/>
        </w:numPr>
        <w:spacing w:before="240" w:after="240" w:line="276" w:lineRule="auto"/>
        <w:ind w:left="567" w:right="899"/>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rsidR="00F22C6F" w:rsidRDefault="00E462DA">
      <w:pPr>
        <w:spacing w:before="240" w:after="240" w:line="276" w:lineRule="auto"/>
        <w:ind w:left="567" w:right="899" w:hanging="284"/>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 (Sic)</w:t>
      </w:r>
    </w:p>
    <w:p w:rsidR="00F22C6F" w:rsidRDefault="00E462DA">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Pr>
          <w:rFonts w:ascii="Palatino Linotype" w:eastAsia="Palatino Linotype" w:hAnsi="Palatino Linotype" w:cs="Palatino Linotype"/>
          <w:sz w:val="24"/>
          <w:szCs w:val="24"/>
        </w:rPr>
        <w:lastRenderedPageBreak/>
        <w:t>atribuciones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la solicitud de información motivo del Recurso de Revisión que ahora se resuelve, se advierte que la parte solicitante requirió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lo siguiente:</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número de denuncias interpuestas contra programas sociales mexiquenses y</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contra qué programa social </w:t>
      </w:r>
      <w:r>
        <w:rPr>
          <w:rFonts w:ascii="Palatino Linotype" w:eastAsia="Palatino Linotype" w:hAnsi="Palatino Linotype" w:cs="Palatino Linotype"/>
          <w:sz w:val="24"/>
          <w:szCs w:val="24"/>
        </w:rPr>
        <w:t>en 2017, 2018, 2020 y 2021</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Qué se denunció.</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Contra quién o quiénes se denunció.</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Quién interpuso la denuncia (es decir un beneficiario, asociación, servidor público,</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etc.)</w:t>
      </w:r>
      <w:r>
        <w:rPr>
          <w:rFonts w:ascii="Palatino Linotype" w:eastAsia="Palatino Linotype" w:hAnsi="Palatino Linotype" w:cs="Palatino Linotype"/>
          <w:color w:val="FF0000"/>
          <w:sz w:val="24"/>
          <w:szCs w:val="24"/>
        </w:rPr>
        <w:t xml:space="preserve"> </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Medidas que se implementaron.</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Resultado de las medidas implementadas</w:t>
      </w:r>
    </w:p>
    <w:p w:rsidR="00F22C6F" w:rsidRDefault="00E462DA">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Sanciones se aplicadas.</w:t>
      </w:r>
    </w:p>
    <w:p w:rsidR="00F22C6F" w:rsidRDefault="00E462D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Al respecto,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u w:val="single"/>
        </w:rPr>
        <w:t>dio respuesta a la solicitud de información, en los siguientes términos</w:t>
      </w:r>
      <w:r>
        <w:rPr>
          <w:rFonts w:ascii="Palatino Linotype" w:eastAsia="Palatino Linotype" w:hAnsi="Palatino Linotype" w:cs="Palatino Linotype"/>
          <w:color w:val="000000"/>
          <w:sz w:val="24"/>
          <w:szCs w:val="24"/>
        </w:rPr>
        <w:t>:</w:t>
      </w:r>
    </w:p>
    <w:p w:rsidR="00F22C6F" w:rsidRDefault="00F22C6F">
      <w:pPr>
        <w:spacing w:after="0" w:line="360" w:lineRule="auto"/>
        <w:jc w:val="both"/>
        <w:rPr>
          <w:rFonts w:ascii="Palatino Linotype" w:eastAsia="Palatino Linotype" w:hAnsi="Palatino Linotype" w:cs="Palatino Linotype"/>
          <w:color w:val="000000"/>
          <w:sz w:val="24"/>
          <w:szCs w:val="24"/>
        </w:rPr>
      </w:pPr>
    </w:p>
    <w:p w:rsidR="00F22C6F" w:rsidRDefault="00E462D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w:t>
      </w:r>
      <w:hyperlink r:id="rId15">
        <w:r>
          <w:rPr>
            <w:rFonts w:ascii="Palatino Linotype" w:eastAsia="Palatino Linotype" w:hAnsi="Palatino Linotype" w:cs="Palatino Linotype"/>
            <w:b/>
            <w:i/>
            <w:color w:val="000000"/>
            <w:sz w:val="24"/>
            <w:szCs w:val="24"/>
            <w:u w:val="single"/>
          </w:rPr>
          <w:t>OFICIO DE RESPUESTA UT_1.PDF</w:t>
        </w:r>
      </w:hyperlink>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 xml:space="preserve">Oficio de fecha once de febrero de dos mil veintidós signado por el C. Marco Antonio Becerril Garces, Jefe de la Unidad y Responsable de la Unidad de Transparencia, mediante el cual menciona que adjunta el oficio de respuesta del servidor público habilitado que atendió lo requerido en la solicitud de acceso a la información pública. </w:t>
      </w:r>
    </w:p>
    <w:p w:rsidR="00F22C6F" w:rsidRDefault="00F22C6F">
      <w:pPr>
        <w:spacing w:after="0" w:line="360" w:lineRule="auto"/>
        <w:jc w:val="both"/>
        <w:rPr>
          <w:rFonts w:ascii="Palatino Linotype" w:eastAsia="Palatino Linotype" w:hAnsi="Palatino Linotype" w:cs="Palatino Linotype"/>
          <w:color w:val="000000"/>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sz w:val="24"/>
          <w:szCs w:val="24"/>
          <w:u w:val="single"/>
        </w:rPr>
        <w:t>OFICIO DE RESPUESTA SPH_1.PDF</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sz w:val="24"/>
          <w:szCs w:val="24"/>
        </w:rPr>
        <w:t xml:space="preserve">Oficio 21800001A000000/204/2021 </w:t>
      </w:r>
      <w:r>
        <w:rPr>
          <w:rFonts w:ascii="Palatino Linotype" w:eastAsia="Palatino Linotype" w:hAnsi="Palatino Linotype" w:cs="Palatino Linotype"/>
          <w:color w:val="000000"/>
          <w:sz w:val="24"/>
          <w:szCs w:val="24"/>
        </w:rPr>
        <w:t xml:space="preserve">de fecha nueve de febrero de dos mil veintidós, signado por el Maestro Antonio Contreras Valdés, Director General de Investigación, mediante el cual menciona que en </w:t>
      </w:r>
      <w:r>
        <w:rPr>
          <w:rFonts w:ascii="Palatino Linotype" w:eastAsia="Palatino Linotype" w:hAnsi="Palatino Linotype" w:cs="Palatino Linotype"/>
          <w:sz w:val="24"/>
          <w:szCs w:val="24"/>
        </w:rPr>
        <w:t xml:space="preserve">el Sistema de Atención Mexiquense constituye el medio por el cual pueden presentarse denuncias, sugerencias o reconocimientos de servidores públicos, ciudadanos o empresas relacionadas con el Gobierno del Estado de México por lo cual, se llevó a cabo una consulta en la base de datos del Sistema de Atención Mexiquense el cual arroja los datos registrados por los usuarios, por lo tanto esto implica que puede haber imprecisiones si el usuario no hace una identificación correcta del programa social, lo que puede arrojar resultados de denuncias no relacionadas con programas sociales, pero que fueron registradas como tales por los usuarios del sistema. La obtención de información respecto a qué se denunció y contra qué programa social, requiere el procesamiento y resumen de cada uno de los registros efectuados por los usuarios del Sistema de Atención Mexiquense para en su caso poder presentarla conforme al interés del denunciante. Los programas y asistencia social mexiquense </w:t>
      </w:r>
      <w:r>
        <w:rPr>
          <w:rFonts w:ascii="Palatino Linotype" w:eastAsia="Palatino Linotype" w:hAnsi="Palatino Linotype" w:cs="Palatino Linotype"/>
          <w:sz w:val="24"/>
          <w:szCs w:val="24"/>
        </w:rPr>
        <w:lastRenderedPageBreak/>
        <w:t xml:space="preserve">son consultables en las direcciones </w:t>
      </w:r>
      <w:hyperlink r:id="rId16">
        <w:r>
          <w:rPr>
            <w:rFonts w:ascii="Palatino Linotype" w:eastAsia="Palatino Linotype" w:hAnsi="Palatino Linotype" w:cs="Palatino Linotype"/>
            <w:color w:val="0000FF"/>
            <w:sz w:val="24"/>
            <w:szCs w:val="24"/>
            <w:u w:val="single"/>
          </w:rPr>
          <w:t>https://edomex.gob.mx/programa_asistencia_social</w:t>
        </w:r>
      </w:hyperlink>
      <w:r>
        <w:rPr>
          <w:rFonts w:ascii="Palatino Linotype" w:eastAsia="Palatino Linotype" w:hAnsi="Palatino Linotype" w:cs="Palatino Linotype"/>
          <w:sz w:val="24"/>
          <w:szCs w:val="24"/>
        </w:rPr>
        <w:t xml:space="preserve"> y </w:t>
      </w:r>
      <w:hyperlink r:id="rId17">
        <w:r>
          <w:rPr>
            <w:rFonts w:ascii="Palatino Linotype" w:eastAsia="Palatino Linotype" w:hAnsi="Palatino Linotype" w:cs="Palatino Linotype"/>
            <w:color w:val="0000FF"/>
            <w:sz w:val="24"/>
            <w:szCs w:val="24"/>
            <w:u w:val="single"/>
          </w:rPr>
          <w:t>https://sedesem.edomex.gob.mx/programas_sociales</w:t>
        </w:r>
      </w:hyperlink>
      <w:r>
        <w:rPr>
          <w:rFonts w:ascii="Palatino Linotype" w:eastAsia="Palatino Linotype" w:hAnsi="Palatino Linotype" w:cs="Palatino Linotype"/>
          <w:sz w:val="24"/>
          <w:szCs w:val="24"/>
        </w:rPr>
        <w:t xml:space="preserve"> mediante el cual se obtuvo lo siguiente:</w:t>
      </w:r>
    </w:p>
    <w:p w:rsidR="00F22C6F" w:rsidRDefault="00E462DA">
      <w:pPr>
        <w:spacing w:line="360" w:lineRule="auto"/>
        <w:jc w:val="both"/>
        <w:rPr>
          <w:rFonts w:ascii="Palatino Linotype" w:eastAsia="Palatino Linotype" w:hAnsi="Palatino Linotype" w:cs="Palatino Linotype"/>
          <w:color w:val="000000"/>
          <w:sz w:val="24"/>
          <w:szCs w:val="24"/>
        </w:rPr>
      </w:pPr>
      <w:r>
        <w:rPr>
          <w:noProof/>
        </w:rPr>
        <w:drawing>
          <wp:inline distT="0" distB="0" distL="0" distR="0">
            <wp:extent cx="5664284" cy="281173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25459" t="12673" r="8180" b="19735"/>
                    <a:stretch>
                      <a:fillRect/>
                    </a:stretch>
                  </pic:blipFill>
                  <pic:spPr>
                    <a:xfrm>
                      <a:off x="0" y="0"/>
                      <a:ext cx="5664284" cy="2811730"/>
                    </a:xfrm>
                    <a:prstGeom prst="rect">
                      <a:avLst/>
                    </a:prstGeom>
                    <a:ln/>
                  </pic:spPr>
                </pic:pic>
              </a:graphicData>
            </a:graphic>
          </wp:inline>
        </w:drawing>
      </w:r>
    </w:p>
    <w:p w:rsidR="00F22C6F" w:rsidRDefault="00E462DA">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Conocida la respuesta por la</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al no estar conforme con los términos de la misma, interpuso el recurso de revisión en cuestión en el cual menciona que le entregaron información incompleta.</w:t>
      </w:r>
    </w:p>
    <w:p w:rsidR="00F22C6F" w:rsidRDefault="00E462DA">
      <w:pPr>
        <w:tabs>
          <w:tab w:val="left" w:pos="8647"/>
        </w:tabs>
        <w:spacing w:before="240" w:after="120" w:line="360" w:lineRule="auto"/>
        <w:ind w:right="141"/>
        <w:jc w:val="both"/>
      </w:pPr>
      <w:r>
        <w:rPr>
          <w:rFonts w:ascii="Palatino Linotype" w:eastAsia="Palatino Linotype" w:hAnsi="Palatino Linotype" w:cs="Palatino Linotype"/>
          <w:color w:val="000000"/>
          <w:sz w:val="24"/>
          <w:szCs w:val="24"/>
        </w:rPr>
        <w:t>Durante la etapa de manifestaciones la</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fue omiso de rendir alegatos, por lo que respecta al</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sz w:val="24"/>
          <w:szCs w:val="24"/>
        </w:rPr>
        <w:t>SUJETO</w:t>
      </w:r>
      <w:r>
        <w:rPr>
          <w:rFonts w:ascii="Palatino Linotype" w:eastAsia="Palatino Linotype" w:hAnsi="Palatino Linotype" w:cs="Palatino Linotype"/>
          <w:b/>
          <w:color w:val="000000"/>
          <w:sz w:val="24"/>
          <w:szCs w:val="24"/>
        </w:rPr>
        <w:t xml:space="preserve"> OBLIGADO</w:t>
      </w:r>
      <w:r>
        <w:rPr>
          <w:rFonts w:ascii="Palatino Linotype" w:eastAsia="Palatino Linotype" w:hAnsi="Palatino Linotype" w:cs="Palatino Linotype"/>
          <w:color w:val="000000"/>
          <w:sz w:val="24"/>
          <w:szCs w:val="24"/>
        </w:rPr>
        <w:t xml:space="preserve"> remitió su informe justificado mediante el siguiente archivo:</w:t>
      </w:r>
      <w:r>
        <w:t xml:space="preserve"> </w:t>
      </w:r>
    </w:p>
    <w:p w:rsidR="00F22C6F" w:rsidRDefault="00BA11F0">
      <w:pPr>
        <w:spacing w:after="0" w:line="360" w:lineRule="auto"/>
        <w:jc w:val="both"/>
        <w:rPr>
          <w:rFonts w:ascii="Palatino Linotype" w:eastAsia="Palatino Linotype" w:hAnsi="Palatino Linotype" w:cs="Palatino Linotype"/>
          <w:color w:val="000000"/>
          <w:sz w:val="24"/>
          <w:szCs w:val="24"/>
        </w:rPr>
      </w:pPr>
      <w:hyperlink r:id="rId19">
        <w:r w:rsidR="00E462DA">
          <w:rPr>
            <w:rFonts w:ascii="Palatino Linotype" w:eastAsia="Palatino Linotype" w:hAnsi="Palatino Linotype" w:cs="Palatino Linotype"/>
            <w:b/>
            <w:i/>
            <w:color w:val="000000"/>
            <w:sz w:val="24"/>
            <w:szCs w:val="24"/>
            <w:u w:val="single"/>
          </w:rPr>
          <w:br/>
          <w:t>“INFORME JUSTIFICADO 00844-INFOEM-IP-RR-2022.pdf</w:t>
        </w:r>
      </w:hyperlink>
      <w:r w:rsidR="00E462DA">
        <w:rPr>
          <w:rFonts w:ascii="Palatino Linotype" w:eastAsia="Palatino Linotype" w:hAnsi="Palatino Linotype" w:cs="Palatino Linotype"/>
          <w:i/>
          <w:color w:val="000000"/>
          <w:sz w:val="24"/>
          <w:szCs w:val="24"/>
          <w:u w:val="single"/>
        </w:rPr>
        <w:t xml:space="preserve">: </w:t>
      </w:r>
      <w:r w:rsidR="00E462DA">
        <w:rPr>
          <w:rFonts w:ascii="Palatino Linotype" w:eastAsia="Palatino Linotype" w:hAnsi="Palatino Linotype" w:cs="Palatino Linotype"/>
          <w:color w:val="000000"/>
          <w:sz w:val="24"/>
          <w:szCs w:val="24"/>
        </w:rPr>
        <w:t xml:space="preserve">contiene el oficio número UT/RR/0033/2022 a través del cual la Titular de la Unidad de Transparencia del </w:t>
      </w:r>
      <w:r w:rsidR="00E462DA">
        <w:rPr>
          <w:rFonts w:ascii="Palatino Linotype" w:eastAsia="Palatino Linotype" w:hAnsi="Palatino Linotype" w:cs="Palatino Linotype"/>
          <w:b/>
          <w:color w:val="000000"/>
          <w:sz w:val="24"/>
          <w:szCs w:val="24"/>
        </w:rPr>
        <w:t>SUJETO OBLIGADO</w:t>
      </w:r>
      <w:r w:rsidR="00E462DA">
        <w:rPr>
          <w:rFonts w:ascii="Palatino Linotype" w:eastAsia="Palatino Linotype" w:hAnsi="Palatino Linotype" w:cs="Palatino Linotype"/>
          <w:color w:val="000000"/>
          <w:sz w:val="24"/>
          <w:szCs w:val="24"/>
        </w:rPr>
        <w:t xml:space="preserve"> mediante el cual ratifica en términos generales su </w:t>
      </w:r>
      <w:r w:rsidR="00E462DA">
        <w:rPr>
          <w:rFonts w:ascii="Palatino Linotype" w:eastAsia="Palatino Linotype" w:hAnsi="Palatino Linotype" w:cs="Palatino Linotype"/>
          <w:color w:val="000000"/>
          <w:sz w:val="24"/>
          <w:szCs w:val="24"/>
        </w:rPr>
        <w:lastRenderedPageBreak/>
        <w:t>respuesta original, así mismo describe cada una de las etapas registradas en el expediente electrónico que conforma al presente recurso, de igual forma menciona  que se garantizó que la solicitud se turnara al área competente de acuerdo a sus facultades, competencias y funciones.</w:t>
      </w:r>
    </w:p>
    <w:p w:rsidR="00F22C6F" w:rsidRDefault="00F22C6F">
      <w:pPr>
        <w:spacing w:after="0" w:line="360" w:lineRule="auto"/>
        <w:jc w:val="both"/>
        <w:rPr>
          <w:rFonts w:ascii="Palatino Linotype" w:eastAsia="Palatino Linotype" w:hAnsi="Palatino Linotype" w:cs="Palatino Linotype"/>
          <w:color w:val="000000"/>
          <w:sz w:val="24"/>
          <w:szCs w:val="24"/>
        </w:rPr>
      </w:pPr>
    </w:p>
    <w:p w:rsidR="00F22C6F" w:rsidRDefault="00E462DA">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Ahora bien, resulta oportuno mencionar que de los motivos de inconformidad, se advierte que,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solo se inconforma, de que faltó por atender los puntos referentes en contra de qué programas sociales mexiquenses se interpusieron denuncias en 2017, 2018, 2020 y 2021, qué se denunció y qué sanciones se aplicaron</w:t>
      </w:r>
      <w:r>
        <w:rPr>
          <w:rFonts w:ascii="Palatino Linotype" w:eastAsia="Palatino Linotype" w:hAnsi="Palatino Linotype" w:cs="Palatino Linotype"/>
          <w:color w:val="000000"/>
          <w:sz w:val="24"/>
          <w:szCs w:val="24"/>
        </w:rPr>
        <w:t xml:space="preserve">, no así respecto a la respuesta relativa al </w:t>
      </w:r>
      <w:r>
        <w:rPr>
          <w:rFonts w:ascii="Palatino Linotype" w:eastAsia="Palatino Linotype" w:hAnsi="Palatino Linotype" w:cs="Palatino Linotype"/>
          <w:sz w:val="24"/>
          <w:szCs w:val="24"/>
        </w:rPr>
        <w:t xml:space="preserve">número de denuncias interpuestas contra programas sociales mexiquenses, contra quién o quiénes se denunció, quién interpuso la denuncia, las medidas que se implementaron y el resultado de las medidas implementadas, </w:t>
      </w:r>
      <w:r>
        <w:rPr>
          <w:rFonts w:ascii="Palatino Linotype" w:eastAsia="Palatino Linotype" w:hAnsi="Palatino Linotype" w:cs="Palatino Linotype"/>
          <w:color w:val="000000"/>
          <w:sz w:val="24"/>
          <w:szCs w:val="24"/>
        </w:rPr>
        <w:t xml:space="preserve">luego entonces la parte de la </w:t>
      </w:r>
      <w:r>
        <w:rPr>
          <w:rFonts w:ascii="Palatino Linotype" w:eastAsia="Palatino Linotype" w:hAnsi="Palatino Linotype" w:cs="Palatino Linotype"/>
          <w:sz w:val="24"/>
          <w:szCs w:val="24"/>
        </w:rPr>
        <w:t>respuesta que</w:t>
      </w:r>
      <w:r>
        <w:rPr>
          <w:rFonts w:ascii="Palatino Linotype" w:eastAsia="Palatino Linotype" w:hAnsi="Palatino Linotype" w:cs="Palatino Linotype"/>
          <w:color w:val="000000"/>
          <w:sz w:val="24"/>
          <w:szCs w:val="24"/>
        </w:rPr>
        <w:t xml:space="preserve"> no fue impugnada debe declararse consentida por el hoy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en razón de que no se realizaron manifestaciones de inconformidad, por lo que no pueden producirse efectos jurídicos tendentes a revocar, confirmar o modificar el acto reclamado ya que se infiere un consentimiento del</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ante la falta de impugnación eficaz. </w:t>
      </w:r>
    </w:p>
    <w:p w:rsidR="00F22C6F" w:rsidRDefault="00F22C6F">
      <w:pPr>
        <w:shd w:val="clear" w:color="auto" w:fill="FFFFFF"/>
        <w:spacing w:after="0" w:line="360" w:lineRule="auto"/>
        <w:jc w:val="both"/>
        <w:rPr>
          <w:rFonts w:ascii="Palatino Linotype" w:eastAsia="Palatino Linotype" w:hAnsi="Palatino Linotype" w:cs="Palatino Linotype"/>
          <w:color w:val="000000"/>
          <w:sz w:val="24"/>
          <w:szCs w:val="24"/>
        </w:rPr>
      </w:pPr>
    </w:p>
    <w:p w:rsidR="00F22C6F" w:rsidRDefault="00E462DA">
      <w:pP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rsidR="00F22C6F" w:rsidRDefault="00F22C6F">
      <w:pPr>
        <w:shd w:val="clear" w:color="auto" w:fill="FFFFFF"/>
        <w:spacing w:after="0" w:line="360" w:lineRule="auto"/>
        <w:jc w:val="both"/>
        <w:rPr>
          <w:rFonts w:ascii="Palatino Linotype" w:eastAsia="Palatino Linotype" w:hAnsi="Palatino Linotype" w:cs="Palatino Linotype"/>
          <w:sz w:val="24"/>
          <w:szCs w:val="24"/>
        </w:rPr>
      </w:pPr>
    </w:p>
    <w:p w:rsidR="00F22C6F" w:rsidRDefault="00E462DA">
      <w:pPr>
        <w:shd w:val="clear" w:color="auto" w:fill="FFFFFF"/>
        <w:spacing w:after="120" w:line="360" w:lineRule="auto"/>
        <w:ind w:left="851" w:right="902"/>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lastRenderedPageBreak/>
        <w:t>“</w:t>
      </w:r>
      <w:r>
        <w:rPr>
          <w:rFonts w:ascii="Palatino Linotype" w:eastAsia="Palatino Linotype" w:hAnsi="Palatino Linotype" w:cs="Palatino Linotype"/>
          <w:b/>
          <w:i/>
          <w:color w:val="222222"/>
        </w:rPr>
        <w:t>ACTOS CONSENTIDOS. SON LOS QUE NO SE IMPUGNAN MEDIANTE EL RECURSO IDÓNEO</w:t>
      </w:r>
      <w:r>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22C6F" w:rsidRDefault="00E462DA">
      <w:pPr>
        <w:spacing w:before="28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es así, debido a que, cuando el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impugnó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está conforme con la información al no contravenir la misma.</w:t>
      </w:r>
    </w:p>
    <w:p w:rsidR="00F22C6F" w:rsidRDefault="00E462DA">
      <w:pPr>
        <w:spacing w:before="28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Consecuentemente, la parte de la respuesta que no fue impugnada debe declararse consentida, toda vez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no realizó manifestaciones de inconformidad; por lo que, no pueden producirse efectos jurídicos tendentes a revocar, confirmar o modificar el acto reclamado, ya que se infiere su consentimiento ante la falta de impugnación eficaz.</w:t>
      </w:r>
    </w:p>
    <w:p w:rsidR="00F22C6F" w:rsidRDefault="00F22C6F">
      <w:pPr>
        <w:spacing w:after="0" w:line="360" w:lineRule="auto"/>
        <w:ind w:right="49"/>
        <w:jc w:val="both"/>
        <w:rPr>
          <w:rFonts w:ascii="Helvetica Neue" w:eastAsia="Helvetica Neue" w:hAnsi="Helvetica Neue" w:cs="Helvetica Neue"/>
          <w:color w:val="FFFFFF"/>
          <w:sz w:val="18"/>
          <w:szCs w:val="18"/>
        </w:rPr>
      </w:pPr>
    </w:p>
    <w:p w:rsidR="00F22C6F" w:rsidRDefault="00E462DA">
      <w:pPr>
        <w:spacing w:after="280" w:line="360" w:lineRule="auto"/>
        <w:ind w:right="49"/>
        <w:jc w:val="both"/>
        <w:rPr>
          <w:rFonts w:ascii="Helvetica Neue" w:eastAsia="Helvetica Neue" w:hAnsi="Helvetica Neue" w:cs="Helvetica Neue"/>
          <w:color w:val="FFFFFF"/>
          <w:sz w:val="18"/>
          <w:szCs w:val="18"/>
        </w:rPr>
      </w:pPr>
      <w:r>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rsidR="00F22C6F" w:rsidRDefault="00E462DA">
      <w:pPr>
        <w:spacing w:after="0" w:line="240" w:lineRule="auto"/>
        <w:ind w:left="1080" w:right="918"/>
        <w:jc w:val="both"/>
        <w:rPr>
          <w:rFonts w:ascii="Times New Roman" w:eastAsia="Times New Roman" w:hAnsi="Times New Roman" w:cs="Times New Roman"/>
          <w:sz w:val="24"/>
          <w:szCs w:val="24"/>
        </w:rPr>
      </w:pPr>
      <w:r>
        <w:rPr>
          <w:rFonts w:ascii="Palatino Linotype" w:eastAsia="Palatino Linotype" w:hAnsi="Palatino Linotype" w:cs="Palatino Linotype"/>
          <w:b/>
          <w:i/>
        </w:rPr>
        <w:t xml:space="preserve">“REVISIÓN EN AMPARO. LOS RESOLUTIVOS NO COMBATIDOS DEBEN DECLARARSE FIRMES. </w:t>
      </w:r>
      <w:r>
        <w:rPr>
          <w:rFonts w:ascii="Palatino Linotype" w:eastAsia="Palatino Linotype" w:hAnsi="Palatino Linotype" w:cs="Palatino Linotype"/>
          <w:i/>
        </w:rPr>
        <w:t xml:space="preserve">Cuando algún resolutivo de la sentencia impugnada afecta a la </w:t>
      </w:r>
      <w:r>
        <w:rPr>
          <w:rFonts w:ascii="Palatino Linotype" w:eastAsia="Palatino Linotype" w:hAnsi="Palatino Linotype" w:cs="Palatino Linotype"/>
          <w:b/>
          <w:i/>
        </w:rPr>
        <w:t>RECURRENTE</w:t>
      </w:r>
      <w:r>
        <w:rPr>
          <w:rFonts w:ascii="Palatino Linotype" w:eastAsia="Palatino Linotype" w:hAnsi="Palatino Linotype" w:cs="Palatino Linotype"/>
          <w:i/>
        </w:rPr>
        <w:t xml:space="preserve">, y ésta no expresa agravio en contra de las consideraciones que le sirven de base, dicho resolutivo debe declararse </w:t>
      </w:r>
      <w:r>
        <w:rPr>
          <w:rFonts w:ascii="Palatino Linotype" w:eastAsia="Palatino Linotype" w:hAnsi="Palatino Linotype" w:cs="Palatino Linotype"/>
          <w:i/>
        </w:rPr>
        <w:lastRenderedPageBreak/>
        <w:t xml:space="preserve">firme. Esto es, en el caso referido, no obstante que la materia de la revisión comprende a todos los resolutivos que afectan a la </w:t>
      </w:r>
      <w:r>
        <w:rPr>
          <w:rFonts w:ascii="Palatino Linotype" w:eastAsia="Palatino Linotype" w:hAnsi="Palatino Linotype" w:cs="Palatino Linotype"/>
          <w:b/>
          <w:i/>
        </w:rPr>
        <w:t>RECURRENTE</w:t>
      </w:r>
      <w:r>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rsidR="00F22C6F" w:rsidRDefault="00F22C6F">
      <w:pPr>
        <w:spacing w:after="0" w:line="240" w:lineRule="auto"/>
        <w:ind w:left="1080" w:right="918"/>
        <w:jc w:val="both"/>
        <w:rPr>
          <w:rFonts w:ascii="Palatino Linotype" w:eastAsia="Palatino Linotype" w:hAnsi="Palatino Linotype" w:cs="Palatino Linotype"/>
          <w:sz w:val="24"/>
          <w:szCs w:val="24"/>
        </w:rPr>
      </w:pPr>
    </w:p>
    <w:p w:rsidR="00F22C6F" w:rsidRDefault="00E462DA">
      <w:pPr>
        <w:spacing w:after="0" w:line="360" w:lineRule="auto"/>
        <w:ind w:right="49"/>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sz w:val="24"/>
          <w:szCs w:val="24"/>
        </w:rPr>
        <w:t xml:space="preserve">Ahora bien, respecto a la obtención de información de qué se denunció y contra qué programa social, el </w:t>
      </w:r>
      <w:r>
        <w:rPr>
          <w:rFonts w:ascii="Palatino Linotype" w:eastAsia="Palatino Linotype" w:hAnsi="Palatino Linotype" w:cs="Palatino Linotype"/>
          <w:b/>
          <w:sz w:val="24"/>
          <w:szCs w:val="24"/>
        </w:rPr>
        <w:t xml:space="preserve">SUJETO OBLGADO </w:t>
      </w:r>
      <w:r>
        <w:rPr>
          <w:rFonts w:ascii="Palatino Linotype" w:eastAsia="Palatino Linotype" w:hAnsi="Palatino Linotype" w:cs="Palatino Linotype"/>
          <w:sz w:val="24"/>
          <w:szCs w:val="24"/>
        </w:rPr>
        <w:t xml:space="preserve">menciona que se requiere el procesamiento y resumen de cada uno de los registros efectuados por los usuarios del Sistema de Atención Mexiquense para en su caso poder presentarla conforme al interés del denunciante, con lo cual no niega la inexistencia de la información. </w:t>
      </w:r>
    </w:p>
    <w:p w:rsidR="00F22C6F" w:rsidRDefault="00E462DA">
      <w:pPr>
        <w:shd w:val="clear" w:color="auto" w:fill="FFFFFF"/>
        <w:spacing w:before="240" w:after="240" w:line="360" w:lineRule="auto"/>
        <w:jc w:val="both"/>
        <w:rPr>
          <w:rFonts w:ascii="Arial" w:eastAsia="Arial" w:hAnsi="Arial" w:cs="Arial"/>
          <w:color w:val="222222"/>
          <w:sz w:val="24"/>
          <w:szCs w:val="24"/>
        </w:rPr>
      </w:pPr>
      <w:r>
        <w:rPr>
          <w:rFonts w:ascii="Palatino Linotype" w:eastAsia="Palatino Linotype" w:hAnsi="Palatino Linotype" w:cs="Palatino Linotype"/>
          <w:color w:val="222222"/>
          <w:sz w:val="24"/>
          <w:szCs w:val="24"/>
        </w:rPr>
        <w:t>Sin embargo, si bien es cierto que los Sujetos Obligado no están obligados a generar documentos en especificó ya que deben entregar la información solicitada que obre en su poder conforme el estado que se encuentra; esto es, no están obligados hacer un procesamiento de la misma, ni presentarla conforme al interés del solicitante; como así lo establece el artículo 12 de la Ley de Transparencia y Acceso a la Información Pública del Estado de México y Municipios, que a la letra dice:</w:t>
      </w:r>
    </w:p>
    <w:p w:rsidR="00F22C6F" w:rsidRDefault="00E462DA">
      <w:pPr>
        <w:shd w:val="clear" w:color="auto" w:fill="FFFFFF"/>
        <w:spacing w:before="240" w:after="240"/>
        <w:ind w:left="567" w:right="758"/>
        <w:jc w:val="both"/>
        <w:rPr>
          <w:rFonts w:ascii="Arial" w:eastAsia="Arial" w:hAnsi="Arial" w:cs="Arial"/>
          <w:color w:val="222222"/>
          <w:sz w:val="24"/>
          <w:szCs w:val="24"/>
        </w:rPr>
      </w:pPr>
      <w:r>
        <w:rPr>
          <w:rFonts w:ascii="Palatino Linotype" w:eastAsia="Palatino Linotype" w:hAnsi="Palatino Linotype" w:cs="Palatino Linotype"/>
          <w:b/>
          <w:i/>
          <w:color w:val="222222"/>
        </w:rPr>
        <w:t>“Artículo 12.-</w:t>
      </w:r>
      <w:r>
        <w:rPr>
          <w:rFonts w:ascii="Palatino Linotype" w:eastAsia="Palatino Linotype" w:hAnsi="Palatino Linotype" w:cs="Palatino Linotype"/>
          <w:i/>
          <w:color w:val="222222"/>
        </w:rPr>
        <w:t> Quienes generen, recopilen, administren, manejen, procesen, archiven o conserven información pública serán responsables de la misma en los términos de las disposiciones jurídicas aplicables.</w:t>
      </w:r>
    </w:p>
    <w:p w:rsidR="00F22C6F" w:rsidRDefault="00E462DA">
      <w:pPr>
        <w:shd w:val="clear" w:color="auto" w:fill="FFFFFF"/>
        <w:spacing w:before="240" w:after="240"/>
        <w:ind w:left="567" w:right="758"/>
        <w:jc w:val="both"/>
        <w:rPr>
          <w:rFonts w:ascii="Arial" w:eastAsia="Arial" w:hAnsi="Arial" w:cs="Arial"/>
          <w:color w:val="222222"/>
          <w:sz w:val="24"/>
          <w:szCs w:val="24"/>
        </w:rPr>
      </w:pPr>
      <w:r>
        <w:rPr>
          <w:rFonts w:ascii="Palatino Linotype" w:eastAsia="Palatino Linotype" w:hAnsi="Palatino Linotype" w:cs="Palatino Linotype"/>
          <w:b/>
          <w:i/>
          <w:color w:val="2222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color w:val="222222"/>
        </w:rPr>
        <w:t>. </w:t>
      </w:r>
      <w:r>
        <w:rPr>
          <w:rFonts w:ascii="Palatino Linotype" w:eastAsia="Palatino Linotype" w:hAnsi="Palatino Linotype" w:cs="Palatino Linotype"/>
          <w:b/>
          <w:i/>
          <w:color w:val="222222"/>
        </w:rPr>
        <w:t>La obligación de proporcionar información no comprende el procesamiento de la misma, ni el presentarla conforme al interés del solicitante; no estarán obligados a generarla, resumirla, efectuar cálculos o practicar investigaciones.” (Sic)</w:t>
      </w:r>
    </w:p>
    <w:p w:rsidR="00F22C6F" w:rsidRDefault="00E462DA">
      <w:pPr>
        <w:shd w:val="clear" w:color="auto" w:fill="FFFFFF"/>
        <w:spacing w:before="280" w:after="280" w:line="360" w:lineRule="auto"/>
        <w:jc w:val="both"/>
        <w:rPr>
          <w:rFonts w:ascii="Arial" w:eastAsia="Arial" w:hAnsi="Arial" w:cs="Arial"/>
          <w:color w:val="222222"/>
          <w:sz w:val="24"/>
          <w:szCs w:val="24"/>
        </w:rPr>
      </w:pPr>
      <w:r>
        <w:rPr>
          <w:rFonts w:ascii="Palatino Linotype" w:eastAsia="Palatino Linotype" w:hAnsi="Palatino Linotype" w:cs="Palatino Linotype"/>
          <w:color w:val="000000"/>
          <w:sz w:val="24"/>
          <w:szCs w:val="24"/>
        </w:rPr>
        <w:lastRenderedPageBreak/>
        <w:t xml:space="preserve">Es decir, que todo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F22C6F" w:rsidRDefault="00E462DA">
      <w:pPr>
        <w:shd w:val="clear" w:color="auto" w:fill="FFFFFF"/>
        <w:spacing w:before="280" w:after="280" w:line="360" w:lineRule="auto"/>
        <w:jc w:val="both"/>
        <w:rPr>
          <w:rFonts w:ascii="Arial" w:eastAsia="Arial" w:hAnsi="Arial" w:cs="Arial"/>
          <w:color w:val="222222"/>
          <w:sz w:val="24"/>
          <w:szCs w:val="24"/>
        </w:rPr>
      </w:pPr>
      <w:r>
        <w:rPr>
          <w:rFonts w:ascii="Palatino Linotype" w:eastAsia="Palatino Linotype" w:hAnsi="Palatino Linotype" w:cs="Palatino Linotype"/>
          <w:color w:val="000000"/>
          <w:sz w:val="24"/>
          <w:szCs w:val="24"/>
        </w:rPr>
        <w:t>Sirve de apoyo a lo anterior, el criterio 03-17, expuesto por el Instituto Nacional de Transparencia, Acceso a la Información y Protección de Datos Personales, que dice:</w:t>
      </w:r>
    </w:p>
    <w:p w:rsidR="00F22C6F" w:rsidRDefault="00E462DA">
      <w:pPr>
        <w:shd w:val="clear" w:color="auto" w:fill="FFFFFF"/>
        <w:spacing w:before="240" w:after="240"/>
        <w:ind w:left="851" w:right="90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No existe obligación de elaborar documentos ad hoc para atender las solicitudes de acceso a la información.</w:t>
      </w:r>
      <w:r>
        <w:rPr>
          <w:rFonts w:ascii="Palatino Linotype" w:eastAsia="Palatino Linotype" w:hAnsi="Palatino Linotype" w:cs="Palatino Linotype"/>
          <w:i/>
          <w:color w:val="000000"/>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22C6F" w:rsidRDefault="00E462DA">
      <w:pPr>
        <w:shd w:val="clear" w:color="auto" w:fill="FFFFFF"/>
        <w:spacing w:before="240" w:after="240"/>
        <w:ind w:left="851" w:right="90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000000"/>
        </w:rPr>
        <w:t>Resoluciones:</w:t>
      </w:r>
    </w:p>
    <w:p w:rsidR="00F22C6F" w:rsidRDefault="00E462DA">
      <w:pPr>
        <w:shd w:val="clear" w:color="auto" w:fill="FFFFFF"/>
        <w:spacing w:before="240" w:after="240"/>
        <w:ind w:left="851" w:right="901"/>
        <w:jc w:val="both"/>
        <w:rPr>
          <w:rFonts w:ascii="Times New Roman" w:eastAsia="Times New Roman" w:hAnsi="Times New Roman" w:cs="Times New Roman"/>
          <w:color w:val="222222"/>
          <w:sz w:val="24"/>
          <w:szCs w:val="24"/>
        </w:rPr>
      </w:pPr>
      <w:r>
        <w:rPr>
          <w:rFonts w:ascii="Noto Sans Symbols" w:eastAsia="Noto Sans Symbols" w:hAnsi="Noto Sans Symbols" w:cs="Noto Sans Symbols"/>
          <w:i/>
          <w:color w:val="000000"/>
        </w:rPr>
        <w:t>∙</w:t>
      </w:r>
      <w:r>
        <w:rPr>
          <w:rFonts w:ascii="Palatino Linotype" w:eastAsia="Palatino Linotype" w:hAnsi="Palatino Linotype" w:cs="Palatino Linotype"/>
          <w:i/>
          <w:color w:val="000000"/>
        </w:rPr>
        <w:t> RRA 0050/16. Instituto Nacional para la Evaluación de la Educación. 13 julio de 2016. Por unanimidad. Comisionado Ponente: Francisco Javier Acuña Llamas.</w:t>
      </w:r>
    </w:p>
    <w:p w:rsidR="00F22C6F" w:rsidRDefault="00E462DA">
      <w:pPr>
        <w:shd w:val="clear" w:color="auto" w:fill="FFFFFF"/>
        <w:spacing w:before="240" w:after="240"/>
        <w:ind w:left="851" w:right="901"/>
        <w:jc w:val="both"/>
        <w:rPr>
          <w:rFonts w:ascii="Times New Roman" w:eastAsia="Times New Roman" w:hAnsi="Times New Roman" w:cs="Times New Roman"/>
          <w:color w:val="222222"/>
          <w:sz w:val="24"/>
          <w:szCs w:val="24"/>
        </w:rPr>
      </w:pPr>
      <w:r>
        <w:rPr>
          <w:rFonts w:ascii="Noto Sans Symbols" w:eastAsia="Noto Sans Symbols" w:hAnsi="Noto Sans Symbols" w:cs="Noto Sans Symbols"/>
          <w:i/>
          <w:color w:val="000000"/>
        </w:rPr>
        <w:lastRenderedPageBreak/>
        <w:t>∙</w:t>
      </w:r>
      <w:r>
        <w:rPr>
          <w:rFonts w:ascii="Palatino Linotype" w:eastAsia="Palatino Linotype" w:hAnsi="Palatino Linotype" w:cs="Palatino Linotype"/>
          <w:i/>
          <w:color w:val="000000"/>
        </w:rPr>
        <w:t> RRA 0310/16. Instituto Nacional de Transparencia, Acceso a la Información y Protección de Datos Personales. 10 de agosto de 2016. Por unanimidad. Comisionada Ponente. Areli Cano Guadiana.</w:t>
      </w:r>
    </w:p>
    <w:p w:rsidR="00F22C6F" w:rsidRDefault="00E462DA">
      <w:pPr>
        <w:shd w:val="clear" w:color="auto" w:fill="FFFFFF"/>
        <w:spacing w:before="240" w:after="240"/>
        <w:ind w:left="851" w:right="901"/>
        <w:jc w:val="both"/>
        <w:rPr>
          <w:rFonts w:ascii="Times New Roman" w:eastAsia="Times New Roman" w:hAnsi="Times New Roman" w:cs="Times New Roman"/>
          <w:color w:val="222222"/>
          <w:sz w:val="24"/>
          <w:szCs w:val="24"/>
        </w:rPr>
      </w:pPr>
      <w:r>
        <w:rPr>
          <w:rFonts w:ascii="Noto Sans Symbols" w:eastAsia="Noto Sans Symbols" w:hAnsi="Noto Sans Symbols" w:cs="Noto Sans Symbols"/>
          <w:i/>
          <w:color w:val="000000"/>
        </w:rPr>
        <w:t>∙</w:t>
      </w:r>
      <w:r>
        <w:rPr>
          <w:rFonts w:ascii="Palatino Linotype" w:eastAsia="Palatino Linotype" w:hAnsi="Palatino Linotype" w:cs="Palatino Linotype"/>
          <w:i/>
          <w:color w:val="000000"/>
        </w:rPr>
        <w:t> RRA 1889/16. Secretaría de Hacienda y Crédito Público. 05 de octubre de 2016. Por unanimidad. Comisionada Ponente. Ximena Puente de la Mora.”(Sic)</w:t>
      </w:r>
    </w:p>
    <w:p w:rsidR="00F22C6F" w:rsidRDefault="00F22C6F">
      <w:pPr>
        <w:spacing w:after="0" w:line="360" w:lineRule="auto"/>
        <w:ind w:right="49"/>
        <w:jc w:val="both"/>
        <w:rPr>
          <w:rFonts w:ascii="Palatino Linotype" w:eastAsia="Palatino Linotype" w:hAnsi="Palatino Linotype" w:cs="Palatino Linotype"/>
          <w:sz w:val="24"/>
          <w:szCs w:val="24"/>
          <w:highlight w:val="yellow"/>
        </w:rPr>
      </w:pPr>
    </w:p>
    <w:p w:rsidR="00F22C6F" w:rsidRDefault="00E462DA">
      <w:pPr>
        <w:spacing w:after="0" w:line="360" w:lineRule="auto"/>
        <w:ind w:right="49"/>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t>Ahora bien, sobre el tema que nos ocupa es necesario remitirnos a lo señalado:</w:t>
      </w:r>
    </w:p>
    <w:p w:rsidR="00F22C6F" w:rsidRDefault="00F22C6F">
      <w:pPr>
        <w:spacing w:after="0" w:line="360" w:lineRule="auto"/>
        <w:ind w:right="49"/>
        <w:jc w:val="both"/>
        <w:rPr>
          <w:rFonts w:ascii="Palatino Linotype" w:eastAsia="Palatino Linotype" w:hAnsi="Palatino Linotype" w:cs="Palatino Linotype"/>
          <w:sz w:val="24"/>
          <w:szCs w:val="24"/>
        </w:rPr>
      </w:pPr>
    </w:p>
    <w:p w:rsidR="00F22C6F" w:rsidRDefault="00E462DA">
      <w:pPr>
        <w:spacing w:line="360" w:lineRule="auto"/>
        <w:ind w:left="851" w:right="900"/>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u w:val="single"/>
        </w:rPr>
        <w:t>REGLAMENTO INTERIOR DE LA SECRETARÍA DE LA CONTRALORÍA</w:t>
      </w:r>
    </w:p>
    <w:p w:rsidR="00F22C6F" w:rsidRDefault="00E462DA">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22. A la Dirección General de Investigación, corresponden las atribuciones siguientes:</w:t>
      </w:r>
    </w:p>
    <w:p w:rsidR="00F22C6F" w:rsidRDefault="00E462DA">
      <w:pP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Recibir las denuncias que se formulen por presuntas infracciones o faltas administrativas derivadas de actos u omisiones cometidas por servidores públicos de las dependencias y organismos auxiliares del Poder Ejecutivo Estatal o por particulares por conductas sancionables en términos de la Ley de Responsabilidades, así como instruir su remisión, a través del sistema correspondiente a los órganos internos de control, en su caso, conforme a las disposiciones jurídicas aplicables;</w:t>
      </w:r>
    </w:p>
    <w:p w:rsidR="00F22C6F" w:rsidRDefault="00E462DA">
      <w:pP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 Iniciar de oficio, </w:t>
      </w:r>
      <w:r>
        <w:rPr>
          <w:rFonts w:ascii="Palatino Linotype" w:eastAsia="Palatino Linotype" w:hAnsi="Palatino Linotype" w:cs="Palatino Linotype"/>
          <w:i/>
          <w:color w:val="000000"/>
          <w:u w:val="single"/>
        </w:rPr>
        <w:t>por denuncia</w:t>
      </w:r>
      <w:r>
        <w:rPr>
          <w:rFonts w:ascii="Palatino Linotype" w:eastAsia="Palatino Linotype" w:hAnsi="Palatino Linotype" w:cs="Palatino Linotype"/>
          <w:i/>
          <w:color w:val="000000"/>
        </w:rPr>
        <w:t xml:space="preserve"> o derivado de auditorías realizadas por las autoridades competentes, </w:t>
      </w:r>
      <w:r>
        <w:rPr>
          <w:rFonts w:ascii="Palatino Linotype" w:eastAsia="Palatino Linotype" w:hAnsi="Palatino Linotype" w:cs="Palatino Linotype"/>
          <w:i/>
          <w:color w:val="000000"/>
          <w:u w:val="single"/>
        </w:rPr>
        <w:t xml:space="preserve">las investigaciones </w:t>
      </w:r>
      <w:r>
        <w:rPr>
          <w:rFonts w:ascii="Palatino Linotype" w:eastAsia="Palatino Linotype" w:hAnsi="Palatino Linotype" w:cs="Palatino Linotype"/>
          <w:i/>
          <w:color w:val="000000"/>
        </w:rPr>
        <w:t>por presuntas faltas administrativas o infracciones cometidas por los servidores públicos o de los particulares por conductas sancionables, en términos de la Ley de Responsabilidades;</w:t>
      </w: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Conforme a la normatividad analizada, se logra vislumbrar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es competente para </w:t>
      </w:r>
      <w:r>
        <w:rPr>
          <w:rFonts w:ascii="Palatino Linotype" w:eastAsia="Palatino Linotype" w:hAnsi="Palatino Linotype" w:cs="Palatino Linotype"/>
          <w:color w:val="000000"/>
          <w:sz w:val="24"/>
          <w:szCs w:val="24"/>
        </w:rPr>
        <w:t xml:space="preserve">recibir las denuncias que se formulen por presuntas infracciones o faltas administrativas derivadas de actos u omisiones </w:t>
      </w:r>
      <w:r>
        <w:rPr>
          <w:rFonts w:ascii="Palatino Linotype" w:eastAsia="Palatino Linotype" w:hAnsi="Palatino Linotype" w:cs="Palatino Linotype"/>
          <w:color w:val="000000"/>
          <w:sz w:val="24"/>
          <w:szCs w:val="24"/>
        </w:rPr>
        <w:lastRenderedPageBreak/>
        <w:t>cometidas por servidores públicos de las dependencias y organismos auxiliares del Poder Ejecutivo Estatal o por particulares</w:t>
      </w:r>
      <w:r>
        <w:rPr>
          <w:rFonts w:ascii="Palatino Linotype" w:eastAsia="Palatino Linotype" w:hAnsi="Palatino Linotype" w:cs="Palatino Linotype"/>
          <w:sz w:val="24"/>
          <w:szCs w:val="24"/>
        </w:rPr>
        <w:t xml:space="preserve"> aunando que llevara las investigaciones por las presuntas faltas administrativas derivadas de las denuncias promovidas. </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consiguiente, si bien los sujetos obligados no están obligados a generar documentos ad hoc, como ya fue señalado, pero de lo procedente se advierte que si conoció de las denuncias señaladas en su respuesta; de ahí que, procede su acceso en versión pública conforme a lo señalado en el considerando quinto del presente fallo. </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respecto a las sanciones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fue omiso en emitir su pronunciamiento referente a qué sanciones se aplicaron, </w:t>
      </w:r>
      <w:r>
        <w:rPr>
          <w:rFonts w:ascii="Palatino Linotype" w:eastAsia="Palatino Linotype" w:hAnsi="Palatino Linotype" w:cs="Palatino Linotype"/>
          <w:color w:val="000000"/>
          <w:sz w:val="24"/>
          <w:szCs w:val="24"/>
        </w:rPr>
        <w:t>se estima oportuno efectuar el análisis de la normatividad que rige lo referente al actuar del S</w:t>
      </w:r>
      <w:r>
        <w:rPr>
          <w:rFonts w:ascii="Palatino Linotype" w:eastAsia="Palatino Linotype" w:hAnsi="Palatino Linotype" w:cs="Palatino Linotype"/>
          <w:b/>
          <w:color w:val="000000"/>
          <w:sz w:val="24"/>
          <w:szCs w:val="24"/>
        </w:rPr>
        <w:t>UJETO OBLIGADO</w:t>
      </w:r>
      <w:r>
        <w:rPr>
          <w:rFonts w:ascii="Palatino Linotype" w:eastAsia="Palatino Linotype" w:hAnsi="Palatino Linotype" w:cs="Palatino Linotype"/>
          <w:color w:val="000000"/>
          <w:sz w:val="24"/>
          <w:szCs w:val="24"/>
        </w:rPr>
        <w:t>, a efecto de determinar</w:t>
      </w:r>
      <w:r>
        <w:rPr>
          <w:rFonts w:ascii="Palatino Linotype" w:eastAsia="Palatino Linotype" w:hAnsi="Palatino Linotype" w:cs="Palatino Linotype"/>
          <w:sz w:val="24"/>
          <w:szCs w:val="24"/>
        </w:rPr>
        <w:t xml:space="preserve"> si es susceptible de contar con este punto de la solicitud de acceso a la información pública:</w:t>
      </w:r>
    </w:p>
    <w:p w:rsidR="00F22C6F" w:rsidRDefault="00F22C6F">
      <w:pPr>
        <w:spacing w:line="360" w:lineRule="auto"/>
        <w:ind w:left="851" w:right="900"/>
        <w:jc w:val="both"/>
        <w:rPr>
          <w:rFonts w:ascii="Palatino Linotype" w:eastAsia="Palatino Linotype" w:hAnsi="Palatino Linotype" w:cs="Palatino Linotype"/>
          <w:b/>
          <w:i/>
          <w:u w:val="single"/>
        </w:rPr>
      </w:pPr>
    </w:p>
    <w:p w:rsidR="00F22C6F" w:rsidRDefault="00E462DA">
      <w:pPr>
        <w:spacing w:line="360" w:lineRule="auto"/>
        <w:ind w:left="851" w:right="900"/>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LEY DE RESPONSABILIDADES ADMINISTRATIVAS DEL ESTADO DE MÉXICO Y MUNICIPIOS.</w:t>
      </w:r>
    </w:p>
    <w:p w:rsidR="00F22C6F" w:rsidRDefault="00E462DA">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XII. Faltas administrativas: A las faltas administrativas graves y no graves, así como las faltas cometidas por particulares conforme a lo dispuesto en la presente Ley. </w:t>
      </w:r>
    </w:p>
    <w:p w:rsidR="00F22C6F" w:rsidRDefault="00E462DA">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XIII. Falta administrativa no grave: A las faltas administrativas de los servidores públicos en los términos de la presente Ley, cuya imposición de la sanción </w:t>
      </w:r>
      <w:r>
        <w:rPr>
          <w:rFonts w:ascii="Palatino Linotype" w:eastAsia="Palatino Linotype" w:hAnsi="Palatino Linotype" w:cs="Palatino Linotype"/>
          <w:i/>
        </w:rPr>
        <w:lastRenderedPageBreak/>
        <w:t>corresponde a la Secretaría de la Contraloría del Estado de México y a los órganos internos de control.</w:t>
      </w:r>
    </w:p>
    <w:p w:rsidR="00F22C6F" w:rsidRDefault="00E462DA">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XIV. Falta administrativa grave: A las faltas administrativas de los servidores públicos catalogadas como graves en los términos de la presente Ley, cuya sanción corresponde al Tribunal de Justicia Administrativa del Estado de México.</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Precisado lo anterior, las faltas administrativas se clasifican en graves y no graves, las cuales son cometidas por servidores públicos, mismos que son sancionados por la Secretaría de la Contraloría del Estado de México y el Tribunal de Justicia Administrativa del Estado de México, de acuerdo a la gravedad que le corresponda.</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Continuando con los puntos de inconformidad vertidos por el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resulta oportuno citar el siguiente ordenamiento:</w:t>
      </w:r>
    </w:p>
    <w:p w:rsidR="00F22C6F" w:rsidRDefault="00E462DA">
      <w:pPr>
        <w:tabs>
          <w:tab w:val="left" w:pos="854"/>
        </w:tabs>
        <w:spacing w:line="360" w:lineRule="auto"/>
        <w:ind w:left="851" w:right="900"/>
        <w:jc w:val="both"/>
        <w:rPr>
          <w:rFonts w:ascii="Palatino Linotype" w:eastAsia="Palatino Linotype" w:hAnsi="Palatino Linotype" w:cs="Palatino Linotype"/>
          <w:b/>
          <w:i/>
        </w:rPr>
      </w:pPr>
      <w:r>
        <w:rPr>
          <w:rFonts w:ascii="Palatino Linotype" w:eastAsia="Palatino Linotype" w:hAnsi="Palatino Linotype" w:cs="Palatino Linotype"/>
          <w:b/>
          <w:i/>
          <w:color w:val="000000"/>
          <w:u w:val="single"/>
        </w:rPr>
        <w:t>REGLAMENTO INTERIOR DE LA SECRETARÍA DE LA CONTRALORÍA</w:t>
      </w:r>
    </w:p>
    <w:p w:rsidR="00F22C6F" w:rsidRDefault="00E462DA">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24. A la Dirección General de Responsabilidades Administrativas, corresponden las atribuciones siguientes:</w:t>
      </w:r>
    </w:p>
    <w:p w:rsidR="00F22C6F" w:rsidRDefault="00E462DA">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XXIII. Resolver los procedimientos de responsabilidad administrativa que se instauren contra servidores públicos de la Administración Pública Estatal, por faltas administrativas no graves, e imponer en su caso las sanciones que correspondan;</w:t>
      </w:r>
    </w:p>
    <w:p w:rsidR="00F22C6F" w:rsidRDefault="00E462DA">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XXIV. Ejecutar, cuando resulte procedente, las sanciones impuestas en el ámbito de su competencia;</w:t>
      </w:r>
    </w:p>
    <w:p w:rsidR="00F22C6F" w:rsidRDefault="00E462DA">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XXVI. Remitir al Tribunal de Justicia Administrativa del Estado de México, los autos originales de los expedientes de responsabilidad administrativa para su </w:t>
      </w:r>
      <w:r>
        <w:rPr>
          <w:rFonts w:ascii="Palatino Linotype" w:eastAsia="Palatino Linotype" w:hAnsi="Palatino Linotype" w:cs="Palatino Linotype"/>
          <w:i/>
        </w:rPr>
        <w:lastRenderedPageBreak/>
        <w:t>resolución, cuando se trate de faltas administrativas graves y de faltas de particulares vinculados con éstas;</w:t>
      </w:r>
    </w:p>
    <w:p w:rsidR="00F22C6F" w:rsidRDefault="00E462DA">
      <w:pP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32. La Dirección de Quejas, tiene las atribuciones siguientes:</w:t>
      </w:r>
      <w:r>
        <w:rPr>
          <w:rFonts w:ascii="Palatino Linotype" w:eastAsia="Palatino Linotype" w:hAnsi="Palatino Linotype" w:cs="Palatino Linotype"/>
          <w:i/>
          <w:color w:val="000000"/>
        </w:rPr>
        <w:br/>
        <w:t>(…)</w:t>
      </w:r>
    </w:p>
    <w:p w:rsidR="00F22C6F" w:rsidRDefault="00E462DA">
      <w:pP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 Practicar las actuaciones y diligencias que se estimen procedentes, a fin de integrar debidamente los expedientes relacionados con las investigaciones que realice con motivo de actos u omisiones que pudieran constituir faltas administrativas, de conformidad con la Ley de Responsabilidades;</w:t>
      </w:r>
    </w:p>
    <w:p w:rsidR="00F22C6F" w:rsidRDefault="00E462DA">
      <w:pP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F22C6F" w:rsidRDefault="00E462DA">
      <w:pP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XI. Dictar los acuerdos que correspondan en los procedimientos de investigación que realice, incluido el de conclusión y archivo del expediente cuando así proceda, así como el Informe de Presunta Responsabilidad Administrativa para turnarlo a la autoridad substanciadora en el que se incluirá la calificación de la falta administrativa;</w:t>
      </w:r>
    </w:p>
    <w:p w:rsidR="00F22C6F" w:rsidRDefault="00E462DA">
      <w:pPr>
        <w:spacing w:line="360" w:lineRule="auto"/>
        <w:ind w:left="851" w:right="900"/>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LEY ORGÁNICA DEL TRIBUNAL DE JUSTICIA ADMINISTRATIVA DEL ESTADO DE MÉXICO</w:t>
      </w:r>
    </w:p>
    <w:p w:rsidR="00F22C6F" w:rsidRDefault="00E462DA">
      <w:pP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rPr>
        <w:t xml:space="preserve">Artículo 4. El Tribunal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municipios, organismos auxiliares con funciones de autoridad y los particulares. </w:t>
      </w:r>
      <w:r>
        <w:rPr>
          <w:rFonts w:ascii="Palatino Linotype" w:eastAsia="Palatino Linotype" w:hAnsi="Palatino Linotype" w:cs="Palatino Linotype"/>
          <w:i/>
          <w:u w:val="single"/>
        </w:rPr>
        <w:t xml:space="preserve">El Tribunal conocerá y resolverá de las responsabilidades administrativas de las y los servidores públicos y particulares vinculados con </w:t>
      </w:r>
      <w:r>
        <w:rPr>
          <w:rFonts w:ascii="Palatino Linotype" w:eastAsia="Palatino Linotype" w:hAnsi="Palatino Linotype" w:cs="Palatino Linotype"/>
          <w:i/>
          <w:u w:val="single"/>
        </w:rPr>
        <w:lastRenderedPageBreak/>
        <w:t>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w:t>
      </w:r>
      <w:r>
        <w:rPr>
          <w:rFonts w:ascii="Palatino Linotype" w:eastAsia="Palatino Linotype" w:hAnsi="Palatino Linotype" w:cs="Palatino Linotype"/>
          <w:i/>
        </w:rPr>
        <w:t xml:space="preserve"> así como fincar a los responsables el pago de las indemnizaciones y sanciones pecuniarias que deriven de los daños y perjuicios que afecten la hacienda pública estatal o municipal.</w:t>
      </w: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acuerdo a lo anterior se logra observar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cuenta con la Dirección General de Responsabilidades Administrativas la cual es competente para resolver procedimientos de responsabilidad administrativa por faltas administrativas no graves e imponer y ejecutar las sanciones impuestas, sin embargo para el caso de las Responsabilidades Administrativas Graves, remite al Tribunal de Justicia Administrativa del Estado de México los autos para su resolución, con el propósito de imponer las sanciones correspondientes, en este sentido la Dirección de Quejas integra los expedientes a fin de dictar acuerdos de los procedimientos de investigación respecto a la conclusión y archivo del expediente, a fin de túrnalos a la autoridad substanciadora.</w:t>
      </w:r>
    </w:p>
    <w:p w:rsidR="00F22C6F" w:rsidRDefault="00F22C6F">
      <w:pPr>
        <w:tabs>
          <w:tab w:val="left" w:pos="3962"/>
        </w:tabs>
        <w:spacing w:after="0" w:line="360" w:lineRule="auto"/>
        <w:jc w:val="both"/>
        <w:rPr>
          <w:rFonts w:ascii="Palatino Linotype" w:eastAsia="Palatino Linotype" w:hAnsi="Palatino Linotype" w:cs="Palatino Linotype"/>
          <w:sz w:val="24"/>
          <w:szCs w:val="24"/>
        </w:rPr>
      </w:pPr>
    </w:p>
    <w:p w:rsidR="00F22C6F" w:rsidRDefault="00E462DA">
      <w:pPr>
        <w:tabs>
          <w:tab w:val="left" w:pos="3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 los documentos que se deban ordenar a efecto de colmar los motivos de inconformidad derivados de 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relación a la solicitud de información del particular, resulta necesario analizar si procede ordenar la entrega, conforme a lo siguiente:</w:t>
      </w:r>
    </w:p>
    <w:p w:rsidR="00F22C6F" w:rsidRDefault="00E462DA">
      <w:pPr>
        <w:tabs>
          <w:tab w:val="left" w:pos="3962"/>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-Procedimiento de responsabilidad en trámite.</w:t>
      </w:r>
    </w:p>
    <w:p w:rsidR="00F22C6F" w:rsidRDefault="00E462DA">
      <w:pPr>
        <w:tabs>
          <w:tab w:val="left" w:pos="3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Al respecto, es necesario señalar que pronunciarse sobre la existencia de un procedimiento de posibles responsabilidades en trámite, podría afectar al posible responsable identificado, en el presente caso, ya que se daría a conocer la existencia de una investigación en contra, lo cual, generaría una percepción negativa de este, sin que se hubiere probado su responsabilidad o culpabilidad, lo cual dañaría, su honor y su derecho a la presunción inocencia e inclusive su actividad profesional, pues aún no se juntan los elementos necesarios para iniciar la segunda etapa del procedimiento.</w:t>
      </w:r>
    </w:p>
    <w:p w:rsidR="00F22C6F" w:rsidRDefault="00F22C6F">
      <w:pPr>
        <w:tabs>
          <w:tab w:val="left" w:pos="3962"/>
        </w:tabs>
        <w:spacing w:after="0" w:line="360" w:lineRule="auto"/>
        <w:jc w:val="both"/>
        <w:rPr>
          <w:rFonts w:ascii="Palatino Linotype" w:eastAsia="Palatino Linotype" w:hAnsi="Palatino Linotype" w:cs="Palatino Linotype"/>
          <w:sz w:val="24"/>
          <w:szCs w:val="24"/>
        </w:rPr>
      </w:pPr>
    </w:p>
    <w:p w:rsidR="00F22C6F" w:rsidRDefault="00E462DA">
      <w:pPr>
        <w:tabs>
          <w:tab w:val="left" w:pos="3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por lo que hace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rsidR="00F22C6F" w:rsidRDefault="00E462DA">
      <w:pPr>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rPr>
        <w:t xml:space="preserve">“DERECHO FUNDAMENTAL AL HONOR. SU DIMENSIÓN SUBJETIVA Y OBJETIVA. </w:t>
      </w:r>
      <w:r>
        <w:rPr>
          <w:rFonts w:ascii="Palatino Linotype" w:eastAsia="Palatino Linotype" w:hAnsi="Palatino Linotype" w:cs="Palatino Linotype"/>
          <w:i/>
        </w:rPr>
        <w:t xml:space="preserve">A juicio de esta Primera Sala de la Suprema Corte de Justicia de la Nación, es posible definir al honor como el concepto que la persona tiene de sí misma o que los demás se han formado de ella, en virtud de su proceder o de la expresión de su calidad ética y social.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w:t>
      </w:r>
      <w:r>
        <w:rPr>
          <w:rFonts w:ascii="Palatino Linotype" w:eastAsia="Palatino Linotype" w:hAnsi="Palatino Linotype" w:cs="Palatino Linotype"/>
          <w:i/>
        </w:rPr>
        <w:lastRenderedPageBreak/>
        <w:t>reputación que la persona merece, es decir, el derecho a que otros no condicionen negativamente la opinión que los demás hayan de formarse de nosotros.”(Sic)</w:t>
      </w:r>
    </w:p>
    <w:p w:rsidR="00F22C6F" w:rsidRDefault="00E462DA">
      <w:pPr>
        <w:tabs>
          <w:tab w:val="left" w:pos="3962"/>
        </w:tabs>
        <w:spacing w:after="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t xml:space="preserve">De la tesis transcrita se desprende que el honor es el concepto que la persona tiene de sí misma o que los demás se han formado de ella, en virtud de su proceder o de la expresión de su calidad ética y social. </w:t>
      </w:r>
    </w:p>
    <w:p w:rsidR="00F22C6F" w:rsidRDefault="00F22C6F">
      <w:pPr>
        <w:tabs>
          <w:tab w:val="left" w:pos="3962"/>
        </w:tabs>
        <w:spacing w:after="0" w:line="360" w:lineRule="auto"/>
        <w:jc w:val="both"/>
        <w:rPr>
          <w:rFonts w:ascii="Palatino Linotype" w:eastAsia="Palatino Linotype" w:hAnsi="Palatino Linotype" w:cs="Palatino Linotype"/>
          <w:sz w:val="24"/>
          <w:szCs w:val="24"/>
        </w:rPr>
      </w:pPr>
    </w:p>
    <w:p w:rsidR="00F22C6F" w:rsidRDefault="00E462DA">
      <w:pPr>
        <w:tabs>
          <w:tab w:val="left" w:pos="3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F22C6F" w:rsidRDefault="00F22C6F">
      <w:pPr>
        <w:tabs>
          <w:tab w:val="left" w:pos="3962"/>
        </w:tabs>
        <w:spacing w:after="0" w:line="360" w:lineRule="auto"/>
        <w:jc w:val="both"/>
        <w:rPr>
          <w:rFonts w:ascii="Palatino Linotype" w:eastAsia="Palatino Linotype" w:hAnsi="Palatino Linotype" w:cs="Palatino Linotype"/>
          <w:sz w:val="24"/>
          <w:szCs w:val="24"/>
        </w:rPr>
      </w:pPr>
    </w:p>
    <w:p w:rsidR="00F22C6F" w:rsidRDefault="00E462DA">
      <w:pPr>
        <w:tabs>
          <w:tab w:val="left" w:pos="3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debe señalarse que conforme al artículo 20, inciso B, numeral I, de la Constitución Política de los Estados Unidos Mexicanos, un derecho que tiene toda persona imputada, es a que se presuma su inocencia mientras no se declare su responsabilidad mediante una resolución, donde compruebe su culpabilidad. Dicha situación, se encuentra regulada, de la misma manera, en Declaración Universal de los Derechos Humanos, así como, el Pacto Internacional de Derechos Civiles y Políticos y la Convención Americana sobre Derechos Humanos.</w:t>
      </w:r>
    </w:p>
    <w:p w:rsidR="00F22C6F" w:rsidRDefault="00F22C6F">
      <w:pPr>
        <w:tabs>
          <w:tab w:val="left" w:pos="3962"/>
        </w:tabs>
        <w:spacing w:line="360" w:lineRule="auto"/>
        <w:jc w:val="both"/>
        <w:rPr>
          <w:rFonts w:ascii="Palatino Linotype" w:eastAsia="Palatino Linotype" w:hAnsi="Palatino Linotype" w:cs="Palatino Linotype"/>
          <w:sz w:val="24"/>
          <w:szCs w:val="24"/>
        </w:rPr>
      </w:pPr>
    </w:p>
    <w:p w:rsidR="00F22C6F" w:rsidRDefault="00E462DA">
      <w:pPr>
        <w:tabs>
          <w:tab w:val="left" w:pos="3962"/>
        </w:tabs>
        <w:spacing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lastRenderedPageBreak/>
        <w:t>En ese contexto,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rsidR="00F22C6F" w:rsidRDefault="00E462DA">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“PRESUNCIÓN DE INOCENCIA. ALCANCES DE ESE PRINCIPIO CONSTITUCIONAL. </w:t>
      </w:r>
      <w:r>
        <w:rPr>
          <w:rFonts w:ascii="Palatino Linotype" w:eastAsia="Palatino Linotype" w:hAnsi="Palatino Linotype" w:cs="Palatino Linotype"/>
          <w:i/>
        </w:rPr>
        <w:t>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materia.”(Sic)</w:t>
      </w:r>
    </w:p>
    <w:p w:rsidR="00F22C6F" w:rsidRDefault="00F22C6F">
      <w:pPr>
        <w:tabs>
          <w:tab w:val="left" w:pos="3962"/>
        </w:tabs>
        <w:spacing w:line="360" w:lineRule="auto"/>
        <w:jc w:val="both"/>
        <w:rPr>
          <w:rFonts w:ascii="Palatino Linotype" w:eastAsia="Palatino Linotype" w:hAnsi="Palatino Linotype" w:cs="Palatino Linotype"/>
        </w:rPr>
      </w:pPr>
    </w:p>
    <w:p w:rsidR="00F22C6F" w:rsidRDefault="00E462DA">
      <w:pPr>
        <w:tabs>
          <w:tab w:val="left" w:pos="3962"/>
        </w:tabs>
        <w:spacing w:after="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rsidR="00F22C6F" w:rsidRDefault="00F22C6F">
      <w:pPr>
        <w:tabs>
          <w:tab w:val="left" w:pos="3962"/>
        </w:tabs>
        <w:spacing w:after="0" w:line="360" w:lineRule="auto"/>
        <w:jc w:val="both"/>
        <w:rPr>
          <w:rFonts w:ascii="Palatino Linotype" w:eastAsia="Palatino Linotype" w:hAnsi="Palatino Linotype" w:cs="Palatino Linotype"/>
          <w:sz w:val="24"/>
          <w:szCs w:val="24"/>
        </w:rPr>
      </w:pPr>
    </w:p>
    <w:p w:rsidR="00F22C6F" w:rsidRDefault="00E462DA">
      <w:pPr>
        <w:tabs>
          <w:tab w:val="left" w:pos="3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Conforme a lo anterior, pronunciarse sobre la existencia de un procedimiento en trámite, se daría a conocer que la existencia de un procedimiento de probable responsabilidad, y la ciudadanía podría generar un juicio negativo, en contra de la </w:t>
      </w:r>
      <w:r>
        <w:rPr>
          <w:rFonts w:ascii="Palatino Linotype" w:eastAsia="Palatino Linotype" w:hAnsi="Palatino Linotype" w:cs="Palatino Linotype"/>
          <w:sz w:val="24"/>
          <w:szCs w:val="24"/>
        </w:rPr>
        <w:lastRenderedPageBreak/>
        <w:t>servidora pública involucrada, sin que se hayan reunido los elementos para establecer que si son probables responsables, con lo cual, se vería afectado de manera directa, su honor y derecho a la presunción de inocencia.</w:t>
      </w:r>
    </w:p>
    <w:p w:rsidR="00F22C6F" w:rsidRDefault="00E462DA">
      <w:pPr>
        <w:tabs>
          <w:tab w:val="left" w:pos="3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toda vez que realizar el pronunciamiento afectaría el derecho al honor, buena imagen y presunción de inocencia de la servidora pública, se considera que deberá clasificarlo en términos del artículo 143, fracción I, de la Ley de Transparencia y Acceso a la Información Pública del Estado de México y Municipios.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sz w:val="24"/>
          <w:szCs w:val="24"/>
        </w:rPr>
        <w:t>Ahora bien, es necesario señalar que conforme a al artículo 115 de la Ley General de Transparencia y Acceso a la Información Pública, relacionado con el 142 de la Ley de Transparencia y Acceso a la Información Pública del Estado de México y Municipios y el Trigésimo Séptimo de los Lineamientos Generales, no podrá invocarse la clasificación de aquella información que se encuentre relacionada con posibles violaciones a derechos humanos o actos de corrupción.</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contexto, resulta necesario, los artículos 3°, fracción XII y 8°, fracción VI, de la Ley General de Transparencia y Acceso a la Información Pública, relacionados con los diversos 3°, fracción XXII y 9°, fracción VII, de la Ley de Transparencia y Acceso a la Información Pública del Estado de México, establecen lo siguiente:</w:t>
      </w:r>
    </w:p>
    <w:p w:rsidR="00F22C6F" w:rsidRDefault="00E462DA">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Principio de Máxima Publicidad: </w:t>
      </w:r>
      <w:r>
        <w:rPr>
          <w:rFonts w:ascii="Palatino Linotype" w:eastAsia="Palatino Linotype" w:hAnsi="Palatino Linotype" w:cs="Palatino Linotype"/>
          <w:color w:val="000000"/>
          <w:sz w:val="24"/>
          <w:szCs w:val="24"/>
        </w:rPr>
        <w:t>Precisa que toda la información en posesión de los entes sujetos a las Leyes de Transparencia, es pública, completa, oportuna y accesible, sujeta a un claro régimen de excepciones.</w:t>
      </w:r>
    </w:p>
    <w:p w:rsidR="00F22C6F" w:rsidRDefault="00F22C6F">
      <w:pPr>
        <w:pBdr>
          <w:top w:val="nil"/>
          <w:left w:val="nil"/>
          <w:bottom w:val="nil"/>
          <w:right w:val="nil"/>
          <w:between w:val="nil"/>
        </w:pBdr>
        <w:spacing w:after="0" w:line="360" w:lineRule="auto"/>
        <w:ind w:left="720"/>
        <w:jc w:val="both"/>
        <w:rPr>
          <w:rFonts w:ascii="Palatino Linotype" w:eastAsia="Palatino Linotype" w:hAnsi="Palatino Linotype" w:cs="Palatino Linotype"/>
          <w:b/>
          <w:color w:val="000000"/>
          <w:sz w:val="24"/>
          <w:szCs w:val="24"/>
        </w:rPr>
      </w:pPr>
    </w:p>
    <w:p w:rsidR="00F22C6F" w:rsidRDefault="00E462DA">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lastRenderedPageBreak/>
        <w:t xml:space="preserve">Información de Interés Público: </w:t>
      </w:r>
      <w:r>
        <w:rPr>
          <w:rFonts w:ascii="Palatino Linotype" w:eastAsia="Palatino Linotype" w:hAnsi="Palatino Linotype" w:cs="Palatino Linotype"/>
          <w:color w:val="000000"/>
          <w:sz w:val="24"/>
          <w:szCs w:val="24"/>
        </w:rPr>
        <w:t>Es aquella que resulta relevante o beneficiosa para la sociedad y no simplemente de interés individual, cuya divulgación resulta útil para que el público comprenda las actividades que llevan a cabo los sujetos obligados.</w:t>
      </w:r>
    </w:p>
    <w:p w:rsidR="00F22C6F" w:rsidRDefault="00E462DA">
      <w:pPr>
        <w:spacing w:after="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t>Como se logra observar, el interés público está íntimamente relacionado, con el principio de máxima publicidad y las excepciones a la clasificación de la información; lo anterior, pues existe un interés general de la sociedad de conocer sobre los actos de corrupción y las posibles violaciones a derechos humanos, pues no son afectaciones que se dan en lo individual, sino que existe un detrimento en un grupo o en la población en general.</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tal motivo, se considera que, para el caso que, existiera algún procedimiento de responsabilidades administrativas en trámite y que estén relacionados con alguna excepción de las establecidas en el artículo 142 de la Ley de Transparencia y Acceso a la Información Pública del Estado de México y Municipios, tales como violaciones graves a derechos humanos o actos de corrupción, deberá entregar los documentos solicitados.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-Procedimiento concluido por falta administrativa no grave.</w:t>
      </w: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emitir un pronunciamiento sobre la existencia de un procedimiento de responsabilidad por faltas no graves, concluido, en caso de que existiera, podría afectar su honor, buen nombre y su imagen del Servidor Público.</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Al respecto, la Suprema Corte de Justicia de la Nación ha reconocido como derechos fundamentales de las personas, el derecho a la intimidad y a la propia imagen, en el siguiente criterio:</w:t>
      </w:r>
    </w:p>
    <w:p w:rsidR="00F22C6F" w:rsidRDefault="00E462DA">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“DERECHOS A LA INTIMIDAD, PROPIA IMAGEN, IDENTIDAD PERSONAL Y SEXUAL. CONSTITUYEN DERECHOS DE DEFENSA Y GARANTÍA ESENCIAL PARA LA CONDICIÓN HUMANA.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w:t>
      </w:r>
      <w:r>
        <w:rPr>
          <w:rFonts w:ascii="Palatino Linotype" w:eastAsia="Palatino Linotype" w:hAnsi="Palatino Linotype" w:cs="Palatino Linotype"/>
          <w:i/>
        </w:rPr>
        <w:lastRenderedPageBreak/>
        <w:t>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superior.”(Sic)</w:t>
      </w: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es derecho de todo individuo a no ser conocido por otros en ciertos aspectos de su vida y, por ende, el poder de decisión sobre la publicidad o información de datos relativos a su persona (derecho a la intimidad).</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el derecho a la propia imagen es el derecho de decidir, de forma libre, sobre la manera en que elige mostrarse frente a los demás.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rsidR="00F22C6F" w:rsidRDefault="00F22C6F">
      <w:pPr>
        <w:spacing w:after="0" w:line="360" w:lineRule="auto"/>
        <w:jc w:val="both"/>
        <w:rPr>
          <w:rFonts w:ascii="Palatino Linotype" w:eastAsia="Palatino Linotype" w:hAnsi="Palatino Linotype" w:cs="Palatino Linotype"/>
        </w:rPr>
      </w:pPr>
    </w:p>
    <w:p w:rsidR="00F22C6F" w:rsidRDefault="00E462DA">
      <w:pPr>
        <w:spacing w:after="0"/>
        <w:ind w:left="567" w:right="567"/>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DERECHO FUNDAMENTAL AL HONOR. SU DIMENSIÓN SUBJETIVA Y OBJETIVA. </w:t>
      </w:r>
      <w:r>
        <w:rPr>
          <w:rFonts w:ascii="Palatino Linotype" w:eastAsia="Palatino Linotype" w:hAnsi="Palatino Linotype" w:cs="Palatino Linotype"/>
          <w:i/>
        </w:rPr>
        <w:t xml:space="preserve">A juicio de esta Primera Sala de la Suprema Corte de Justicia de la Nación, es posible definir al honor como el </w:t>
      </w:r>
      <w:r>
        <w:rPr>
          <w:rFonts w:ascii="Palatino Linotype" w:eastAsia="Palatino Linotype" w:hAnsi="Palatino Linotype" w:cs="Palatino Linotype"/>
          <w:b/>
          <w:i/>
        </w:rPr>
        <w:t>concepto que la persona tiene de sí misma o que los demás se han formado de ella, en virtud de su proceder o de la expresión de su calidad ética y social.</w:t>
      </w:r>
      <w:r>
        <w:rPr>
          <w:rFonts w:ascii="Palatino Linotype" w:eastAsia="Palatino Linotype" w:hAnsi="Palatino Linotype" w:cs="Palatino Linotype"/>
          <w:i/>
        </w:rPr>
        <w:t xml:space="preserve"> Todo individuo, al vivir en sociedad, tiene el derecho de ser respetado y considerado y, correlativamente, tiene la obligación de respetar a aquellos que lo rodean. En el campo jurídico esta necesidad se traduce en un derecho que involucra </w:t>
      </w:r>
      <w:r>
        <w:rPr>
          <w:rFonts w:ascii="Palatino Linotype" w:eastAsia="Palatino Linotype" w:hAnsi="Palatino Linotype" w:cs="Palatino Linotype"/>
          <w:i/>
        </w:rPr>
        <w:lastRenderedPageBreak/>
        <w:t>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nosotros.”(Sic)</w:t>
      </w:r>
    </w:p>
    <w:p w:rsidR="00F22C6F" w:rsidRDefault="00F22C6F">
      <w:pPr>
        <w:spacing w:line="360" w:lineRule="auto"/>
        <w:jc w:val="both"/>
        <w:rPr>
          <w:rFonts w:ascii="Palatino Linotype" w:eastAsia="Palatino Linotype" w:hAnsi="Palatino Linotype" w:cs="Palatino Linotype"/>
        </w:rPr>
      </w:pPr>
    </w:p>
    <w:p w:rsidR="00F22C6F" w:rsidRDefault="00E462DA">
      <w:pPr>
        <w:spacing w:after="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t xml:space="preserve">De la tesis transcrita se desprende que el honor es el concepto que la persona tiene de sí misma o que los demás se han formado de ella, en virtud de su proceder o de la expresión de su calidad ética y social. </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Adicionalmente, en relación a este derecho [al honor], el máximo tribual también ha señalado que aunque no esté expresamente contenido en la Carta Magna, ésta obliga </w:t>
      </w:r>
      <w:r>
        <w:rPr>
          <w:rFonts w:ascii="Palatino Linotype" w:eastAsia="Palatino Linotype" w:hAnsi="Palatino Linotype" w:cs="Palatino Linotype"/>
          <w:sz w:val="24"/>
          <w:szCs w:val="24"/>
        </w:rPr>
        <w:lastRenderedPageBreak/>
        <w:t>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F22C6F" w:rsidRDefault="00E462DA">
      <w:pPr>
        <w:tabs>
          <w:tab w:val="left" w:pos="8363"/>
        </w:tabs>
        <w:spacing w:after="0"/>
        <w:ind w:left="567" w:right="618"/>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DERECHOS AL HONOR, A LA INTIMIDAD Y A LA PROPIA IMAGEN. CONSTITUYEN DERECHOS HUMANOS QUE SE PROTEGEN A TRAVÉS DEL ACTUAL MARCO CONSTITUCIONAL. </w:t>
      </w:r>
      <w:r>
        <w:rPr>
          <w:rFonts w:ascii="Palatino Linotype" w:eastAsia="Palatino Linotype" w:hAnsi="Palatino Linotype" w:cs="Palatino Linotype"/>
          <w:i/>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w:t>
      </w:r>
      <w:r>
        <w:rPr>
          <w:rFonts w:ascii="Palatino Linotype" w:eastAsia="Palatino Linotype" w:hAnsi="Palatino Linotype" w:cs="Palatino Linotype"/>
          <w:i/>
        </w:rPr>
        <w:lastRenderedPageBreak/>
        <w:t>de disposiciones contenidas en dos tipos de ordenamientos superiores -Constitución y tratados internacionales- con los que cuenta el Estado Mexicano.”(Sic)</w:t>
      </w:r>
    </w:p>
    <w:p w:rsidR="00F22C6F" w:rsidRDefault="00F22C6F">
      <w:pPr>
        <w:spacing w:line="360" w:lineRule="auto"/>
        <w:jc w:val="both"/>
        <w:rPr>
          <w:rFonts w:ascii="Palatino Linotype" w:eastAsia="Palatino Linotype" w:hAnsi="Palatino Linotype" w:cs="Palatino Linotype"/>
        </w:rPr>
      </w:pPr>
    </w:p>
    <w:p w:rsidR="00F22C6F" w:rsidRDefault="00E462DA">
      <w:pPr>
        <w:spacing w:after="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t>Asimismo, el artículo 12 de la Declaración Universal de los Derechos Humanos</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prevé que nadie será objeto de injerencias arbitrarias en su vida privada, su familia, su domicilio o su correspondencia, ni de ataques a su honra o a su reputación. Toda persona tiene derecho a la protección de la ley contra tales injerencias o ataques.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contexto,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w:t>
      </w:r>
      <w:r>
        <w:rPr>
          <w:rFonts w:ascii="Palatino Linotype" w:eastAsia="Palatino Linotype" w:hAnsi="Palatino Linotype" w:cs="Palatino Linotype"/>
          <w:sz w:val="24"/>
          <w:szCs w:val="24"/>
        </w:rPr>
        <w:lastRenderedPageBreak/>
        <w:t>comisiones, la atención de instrucciones, presentar en tiempo y forma las declaraciones de situación patrimonial y de intereses, el cuidado de documentación, la rendición de cuentas sobre el ejercicio de sus funciones, entre otras.</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se puede advertir que dichas faltas, no tienen una trascendencia social, pues no existe un daño externo, sino que únicamente la atañe al servidor público en cuestión.</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tabs>
          <w:tab w:val="left" w:pos="3962"/>
        </w:tabs>
        <w:spacing w:after="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4"/>
          <w:szCs w:val="24"/>
        </w:rPr>
        <w:t>-Procedimiento concluido absolutorio.</w:t>
      </w: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es señalar que pronunciarse sobre la existencia de un procedimiento de responsabilidad concluido absolutorio, podría generar una percepción negativa del Servidor Público, pues si bien, no se le sancionó, lo cierto es que daría a conocer que fue investigada por la Contraloría, lo cual podría afectar su honor, intimidad, buena imagen y nombre, así como a su vida privada.</w:t>
      </w:r>
    </w:p>
    <w:p w:rsidR="00F22C6F" w:rsidRDefault="00F22C6F">
      <w:pPr>
        <w:tabs>
          <w:tab w:val="left" w:pos="3962"/>
        </w:tabs>
        <w:spacing w:after="0" w:line="360" w:lineRule="auto"/>
        <w:jc w:val="both"/>
        <w:rPr>
          <w:rFonts w:ascii="Palatino Linotype" w:eastAsia="Palatino Linotype" w:hAnsi="Palatino Linotype" w:cs="Palatino Linotype"/>
          <w:sz w:val="24"/>
          <w:szCs w:val="24"/>
        </w:rPr>
      </w:pPr>
    </w:p>
    <w:p w:rsidR="00F22C6F" w:rsidRDefault="00E462DA">
      <w:pPr>
        <w:tabs>
          <w:tab w:val="left" w:pos="3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en su caso, resulta procedente la clasificación en términos del artículo 143, fracción I, de la Ley de Transparencia y Acceso a la Información Pública del Estado de México y Municipios, del pronunciamiento de la existencia o no del procedimiento de responsabilidad administrativa concluido absolutorio, instaurado en contra de la servidora pública. </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todo lo anterior expuesto, incide en ordenar a los Servicios Educativos Integrados al Estado de México, para que a través de su Comité de Transparencia clasifique como confidencial respecto si se ha iniciado un procedimiento por la falta no grave derivado de una queja o denuncia en contra del servidor público a que se refiere el particular en su solicitud de acceso a la información pública, en términos de lo dispuesto en la fracción I, del artículo 143 de la Ley de Transparencia y Acceso a la Información Pública del Estado de México y Municipios.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el acta que se ordena el Comité de Transparencia del Sujeto Obligado deberá tomar en cuenta lo que disponen los artículos 49 fracción VIII, 53, fracción X y 59, fracción V, de la Ley en consulta, cuyo sentido literal es el siguiente:</w:t>
      </w:r>
    </w:p>
    <w:p w:rsidR="00F22C6F" w:rsidRDefault="00E462DA">
      <w:pPr>
        <w:spacing w:before="160"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rsidR="00F22C6F" w:rsidRDefault="00E462DA">
      <w:pP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rsidR="00F22C6F" w:rsidRDefault="00E462DA">
      <w:pP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rsidR="00F22C6F" w:rsidRDefault="00E462DA">
      <w:pP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rsidR="00F22C6F" w:rsidRDefault="00E462DA">
      <w:pP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rsidR="00F22C6F" w:rsidRDefault="00E462DA">
      <w:pP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 (Sic)</w:t>
      </w:r>
    </w:p>
    <w:p w:rsidR="00F22C6F" w:rsidRDefault="00F22C6F">
      <w:pPr>
        <w:spacing w:after="0"/>
        <w:ind w:left="992" w:right="1043"/>
        <w:jc w:val="both"/>
        <w:rPr>
          <w:rFonts w:ascii="Palatino Linotype" w:eastAsia="Palatino Linotype" w:hAnsi="Palatino Linotype" w:cs="Palatino Linotype"/>
          <w:i/>
        </w:rPr>
      </w:pP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sz w:val="24"/>
          <w:szCs w:val="24"/>
        </w:rPr>
        <w:lastRenderedPageBreak/>
        <w:t>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rsidR="00F22C6F" w:rsidRDefault="00F22C6F">
      <w:pPr>
        <w:spacing w:after="0" w:line="360" w:lineRule="auto"/>
        <w:jc w:val="both"/>
        <w:rPr>
          <w:rFonts w:ascii="Palatino Linotype" w:eastAsia="Palatino Linotype" w:hAnsi="Palatino Linotype" w:cs="Palatino Linotype"/>
        </w:rPr>
      </w:pPr>
    </w:p>
    <w:p w:rsidR="00F22C6F" w:rsidRDefault="00E462DA">
      <w:pPr>
        <w:spacing w:after="240"/>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rsidR="00F22C6F" w:rsidRDefault="00F22C6F">
      <w:pPr>
        <w:spacing w:before="240"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el Sujeto Obligado a través de su Comité de Transparencia, deberá elaborar acuerdo que contenga un razonamiento lógico con el que se demuestre que la información, encuadra en alguna de las hipótesis que contempla la Ley de la Materia en su artículo 143; ya que, de lo contrario, se crearía la incertidumbre jurídica; en otras palabras, si no se exponen de manera puntual las razones de la clasificación se estaría violentando el derecho de acceso a la información de la parte solicitante.</w:t>
      </w: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el máximo tribunal del país ha establecido jurisprudencia respecto a qué debe entenderse por fundamentación y motivación, en los siguientes términos:</w:t>
      </w:r>
    </w:p>
    <w:p w:rsidR="00F22C6F" w:rsidRDefault="00F22C6F">
      <w:pPr>
        <w:jc w:val="both"/>
        <w:rPr>
          <w:rFonts w:ascii="Palatino Linotype" w:eastAsia="Palatino Linotype" w:hAnsi="Palatino Linotype" w:cs="Palatino Linotype"/>
        </w:rPr>
      </w:pPr>
    </w:p>
    <w:p w:rsidR="00F22C6F" w:rsidRDefault="00E462DA">
      <w:pPr>
        <w:spacing w:after="0"/>
        <w:ind w:left="709" w:right="75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FUNDAMENTACION Y MOTIVACION. </w:t>
      </w:r>
      <w:r>
        <w:rPr>
          <w:rFonts w:ascii="Palatino Linotype" w:eastAsia="Palatino Linotype" w:hAnsi="Palatino Linotype" w:cs="Palatino Linotype"/>
          <w:i/>
        </w:rPr>
        <w:t xml:space="preserve">La debida fundamentación y motivación legal, deben entenderse, por lo primero, la cita del precepto legal aplicable </w:t>
      </w:r>
      <w:r>
        <w:rPr>
          <w:rFonts w:ascii="Palatino Linotype" w:eastAsia="Palatino Linotype" w:hAnsi="Palatino Linotype" w:cs="Palatino Linotype"/>
          <w:i/>
        </w:rPr>
        <w:lastRenderedPageBreak/>
        <w:t>al caso, y por lo segundo, las razones, motivos o circunstancias especiales que llevaron a la autoridad a concluir que el caso particular encuadra en el supuesto previsto por la norma legal invocada como fundamento.” (Sic)</w:t>
      </w:r>
    </w:p>
    <w:p w:rsidR="00F22C6F" w:rsidRDefault="00F22C6F">
      <w:pPr>
        <w:jc w:val="both"/>
        <w:rPr>
          <w:rFonts w:ascii="Palatino Linotype" w:eastAsia="Palatino Linotype" w:hAnsi="Palatino Linotype" w:cs="Palatino Linotype"/>
          <w:i/>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a través de diversa jurisprudencia dictada por el Poder Judicial de la Federación se sostiene que la finalidad de la </w:t>
      </w:r>
      <w:r>
        <w:rPr>
          <w:rFonts w:ascii="Palatino Linotype" w:eastAsia="Palatino Linotype" w:hAnsi="Palatino Linotype" w:cs="Palatino Linotype"/>
          <w:b/>
          <w:sz w:val="24"/>
          <w:szCs w:val="24"/>
        </w:rPr>
        <w:t>fundamentación</w:t>
      </w:r>
      <w:r>
        <w:rPr>
          <w:rFonts w:ascii="Palatino Linotype" w:eastAsia="Palatino Linotype" w:hAnsi="Palatino Linotype" w:cs="Palatino Linotype"/>
          <w:sz w:val="24"/>
          <w:szCs w:val="24"/>
        </w:rPr>
        <w:t xml:space="preserve"> o </w:t>
      </w:r>
      <w:r>
        <w:rPr>
          <w:rFonts w:ascii="Palatino Linotype" w:eastAsia="Palatino Linotype" w:hAnsi="Palatino Linotype" w:cs="Palatino Linotype"/>
          <w:b/>
          <w:sz w:val="24"/>
          <w:szCs w:val="24"/>
        </w:rPr>
        <w:t>motivación</w:t>
      </w:r>
      <w:r>
        <w:rPr>
          <w:rFonts w:ascii="Palatino Linotype" w:eastAsia="Palatino Linotype" w:hAnsi="Palatino Linotype" w:cs="Palatino Linotype"/>
          <w:sz w:val="24"/>
          <w:szCs w:val="24"/>
        </w:rPr>
        <w:t xml:space="preserve"> es la de explicar, justificar, posibilitar la defensa y comunicar la decisión de la autoridad:</w:t>
      </w:r>
    </w:p>
    <w:p w:rsidR="00F22C6F" w:rsidRDefault="00E462DA">
      <w:pPr>
        <w:spacing w:after="0"/>
        <w:ind w:left="709" w:right="757"/>
        <w:jc w:val="both"/>
        <w:rPr>
          <w:rFonts w:ascii="Palatino Linotype" w:eastAsia="Palatino Linotype" w:hAnsi="Palatino Linotype" w:cs="Palatino Linotype"/>
          <w:i/>
        </w:rPr>
      </w:pPr>
      <w:r>
        <w:rPr>
          <w:rFonts w:ascii="Palatino Linotype" w:eastAsia="Palatino Linotype" w:hAnsi="Palatino Linotype" w:cs="Palatino Linotype"/>
          <w:b/>
          <w:i/>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rPr>
        <w:t xml:space="preserve">. El contenido formal de la garantía de legalidad prevista en el artículo 16 constitucional relativa a la </w:t>
      </w:r>
      <w:r>
        <w:rPr>
          <w:rFonts w:ascii="Palatino Linotype" w:eastAsia="Palatino Linotype" w:hAnsi="Palatino Linotype" w:cs="Palatino Linotype"/>
          <w:b/>
          <w:i/>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rPr>
        <w:t xml:space="preserve">. Por tanto, </w:t>
      </w:r>
      <w:r>
        <w:rPr>
          <w:rFonts w:ascii="Palatino Linotype" w:eastAsia="Palatino Linotype" w:hAnsi="Palatino Linotype" w:cs="Palatino Linotype"/>
          <w:b/>
          <w:i/>
        </w:rPr>
        <w:t>no basta que el acto de autoridad apenas observe una motivación pro forma pero de una manera incongruente, insuficiente o imprecisa</w:t>
      </w:r>
      <w:r>
        <w:rPr>
          <w:rFonts w:ascii="Palatino Linotype" w:eastAsia="Palatino Linotype" w:hAnsi="Palatino Linotype" w:cs="Palatino Linotype"/>
          <w:i/>
        </w:rPr>
        <w:t>, que impida la finalidad del conocimiento, comprobación y defensa pertinente</w:t>
      </w:r>
      <w:r>
        <w:rPr>
          <w:rFonts w:ascii="Palatino Linotype" w:eastAsia="Palatino Linotype" w:hAnsi="Palatino Linotype" w:cs="Palatino Linotype"/>
          <w:b/>
          <w:i/>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Pr>
          <w:rFonts w:ascii="Palatino Linotype" w:eastAsia="Palatino Linotype" w:hAnsi="Palatino Linotype" w:cs="Palatino Linotype"/>
          <w:b/>
          <w:i/>
        </w:rPr>
        <w:lastRenderedPageBreak/>
        <w:t>razonamiento del que se deduzca la relación de pertenencia lógica de los hechos al derecho invocado, que es la subsunción</w:t>
      </w:r>
      <w:r>
        <w:rPr>
          <w:rFonts w:ascii="Palatino Linotype" w:eastAsia="Palatino Linotype" w:hAnsi="Palatino Linotype" w:cs="Palatino Linotype"/>
          <w:i/>
        </w:rPr>
        <w:t>.”(Sic)</w:t>
      </w:r>
    </w:p>
    <w:p w:rsidR="00F22C6F" w:rsidRDefault="00F22C6F">
      <w:pPr>
        <w:jc w:val="both"/>
        <w:rPr>
          <w:rFonts w:ascii="Palatino Linotype" w:eastAsia="Palatino Linotype" w:hAnsi="Palatino Linotype" w:cs="Palatino Linotype"/>
          <w:i/>
        </w:rPr>
      </w:pP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ahí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F22C6F" w:rsidRDefault="00E462DA">
      <w:pPr>
        <w:tabs>
          <w:tab w:val="left" w:pos="1596"/>
        </w:tabs>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Procedimiento por faltas administrativas graves.</w:t>
      </w:r>
    </w:p>
    <w:p w:rsidR="00F22C6F" w:rsidRDefault="00E462DA">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lo que concierne a las sanciones graves, es de mencionarse que corresponde a una de las obligaciones de transparencia común, como se desprende del artículo 92 fracción XXII de la Ley de Transparencia y Acceso a la Información Pública del Estado de México y Municipios, como se observa:</w:t>
      </w:r>
    </w:p>
    <w:p w:rsidR="00F22C6F" w:rsidRDefault="00F22C6F">
      <w:pPr>
        <w:spacing w:line="360" w:lineRule="auto"/>
        <w:ind w:right="49"/>
        <w:jc w:val="both"/>
        <w:rPr>
          <w:rFonts w:ascii="Palatino Linotype" w:eastAsia="Palatino Linotype" w:hAnsi="Palatino Linotype" w:cs="Palatino Linotype"/>
        </w:rPr>
      </w:pPr>
    </w:p>
    <w:p w:rsidR="00F22C6F" w:rsidRDefault="00E462DA">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22C6F" w:rsidRDefault="00E462DA">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w:t>
      </w:r>
    </w:p>
    <w:p w:rsidR="00F22C6F" w:rsidRDefault="00E462DA">
      <w:pPr>
        <w:ind w:left="851" w:right="822"/>
        <w:jc w:val="both"/>
        <w:rPr>
          <w:rFonts w:ascii="Palatino Linotype" w:eastAsia="Palatino Linotype" w:hAnsi="Palatino Linotype" w:cs="Palatino Linotype"/>
          <w:b/>
          <w:i/>
        </w:rPr>
      </w:pPr>
      <w:r>
        <w:rPr>
          <w:rFonts w:ascii="Palatino Linotype" w:eastAsia="Palatino Linotype" w:hAnsi="Palatino Linotype" w:cs="Palatino Linotype"/>
          <w:i/>
        </w:rPr>
        <w:t xml:space="preserve">XXII. </w:t>
      </w:r>
      <w:r>
        <w:rPr>
          <w:rFonts w:ascii="Palatino Linotype" w:eastAsia="Palatino Linotype" w:hAnsi="Palatino Linotype" w:cs="Palatino Linotype"/>
          <w:b/>
          <w:i/>
        </w:rPr>
        <w:t>El listado de Servidores Públicos con sanciones administrativas definitivas, especificando la causa de sanción y la disposición;" (Sic)</w:t>
      </w:r>
    </w:p>
    <w:p w:rsidR="00F22C6F" w:rsidRDefault="00F22C6F">
      <w:pPr>
        <w:spacing w:line="360" w:lineRule="auto"/>
        <w:ind w:right="49"/>
        <w:jc w:val="both"/>
        <w:rPr>
          <w:rFonts w:ascii="Palatino Linotype" w:eastAsia="Palatino Linotype" w:hAnsi="Palatino Linotype" w:cs="Palatino Linotype"/>
          <w:sz w:val="24"/>
          <w:szCs w:val="24"/>
        </w:rPr>
      </w:pPr>
    </w:p>
    <w:p w:rsidR="00F22C6F" w:rsidRDefault="00E462DA">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obstante, </w:t>
      </w:r>
      <w:r>
        <w:rPr>
          <w:rFonts w:ascii="Palatino Linotype" w:eastAsia="Palatino Linotype" w:hAnsi="Palatino Linotype" w:cs="Palatino Linotype"/>
          <w:b/>
          <w:sz w:val="24"/>
          <w:szCs w:val="24"/>
          <w:u w:val="single"/>
        </w:rPr>
        <w:t>solo pueden ser dadas a conocer las responsabilidades administrativas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u w:val="single"/>
        </w:rPr>
        <w:t>por faltas graves</w:t>
      </w:r>
      <w:r>
        <w:rPr>
          <w:rFonts w:ascii="Palatino Linotype" w:eastAsia="Palatino Linotype" w:hAnsi="Palatino Linotype" w:cs="Palatino Linotype"/>
          <w:sz w:val="24"/>
          <w:szCs w:val="24"/>
        </w:rPr>
        <w:t xml:space="preserve">. Lo anterior, con motivo de la entrada en vigor de </w:t>
      </w:r>
      <w:r>
        <w:rPr>
          <w:rFonts w:ascii="Palatino Linotype" w:eastAsia="Palatino Linotype" w:hAnsi="Palatino Linotype" w:cs="Palatino Linotype"/>
          <w:sz w:val="24"/>
          <w:szCs w:val="24"/>
        </w:rPr>
        <w:lastRenderedPageBreak/>
        <w:t xml:space="preserve">la Ley del Sistema Anticorrupción del Estado de México y Municipios publicada en el periódico oficial "Gaceta del Gobierno" el treinta de mayo de 2017, que establece que </w:t>
      </w:r>
      <w:r>
        <w:rPr>
          <w:rFonts w:ascii="Palatino Linotype" w:eastAsia="Palatino Linotype" w:hAnsi="Palatino Linotype" w:cs="Palatino Linotype"/>
          <w:b/>
          <w:sz w:val="24"/>
          <w:szCs w:val="24"/>
          <w:u w:val="single"/>
        </w:rPr>
        <w:t>las sanciones no graves no serán públicas</w:t>
      </w:r>
      <w:r>
        <w:rPr>
          <w:rFonts w:ascii="Palatino Linotype" w:eastAsia="Palatino Linotype" w:hAnsi="Palatino Linotype" w:cs="Palatino Linotype"/>
          <w:sz w:val="24"/>
          <w:szCs w:val="24"/>
        </w:rPr>
        <w:t>, toda vez que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rsidR="00F22C6F" w:rsidRDefault="00E462DA">
      <w:pPr>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“Artículo 53. Las sanciones impuestas por faltas administrativas graves serán del conocimiento público </w:t>
      </w:r>
      <w:r>
        <w:rPr>
          <w:rFonts w:ascii="Palatino Linotype" w:eastAsia="Palatino Linotype" w:hAnsi="Palatino Linotype" w:cs="Palatino Linotype"/>
          <w:b/>
          <w:i/>
          <w:u w:val="single"/>
        </w:rPr>
        <w:t>cuando éstas contengan impedimentos o inhabilitaciones</w:t>
      </w:r>
      <w:r>
        <w:rPr>
          <w:rFonts w:ascii="Palatino Linotype" w:eastAsia="Palatino Linotype" w:hAnsi="Palatino Linotype" w:cs="Palatino Linotype"/>
          <w:b/>
          <w:i/>
        </w:rPr>
        <w:t xml:space="preserve"> para ser contratados como servidores públicos o como prestadores de servicios o contratistas del sector público, en términos de la Ley de Responsabilidades Administrativas del Estado de México y Municipios.</w:t>
      </w:r>
    </w:p>
    <w:p w:rsidR="00F22C6F" w:rsidRDefault="00F22C6F">
      <w:pPr>
        <w:ind w:left="851" w:right="822"/>
        <w:jc w:val="both"/>
        <w:rPr>
          <w:rFonts w:ascii="Palatino Linotype" w:eastAsia="Palatino Linotype" w:hAnsi="Palatino Linotype" w:cs="Palatino Linotype"/>
          <w:i/>
        </w:rPr>
      </w:pPr>
    </w:p>
    <w:p w:rsidR="00F22C6F" w:rsidRDefault="00E462DA">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 xml:space="preserve">Los registros de </w:t>
      </w:r>
      <w:r>
        <w:rPr>
          <w:rFonts w:ascii="Palatino Linotype" w:eastAsia="Palatino Linotype" w:hAnsi="Palatino Linotype" w:cs="Palatino Linotype"/>
          <w:b/>
          <w:i/>
          <w:u w:val="single"/>
        </w:rPr>
        <w:t>las sanciones relativas a responsabilidades administrativas no graves, quedarán registradas para efectos de eventual reincidencia, pero no serán públicas.</w:t>
      </w:r>
      <w:r>
        <w:rPr>
          <w:rFonts w:ascii="Palatino Linotype" w:eastAsia="Palatino Linotype" w:hAnsi="Palatino Linotype" w:cs="Palatino Linotype"/>
          <w:i/>
        </w:rPr>
        <w:t xml:space="preserve">” (Sic) </w:t>
      </w:r>
    </w:p>
    <w:p w:rsidR="00F22C6F" w:rsidRDefault="00F22C6F">
      <w:pPr>
        <w:pBdr>
          <w:top w:val="nil"/>
          <w:left w:val="nil"/>
          <w:bottom w:val="nil"/>
          <w:right w:val="nil"/>
          <w:between w:val="nil"/>
        </w:pBdr>
        <w:spacing w:after="0" w:line="360" w:lineRule="auto"/>
        <w:ind w:left="1080" w:right="49"/>
        <w:jc w:val="both"/>
        <w:rPr>
          <w:rFonts w:ascii="Palatino Linotype" w:eastAsia="Palatino Linotype" w:hAnsi="Palatino Linotype" w:cs="Palatino Linotype"/>
          <w:color w:val="000000"/>
          <w:sz w:val="24"/>
          <w:szCs w:val="24"/>
        </w:rPr>
      </w:pPr>
    </w:p>
    <w:p w:rsidR="00F22C6F" w:rsidRDefault="00E462DA">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rPr>
        <w:t>De los procedimientos sobre faltas administrativas graves que se encuentren en trámite.</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Respecto a los procedimientos sobre faltas administrativas graves que se encuentren en trámite, esto es que no hayan causado estado, se estima que se trata de información que debe ser clasificada como reservada, porque de revelarse la </w:t>
      </w:r>
      <w:r>
        <w:rPr>
          <w:rFonts w:ascii="Palatino Linotype" w:eastAsia="Palatino Linotype" w:hAnsi="Palatino Linotype" w:cs="Palatino Linotype"/>
          <w:sz w:val="24"/>
          <w:szCs w:val="24"/>
        </w:rPr>
        <w:lastRenderedPageBreak/>
        <w:t>información se atenta contra el principio de presunción de inocencia que debe seguirse en la administración de la justicia, conforme a lo que enseguida se razona.</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Pr>
          <w:rFonts w:ascii="Palatino Linotype" w:eastAsia="Palatino Linotype" w:hAnsi="Palatino Linotype" w:cs="Palatino Linotype"/>
          <w:sz w:val="24"/>
          <w:szCs w:val="24"/>
          <w:vertAlign w:val="superscript"/>
        </w:rPr>
        <w:footnoteReference w:id="3"/>
      </w:r>
      <w:r>
        <w:rPr>
          <w:rFonts w:ascii="Palatino Linotype" w:eastAsia="Palatino Linotype" w:hAnsi="Palatino Linotype" w:cs="Palatino Linotype"/>
          <w:sz w:val="24"/>
          <w:szCs w:val="24"/>
        </w:rPr>
        <w:t>.</w:t>
      </w:r>
    </w:p>
    <w:p w:rsidR="00F22C6F" w:rsidRDefault="00E462DA">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rsidR="00F22C6F" w:rsidRDefault="00F22C6F">
      <w:pPr>
        <w:ind w:left="851" w:right="822"/>
        <w:jc w:val="both"/>
        <w:rPr>
          <w:rFonts w:ascii="Palatino Linotype" w:eastAsia="Palatino Linotype" w:hAnsi="Palatino Linotype" w:cs="Palatino Linotype"/>
          <w:i/>
        </w:rPr>
      </w:pPr>
    </w:p>
    <w:p w:rsidR="00F22C6F" w:rsidRDefault="00E462DA">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rsidR="00F22C6F" w:rsidRDefault="00F22C6F">
      <w:pPr>
        <w:ind w:left="851" w:right="822"/>
        <w:jc w:val="both"/>
        <w:rPr>
          <w:rFonts w:ascii="Palatino Linotype" w:eastAsia="Palatino Linotype" w:hAnsi="Palatino Linotype" w:cs="Palatino Linotype"/>
          <w:i/>
        </w:rPr>
      </w:pPr>
    </w:p>
    <w:p w:rsidR="00F22C6F" w:rsidRDefault="00E462DA">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 sigue que, el principio de presunción de inocencia tiene tres significados garantistas que en forma breve pueden enunciarse de la siguiente forma:</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Primero. Cómo una regla probatoria, que impone la carga de la prueba para quien acusa y, por ende, la absolución en caso de duda.</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Segundo. Como una regla de tratamiento del acusado, que excluye o restringe al máximo la limitación de sus derechos fundamentales, sobre todo los que inciden en su libertad personal, con motivo del proceso que se instaura en su contra.</w:t>
      </w:r>
    </w:p>
    <w:p w:rsidR="00F22C6F" w:rsidRDefault="00E462DA">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Tercero. Como una regla de juicio, que ordena a los jueces la absolución de los inculpados cuando durante el proceso no se aportaron pruebas de cargo suficientes.</w:t>
      </w: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vista de lo anterior, este Instituto estima que en el derecho disciplinario que se sigue en el órgano contralor del Municipio a los servidores públicos en los casos que se presenta una denuncia, es aplicable la regla garantista de presunción de inocencia.</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todo servidor público en su carácter de -presunto infractor- tiene el derecho, como regla de tratamiento en el proceso, a que se le trate en carácter de inocente hasta que no se emita una resolución firme.</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w:t>
      </w:r>
      <w:r>
        <w:rPr>
          <w:rFonts w:ascii="Palatino Linotype" w:eastAsia="Palatino Linotype" w:hAnsi="Palatino Linotype" w:cs="Palatino Linotype"/>
          <w:i/>
          <w:sz w:val="24"/>
          <w:szCs w:val="24"/>
          <w:vertAlign w:val="superscript"/>
        </w:rPr>
        <w:footnoteReference w:id="4"/>
      </w:r>
      <w:r>
        <w:rPr>
          <w:rFonts w:ascii="Palatino Linotype" w:eastAsia="Palatino Linotype" w:hAnsi="Palatino Linotype" w:cs="Palatino Linotype"/>
          <w:sz w:val="24"/>
          <w:szCs w:val="24"/>
        </w:rPr>
        <w:t xml:space="preserve">,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las causales aplicables establecidas en el artículo 140 de la Ley en la materia, debiendo llevar a cabo el procedimiento establecido en el Considerando siguiente, a fin poner a disposición de la parte recurrente el Acta del Comité de Transparencia que se elabore para tal efecto, debiendo elaborar la prueba de daño correspondiente. </w:t>
      </w:r>
    </w:p>
    <w:p w:rsidR="00F22C6F" w:rsidRDefault="00F22C6F">
      <w:pPr>
        <w:spacing w:after="0" w:line="360" w:lineRule="auto"/>
        <w:ind w:right="49"/>
        <w:jc w:val="both"/>
        <w:rPr>
          <w:rFonts w:ascii="Palatino Linotype" w:eastAsia="Palatino Linotype" w:hAnsi="Palatino Linotype" w:cs="Palatino Linotype"/>
          <w:sz w:val="24"/>
          <w:szCs w:val="24"/>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en estos casos, el nombre y cargo del servidor público denunciado, debe ser protegida. </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Dichos argumentos, que se formulan por este Órgano Garante se construye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Resulta necesario tomar en cuenta el derecho al buen nombre y a la intimidad porque se considera que, hasta en que no exista una resolución firme, la publicación de la información solicitada afectaría la reputación de una persona.</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rsidR="00F22C6F" w:rsidRDefault="00F22C6F">
      <w:pPr>
        <w:spacing w:after="0" w:line="360" w:lineRule="auto"/>
        <w:ind w:right="49"/>
        <w:jc w:val="both"/>
        <w:rPr>
          <w:rFonts w:ascii="Palatino Linotype" w:eastAsia="Palatino Linotype" w:hAnsi="Palatino Linotype" w:cs="Palatino Linotype"/>
          <w:sz w:val="24"/>
          <w:szCs w:val="24"/>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las cosas, es de importante relevancia hacer del conocimiento del Sujeto Obligado que la información con la que cuente respecto de expedientes de procedimientos administrativos que no han causado estado;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p>
    <w:p w:rsidR="00F22C6F" w:rsidRDefault="00F22C6F">
      <w:pPr>
        <w:spacing w:after="0" w:line="360" w:lineRule="auto"/>
        <w:ind w:right="49"/>
        <w:jc w:val="both"/>
        <w:rPr>
          <w:rFonts w:ascii="Palatino Linotype" w:eastAsia="Palatino Linotype" w:hAnsi="Palatino Linotype" w:cs="Palatino Linotype"/>
          <w:sz w:val="24"/>
          <w:szCs w:val="24"/>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“Artículo 3. Para los efectos de la presente Ley se entenderá por:</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XXIV. Información reservada: </w:t>
      </w:r>
      <w:r>
        <w:rPr>
          <w:rFonts w:ascii="Palatino Linotype" w:eastAsia="Palatino Linotype" w:hAnsi="Palatino Linotype" w:cs="Palatino Linotype"/>
          <w:i/>
        </w:rPr>
        <w:t>La clasificada con este carácter de manera temporal por las disposiciones de esta Ley, cuya divulgación puede causar daño en términos de lo establecido por esta Ley;</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122. </w:t>
      </w:r>
      <w:r>
        <w:rPr>
          <w:rFonts w:ascii="Palatino Linotype" w:eastAsia="Palatino Linotype" w:hAnsi="Palatino Linotype" w:cs="Palatino Linotype"/>
          <w:b/>
          <w:i/>
        </w:rPr>
        <w:t>La clasificación es el proceso mediante el cual el Sujeto Obligado determina que la información en su poder actualiza alguno de los supuestos de reserva</w:t>
      </w:r>
      <w:r>
        <w:rPr>
          <w:rFonts w:ascii="Palatino Linotype" w:eastAsia="Palatino Linotype" w:hAnsi="Palatino Linotype" w:cs="Palatino Linotype"/>
          <w:i/>
        </w:rPr>
        <w:t xml:space="preserve"> o confidencialidad, de conformidad con lo dispuesto en el presente título.</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Los supuestos de reserva o confidencialidad previstos en las leyes deberán ser acordes con las bases, principios y disposiciones establecidos en la Ley General y, en ningún caso, podrán contravenirla.</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Los titulares de las áreas de los sujetos obligados serán los responsables de clasificar la información, de conformidad con lo dispuesto en la presente Ley y demás disposiciones jurídicas aplicables.</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125. La información clasificada como reservada, de acuerdo a lo establecido en esta Ley podrá permanecer con tal carácter hasta por un periodo de cinco años, </w:t>
      </w:r>
      <w:r>
        <w:rPr>
          <w:rFonts w:ascii="Palatino Linotype" w:eastAsia="Palatino Linotype" w:hAnsi="Palatino Linotype" w:cs="Palatino Linotype"/>
          <w:i/>
        </w:rPr>
        <w:t>contados a partir de su clasificación, salvo que antes del cumplimiento del periodo de restricción, dejaran de existir los motivos de su reserva.</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 xml:space="preserve">Artículo 128. En los casos en que se niegue el acceso a la información, por actualizarse alguno de los supuestos de clasificación, el Comité de Transparencia deberá confirmar, modificar o revocar la decisión. </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i/>
        </w:rPr>
        <w:t xml:space="preserve">Para motivar la clasificación de la información y la ampliación del plazo de reserva, </w:t>
      </w:r>
      <w:r>
        <w:rPr>
          <w:rFonts w:ascii="Palatino Linotype" w:eastAsia="Palatino Linotype" w:hAnsi="Palatino Linotype" w:cs="Palatino Linotype"/>
          <w:b/>
          <w:i/>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Tratándose de aquélla información que actualice los supuestos de clasificación, deberá señalarse el plazo al que estará sujeto la reserva.</w:t>
      </w:r>
    </w:p>
    <w:p w:rsidR="00F22C6F" w:rsidRDefault="00E462DA">
      <w:pPr>
        <w:spacing w:after="0"/>
        <w:ind w:left="851" w:right="822"/>
        <w:jc w:val="both"/>
        <w:rPr>
          <w:rFonts w:ascii="Palatino Linotype" w:eastAsia="Palatino Linotype" w:hAnsi="Palatino Linotype" w:cs="Palatino Linotype"/>
          <w:b/>
          <w:i/>
          <w:u w:val="single"/>
        </w:rPr>
      </w:pPr>
      <w:r>
        <w:rPr>
          <w:rFonts w:ascii="Palatino Linotype" w:eastAsia="Palatino Linotype" w:hAnsi="Palatino Linotype" w:cs="Palatino Linotype"/>
          <w:i/>
        </w:rPr>
        <w:t xml:space="preserve">Artículo 129. </w:t>
      </w:r>
      <w:r>
        <w:rPr>
          <w:rFonts w:ascii="Palatino Linotype" w:eastAsia="Palatino Linotype" w:hAnsi="Palatino Linotype" w:cs="Palatino Linotype"/>
          <w:b/>
          <w:i/>
        </w:rPr>
        <w:t>En la aplicación de la prueba de daño, el Sujeto Obligado deberá precisar las razones objetivas por las que la apertura de la información generaría una afectación, justificando que:</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I. La divulgación de la información representa un riesgo real, demostrable e identificable del perjuicio significativo al interés público o a la seguridad pública;</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II. El riesgo de perjuicio que supondría la divulgación supera el interés público general de que se difunda; y</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III. La limitación se adecua al principio de proporcionalidad y representa el medio menos restrictivo disponible representa el medio menos restrictivo disponible para evitar el perjuicio.</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130. Los sujetos obligados deberán aplicar, de manera restrictiva y limitada, las excepciones al derecho de acceso a la información y sólo podrán invocarlas cuando acrediten su procedencia</w:t>
      </w:r>
      <w:r>
        <w:rPr>
          <w:rFonts w:ascii="Palatino Linotype" w:eastAsia="Palatino Linotype" w:hAnsi="Palatino Linotype" w:cs="Palatino Linotype"/>
          <w:i/>
        </w:rPr>
        <w:t>, sin ampliar las excepciones o supuestos de reserva o confidencialidad previstos en la Ley General y la presente Ley, aduciendo analogía o mayoría de razón.</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Artículo 140. El acceso a la información pública será restringido excepcionalmente, cuando por razones de interés público, ésta sea clasificada como reservada, conforme a los criterios siguientes:</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b/>
          <w:i/>
        </w:rPr>
        <w:t>VI.</w:t>
      </w:r>
      <w:r>
        <w:rPr>
          <w:rFonts w:ascii="Palatino Linotype" w:eastAsia="Palatino Linotype" w:hAnsi="Palatino Linotype" w:cs="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w:t>
      </w:r>
      <w:r>
        <w:rPr>
          <w:rFonts w:ascii="Palatino Linotype" w:eastAsia="Palatino Linotype" w:hAnsi="Palatino Linotype" w:cs="Palatino Linotype"/>
          <w:i/>
        </w:rPr>
        <w:lastRenderedPageBreak/>
        <w:t>querellante o testigo, así como sus familias, en los términos de las disposiciones jurídicas aplicables…” (Sic)</w:t>
      </w:r>
    </w:p>
    <w:p w:rsidR="00F22C6F" w:rsidRDefault="00F22C6F">
      <w:pPr>
        <w:spacing w:after="0"/>
        <w:ind w:left="851" w:right="822"/>
        <w:jc w:val="both"/>
        <w:rPr>
          <w:rFonts w:ascii="Palatino Linotype" w:eastAsia="Palatino Linotype" w:hAnsi="Palatino Linotype" w:cs="Palatino Linotype"/>
          <w:i/>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la interpretación sistemática de los artículos citados, se advierte que el Sujeto Obligado debe realizar la debida reserva de la información por seguir en trámite el procedimiento aludido y de aquellas graves, siguiendo los requisitos expuestos: </w:t>
      </w:r>
    </w:p>
    <w:p w:rsidR="00F22C6F" w:rsidRDefault="00F22C6F">
      <w:pPr>
        <w:spacing w:after="0" w:line="360" w:lineRule="auto"/>
        <w:ind w:right="49"/>
        <w:jc w:val="both"/>
        <w:rPr>
          <w:rFonts w:ascii="Palatino Linotype" w:eastAsia="Palatino Linotype" w:hAnsi="Palatino Linotype" w:cs="Palatino Linotype"/>
        </w:rPr>
      </w:pP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“La divulgación de la información representa un riesgo real, demostrable e identificable del perjuicio significativo al interés público o a la seguridad pública;</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El riesgo de perjuicio que supondría la divulgación supera el interés público general de que se difunda; y</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La limitación se adecua al principio de proporcionalidad y representa el medio menos restrictivo disponible representa el medio menos restrictivo disponible para evitar el perjuicio.”(Sic)</w:t>
      </w:r>
    </w:p>
    <w:p w:rsidR="00F22C6F" w:rsidRDefault="00F22C6F">
      <w:pPr>
        <w:spacing w:after="0" w:line="360" w:lineRule="auto"/>
        <w:ind w:left="851" w:right="822"/>
        <w:jc w:val="both"/>
        <w:rPr>
          <w:rFonts w:ascii="Palatino Linotype" w:eastAsia="Palatino Linotype" w:hAnsi="Palatino Linotype" w:cs="Palatino Linotype"/>
          <w:b/>
          <w:i/>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Requisitos que deben estar acompañados de la debida fundamentación y motivación, ya indicada en párrafos anteriores.</w:t>
      </w:r>
    </w:p>
    <w:p w:rsidR="00F22C6F" w:rsidRDefault="00F22C6F">
      <w:pPr>
        <w:spacing w:after="0" w:line="360" w:lineRule="auto"/>
        <w:ind w:right="51"/>
        <w:jc w:val="both"/>
        <w:rPr>
          <w:rFonts w:ascii="Palatino Linotype" w:eastAsia="Palatino Linotype" w:hAnsi="Palatino Linotype" w:cs="Palatino Linotype"/>
          <w:sz w:val="28"/>
          <w:szCs w:val="28"/>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Debiendo argumentar el</w:t>
      </w:r>
      <w:r>
        <w:rPr>
          <w:rFonts w:ascii="Palatino Linotype" w:eastAsia="Palatino Linotype" w:hAnsi="Palatino Linotype" w:cs="Palatino Linotype"/>
          <w:b/>
          <w:sz w:val="24"/>
          <w:szCs w:val="24"/>
        </w:rPr>
        <w:t xml:space="preserve"> SUJETO OBLIGADO</w:t>
      </w:r>
      <w:r>
        <w:rPr>
          <w:rFonts w:ascii="Palatino Linotype" w:eastAsia="Palatino Linotype" w:hAnsi="Palatino Linotype" w:cs="Palatino Linotype"/>
          <w:sz w:val="24"/>
          <w:szCs w:val="24"/>
        </w:rPr>
        <w:t xml:space="preserve">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por la hipótesis análoga siendo aplicables los numerales 140, fracción VI de la Ley de Transparencia y Acceso a la Información Pública del Estado de México y Municipios (homólogo al artículo 113, fracción IX de la Ley General de Transparencia y Acceso a la Información Pública), establece </w:t>
      </w:r>
      <w:r>
        <w:rPr>
          <w:rFonts w:ascii="Palatino Linotype" w:eastAsia="Palatino Linotype" w:hAnsi="Palatino Linotype" w:cs="Palatino Linotype"/>
          <w:sz w:val="24"/>
          <w:szCs w:val="24"/>
        </w:rPr>
        <w:lastRenderedPageBreak/>
        <w:t>que aquella información que afecte o vulnere la conducción de procedimientos de responsabilidades administrativas, en tanto no hayan quedado firmes.</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32"/>
          <w:szCs w:val="32"/>
        </w:rPr>
      </w:pPr>
      <w:r>
        <w:rPr>
          <w:rFonts w:ascii="Palatino Linotype" w:eastAsia="Palatino Linotype" w:hAnsi="Palatino Linotype" w:cs="Palatino Linotype"/>
          <w:sz w:val="24"/>
          <w:szCs w:val="24"/>
        </w:rPr>
        <w:t>Por lo cual, la causal de reserva prevé que la información podrá clasificarse como reservada en el caso de que obstruya los procedimientos para fincar responsabilidad a los servidores públicos, pretende proteger la información vinculada a dichos procedimientos.</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su parte, en los Lineamientos Generales en Materia de Clasificación y Desclasificación de la Información, así como para la elaboración de versiones públicas, se establece lo siguiente:</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b/>
          <w:i/>
        </w:rPr>
        <w:t>Vigésimo octavo.</w:t>
      </w:r>
      <w:r>
        <w:rPr>
          <w:rFonts w:ascii="Palatino Linotype" w:eastAsia="Palatino Linotype" w:hAnsi="Palatino Linotype" w:cs="Palatino Linotype"/>
          <w:i/>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00F22C6F" w:rsidRDefault="00F22C6F">
      <w:pPr>
        <w:spacing w:after="0"/>
        <w:ind w:left="851" w:right="822"/>
        <w:jc w:val="both"/>
        <w:rPr>
          <w:rFonts w:ascii="Palatino Linotype" w:eastAsia="Palatino Linotype" w:hAnsi="Palatino Linotype" w:cs="Palatino Linotype"/>
          <w:i/>
        </w:rPr>
      </w:pP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I. La existencia de un procedimiento de responsabilidad administrativa en trámite, y</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II. Que la información se refiera a actuaciones, diligencias y constancias propias del procedimiento de responsabilidad…” (Sic)</w:t>
      </w:r>
    </w:p>
    <w:p w:rsidR="00F22C6F" w:rsidRDefault="00F22C6F">
      <w:pPr>
        <w:spacing w:after="0" w:line="360" w:lineRule="auto"/>
        <w:ind w:right="49"/>
        <w:jc w:val="both"/>
        <w:rPr>
          <w:rFonts w:ascii="Palatino Linotype" w:eastAsia="Palatino Linotype" w:hAnsi="Palatino Linotype" w:cs="Palatino Linotype"/>
          <w:i/>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advierte que para que se actualice la causal de reserva que se analiza se debe acreditar i) la existencia de un procedimiento de responsabilidad administrativa en trámite, y ii) que la información se refiera a actuaciones, diligencias y constancias propias del procedimiento de responsabilidad.</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ahí que, resulta procedente la reserva, en términos del artículo 140, fracción VI, de la Ley de Transparencia y Acceso a la Información Pública del Estado de México y Municipios, de los procedimientos por responsabilidades administrativas en trámite por faltas graves.</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rsidR="00F22C6F" w:rsidRDefault="00F22C6F">
      <w:pPr>
        <w:spacing w:after="0" w:line="360" w:lineRule="auto"/>
        <w:ind w:right="49"/>
        <w:jc w:val="both"/>
        <w:rPr>
          <w:rFonts w:ascii="Palatino Linotype" w:eastAsia="Palatino Linotype" w:hAnsi="Palatino Linotype" w:cs="Palatino Linotype"/>
          <w:b/>
          <w:sz w:val="24"/>
          <w:szCs w:val="24"/>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w:t>
      </w:r>
      <w:r>
        <w:rPr>
          <w:rFonts w:ascii="Palatino Linotype" w:eastAsia="Palatino Linotype" w:hAnsi="Palatino Linotype" w:cs="Palatino Linotype"/>
          <w:b/>
        </w:rPr>
        <w:t xml:space="preserve"> De los procedimientos sobre faltas administrativas graves concluidos con sanción condenatoria. </w:t>
      </w:r>
    </w:p>
    <w:p w:rsidR="00F22C6F" w:rsidRDefault="00F22C6F">
      <w:pPr>
        <w:spacing w:after="0" w:line="360" w:lineRule="auto"/>
        <w:ind w:right="49"/>
        <w:jc w:val="both"/>
        <w:rPr>
          <w:rFonts w:ascii="Palatino Linotype" w:eastAsia="Palatino Linotype" w:hAnsi="Palatino Linotype" w:cs="Palatino Linotype"/>
          <w:sz w:val="24"/>
          <w:szCs w:val="24"/>
        </w:rPr>
      </w:pPr>
    </w:p>
    <w:p w:rsidR="00F22C6F" w:rsidRDefault="00E462DA">
      <w:pPr>
        <w:spacing w:after="0" w:line="360" w:lineRule="auto"/>
        <w:ind w:right="49"/>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sz w:val="24"/>
          <w:szCs w:val="24"/>
        </w:rPr>
        <w:t>Si los expedientes requeridos por el particular, ya han causado estado, es decir, que ya no acepta recurso o medio de defensa alguno, es procedente entregar la información al recurrente pero en versión pública, dejando visible el nombre, cargo y sanción impuesta al Servidor Público condenado, no así todos los datos personales que en éste se encuentren los que se deberán proteger, para lo cual el Sujeto 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rsidR="00F22C6F" w:rsidRDefault="00F22C6F">
      <w:pPr>
        <w:spacing w:after="0" w:line="360" w:lineRule="auto"/>
        <w:ind w:right="49"/>
        <w:jc w:val="both"/>
        <w:rPr>
          <w:rFonts w:ascii="Palatino Linotype" w:eastAsia="Palatino Linotype" w:hAnsi="Palatino Linotype" w:cs="Palatino Linotype"/>
        </w:rPr>
      </w:pP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“Artículo 3. Para los efectos de la presente Ley se entenderá por:</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IX. Datos personales: La información concerniente a una persona, identificada o identificable según lo dispuesto por la Ley de Protección de Datos Personales del Estado de México;</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XLV. Versión pública: Documento en el que se elimine, suprime o borra la información clasificada como reservada o confidencial para permitir su acceso.</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Artículo 122. La clasificación es el proceso mediante el cual el Sujeto Obligado determina que la información en su poder actualiza alguno de los supuestos de reserva o confidencialidad, de conformidad con lo dispuesto en el presente título.</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Artículo 132. La clasificación de la información se llevará a cabo en el momento en que:</w:t>
      </w:r>
    </w:p>
    <w:p w:rsidR="00F22C6F" w:rsidRDefault="00E462DA">
      <w:pPr>
        <w:spacing w:after="0"/>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w:t>
      </w:r>
    </w:p>
    <w:p w:rsidR="00F22C6F" w:rsidRDefault="00E462DA">
      <w:pPr>
        <w:spacing w:after="0"/>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III. Se generen versiones públicas para dar cumplimiento a las obligaciones de transparencia previstas en esta Ley.</w:t>
      </w:r>
    </w:p>
    <w:p w:rsidR="00F22C6F" w:rsidRDefault="00E462DA">
      <w:pPr>
        <w:spacing w:after="0"/>
        <w:ind w:left="851" w:right="822"/>
        <w:jc w:val="both"/>
        <w:rPr>
          <w:rFonts w:ascii="Palatino Linotype" w:eastAsia="Palatino Linotype" w:hAnsi="Palatino Linotype" w:cs="Palatino Linotype"/>
          <w:b/>
          <w:i/>
          <w:u w:val="single"/>
        </w:rPr>
      </w:pPr>
      <w:r>
        <w:rPr>
          <w:rFonts w:ascii="Palatino Linotype" w:eastAsia="Palatino Linotype" w:hAnsi="Palatino Linotype" w:cs="Palatino Linotype"/>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Pr>
          <w:rFonts w:ascii="Palatino Linotype" w:eastAsia="Palatino Linotype" w:hAnsi="Palatino Linotype" w:cs="Palatino Linotype"/>
          <w:b/>
          <w:i/>
          <w:u w:val="single"/>
        </w:rPr>
        <w:t>de manera genérica y fundando y motivando su clasificación.” (Sic)</w:t>
      </w:r>
    </w:p>
    <w:p w:rsidR="00F22C6F" w:rsidRDefault="00F22C6F">
      <w:pPr>
        <w:spacing w:after="0" w:line="360" w:lineRule="auto"/>
        <w:ind w:right="49"/>
        <w:jc w:val="both"/>
        <w:rPr>
          <w:rFonts w:ascii="Palatino Linotype" w:eastAsia="Palatino Linotype" w:hAnsi="Palatino Linotype" w:cs="Palatino Linotype"/>
          <w:b/>
          <w:i/>
          <w:sz w:val="24"/>
          <w:szCs w:val="24"/>
          <w:u w:val="single"/>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w:t>
      </w:r>
      <w:r>
        <w:rPr>
          <w:rFonts w:ascii="Palatino Linotype" w:eastAsia="Palatino Linotype" w:hAnsi="Palatino Linotype" w:cs="Palatino Linotype"/>
          <w:sz w:val="24"/>
          <w:szCs w:val="24"/>
        </w:rPr>
        <w:lastRenderedPageBreak/>
        <w:t xml:space="preserve">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F22C6F" w:rsidRDefault="00E462DA">
      <w:pPr>
        <w:spacing w:after="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sz w:val="24"/>
          <w:szCs w:val="24"/>
        </w:rPr>
        <w:t>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w:t>
      </w:r>
      <w:r>
        <w:rPr>
          <w:rFonts w:ascii="Palatino Linotype" w:eastAsia="Palatino Linotype" w:hAnsi="Palatino Linotype" w:cs="Palatino Linotype"/>
        </w:rPr>
        <w:t xml:space="preserve"> </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t xml:space="preserve">Efectivamente, cuando se clasifica información como confidencial o reservada </w:t>
      </w:r>
      <w:r>
        <w:rPr>
          <w:rFonts w:ascii="Palatino Linotype" w:eastAsia="Palatino Linotype" w:hAnsi="Palatino Linotype" w:cs="Palatino Linotype"/>
          <w:b/>
          <w:sz w:val="24"/>
          <w:szCs w:val="24"/>
        </w:rPr>
        <w:t>es deber someterlo al Comité de Transparencia</w:t>
      </w:r>
      <w:r>
        <w:rPr>
          <w:rFonts w:ascii="Palatino Linotype" w:eastAsia="Palatino Linotype" w:hAnsi="Palatino Linotype" w:cs="Palatino Linotype"/>
          <w:sz w:val="24"/>
          <w:szCs w:val="24"/>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w:t>
      </w:r>
      <w:r>
        <w:rPr>
          <w:rFonts w:ascii="Palatino Linotype" w:eastAsia="Palatino Linotype" w:hAnsi="Palatino Linotype" w:cs="Palatino Linotype"/>
          <w:sz w:val="24"/>
          <w:szCs w:val="24"/>
        </w:rPr>
        <w:lastRenderedPageBreak/>
        <w:t>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Conforme a lo anterior, se logra vislumbrar que las responsabilidades graves, causan un perjuicio de manera externa, esto es, a terceras personas o bien, a la hacienda o </w:t>
      </w:r>
      <w:r>
        <w:rPr>
          <w:rFonts w:ascii="Palatino Linotype" w:eastAsia="Palatino Linotype" w:hAnsi="Palatino Linotype" w:cs="Palatino Linotype"/>
          <w:sz w:val="24"/>
          <w:szCs w:val="24"/>
        </w:rPr>
        <w:lastRenderedPageBreak/>
        <w:t>erario público; por lo que, se podría considerar que existe una trascendencia social, para dar a conocer dicha información, además que se relacionan dichas conductas con actos de corrupción, conforme a la normatividad citada en el párrafo previo.</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orden de ideas, si bien los procedimientos solicitados, podrían generar una percepción negativa de los servidores públicos que les acredito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acredito una responsabilidad grave, de tal manera, en que los puedan reconocer. </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Sobre el particular, debe señalarse que, en un sistema jurídico racional, el contenido de ciertos derechos fundamentales no es absoluto y la colisión entre derechos fundamentales debe resolverse mediante una ponderación que determine el derecho </w:t>
      </w:r>
      <w:r>
        <w:rPr>
          <w:rFonts w:ascii="Palatino Linotype" w:eastAsia="Palatino Linotype" w:hAnsi="Palatino Linotype" w:cs="Palatino Linotype"/>
          <w:sz w:val="24"/>
          <w:szCs w:val="24"/>
        </w:rPr>
        <w:lastRenderedPageBreak/>
        <w:t>que ha de prevalecer en el caso concretó, y no apelando a reglas de prioridad entre normas.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36"/>
          <w:szCs w:val="36"/>
        </w:rPr>
      </w:pPr>
      <w:r>
        <w:rPr>
          <w:rFonts w:ascii="Palatino Linotype" w:eastAsia="Palatino Linotype" w:hAnsi="Palatino Linotype" w:cs="Palatino Linotype"/>
          <w:sz w:val="24"/>
          <w:szCs w:val="24"/>
        </w:rPr>
        <w:t>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w:t>
      </w:r>
    </w:p>
    <w:p w:rsidR="00F22C6F" w:rsidRDefault="00E462DA">
      <w:pPr>
        <w:numPr>
          <w:ilvl w:val="0"/>
          <w:numId w:val="2"/>
        </w:numPr>
        <w:spacing w:after="0" w:line="360" w:lineRule="auto"/>
        <w:ind w:left="851" w:hanging="426"/>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Idoneidad:</w:t>
      </w:r>
      <w:r>
        <w:rPr>
          <w:rFonts w:ascii="Palatino Linotype" w:eastAsia="Palatino Linotype" w:hAnsi="Palatino Linotype" w:cs="Palatino Linotype"/>
          <w:sz w:val="24"/>
          <w:szCs w:val="24"/>
        </w:rPr>
        <w:t xml:space="preserve"> La legitimidad del derecho adoptado como preferente, que sea el adecuado para el logro de un fin constitucionalmente válido o apto para conseguir el fin pretendido;</w:t>
      </w:r>
    </w:p>
    <w:p w:rsidR="00F22C6F" w:rsidRDefault="00F22C6F">
      <w:pPr>
        <w:spacing w:after="0" w:line="360" w:lineRule="auto"/>
        <w:ind w:left="851"/>
        <w:jc w:val="both"/>
        <w:rPr>
          <w:rFonts w:ascii="Palatino Linotype" w:eastAsia="Palatino Linotype" w:hAnsi="Palatino Linotype" w:cs="Palatino Linotype"/>
          <w:sz w:val="24"/>
          <w:szCs w:val="24"/>
        </w:rPr>
      </w:pPr>
    </w:p>
    <w:p w:rsidR="00F22C6F" w:rsidRDefault="00E462DA">
      <w:pPr>
        <w:numPr>
          <w:ilvl w:val="0"/>
          <w:numId w:val="2"/>
        </w:numPr>
        <w:spacing w:after="0" w:line="360" w:lineRule="auto"/>
        <w:ind w:left="851" w:hanging="426"/>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Necesidad:</w:t>
      </w:r>
      <w:r>
        <w:rPr>
          <w:rFonts w:ascii="Palatino Linotype" w:eastAsia="Palatino Linotype" w:hAnsi="Palatino Linotype" w:cs="Palatino Linotype"/>
          <w:sz w:val="24"/>
          <w:szCs w:val="24"/>
        </w:rPr>
        <w:t xml:space="preserve"> La falta de un medio alternativo menos lesivo a la apertura de la información, para satisfacer el interés público, y</w:t>
      </w:r>
    </w:p>
    <w:p w:rsidR="00F22C6F" w:rsidRDefault="00F22C6F">
      <w:pPr>
        <w:spacing w:after="0" w:line="360" w:lineRule="auto"/>
        <w:ind w:left="851"/>
        <w:jc w:val="both"/>
        <w:rPr>
          <w:rFonts w:ascii="Palatino Linotype" w:eastAsia="Palatino Linotype" w:hAnsi="Palatino Linotype" w:cs="Palatino Linotype"/>
          <w:sz w:val="24"/>
          <w:szCs w:val="24"/>
        </w:rPr>
      </w:pPr>
    </w:p>
    <w:p w:rsidR="00F22C6F" w:rsidRDefault="00E462DA">
      <w:pPr>
        <w:numPr>
          <w:ilvl w:val="0"/>
          <w:numId w:val="2"/>
        </w:numPr>
        <w:spacing w:after="0" w:line="360" w:lineRule="auto"/>
        <w:ind w:left="851" w:hanging="426"/>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Proporcionalidad:</w:t>
      </w:r>
      <w:r>
        <w:rPr>
          <w:rFonts w:ascii="Palatino Linotype" w:eastAsia="Palatino Linotype" w:hAnsi="Palatino Linotype" w:cs="Palatino Linotype"/>
          <w:sz w:val="24"/>
          <w:szCs w:val="24"/>
        </w:rPr>
        <w:t xml:space="preserve"> El equilibrio entre perjuicio y beneficio a favor del interés público, a fin de que la decisión tomada represente un beneficio mayor al perjuicio que podría causar a la población.</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orden de ideas, resulta procedente analizar cada uno de los elementos referidos, partiendo de que, en el caso concreto, se estima como preferente el derecho de acceso a la información, bajo las consideraciones que se verterán a continuación.</w:t>
      </w:r>
    </w:p>
    <w:p w:rsidR="00F22C6F" w:rsidRDefault="00E462DA">
      <w:pPr>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 Idoneidad</w:t>
      </w:r>
      <w:r>
        <w:rPr>
          <w:rFonts w:ascii="Palatino Linotype" w:eastAsia="Palatino Linotype" w:hAnsi="Palatino Linotype" w:cs="Palatino Linotype"/>
          <w:sz w:val="24"/>
          <w:szCs w:val="24"/>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Sin embargo, existen dos fines válidos para otorgar los expedientes de procedimientos de responsabilidades graves; los cuales, consisten en transparentar, por un lado, el desempeño de dichos trabajadores en cuestión en el ejercicio de sus funciones, sobre todo, dado que se tratan de servidores públicos, con la finalidad de calificar su actuar, ello con independencia de que tal funcionario también revista el carácter de persona física identificada e identificable, y, por otro lado, la actividad desplegada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la investigación y determinación de los </w:t>
      </w:r>
      <w:r>
        <w:rPr>
          <w:rFonts w:ascii="Palatino Linotype" w:eastAsia="Palatino Linotype" w:hAnsi="Palatino Linotype" w:cs="Palatino Linotype"/>
          <w:sz w:val="24"/>
          <w:szCs w:val="24"/>
        </w:rPr>
        <w:lastRenderedPageBreak/>
        <w:t>asuntos. Aunado, a que se relacionan con responsabilidades calificadas como graves.</w:t>
      </w: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respecto de su desempeño o que se termine el mayor nivel de tolerancia que debe tener frente a la crítica, sino que ese mayor nivel, sólo se tiene frente a la información de interés público.</w:t>
      </w: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contexto, dado que la información se relaciona con el actuar de un servidor público, existe un interés público por conocer los procedimientos generados en análisis vinculados con el nombre del servidor público sancionado, y, por lo tanto, la información del interés del particular no es susceptible de protección en tanto que su vinculación con una persona determinada reviste un interés público mayor de ser dado a conocer. </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ya que como se precisó en párrafos anteriores, proporcionar la información de referencia, garantizaría la rendición de cuentas por parte de la Contraloría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que, con dicha información, se estaría revelando que el desempeño de los servidores públicos sancionados, no fue conforme a derecho, asimismo, de dar a conocer que los referidos acreditaron que había cometido alguna responsabilidad grave.</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base en lo anterior, se considera que el principio que se debe adoptar en el presente asunto es el que subyace en el derecho fundamental de acceso a la información, puesto que a través de éste se busca no sólo satisfacer un interés </w:t>
      </w:r>
      <w:r>
        <w:rPr>
          <w:rFonts w:ascii="Palatino Linotype" w:eastAsia="Palatino Linotype" w:hAnsi="Palatino Linotype" w:cs="Palatino Linotype"/>
          <w:sz w:val="24"/>
          <w:szCs w:val="24"/>
        </w:rPr>
        <w:lastRenderedPageBreak/>
        <w:t>individual, sino la necesidad de la colectividad de estar en posibilidad de evaluar el desempeño de los servidores públicos y autoridades.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b) Necesidad: </w:t>
      </w:r>
      <w:r>
        <w:rPr>
          <w:rFonts w:ascii="Palatino Linotype" w:eastAsia="Palatino Linotype" w:hAnsi="Palatino Linotype" w:cs="Palatino Linotype"/>
          <w:sz w:val="24"/>
          <w:szCs w:val="24"/>
        </w:rPr>
        <w:t>Por otra parte, este Instituto observa que también se actualiza el principio de necesidad, ya que no existe un medio menos oneroso para lograr el fin válido, pues se estima necesaria la difusión de la información requerida, es decir, de los procedimientos en análisis vinculándolos al servidor público sancionado, pues se relacionan con el ejercicio de sus funciones de los cargos ocupados, a fin de que los ciudadanos identifiquen 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ello permite evaluar la actuación de la Contraloría del Sujeto Obligado, pues se podrá advertir la forma en la que ejercieron las funciones que legalmente tienen conferidas.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considerando que sólo por esta vía se podría lograr el acceso a la información correspondiente a los documentos del interés de la Particular, para garantizar la rendición de cuentas sobre su actuación, así como, la de los servidores públicos sancionados.</w:t>
      </w:r>
    </w:p>
    <w:p w:rsidR="00F22C6F" w:rsidRDefault="00E462DA">
      <w:pPr>
        <w:spacing w:after="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lastRenderedPageBreak/>
        <w:t>En tal virtud, por la trascendencia social de la materia del requerimiento, el derecho de acceso a la información deberá prevalecer sobre el derecho a la privacidad.</w:t>
      </w: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 Proporcionalidad en sentido estricto:</w:t>
      </w:r>
      <w:r>
        <w:rPr>
          <w:rFonts w:ascii="Palatino Linotype" w:eastAsia="Palatino Linotype" w:hAnsi="Palatino Linotype" w:cs="Palatino Linotype"/>
          <w:sz w:val="24"/>
          <w:szCs w:val="24"/>
        </w:rPr>
        <w:t xml:space="preserve"> El sacrificio de la protección del nombre de los servidores públicos, en caso de que 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Además, que como se precisó en párrafos previos, dichas faltas recaen en una afectación, para terceras personas, o bien, al erario público.</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rsidR="00F22C6F" w:rsidRDefault="00F22C6F">
      <w:pPr>
        <w:spacing w:after="0" w:line="360" w:lineRule="auto"/>
        <w:jc w:val="both"/>
        <w:rPr>
          <w:rFonts w:ascii="Palatino Linotype" w:eastAsia="Palatino Linotype" w:hAnsi="Palatino Linotype" w:cs="Palatino Linotype"/>
          <w:sz w:val="40"/>
          <w:szCs w:val="40"/>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tanto, se concluye que, al tenor de la ponderación realizada, se cumple con los tres elementos para darle preminencia, en el caso concreto, al derecho de acceso a la información.</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expuesto, se determina que los procedimientos de responsabilidades graves vinculados con el nombre de los servidores públicos o ex trabajadores, guardan la naturaleza pública, en razón de que, si bien 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Conforme a lo anterior, se concluye que el sujeto obligado únicamente se encuentra constreñido, a proporcionar los procedimientos que ya hayan causado estado, sin </w:t>
      </w:r>
      <w:r>
        <w:rPr>
          <w:rFonts w:ascii="Palatino Linotype" w:eastAsia="Palatino Linotype" w:hAnsi="Palatino Linotype" w:cs="Palatino Linotype"/>
          <w:sz w:val="24"/>
          <w:szCs w:val="24"/>
        </w:rPr>
        <w:lastRenderedPageBreak/>
        <w:t>testar el nombre de servidores públicos que fueron sancionados por responsabilidades graves.</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000000"/>
        </w:rPr>
        <w:t xml:space="preserve">Procedimientos de sanciones graves absolutorias, concluidos. </w:t>
      </w: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 el o los expedientes requeridos por el particular, encuadren en el presente caso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al poder causar un perjuicio a la vida privada de estos.</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Acorde con lo anterior, la Ley General de Transparencia y Acceso a la Información Pública, en su artículo 116, dispone que se considera información confidencial la </w:t>
      </w:r>
      <w:r>
        <w:rPr>
          <w:rFonts w:ascii="Palatino Linotype" w:eastAsia="Palatino Linotype" w:hAnsi="Palatino Linotype" w:cs="Palatino Linotype"/>
          <w:sz w:val="24"/>
          <w:szCs w:val="24"/>
        </w:rPr>
        <w:lastRenderedPageBreak/>
        <w:t>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concordancia con lo previo, el artículo 143, fracción I, de la Ley previamente citada, establece que la información privada y los datos personales, concernientes a una persona física identificada o identificable son confidenciales.</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Pr>
          <w:rFonts w:ascii="Palatino Linotype" w:eastAsia="Palatino Linotype" w:hAnsi="Palatino Linotype" w:cs="Palatino Linotype"/>
          <w:b/>
          <w:sz w:val="24"/>
          <w:szCs w:val="24"/>
        </w:rPr>
        <w:t xml:space="preserve">i) </w:t>
      </w:r>
      <w:r>
        <w:rPr>
          <w:rFonts w:ascii="Palatino Linotype" w:eastAsia="Palatino Linotype" w:hAnsi="Palatino Linotype" w:cs="Palatino Linotype"/>
          <w:sz w:val="24"/>
          <w:szCs w:val="24"/>
        </w:rPr>
        <w:t xml:space="preserve">la información se encuentre en registros públicos o fuentes de acceso público, </w:t>
      </w:r>
      <w:r>
        <w:rPr>
          <w:rFonts w:ascii="Palatino Linotype" w:eastAsia="Palatino Linotype" w:hAnsi="Palatino Linotype" w:cs="Palatino Linotype"/>
          <w:b/>
          <w:sz w:val="24"/>
          <w:szCs w:val="24"/>
        </w:rPr>
        <w:t>ii)</w:t>
      </w:r>
      <w:r>
        <w:rPr>
          <w:rFonts w:ascii="Palatino Linotype" w:eastAsia="Palatino Linotype" w:hAnsi="Palatino Linotype" w:cs="Palatino Linotype"/>
          <w:sz w:val="24"/>
          <w:szCs w:val="24"/>
        </w:rPr>
        <w:t xml:space="preserve"> por ley tenga el carácter de pública, </w:t>
      </w:r>
      <w:r>
        <w:rPr>
          <w:rFonts w:ascii="Palatino Linotype" w:eastAsia="Palatino Linotype" w:hAnsi="Palatino Linotype" w:cs="Palatino Linotype"/>
          <w:b/>
          <w:sz w:val="24"/>
          <w:szCs w:val="24"/>
        </w:rPr>
        <w:t>iii)</w:t>
      </w:r>
      <w:r>
        <w:rPr>
          <w:rFonts w:ascii="Palatino Linotype" w:eastAsia="Palatino Linotype" w:hAnsi="Palatino Linotype" w:cs="Palatino Linotype"/>
          <w:sz w:val="24"/>
          <w:szCs w:val="24"/>
        </w:rPr>
        <w:t xml:space="preserve"> exista una orden judicial, </w:t>
      </w:r>
      <w:r>
        <w:rPr>
          <w:rFonts w:ascii="Palatino Linotype" w:eastAsia="Palatino Linotype" w:hAnsi="Palatino Linotype" w:cs="Palatino Linotype"/>
          <w:b/>
          <w:sz w:val="24"/>
          <w:szCs w:val="24"/>
        </w:rPr>
        <w:t>iv)</w:t>
      </w:r>
      <w:r>
        <w:rPr>
          <w:rFonts w:ascii="Palatino Linotype" w:eastAsia="Palatino Linotype" w:hAnsi="Palatino Linotype" w:cs="Palatino Linotype"/>
          <w:sz w:val="24"/>
          <w:szCs w:val="24"/>
        </w:rPr>
        <w:t xml:space="preserve"> por razones de seguridad nacional y salubridad general o </w:t>
      </w:r>
      <w:r>
        <w:rPr>
          <w:rFonts w:ascii="Palatino Linotype" w:eastAsia="Palatino Linotype" w:hAnsi="Palatino Linotype" w:cs="Palatino Linotype"/>
          <w:b/>
          <w:sz w:val="24"/>
          <w:szCs w:val="24"/>
        </w:rPr>
        <w:t>v)</w:t>
      </w:r>
      <w:r>
        <w:rPr>
          <w:rFonts w:ascii="Palatino Linotype" w:eastAsia="Palatino Linotype" w:hAnsi="Palatino Linotype" w:cs="Palatino Linotype"/>
          <w:sz w:val="24"/>
          <w:szCs w:val="24"/>
        </w:rPr>
        <w:t xml:space="preserve"> para proteger los derechos de terceros o cuando se transmita entre sujetos obligados en términos de los tratados y los acuerdos interinstitucionales.</w:t>
      </w:r>
    </w:p>
    <w:p w:rsidR="00F22C6F" w:rsidRDefault="00F22C6F">
      <w:pPr>
        <w:spacing w:after="0" w:line="360" w:lineRule="auto"/>
        <w:ind w:right="51"/>
        <w:jc w:val="both"/>
        <w:rPr>
          <w:rFonts w:ascii="Palatino Linotype" w:eastAsia="Palatino Linotype" w:hAnsi="Palatino Linotype" w:cs="Palatino Linotype"/>
          <w:sz w:val="24"/>
          <w:szCs w:val="24"/>
        </w:rPr>
      </w:pPr>
    </w:p>
    <w:p w:rsidR="00F22C6F" w:rsidRDefault="00E462DA">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términos de lo expuesto, la documentación y aquellos datos que se consideren confidenciales, serán una limitante del derecho de acceso a la información, siempre y cuando:</w:t>
      </w:r>
    </w:p>
    <w:p w:rsidR="00F22C6F" w:rsidRDefault="00F22C6F">
      <w:pPr>
        <w:spacing w:after="0" w:line="360" w:lineRule="auto"/>
        <w:ind w:right="49"/>
        <w:jc w:val="both"/>
        <w:rPr>
          <w:rFonts w:ascii="Palatino Linotype" w:eastAsia="Palatino Linotype" w:hAnsi="Palatino Linotype" w:cs="Palatino Linotype"/>
        </w:rPr>
      </w:pPr>
    </w:p>
    <w:p w:rsidR="00F22C6F" w:rsidRDefault="00E462DA">
      <w:pPr>
        <w:spacing w:after="0"/>
        <w:ind w:left="851"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 Se trate de datos personales; esto es, información concerniente a una persona física y que ésta sea identificada o identificable. </w:t>
      </w:r>
    </w:p>
    <w:p w:rsidR="00F22C6F" w:rsidRDefault="00F22C6F">
      <w:pPr>
        <w:spacing w:after="0"/>
        <w:ind w:left="142" w:right="51"/>
        <w:jc w:val="both"/>
        <w:rPr>
          <w:rFonts w:ascii="Palatino Linotype" w:eastAsia="Palatino Linotype" w:hAnsi="Palatino Linotype" w:cs="Palatino Linotype"/>
          <w:sz w:val="24"/>
          <w:szCs w:val="24"/>
        </w:rPr>
      </w:pPr>
    </w:p>
    <w:p w:rsidR="00F22C6F" w:rsidRDefault="00E462DA">
      <w:pPr>
        <w:spacing w:after="0"/>
        <w:ind w:left="851"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b). Para la difusión de los datos, se requiera el consentimiento del titular. </w:t>
      </w:r>
    </w:p>
    <w:p w:rsidR="00F22C6F" w:rsidRDefault="00F22C6F">
      <w:pPr>
        <w:spacing w:after="0" w:line="360" w:lineRule="auto"/>
        <w:ind w:right="49"/>
        <w:jc w:val="both"/>
        <w:rPr>
          <w:rFonts w:ascii="Palatino Linotype" w:eastAsia="Palatino Linotype" w:hAnsi="Palatino Linotype" w:cs="Palatino Linotype"/>
          <w:sz w:val="24"/>
          <w:szCs w:val="24"/>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F22C6F" w:rsidRDefault="00F22C6F">
      <w:pPr>
        <w:spacing w:after="0" w:line="360" w:lineRule="auto"/>
        <w:ind w:right="49"/>
        <w:jc w:val="both"/>
        <w:rPr>
          <w:rFonts w:ascii="Palatino Linotype" w:eastAsia="Palatino Linotype" w:hAnsi="Palatino Linotype" w:cs="Palatino Linotype"/>
          <w:sz w:val="24"/>
          <w:szCs w:val="24"/>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en el artículo 5° de dicho ordenamiento jurídico, establece que es la Ley aplicable para todo tratamiento de datos personales. </w:t>
      </w:r>
    </w:p>
    <w:p w:rsidR="00F22C6F" w:rsidRDefault="00F22C6F">
      <w:pPr>
        <w:spacing w:after="0" w:line="360" w:lineRule="auto"/>
        <w:ind w:right="49"/>
        <w:jc w:val="both"/>
        <w:rPr>
          <w:rFonts w:ascii="Palatino Linotype" w:eastAsia="Palatino Linotype" w:hAnsi="Palatino Linotype" w:cs="Palatino Linotype"/>
          <w:sz w:val="24"/>
          <w:szCs w:val="24"/>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contexto, los artículos 6°, 7°, 8° y 14 de la Ley de Protección de Datos Personales en Posesión de Sujetos Obligados del Estado de México y Municipios disponen que los responsables del tratamiento de datos personales, deben observar </w:t>
      </w:r>
      <w:r>
        <w:rPr>
          <w:rFonts w:ascii="Palatino Linotype" w:eastAsia="Palatino Linotype" w:hAnsi="Palatino Linotype" w:cs="Palatino Linotype"/>
          <w:sz w:val="24"/>
          <w:szCs w:val="24"/>
        </w:rPr>
        <w:lastRenderedPageBreak/>
        <w:t>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F22C6F" w:rsidRDefault="00F22C6F">
      <w:pPr>
        <w:spacing w:after="0" w:line="360" w:lineRule="auto"/>
        <w:ind w:right="49"/>
        <w:jc w:val="both"/>
        <w:rPr>
          <w:rFonts w:ascii="Palatino Linotype" w:eastAsia="Palatino Linotype" w:hAnsi="Palatino Linotype" w:cs="Palatino Linotype"/>
          <w:sz w:val="24"/>
          <w:szCs w:val="24"/>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contexto, la confidencialidad de los datos personales, tiene por objetivo establecer el límite del derecho de acceso a la información a partir del derecho a la intimidad y la vida privada de los individuos. </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36"/>
          <w:szCs w:val="36"/>
        </w:rPr>
      </w:pPr>
      <w:r>
        <w:rPr>
          <w:rFonts w:ascii="Palatino Linotype" w:eastAsia="Palatino Linotype" w:hAnsi="Palatino Linotype" w:cs="Palatino Linotype"/>
          <w:sz w:val="24"/>
          <w:szCs w:val="24"/>
        </w:rPr>
        <w:t>De tal suerte, las instituciones públicas tienen la doble responsabilidad, por un lado, de proteger los datos personales y por otro, darle publicidad aquella información de relevancia que sea de interés público.</w:t>
      </w:r>
    </w:p>
    <w:p w:rsidR="00F22C6F" w:rsidRDefault="00F22C6F">
      <w:pPr>
        <w:spacing w:after="0" w:line="360" w:lineRule="auto"/>
        <w:ind w:right="49"/>
        <w:jc w:val="both"/>
        <w:rPr>
          <w:rFonts w:ascii="Palatino Linotype" w:eastAsia="Palatino Linotype" w:hAnsi="Palatino Linotype" w:cs="Palatino Linotype"/>
          <w:sz w:val="24"/>
          <w:szCs w:val="24"/>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orden de ideas, toda la información que transparente la gestión pública, favorezca la rendición de cuentas y contribuya a la democratización del Estado Mexicano es, sin excepción, de naturaleza pública; sin embargo, la información está necesariamente vinculada con datos personales, los cuales deben ser protegidos. </w:t>
      </w:r>
    </w:p>
    <w:p w:rsidR="00F22C6F" w:rsidRDefault="00F22C6F">
      <w:pPr>
        <w:spacing w:after="0" w:line="360" w:lineRule="auto"/>
        <w:ind w:right="49"/>
        <w:jc w:val="both"/>
        <w:rPr>
          <w:rFonts w:ascii="Palatino Linotype" w:eastAsia="Palatino Linotype" w:hAnsi="Palatino Linotype" w:cs="Palatino Linotype"/>
          <w:sz w:val="24"/>
          <w:szCs w:val="24"/>
        </w:rPr>
      </w:pPr>
    </w:p>
    <w:p w:rsidR="00F22C6F" w:rsidRDefault="00E462DA">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tales circunstancias, se considera que en la especie proporcionar el nombre, cargo y área de adscripción de los Servidores Públicos absueltos,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caso de que existieran, podría afectar su honor, buen nombre y su imagen.</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expuesto, se desprende que dar a conocer el nombre, cargo y área de adscripción del servidor público, absuelto, en su caso que existan, constituye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cual, dar a conocer el nombre del servidor público que no haya recibido una sanción por una supuesta responsabilidad que no se comprobó, la cual no causa una afectación a otros, pues como se precisó en párrafos anteriores, podría generar un juicio </w:t>
      </w:r>
      <w:r>
        <w:rPr>
          <w:rFonts w:ascii="Palatino Linotype" w:eastAsia="Palatino Linotype" w:hAnsi="Palatino Linotype" w:cs="Palatino Linotype"/>
          <w:i/>
          <w:sz w:val="24"/>
          <w:szCs w:val="24"/>
        </w:rPr>
        <w:t>a priori</w:t>
      </w:r>
      <w:r>
        <w:rPr>
          <w:rFonts w:ascii="Palatino Linotype" w:eastAsia="Palatino Linotype" w:hAnsi="Palatino Linotype" w:cs="Palatino Linotype"/>
          <w:sz w:val="24"/>
          <w:szCs w:val="24"/>
        </w:rPr>
        <w:t xml:space="preserve"> por parte de la sociedad, afectando su prestigio y su buen nombre, pues la sociedad podría calificar a dicho servidor público, como ineficiente o motivos de </w:t>
      </w:r>
      <w:r>
        <w:rPr>
          <w:rFonts w:ascii="Palatino Linotype" w:eastAsia="Palatino Linotype" w:hAnsi="Palatino Linotype" w:cs="Palatino Linotype"/>
          <w:sz w:val="24"/>
          <w:szCs w:val="24"/>
        </w:rPr>
        <w:lastRenderedPageBreak/>
        <w:t>ofensas, lo cual daña si vida privada y profesional, mismas que forman parte de su intimidad; por lo que se concluye que dicha información, en caso que existiera, tiene el carácter de confidencial.</w:t>
      </w:r>
    </w:p>
    <w:p w:rsidR="00F22C6F" w:rsidRDefault="00F22C6F">
      <w:pPr>
        <w:spacing w:after="0" w:line="360" w:lineRule="auto"/>
        <w:jc w:val="both"/>
        <w:rPr>
          <w:rFonts w:ascii="Palatino Linotype" w:eastAsia="Palatino Linotype" w:hAnsi="Palatino Linotype" w:cs="Palatino Linotype"/>
          <w:sz w:val="24"/>
          <w:szCs w:val="24"/>
        </w:rPr>
      </w:pPr>
    </w:p>
    <w:p w:rsidR="00F22C6F" w:rsidRDefault="00E462DA">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que se considera procedente ordenar la entrega del documento en donde conste en contra que programas sociales mexiquenses se interpusieron las denuncias, que se denunció y las sanciones de las faltas administrativas que se impusieron en los años 2017, 2018, 2019, 2020 y 2021,  señaladas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 su respuesta inicial, de conformidad al considerando quinto de la presente resolución, en el caso de la información que se ordena no estén concluidas deberá emitir el acuerdo de reserva respectivo.</w:t>
      </w:r>
    </w:p>
    <w:p w:rsidR="00F22C6F" w:rsidRDefault="00E462DA">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8"/>
          <w:szCs w:val="28"/>
        </w:rPr>
        <w:t>Quinto. Versión Pública</w:t>
      </w:r>
      <w:r>
        <w:rPr>
          <w:rFonts w:ascii="Palatino Linotype" w:eastAsia="Palatino Linotype" w:hAnsi="Palatino Linotype" w:cs="Palatino Linotype"/>
          <w:b/>
          <w:sz w:val="32"/>
          <w:szCs w:val="32"/>
        </w:rPr>
        <w:t>.</w:t>
      </w:r>
      <w:r>
        <w:rPr>
          <w:rFonts w:ascii="Palatino Linotype" w:eastAsia="Palatino Linotype" w:hAnsi="Palatino Linotype" w:cs="Palatino Linotype"/>
          <w:b/>
        </w:rPr>
        <w:t xml:space="preserve"> </w:t>
      </w:r>
      <w:r>
        <w:rPr>
          <w:rFonts w:ascii="Palatino Linotype" w:eastAsia="Palatino Linotype" w:hAnsi="Palatino Linotype" w:cs="Palatino Linotype"/>
          <w:sz w:val="24"/>
          <w:szCs w:val="24"/>
        </w:rPr>
        <w:t>Cómo</w:t>
      </w:r>
      <w:r>
        <w:rPr>
          <w:rFonts w:ascii="Palatino Linotype" w:eastAsia="Palatino Linotype" w:hAnsi="Palatino Linotype" w:cs="Palatino Linotype"/>
          <w:color w:val="000000"/>
          <w:sz w:val="24"/>
          <w:szCs w:val="24"/>
        </w:rPr>
        <w:t xml:space="preserve"> fue debidamente apuntado,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rsidR="00F22C6F" w:rsidRDefault="00E462DA">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F22C6F" w:rsidRDefault="00E462DA">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F22C6F" w:rsidRDefault="00E462DA">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t>Al respecto, los artículos 3, fracciones IX, XX, XXI, XXXII, XLV; 6, 91, 137, 143 fracción I, de la Ley de Transparencia y Acceso a la Información Pública del Estado de México y Municipios vigente establecen:</w:t>
      </w:r>
    </w:p>
    <w:p w:rsidR="00F22C6F" w:rsidRDefault="00E462DA">
      <w:pPr>
        <w:spacing w:before="120" w:after="120"/>
        <w:ind w:left="567" w:right="902"/>
        <w:jc w:val="both"/>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3.</w:t>
      </w:r>
      <w:r>
        <w:rPr>
          <w:rFonts w:ascii="Palatino Linotype" w:eastAsia="Palatino Linotype" w:hAnsi="Palatino Linotype" w:cs="Palatino Linotype"/>
          <w:i/>
          <w:color w:val="000000"/>
        </w:rPr>
        <w:t xml:space="preserve"> Para los efectos de la presente Ley se entenderá por:</w:t>
      </w:r>
    </w:p>
    <w:p w:rsidR="00F22C6F" w:rsidRDefault="00E462DA">
      <w:pPr>
        <w:spacing w:before="120" w:after="120"/>
        <w:ind w:left="567" w:right="902"/>
        <w:jc w:val="both"/>
      </w:pPr>
      <w:r>
        <w:rPr>
          <w:rFonts w:ascii="Palatino Linotype" w:eastAsia="Palatino Linotype" w:hAnsi="Palatino Linotype" w:cs="Palatino Linotype"/>
          <w:i/>
          <w:color w:val="000000"/>
        </w:rPr>
        <w:t>(…)</w:t>
      </w:r>
    </w:p>
    <w:p w:rsidR="00F22C6F" w:rsidRDefault="00E462DA">
      <w:pPr>
        <w:spacing w:before="120" w:after="120"/>
        <w:ind w:left="567" w:right="902"/>
        <w:jc w:val="both"/>
      </w:pPr>
      <w:r>
        <w:rPr>
          <w:rFonts w:ascii="Palatino Linotype" w:eastAsia="Palatino Linotype" w:hAnsi="Palatino Linotype" w:cs="Palatino Linotype"/>
          <w:b/>
          <w:i/>
          <w:color w:val="000000"/>
        </w:rPr>
        <w:t>IX. Datos personales</w:t>
      </w:r>
      <w:r>
        <w:rPr>
          <w:rFonts w:ascii="Palatino Linotype" w:eastAsia="Palatino Linotype" w:hAnsi="Palatino Linotype" w:cs="Palatino Linotype"/>
          <w:i/>
          <w:color w:val="000000"/>
        </w:rPr>
        <w:t>: La información concerniente a una persona, identificada o identificable según lo dispuesto por la Ley de Protección de Datos Personales del Estado de México;</w:t>
      </w:r>
    </w:p>
    <w:p w:rsidR="00F22C6F" w:rsidRDefault="00E462DA">
      <w:pPr>
        <w:spacing w:before="120" w:after="120"/>
        <w:ind w:left="567" w:right="902"/>
        <w:jc w:val="both"/>
      </w:pPr>
      <w:r>
        <w:rPr>
          <w:rFonts w:ascii="Palatino Linotype" w:eastAsia="Palatino Linotype" w:hAnsi="Palatino Linotype" w:cs="Palatino Linotype"/>
          <w:i/>
          <w:color w:val="000000"/>
        </w:rPr>
        <w:t>(…)</w:t>
      </w:r>
    </w:p>
    <w:p w:rsidR="00F22C6F" w:rsidRDefault="00E462DA">
      <w:pPr>
        <w:spacing w:before="120" w:after="120"/>
        <w:ind w:left="567" w:right="902"/>
        <w:jc w:val="both"/>
      </w:pPr>
      <w:r>
        <w:rPr>
          <w:rFonts w:ascii="Palatino Linotype" w:eastAsia="Palatino Linotype" w:hAnsi="Palatino Linotype" w:cs="Palatino Linotype"/>
          <w:b/>
          <w:i/>
          <w:color w:val="000000"/>
        </w:rPr>
        <w:t>XX. Información clasificada</w:t>
      </w:r>
      <w:r>
        <w:rPr>
          <w:rFonts w:ascii="Palatino Linotype" w:eastAsia="Palatino Linotype" w:hAnsi="Palatino Linotype" w:cs="Palatino Linotype"/>
          <w:i/>
          <w:color w:val="000000"/>
        </w:rPr>
        <w:t>: Aquella considerada por la presente Ley como reservada o confidencial;</w:t>
      </w:r>
    </w:p>
    <w:p w:rsidR="00F22C6F" w:rsidRDefault="00E462DA">
      <w:pPr>
        <w:spacing w:before="120" w:after="120"/>
        <w:ind w:left="567" w:right="902"/>
        <w:jc w:val="both"/>
      </w:pPr>
      <w:r>
        <w:rPr>
          <w:rFonts w:ascii="Palatino Linotype" w:eastAsia="Palatino Linotype" w:hAnsi="Palatino Linotype" w:cs="Palatino Linotype"/>
          <w:b/>
          <w:i/>
          <w:color w:val="000000"/>
        </w:rPr>
        <w:t>XXI. Información confidencial</w:t>
      </w:r>
      <w:r>
        <w:rPr>
          <w:rFonts w:ascii="Palatino Linotype" w:eastAsia="Palatino Linotype" w:hAnsi="Palatino Linotype" w:cs="Palatino Linotype"/>
          <w:i/>
          <w:color w:val="000000"/>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22C6F" w:rsidRDefault="00E462DA">
      <w:pPr>
        <w:spacing w:before="120" w:after="120"/>
        <w:ind w:left="567" w:right="902"/>
        <w:jc w:val="both"/>
      </w:pPr>
      <w:r>
        <w:rPr>
          <w:rFonts w:ascii="Palatino Linotype" w:eastAsia="Palatino Linotype" w:hAnsi="Palatino Linotype" w:cs="Palatino Linotype"/>
          <w:i/>
          <w:color w:val="000000"/>
        </w:rPr>
        <w:t>(…)</w:t>
      </w:r>
    </w:p>
    <w:p w:rsidR="00F22C6F" w:rsidRDefault="00E462DA">
      <w:pPr>
        <w:spacing w:before="120" w:after="120"/>
        <w:ind w:left="567" w:right="902"/>
        <w:jc w:val="both"/>
      </w:pPr>
      <w:r>
        <w:rPr>
          <w:rFonts w:ascii="Palatino Linotype" w:eastAsia="Palatino Linotype" w:hAnsi="Palatino Linotype" w:cs="Palatino Linotype"/>
          <w:b/>
          <w:i/>
          <w:color w:val="000000"/>
        </w:rPr>
        <w:t>XXXII. Protección de Datos Personales</w:t>
      </w:r>
      <w:r>
        <w:rPr>
          <w:rFonts w:ascii="Palatino Linotype" w:eastAsia="Palatino Linotype" w:hAnsi="Palatino Linotype" w:cs="Palatino Linotype"/>
          <w:i/>
          <w:color w:val="000000"/>
        </w:rPr>
        <w:t>: Derecho humano que tutela la privacidad de datos personales en poder de los sujetos obligados y sujetos particulares;</w:t>
      </w:r>
    </w:p>
    <w:p w:rsidR="00F22C6F" w:rsidRDefault="00E462DA">
      <w:pPr>
        <w:spacing w:before="120" w:after="120"/>
        <w:ind w:left="567" w:right="902"/>
        <w:jc w:val="both"/>
      </w:pPr>
      <w:r>
        <w:rPr>
          <w:rFonts w:ascii="Palatino Linotype" w:eastAsia="Palatino Linotype" w:hAnsi="Palatino Linotype" w:cs="Palatino Linotype"/>
          <w:i/>
          <w:color w:val="000000"/>
        </w:rPr>
        <w:t>(…)</w:t>
      </w:r>
    </w:p>
    <w:p w:rsidR="00F22C6F" w:rsidRDefault="00E462DA">
      <w:pPr>
        <w:spacing w:before="120" w:after="120"/>
        <w:ind w:left="567" w:right="902"/>
        <w:jc w:val="both"/>
      </w:pPr>
      <w:r>
        <w:rPr>
          <w:rFonts w:ascii="Palatino Linotype" w:eastAsia="Palatino Linotype" w:hAnsi="Palatino Linotype" w:cs="Palatino Linotype"/>
          <w:b/>
          <w:i/>
          <w:color w:val="000000"/>
        </w:rPr>
        <w:t>XLV. Versión pública</w:t>
      </w:r>
      <w:r>
        <w:rPr>
          <w:rFonts w:ascii="Palatino Linotype" w:eastAsia="Palatino Linotype" w:hAnsi="Palatino Linotype" w:cs="Palatino Linotype"/>
          <w:i/>
          <w:color w:val="000000"/>
        </w:rPr>
        <w:t>: Documento en el que se elimine, suprime o borra la información clasificada como reservada o confidencial para permitir su acceso.</w:t>
      </w:r>
    </w:p>
    <w:p w:rsidR="00F22C6F" w:rsidRDefault="00E462DA">
      <w:pPr>
        <w:spacing w:before="120" w:after="120"/>
        <w:ind w:left="567" w:right="902"/>
        <w:jc w:val="both"/>
      </w:pPr>
      <w:r>
        <w:rPr>
          <w:rFonts w:ascii="Palatino Linotype" w:eastAsia="Palatino Linotype" w:hAnsi="Palatino Linotype" w:cs="Palatino Linotype"/>
          <w:b/>
          <w:i/>
          <w:color w:val="000000"/>
        </w:rPr>
        <w:t> Artículo 6</w:t>
      </w:r>
      <w:r>
        <w:rPr>
          <w:rFonts w:ascii="Palatino Linotype" w:eastAsia="Palatino Linotype" w:hAnsi="Palatino Linotype" w:cs="Palatino Linotype"/>
          <w:i/>
          <w:color w:val="000000"/>
        </w:rPr>
        <w:t xml:space="preserve">. Los datos personales son irrenunciables, intransferibles e indelegables, por lo que los sujetos obligados no deberán proporcionar o hacer pública la </w:t>
      </w:r>
      <w:r>
        <w:rPr>
          <w:rFonts w:ascii="Palatino Linotype" w:eastAsia="Palatino Linotype" w:hAnsi="Palatino Linotype" w:cs="Palatino Linotype"/>
          <w:i/>
          <w:color w:val="000000"/>
        </w:rPr>
        <w:lastRenderedPageBreak/>
        <w:t>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22C6F" w:rsidRDefault="00E462DA">
      <w:pPr>
        <w:spacing w:before="120" w:after="120"/>
        <w:ind w:left="567" w:right="902"/>
        <w:jc w:val="both"/>
      </w:pPr>
      <w:r>
        <w:rPr>
          <w:rFonts w:ascii="Palatino Linotype" w:eastAsia="Palatino Linotype" w:hAnsi="Palatino Linotype" w:cs="Palatino Linotype"/>
          <w:i/>
          <w:color w:val="000000"/>
        </w:rPr>
        <w:t> (…)</w:t>
      </w:r>
    </w:p>
    <w:p w:rsidR="00F22C6F" w:rsidRDefault="00E462DA">
      <w:pPr>
        <w:spacing w:before="120" w:after="120"/>
        <w:ind w:left="567" w:right="902"/>
        <w:jc w:val="both"/>
      </w:pPr>
      <w:r>
        <w:rPr>
          <w:rFonts w:ascii="Palatino Linotype" w:eastAsia="Palatino Linotype" w:hAnsi="Palatino Linotype" w:cs="Palatino Linotype"/>
          <w:b/>
          <w:i/>
          <w:color w:val="000000"/>
        </w:rPr>
        <w:t>Artículo 91.</w:t>
      </w:r>
      <w:r>
        <w:rPr>
          <w:rFonts w:ascii="Palatino Linotype" w:eastAsia="Palatino Linotype" w:hAnsi="Palatino Linotype" w:cs="Palatino Linotype"/>
          <w:i/>
          <w:color w:val="000000"/>
        </w:rPr>
        <w:t xml:space="preserve"> El acceso a la información pública será restringido excepcionalmente, cuando ésta sea clasificada como reservada o confidencial.</w:t>
      </w:r>
      <w:r>
        <w:rPr>
          <w:rFonts w:ascii="Palatino Linotype" w:eastAsia="Palatino Linotype" w:hAnsi="Palatino Linotype" w:cs="Palatino Linotype"/>
          <w:i/>
          <w:color w:val="000000"/>
        </w:rPr>
        <w:br/>
        <w:t>(…)</w:t>
      </w:r>
    </w:p>
    <w:p w:rsidR="00F22C6F" w:rsidRDefault="00E462DA">
      <w:pPr>
        <w:spacing w:before="120" w:after="120"/>
        <w:ind w:left="567" w:right="902"/>
        <w:jc w:val="both"/>
      </w:pPr>
      <w:r>
        <w:rPr>
          <w:rFonts w:ascii="Palatino Linotype" w:eastAsia="Palatino Linotype" w:hAnsi="Palatino Linotype" w:cs="Palatino Linotype"/>
          <w:b/>
          <w:i/>
          <w:color w:val="000000"/>
        </w:rPr>
        <w:t>Artículo 137.</w:t>
      </w:r>
      <w:r>
        <w:rPr>
          <w:rFonts w:ascii="Palatino Linotype" w:eastAsia="Palatino Linotype" w:hAnsi="Palatino Linotype" w:cs="Palatino Linotype"/>
          <w:i/>
          <w:color w:val="00000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22C6F" w:rsidRDefault="00E462DA">
      <w:pPr>
        <w:spacing w:before="120" w:after="120"/>
        <w:ind w:left="567" w:right="902"/>
        <w:jc w:val="both"/>
      </w:pPr>
      <w:r>
        <w:rPr>
          <w:rFonts w:ascii="Palatino Linotype" w:eastAsia="Palatino Linotype" w:hAnsi="Palatino Linotype" w:cs="Palatino Linotype"/>
          <w:b/>
          <w:i/>
          <w:color w:val="000000"/>
        </w:rPr>
        <w:t> Artículo 143.</w:t>
      </w:r>
      <w:r>
        <w:rPr>
          <w:rFonts w:ascii="Palatino Linotype" w:eastAsia="Palatino Linotype" w:hAnsi="Palatino Linotype" w:cs="Palatino Linotype"/>
          <w:i/>
          <w:color w:val="000000"/>
        </w:rPr>
        <w:t xml:space="preserve"> Para los efectos de esta Ley se considera información confidencial, la clasificada como tal, de manera permanente, por su naturaleza, cuando:</w:t>
      </w:r>
    </w:p>
    <w:p w:rsidR="00F22C6F" w:rsidRDefault="00E462DA">
      <w:pPr>
        <w:spacing w:before="120" w:after="120"/>
        <w:ind w:left="567" w:right="902"/>
        <w:jc w:val="both"/>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 refiera a la información privada y los datos personales concernientes a una persona física o jurídico colectiva identificada o identificable...”</w:t>
      </w:r>
    </w:p>
    <w:p w:rsidR="00F22C6F" w:rsidRDefault="00E462DA">
      <w:pPr>
        <w:spacing w:before="240" w:after="240" w:line="360" w:lineRule="auto"/>
        <w:ind w:right="50"/>
        <w:jc w:val="both"/>
        <w:rPr>
          <w:sz w:val="24"/>
          <w:szCs w:val="24"/>
        </w:rPr>
      </w:pPr>
      <w:r>
        <w:rPr>
          <w:rFonts w:ascii="Palatino Linotype" w:eastAsia="Palatino Linotype" w:hAnsi="Palatino Linotype" w:cs="Palatino Linotype"/>
          <w:color w:val="000000"/>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w:t>
      </w:r>
      <w:r>
        <w:rPr>
          <w:rFonts w:ascii="Palatino Linotype" w:eastAsia="Palatino Linotype" w:hAnsi="Palatino Linotype" w:cs="Palatino Linotype"/>
          <w:color w:val="000000"/>
          <w:sz w:val="24"/>
          <w:szCs w:val="24"/>
        </w:rPr>
        <w:lastRenderedPageBreak/>
        <w:t>de la Ley de Protección de Datos Personales en posesión de Sujeto Obligados del Estado de México.</w:t>
      </w:r>
    </w:p>
    <w:p w:rsidR="00F22C6F" w:rsidRDefault="00E462DA">
      <w:pPr>
        <w:spacing w:before="240" w:after="240" w:line="360" w:lineRule="auto"/>
        <w:ind w:right="50"/>
        <w:jc w:val="both"/>
        <w:rPr>
          <w:sz w:val="24"/>
          <w:szCs w:val="24"/>
        </w:rPr>
      </w:pPr>
      <w:r>
        <w:rPr>
          <w:rFonts w:ascii="Palatino Linotype" w:eastAsia="Palatino Linotype" w:hAnsi="Palatino Linotype" w:cs="Palatino Linotype"/>
          <w:color w:val="000000"/>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F22C6F" w:rsidRDefault="00E462DA">
      <w:pPr>
        <w:spacing w:before="240" w:after="240" w:line="360" w:lineRule="auto"/>
        <w:jc w:val="both"/>
        <w:rPr>
          <w:sz w:val="24"/>
          <w:szCs w:val="24"/>
        </w:rPr>
      </w:pPr>
      <w:r>
        <w:rPr>
          <w:rFonts w:ascii="Palatino Linotype" w:eastAsia="Palatino Linotype" w:hAnsi="Palatino Linotype" w:cs="Palatino Linotype"/>
          <w:color w:val="000000"/>
          <w:sz w:val="24"/>
          <w:szCs w:val="24"/>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rsidR="00F22C6F" w:rsidRDefault="00E462DA">
      <w:pPr>
        <w:spacing w:before="240" w:after="240" w:line="360" w:lineRule="auto"/>
        <w:ind w:right="50"/>
        <w:jc w:val="both"/>
        <w:rPr>
          <w:sz w:val="24"/>
          <w:szCs w:val="24"/>
        </w:rPr>
      </w:pPr>
      <w:r>
        <w:rPr>
          <w:rFonts w:ascii="Palatino Linotype" w:eastAsia="Palatino Linotype" w:hAnsi="Palatino Linotype" w:cs="Palatino Linotype"/>
          <w:color w:val="000000"/>
          <w:sz w:val="24"/>
          <w:szCs w:val="24"/>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22C6F" w:rsidRDefault="00E462DA">
      <w:pPr>
        <w:spacing w:before="120" w:after="120"/>
        <w:ind w:left="709" w:right="900"/>
        <w:jc w:val="both"/>
      </w:pPr>
      <w:r>
        <w:rPr>
          <w:rFonts w:ascii="Palatino Linotype" w:eastAsia="Palatino Linotype" w:hAnsi="Palatino Linotype" w:cs="Palatino Linotype"/>
          <w:b/>
          <w:i/>
          <w:color w:val="000000"/>
        </w:rPr>
        <w:t>“Artículo 49.</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Los Comités de Transparencia</w:t>
      </w:r>
      <w:r>
        <w:rPr>
          <w:rFonts w:ascii="Palatino Linotype" w:eastAsia="Palatino Linotype" w:hAnsi="Palatino Linotype" w:cs="Palatino Linotype"/>
          <w:i/>
          <w:color w:val="000000"/>
        </w:rPr>
        <w:t xml:space="preserve"> tendrán las siguientes atribuciones:</w:t>
      </w:r>
    </w:p>
    <w:p w:rsidR="00F22C6F" w:rsidRDefault="00E462DA">
      <w:pPr>
        <w:spacing w:before="120" w:after="120"/>
        <w:ind w:left="709" w:right="900"/>
        <w:jc w:val="both"/>
      </w:pPr>
      <w:r>
        <w:rPr>
          <w:rFonts w:ascii="Palatino Linotype" w:eastAsia="Palatino Linotype" w:hAnsi="Palatino Linotype" w:cs="Palatino Linotype"/>
          <w:b/>
          <w:i/>
          <w:color w:val="000000"/>
        </w:rPr>
        <w:t>VIII. Aprobar, modificar o revocar la clasificación de la información</w:t>
      </w:r>
      <w:r>
        <w:rPr>
          <w:rFonts w:ascii="Palatino Linotype" w:eastAsia="Palatino Linotype" w:hAnsi="Palatino Linotype" w:cs="Palatino Linotype"/>
          <w:i/>
          <w:color w:val="000000"/>
        </w:rPr>
        <w:t>…”</w:t>
      </w:r>
    </w:p>
    <w:p w:rsidR="00F22C6F" w:rsidRDefault="00E462DA">
      <w:pPr>
        <w:spacing w:before="120" w:after="120"/>
        <w:ind w:left="709" w:right="900"/>
        <w:jc w:val="both"/>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53.</w:t>
      </w:r>
      <w:r>
        <w:rPr>
          <w:rFonts w:ascii="Palatino Linotype" w:eastAsia="Palatino Linotype" w:hAnsi="Palatino Linotype" w:cs="Palatino Linotype"/>
          <w:i/>
          <w:color w:val="000000"/>
        </w:rPr>
        <w:t xml:space="preserve"> Las </w:t>
      </w:r>
      <w:r>
        <w:rPr>
          <w:rFonts w:ascii="Palatino Linotype" w:eastAsia="Palatino Linotype" w:hAnsi="Palatino Linotype" w:cs="Palatino Linotype"/>
          <w:b/>
          <w:i/>
          <w:color w:val="000000"/>
        </w:rPr>
        <w:t>Unidades de Transparencia</w:t>
      </w:r>
      <w:r>
        <w:rPr>
          <w:rFonts w:ascii="Palatino Linotype" w:eastAsia="Palatino Linotype" w:hAnsi="Palatino Linotype" w:cs="Palatino Linotype"/>
          <w:i/>
          <w:color w:val="000000"/>
        </w:rPr>
        <w:t xml:space="preserve"> tendrán las siguientes </w:t>
      </w:r>
      <w:r>
        <w:rPr>
          <w:rFonts w:ascii="Palatino Linotype" w:eastAsia="Palatino Linotype" w:hAnsi="Palatino Linotype" w:cs="Palatino Linotype"/>
          <w:b/>
          <w:i/>
          <w:color w:val="000000"/>
        </w:rPr>
        <w:t>funciones</w:t>
      </w:r>
      <w:r>
        <w:rPr>
          <w:rFonts w:ascii="Palatino Linotype" w:eastAsia="Palatino Linotype" w:hAnsi="Palatino Linotype" w:cs="Palatino Linotype"/>
          <w:i/>
          <w:color w:val="000000"/>
        </w:rPr>
        <w:t>:</w:t>
      </w:r>
    </w:p>
    <w:p w:rsidR="00F22C6F" w:rsidRDefault="00E462DA">
      <w:pPr>
        <w:spacing w:before="120" w:after="120"/>
        <w:ind w:left="709" w:right="900"/>
        <w:jc w:val="both"/>
      </w:pPr>
      <w:r>
        <w:rPr>
          <w:rFonts w:ascii="Palatino Linotype" w:eastAsia="Palatino Linotype" w:hAnsi="Palatino Linotype" w:cs="Palatino Linotype"/>
          <w:b/>
          <w:i/>
          <w:color w:val="000000"/>
        </w:rPr>
        <w:lastRenderedPageBreak/>
        <w:t>X. Presentar ante el Comité, el proyecto de clasificación de información</w:t>
      </w:r>
      <w:r>
        <w:rPr>
          <w:rFonts w:ascii="Palatino Linotype" w:eastAsia="Palatino Linotype" w:hAnsi="Palatino Linotype" w:cs="Palatino Linotype"/>
          <w:i/>
          <w:color w:val="000000"/>
        </w:rPr>
        <w:t>…” </w:t>
      </w:r>
    </w:p>
    <w:p w:rsidR="00F22C6F" w:rsidRDefault="00E462DA">
      <w:pPr>
        <w:spacing w:before="120" w:after="120"/>
        <w:ind w:left="709" w:right="900"/>
        <w:jc w:val="both"/>
      </w:pPr>
      <w:r>
        <w:rPr>
          <w:rFonts w:ascii="Palatino Linotype" w:eastAsia="Palatino Linotype" w:hAnsi="Palatino Linotype" w:cs="Palatino Linotype"/>
          <w:b/>
          <w:i/>
          <w:color w:val="000000"/>
        </w:rPr>
        <w:t>“Artículo 59.</w:t>
      </w:r>
      <w:r>
        <w:rPr>
          <w:rFonts w:ascii="Palatino Linotype" w:eastAsia="Palatino Linotype" w:hAnsi="Palatino Linotype" w:cs="Palatino Linotype"/>
          <w:i/>
          <w:color w:val="000000"/>
        </w:rPr>
        <w:t xml:space="preserve"> Los </w:t>
      </w:r>
      <w:r>
        <w:rPr>
          <w:rFonts w:ascii="Palatino Linotype" w:eastAsia="Palatino Linotype" w:hAnsi="Palatino Linotype" w:cs="Palatino Linotype"/>
          <w:b/>
          <w:i/>
          <w:color w:val="000000"/>
        </w:rPr>
        <w:t>servidores públicos habilitados</w:t>
      </w:r>
      <w:r>
        <w:rPr>
          <w:rFonts w:ascii="Palatino Linotype" w:eastAsia="Palatino Linotype" w:hAnsi="Palatino Linotype" w:cs="Palatino Linotype"/>
          <w:i/>
          <w:color w:val="000000"/>
        </w:rPr>
        <w:t xml:space="preserve"> tendrán las </w:t>
      </w:r>
      <w:r>
        <w:rPr>
          <w:rFonts w:ascii="Palatino Linotype" w:eastAsia="Palatino Linotype" w:hAnsi="Palatino Linotype" w:cs="Palatino Linotype"/>
          <w:b/>
          <w:i/>
          <w:color w:val="000000"/>
        </w:rPr>
        <w:t>funciones</w:t>
      </w:r>
      <w:r>
        <w:rPr>
          <w:rFonts w:ascii="Palatino Linotype" w:eastAsia="Palatino Linotype" w:hAnsi="Palatino Linotype" w:cs="Palatino Linotype"/>
          <w:i/>
          <w:color w:val="000000"/>
        </w:rPr>
        <w:t xml:space="preserve"> siguientes:</w:t>
      </w:r>
    </w:p>
    <w:p w:rsidR="00F22C6F" w:rsidRDefault="00E462DA">
      <w:pPr>
        <w:spacing w:before="120" w:after="120"/>
        <w:ind w:left="709" w:right="900"/>
        <w:jc w:val="both"/>
      </w:pPr>
      <w:r>
        <w:rPr>
          <w:rFonts w:ascii="Palatino Linotype" w:eastAsia="Palatino Linotype" w:hAnsi="Palatino Linotype" w:cs="Palatino Linotype"/>
          <w:b/>
          <w:i/>
          <w:color w:val="000000"/>
        </w:rPr>
        <w:t>V. Integrar y presentar al responsable de la Unidad de Transparencia la propuesta de clasificación de información</w:t>
      </w:r>
      <w:r>
        <w:rPr>
          <w:rFonts w:ascii="Palatino Linotype" w:eastAsia="Palatino Linotype" w:hAnsi="Palatino Linotype" w:cs="Palatino Linotype"/>
          <w:i/>
          <w:color w:val="000000"/>
        </w:rPr>
        <w:t>, la cual tendrá los fundamentos y argumentos en que se basa dicha propuesta…”</w:t>
      </w:r>
    </w:p>
    <w:p w:rsidR="00F22C6F" w:rsidRDefault="00F22C6F"/>
    <w:p w:rsidR="00F22C6F" w:rsidRDefault="00E462DA">
      <w:pPr>
        <w:spacing w:after="240" w:line="360" w:lineRule="auto"/>
        <w:jc w:val="both"/>
        <w:rPr>
          <w:sz w:val="24"/>
          <w:szCs w:val="24"/>
        </w:rPr>
      </w:pPr>
      <w:r>
        <w:rPr>
          <w:rFonts w:ascii="Palatino Linotype" w:eastAsia="Palatino Linotype" w:hAnsi="Palatino Linotype" w:cs="Palatino Linotype"/>
          <w:color w:val="000000"/>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22C6F" w:rsidRDefault="00E462DA">
      <w:pPr>
        <w:spacing w:before="240" w:after="240" w:line="360" w:lineRule="auto"/>
        <w:ind w:right="49"/>
        <w:jc w:val="both"/>
        <w:rPr>
          <w:sz w:val="24"/>
          <w:szCs w:val="24"/>
        </w:rPr>
      </w:pPr>
      <w:r>
        <w:rPr>
          <w:rFonts w:ascii="Palatino Linotype" w:eastAsia="Palatino Linotype" w:hAnsi="Palatino Linotype" w:cs="Palatino Linotype"/>
          <w:color w:val="000000"/>
          <w:sz w:val="24"/>
          <w:szCs w:val="24"/>
        </w:rPr>
        <w:t xml:space="preserve">Por último, respecto a la versión pública de los documentos que contenga la información solicitada, cabe señalar que el Comité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F22C6F" w:rsidRDefault="00E462DA">
      <w:pPr>
        <w:spacing w:before="120" w:after="120"/>
        <w:ind w:left="709" w:right="1134"/>
        <w:jc w:val="both"/>
      </w:pPr>
      <w:r>
        <w:rPr>
          <w:rFonts w:ascii="Palatino Linotype" w:eastAsia="Palatino Linotype" w:hAnsi="Palatino Linotype" w:cs="Palatino Linotype"/>
          <w:i/>
          <w:color w:val="000000"/>
        </w:rPr>
        <w:lastRenderedPageBreak/>
        <w:t>“</w:t>
      </w:r>
      <w:r>
        <w:rPr>
          <w:rFonts w:ascii="Palatino Linotype" w:eastAsia="Palatino Linotype" w:hAnsi="Palatino Linotype" w:cs="Palatino Linotype"/>
          <w:b/>
          <w:i/>
          <w:color w:val="000000"/>
        </w:rPr>
        <w:t>Artículo 132.</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La clasificación de la información se llevará a cabo en el momento en que:</w:t>
      </w:r>
    </w:p>
    <w:p w:rsidR="00F22C6F" w:rsidRDefault="00E462DA">
      <w:pPr>
        <w:spacing w:before="120" w:after="120"/>
        <w:ind w:left="709" w:right="1134"/>
        <w:jc w:val="both"/>
      </w:pPr>
      <w:r>
        <w:rPr>
          <w:rFonts w:ascii="Palatino Linotype" w:eastAsia="Palatino Linotype" w:hAnsi="Palatino Linotype" w:cs="Palatino Linotype"/>
          <w:i/>
          <w:color w:val="000000"/>
        </w:rPr>
        <w:t>…</w:t>
      </w:r>
    </w:p>
    <w:p w:rsidR="00F22C6F" w:rsidRDefault="00E462DA">
      <w:pPr>
        <w:spacing w:before="120" w:after="120"/>
        <w:ind w:left="709" w:right="1134"/>
        <w:jc w:val="both"/>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Se determine mediante resolución de autoridad competente; o</w:t>
      </w:r>
    </w:p>
    <w:p w:rsidR="00F22C6F" w:rsidRDefault="00E462DA">
      <w:pPr>
        <w:spacing w:before="120" w:after="120"/>
        <w:ind w:left="709" w:right="1134"/>
        <w:jc w:val="both"/>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Se generen versiones públicas para dar cumplimiento a las obligaciones de transparencia previstas en esta Ley</w:t>
      </w:r>
      <w:r>
        <w:rPr>
          <w:rFonts w:ascii="Palatino Linotype" w:eastAsia="Palatino Linotype" w:hAnsi="Palatino Linotype" w:cs="Palatino Linotype"/>
          <w:i/>
          <w:color w:val="000000"/>
        </w:rPr>
        <w:t>.”</w:t>
      </w:r>
    </w:p>
    <w:p w:rsidR="00F22C6F" w:rsidRDefault="00E462DA">
      <w:pPr>
        <w:spacing w:before="120" w:after="120"/>
        <w:ind w:left="709" w:right="1134"/>
        <w:jc w:val="both"/>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Segundo.-</w:t>
      </w:r>
      <w:r>
        <w:rPr>
          <w:rFonts w:ascii="Palatino Linotype" w:eastAsia="Palatino Linotype" w:hAnsi="Palatino Linotype" w:cs="Palatino Linotype"/>
          <w:i/>
          <w:color w:val="000000"/>
        </w:rPr>
        <w:t xml:space="preserve"> Para efectos de los presentes Lineamientos Generales, se entenderá por:</w:t>
      </w:r>
    </w:p>
    <w:p w:rsidR="00F22C6F" w:rsidRDefault="00E462DA">
      <w:pPr>
        <w:spacing w:before="120" w:after="120"/>
        <w:ind w:left="709" w:right="1134"/>
        <w:jc w:val="both"/>
      </w:pPr>
      <w:r>
        <w:rPr>
          <w:rFonts w:ascii="Palatino Linotype" w:eastAsia="Palatino Linotype" w:hAnsi="Palatino Linotype" w:cs="Palatino Linotype"/>
          <w:b/>
          <w:i/>
          <w:color w:val="000000"/>
        </w:rPr>
        <w:t>XVIII.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Versión pública:</w:t>
      </w:r>
      <w:r>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rPr>
        <w:t>fundando y motivando la</w:t>
      </w:r>
      <w:r>
        <w:rPr>
          <w:rFonts w:ascii="Palatino Linotype" w:eastAsia="Palatino Linotype" w:hAnsi="Palatino Linotype" w:cs="Palatino Linotype"/>
          <w:i/>
          <w:color w:val="000000"/>
        </w:rPr>
        <w:t xml:space="preserve"> reserva o </w:t>
      </w:r>
      <w:r>
        <w:rPr>
          <w:rFonts w:ascii="Palatino Linotype" w:eastAsia="Palatino Linotype" w:hAnsi="Palatino Linotype" w:cs="Palatino Linotype"/>
          <w:b/>
          <w:i/>
          <w:color w:val="000000"/>
        </w:rPr>
        <w:t>confidencialidad</w:t>
      </w:r>
      <w:r>
        <w:rPr>
          <w:rFonts w:ascii="Palatino Linotype" w:eastAsia="Palatino Linotype" w:hAnsi="Palatino Linotype" w:cs="Palatino Linotype"/>
          <w:i/>
          <w:color w:val="000000"/>
        </w:rPr>
        <w:t>, a través de la resolución que para tal efecto emita el Comité de Transparencia.</w:t>
      </w:r>
    </w:p>
    <w:p w:rsidR="00F22C6F" w:rsidRDefault="00E462DA">
      <w:pPr>
        <w:spacing w:before="120" w:after="120"/>
        <w:ind w:left="709" w:right="1134"/>
        <w:jc w:val="both"/>
      </w:pPr>
      <w:r>
        <w:rPr>
          <w:rFonts w:ascii="Palatino Linotype" w:eastAsia="Palatino Linotype" w:hAnsi="Palatino Linotype" w:cs="Palatino Linotype"/>
          <w:b/>
          <w:i/>
          <w:color w:val="000000"/>
        </w:rPr>
        <w:t>Cuarto.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Para clasificar la información como</w:t>
      </w:r>
      <w:r>
        <w:rPr>
          <w:rFonts w:ascii="Palatino Linotype" w:eastAsia="Palatino Linotype" w:hAnsi="Palatino Linotype" w:cs="Palatino Linotype"/>
          <w:i/>
          <w:color w:val="000000"/>
        </w:rPr>
        <w:t xml:space="preserve"> reservada o </w:t>
      </w:r>
      <w:r>
        <w:rPr>
          <w:rFonts w:ascii="Palatino Linotype" w:eastAsia="Palatino Linotype" w:hAnsi="Palatino Linotype" w:cs="Palatino Linotype"/>
          <w:b/>
          <w:i/>
          <w:color w:val="000000"/>
        </w:rPr>
        <w:t>confidencial, de manera total o parcial, el titular del área del sujeto obligado deberá atender lo dispuesto por el Título Sexto de la Ley General</w:t>
      </w:r>
      <w:r>
        <w:rPr>
          <w:rFonts w:ascii="Palatino Linotype" w:eastAsia="Palatino Linotype" w:hAnsi="Palatino Linotype" w:cs="Palatino Linotype"/>
          <w:i/>
          <w:color w:val="000000"/>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22C6F" w:rsidRDefault="00E462DA">
      <w:pPr>
        <w:spacing w:before="120" w:after="120"/>
        <w:ind w:left="709" w:right="1134"/>
        <w:jc w:val="both"/>
      </w:pPr>
      <w:r>
        <w:rPr>
          <w:rFonts w:ascii="Palatino Linotype" w:eastAsia="Palatino Linotype" w:hAnsi="Palatino Linotype" w:cs="Palatino Linotype"/>
          <w:i/>
          <w:color w:val="000000"/>
        </w:rPr>
        <w:t>Los sujetos obligados deberán aplicar, de manera estricta, las excepciones al derecho de acceso a la información y sólo podrán invocarlas cuando acrediten su procedencia.</w:t>
      </w:r>
    </w:p>
    <w:p w:rsidR="00F22C6F" w:rsidRDefault="00E462DA">
      <w:pPr>
        <w:spacing w:before="120" w:after="120"/>
        <w:ind w:left="709" w:right="1134"/>
        <w:jc w:val="both"/>
      </w:pPr>
      <w:r>
        <w:rPr>
          <w:rFonts w:ascii="Palatino Linotype" w:eastAsia="Palatino Linotype" w:hAnsi="Palatino Linotype" w:cs="Palatino Linotype"/>
          <w:b/>
          <w:i/>
          <w:color w:val="000000"/>
        </w:rPr>
        <w:t>Quinto.</w:t>
      </w:r>
      <w:r>
        <w:rPr>
          <w:rFonts w:ascii="Palatino Linotype" w:eastAsia="Palatino Linotype" w:hAnsi="Palatino Linotype" w:cs="Palatino Linotype"/>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22C6F" w:rsidRDefault="00E462DA">
      <w:pPr>
        <w:spacing w:before="120" w:after="120"/>
        <w:ind w:left="709" w:right="1134"/>
        <w:jc w:val="both"/>
      </w:pPr>
      <w:r>
        <w:rPr>
          <w:rFonts w:ascii="Palatino Linotype" w:eastAsia="Palatino Linotype" w:hAnsi="Palatino Linotype" w:cs="Palatino Linotype"/>
          <w:b/>
          <w:i/>
          <w:color w:val="000000"/>
        </w:rPr>
        <w:t>Sexto.</w:t>
      </w:r>
      <w:r>
        <w:rPr>
          <w:rFonts w:ascii="Palatino Linotype" w:eastAsia="Palatino Linotype" w:hAnsi="Palatino Linotype" w:cs="Palatino Linotype"/>
          <w:i/>
          <w:color w:val="000000"/>
        </w:rPr>
        <w:t xml:space="preserve"> Los sujetos obligados no podrán emitir acuerdos de carácter general ni particular que clasifiquen documentos o expedientes como reservados, ni </w:t>
      </w:r>
      <w:r>
        <w:rPr>
          <w:rFonts w:ascii="Palatino Linotype" w:eastAsia="Palatino Linotype" w:hAnsi="Palatino Linotype" w:cs="Palatino Linotype"/>
          <w:i/>
          <w:color w:val="000000"/>
        </w:rPr>
        <w:lastRenderedPageBreak/>
        <w:t>clasificar documentos antes de que se genere la información o cuando éstos no obren en sus archivos.</w:t>
      </w:r>
    </w:p>
    <w:p w:rsidR="00F22C6F" w:rsidRDefault="00E462DA">
      <w:pPr>
        <w:spacing w:before="120" w:after="120"/>
        <w:ind w:left="709" w:right="1134"/>
        <w:jc w:val="both"/>
      </w:pPr>
      <w:r>
        <w:rPr>
          <w:rFonts w:ascii="Palatino Linotype" w:eastAsia="Palatino Linotype" w:hAnsi="Palatino Linotype" w:cs="Palatino Linotype"/>
          <w:i/>
          <w:color w:val="000000"/>
        </w:rPr>
        <w:t>La clasificación de información se realizará conforme a un análisis caso por caso, mediante la aplicación de la prueba de daño y de interés público.</w:t>
      </w:r>
    </w:p>
    <w:p w:rsidR="00F22C6F" w:rsidRDefault="00E462DA">
      <w:pPr>
        <w:spacing w:before="120" w:after="120"/>
        <w:ind w:left="709" w:right="1134"/>
        <w:jc w:val="both"/>
      </w:pPr>
      <w:r>
        <w:rPr>
          <w:rFonts w:ascii="Palatino Linotype" w:eastAsia="Palatino Linotype" w:hAnsi="Palatino Linotype" w:cs="Palatino Linotype"/>
          <w:b/>
          <w:i/>
          <w:color w:val="000000"/>
        </w:rPr>
        <w:t>Séptimo.</w:t>
      </w:r>
      <w:r>
        <w:rPr>
          <w:rFonts w:ascii="Palatino Linotype" w:eastAsia="Palatino Linotype" w:hAnsi="Palatino Linotype" w:cs="Palatino Linotype"/>
          <w:i/>
          <w:color w:val="000000"/>
        </w:rPr>
        <w:t xml:space="preserve"> La clasificación de la información se llevará a cabo en el momento en que:</w:t>
      </w:r>
    </w:p>
    <w:p w:rsidR="00F22C6F" w:rsidRDefault="00E462DA">
      <w:pPr>
        <w:spacing w:before="120" w:after="120"/>
        <w:ind w:left="709" w:right="1134"/>
        <w:jc w:val="both"/>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 reciba una solicitud de acceso a la información;</w:t>
      </w:r>
    </w:p>
    <w:p w:rsidR="00F22C6F" w:rsidRDefault="00E462DA">
      <w:pPr>
        <w:spacing w:before="120" w:after="120"/>
        <w:ind w:left="709" w:right="1134"/>
        <w:jc w:val="both"/>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Se determine mediante resolución de autoridad competente, o</w:t>
      </w:r>
    </w:p>
    <w:p w:rsidR="00F22C6F" w:rsidRDefault="00E462DA">
      <w:pPr>
        <w:spacing w:before="120" w:after="120"/>
        <w:ind w:left="709" w:right="1134"/>
        <w:jc w:val="both"/>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Se generen versiones públicas para dar cumplimiento a las obligaciones de transparencia previstas en la Ley General, la Ley Federal y las correspondientes de las entidades federativas.</w:t>
      </w:r>
    </w:p>
    <w:p w:rsidR="00F22C6F" w:rsidRDefault="00E462DA">
      <w:pPr>
        <w:spacing w:before="120" w:after="120"/>
        <w:ind w:left="709" w:right="1134"/>
        <w:jc w:val="both"/>
      </w:pPr>
      <w:r>
        <w:rPr>
          <w:rFonts w:ascii="Palatino Linotype" w:eastAsia="Palatino Linotype" w:hAnsi="Palatino Linotype" w:cs="Palatino Linotype"/>
          <w:i/>
          <w:color w:val="000000"/>
        </w:rPr>
        <w:t>Los titulares de las áreas deberán revisar la clasificación al momento de la recepción de una solicitud de acceso a la información, para verificar si encuadra en una causal de reserva o de confidencialidad.</w:t>
      </w:r>
    </w:p>
    <w:p w:rsidR="00F22C6F" w:rsidRDefault="00E462DA">
      <w:pPr>
        <w:spacing w:before="120" w:after="120"/>
        <w:ind w:left="709" w:right="1134"/>
        <w:jc w:val="both"/>
      </w:pPr>
      <w:r>
        <w:rPr>
          <w:rFonts w:ascii="Palatino Linotype" w:eastAsia="Palatino Linotype" w:hAnsi="Palatino Linotype" w:cs="Palatino Linotype"/>
          <w:b/>
          <w:i/>
          <w:color w:val="000000"/>
        </w:rPr>
        <w:t>Octavo.</w:t>
      </w:r>
      <w:r>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22C6F" w:rsidRDefault="00E462DA">
      <w:pPr>
        <w:spacing w:before="120" w:after="120"/>
        <w:ind w:left="709" w:right="1134"/>
        <w:jc w:val="both"/>
      </w:pPr>
      <w:r>
        <w:rPr>
          <w:rFonts w:ascii="Palatino Linotype" w:eastAsia="Palatino Linotype" w:hAnsi="Palatino Linotype" w:cs="Palatino Linotype"/>
          <w:i/>
          <w:color w:val="000000"/>
        </w:rPr>
        <w:t>Para motivar la clasificación se deberán señalar las razones o circunstancias especiales que lo llevaron a concluir que el caso particular se ajusta al supuesto previsto por la norma legal invocada como fundamento.</w:t>
      </w:r>
    </w:p>
    <w:p w:rsidR="00F22C6F" w:rsidRDefault="00E462DA">
      <w:pPr>
        <w:spacing w:before="120" w:after="120"/>
        <w:ind w:left="709" w:right="1134"/>
        <w:jc w:val="both"/>
      </w:pPr>
      <w:r>
        <w:rPr>
          <w:rFonts w:ascii="Palatino Linotype" w:eastAsia="Palatino Linotype" w:hAnsi="Palatino Linotype" w:cs="Palatino Linotype"/>
          <w:i/>
          <w:color w:val="000000"/>
        </w:rPr>
        <w:t>En caso de referirse a información reservada, la motivación de la clasificación también deberá comprender las circunstancias que justifican el establecimiento de determinado plazo de reserva.</w:t>
      </w:r>
    </w:p>
    <w:p w:rsidR="00F22C6F" w:rsidRDefault="00E462DA">
      <w:pPr>
        <w:spacing w:before="120" w:after="120"/>
        <w:ind w:left="709" w:right="1134"/>
        <w:jc w:val="both"/>
      </w:pPr>
      <w:r>
        <w:rPr>
          <w:rFonts w:ascii="Palatino Linotype" w:eastAsia="Palatino Linotype" w:hAnsi="Palatino Linotype" w:cs="Palatino Linotype"/>
          <w:i/>
          <w:color w:val="000000"/>
        </w:rPr>
        <w:t>Tratándose de información clasificada como confidencial respecto de la cual se haya determinado su conservación permanente por tener valor histórico, ésta conservará tal carácter de conformidad con la normativa aplicable en materia de archivos.</w:t>
      </w:r>
    </w:p>
    <w:p w:rsidR="00F22C6F" w:rsidRDefault="00E462DA">
      <w:pPr>
        <w:spacing w:before="120" w:after="120"/>
        <w:ind w:left="709" w:right="1134"/>
        <w:jc w:val="both"/>
      </w:pPr>
      <w:r>
        <w:rPr>
          <w:rFonts w:ascii="Palatino Linotype" w:eastAsia="Palatino Linotype" w:hAnsi="Palatino Linotype" w:cs="Palatino Linotype"/>
          <w:i/>
          <w:color w:val="000000"/>
        </w:rPr>
        <w:t>Los documentos contenidos en los archivos históricos y los identificados como históricos confidenciales no serán susceptibles de clasificación como reservados.</w:t>
      </w:r>
    </w:p>
    <w:p w:rsidR="00F22C6F" w:rsidRDefault="00E462DA">
      <w:pPr>
        <w:spacing w:before="120" w:after="120"/>
        <w:ind w:left="709" w:right="1134"/>
        <w:jc w:val="both"/>
      </w:pPr>
      <w:r>
        <w:rPr>
          <w:rFonts w:ascii="Palatino Linotype" w:eastAsia="Palatino Linotype" w:hAnsi="Palatino Linotype" w:cs="Palatino Linotype"/>
          <w:b/>
          <w:i/>
          <w:color w:val="000000"/>
        </w:rPr>
        <w:t>Noveno.</w:t>
      </w:r>
      <w:r>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áreas deberán elaborar una </w:t>
      </w:r>
      <w:r>
        <w:rPr>
          <w:rFonts w:ascii="Palatino Linotype" w:eastAsia="Palatino Linotype" w:hAnsi="Palatino Linotype" w:cs="Palatino Linotype"/>
          <w:i/>
          <w:color w:val="000000"/>
        </w:rPr>
        <w:lastRenderedPageBreak/>
        <w:t>versión pública fundando y motivando la clasificación de las partes o secciones que se testen, siguiendo los procedimientos establecidos en el Capítulo IX de los presentes lineamientos.</w:t>
      </w:r>
    </w:p>
    <w:p w:rsidR="00F22C6F" w:rsidRDefault="00E462DA">
      <w:pPr>
        <w:spacing w:before="120" w:after="120"/>
        <w:ind w:left="709" w:right="1134"/>
        <w:jc w:val="both"/>
      </w:pPr>
      <w:r>
        <w:rPr>
          <w:rFonts w:ascii="Palatino Linotype" w:eastAsia="Palatino Linotype" w:hAnsi="Palatino Linotype" w:cs="Palatino Linotype"/>
          <w:b/>
          <w:i/>
          <w:color w:val="000000"/>
        </w:rPr>
        <w:t>Décimo.</w:t>
      </w:r>
      <w:r>
        <w:rPr>
          <w:rFonts w:ascii="Palatino Linotype" w:eastAsia="Palatino Linotype" w:hAnsi="Palatino Linotype" w:cs="Palatino Linotype"/>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22C6F" w:rsidRDefault="00E462DA">
      <w:pPr>
        <w:spacing w:before="120" w:after="120"/>
        <w:ind w:left="709" w:right="1134"/>
        <w:jc w:val="both"/>
      </w:pPr>
      <w:r>
        <w:rPr>
          <w:rFonts w:ascii="Palatino Linotype" w:eastAsia="Palatino Linotype" w:hAnsi="Palatino Linotype" w:cs="Palatino Linotype"/>
          <w:i/>
          <w:color w:val="000000"/>
        </w:rPr>
        <w:t>En ausencia de los titulares de las áreas, la información será clasificada o desclasificada por la persona que lo supla, en términos de la normativa que rija la actuación del sujeto obligado.</w:t>
      </w:r>
    </w:p>
    <w:p w:rsidR="00F22C6F" w:rsidRDefault="00E462DA">
      <w:pPr>
        <w:spacing w:before="120" w:after="120"/>
        <w:ind w:left="709" w:right="1134"/>
        <w:jc w:val="both"/>
      </w:pPr>
      <w:r>
        <w:rPr>
          <w:rFonts w:ascii="Palatino Linotype" w:eastAsia="Palatino Linotype" w:hAnsi="Palatino Linotype" w:cs="Palatino Linotype"/>
          <w:b/>
          <w:i/>
          <w:color w:val="000000"/>
        </w:rPr>
        <w:t>Décimo primero.</w:t>
      </w:r>
      <w:r>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F22C6F" w:rsidRDefault="00E462DA">
      <w:pPr>
        <w:spacing w:before="240" w:after="240" w:line="360" w:lineRule="auto"/>
        <w:jc w:val="both"/>
        <w:rPr>
          <w:sz w:val="24"/>
          <w:szCs w:val="24"/>
        </w:rPr>
      </w:pPr>
      <w:r>
        <w:rPr>
          <w:rFonts w:ascii="Palatino Linotype" w:eastAsia="Palatino Linotype" w:hAnsi="Palatino Linotype" w:cs="Palatino Linotype"/>
          <w:color w:val="000000"/>
          <w:sz w:val="24"/>
          <w:szCs w:val="24"/>
        </w:rPr>
        <w:t>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tbl>
      <w:tblPr>
        <w:tblStyle w:val="a"/>
        <w:tblW w:w="8828" w:type="dxa"/>
        <w:tblInd w:w="0" w:type="dxa"/>
        <w:tblLayout w:type="fixed"/>
        <w:tblLook w:val="0400" w:firstRow="0" w:lastRow="0" w:firstColumn="0" w:lastColumn="0" w:noHBand="0" w:noVBand="1"/>
      </w:tblPr>
      <w:tblGrid>
        <w:gridCol w:w="1271"/>
        <w:gridCol w:w="3407"/>
        <w:gridCol w:w="1355"/>
        <w:gridCol w:w="2795"/>
      </w:tblGrid>
      <w:tr w:rsidR="00F22C6F">
        <w:tc>
          <w:tcPr>
            <w:tcW w:w="4678"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rsidR="00F22C6F" w:rsidRDefault="00E462DA">
            <w:pPr>
              <w:jc w:val="center"/>
            </w:pPr>
            <w:r>
              <w:rPr>
                <w:rFonts w:ascii="Palatino Linotype" w:eastAsia="Palatino Linotype" w:hAnsi="Palatino Linotype" w:cs="Palatino Linotype"/>
                <w:b/>
                <w:color w:val="000000"/>
                <w:sz w:val="12"/>
                <w:szCs w:val="12"/>
              </w:rPr>
              <w:t>Parcial</w:t>
            </w:r>
          </w:p>
        </w:tc>
        <w:tc>
          <w:tcPr>
            <w:tcW w:w="4150"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rsidR="00F22C6F" w:rsidRDefault="00E462DA">
            <w:pPr>
              <w:jc w:val="center"/>
            </w:pPr>
            <w:r>
              <w:rPr>
                <w:rFonts w:ascii="Palatino Linotype" w:eastAsia="Palatino Linotype" w:hAnsi="Palatino Linotype" w:cs="Palatino Linotype"/>
                <w:b/>
                <w:color w:val="000000"/>
                <w:sz w:val="12"/>
                <w:szCs w:val="12"/>
              </w:rPr>
              <w:t>Total</w:t>
            </w:r>
          </w:p>
        </w:tc>
      </w:tr>
      <w:tr w:rsidR="00F22C6F">
        <w:tc>
          <w:tcPr>
            <w:tcW w:w="1271"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center"/>
            </w:pPr>
            <w:r>
              <w:rPr>
                <w:rFonts w:ascii="Palatino Linotype" w:eastAsia="Palatino Linotype" w:hAnsi="Palatino Linotype" w:cs="Palatino Linotype"/>
                <w:b/>
                <w:color w:val="000000"/>
                <w:sz w:val="12"/>
                <w:szCs w:val="12"/>
              </w:rPr>
              <w:t>Concepto</w:t>
            </w:r>
          </w:p>
        </w:tc>
        <w:tc>
          <w:tcPr>
            <w:tcW w:w="3407"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center"/>
            </w:pPr>
            <w:r>
              <w:rPr>
                <w:rFonts w:ascii="Palatino Linotype" w:eastAsia="Palatino Linotype" w:hAnsi="Palatino Linotype" w:cs="Palatino Linotype"/>
                <w:b/>
                <w:color w:val="000000"/>
                <w:sz w:val="12"/>
                <w:szCs w:val="12"/>
              </w:rPr>
              <w:t>Dónde</w:t>
            </w:r>
          </w:p>
        </w:tc>
        <w:tc>
          <w:tcPr>
            <w:tcW w:w="135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center"/>
            </w:pPr>
            <w:r>
              <w:rPr>
                <w:rFonts w:ascii="Palatino Linotype" w:eastAsia="Palatino Linotype" w:hAnsi="Palatino Linotype" w:cs="Palatino Linotype"/>
                <w:b/>
                <w:color w:val="000000"/>
                <w:sz w:val="12"/>
                <w:szCs w:val="12"/>
              </w:rPr>
              <w:t>Concepto</w:t>
            </w:r>
          </w:p>
        </w:tc>
        <w:tc>
          <w:tcPr>
            <w:tcW w:w="279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center"/>
            </w:pPr>
            <w:r>
              <w:rPr>
                <w:rFonts w:ascii="Palatino Linotype" w:eastAsia="Palatino Linotype" w:hAnsi="Palatino Linotype" w:cs="Palatino Linotype"/>
                <w:b/>
                <w:color w:val="000000"/>
                <w:sz w:val="12"/>
                <w:szCs w:val="12"/>
              </w:rPr>
              <w:t>Dónde</w:t>
            </w:r>
          </w:p>
        </w:tc>
      </w:tr>
      <w:tr w:rsidR="00F22C6F">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center"/>
            </w:pPr>
            <w:r>
              <w:rPr>
                <w:rFonts w:ascii="Palatino Linotype" w:eastAsia="Palatino Linotype" w:hAnsi="Palatino Linotype" w:cs="Palatino Linotype"/>
                <w:b/>
                <w:color w:val="000000"/>
                <w:sz w:val="12"/>
                <w:szCs w:val="12"/>
              </w:rPr>
              <w:t>Sello oficial o logotipo del sujeto obligado</w:t>
            </w:r>
          </w:p>
        </w:tc>
      </w:tr>
      <w:tr w:rsidR="00F22C6F">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Fecha de 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Fecha de clasificación</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F22C6F">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señalará el nombre del área del cual es titular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Área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señalará el nombre del área de la cual es el titular quien clasifica.</w:t>
            </w:r>
          </w:p>
        </w:tc>
      </w:tr>
      <w:tr w:rsidR="00F22C6F">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Información reservada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Reservado</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Leyenda de información RESERVADA.</w:t>
            </w:r>
          </w:p>
        </w:tc>
      </w:tr>
      <w:tr w:rsidR="00F22C6F">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lastRenderedPageBreak/>
              <w:t>Fundamento legal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anotará el número de años o meses por los que se mantendrá el documento o las partes del mismo como reservado. Si el expediente no es reservado, sino confidencial, deberá tacharse este apartado.</w:t>
            </w:r>
          </w:p>
        </w:tc>
      </w:tr>
      <w:tr w:rsidR="00F22C6F">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Ampliación del periodo de reserva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Fundamento legal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sustenta la reserva.</w:t>
            </w:r>
          </w:p>
        </w:tc>
      </w:tr>
      <w:tr w:rsidR="00F22C6F">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Confidencial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Ampliación del 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r>
      <w:tr w:rsidR="00F22C6F">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Fundamento legal</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confidencialidad.</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Confidencial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Leyenda de información CONFIDENCIAL.</w:t>
            </w:r>
          </w:p>
        </w:tc>
      </w:tr>
      <w:tr w:rsidR="00F22C6F">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Rúbrica del titular del 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Rúbrica autógrafa de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Fundamento legal</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sustente la confidencialidad.</w:t>
            </w:r>
          </w:p>
        </w:tc>
      </w:tr>
      <w:tr w:rsidR="00F22C6F">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Fecha de desclasificación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anotará la fecha en que se desclasifica el documento.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Rúbrica del titular del área</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Rúbrica autógrafa de quien clasifica.</w:t>
            </w:r>
          </w:p>
        </w:tc>
      </w:tr>
      <w:tr w:rsidR="00F22C6F">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Rúbrica y cargo del servidor público</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Rúbrica autógrafa de quien desclasifica.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Fecha de desclasificación</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Se anotará la fecha en que se desclasifica.</w:t>
            </w:r>
          </w:p>
        </w:tc>
      </w:tr>
      <w:tr w:rsidR="00F22C6F">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F22C6F"/>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F22C6F"/>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Partes o secciones reservadas o confidenciales</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En caso que una vez desclasificado el expediente, subsistanpartes o secciones del mismo reservadas o confidenciales, se señalará este hecho.</w:t>
            </w:r>
          </w:p>
        </w:tc>
      </w:tr>
      <w:tr w:rsidR="00F22C6F">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F22C6F"/>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F22C6F"/>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b/>
                <w:color w:val="000000"/>
                <w:sz w:val="12"/>
                <w:szCs w:val="12"/>
              </w:rPr>
              <w:t>Rúbrica y cargo del servidor público</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2C6F" w:rsidRDefault="00E462DA">
            <w:pPr>
              <w:jc w:val="both"/>
            </w:pPr>
            <w:r>
              <w:rPr>
                <w:rFonts w:ascii="Palatino Linotype" w:eastAsia="Palatino Linotype" w:hAnsi="Palatino Linotype" w:cs="Palatino Linotype"/>
                <w:color w:val="000000"/>
                <w:sz w:val="12"/>
                <w:szCs w:val="12"/>
              </w:rPr>
              <w:t>Rúbrica autógrafa de quien desclasifica.</w:t>
            </w:r>
          </w:p>
        </w:tc>
      </w:tr>
    </w:tbl>
    <w:p w:rsidR="00F22C6F" w:rsidRDefault="00F22C6F">
      <w:pPr>
        <w:spacing w:after="240" w:line="360" w:lineRule="auto"/>
        <w:jc w:val="both"/>
        <w:rPr>
          <w:rFonts w:ascii="Palatino Linotype" w:eastAsia="Palatino Linotype" w:hAnsi="Palatino Linotype" w:cs="Palatino Linotype"/>
          <w:sz w:val="24"/>
          <w:szCs w:val="24"/>
        </w:rPr>
      </w:pPr>
    </w:p>
    <w:p w:rsidR="00F22C6F" w:rsidRDefault="00E462DA">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F22C6F" w:rsidRDefault="00E462DA">
      <w:pPr>
        <w:spacing w:before="240" w:after="240" w:line="360" w:lineRule="auto"/>
        <w:ind w:right="-93"/>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rsidR="00F22C6F" w:rsidRDefault="00E462DA">
      <w:pPr>
        <w:spacing w:before="240" w:after="240" w:line="360" w:lineRule="auto"/>
        <w:ind w:right="49"/>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sz w:val="24"/>
          <w:szCs w:val="24"/>
        </w:rPr>
        <w:lastRenderedPageBreak/>
        <w:t xml:space="preserve">PRIMERO. </w:t>
      </w:r>
      <w:r>
        <w:rPr>
          <w:rFonts w:ascii="Palatino Linotype" w:eastAsia="Palatino Linotype" w:hAnsi="Palatino Linotype" w:cs="Palatino Linotype"/>
          <w:color w:val="222222"/>
          <w:sz w:val="24"/>
          <w:szCs w:val="24"/>
          <w:highlight w:val="white"/>
        </w:rPr>
        <w:t xml:space="preserve">Resultan </w:t>
      </w:r>
      <w:r>
        <w:rPr>
          <w:rFonts w:ascii="Palatino Linotype" w:eastAsia="Palatino Linotype" w:hAnsi="Palatino Linotype" w:cs="Palatino Linotype"/>
          <w:color w:val="000000"/>
          <w:sz w:val="24"/>
          <w:szCs w:val="24"/>
        </w:rPr>
        <w:t>parcialmente</w:t>
      </w:r>
      <w:r>
        <w:rPr>
          <w:rFonts w:ascii="Palatino Linotype" w:eastAsia="Palatino Linotype" w:hAnsi="Palatino Linotype" w:cs="Palatino Linotype"/>
          <w:color w:val="222222"/>
          <w:sz w:val="24"/>
          <w:szCs w:val="24"/>
        </w:rPr>
        <w:t xml:space="preserve"> f</w:t>
      </w:r>
      <w:r>
        <w:rPr>
          <w:rFonts w:ascii="Palatino Linotype" w:eastAsia="Palatino Linotype" w:hAnsi="Palatino Linotype" w:cs="Palatino Linotype"/>
          <w:color w:val="222222"/>
          <w:sz w:val="24"/>
          <w:szCs w:val="24"/>
          <w:highlight w:val="white"/>
        </w:rPr>
        <w:t xml:space="preserve">undados los motivos de inconformidad aducidos por el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en el recurso de revisión </w:t>
      </w:r>
      <w:r>
        <w:rPr>
          <w:rFonts w:ascii="Palatino Linotype" w:eastAsia="Palatino Linotype" w:hAnsi="Palatino Linotype" w:cs="Palatino Linotype"/>
          <w:b/>
          <w:color w:val="222222"/>
          <w:sz w:val="24"/>
          <w:szCs w:val="24"/>
          <w:highlight w:val="white"/>
        </w:rPr>
        <w:t xml:space="preserve">00884/INFOEM/IP/RR/2022 </w:t>
      </w:r>
      <w:r>
        <w:rPr>
          <w:rFonts w:ascii="Palatino Linotype" w:eastAsia="Palatino Linotype" w:hAnsi="Palatino Linotype" w:cs="Palatino Linotype"/>
          <w:color w:val="222222"/>
          <w:sz w:val="24"/>
          <w:szCs w:val="24"/>
          <w:highlight w:val="white"/>
        </w:rPr>
        <w:t xml:space="preserve">por lo que, en términos del Considerando Cuarto de esta resolución, se </w:t>
      </w:r>
      <w:r>
        <w:rPr>
          <w:rFonts w:ascii="Palatino Linotype" w:eastAsia="Palatino Linotype" w:hAnsi="Palatino Linotype" w:cs="Palatino Linotype"/>
          <w:b/>
          <w:color w:val="222222"/>
          <w:sz w:val="24"/>
          <w:szCs w:val="24"/>
          <w:highlight w:val="white"/>
        </w:rPr>
        <w:t>MODIFICA</w:t>
      </w:r>
      <w:r>
        <w:rPr>
          <w:rFonts w:ascii="Palatino Linotype" w:eastAsia="Palatino Linotype" w:hAnsi="Palatino Linotype" w:cs="Palatino Linotype"/>
          <w:color w:val="222222"/>
          <w:sz w:val="24"/>
          <w:szCs w:val="24"/>
          <w:highlight w:val="white"/>
        </w:rPr>
        <w:t xml:space="preserve"> la respuesta del </w:t>
      </w:r>
      <w:r>
        <w:rPr>
          <w:rFonts w:ascii="Palatino Linotype" w:eastAsia="Palatino Linotype" w:hAnsi="Palatino Linotype" w:cs="Palatino Linotype"/>
          <w:b/>
          <w:color w:val="222222"/>
          <w:sz w:val="24"/>
          <w:szCs w:val="24"/>
          <w:highlight w:val="white"/>
        </w:rPr>
        <w:t>SUJETO OBLIGADO.</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ORDENA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que en términos de los Considerandos Cuarto y Quinto de esta resolución haga entrega al recurrente a través del SAIMEX, en versión pública, del soporte documental en donde conste lo siguiente:</w:t>
      </w:r>
    </w:p>
    <w:p w:rsidR="00F22C6F" w:rsidRDefault="00E462DA">
      <w:pPr>
        <w:spacing w:line="360" w:lineRule="auto"/>
        <w:jc w:val="both"/>
        <w:rPr>
          <w:rFonts w:ascii="Palatino Linotype" w:eastAsia="Palatino Linotype" w:hAnsi="Palatino Linotype" w:cs="Palatino Linotype"/>
          <w:sz w:val="24"/>
          <w:szCs w:val="24"/>
        </w:rPr>
      </w:pPr>
      <w:bookmarkStart w:id="1" w:name="_heading=h.gjdgxs" w:colFirst="0" w:colLast="0"/>
      <w:bookmarkEnd w:id="1"/>
      <w:r>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ab/>
        <w:t xml:space="preserve">El nombre o denominación del programa social que se denunció, y en su caso las sanciones impuestas, de las denuncias señaladas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su respuesta referente a los años 2017, 2018, 2020 y 2021, conforme a lo siguiente: </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w:t>
      </w:r>
      <w:r>
        <w:rPr>
          <w:rFonts w:ascii="Palatino Linotype" w:eastAsia="Palatino Linotype" w:hAnsi="Palatino Linotype" w:cs="Palatino Linotype"/>
          <w:sz w:val="24"/>
          <w:szCs w:val="24"/>
        </w:rPr>
        <w:tab/>
        <w:t>Relacionados con procedimientos concluidos por faltas graves condenatorias y que hayan causado estado.</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2.</w:t>
      </w:r>
      <w:r>
        <w:rPr>
          <w:rFonts w:ascii="Palatino Linotype" w:eastAsia="Palatino Linotype" w:hAnsi="Palatino Linotype" w:cs="Palatino Linotype"/>
          <w:sz w:val="24"/>
          <w:szCs w:val="24"/>
        </w:rPr>
        <w:tab/>
        <w:t>Relacionados con procedimientos por faltas graves absolutorias y que hayan causado estado (clasificando como confidencial el nombre y cargo).</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3.</w:t>
      </w:r>
      <w:r>
        <w:rPr>
          <w:rFonts w:ascii="Palatino Linotype" w:eastAsia="Palatino Linotype" w:hAnsi="Palatino Linotype" w:cs="Palatino Linotype"/>
          <w:sz w:val="24"/>
          <w:szCs w:val="24"/>
        </w:rPr>
        <w:tab/>
        <w:t>Relacionados con procedimientos concluidos por faltas no graves (clasificando como confidencial el nombre,  cargo y sanción).</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Debiendo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w:t>
      </w:r>
      <w:r>
        <w:rPr>
          <w:rFonts w:ascii="Palatino Linotype" w:eastAsia="Palatino Linotype" w:hAnsi="Palatino Linotype" w:cs="Palatino Linotype"/>
          <w:sz w:val="24"/>
          <w:szCs w:val="24"/>
        </w:rPr>
        <w:lastRenderedPageBreak/>
        <w:t>pongan a disposición de la parte recurrente, mismo que igualmente hará de su conocimiento.</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4.</w:t>
      </w:r>
      <w:r>
        <w:rPr>
          <w:rFonts w:ascii="Palatino Linotype" w:eastAsia="Palatino Linotype" w:hAnsi="Palatino Linotype" w:cs="Palatino Linotype"/>
          <w:sz w:val="24"/>
          <w:szCs w:val="24"/>
        </w:rPr>
        <w:tab/>
        <w:t>Acuerdo mediante el cual se clasifiquen como reservados los documentos donde conste lo solicitado relacionado con procedimientos por faltas no graves en trámite.</w:t>
      </w:r>
    </w:p>
    <w:p w:rsidR="00F22C6F" w:rsidRDefault="00E462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5. Acuerdo mediante el cual se clasifique(n) como reservado(s), el o los acuerdos de los procedimientos por faltas graves que no hayan causado estado, siempre y cuando no se configure alguno de los supuestos contemplados en el artículo 142 de la Ley de la materia, en caso contrario deberá hacer entrega de los mismos en versión pública, conforme a lo establecido en considerando quinto de la presente resolución.</w:t>
      </w:r>
    </w:p>
    <w:p w:rsidR="00F22C6F" w:rsidRDefault="00E462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sz w:val="24"/>
          <w:szCs w:val="24"/>
        </w:rPr>
        <w:t> </w:t>
      </w:r>
      <w:r>
        <w:rPr>
          <w:rFonts w:ascii="Palatino Linotype" w:eastAsia="Palatino Linotype" w:hAnsi="Palatino Linotype" w:cs="Palatino Linotype"/>
          <w:b/>
          <w:sz w:val="24"/>
          <w:szCs w:val="24"/>
        </w:rPr>
        <w:t xml:space="preserve">NOTIFÍQUESE vía SAIMEX </w:t>
      </w:r>
      <w:r>
        <w:rPr>
          <w:rFonts w:ascii="Palatino Linotype" w:eastAsia="Palatino Linotype" w:hAnsi="Palatino Linotype" w:cs="Palatino Linotype"/>
          <w:sz w:val="24"/>
          <w:szCs w:val="24"/>
        </w:rPr>
        <w:t>la presente resolución al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22C6F" w:rsidRDefault="00E462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22C6F" w:rsidRDefault="00E462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QUINTO. </w:t>
      </w:r>
      <w:r>
        <w:rPr>
          <w:rFonts w:ascii="Palatino Linotype" w:eastAsia="Palatino Linotype" w:hAnsi="Palatino Linotype" w:cs="Palatino Linotype"/>
          <w:sz w:val="24"/>
          <w:szCs w:val="24"/>
        </w:rPr>
        <w:t xml:space="preserve">Notifíquese 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 la parte recurrente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F22C6F" w:rsidRDefault="00E462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EB7EE6">
        <w:rPr>
          <w:rFonts w:ascii="Palatino Linotype" w:eastAsia="Palatino Linotype" w:hAnsi="Palatino Linotype" w:cs="Palatino Linotype"/>
          <w:sz w:val="24"/>
          <w:szCs w:val="24"/>
        </w:rPr>
        <w:t xml:space="preserve"> EMITIENDO VOTO PARTICULAR</w:t>
      </w:r>
      <w:r>
        <w:rPr>
          <w:rFonts w:ascii="Palatino Linotype" w:eastAsia="Palatino Linotype" w:hAnsi="Palatino Linotype" w:cs="Palatino Linotype"/>
          <w:sz w:val="24"/>
          <w:szCs w:val="24"/>
        </w:rPr>
        <w:t>, SHARON CRISTINA MORALES MARTÍNEZ, LUIS GUSTAVO PARRA NORIEGA</w:t>
      </w:r>
      <w:r w:rsidR="00EB7EE6">
        <w:rPr>
          <w:rFonts w:ascii="Palatino Linotype" w:eastAsia="Palatino Linotype" w:hAnsi="Palatino Linotype" w:cs="Palatino Linotype"/>
          <w:sz w:val="24"/>
          <w:szCs w:val="24"/>
        </w:rPr>
        <w:t xml:space="preserve"> EMITIENDO VOTO PARTICULAR</w:t>
      </w:r>
      <w:r>
        <w:rPr>
          <w:rFonts w:ascii="Palatino Linotype" w:eastAsia="Palatino Linotype" w:hAnsi="Palatino Linotype" w:cs="Palatino Linotype"/>
          <w:sz w:val="24"/>
          <w:szCs w:val="24"/>
        </w:rPr>
        <w:t xml:space="preserve"> Y GUADALUPE RAMÍREZ PEÑA; EN LA DÉCIMA SEXTA SESIÓN ORDINARIA CELEBRADA EL CUATRO DE MAYO DE DOS MIL VEINTIDÓS, ANTE EL SECRETARIO TÉCNICO DEL PLENO ALEXIS TAPIA RAMÍREZ.</w:t>
      </w:r>
    </w:p>
    <w:p w:rsidR="00F22C6F" w:rsidRDefault="00F22C6F">
      <w:pPr>
        <w:tabs>
          <w:tab w:val="left" w:pos="923"/>
        </w:tabs>
        <w:spacing w:line="360" w:lineRule="auto"/>
        <w:jc w:val="both"/>
        <w:rPr>
          <w:rFonts w:ascii="Palatino Linotype" w:eastAsia="Palatino Linotype" w:hAnsi="Palatino Linotype" w:cs="Palatino Linotype"/>
          <w:sz w:val="24"/>
          <w:szCs w:val="24"/>
        </w:rPr>
      </w:pPr>
    </w:p>
    <w:p w:rsidR="00B52A08" w:rsidRDefault="00B52A08">
      <w:pPr>
        <w:tabs>
          <w:tab w:val="left" w:pos="923"/>
        </w:tabs>
        <w:spacing w:line="360" w:lineRule="auto"/>
        <w:jc w:val="both"/>
        <w:rPr>
          <w:rFonts w:ascii="Palatino Linotype" w:eastAsia="Palatino Linotype" w:hAnsi="Palatino Linotype" w:cs="Palatino Linotype"/>
          <w:sz w:val="24"/>
          <w:szCs w:val="24"/>
        </w:rPr>
      </w:pPr>
    </w:p>
    <w:p w:rsidR="00B52A08" w:rsidRDefault="00B52A08">
      <w:pPr>
        <w:tabs>
          <w:tab w:val="left" w:pos="923"/>
        </w:tabs>
        <w:spacing w:line="360" w:lineRule="auto"/>
        <w:jc w:val="both"/>
        <w:rPr>
          <w:rFonts w:ascii="Palatino Linotype" w:eastAsia="Palatino Linotype" w:hAnsi="Palatino Linotype" w:cs="Palatino Linotype"/>
          <w:sz w:val="24"/>
          <w:szCs w:val="24"/>
        </w:rPr>
      </w:pPr>
    </w:p>
    <w:p w:rsidR="00B52A08" w:rsidRDefault="00B52A08">
      <w:pPr>
        <w:tabs>
          <w:tab w:val="left" w:pos="923"/>
        </w:tabs>
        <w:spacing w:line="360" w:lineRule="auto"/>
        <w:jc w:val="both"/>
        <w:rPr>
          <w:rFonts w:ascii="Palatino Linotype" w:eastAsia="Palatino Linotype" w:hAnsi="Palatino Linotype" w:cs="Palatino Linotype"/>
          <w:sz w:val="24"/>
          <w:szCs w:val="24"/>
        </w:rPr>
      </w:pPr>
    </w:p>
    <w:p w:rsidR="00B52A08" w:rsidRDefault="00B52A08">
      <w:pPr>
        <w:tabs>
          <w:tab w:val="left" w:pos="923"/>
        </w:tabs>
        <w:spacing w:line="360" w:lineRule="auto"/>
        <w:jc w:val="both"/>
        <w:rPr>
          <w:rFonts w:ascii="Palatino Linotype" w:eastAsia="Palatino Linotype" w:hAnsi="Palatino Linotype" w:cs="Palatino Linotype"/>
          <w:sz w:val="24"/>
          <w:szCs w:val="24"/>
        </w:rPr>
      </w:pPr>
    </w:p>
    <w:p w:rsidR="00B52A08" w:rsidRDefault="00B52A08">
      <w:pPr>
        <w:tabs>
          <w:tab w:val="left" w:pos="923"/>
        </w:tabs>
        <w:spacing w:line="360" w:lineRule="auto"/>
        <w:jc w:val="both"/>
        <w:rPr>
          <w:rFonts w:ascii="Palatino Linotype" w:eastAsia="Palatino Linotype" w:hAnsi="Palatino Linotype" w:cs="Palatino Linotype"/>
          <w:sz w:val="24"/>
          <w:szCs w:val="24"/>
        </w:rPr>
      </w:pPr>
    </w:p>
    <w:p w:rsidR="00B52A08" w:rsidRDefault="00B52A08">
      <w:pPr>
        <w:tabs>
          <w:tab w:val="left" w:pos="923"/>
        </w:tabs>
        <w:spacing w:line="360" w:lineRule="auto"/>
        <w:jc w:val="both"/>
        <w:rPr>
          <w:rFonts w:ascii="Palatino Linotype" w:eastAsia="Palatino Linotype" w:hAnsi="Palatino Linotype" w:cs="Palatino Linotype"/>
          <w:sz w:val="24"/>
          <w:szCs w:val="24"/>
        </w:rPr>
      </w:pPr>
    </w:p>
    <w:p w:rsidR="00B52A08" w:rsidRDefault="00B52A08">
      <w:pPr>
        <w:tabs>
          <w:tab w:val="left" w:pos="923"/>
        </w:tabs>
        <w:spacing w:line="360" w:lineRule="auto"/>
        <w:jc w:val="both"/>
        <w:rPr>
          <w:rFonts w:ascii="Palatino Linotype" w:eastAsia="Palatino Linotype" w:hAnsi="Palatino Linotype" w:cs="Palatino Linotype"/>
          <w:sz w:val="24"/>
          <w:szCs w:val="24"/>
        </w:rPr>
      </w:pPr>
    </w:p>
    <w:sectPr w:rsidR="00B52A08">
      <w:headerReference w:type="default" r:id="rId20"/>
      <w:footerReference w:type="default" r:id="rId21"/>
      <w:headerReference w:type="first" r:id="rId22"/>
      <w:footerReference w:type="first" r:id="rId23"/>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CA8" w:rsidRDefault="00553CA8">
      <w:pPr>
        <w:spacing w:after="0" w:line="240" w:lineRule="auto"/>
      </w:pPr>
      <w:r>
        <w:separator/>
      </w:r>
    </w:p>
  </w:endnote>
  <w:endnote w:type="continuationSeparator" w:id="0">
    <w:p w:rsidR="00553CA8" w:rsidRDefault="00553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6F" w:rsidRDefault="00E462D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A11F0">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A11F0">
      <w:rPr>
        <w:rFonts w:ascii="Arial" w:eastAsia="Arial" w:hAnsi="Arial" w:cs="Arial"/>
        <w:b/>
        <w:noProof/>
        <w:color w:val="000000"/>
        <w:sz w:val="20"/>
        <w:szCs w:val="20"/>
      </w:rPr>
      <w:t>86</w:t>
    </w:r>
    <w:r>
      <w:rPr>
        <w:rFonts w:ascii="Arial" w:eastAsia="Arial" w:hAnsi="Arial" w:cs="Arial"/>
        <w:b/>
        <w:color w:val="000000"/>
        <w:sz w:val="20"/>
        <w:szCs w:val="20"/>
      </w:rPr>
      <w:fldChar w:fldCharType="end"/>
    </w:r>
  </w:p>
  <w:p w:rsidR="00F22C6F" w:rsidRDefault="00F22C6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6F" w:rsidRDefault="00E462D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A11F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A11F0">
      <w:rPr>
        <w:rFonts w:ascii="Arial" w:eastAsia="Arial" w:hAnsi="Arial" w:cs="Arial"/>
        <w:b/>
        <w:noProof/>
        <w:color w:val="000000"/>
        <w:sz w:val="20"/>
        <w:szCs w:val="20"/>
      </w:rPr>
      <w:t>86</w:t>
    </w:r>
    <w:r>
      <w:rPr>
        <w:rFonts w:ascii="Arial" w:eastAsia="Arial" w:hAnsi="Arial" w:cs="Arial"/>
        <w:b/>
        <w:color w:val="000000"/>
        <w:sz w:val="20"/>
        <w:szCs w:val="20"/>
      </w:rPr>
      <w:fldChar w:fldCharType="end"/>
    </w:r>
  </w:p>
  <w:p w:rsidR="00F22C6F" w:rsidRDefault="00F22C6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CA8" w:rsidRDefault="00553CA8">
      <w:pPr>
        <w:spacing w:after="0" w:line="240" w:lineRule="auto"/>
      </w:pPr>
      <w:r>
        <w:separator/>
      </w:r>
    </w:p>
  </w:footnote>
  <w:footnote w:type="continuationSeparator" w:id="0">
    <w:p w:rsidR="00553CA8" w:rsidRDefault="00553CA8">
      <w:pPr>
        <w:spacing w:after="0" w:line="240" w:lineRule="auto"/>
      </w:pPr>
      <w:r>
        <w:continuationSeparator/>
      </w:r>
    </w:p>
  </w:footnote>
  <w:footnote w:id="1">
    <w:p w:rsidR="00F22C6F" w:rsidRDefault="00E462DA">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2">
    <w:p w:rsidR="00F22C6F" w:rsidRDefault="00E462DA">
      <w:pPr>
        <w:spacing w:after="0" w:line="240" w:lineRule="auto"/>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F22C6F" w:rsidRDefault="00E462DA">
      <w:pP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páginas 71 y 72 de la contradicción de tesis 200/2013, específicamente los epígrafes 84, 85 y 87. </w:t>
      </w:r>
    </w:p>
  </w:footnote>
  <w:footnote w:id="4">
    <w:p w:rsidR="00F22C6F" w:rsidRDefault="00E462DA">
      <w:pP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supra. Página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6F" w:rsidRDefault="00F22C6F">
    <w:pPr>
      <w:widowControl w:val="0"/>
      <w:pBdr>
        <w:top w:val="nil"/>
        <w:left w:val="nil"/>
        <w:bottom w:val="nil"/>
        <w:right w:val="nil"/>
        <w:between w:val="nil"/>
      </w:pBdr>
      <w:spacing w:after="0" w:line="276" w:lineRule="auto"/>
      <w:rPr>
        <w:color w:val="000000"/>
      </w:rPr>
    </w:pPr>
  </w:p>
  <w:tbl>
    <w:tblPr>
      <w:tblStyle w:val="a1"/>
      <w:tblW w:w="10637" w:type="dxa"/>
      <w:tblInd w:w="-1281" w:type="dxa"/>
      <w:tblLayout w:type="fixed"/>
      <w:tblLook w:val="0400" w:firstRow="0" w:lastRow="0" w:firstColumn="0" w:lastColumn="0" w:noHBand="0" w:noVBand="1"/>
    </w:tblPr>
    <w:tblGrid>
      <w:gridCol w:w="5660"/>
      <w:gridCol w:w="4977"/>
    </w:tblGrid>
    <w:tr w:rsidR="00F22C6F">
      <w:trPr>
        <w:trHeight w:val="260"/>
      </w:trPr>
      <w:tc>
        <w:tcPr>
          <w:tcW w:w="5660" w:type="dxa"/>
        </w:tcPr>
        <w:p w:rsidR="00F22C6F" w:rsidRDefault="00E462D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77" w:type="dxa"/>
        </w:tcPr>
        <w:p w:rsidR="00F22C6F" w:rsidRDefault="00E462D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00884/INFOEM/IP/RR/2022</w:t>
          </w:r>
        </w:p>
      </w:tc>
    </w:tr>
    <w:tr w:rsidR="00F22C6F">
      <w:trPr>
        <w:trHeight w:val="278"/>
      </w:trPr>
      <w:tc>
        <w:tcPr>
          <w:tcW w:w="5660" w:type="dxa"/>
        </w:tcPr>
        <w:p w:rsidR="00F22C6F" w:rsidRDefault="00E462D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77" w:type="dxa"/>
        </w:tcPr>
        <w:p w:rsidR="00F22C6F" w:rsidRDefault="00E462DA">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Secretaría de la Contraloría.</w:t>
          </w:r>
        </w:p>
      </w:tc>
    </w:tr>
    <w:tr w:rsidR="00F22C6F">
      <w:trPr>
        <w:trHeight w:val="393"/>
      </w:trPr>
      <w:tc>
        <w:tcPr>
          <w:tcW w:w="5660" w:type="dxa"/>
        </w:tcPr>
        <w:p w:rsidR="00F22C6F" w:rsidRDefault="00E462D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77" w:type="dxa"/>
        </w:tcPr>
        <w:p w:rsidR="00F22C6F" w:rsidRDefault="00E462D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F22C6F" w:rsidRDefault="00E462D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-1222374</wp:posOffset>
          </wp:positionH>
          <wp:positionV relativeFrom="paragraph">
            <wp:posOffset>-1397634</wp:posOffset>
          </wp:positionV>
          <wp:extent cx="7924800" cy="10133330"/>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6F" w:rsidRDefault="00F22C6F">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0"/>
        <w:szCs w:val="20"/>
      </w:rPr>
    </w:pPr>
  </w:p>
  <w:tbl>
    <w:tblPr>
      <w:tblStyle w:val="a0"/>
      <w:tblW w:w="10637" w:type="dxa"/>
      <w:tblInd w:w="-1281" w:type="dxa"/>
      <w:tblLayout w:type="fixed"/>
      <w:tblLook w:val="0400" w:firstRow="0" w:lastRow="0" w:firstColumn="0" w:lastColumn="0" w:noHBand="0" w:noVBand="1"/>
    </w:tblPr>
    <w:tblGrid>
      <w:gridCol w:w="5660"/>
      <w:gridCol w:w="4977"/>
    </w:tblGrid>
    <w:tr w:rsidR="00F22C6F">
      <w:trPr>
        <w:trHeight w:val="260"/>
      </w:trPr>
      <w:tc>
        <w:tcPr>
          <w:tcW w:w="5660" w:type="dxa"/>
        </w:tcPr>
        <w:p w:rsidR="00F22C6F" w:rsidRDefault="00E462D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77" w:type="dxa"/>
        </w:tcPr>
        <w:p w:rsidR="00F22C6F" w:rsidRDefault="00E462D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00884/INFOEM/IP/RR/2022</w:t>
          </w:r>
        </w:p>
      </w:tc>
    </w:tr>
    <w:tr w:rsidR="00F22C6F">
      <w:trPr>
        <w:trHeight w:val="224"/>
      </w:trPr>
      <w:tc>
        <w:tcPr>
          <w:tcW w:w="5660" w:type="dxa"/>
        </w:tcPr>
        <w:p w:rsidR="00F22C6F" w:rsidRDefault="00E462D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77" w:type="dxa"/>
        </w:tcPr>
        <w:p w:rsidR="00F22C6F" w:rsidRDefault="00F22C6F">
          <w:pPr>
            <w:spacing w:after="120"/>
            <w:ind w:left="-486" w:right="214" w:firstLine="567"/>
            <w:jc w:val="right"/>
            <w:rPr>
              <w:rFonts w:ascii="Palatino Linotype" w:eastAsia="Palatino Linotype" w:hAnsi="Palatino Linotype" w:cs="Palatino Linotype"/>
              <w:sz w:val="24"/>
              <w:szCs w:val="24"/>
            </w:rPr>
          </w:pPr>
        </w:p>
      </w:tc>
    </w:tr>
    <w:tr w:rsidR="00F22C6F">
      <w:trPr>
        <w:trHeight w:val="278"/>
      </w:trPr>
      <w:tc>
        <w:tcPr>
          <w:tcW w:w="5660" w:type="dxa"/>
        </w:tcPr>
        <w:p w:rsidR="00F22C6F" w:rsidRDefault="00E462D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77" w:type="dxa"/>
        </w:tcPr>
        <w:p w:rsidR="00F22C6F" w:rsidRDefault="00E462DA">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Secretaría de la Contraloría.</w:t>
          </w:r>
        </w:p>
      </w:tc>
    </w:tr>
    <w:tr w:rsidR="00F22C6F">
      <w:trPr>
        <w:trHeight w:val="393"/>
      </w:trPr>
      <w:tc>
        <w:tcPr>
          <w:tcW w:w="5660" w:type="dxa"/>
        </w:tcPr>
        <w:p w:rsidR="00F22C6F" w:rsidRDefault="00E462D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77" w:type="dxa"/>
        </w:tcPr>
        <w:p w:rsidR="00F22C6F" w:rsidRDefault="00E462D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F22C6F" w:rsidRDefault="00E462D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-1022349</wp:posOffset>
          </wp:positionH>
          <wp:positionV relativeFrom="paragraph">
            <wp:posOffset>-1607184</wp:posOffset>
          </wp:positionV>
          <wp:extent cx="7924800" cy="10133330"/>
          <wp:effectExtent l="0" t="0" r="0" b="0"/>
          <wp:wrapNone/>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21502"/>
    <w:multiLevelType w:val="multilevel"/>
    <w:tmpl w:val="3FFE58A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591B3356"/>
    <w:multiLevelType w:val="multilevel"/>
    <w:tmpl w:val="5792158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C4F0DB5"/>
    <w:multiLevelType w:val="multilevel"/>
    <w:tmpl w:val="301AAD1C"/>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CD0A5F"/>
    <w:multiLevelType w:val="multilevel"/>
    <w:tmpl w:val="42181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C6F"/>
    <w:rsid w:val="00553CA8"/>
    <w:rsid w:val="007F2614"/>
    <w:rsid w:val="00B52A08"/>
    <w:rsid w:val="00BA11F0"/>
    <w:rsid w:val="00E462DA"/>
    <w:rsid w:val="00EB7EE6"/>
    <w:rsid w:val="00F22C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138FDF-69D5-4C44-9442-D74C93D28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B4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F52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524E"/>
  </w:style>
  <w:style w:type="paragraph" w:styleId="Piedepgina">
    <w:name w:val="footer"/>
    <w:basedOn w:val="Normal"/>
    <w:link w:val="PiedepginaCar"/>
    <w:uiPriority w:val="99"/>
    <w:unhideWhenUsed/>
    <w:rsid w:val="007F52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524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F524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F524E"/>
  </w:style>
  <w:style w:type="character" w:styleId="Hipervnculo">
    <w:name w:val="Hyperlink"/>
    <w:basedOn w:val="Fuentedeprrafopredeter"/>
    <w:uiPriority w:val="99"/>
    <w:unhideWhenUsed/>
    <w:rsid w:val="00F058F5"/>
    <w:rPr>
      <w:color w:val="0000FF"/>
      <w:u w:val="single"/>
    </w:rPr>
  </w:style>
  <w:style w:type="character" w:styleId="Hipervnculovisitado">
    <w:name w:val="FollowedHyperlink"/>
    <w:basedOn w:val="Fuentedeprrafopredeter"/>
    <w:uiPriority w:val="99"/>
    <w:semiHidden/>
    <w:unhideWhenUsed/>
    <w:rsid w:val="008C0EB9"/>
    <w:rPr>
      <w:color w:val="954F72" w:themeColor="followedHyperlink"/>
      <w:u w:val="single"/>
    </w:rPr>
  </w:style>
  <w:style w:type="paragraph" w:styleId="NormalWeb">
    <w:name w:val="Normal (Web)"/>
    <w:basedOn w:val="Normal"/>
    <w:uiPriority w:val="99"/>
    <w:semiHidden/>
    <w:unhideWhenUsed/>
    <w:rsid w:val="007B653F"/>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edesem.edomex.gob.mx/programas_social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omex.gob.mx/programa_asistencia_soci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1332526.page"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saimex.org.mx/saimex/solicitud/downloadAttach/1350510.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TmCciHh4amvLNkEQf4xA0ZyBtg==">AMUW2mU+uJo7Bi9gkEqBEbeYDQemBo4X+e079RQ/1EhP5ra8bUkaSOYDU1D9+HLL5fBTAdVjovpd0ogigondHOwOJQ3xeu5N+Q1G0zW18Z5qz2DUWKp0Q3zPxRgYOmHNGDhvsl/lGAqd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86</Pages>
  <Words>20240</Words>
  <Characters>111324</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Infoem-User</cp:lastModifiedBy>
  <cp:revision>6</cp:revision>
  <cp:lastPrinted>2022-05-09T15:12:00Z</cp:lastPrinted>
  <dcterms:created xsi:type="dcterms:W3CDTF">2022-04-27T23:01:00Z</dcterms:created>
  <dcterms:modified xsi:type="dcterms:W3CDTF">2022-05-09T15:12:00Z</dcterms:modified>
</cp:coreProperties>
</file>