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BC" w:rsidRPr="0074392C" w:rsidRDefault="009F09BC" w:rsidP="00855290">
      <w:pPr>
        <w:tabs>
          <w:tab w:val="left" w:pos="3465"/>
        </w:tabs>
        <w:spacing w:line="360" w:lineRule="auto"/>
        <w:jc w:val="both"/>
        <w:rPr>
          <w:rFonts w:ascii="Palatino Linotype" w:hAnsi="Palatino Linotype"/>
        </w:rPr>
      </w:pPr>
      <w:r w:rsidRPr="0074392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30009" w:rsidRPr="0074392C">
        <w:rPr>
          <w:rFonts w:ascii="Palatino Linotype" w:hAnsi="Palatino Linotype"/>
        </w:rPr>
        <w:t>uno</w:t>
      </w:r>
      <w:r w:rsidR="006A04B6" w:rsidRPr="0074392C">
        <w:rPr>
          <w:rFonts w:ascii="Palatino Linotype" w:hAnsi="Palatino Linotype"/>
        </w:rPr>
        <w:t xml:space="preserve"> (</w:t>
      </w:r>
      <w:r w:rsidR="00330009" w:rsidRPr="0074392C">
        <w:rPr>
          <w:rFonts w:ascii="Palatino Linotype" w:hAnsi="Palatino Linotype"/>
        </w:rPr>
        <w:t>0</w:t>
      </w:r>
      <w:r w:rsidR="00627608" w:rsidRPr="0074392C">
        <w:rPr>
          <w:rFonts w:ascii="Palatino Linotype" w:hAnsi="Palatino Linotype"/>
        </w:rPr>
        <w:t>1</w:t>
      </w:r>
      <w:r w:rsidRPr="0074392C">
        <w:rPr>
          <w:rFonts w:ascii="Palatino Linotype" w:hAnsi="Palatino Linotype"/>
        </w:rPr>
        <w:t xml:space="preserve">) de </w:t>
      </w:r>
      <w:r w:rsidR="00330009" w:rsidRPr="0074392C">
        <w:rPr>
          <w:rFonts w:ascii="Palatino Linotype" w:hAnsi="Palatino Linotype"/>
        </w:rPr>
        <w:t>juni</w:t>
      </w:r>
      <w:r w:rsidR="00065792" w:rsidRPr="0074392C">
        <w:rPr>
          <w:rFonts w:ascii="Palatino Linotype" w:hAnsi="Palatino Linotype"/>
        </w:rPr>
        <w:t>o</w:t>
      </w:r>
      <w:r w:rsidR="004525CB" w:rsidRPr="0074392C">
        <w:rPr>
          <w:rFonts w:ascii="Palatino Linotype" w:hAnsi="Palatino Linotype"/>
        </w:rPr>
        <w:t xml:space="preserve"> de dos mil veintidós</w:t>
      </w:r>
      <w:r w:rsidRPr="0074392C">
        <w:rPr>
          <w:rFonts w:ascii="Palatino Linotype" w:hAnsi="Palatino Linotype"/>
        </w:rPr>
        <w:t>.</w:t>
      </w:r>
    </w:p>
    <w:p w:rsidR="00A054B6" w:rsidRPr="0074392C" w:rsidRDefault="00A054B6" w:rsidP="00855290">
      <w:pPr>
        <w:tabs>
          <w:tab w:val="left" w:pos="3465"/>
        </w:tabs>
        <w:spacing w:line="360" w:lineRule="auto"/>
        <w:jc w:val="both"/>
        <w:rPr>
          <w:rFonts w:ascii="Palatino Linotype" w:hAnsi="Palatino Linotype"/>
        </w:rPr>
      </w:pPr>
    </w:p>
    <w:p w:rsidR="009F09BC" w:rsidRPr="0074392C" w:rsidRDefault="009F09BC" w:rsidP="00855290">
      <w:pPr>
        <w:spacing w:line="360" w:lineRule="auto"/>
        <w:jc w:val="both"/>
        <w:rPr>
          <w:rFonts w:ascii="Palatino Linotype" w:hAnsi="Palatino Linotype"/>
        </w:rPr>
      </w:pPr>
      <w:r w:rsidRPr="0074392C">
        <w:rPr>
          <w:rFonts w:ascii="Palatino Linotype" w:hAnsi="Palatino Linotype"/>
          <w:b/>
        </w:rPr>
        <w:t>VISTO</w:t>
      </w:r>
      <w:r w:rsidRPr="0074392C">
        <w:rPr>
          <w:rFonts w:ascii="Palatino Linotype" w:hAnsi="Palatino Linotype"/>
        </w:rPr>
        <w:t xml:space="preserve"> </w:t>
      </w:r>
      <w:r w:rsidR="008A699B" w:rsidRPr="0074392C">
        <w:rPr>
          <w:rFonts w:ascii="Palatino Linotype" w:hAnsi="Palatino Linotype"/>
        </w:rPr>
        <w:t>e</w:t>
      </w:r>
      <w:r w:rsidRPr="0074392C">
        <w:rPr>
          <w:rFonts w:ascii="Palatino Linotype" w:hAnsi="Palatino Linotype"/>
        </w:rPr>
        <w:t xml:space="preserve">l expediente electrónico formado con motivo del recurso de revisión </w:t>
      </w:r>
      <w:r w:rsidR="00330009" w:rsidRPr="0074392C">
        <w:rPr>
          <w:rFonts w:ascii="Palatino Linotype" w:hAnsi="Palatino Linotype"/>
          <w:b/>
        </w:rPr>
        <w:t>01528/INFOEM/IP/RR/2022</w:t>
      </w:r>
      <w:r w:rsidRPr="0074392C">
        <w:rPr>
          <w:rFonts w:ascii="Palatino Linotype" w:hAnsi="Palatino Linotype"/>
        </w:rPr>
        <w:t>,</w:t>
      </w:r>
      <w:r w:rsidRPr="0074392C">
        <w:rPr>
          <w:rFonts w:ascii="Palatino Linotype" w:hAnsi="Palatino Linotype" w:cs="Arial"/>
          <w:b/>
          <w:bCs/>
        </w:rPr>
        <w:t xml:space="preserve"> </w:t>
      </w:r>
      <w:r w:rsidRPr="0074392C">
        <w:rPr>
          <w:rFonts w:ascii="Palatino Linotype" w:hAnsi="Palatino Linotype"/>
        </w:rPr>
        <w:t>promovido por</w:t>
      </w:r>
      <w:r w:rsidR="00065792" w:rsidRPr="0074392C">
        <w:rPr>
          <w:rFonts w:ascii="Palatino Linotype" w:hAnsi="Palatino Linotype"/>
        </w:rPr>
        <w:t xml:space="preserve"> </w:t>
      </w:r>
      <w:r w:rsidR="00A61E9E">
        <w:rPr>
          <w:rFonts w:ascii="Palatino Linotype" w:hAnsi="Palatino Linotype"/>
          <w:b/>
        </w:rPr>
        <w:t>XXXX XXXXX XXXXXX</w:t>
      </w:r>
      <w:bookmarkStart w:id="0" w:name="_GoBack"/>
      <w:bookmarkEnd w:id="0"/>
      <w:r w:rsidRPr="0074392C">
        <w:rPr>
          <w:rFonts w:ascii="Palatino Linotype" w:hAnsi="Palatino Linotype"/>
        </w:rPr>
        <w:t xml:space="preserve">, a quien en lo sucesivo se le identificará como </w:t>
      </w:r>
      <w:r w:rsidRPr="0074392C">
        <w:rPr>
          <w:rFonts w:ascii="Palatino Linotype" w:hAnsi="Palatino Linotype"/>
          <w:b/>
        </w:rPr>
        <w:t>EL RECURRENTE</w:t>
      </w:r>
      <w:r w:rsidRPr="0074392C">
        <w:rPr>
          <w:rFonts w:ascii="Palatino Linotype" w:hAnsi="Palatino Linotype" w:cs="Arial"/>
        </w:rPr>
        <w:t xml:space="preserve">, en contra de la respuesta del </w:t>
      </w:r>
      <w:r w:rsidR="00330009" w:rsidRPr="0074392C">
        <w:rPr>
          <w:rFonts w:ascii="Palatino Linotype" w:hAnsi="Palatino Linotype" w:cs="Arial"/>
          <w:b/>
        </w:rPr>
        <w:t xml:space="preserve">Ayuntamiento de </w:t>
      </w:r>
      <w:proofErr w:type="spellStart"/>
      <w:r w:rsidR="00330009" w:rsidRPr="0074392C">
        <w:rPr>
          <w:rFonts w:ascii="Palatino Linotype" w:hAnsi="Palatino Linotype" w:cs="Arial"/>
          <w:b/>
        </w:rPr>
        <w:t>Ecatzingo</w:t>
      </w:r>
      <w:proofErr w:type="spellEnd"/>
      <w:r w:rsidRPr="0074392C">
        <w:rPr>
          <w:rFonts w:ascii="Palatino Linotype" w:hAnsi="Palatino Linotype" w:cs="Arial"/>
          <w:b/>
        </w:rPr>
        <w:t>,</w:t>
      </w:r>
      <w:r w:rsidRPr="0074392C">
        <w:rPr>
          <w:rFonts w:ascii="Palatino Linotype" w:hAnsi="Palatino Linotype"/>
          <w:b/>
        </w:rPr>
        <w:t xml:space="preserve"> </w:t>
      </w:r>
      <w:r w:rsidRPr="0074392C">
        <w:rPr>
          <w:rFonts w:ascii="Palatino Linotype" w:hAnsi="Palatino Linotype"/>
        </w:rPr>
        <w:t>en lo sucesivo el</w:t>
      </w:r>
      <w:r w:rsidRPr="0074392C">
        <w:rPr>
          <w:rFonts w:ascii="Palatino Linotype" w:hAnsi="Palatino Linotype"/>
          <w:b/>
        </w:rPr>
        <w:t xml:space="preserve"> SUJETO OBLIGADO</w:t>
      </w:r>
      <w:r w:rsidRPr="0074392C">
        <w:rPr>
          <w:rFonts w:ascii="Palatino Linotype" w:hAnsi="Palatino Linotype"/>
        </w:rPr>
        <w:t>, se procede a dictar la presente resolución, con base en los siguientes:</w:t>
      </w:r>
    </w:p>
    <w:p w:rsidR="007C3761" w:rsidRPr="0074392C" w:rsidRDefault="007C3761" w:rsidP="00855290">
      <w:pPr>
        <w:spacing w:line="360" w:lineRule="auto"/>
        <w:jc w:val="both"/>
        <w:rPr>
          <w:rFonts w:ascii="Palatino Linotype" w:hAnsi="Palatino Linotype"/>
          <w:b/>
        </w:rPr>
      </w:pPr>
    </w:p>
    <w:p w:rsidR="009F09BC" w:rsidRPr="0074392C" w:rsidRDefault="009F09BC" w:rsidP="0085529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74392C">
        <w:rPr>
          <w:rFonts w:ascii="Palatino Linotype" w:hAnsi="Palatino Linotype"/>
          <w:b/>
          <w:color w:val="000000" w:themeColor="text1"/>
          <w:sz w:val="24"/>
          <w:szCs w:val="24"/>
        </w:rPr>
        <w:t>ANTECEDENTES</w:t>
      </w:r>
      <w:bookmarkEnd w:id="1"/>
      <w:bookmarkEnd w:id="2"/>
      <w:bookmarkEnd w:id="3"/>
    </w:p>
    <w:p w:rsidR="007C3761" w:rsidRPr="0074392C" w:rsidRDefault="007C3761" w:rsidP="00855290">
      <w:pPr>
        <w:spacing w:line="360" w:lineRule="auto"/>
        <w:rPr>
          <w:rFonts w:ascii="Palatino Linotype" w:hAnsi="Palatino Linotype"/>
        </w:rPr>
      </w:pPr>
    </w:p>
    <w:p w:rsidR="009F09BC" w:rsidRPr="0074392C" w:rsidRDefault="009F09BC" w:rsidP="00821B43">
      <w:pPr>
        <w:pStyle w:val="Prrafodelista"/>
        <w:numPr>
          <w:ilvl w:val="0"/>
          <w:numId w:val="1"/>
        </w:numPr>
        <w:spacing w:line="360" w:lineRule="auto"/>
        <w:ind w:left="0" w:firstLine="0"/>
        <w:jc w:val="both"/>
        <w:rPr>
          <w:rFonts w:ascii="Palatino Linotype" w:eastAsia="Calibri" w:hAnsi="Palatino Linotype" w:cs="Arial"/>
          <w:lang w:val="es-ES"/>
        </w:rPr>
      </w:pPr>
      <w:r w:rsidRPr="0074392C">
        <w:rPr>
          <w:rFonts w:ascii="Palatino Linotype" w:eastAsia="Calibri" w:hAnsi="Palatino Linotype" w:cs="Arial"/>
          <w:lang w:val="es-ES"/>
        </w:rPr>
        <w:t xml:space="preserve">El día </w:t>
      </w:r>
      <w:r w:rsidR="00065792" w:rsidRPr="0074392C">
        <w:rPr>
          <w:rFonts w:ascii="Palatino Linotype" w:eastAsia="Calibri" w:hAnsi="Palatino Linotype" w:cs="Arial"/>
          <w:lang w:val="es-ES"/>
        </w:rPr>
        <w:t>treinta y uno</w:t>
      </w:r>
      <w:r w:rsidRPr="0074392C">
        <w:rPr>
          <w:rFonts w:ascii="Palatino Linotype" w:eastAsia="Calibri" w:hAnsi="Palatino Linotype" w:cs="Arial"/>
          <w:lang w:val="es-ES"/>
        </w:rPr>
        <w:t xml:space="preserve"> (</w:t>
      </w:r>
      <w:r w:rsidR="00065792" w:rsidRPr="0074392C">
        <w:rPr>
          <w:rFonts w:ascii="Palatino Linotype" w:eastAsia="Calibri" w:hAnsi="Palatino Linotype" w:cs="Arial"/>
          <w:lang w:val="es-ES"/>
        </w:rPr>
        <w:t>31</w:t>
      </w:r>
      <w:r w:rsidRPr="0074392C">
        <w:rPr>
          <w:rFonts w:ascii="Palatino Linotype" w:eastAsia="Calibri" w:hAnsi="Palatino Linotype" w:cs="Arial"/>
          <w:lang w:val="es-ES"/>
        </w:rPr>
        <w:t xml:space="preserve">) de </w:t>
      </w:r>
      <w:r w:rsidR="008A699B" w:rsidRPr="0074392C">
        <w:rPr>
          <w:rFonts w:ascii="Palatino Linotype" w:eastAsia="Calibri" w:hAnsi="Palatino Linotype" w:cs="Arial"/>
          <w:lang w:val="es-ES"/>
        </w:rPr>
        <w:t>e</w:t>
      </w:r>
      <w:r w:rsidR="00065792" w:rsidRPr="0074392C">
        <w:rPr>
          <w:rFonts w:ascii="Palatino Linotype" w:eastAsia="Calibri" w:hAnsi="Palatino Linotype" w:cs="Arial"/>
          <w:lang w:val="es-ES"/>
        </w:rPr>
        <w:t>nero de dos mil veintidós</w:t>
      </w:r>
      <w:r w:rsidRPr="0074392C">
        <w:rPr>
          <w:rFonts w:ascii="Palatino Linotype" w:hAnsi="Palatino Linotype"/>
          <w:b/>
        </w:rPr>
        <w:t xml:space="preserve">, </w:t>
      </w:r>
      <w:r w:rsidRPr="0074392C">
        <w:rPr>
          <w:rFonts w:ascii="Palatino Linotype" w:eastAsia="Calibri" w:hAnsi="Palatino Linotype" w:cs="Arial"/>
          <w:lang w:val="es-ES"/>
        </w:rPr>
        <w:t xml:space="preserve">se presentó ante el </w:t>
      </w:r>
      <w:r w:rsidRPr="0074392C">
        <w:rPr>
          <w:rFonts w:ascii="Palatino Linotype" w:eastAsia="Calibri" w:hAnsi="Palatino Linotype" w:cs="Arial"/>
          <w:b/>
          <w:lang w:val="es-ES"/>
        </w:rPr>
        <w:t>SUJETO OBLIGADO</w:t>
      </w:r>
      <w:r w:rsidRPr="0074392C">
        <w:rPr>
          <w:rFonts w:ascii="Palatino Linotype" w:eastAsia="Calibri" w:hAnsi="Palatino Linotype" w:cs="Arial"/>
        </w:rPr>
        <w:t xml:space="preserve"> vía </w:t>
      </w:r>
      <w:r w:rsidR="00A03F8F" w:rsidRPr="0074392C">
        <w:rPr>
          <w:rFonts w:ascii="Palatino Linotype" w:eastAsia="Calibri" w:hAnsi="Palatino Linotype" w:cs="Arial"/>
        </w:rPr>
        <w:t>Plataforma Nacional de Transparencia (</w:t>
      </w:r>
      <w:r w:rsidR="00A03F8F" w:rsidRPr="0074392C">
        <w:rPr>
          <w:rFonts w:ascii="Palatino Linotype" w:eastAsia="Calibri" w:hAnsi="Palatino Linotype" w:cs="Arial"/>
          <w:b/>
        </w:rPr>
        <w:t>PNT</w:t>
      </w:r>
      <w:r w:rsidR="00A03F8F" w:rsidRPr="0074392C">
        <w:rPr>
          <w:rFonts w:ascii="Palatino Linotype" w:eastAsia="Calibri" w:hAnsi="Palatino Linotype" w:cs="Arial"/>
        </w:rPr>
        <w:t>) vinculada a su vez al Sistema de Acceso a la Información Mexiquense (</w:t>
      </w:r>
      <w:r w:rsidR="008A699B" w:rsidRPr="0074392C">
        <w:rPr>
          <w:rFonts w:ascii="Palatino Linotype" w:eastAsia="Calibri" w:hAnsi="Palatino Linotype" w:cs="Arial"/>
          <w:b/>
          <w:lang w:val="es-ES"/>
        </w:rPr>
        <w:t>SAIMEX</w:t>
      </w:r>
      <w:r w:rsidR="00A03F8F" w:rsidRPr="0074392C">
        <w:rPr>
          <w:rFonts w:ascii="Palatino Linotype" w:eastAsia="Calibri" w:hAnsi="Palatino Linotype" w:cs="Arial"/>
          <w:lang w:val="es-ES"/>
        </w:rPr>
        <w:t>)</w:t>
      </w:r>
      <w:r w:rsidR="008A699B" w:rsidRPr="0074392C">
        <w:rPr>
          <w:rFonts w:ascii="Palatino Linotype" w:eastAsia="Calibri" w:hAnsi="Palatino Linotype" w:cs="Arial"/>
          <w:lang w:val="es-ES"/>
        </w:rPr>
        <w:t>, la solicitud</w:t>
      </w:r>
      <w:r w:rsidRPr="0074392C">
        <w:rPr>
          <w:rFonts w:ascii="Palatino Linotype" w:eastAsia="Calibri" w:hAnsi="Palatino Linotype" w:cs="Arial"/>
          <w:lang w:val="es-ES"/>
        </w:rPr>
        <w:t xml:space="preserve"> de información pública</w:t>
      </w:r>
      <w:r w:rsidR="008A699B" w:rsidRPr="0074392C">
        <w:rPr>
          <w:rFonts w:ascii="Palatino Linotype" w:eastAsia="Calibri" w:hAnsi="Palatino Linotype" w:cs="Arial"/>
          <w:lang w:val="es-ES"/>
        </w:rPr>
        <w:t xml:space="preserve"> registrada</w:t>
      </w:r>
      <w:r w:rsidRPr="0074392C">
        <w:rPr>
          <w:rFonts w:ascii="Palatino Linotype" w:eastAsia="Calibri" w:hAnsi="Palatino Linotype" w:cs="Arial"/>
          <w:lang w:val="es-ES"/>
        </w:rPr>
        <w:t xml:space="preserve"> con </w:t>
      </w:r>
      <w:r w:rsidR="008A699B" w:rsidRPr="0074392C">
        <w:rPr>
          <w:rFonts w:ascii="Palatino Linotype" w:eastAsia="Calibri" w:hAnsi="Palatino Linotype" w:cs="Arial"/>
          <w:lang w:val="es-ES"/>
        </w:rPr>
        <w:t xml:space="preserve">el </w:t>
      </w:r>
      <w:r w:rsidRPr="0074392C">
        <w:rPr>
          <w:rFonts w:ascii="Palatino Linotype" w:eastAsia="Calibri" w:hAnsi="Palatino Linotype" w:cs="Arial"/>
          <w:lang w:val="es-ES"/>
        </w:rPr>
        <w:t>número</w:t>
      </w:r>
      <w:r w:rsidRPr="0074392C">
        <w:rPr>
          <w:rFonts w:ascii="Palatino Linotype" w:hAnsi="Palatino Linotype"/>
          <w:b/>
          <w:bCs/>
          <w:color w:val="000000" w:themeColor="text1"/>
        </w:rPr>
        <w:t xml:space="preserve"> </w:t>
      </w:r>
      <w:r w:rsidR="00330009" w:rsidRPr="0074392C">
        <w:rPr>
          <w:rFonts w:ascii="Palatino Linotype" w:hAnsi="Palatino Linotype"/>
          <w:b/>
          <w:bCs/>
          <w:color w:val="000000" w:themeColor="text1"/>
        </w:rPr>
        <w:t>00018/ECATZIN/IP/2022</w:t>
      </w:r>
      <w:r w:rsidRPr="0074392C">
        <w:rPr>
          <w:rFonts w:ascii="Palatino Linotype" w:hAnsi="Palatino Linotype"/>
          <w:b/>
          <w:bCs/>
          <w:color w:val="000000" w:themeColor="text1"/>
        </w:rPr>
        <w:t xml:space="preserve">; </w:t>
      </w:r>
      <w:r w:rsidRPr="0074392C">
        <w:rPr>
          <w:rFonts w:ascii="Palatino Linotype" w:eastAsia="Calibri" w:hAnsi="Palatino Linotype" w:cs="Arial"/>
          <w:lang w:val="es-ES"/>
        </w:rPr>
        <w:t>mediante las cuales se solicitó la siguiente información:</w:t>
      </w:r>
    </w:p>
    <w:p w:rsidR="008A699B" w:rsidRPr="0074392C" w:rsidRDefault="008A699B" w:rsidP="00855290">
      <w:pPr>
        <w:pStyle w:val="Prrafodelista"/>
        <w:spacing w:line="360" w:lineRule="auto"/>
        <w:ind w:left="0"/>
        <w:jc w:val="both"/>
        <w:rPr>
          <w:rFonts w:ascii="Palatino Linotype" w:eastAsia="Calibri" w:hAnsi="Palatino Linotype" w:cs="Arial"/>
          <w:lang w:val="es-ES"/>
        </w:rPr>
      </w:pPr>
    </w:p>
    <w:p w:rsidR="009F09BC" w:rsidRPr="0074392C" w:rsidRDefault="008A699B" w:rsidP="00855290">
      <w:pPr>
        <w:pStyle w:val="Prrafodelista"/>
        <w:spacing w:line="360" w:lineRule="auto"/>
        <w:ind w:left="426" w:right="474"/>
        <w:jc w:val="both"/>
        <w:rPr>
          <w:rFonts w:ascii="Palatino Linotype" w:hAnsi="Palatino Linotype"/>
          <w:i/>
        </w:rPr>
      </w:pPr>
      <w:r w:rsidRPr="0074392C">
        <w:rPr>
          <w:rFonts w:ascii="Palatino Linotype" w:hAnsi="Palatino Linotype"/>
          <w:i/>
        </w:rPr>
        <w:t>“</w:t>
      </w:r>
      <w:r w:rsidR="006F1C39" w:rsidRPr="0074392C">
        <w:rPr>
          <w:rFonts w:ascii="Palatino Linotype" w:hAnsi="Palatino Linotype"/>
          <w:i/>
        </w:rPr>
        <w:t xml:space="preserve">Solicito Obtener la opinión de cumplimiento proporcionada directamente por el ente fiscalizador hacia los ayuntamientos y sus descentralizadas (DIF, Sistema de agua, Instituto de la mujer, casa de la cultura, </w:t>
      </w:r>
      <w:proofErr w:type="spellStart"/>
      <w:r w:rsidR="006F1C39" w:rsidRPr="0074392C">
        <w:rPr>
          <w:rFonts w:ascii="Palatino Linotype" w:hAnsi="Palatino Linotype"/>
          <w:i/>
        </w:rPr>
        <w:t>etc</w:t>
      </w:r>
      <w:proofErr w:type="spellEnd"/>
      <w:r w:rsidR="006F1C39" w:rsidRPr="0074392C">
        <w:rPr>
          <w:rFonts w:ascii="Palatino Linotype" w:hAnsi="Palatino Linotype"/>
          <w:i/>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w:t>
      </w:r>
      <w:r w:rsidR="006F1C39" w:rsidRPr="0074392C">
        <w:rPr>
          <w:rFonts w:ascii="Palatino Linotype" w:hAnsi="Palatino Linotype"/>
          <w:i/>
        </w:rPr>
        <w:lastRenderedPageBreak/>
        <w:t xml:space="preserve">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w:t>
      </w:r>
      <w:proofErr w:type="gramStart"/>
      <w:r w:rsidR="006F1C39" w:rsidRPr="0074392C">
        <w:rPr>
          <w:rFonts w:ascii="Palatino Linotype" w:hAnsi="Palatino Linotype"/>
          <w:i/>
        </w:rPr>
        <w:t>Enero</w:t>
      </w:r>
      <w:proofErr w:type="gramEnd"/>
      <w:r w:rsidR="006F1C39" w:rsidRPr="0074392C">
        <w:rPr>
          <w:rFonts w:ascii="Palatino Linotype" w:hAnsi="Palatino Linotype"/>
          <w:i/>
        </w:rPr>
        <w:t xml:space="preserve">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w:t>
      </w:r>
      <w:r w:rsidR="006F1C39" w:rsidRPr="0074392C">
        <w:rPr>
          <w:rFonts w:ascii="Palatino Linotype" w:hAnsi="Palatino Linotype"/>
          <w:i/>
        </w:rPr>
        <w:lastRenderedPageBreak/>
        <w:t xml:space="preserve">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6F1C39" w:rsidRPr="0074392C">
        <w:rPr>
          <w:rFonts w:ascii="Palatino Linotype" w:hAnsi="Palatino Linotype"/>
          <w:i/>
        </w:rPr>
        <w:t>mi</w:t>
      </w:r>
      <w:proofErr w:type="spellEnd"/>
      <w:r w:rsidR="006F1C39" w:rsidRPr="0074392C">
        <w:rPr>
          <w:rFonts w:ascii="Palatino Linotype" w:hAnsi="Palatino Linotype"/>
          <w:i/>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74392C">
        <w:rPr>
          <w:rFonts w:ascii="Palatino Linotype" w:hAnsi="Palatino Linotype"/>
          <w:i/>
        </w:rPr>
        <w:t>”</w:t>
      </w:r>
    </w:p>
    <w:p w:rsidR="008A699B" w:rsidRPr="0074392C" w:rsidRDefault="008A699B" w:rsidP="00855290">
      <w:pPr>
        <w:pStyle w:val="Prrafodelista"/>
        <w:spacing w:line="360" w:lineRule="auto"/>
        <w:ind w:left="851" w:right="34"/>
        <w:jc w:val="both"/>
        <w:rPr>
          <w:rFonts w:ascii="Palatino Linotype" w:hAnsi="Palatino Linotype"/>
        </w:rPr>
      </w:pPr>
    </w:p>
    <w:p w:rsidR="009F09BC" w:rsidRPr="0074392C" w:rsidRDefault="009F09BC" w:rsidP="00821B43">
      <w:pPr>
        <w:pStyle w:val="Prrafodelista"/>
        <w:numPr>
          <w:ilvl w:val="0"/>
          <w:numId w:val="2"/>
        </w:numPr>
        <w:spacing w:line="360" w:lineRule="auto"/>
        <w:ind w:left="851" w:right="34"/>
        <w:jc w:val="both"/>
        <w:rPr>
          <w:rFonts w:ascii="Palatino Linotype" w:hAnsi="Palatino Linotype"/>
        </w:rPr>
      </w:pPr>
      <w:r w:rsidRPr="0074392C">
        <w:rPr>
          <w:rFonts w:ascii="Palatino Linotype" w:eastAsia="Times New Roman" w:hAnsi="Palatino Linotype" w:cs="Arial"/>
          <w:lang w:val="es-ES"/>
        </w:rPr>
        <w:t>Se eligió como modalidad de entrega de la información</w:t>
      </w:r>
      <w:r w:rsidRPr="0074392C">
        <w:rPr>
          <w:rFonts w:ascii="Palatino Linotype" w:hAnsi="Palatino Linotype"/>
        </w:rPr>
        <w:t>: A través de</w:t>
      </w:r>
      <w:r w:rsidR="00065792" w:rsidRPr="0074392C">
        <w:rPr>
          <w:rFonts w:ascii="Palatino Linotype" w:hAnsi="Palatino Linotype"/>
        </w:rPr>
        <w:t xml:space="preserve"> </w:t>
      </w:r>
      <w:r w:rsidR="00065792" w:rsidRPr="0074392C">
        <w:rPr>
          <w:rFonts w:ascii="Palatino Linotype" w:hAnsi="Palatino Linotype"/>
          <w:b/>
        </w:rPr>
        <w:t>correo electrónico</w:t>
      </w:r>
      <w:r w:rsidR="00065792" w:rsidRPr="0074392C">
        <w:rPr>
          <w:rFonts w:ascii="Palatino Linotype" w:hAnsi="Palatino Linotype"/>
          <w:b/>
          <w:lang w:val="es-MX"/>
        </w:rPr>
        <w:t xml:space="preserve"> y c</w:t>
      </w:r>
      <w:proofErr w:type="spellStart"/>
      <w:r w:rsidR="00BC040C" w:rsidRPr="0074392C">
        <w:rPr>
          <w:rFonts w:ascii="Palatino Linotype" w:hAnsi="Palatino Linotype" w:cs="Tahoma"/>
          <w:b/>
        </w:rPr>
        <w:t>ualquier</w:t>
      </w:r>
      <w:proofErr w:type="spellEnd"/>
      <w:r w:rsidR="00065792" w:rsidRPr="0074392C">
        <w:rPr>
          <w:rFonts w:ascii="Palatino Linotype" w:hAnsi="Palatino Linotype" w:cs="Tahoma"/>
          <w:b/>
        </w:rPr>
        <w:t xml:space="preserve"> otro medio incluido los electrónicos (USB, SD, Disco).</w:t>
      </w:r>
    </w:p>
    <w:p w:rsidR="008A699B" w:rsidRPr="0074392C" w:rsidRDefault="008A699B" w:rsidP="00855290">
      <w:pPr>
        <w:pStyle w:val="Prrafodelista"/>
        <w:spacing w:line="360" w:lineRule="auto"/>
        <w:ind w:left="851" w:right="34"/>
        <w:jc w:val="both"/>
        <w:rPr>
          <w:rFonts w:ascii="Palatino Linotype" w:hAnsi="Palatino Linotype"/>
        </w:rPr>
      </w:pPr>
    </w:p>
    <w:p w:rsidR="009F09BC" w:rsidRPr="0074392C" w:rsidRDefault="009F09BC" w:rsidP="00821B43">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74392C">
        <w:rPr>
          <w:rFonts w:ascii="Palatino Linotype" w:eastAsia="Times New Roman" w:hAnsi="Palatino Linotype" w:cs="Arial"/>
          <w:color w:val="000000" w:themeColor="text1"/>
          <w:lang w:val="es-ES"/>
        </w:rPr>
        <w:t>E</w:t>
      </w:r>
      <w:r w:rsidR="002C4997" w:rsidRPr="0074392C">
        <w:rPr>
          <w:rFonts w:ascii="Palatino Linotype" w:eastAsia="Times New Roman" w:hAnsi="Palatino Linotype" w:cs="Arial"/>
          <w:color w:val="000000" w:themeColor="text1"/>
          <w:lang w:val="es-ES"/>
        </w:rPr>
        <w:t xml:space="preserve">l </w:t>
      </w:r>
      <w:r w:rsidR="00435140" w:rsidRPr="0074392C">
        <w:rPr>
          <w:rFonts w:ascii="Palatino Linotype" w:eastAsia="Times New Roman" w:hAnsi="Palatino Linotype" w:cs="Arial"/>
          <w:color w:val="000000" w:themeColor="text1"/>
          <w:lang w:val="es-ES"/>
        </w:rPr>
        <w:t>veintitrés</w:t>
      </w:r>
      <w:r w:rsidR="00C23EB6" w:rsidRPr="0074392C">
        <w:rPr>
          <w:rFonts w:ascii="Palatino Linotype" w:eastAsia="Times New Roman" w:hAnsi="Palatino Linotype" w:cs="Arial"/>
          <w:color w:val="000000" w:themeColor="text1"/>
          <w:lang w:val="es-ES"/>
        </w:rPr>
        <w:t xml:space="preserve"> (</w:t>
      </w:r>
      <w:r w:rsidR="00435140" w:rsidRPr="0074392C">
        <w:rPr>
          <w:rFonts w:ascii="Palatino Linotype" w:eastAsia="Times New Roman" w:hAnsi="Palatino Linotype" w:cs="Arial"/>
          <w:color w:val="000000" w:themeColor="text1"/>
          <w:lang w:val="es-ES"/>
        </w:rPr>
        <w:t>23</w:t>
      </w:r>
      <w:r w:rsidR="00C23EB6" w:rsidRPr="0074392C">
        <w:rPr>
          <w:rFonts w:ascii="Palatino Linotype" w:eastAsia="Times New Roman" w:hAnsi="Palatino Linotype" w:cs="Arial"/>
          <w:color w:val="000000" w:themeColor="text1"/>
          <w:lang w:val="es-ES"/>
        </w:rPr>
        <w:t>)</w:t>
      </w:r>
      <w:r w:rsidRPr="0074392C">
        <w:rPr>
          <w:rFonts w:ascii="Palatino Linotype" w:eastAsia="Times New Roman" w:hAnsi="Palatino Linotype" w:cs="Arial"/>
          <w:color w:val="000000" w:themeColor="text1"/>
          <w:lang w:val="es-ES"/>
        </w:rPr>
        <w:t xml:space="preserve"> de </w:t>
      </w:r>
      <w:r w:rsidR="00177119" w:rsidRPr="0074392C">
        <w:rPr>
          <w:rFonts w:ascii="Palatino Linotype" w:eastAsia="Times New Roman" w:hAnsi="Palatino Linotype" w:cs="Arial"/>
          <w:color w:val="000000" w:themeColor="text1"/>
          <w:lang w:val="es-ES"/>
        </w:rPr>
        <w:t>febrero</w:t>
      </w:r>
      <w:r w:rsidRPr="0074392C">
        <w:rPr>
          <w:rFonts w:ascii="Palatino Linotype" w:eastAsia="Times New Roman" w:hAnsi="Palatino Linotype" w:cs="Arial"/>
          <w:color w:val="000000" w:themeColor="text1"/>
          <w:lang w:val="es-ES"/>
        </w:rPr>
        <w:t xml:space="preserve"> de </w:t>
      </w:r>
      <w:r w:rsidR="007C3761" w:rsidRPr="0074392C">
        <w:rPr>
          <w:rFonts w:ascii="Palatino Linotype" w:eastAsia="Times New Roman" w:hAnsi="Palatino Linotype" w:cs="Arial"/>
          <w:color w:val="000000" w:themeColor="text1"/>
          <w:lang w:val="es-ES"/>
        </w:rPr>
        <w:t>dos mil veintidós</w:t>
      </w:r>
      <w:r w:rsidRPr="0074392C">
        <w:rPr>
          <w:rFonts w:ascii="Palatino Linotype" w:eastAsia="Times New Roman" w:hAnsi="Palatino Linotype" w:cs="Arial"/>
          <w:color w:val="000000" w:themeColor="text1"/>
          <w:lang w:val="es-ES"/>
        </w:rPr>
        <w:t xml:space="preserve">, el particular interpuso </w:t>
      </w:r>
      <w:r w:rsidR="002C4997" w:rsidRPr="0074392C">
        <w:rPr>
          <w:rFonts w:ascii="Palatino Linotype" w:eastAsia="Times New Roman" w:hAnsi="Palatino Linotype" w:cs="Arial"/>
          <w:color w:val="000000" w:themeColor="text1"/>
          <w:lang w:val="es-ES"/>
        </w:rPr>
        <w:t>e</w:t>
      </w:r>
      <w:r w:rsidRPr="0074392C">
        <w:rPr>
          <w:rFonts w:ascii="Palatino Linotype" w:eastAsia="Times New Roman" w:hAnsi="Palatino Linotype" w:cs="Arial"/>
          <w:color w:val="000000" w:themeColor="text1"/>
          <w:lang w:val="es-ES"/>
        </w:rPr>
        <w:t xml:space="preserve">l recurso de revisión en contra de la </w:t>
      </w:r>
      <w:r w:rsidR="00435140" w:rsidRPr="0074392C">
        <w:rPr>
          <w:rFonts w:ascii="Palatino Linotype" w:eastAsia="Times New Roman" w:hAnsi="Palatino Linotype" w:cs="Arial"/>
          <w:color w:val="000000" w:themeColor="text1"/>
          <w:lang w:val="es-ES"/>
        </w:rPr>
        <w:t xml:space="preserve">falta de </w:t>
      </w:r>
      <w:r w:rsidRPr="0074392C">
        <w:rPr>
          <w:rFonts w:ascii="Palatino Linotype" w:eastAsia="Times New Roman" w:hAnsi="Palatino Linotype" w:cs="Arial"/>
          <w:color w:val="000000" w:themeColor="text1"/>
          <w:lang w:val="es-ES"/>
        </w:rPr>
        <w:t>respuesta,</w:t>
      </w:r>
      <w:r w:rsidR="00C23EB6" w:rsidRPr="0074392C">
        <w:rPr>
          <w:rFonts w:ascii="Palatino Linotype" w:eastAsia="Times New Roman" w:hAnsi="Palatino Linotype" w:cs="Arial"/>
          <w:color w:val="000000" w:themeColor="text1"/>
          <w:lang w:val="es-ES"/>
        </w:rPr>
        <w:t xml:space="preserve"> en el que se establecieron</w:t>
      </w:r>
      <w:r w:rsidRPr="0074392C">
        <w:rPr>
          <w:rFonts w:ascii="Palatino Linotype" w:eastAsia="Times New Roman" w:hAnsi="Palatino Linotype" w:cs="Arial"/>
          <w:color w:val="000000" w:themeColor="text1"/>
          <w:lang w:val="es-ES"/>
        </w:rPr>
        <w:t xml:space="preserve"> l</w:t>
      </w:r>
      <w:r w:rsidR="002C4997" w:rsidRPr="0074392C">
        <w:rPr>
          <w:rFonts w:ascii="Palatino Linotype" w:eastAsia="Times New Roman" w:hAnsi="Palatino Linotype" w:cs="Arial"/>
          <w:color w:val="000000" w:themeColor="text1"/>
          <w:lang w:val="es-ES"/>
        </w:rPr>
        <w:t>a</w:t>
      </w:r>
      <w:r w:rsidRPr="0074392C">
        <w:rPr>
          <w:rFonts w:ascii="Palatino Linotype" w:eastAsia="Times New Roman" w:hAnsi="Palatino Linotype" w:cs="Arial"/>
          <w:color w:val="000000" w:themeColor="text1"/>
          <w:lang w:val="es-ES"/>
        </w:rPr>
        <w:t xml:space="preserve">s </w:t>
      </w:r>
      <w:r w:rsidR="002C4997" w:rsidRPr="0074392C">
        <w:rPr>
          <w:rFonts w:ascii="Palatino Linotype" w:eastAsia="Times New Roman" w:hAnsi="Palatino Linotype" w:cs="Arial"/>
          <w:color w:val="000000" w:themeColor="text1"/>
          <w:lang w:val="es-ES"/>
        </w:rPr>
        <w:t>siguientes</w:t>
      </w:r>
      <w:r w:rsidRPr="0074392C">
        <w:rPr>
          <w:rFonts w:ascii="Palatino Linotype" w:eastAsia="Times New Roman" w:hAnsi="Palatino Linotype" w:cs="Arial"/>
          <w:color w:val="000000" w:themeColor="text1"/>
          <w:lang w:val="es-ES"/>
        </w:rPr>
        <w:t xml:space="preserve"> razones o motivos de inconformidad:</w:t>
      </w:r>
    </w:p>
    <w:p w:rsidR="00435140" w:rsidRPr="0074392C" w:rsidRDefault="00435140" w:rsidP="0043514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74392C" w:rsidRDefault="009F09BC" w:rsidP="00435140">
      <w:pPr>
        <w:pStyle w:val="Prrafodelista"/>
        <w:numPr>
          <w:ilvl w:val="0"/>
          <w:numId w:val="2"/>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74392C">
        <w:rPr>
          <w:rStyle w:val="Ttulo2Car"/>
          <w:rFonts w:ascii="Palatino Linotype" w:hAnsi="Palatino Linotype"/>
          <w:b/>
          <w:color w:val="auto"/>
          <w:sz w:val="24"/>
          <w:szCs w:val="24"/>
        </w:rPr>
        <w:t>Acto impugnado</w:t>
      </w:r>
      <w:bookmarkEnd w:id="4"/>
      <w:r w:rsidRPr="0074392C">
        <w:rPr>
          <w:rStyle w:val="Ttulo2Car"/>
          <w:rFonts w:ascii="Palatino Linotype" w:hAnsi="Palatino Linotype"/>
          <w:b/>
          <w:color w:val="000000" w:themeColor="text1"/>
          <w:sz w:val="24"/>
          <w:szCs w:val="24"/>
        </w:rPr>
        <w:t xml:space="preserve">: </w:t>
      </w:r>
      <w:r w:rsidRPr="0074392C">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435140" w:rsidRPr="0074392C">
        <w:rPr>
          <w:rStyle w:val="Ttulo2Car"/>
          <w:rFonts w:ascii="Palatino Linotype" w:hAnsi="Palatino Linotype"/>
          <w:i/>
          <w:color w:val="000000" w:themeColor="text1"/>
          <w:sz w:val="24"/>
          <w:szCs w:val="24"/>
        </w:rPr>
        <w:t xml:space="preserve">Su omisión total a la solicitud de información </w:t>
      </w:r>
      <w:proofErr w:type="spellStart"/>
      <w:r w:rsidR="00435140" w:rsidRPr="0074392C">
        <w:rPr>
          <w:rStyle w:val="Ttulo2Car"/>
          <w:rFonts w:ascii="Palatino Linotype" w:hAnsi="Palatino Linotype"/>
          <w:i/>
          <w:color w:val="000000" w:themeColor="text1"/>
          <w:sz w:val="24"/>
          <w:szCs w:val="24"/>
        </w:rPr>
        <w:t>publica</w:t>
      </w:r>
      <w:proofErr w:type="spellEnd"/>
      <w:r w:rsidRPr="0074392C">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F7EE0" w:rsidRPr="0074392C" w:rsidRDefault="002F7EE0" w:rsidP="002F7EE0">
      <w:pPr>
        <w:pStyle w:val="Prrafodelista"/>
        <w:spacing w:line="360" w:lineRule="auto"/>
        <w:ind w:left="1004"/>
        <w:jc w:val="both"/>
        <w:rPr>
          <w:rFonts w:ascii="Palatino Linotype" w:hAnsi="Palatino Linotype"/>
          <w:i/>
          <w:color w:val="000000" w:themeColor="text1"/>
        </w:rPr>
      </w:pPr>
    </w:p>
    <w:p w:rsidR="009F09BC" w:rsidRPr="0074392C" w:rsidRDefault="009F09BC" w:rsidP="00435140">
      <w:pPr>
        <w:pStyle w:val="Prrafodelista"/>
        <w:numPr>
          <w:ilvl w:val="0"/>
          <w:numId w:val="2"/>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74392C">
        <w:rPr>
          <w:rStyle w:val="Ttulo2Car"/>
          <w:rFonts w:ascii="Palatino Linotype" w:hAnsi="Palatino Linotype"/>
          <w:b/>
          <w:color w:val="000000" w:themeColor="text1"/>
          <w:sz w:val="24"/>
          <w:szCs w:val="24"/>
        </w:rPr>
        <w:lastRenderedPageBreak/>
        <w:t>Razones o Motivos de inconformidad:</w:t>
      </w:r>
      <w:bookmarkEnd w:id="69"/>
      <w:bookmarkEnd w:id="128"/>
      <w:bookmarkEnd w:id="129"/>
      <w:bookmarkEnd w:id="130"/>
      <w:bookmarkEnd w:id="131"/>
      <w:bookmarkEnd w:id="132"/>
      <w:bookmarkEnd w:id="133"/>
      <w:r w:rsidRPr="0074392C">
        <w:rPr>
          <w:rFonts w:ascii="Palatino Linotype" w:hAnsi="Palatino Linotype"/>
          <w:b/>
          <w:color w:val="000000" w:themeColor="text1"/>
        </w:rPr>
        <w:t xml:space="preserve"> </w:t>
      </w:r>
      <w:r w:rsidRPr="0074392C">
        <w:rPr>
          <w:rFonts w:ascii="Palatino Linotype" w:hAnsi="Palatino Linotype"/>
          <w:i/>
          <w:color w:val="000000" w:themeColor="text1"/>
        </w:rPr>
        <w:t>“</w:t>
      </w:r>
      <w:r w:rsidR="00435140" w:rsidRPr="0074392C">
        <w:rPr>
          <w:rFonts w:ascii="Palatino Linotype" w:hAnsi="Palatino Linotype"/>
          <w:i/>
          <w:color w:val="000000" w:themeColor="text1"/>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w:t>
      </w:r>
      <w:proofErr w:type="spellStart"/>
      <w:r w:rsidR="00435140" w:rsidRPr="0074392C">
        <w:rPr>
          <w:rFonts w:ascii="Palatino Linotype" w:hAnsi="Palatino Linotype"/>
          <w:i/>
          <w:color w:val="000000" w:themeColor="text1"/>
        </w:rPr>
        <w:t>Ecatzingo</w:t>
      </w:r>
      <w:proofErr w:type="spellEnd"/>
      <w:r w:rsidR="00435140" w:rsidRPr="0074392C">
        <w:rPr>
          <w:rFonts w:ascii="Palatino Linotype" w:hAnsi="Palatino Linotype"/>
          <w:i/>
          <w:color w:val="000000" w:themeColor="text1"/>
        </w:rPr>
        <w:t xml:space="preserve">, ya que su omisión de respuesta que no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w:t>
      </w:r>
      <w:proofErr w:type="spellStart"/>
      <w:r w:rsidR="00435140" w:rsidRPr="0074392C">
        <w:rPr>
          <w:rFonts w:ascii="Palatino Linotype" w:hAnsi="Palatino Linotype"/>
          <w:i/>
          <w:color w:val="000000" w:themeColor="text1"/>
        </w:rPr>
        <w:lastRenderedPageBreak/>
        <w:t>Ecatzingo</w:t>
      </w:r>
      <w:proofErr w:type="spellEnd"/>
      <w:r w:rsidR="00435140" w:rsidRPr="0074392C">
        <w:rPr>
          <w:rFonts w:ascii="Palatino Linotype" w:hAnsi="Palatino Linotype"/>
          <w:i/>
          <w:color w:val="000000" w:themeColor="text1"/>
        </w:rPr>
        <w:t xml:space="preserve">,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435140" w:rsidRPr="0074392C">
        <w:rPr>
          <w:rFonts w:ascii="Palatino Linotype" w:hAnsi="Palatino Linotype"/>
          <w:i/>
          <w:color w:val="000000" w:themeColor="text1"/>
        </w:rPr>
        <w:t>pdf</w:t>
      </w:r>
      <w:proofErr w:type="spellEnd"/>
      <w:r w:rsidR="00435140" w:rsidRPr="0074392C">
        <w:rPr>
          <w:rFonts w:ascii="Palatino Linotype" w:hAnsi="Palatino Linotype"/>
          <w:i/>
          <w:color w:val="000000" w:themeColor="text1"/>
        </w:rPr>
        <w:t xml:space="preserve">, se envían y listo. Respecto a las otras dos presentaciones del visor de nóminas del SAT (Vista anual acumulada vista Horizontal y vertical y detalle mensual) solo tiene que descargar los </w:t>
      </w:r>
      <w:proofErr w:type="spellStart"/>
      <w:r w:rsidR="00435140" w:rsidRPr="0074392C">
        <w:rPr>
          <w:rFonts w:ascii="Palatino Linotype" w:hAnsi="Palatino Linotype"/>
          <w:i/>
          <w:color w:val="000000" w:themeColor="text1"/>
        </w:rPr>
        <w:t>pdf</w:t>
      </w:r>
      <w:proofErr w:type="spellEnd"/>
      <w:r w:rsidR="00435140" w:rsidRPr="0074392C">
        <w:rPr>
          <w:rFonts w:ascii="Palatino Linotype" w:hAnsi="Palatino Linotype"/>
          <w:i/>
          <w:color w:val="000000" w:themeColor="text1"/>
        </w:rPr>
        <w:t xml:space="preserve">. de su portal del SAT. Dando solo dos </w:t>
      </w:r>
      <w:proofErr w:type="spellStart"/>
      <w:r w:rsidR="00435140" w:rsidRPr="0074392C">
        <w:rPr>
          <w:rFonts w:ascii="Palatino Linotype" w:hAnsi="Palatino Linotype"/>
          <w:i/>
          <w:color w:val="000000" w:themeColor="text1"/>
        </w:rPr>
        <w:t>clicks</w:t>
      </w:r>
      <w:proofErr w:type="spellEnd"/>
      <w:r w:rsidR="00435140" w:rsidRPr="0074392C">
        <w:rPr>
          <w:rFonts w:ascii="Palatino Linotype" w:hAnsi="Palatino Linotype"/>
          <w:i/>
          <w:color w:val="000000" w:themeColor="text1"/>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435140" w:rsidRPr="0074392C">
        <w:rPr>
          <w:rFonts w:ascii="Palatino Linotype" w:hAnsi="Palatino Linotype"/>
          <w:i/>
          <w:color w:val="000000" w:themeColor="text1"/>
        </w:rPr>
        <w:t>si</w:t>
      </w:r>
      <w:proofErr w:type="spellEnd"/>
      <w:r w:rsidR="00435140" w:rsidRPr="0074392C">
        <w:rPr>
          <w:rFonts w:ascii="Palatino Linotype" w:hAnsi="Palatino Linotype"/>
          <w:i/>
          <w:color w:val="000000" w:themeColor="text1"/>
        </w:rPr>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435140" w:rsidRPr="0074392C">
        <w:rPr>
          <w:rFonts w:ascii="Palatino Linotype" w:hAnsi="Palatino Linotype"/>
          <w:i/>
          <w:color w:val="000000" w:themeColor="text1"/>
        </w:rPr>
        <w:t>aún</w:t>
      </w:r>
      <w:proofErr w:type="spellEnd"/>
      <w:r w:rsidR="00435140" w:rsidRPr="0074392C">
        <w:rPr>
          <w:rFonts w:ascii="Palatino Linotype" w:hAnsi="Palatino Linotype"/>
          <w:i/>
          <w:color w:val="000000" w:themeColor="text1"/>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w:t>
      </w:r>
      <w:r w:rsidR="00435140" w:rsidRPr="0074392C">
        <w:rPr>
          <w:rFonts w:ascii="Palatino Linotype" w:hAnsi="Palatino Linotype"/>
          <w:i/>
          <w:color w:val="000000" w:themeColor="text1"/>
        </w:rPr>
        <w:lastRenderedPageBreak/>
        <w:t xml:space="preserve">sueldos y salarios por los años 2018, 2019, 2020 y </w:t>
      </w:r>
      <w:proofErr w:type="gramStart"/>
      <w:r w:rsidR="00435140" w:rsidRPr="0074392C">
        <w:rPr>
          <w:rFonts w:ascii="Palatino Linotype" w:hAnsi="Palatino Linotype"/>
          <w:i/>
          <w:color w:val="000000" w:themeColor="text1"/>
        </w:rPr>
        <w:t>2021 .Además</w:t>
      </w:r>
      <w:proofErr w:type="gramEnd"/>
      <w:r w:rsidR="00435140" w:rsidRPr="0074392C">
        <w:rPr>
          <w:rFonts w:ascii="Palatino Linotype" w:hAnsi="Palatino Linotype"/>
          <w:i/>
          <w:color w:val="000000" w:themeColor="text1"/>
        </w:rPr>
        <w:t xml:space="preserve"> de los otros puntos II, III y IV si es que aplican. Y el V y VI es una sugerencia para </w:t>
      </w:r>
      <w:proofErr w:type="spellStart"/>
      <w:r w:rsidR="00435140" w:rsidRPr="0074392C">
        <w:rPr>
          <w:rFonts w:ascii="Palatino Linotype" w:hAnsi="Palatino Linotype"/>
          <w:i/>
          <w:color w:val="000000" w:themeColor="text1"/>
        </w:rPr>
        <w:t>eficientar</w:t>
      </w:r>
      <w:proofErr w:type="spellEnd"/>
      <w:r w:rsidR="00435140" w:rsidRPr="0074392C">
        <w:rPr>
          <w:rFonts w:ascii="Palatino Linotype" w:hAnsi="Palatino Linotype"/>
          <w:i/>
          <w:color w:val="000000" w:themeColor="text1"/>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w:t>
      </w:r>
      <w:r w:rsidRPr="0074392C">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80237" w:rsidRPr="0074392C" w:rsidRDefault="00E80237" w:rsidP="00E80237">
      <w:pPr>
        <w:pStyle w:val="Prrafodelista"/>
        <w:spacing w:line="360" w:lineRule="auto"/>
        <w:ind w:left="1004"/>
        <w:jc w:val="both"/>
        <w:rPr>
          <w:rFonts w:ascii="Palatino Linotype" w:hAnsi="Palatino Linotype"/>
          <w:i/>
          <w:color w:val="000000" w:themeColor="text1"/>
        </w:rPr>
      </w:pPr>
    </w:p>
    <w:p w:rsidR="00177119" w:rsidRPr="0074392C" w:rsidRDefault="00E80237" w:rsidP="00821B43">
      <w:pPr>
        <w:pStyle w:val="Prrafodelista"/>
        <w:numPr>
          <w:ilvl w:val="0"/>
          <w:numId w:val="2"/>
        </w:numPr>
        <w:spacing w:line="360" w:lineRule="auto"/>
        <w:jc w:val="both"/>
        <w:rPr>
          <w:rFonts w:ascii="Palatino Linotype" w:eastAsiaTheme="majorEastAsia" w:hAnsi="Palatino Linotype" w:cstheme="majorBidi"/>
          <w:b/>
          <w:i/>
          <w:color w:val="000000" w:themeColor="text1"/>
        </w:rPr>
      </w:pPr>
      <w:r w:rsidRPr="0074392C">
        <w:rPr>
          <w:rStyle w:val="Ttulo2Car"/>
          <w:rFonts w:ascii="Palatino Linotype" w:hAnsi="Palatino Linotype"/>
          <w:color w:val="000000" w:themeColor="text1"/>
          <w:sz w:val="24"/>
          <w:szCs w:val="24"/>
        </w:rPr>
        <w:t>Asimismo, adjunto l</w:t>
      </w:r>
      <w:r w:rsidR="00177119" w:rsidRPr="0074392C">
        <w:rPr>
          <w:rStyle w:val="Ttulo2Car"/>
          <w:rFonts w:ascii="Palatino Linotype" w:hAnsi="Palatino Linotype"/>
          <w:color w:val="000000" w:themeColor="text1"/>
          <w:sz w:val="24"/>
          <w:szCs w:val="24"/>
        </w:rPr>
        <w:t>os</w:t>
      </w:r>
      <w:r w:rsidRPr="0074392C">
        <w:rPr>
          <w:rStyle w:val="Ttulo2Car"/>
          <w:rFonts w:ascii="Palatino Linotype" w:hAnsi="Palatino Linotype"/>
          <w:color w:val="000000" w:themeColor="text1"/>
          <w:sz w:val="24"/>
          <w:szCs w:val="24"/>
        </w:rPr>
        <w:t xml:space="preserve"> </w:t>
      </w:r>
      <w:proofErr w:type="gramStart"/>
      <w:r w:rsidR="00177119" w:rsidRPr="0074392C">
        <w:rPr>
          <w:rStyle w:val="Ttulo2Car"/>
          <w:rFonts w:ascii="Palatino Linotype" w:hAnsi="Palatino Linotype"/>
          <w:color w:val="000000" w:themeColor="text1"/>
          <w:sz w:val="24"/>
          <w:szCs w:val="24"/>
        </w:rPr>
        <w:t xml:space="preserve">siguiente </w:t>
      </w:r>
      <w:r w:rsidRPr="0074392C">
        <w:rPr>
          <w:rStyle w:val="Ttulo2Car"/>
          <w:rFonts w:ascii="Palatino Linotype" w:hAnsi="Palatino Linotype"/>
          <w:color w:val="000000" w:themeColor="text1"/>
          <w:sz w:val="24"/>
          <w:szCs w:val="24"/>
        </w:rPr>
        <w:t>archivo</w:t>
      </w:r>
      <w:r w:rsidR="00177119" w:rsidRPr="0074392C">
        <w:rPr>
          <w:rStyle w:val="Ttulo2Car"/>
          <w:rFonts w:ascii="Palatino Linotype" w:hAnsi="Palatino Linotype"/>
          <w:color w:val="000000" w:themeColor="text1"/>
          <w:sz w:val="24"/>
          <w:szCs w:val="24"/>
        </w:rPr>
        <w:t>s</w:t>
      </w:r>
      <w:r w:rsidRPr="0074392C">
        <w:rPr>
          <w:rStyle w:val="Ttulo2Car"/>
          <w:rFonts w:ascii="Palatino Linotype" w:hAnsi="Palatino Linotype"/>
          <w:color w:val="000000" w:themeColor="text1"/>
          <w:sz w:val="24"/>
          <w:szCs w:val="24"/>
        </w:rPr>
        <w:t xml:space="preserve"> </w:t>
      </w:r>
      <w:r w:rsidR="00177119" w:rsidRPr="0074392C">
        <w:rPr>
          <w:rStyle w:val="Ttulo2Car"/>
          <w:rFonts w:ascii="Palatino Linotype" w:hAnsi="Palatino Linotype"/>
          <w:color w:val="000000" w:themeColor="text1"/>
          <w:sz w:val="24"/>
          <w:szCs w:val="24"/>
        </w:rPr>
        <w:t>electrónicos</w:t>
      </w:r>
      <w:proofErr w:type="gramEnd"/>
      <w:r w:rsidR="00FF161F" w:rsidRPr="0074392C">
        <w:rPr>
          <w:rStyle w:val="Ttulo2Car"/>
          <w:rFonts w:ascii="Palatino Linotype" w:hAnsi="Palatino Linotype"/>
          <w:color w:val="000000" w:themeColor="text1"/>
          <w:sz w:val="24"/>
          <w:szCs w:val="24"/>
        </w:rPr>
        <w:t xml:space="preserve">, que corresponden al soporte documental de un </w:t>
      </w:r>
      <w:r w:rsidR="00FF161F" w:rsidRPr="0074392C">
        <w:rPr>
          <w:rStyle w:val="Ttulo2Car"/>
          <w:rFonts w:ascii="Palatino Linotype" w:hAnsi="Palatino Linotype"/>
          <w:b/>
          <w:color w:val="000000" w:themeColor="text1"/>
          <w:sz w:val="24"/>
          <w:szCs w:val="24"/>
        </w:rPr>
        <w:t>ente diverso</w:t>
      </w:r>
      <w:r w:rsidR="00FF161F" w:rsidRPr="0074392C">
        <w:rPr>
          <w:rStyle w:val="Ttulo2Car"/>
          <w:rFonts w:ascii="Palatino Linotype" w:hAnsi="Palatino Linotype"/>
          <w:color w:val="000000" w:themeColor="text1"/>
          <w:sz w:val="24"/>
          <w:szCs w:val="24"/>
        </w:rPr>
        <w:t xml:space="preserve"> al de mérito, del Estado de Guanajuato</w:t>
      </w:r>
      <w:r w:rsidR="00177119" w:rsidRPr="0074392C">
        <w:rPr>
          <w:rStyle w:val="Ttulo2Car"/>
          <w:rFonts w:ascii="Palatino Linotype" w:hAnsi="Palatino Linotype"/>
          <w:color w:val="000000" w:themeColor="text1"/>
          <w:sz w:val="24"/>
          <w:szCs w:val="24"/>
        </w:rPr>
        <w:t>:</w:t>
      </w:r>
    </w:p>
    <w:p w:rsidR="00177119" w:rsidRPr="0074392C" w:rsidRDefault="00177119" w:rsidP="00177119">
      <w:pPr>
        <w:pStyle w:val="Prrafodelista"/>
        <w:rPr>
          <w:rStyle w:val="Ttulo2Car"/>
          <w:rFonts w:ascii="Palatino Linotype" w:hAnsi="Palatino Linotype"/>
          <w:b/>
          <w:i/>
          <w:color w:val="000000" w:themeColor="text1"/>
          <w:sz w:val="24"/>
          <w:szCs w:val="24"/>
        </w:rPr>
      </w:pPr>
    </w:p>
    <w:p w:rsidR="00177119" w:rsidRPr="0074392C" w:rsidRDefault="00177119" w:rsidP="00821B43">
      <w:pPr>
        <w:pStyle w:val="Prrafodelista"/>
        <w:numPr>
          <w:ilvl w:val="0"/>
          <w:numId w:val="9"/>
        </w:numPr>
        <w:spacing w:line="360" w:lineRule="auto"/>
        <w:ind w:left="993"/>
        <w:jc w:val="both"/>
        <w:rPr>
          <w:rStyle w:val="Ttulo2Car"/>
          <w:rFonts w:ascii="Palatino Linotype" w:hAnsi="Palatino Linotype"/>
          <w:color w:val="000000" w:themeColor="text1"/>
          <w:sz w:val="24"/>
          <w:szCs w:val="24"/>
        </w:rPr>
      </w:pPr>
      <w:r w:rsidRPr="0074392C">
        <w:rPr>
          <w:rStyle w:val="Ttulo2Car"/>
          <w:rFonts w:ascii="Palatino Linotype" w:hAnsi="Palatino Linotype"/>
          <w:b/>
          <w:i/>
          <w:color w:val="000000" w:themeColor="text1"/>
          <w:sz w:val="24"/>
          <w:szCs w:val="24"/>
        </w:rPr>
        <w:t>G-35-03-03-2018-01 ejemplo presentación detalle mensual.pdf</w:t>
      </w:r>
    </w:p>
    <w:p w:rsidR="00177119" w:rsidRPr="0074392C" w:rsidRDefault="00177119" w:rsidP="00137203">
      <w:pPr>
        <w:pStyle w:val="Prrafodelista"/>
        <w:spacing w:line="360" w:lineRule="auto"/>
        <w:ind w:left="993"/>
        <w:jc w:val="both"/>
        <w:rPr>
          <w:rStyle w:val="Ttulo2Car"/>
          <w:rFonts w:ascii="Palatino Linotype" w:hAnsi="Palatino Linotype"/>
          <w:color w:val="000000" w:themeColor="text1"/>
          <w:sz w:val="24"/>
          <w:szCs w:val="24"/>
        </w:rPr>
      </w:pPr>
    </w:p>
    <w:p w:rsidR="00177119" w:rsidRPr="0074392C" w:rsidRDefault="00177119" w:rsidP="00821B43">
      <w:pPr>
        <w:pStyle w:val="Prrafodelista"/>
        <w:numPr>
          <w:ilvl w:val="0"/>
          <w:numId w:val="9"/>
        </w:numPr>
        <w:spacing w:line="360" w:lineRule="auto"/>
        <w:ind w:left="993"/>
        <w:jc w:val="both"/>
        <w:rPr>
          <w:rStyle w:val="Ttulo2Car"/>
          <w:rFonts w:ascii="Palatino Linotype" w:hAnsi="Palatino Linotype"/>
          <w:b/>
          <w:color w:val="000000" w:themeColor="text1"/>
          <w:sz w:val="24"/>
          <w:szCs w:val="24"/>
        </w:rPr>
      </w:pPr>
      <w:r w:rsidRPr="0074392C">
        <w:rPr>
          <w:rStyle w:val="Ttulo2Car"/>
          <w:rFonts w:ascii="Palatino Linotype" w:hAnsi="Palatino Linotype"/>
          <w:b/>
          <w:i/>
          <w:color w:val="000000" w:themeColor="text1"/>
          <w:sz w:val="24"/>
          <w:szCs w:val="24"/>
        </w:rPr>
        <w:t xml:space="preserve">G-13-03-01-2019-01 ejemplo vista anual acumulado o global.pdf </w:t>
      </w:r>
    </w:p>
    <w:p w:rsidR="00177119" w:rsidRPr="0074392C" w:rsidRDefault="00177119" w:rsidP="00137203">
      <w:pPr>
        <w:pStyle w:val="Prrafodelista"/>
        <w:spacing w:line="360" w:lineRule="auto"/>
        <w:ind w:left="993"/>
        <w:jc w:val="both"/>
        <w:rPr>
          <w:rStyle w:val="Ttulo2Car"/>
          <w:rFonts w:ascii="Palatino Linotype" w:hAnsi="Palatino Linotype"/>
          <w:color w:val="000000" w:themeColor="text1"/>
          <w:sz w:val="24"/>
          <w:szCs w:val="24"/>
        </w:rPr>
      </w:pPr>
    </w:p>
    <w:p w:rsidR="00E80237" w:rsidRPr="0074392C" w:rsidRDefault="00177119" w:rsidP="00821B43">
      <w:pPr>
        <w:pStyle w:val="Prrafodelista"/>
        <w:numPr>
          <w:ilvl w:val="0"/>
          <w:numId w:val="9"/>
        </w:numPr>
        <w:spacing w:line="360" w:lineRule="auto"/>
        <w:ind w:left="993"/>
        <w:jc w:val="both"/>
        <w:rPr>
          <w:rFonts w:ascii="Palatino Linotype" w:hAnsi="Palatino Linotype"/>
          <w:b/>
          <w:color w:val="000000" w:themeColor="text1"/>
        </w:rPr>
      </w:pPr>
      <w:r w:rsidRPr="0074392C">
        <w:rPr>
          <w:rStyle w:val="Ttulo2Car"/>
          <w:rFonts w:ascii="Palatino Linotype" w:hAnsi="Palatino Linotype"/>
          <w:b/>
          <w:i/>
          <w:color w:val="000000" w:themeColor="text1"/>
          <w:sz w:val="24"/>
          <w:szCs w:val="24"/>
        </w:rPr>
        <w:t>G-13-01-02-2019-01 ejemplo detalle diferencias sueldos y salarios, diferencias mensuales.pdf</w:t>
      </w:r>
    </w:p>
    <w:p w:rsidR="009F09BC" w:rsidRPr="0074392C" w:rsidRDefault="009F09BC" w:rsidP="00855290">
      <w:pPr>
        <w:pStyle w:val="Prrafodelista"/>
        <w:spacing w:line="360" w:lineRule="auto"/>
        <w:ind w:left="1004"/>
        <w:jc w:val="both"/>
        <w:rPr>
          <w:rFonts w:ascii="Palatino Linotype" w:hAnsi="Palatino Linotype"/>
          <w:i/>
          <w:color w:val="000000" w:themeColor="text1"/>
        </w:rPr>
      </w:pPr>
    </w:p>
    <w:p w:rsidR="009F09BC" w:rsidRPr="0074392C" w:rsidRDefault="00CC5B2F" w:rsidP="00821B43">
      <w:pPr>
        <w:pStyle w:val="Prrafodelista"/>
        <w:numPr>
          <w:ilvl w:val="0"/>
          <w:numId w:val="1"/>
        </w:numPr>
        <w:spacing w:line="360" w:lineRule="auto"/>
        <w:ind w:left="0" w:firstLine="0"/>
        <w:jc w:val="both"/>
        <w:rPr>
          <w:rFonts w:ascii="Palatino Linotype" w:hAnsi="Palatino Linotype"/>
          <w:i/>
        </w:rPr>
      </w:pPr>
      <w:r w:rsidRPr="0074392C">
        <w:rPr>
          <w:rFonts w:ascii="Palatino Linotype" w:eastAsia="Calibri" w:hAnsi="Palatino Linotype" w:cs="Arial"/>
          <w:lang w:val="es-ES"/>
        </w:rPr>
        <w:t>La Comisionada</w:t>
      </w:r>
      <w:r w:rsidR="009F09BC" w:rsidRPr="0074392C">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FF161F" w:rsidRPr="0074392C">
        <w:rPr>
          <w:rFonts w:ascii="Palatino Linotype" w:eastAsia="Calibri" w:hAnsi="Palatino Linotype" w:cs="Arial"/>
          <w:lang w:val="es-ES"/>
        </w:rPr>
        <w:t>veinti</w:t>
      </w:r>
      <w:r w:rsidR="00435140" w:rsidRPr="0074392C">
        <w:rPr>
          <w:rFonts w:ascii="Palatino Linotype" w:eastAsia="Calibri" w:hAnsi="Palatino Linotype" w:cs="Arial"/>
          <w:lang w:val="es-ES"/>
        </w:rPr>
        <w:t>ocho</w:t>
      </w:r>
      <w:r w:rsidR="009F09BC" w:rsidRPr="0074392C">
        <w:rPr>
          <w:rFonts w:ascii="Palatino Linotype" w:eastAsia="Calibri" w:hAnsi="Palatino Linotype" w:cs="Arial"/>
          <w:lang w:val="es-ES"/>
        </w:rPr>
        <w:t xml:space="preserve"> (</w:t>
      </w:r>
      <w:r w:rsidR="00FF161F" w:rsidRPr="0074392C">
        <w:rPr>
          <w:rFonts w:ascii="Palatino Linotype" w:eastAsia="Calibri" w:hAnsi="Palatino Linotype" w:cs="Arial"/>
          <w:lang w:val="es-ES"/>
        </w:rPr>
        <w:t>2</w:t>
      </w:r>
      <w:r w:rsidR="00435140" w:rsidRPr="0074392C">
        <w:rPr>
          <w:rFonts w:ascii="Palatino Linotype" w:eastAsia="Calibri" w:hAnsi="Palatino Linotype" w:cs="Arial"/>
          <w:lang w:val="es-ES"/>
        </w:rPr>
        <w:t>8</w:t>
      </w:r>
      <w:r w:rsidR="009F09BC" w:rsidRPr="0074392C">
        <w:rPr>
          <w:rFonts w:ascii="Palatino Linotype" w:eastAsia="Calibri" w:hAnsi="Palatino Linotype" w:cs="Arial"/>
          <w:lang w:val="es-ES"/>
        </w:rPr>
        <w:t xml:space="preserve">) de </w:t>
      </w:r>
      <w:r w:rsidR="00DA782E" w:rsidRPr="0074392C">
        <w:rPr>
          <w:rFonts w:ascii="Palatino Linotype" w:eastAsia="Calibri" w:hAnsi="Palatino Linotype" w:cs="Arial"/>
          <w:lang w:val="es-ES"/>
        </w:rPr>
        <w:t>febrero</w:t>
      </w:r>
      <w:r w:rsidR="00A03F8F" w:rsidRPr="0074392C">
        <w:rPr>
          <w:rFonts w:ascii="Palatino Linotype" w:eastAsia="Calibri" w:hAnsi="Palatino Linotype" w:cs="Arial"/>
          <w:lang w:val="es-ES"/>
        </w:rPr>
        <w:t xml:space="preserve"> del año en curso,</w:t>
      </w:r>
      <w:r w:rsidR="00DA782E" w:rsidRPr="0074392C">
        <w:rPr>
          <w:rFonts w:ascii="Palatino Linotype" w:eastAsia="Calibri" w:hAnsi="Palatino Linotype" w:cs="Arial"/>
          <w:lang w:val="es-ES"/>
        </w:rPr>
        <w:t xml:space="preserve"> </w:t>
      </w:r>
      <w:r w:rsidR="009F09BC" w:rsidRPr="0074392C">
        <w:rPr>
          <w:rFonts w:ascii="Palatino Linotype" w:eastAsia="Calibri" w:hAnsi="Palatino Linotype" w:cs="Arial"/>
          <w:lang w:val="es-ES"/>
        </w:rPr>
        <w:t xml:space="preserve">puso a disposición de las partes el expediente electrónico </w:t>
      </w:r>
      <w:r w:rsidR="009F09BC" w:rsidRPr="0074392C">
        <w:rPr>
          <w:rFonts w:ascii="Palatino Linotype" w:eastAsia="Calibri" w:hAnsi="Palatino Linotype" w:cs="Arial"/>
        </w:rPr>
        <w:t xml:space="preserve">vía </w:t>
      </w:r>
      <w:r w:rsidR="009F09BC" w:rsidRPr="0074392C">
        <w:rPr>
          <w:rFonts w:ascii="Palatino Linotype" w:eastAsia="Calibri" w:hAnsi="Palatino Linotype" w:cs="Arial"/>
          <w:b/>
          <w:lang w:val="es-ES"/>
        </w:rPr>
        <w:t xml:space="preserve">SAIMEX </w:t>
      </w:r>
      <w:r w:rsidR="009F09BC" w:rsidRPr="0074392C">
        <w:rPr>
          <w:rFonts w:ascii="Palatino Linotype" w:eastAsia="Calibri" w:hAnsi="Palatino Linotype" w:cs="Arial"/>
          <w:lang w:val="es-ES"/>
        </w:rPr>
        <w:t xml:space="preserve">a efecto de que en un plazo máximo de siete </w:t>
      </w:r>
      <w:r w:rsidR="009F09BC" w:rsidRPr="0074392C">
        <w:rPr>
          <w:rFonts w:ascii="Palatino Linotype" w:eastAsia="Calibri" w:hAnsi="Palatino Linotype" w:cs="Arial"/>
          <w:lang w:val="es-ES"/>
        </w:rPr>
        <w:lastRenderedPageBreak/>
        <w:t xml:space="preserve">días manifestaran lo que a su derecho conviniera, ofrecieran pruebas y alegatos según corresponda a los casos concretos, y el </w:t>
      </w:r>
      <w:r w:rsidR="009F09BC" w:rsidRPr="0074392C">
        <w:rPr>
          <w:rFonts w:ascii="Palatino Linotype" w:eastAsia="Calibri" w:hAnsi="Palatino Linotype" w:cs="Arial"/>
          <w:b/>
          <w:lang w:val="es-ES"/>
        </w:rPr>
        <w:t>SUJETO OBLIGADO</w:t>
      </w:r>
      <w:r w:rsidR="009F09BC" w:rsidRPr="0074392C">
        <w:rPr>
          <w:rFonts w:ascii="Palatino Linotype" w:eastAsia="Calibri" w:hAnsi="Palatino Linotype" w:cs="Arial"/>
          <w:lang w:val="es-ES"/>
        </w:rPr>
        <w:t xml:space="preserve"> presentará el Informe Justificado procedente.</w:t>
      </w:r>
    </w:p>
    <w:p w:rsidR="009F09BC" w:rsidRPr="0074392C" w:rsidRDefault="009F09BC" w:rsidP="00855290">
      <w:pPr>
        <w:pStyle w:val="Prrafodelista"/>
        <w:spacing w:line="360" w:lineRule="auto"/>
        <w:ind w:left="0"/>
        <w:jc w:val="both"/>
        <w:rPr>
          <w:rFonts w:ascii="Palatino Linotype" w:hAnsi="Palatino Linotype"/>
        </w:rPr>
      </w:pPr>
    </w:p>
    <w:p w:rsidR="009F09BC" w:rsidRPr="0074392C" w:rsidRDefault="009F09BC" w:rsidP="00821B43">
      <w:pPr>
        <w:pStyle w:val="Prrafodelista"/>
        <w:numPr>
          <w:ilvl w:val="0"/>
          <w:numId w:val="1"/>
        </w:numPr>
        <w:spacing w:line="360" w:lineRule="auto"/>
        <w:ind w:left="0" w:firstLine="0"/>
        <w:jc w:val="both"/>
        <w:rPr>
          <w:rFonts w:ascii="Palatino Linotype" w:hAnsi="Palatino Linotype"/>
        </w:rPr>
      </w:pPr>
      <w:r w:rsidRPr="0074392C">
        <w:rPr>
          <w:rFonts w:ascii="Palatino Linotype" w:hAnsi="Palatino Linotype"/>
          <w:color w:val="000000"/>
        </w:rPr>
        <w:t xml:space="preserve">El </w:t>
      </w:r>
      <w:r w:rsidRPr="0074392C">
        <w:rPr>
          <w:rFonts w:ascii="Palatino Linotype" w:hAnsi="Palatino Linotype"/>
          <w:b/>
          <w:color w:val="000000"/>
        </w:rPr>
        <w:t>SUJETO OBLIGADO</w:t>
      </w:r>
      <w:r w:rsidR="007A6A1A" w:rsidRPr="0074392C">
        <w:rPr>
          <w:rFonts w:ascii="Palatino Linotype" w:hAnsi="Palatino Linotype"/>
          <w:color w:val="000000"/>
        </w:rPr>
        <w:t xml:space="preserve"> </w:t>
      </w:r>
      <w:r w:rsidR="00FF161F" w:rsidRPr="0074392C">
        <w:rPr>
          <w:rFonts w:ascii="Palatino Linotype" w:hAnsi="Palatino Linotype"/>
          <w:color w:val="000000"/>
        </w:rPr>
        <w:t xml:space="preserve">rindió el informe justificado correspondiente en fecha cuatro (4) de marzo de dos mil veintidós, mismo que fue puesto a disposición del hoy </w:t>
      </w:r>
      <w:r w:rsidR="00FF161F" w:rsidRPr="0074392C">
        <w:rPr>
          <w:rFonts w:ascii="Palatino Linotype" w:hAnsi="Palatino Linotype"/>
          <w:b/>
          <w:color w:val="000000"/>
        </w:rPr>
        <w:t>RECURRENTE</w:t>
      </w:r>
      <w:r w:rsidR="00FF161F" w:rsidRPr="0074392C">
        <w:rPr>
          <w:rFonts w:ascii="Palatino Linotype" w:hAnsi="Palatino Linotype"/>
          <w:color w:val="000000"/>
        </w:rPr>
        <w:t xml:space="preserve"> mediante acuerdo de día catorce (14) del mismo mes y año</w:t>
      </w:r>
      <w:r w:rsidR="002C4997" w:rsidRPr="0074392C">
        <w:rPr>
          <w:rFonts w:ascii="Palatino Linotype" w:hAnsi="Palatino Linotype"/>
          <w:color w:val="000000"/>
        </w:rPr>
        <w:t xml:space="preserve">. </w:t>
      </w:r>
      <w:r w:rsidRPr="0074392C">
        <w:rPr>
          <w:rFonts w:ascii="Palatino Linotype" w:hAnsi="Palatino Linotype"/>
          <w:color w:val="000000"/>
        </w:rPr>
        <w:t xml:space="preserve">Por su parte </w:t>
      </w:r>
      <w:r w:rsidRPr="0074392C">
        <w:rPr>
          <w:rFonts w:ascii="Palatino Linotype" w:hAnsi="Palatino Linotype"/>
          <w:b/>
          <w:color w:val="000000"/>
        </w:rPr>
        <w:t xml:space="preserve">EL PARTICULAR </w:t>
      </w:r>
      <w:r w:rsidR="00743256" w:rsidRPr="0074392C">
        <w:rPr>
          <w:rFonts w:ascii="Palatino Linotype" w:hAnsi="Palatino Linotype"/>
          <w:color w:val="000000"/>
        </w:rPr>
        <w:t>realizó las manifestaciones que a su derecho convino en fecha dieciséis (16) de marzo del año en curso</w:t>
      </w:r>
      <w:r w:rsidR="00F2035F" w:rsidRPr="0074392C">
        <w:rPr>
          <w:rFonts w:ascii="Palatino Linotype" w:hAnsi="Palatino Linotype"/>
          <w:color w:val="000000"/>
        </w:rPr>
        <w:t xml:space="preserve">, mismas que versan </w:t>
      </w:r>
      <w:r w:rsidR="00F2035F" w:rsidRPr="0074392C">
        <w:rPr>
          <w:rFonts w:ascii="Palatino Linotype" w:hAnsi="Palatino Linotype"/>
          <w:i/>
          <w:color w:val="000000"/>
        </w:rPr>
        <w:t>grosso modo</w:t>
      </w:r>
      <w:r w:rsidR="00F2035F" w:rsidRPr="0074392C">
        <w:rPr>
          <w:rFonts w:ascii="Palatino Linotype" w:hAnsi="Palatino Linotype"/>
          <w:color w:val="000000"/>
        </w:rPr>
        <w:t xml:space="preserve"> en los mismos términos de los motivos de inconformidad del recurso de revisión</w:t>
      </w:r>
      <w:r w:rsidR="00743256" w:rsidRPr="0074392C">
        <w:rPr>
          <w:rFonts w:ascii="Palatino Linotype" w:hAnsi="Palatino Linotype"/>
          <w:color w:val="000000"/>
        </w:rPr>
        <w:t>.</w:t>
      </w:r>
    </w:p>
    <w:p w:rsidR="00ED6E75" w:rsidRPr="0074392C" w:rsidRDefault="00ED6E75" w:rsidP="00855290">
      <w:pPr>
        <w:pStyle w:val="Prrafodelista"/>
        <w:spacing w:line="360" w:lineRule="auto"/>
        <w:ind w:left="0"/>
        <w:jc w:val="both"/>
        <w:rPr>
          <w:rFonts w:ascii="Palatino Linotype" w:hAnsi="Palatino Linotype"/>
        </w:rPr>
      </w:pPr>
    </w:p>
    <w:p w:rsidR="009F09BC" w:rsidRPr="0074392C" w:rsidRDefault="00FF161F" w:rsidP="00821B43">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74392C">
        <w:rPr>
          <w:rFonts w:ascii="Palatino Linotype" w:hAnsi="Palatino Linotype"/>
        </w:rPr>
        <w:t>Mediante acuerdo</w:t>
      </w:r>
      <w:r w:rsidR="00435140" w:rsidRPr="0074392C">
        <w:rPr>
          <w:rFonts w:ascii="Palatino Linotype" w:hAnsi="Palatino Linotype"/>
        </w:rPr>
        <w:t>s</w:t>
      </w:r>
      <w:r w:rsidRPr="0074392C">
        <w:rPr>
          <w:rFonts w:ascii="Palatino Linotype" w:hAnsi="Palatino Linotype"/>
        </w:rPr>
        <w:t xml:space="preserve"> de fecha</w:t>
      </w:r>
      <w:r w:rsidR="0001674C" w:rsidRPr="0074392C">
        <w:rPr>
          <w:rFonts w:ascii="Palatino Linotype" w:hAnsi="Palatino Linotype"/>
        </w:rPr>
        <w:t xml:space="preserve"> </w:t>
      </w:r>
      <w:r w:rsidR="00435140" w:rsidRPr="0074392C">
        <w:rPr>
          <w:rFonts w:ascii="Palatino Linotype" w:hAnsi="Palatino Linotype"/>
        </w:rPr>
        <w:t>veintitrés</w:t>
      </w:r>
      <w:r w:rsidR="0001674C" w:rsidRPr="0074392C">
        <w:rPr>
          <w:rFonts w:ascii="Palatino Linotype" w:hAnsi="Palatino Linotype"/>
        </w:rPr>
        <w:t xml:space="preserve"> (</w:t>
      </w:r>
      <w:r w:rsidR="00435140" w:rsidRPr="0074392C">
        <w:rPr>
          <w:rFonts w:ascii="Palatino Linotype" w:hAnsi="Palatino Linotype"/>
        </w:rPr>
        <w:t>23</w:t>
      </w:r>
      <w:r w:rsidR="0001674C" w:rsidRPr="0074392C">
        <w:rPr>
          <w:rFonts w:ascii="Palatino Linotype" w:hAnsi="Palatino Linotype"/>
        </w:rPr>
        <w:t xml:space="preserve">) de </w:t>
      </w:r>
      <w:r w:rsidR="00435140" w:rsidRPr="0074392C">
        <w:rPr>
          <w:rFonts w:ascii="Palatino Linotype" w:hAnsi="Palatino Linotype"/>
        </w:rPr>
        <w:t>may</w:t>
      </w:r>
      <w:r w:rsidR="00A03F8F" w:rsidRPr="0074392C">
        <w:rPr>
          <w:rFonts w:ascii="Palatino Linotype" w:hAnsi="Palatino Linotype"/>
        </w:rPr>
        <w:t>o</w:t>
      </w:r>
      <w:r w:rsidR="0001674C" w:rsidRPr="0074392C">
        <w:rPr>
          <w:rFonts w:ascii="Palatino Linotype" w:hAnsi="Palatino Linotype"/>
        </w:rPr>
        <w:t xml:space="preserve"> de</w:t>
      </w:r>
      <w:r w:rsidR="00933A28" w:rsidRPr="0074392C">
        <w:rPr>
          <w:rFonts w:ascii="Palatino Linotype" w:hAnsi="Palatino Linotype"/>
        </w:rPr>
        <w:t xml:space="preserve"> dos mil veintidós</w:t>
      </w:r>
      <w:r w:rsidR="0001674C" w:rsidRPr="0074392C">
        <w:rPr>
          <w:rFonts w:ascii="Palatino Linotype" w:hAnsi="Palatino Linotype"/>
        </w:rPr>
        <w:t xml:space="preserve">, </w:t>
      </w:r>
      <w:r w:rsidRPr="0074392C">
        <w:rPr>
          <w:rFonts w:ascii="Palatino Linotype" w:hAnsi="Palatino Linotype"/>
        </w:rPr>
        <w:t xml:space="preserve">se amplió el termino para resolver y se </w:t>
      </w:r>
      <w:r w:rsidR="00A03F8F" w:rsidRPr="0074392C">
        <w:rPr>
          <w:rFonts w:ascii="Palatino Linotype" w:hAnsi="Palatino Linotype"/>
        </w:rPr>
        <w:t>d</w:t>
      </w:r>
      <w:r w:rsidR="007E55BA" w:rsidRPr="0074392C">
        <w:rPr>
          <w:rFonts w:ascii="Palatino Linotype" w:hAnsi="Palatino Linotype"/>
        </w:rPr>
        <w:t>ecretó el cierre de instrucción</w:t>
      </w:r>
      <w:r w:rsidR="00933A28" w:rsidRPr="0074392C">
        <w:rPr>
          <w:rFonts w:ascii="Palatino Linotype" w:hAnsi="Palatino Linotype"/>
        </w:rPr>
        <w:t>;</w:t>
      </w:r>
      <w:r w:rsidR="0001674C" w:rsidRPr="0074392C">
        <w:rPr>
          <w:rFonts w:ascii="Palatino Linotype" w:hAnsi="Palatino Linotype"/>
        </w:rPr>
        <w:t xml:space="preserve"> </w:t>
      </w:r>
      <w:r w:rsidR="009F09BC" w:rsidRPr="0074392C">
        <w:rPr>
          <w:rFonts w:ascii="Palatino Linotype" w:hAnsi="Palatino Linotype" w:cs="Arial"/>
        </w:rPr>
        <w:t>por lo que no habiendo más que hacer constar, y --------------------------</w:t>
      </w:r>
      <w:r w:rsidR="0001674C" w:rsidRPr="0074392C">
        <w:rPr>
          <w:rFonts w:ascii="Palatino Linotype" w:hAnsi="Palatino Linotype" w:cs="Arial"/>
        </w:rPr>
        <w:t>-------------------</w:t>
      </w:r>
      <w:r w:rsidR="00A03F8F" w:rsidRPr="0074392C">
        <w:rPr>
          <w:rFonts w:ascii="Palatino Linotype" w:hAnsi="Palatino Linotype" w:cs="Arial"/>
        </w:rPr>
        <w:t>-------------------</w:t>
      </w:r>
    </w:p>
    <w:p w:rsidR="00933A28" w:rsidRPr="0074392C" w:rsidRDefault="00933A28" w:rsidP="007E55BA">
      <w:pPr>
        <w:spacing w:line="360" w:lineRule="auto"/>
        <w:rPr>
          <w:rFonts w:ascii="Palatino Linotype" w:hAnsi="Palatino Linotype"/>
          <w:b/>
          <w:color w:val="000000" w:themeColor="text1"/>
        </w:rPr>
      </w:pPr>
    </w:p>
    <w:p w:rsidR="009F09BC" w:rsidRPr="0074392C" w:rsidRDefault="009F09BC" w:rsidP="00855290">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74392C">
        <w:rPr>
          <w:rFonts w:ascii="Palatino Linotype" w:hAnsi="Palatino Linotype"/>
          <w:b/>
          <w:color w:val="000000" w:themeColor="text1"/>
          <w:sz w:val="24"/>
          <w:szCs w:val="24"/>
        </w:rPr>
        <w:t>CONSIDERANDO</w:t>
      </w:r>
      <w:bookmarkEnd w:id="134"/>
      <w:bookmarkEnd w:id="135"/>
    </w:p>
    <w:p w:rsidR="009F09BC" w:rsidRPr="0074392C" w:rsidRDefault="009F09BC" w:rsidP="00855290">
      <w:pPr>
        <w:spacing w:line="360" w:lineRule="auto"/>
        <w:rPr>
          <w:rFonts w:ascii="Palatino Linotype" w:hAnsi="Palatino Linotype"/>
          <w:lang w:val="es-MX" w:eastAsia="en-US"/>
        </w:rPr>
      </w:pPr>
    </w:p>
    <w:p w:rsidR="009F09BC" w:rsidRPr="0074392C" w:rsidRDefault="009F09BC" w:rsidP="00855290">
      <w:pPr>
        <w:pStyle w:val="Ttulo2"/>
        <w:spacing w:before="0" w:line="360" w:lineRule="auto"/>
        <w:rPr>
          <w:rFonts w:ascii="Palatino Linotype" w:hAnsi="Palatino Linotype"/>
          <w:b/>
          <w:color w:val="auto"/>
          <w:sz w:val="24"/>
          <w:szCs w:val="24"/>
        </w:rPr>
      </w:pPr>
      <w:bookmarkStart w:id="136" w:name="_Toc491791303"/>
      <w:bookmarkStart w:id="137" w:name="_Toc83128579"/>
      <w:r w:rsidRPr="0074392C">
        <w:rPr>
          <w:rFonts w:ascii="Palatino Linotype" w:hAnsi="Palatino Linotype"/>
          <w:b/>
          <w:color w:val="auto"/>
          <w:sz w:val="24"/>
          <w:szCs w:val="24"/>
        </w:rPr>
        <w:t>PRIMERO. De la competencia</w:t>
      </w:r>
      <w:bookmarkEnd w:id="136"/>
      <w:bookmarkEnd w:id="137"/>
    </w:p>
    <w:p w:rsidR="009F09BC" w:rsidRPr="0074392C" w:rsidRDefault="009F09BC" w:rsidP="00855290">
      <w:pPr>
        <w:spacing w:line="360" w:lineRule="auto"/>
        <w:rPr>
          <w:rFonts w:ascii="Palatino Linotype" w:hAnsi="Palatino Linotype"/>
          <w:lang w:val="es-MX" w:eastAsia="en-US"/>
        </w:rPr>
      </w:pPr>
    </w:p>
    <w:p w:rsidR="00353F1D" w:rsidRPr="0074392C" w:rsidRDefault="00353F1D" w:rsidP="00821B43">
      <w:pPr>
        <w:pStyle w:val="Prrafodelista"/>
        <w:numPr>
          <w:ilvl w:val="0"/>
          <w:numId w:val="1"/>
        </w:numPr>
        <w:spacing w:line="360" w:lineRule="auto"/>
        <w:ind w:left="0" w:firstLine="0"/>
        <w:jc w:val="both"/>
        <w:rPr>
          <w:rFonts w:ascii="Palatino Linotype" w:hAnsi="Palatino Linotype"/>
          <w:color w:val="000000" w:themeColor="text1"/>
        </w:rPr>
      </w:pPr>
      <w:r w:rsidRPr="0074392C">
        <w:rPr>
          <w:rFonts w:ascii="Palatino Linotype" w:hAnsi="Palatino Linotype"/>
          <w:color w:val="000000" w:themeColor="text1"/>
        </w:rPr>
        <w:t xml:space="preserve">El </w:t>
      </w:r>
      <w:r w:rsidRPr="0074392C">
        <w:rPr>
          <w:rFonts w:ascii="Palatino Linotype" w:hAnsi="Palatino Linotype"/>
        </w:rPr>
        <w:t>Instituto</w:t>
      </w:r>
      <w:r w:rsidRPr="0074392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74392C">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74392C" w:rsidRDefault="007210B9" w:rsidP="007210B9">
      <w:pPr>
        <w:pStyle w:val="Prrafodelista"/>
        <w:spacing w:line="360" w:lineRule="auto"/>
        <w:ind w:left="0"/>
        <w:jc w:val="both"/>
        <w:rPr>
          <w:rFonts w:ascii="Palatino Linotype" w:hAnsi="Palatino Linotype"/>
          <w:color w:val="000000" w:themeColor="text1"/>
        </w:rPr>
      </w:pPr>
    </w:p>
    <w:p w:rsidR="009F09BC" w:rsidRPr="0074392C" w:rsidRDefault="009F09BC" w:rsidP="00855290">
      <w:pPr>
        <w:pStyle w:val="Ttulo2"/>
        <w:spacing w:before="0" w:line="360" w:lineRule="auto"/>
        <w:rPr>
          <w:rFonts w:ascii="Palatino Linotype" w:hAnsi="Palatino Linotype"/>
          <w:b/>
          <w:color w:val="auto"/>
          <w:sz w:val="24"/>
          <w:szCs w:val="24"/>
        </w:rPr>
      </w:pPr>
      <w:bookmarkStart w:id="138" w:name="_Toc491791304"/>
      <w:bookmarkStart w:id="139" w:name="_Toc83128580"/>
      <w:r w:rsidRPr="0074392C">
        <w:rPr>
          <w:rFonts w:ascii="Palatino Linotype" w:hAnsi="Palatino Linotype"/>
          <w:b/>
          <w:color w:val="auto"/>
          <w:sz w:val="24"/>
          <w:szCs w:val="24"/>
        </w:rPr>
        <w:t>SEGUNDO. De la oportunidad y procedencia.</w:t>
      </w:r>
      <w:bookmarkEnd w:id="138"/>
      <w:bookmarkEnd w:id="139"/>
    </w:p>
    <w:p w:rsidR="009F09BC" w:rsidRPr="0074392C" w:rsidRDefault="009F09BC" w:rsidP="00855290">
      <w:pPr>
        <w:spacing w:line="360" w:lineRule="auto"/>
        <w:rPr>
          <w:rFonts w:ascii="Palatino Linotype" w:hAnsi="Palatino Linotype"/>
          <w:lang w:val="es-MX" w:eastAsia="en-US"/>
        </w:rPr>
      </w:pPr>
    </w:p>
    <w:p w:rsidR="00435140" w:rsidRPr="0074392C" w:rsidRDefault="00435140" w:rsidP="00435140">
      <w:pPr>
        <w:numPr>
          <w:ilvl w:val="0"/>
          <w:numId w:val="1"/>
        </w:numPr>
        <w:spacing w:line="360" w:lineRule="auto"/>
        <w:ind w:left="0" w:firstLine="0"/>
        <w:contextualSpacing/>
        <w:jc w:val="both"/>
        <w:rPr>
          <w:rFonts w:ascii="Palatino Linotype" w:hAnsi="Palatino Linotype" w:cs="Arial"/>
        </w:rPr>
      </w:pPr>
      <w:r w:rsidRPr="0074392C">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74392C">
        <w:rPr>
          <w:rFonts w:ascii="Palatino Linotype" w:eastAsia="Calibri" w:hAnsi="Palatino Linotype" w:cs="Arial"/>
          <w:b/>
          <w:lang w:val="es-ES"/>
        </w:rPr>
        <w:t>SUJETO OBLIGADO</w:t>
      </w:r>
      <w:r w:rsidRPr="0074392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35140" w:rsidRPr="0074392C" w:rsidRDefault="00435140" w:rsidP="00435140">
      <w:pPr>
        <w:spacing w:line="360" w:lineRule="auto"/>
        <w:contextualSpacing/>
        <w:jc w:val="both"/>
        <w:rPr>
          <w:rFonts w:ascii="Palatino Linotype" w:hAnsi="Palatino Linotype" w:cs="Arial"/>
        </w:rPr>
      </w:pPr>
    </w:p>
    <w:p w:rsidR="00435140" w:rsidRPr="0074392C" w:rsidRDefault="00435140" w:rsidP="00435140">
      <w:pPr>
        <w:numPr>
          <w:ilvl w:val="0"/>
          <w:numId w:val="1"/>
        </w:numPr>
        <w:spacing w:line="360" w:lineRule="auto"/>
        <w:ind w:left="0" w:firstLine="0"/>
        <w:contextualSpacing/>
        <w:jc w:val="both"/>
        <w:rPr>
          <w:rFonts w:ascii="Palatino Linotype" w:hAnsi="Palatino Linotype" w:cs="Arial"/>
        </w:rPr>
      </w:pPr>
      <w:r w:rsidRPr="0074392C">
        <w:rPr>
          <w:rFonts w:ascii="Palatino Linotype" w:eastAsia="Calibri" w:hAnsi="Palatino Linotype" w:cs="Arial"/>
          <w:lang w:val="es-ES"/>
        </w:rPr>
        <w:t xml:space="preserve">Por ende, se constituye la figura jurídica de la </w:t>
      </w:r>
      <w:r w:rsidRPr="0074392C">
        <w:rPr>
          <w:rFonts w:ascii="Palatino Linotype" w:eastAsia="Calibri" w:hAnsi="Palatino Linotype" w:cs="Arial"/>
          <w:i/>
          <w:lang w:val="es-ES"/>
        </w:rPr>
        <w:t>negativa ficta</w:t>
      </w:r>
      <w:r w:rsidRPr="0074392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4392C">
        <w:rPr>
          <w:rFonts w:ascii="Palatino Linotype" w:eastAsia="Calibri" w:hAnsi="Palatino Linotype" w:cs="Arial"/>
          <w:b/>
          <w:lang w:val="es-ES"/>
        </w:rPr>
        <w:t>178</w:t>
      </w:r>
      <w:r w:rsidRPr="0074392C">
        <w:rPr>
          <w:rFonts w:ascii="Palatino Linotype" w:eastAsia="Calibri" w:hAnsi="Palatino Linotype" w:cs="Arial"/>
          <w:lang w:val="es-ES"/>
        </w:rPr>
        <w:t xml:space="preserve"> segundo párrafo de </w:t>
      </w:r>
      <w:r w:rsidRPr="0074392C">
        <w:rPr>
          <w:rFonts w:ascii="Palatino Linotype" w:eastAsia="Calibri" w:hAnsi="Palatino Linotype" w:cs="Arial"/>
          <w:b/>
          <w:lang w:val="es-ES"/>
        </w:rPr>
        <w:t>Ley de Transparencia y Acceso a la Información Pública del Estado de México y Municipios</w:t>
      </w:r>
      <w:r w:rsidRPr="0074392C">
        <w:rPr>
          <w:rFonts w:ascii="Palatino Linotype" w:eastAsia="Calibri" w:hAnsi="Palatino Linotype"/>
          <w:shd w:val="clear" w:color="auto" w:fill="FFFFFF"/>
        </w:rPr>
        <w:t xml:space="preserve">, que dispone; ante la falta de respuesta del </w:t>
      </w:r>
      <w:r w:rsidRPr="0074392C">
        <w:rPr>
          <w:rFonts w:ascii="Palatino Linotype" w:eastAsia="Calibri" w:hAnsi="Palatino Linotype"/>
          <w:b/>
          <w:shd w:val="clear" w:color="auto" w:fill="FFFFFF"/>
        </w:rPr>
        <w:t>SUJETO OBLIGADO,</w:t>
      </w:r>
      <w:r w:rsidRPr="0074392C">
        <w:rPr>
          <w:rFonts w:ascii="Palatino Linotype" w:eastAsia="Calibri" w:hAnsi="Palatino Linotype"/>
          <w:shd w:val="clear" w:color="auto" w:fill="FFFFFF"/>
        </w:rPr>
        <w:t xml:space="preserve"> dentro de los plazos establecidos en </w:t>
      </w:r>
      <w:r w:rsidRPr="0074392C">
        <w:rPr>
          <w:rFonts w:ascii="Palatino Linotype" w:eastAsia="Calibri" w:hAnsi="Palatino Linotype"/>
          <w:shd w:val="clear" w:color="auto" w:fill="FFFFFF"/>
        </w:rPr>
        <w:lastRenderedPageBreak/>
        <w:t xml:space="preserve">esta Ley, a una solicitud de acceso a la información pública, el recurso </w:t>
      </w:r>
      <w:r w:rsidRPr="0074392C">
        <w:rPr>
          <w:rFonts w:ascii="Palatino Linotype" w:eastAsia="Calibri" w:hAnsi="Palatino Linotype"/>
          <w:b/>
          <w:shd w:val="clear" w:color="auto" w:fill="FFFFFF"/>
        </w:rPr>
        <w:t xml:space="preserve">podrá ser interpuesto en cualquier momento. </w:t>
      </w:r>
    </w:p>
    <w:p w:rsidR="00435140" w:rsidRPr="0074392C" w:rsidRDefault="00435140" w:rsidP="00435140">
      <w:pPr>
        <w:spacing w:line="360" w:lineRule="auto"/>
        <w:ind w:left="284"/>
        <w:contextualSpacing/>
        <w:rPr>
          <w:rFonts w:ascii="Palatino Linotype" w:hAnsi="Palatino Linotype" w:cs="Arial"/>
        </w:rPr>
      </w:pPr>
    </w:p>
    <w:p w:rsidR="00435140" w:rsidRPr="0074392C" w:rsidRDefault="00435140" w:rsidP="00435140">
      <w:pPr>
        <w:numPr>
          <w:ilvl w:val="0"/>
          <w:numId w:val="1"/>
        </w:numPr>
        <w:spacing w:line="360" w:lineRule="auto"/>
        <w:ind w:left="0" w:firstLine="0"/>
        <w:contextualSpacing/>
        <w:jc w:val="both"/>
        <w:rPr>
          <w:rFonts w:ascii="Palatino Linotype" w:hAnsi="Palatino Linotype" w:cs="Arial"/>
        </w:rPr>
      </w:pPr>
      <w:r w:rsidRPr="0074392C">
        <w:rPr>
          <w:rFonts w:ascii="Palatino Linotype" w:eastAsia="Calibri" w:hAnsi="Palatino Linotype" w:cs="Arial"/>
          <w:lang w:val="es-ES"/>
        </w:rPr>
        <w:t xml:space="preserve">Por lo que, tratándose de la </w:t>
      </w:r>
      <w:r w:rsidRPr="0074392C">
        <w:rPr>
          <w:rFonts w:ascii="Palatino Linotype" w:eastAsia="Calibri" w:hAnsi="Palatino Linotype" w:cs="Arial"/>
          <w:i/>
          <w:lang w:val="es-ES"/>
        </w:rPr>
        <w:t>negativa ficta</w:t>
      </w:r>
      <w:r w:rsidRPr="0074392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4392C">
        <w:rPr>
          <w:rFonts w:ascii="Palatino Linotype" w:eastAsia="Calibri" w:hAnsi="Palatino Linotype" w:cs="Arial"/>
          <w:i/>
          <w:lang w:val="es-ES"/>
        </w:rPr>
        <w:t>negativa ficta</w:t>
      </w:r>
      <w:r w:rsidRPr="0074392C">
        <w:rPr>
          <w:rFonts w:ascii="Palatino Linotype" w:eastAsia="Calibri" w:hAnsi="Palatino Linotype" w:cs="Arial"/>
          <w:lang w:val="es-ES"/>
        </w:rPr>
        <w:t>, que señala:</w:t>
      </w:r>
    </w:p>
    <w:p w:rsidR="00435140" w:rsidRPr="0074392C" w:rsidRDefault="00435140" w:rsidP="00435140">
      <w:pPr>
        <w:spacing w:line="360" w:lineRule="auto"/>
        <w:contextualSpacing/>
        <w:jc w:val="both"/>
        <w:rPr>
          <w:rFonts w:ascii="Palatino Linotype" w:hAnsi="Palatino Linotype" w:cs="Arial"/>
        </w:rPr>
      </w:pPr>
    </w:p>
    <w:p w:rsidR="00435140" w:rsidRPr="0074392C" w:rsidRDefault="00435140" w:rsidP="00435140">
      <w:pPr>
        <w:tabs>
          <w:tab w:val="left" w:pos="7655"/>
        </w:tabs>
        <w:spacing w:line="360" w:lineRule="auto"/>
        <w:ind w:left="567" w:right="567"/>
        <w:jc w:val="center"/>
        <w:rPr>
          <w:rFonts w:ascii="Palatino Linotype" w:eastAsia="Calibri" w:hAnsi="Palatino Linotype" w:cs="Arial"/>
          <w:b/>
          <w:lang w:val="es-ES"/>
        </w:rPr>
      </w:pPr>
      <w:r w:rsidRPr="0074392C">
        <w:rPr>
          <w:rFonts w:ascii="Palatino Linotype" w:eastAsia="Calibri" w:hAnsi="Palatino Linotype" w:cs="Arial"/>
          <w:b/>
          <w:lang w:val="es-ES"/>
        </w:rPr>
        <w:t>Criterio 0001-15</w:t>
      </w:r>
    </w:p>
    <w:p w:rsidR="00435140" w:rsidRPr="0074392C" w:rsidRDefault="00435140" w:rsidP="00435140">
      <w:pPr>
        <w:tabs>
          <w:tab w:val="left" w:pos="7655"/>
        </w:tabs>
        <w:spacing w:line="360" w:lineRule="auto"/>
        <w:ind w:left="567" w:right="567"/>
        <w:jc w:val="both"/>
        <w:rPr>
          <w:rFonts w:ascii="Palatino Linotype" w:eastAsia="Calibri" w:hAnsi="Palatino Linotype" w:cs="Arial"/>
          <w:i/>
          <w:lang w:val="es-ES"/>
        </w:rPr>
      </w:pPr>
      <w:r w:rsidRPr="0074392C">
        <w:rPr>
          <w:rFonts w:ascii="Palatino Linotype" w:eastAsia="Calibri" w:hAnsi="Palatino Linotype" w:cs="Arial"/>
          <w:b/>
          <w:i/>
          <w:lang w:val="es-ES"/>
        </w:rPr>
        <w:t>NEGATIVA FICTA. PLAZO PARA INTERPONER EL RECURSO DE REVISIÓN TRATÁNDOSE DE.</w:t>
      </w:r>
      <w:r w:rsidRPr="0074392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74392C">
        <w:rPr>
          <w:rFonts w:ascii="Palatino Linotype" w:eastAsia="Calibri" w:hAnsi="Palatino Linotype" w:cs="Arial"/>
          <w:i/>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35140" w:rsidRPr="0074392C" w:rsidRDefault="00435140" w:rsidP="00435140">
      <w:pPr>
        <w:tabs>
          <w:tab w:val="left" w:pos="7655"/>
        </w:tabs>
        <w:spacing w:line="360" w:lineRule="auto"/>
        <w:ind w:left="567" w:right="567"/>
        <w:jc w:val="both"/>
        <w:rPr>
          <w:rFonts w:ascii="Palatino Linotype" w:eastAsia="Calibri" w:hAnsi="Palatino Linotype" w:cs="Arial"/>
          <w:i/>
          <w:lang w:val="es-ES"/>
        </w:rPr>
      </w:pPr>
    </w:p>
    <w:p w:rsidR="00435140" w:rsidRPr="0074392C" w:rsidRDefault="00435140" w:rsidP="00435140">
      <w:pPr>
        <w:numPr>
          <w:ilvl w:val="0"/>
          <w:numId w:val="1"/>
        </w:numPr>
        <w:spacing w:line="360" w:lineRule="auto"/>
        <w:ind w:left="0" w:firstLine="0"/>
        <w:contextualSpacing/>
        <w:jc w:val="both"/>
        <w:rPr>
          <w:rFonts w:ascii="Palatino Linotype" w:hAnsi="Palatino Linotype" w:cs="Arial"/>
          <w:lang w:val="es-ES" w:eastAsia="es-MX"/>
        </w:rPr>
      </w:pPr>
      <w:r w:rsidRPr="0074392C">
        <w:rPr>
          <w:rFonts w:ascii="Palatino Linotype" w:hAnsi="Palatino Linotype" w:cs="Arial"/>
          <w:lang w:val="es-ES" w:eastAsia="es-MX"/>
        </w:rPr>
        <w:t xml:space="preserve">Lo anterior, se explica porque la </w:t>
      </w:r>
      <w:r w:rsidRPr="0074392C">
        <w:rPr>
          <w:rFonts w:ascii="Palatino Linotype" w:hAnsi="Palatino Linotype" w:cs="Arial"/>
          <w:b/>
          <w:u w:val="single"/>
          <w:lang w:val="es-ES" w:eastAsia="es-MX"/>
        </w:rPr>
        <w:t>posible ausencia</w:t>
      </w:r>
      <w:r w:rsidRPr="0074392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392C">
        <w:rPr>
          <w:rFonts w:ascii="Palatino Linotype" w:hAnsi="Palatino Linotype" w:cs="Arial"/>
          <w:b/>
          <w:lang w:val="es-ES" w:eastAsia="es-MX"/>
        </w:rPr>
        <w:t>SUJETO OBLIGADO</w:t>
      </w:r>
      <w:r w:rsidRPr="0074392C">
        <w:rPr>
          <w:rFonts w:ascii="Palatino Linotype" w:hAnsi="Palatino Linotype" w:cs="Arial"/>
          <w:lang w:val="es-ES" w:eastAsia="es-MX"/>
        </w:rPr>
        <w:t>.</w:t>
      </w:r>
    </w:p>
    <w:p w:rsidR="00435140" w:rsidRPr="0074392C" w:rsidRDefault="00435140" w:rsidP="00435140">
      <w:pPr>
        <w:spacing w:line="360" w:lineRule="auto"/>
        <w:contextualSpacing/>
        <w:rPr>
          <w:rFonts w:ascii="Palatino Linotype" w:hAnsi="Palatino Linotype" w:cs="Arial"/>
          <w:lang w:val="es-ES" w:eastAsia="es-MX"/>
        </w:rPr>
      </w:pPr>
    </w:p>
    <w:p w:rsidR="00435140" w:rsidRPr="0074392C" w:rsidRDefault="00435140" w:rsidP="00435140">
      <w:pPr>
        <w:numPr>
          <w:ilvl w:val="0"/>
          <w:numId w:val="1"/>
        </w:numPr>
        <w:spacing w:line="360" w:lineRule="auto"/>
        <w:ind w:left="0" w:right="49" w:firstLine="0"/>
        <w:contextualSpacing/>
        <w:jc w:val="both"/>
        <w:rPr>
          <w:rFonts w:ascii="Palatino Linotype" w:hAnsi="Palatino Linotype" w:cs="Arial"/>
          <w:b/>
        </w:rPr>
      </w:pPr>
      <w:r w:rsidRPr="0074392C">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74392C" w:rsidRDefault="00CF0D2B" w:rsidP="007E55BA">
      <w:pPr>
        <w:spacing w:line="360" w:lineRule="auto"/>
        <w:rPr>
          <w:rFonts w:ascii="Palatino Linotype" w:hAnsi="Palatino Linotype"/>
        </w:rPr>
      </w:pPr>
    </w:p>
    <w:p w:rsidR="009F09BC" w:rsidRPr="0074392C" w:rsidRDefault="009F09BC" w:rsidP="00855290">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74392C">
        <w:rPr>
          <w:rFonts w:ascii="Palatino Linotype" w:hAnsi="Palatino Linotype"/>
          <w:b/>
          <w:color w:val="000000" w:themeColor="text1"/>
          <w:sz w:val="24"/>
          <w:szCs w:val="24"/>
        </w:rPr>
        <w:t xml:space="preserve">TERCERO. </w:t>
      </w:r>
      <w:bookmarkStart w:id="144" w:name="_Toc501021589"/>
      <w:r w:rsidRPr="0074392C">
        <w:rPr>
          <w:rFonts w:ascii="Palatino Linotype" w:hAnsi="Palatino Linotype"/>
          <w:b/>
          <w:color w:val="000000" w:themeColor="text1"/>
          <w:sz w:val="24"/>
          <w:szCs w:val="24"/>
        </w:rPr>
        <w:t xml:space="preserve">Del planteamiento de la </w:t>
      </w:r>
      <w:r w:rsidRPr="0074392C">
        <w:rPr>
          <w:rFonts w:ascii="Palatino Linotype" w:hAnsi="Palatino Linotype"/>
          <w:b/>
          <w:i/>
          <w:color w:val="000000" w:themeColor="text1"/>
          <w:sz w:val="24"/>
          <w:szCs w:val="24"/>
        </w:rPr>
        <w:t>Litis</w:t>
      </w:r>
      <w:r w:rsidRPr="0074392C">
        <w:rPr>
          <w:rFonts w:ascii="Palatino Linotype" w:hAnsi="Palatino Linotype"/>
          <w:b/>
          <w:color w:val="000000" w:themeColor="text1"/>
          <w:sz w:val="24"/>
          <w:szCs w:val="24"/>
        </w:rPr>
        <w:t>.</w:t>
      </w:r>
      <w:bookmarkEnd w:id="140"/>
      <w:bookmarkEnd w:id="141"/>
      <w:bookmarkEnd w:id="142"/>
      <w:bookmarkEnd w:id="143"/>
      <w:bookmarkEnd w:id="144"/>
    </w:p>
    <w:p w:rsidR="009F09BC" w:rsidRPr="0074392C" w:rsidRDefault="009F09BC" w:rsidP="00855290">
      <w:pPr>
        <w:spacing w:line="360" w:lineRule="auto"/>
        <w:rPr>
          <w:rFonts w:ascii="Palatino Linotype" w:hAnsi="Palatino Linotype"/>
          <w:lang w:val="es-MX" w:eastAsia="en-US"/>
        </w:rPr>
      </w:pPr>
    </w:p>
    <w:p w:rsidR="009F09BC" w:rsidRPr="0074392C" w:rsidRDefault="009F09BC" w:rsidP="00821B43">
      <w:pPr>
        <w:pStyle w:val="Prrafodelista"/>
        <w:numPr>
          <w:ilvl w:val="0"/>
          <w:numId w:val="1"/>
        </w:numPr>
        <w:spacing w:line="360" w:lineRule="auto"/>
        <w:ind w:left="0" w:firstLine="0"/>
        <w:jc w:val="both"/>
        <w:rPr>
          <w:rFonts w:ascii="Palatino Linotype" w:hAnsi="Palatino Linotype" w:cs="Arial"/>
        </w:rPr>
      </w:pPr>
      <w:r w:rsidRPr="0074392C">
        <w:rPr>
          <w:rFonts w:ascii="Palatino Linotype" w:hAnsi="Palatino Linotype" w:cs="Arial"/>
        </w:rPr>
        <w:t xml:space="preserve">Se </w:t>
      </w:r>
      <w:r w:rsidRPr="0074392C">
        <w:rPr>
          <w:rFonts w:ascii="Palatino Linotype" w:eastAsia="Calibri" w:hAnsi="Palatino Linotype" w:cs="Arial"/>
        </w:rPr>
        <w:t>solicitó</w:t>
      </w:r>
      <w:r w:rsidRPr="0074392C">
        <w:rPr>
          <w:rFonts w:ascii="Palatino Linotype" w:hAnsi="Palatino Linotype" w:cs="Arial"/>
        </w:rPr>
        <w:t xml:space="preserve"> </w:t>
      </w:r>
      <w:r w:rsidR="00AD63B4" w:rsidRPr="0074392C">
        <w:rPr>
          <w:rFonts w:ascii="Palatino Linotype" w:hAnsi="Palatino Linotype" w:cs="Arial"/>
        </w:rPr>
        <w:t xml:space="preserve">tener acceso, a la </w:t>
      </w:r>
      <w:r w:rsidRPr="0074392C">
        <w:rPr>
          <w:rFonts w:ascii="Palatino Linotype" w:hAnsi="Palatino Linotype" w:cs="Arial"/>
        </w:rPr>
        <w:t>información que a continuación se desagrega:</w:t>
      </w:r>
    </w:p>
    <w:p w:rsidR="009F09BC" w:rsidRPr="0074392C" w:rsidRDefault="009F09BC" w:rsidP="00855290">
      <w:pPr>
        <w:pStyle w:val="Prrafodelista"/>
        <w:spacing w:line="360" w:lineRule="auto"/>
        <w:ind w:left="0"/>
        <w:jc w:val="both"/>
        <w:rPr>
          <w:rFonts w:ascii="Palatino Linotype" w:hAnsi="Palatino Linotype" w:cs="Arial"/>
        </w:rPr>
      </w:pPr>
    </w:p>
    <w:p w:rsidR="00E57A52" w:rsidRPr="0074392C" w:rsidRDefault="00E57A52" w:rsidP="007E55BA">
      <w:pPr>
        <w:pStyle w:val="Prrafodelista"/>
        <w:numPr>
          <w:ilvl w:val="0"/>
          <w:numId w:val="6"/>
        </w:numPr>
        <w:spacing w:line="360" w:lineRule="auto"/>
        <w:ind w:left="851" w:right="539" w:hanging="284"/>
        <w:contextualSpacing w:val="0"/>
        <w:jc w:val="both"/>
        <w:rPr>
          <w:rFonts w:ascii="Palatino Linotype" w:hAnsi="Palatino Linotype" w:cs="Arial"/>
          <w:i/>
          <w:sz w:val="22"/>
        </w:rPr>
      </w:pPr>
      <w:r w:rsidRPr="0074392C">
        <w:rPr>
          <w:rFonts w:ascii="Palatino Linotype" w:hAnsi="Palatino Linotype" w:cs="Arial"/>
          <w:i/>
          <w:sz w:val="22"/>
        </w:rPr>
        <w:t xml:space="preserve">Reportes del aplicativo “Visor de nómina del SAT” por los años 2018, 2019, 2020, y 2021 en sus tres presentaciones: </w:t>
      </w:r>
    </w:p>
    <w:p w:rsidR="00E57A52" w:rsidRPr="0074392C" w:rsidRDefault="00E57A52" w:rsidP="00821B43">
      <w:pPr>
        <w:pStyle w:val="Prrafodelista"/>
        <w:numPr>
          <w:ilvl w:val="1"/>
          <w:numId w:val="7"/>
        </w:numPr>
        <w:spacing w:line="360" w:lineRule="auto"/>
        <w:ind w:left="1701" w:right="539"/>
        <w:contextualSpacing w:val="0"/>
        <w:jc w:val="both"/>
        <w:rPr>
          <w:rFonts w:ascii="Palatino Linotype" w:hAnsi="Palatino Linotype" w:cs="Arial"/>
          <w:i/>
          <w:sz w:val="22"/>
        </w:rPr>
      </w:pPr>
      <w:r w:rsidRPr="0074392C">
        <w:rPr>
          <w:rFonts w:ascii="Palatino Linotype" w:hAnsi="Palatino Linotype" w:cs="Arial"/>
          <w:i/>
          <w:sz w:val="22"/>
        </w:rPr>
        <w:t xml:space="preserve">Vista anual acumulada. </w:t>
      </w:r>
    </w:p>
    <w:p w:rsidR="00E57A52" w:rsidRPr="0074392C" w:rsidRDefault="00E57A52" w:rsidP="00821B43">
      <w:pPr>
        <w:pStyle w:val="Prrafodelista"/>
        <w:numPr>
          <w:ilvl w:val="1"/>
          <w:numId w:val="7"/>
        </w:numPr>
        <w:spacing w:line="360" w:lineRule="auto"/>
        <w:ind w:left="1701" w:right="539"/>
        <w:contextualSpacing w:val="0"/>
        <w:jc w:val="both"/>
        <w:rPr>
          <w:rFonts w:ascii="Palatino Linotype" w:hAnsi="Palatino Linotype" w:cs="Arial"/>
          <w:i/>
          <w:sz w:val="22"/>
        </w:rPr>
      </w:pPr>
      <w:r w:rsidRPr="0074392C">
        <w:rPr>
          <w:rFonts w:ascii="Palatino Linotype" w:hAnsi="Palatino Linotype" w:cs="Arial"/>
          <w:i/>
          <w:sz w:val="22"/>
        </w:rPr>
        <w:lastRenderedPageBreak/>
        <w:t xml:space="preserve">Detalle mensual. </w:t>
      </w:r>
    </w:p>
    <w:p w:rsidR="00E57A52" w:rsidRPr="0074392C" w:rsidRDefault="00E57A52" w:rsidP="00821B43">
      <w:pPr>
        <w:pStyle w:val="Prrafodelista"/>
        <w:numPr>
          <w:ilvl w:val="1"/>
          <w:numId w:val="7"/>
        </w:numPr>
        <w:spacing w:line="360" w:lineRule="auto"/>
        <w:ind w:left="1701" w:right="539"/>
        <w:contextualSpacing w:val="0"/>
        <w:jc w:val="both"/>
        <w:rPr>
          <w:rFonts w:ascii="Palatino Linotype" w:hAnsi="Palatino Linotype" w:cs="Arial"/>
          <w:i/>
          <w:sz w:val="22"/>
        </w:rPr>
      </w:pPr>
      <w:r w:rsidRPr="0074392C">
        <w:rPr>
          <w:rFonts w:ascii="Palatino Linotype" w:hAnsi="Palatino Linotype" w:cs="Arial"/>
          <w:i/>
          <w:sz w:val="22"/>
        </w:rPr>
        <w:t xml:space="preserve">Detalle diferencias sueldos y salarios. </w:t>
      </w:r>
    </w:p>
    <w:p w:rsidR="00E57A52" w:rsidRPr="0074392C"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74392C">
        <w:rPr>
          <w:rFonts w:ascii="Palatino Linotype" w:hAnsi="Palatino Linotype" w:cs="Arial"/>
          <w:i/>
          <w:sz w:val="22"/>
        </w:rPr>
        <w:t xml:space="preserve">La constancia de situación fiscal de no adeudo emitida por el INFONAVIT, generada desde el portal empresarial de esa Institución, a través de internet. </w:t>
      </w:r>
    </w:p>
    <w:p w:rsidR="00E57A52" w:rsidRPr="0074392C"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74392C">
        <w:rPr>
          <w:rFonts w:ascii="Palatino Linotype" w:hAnsi="Palatino Linotype" w:cs="Arial"/>
          <w:i/>
          <w:sz w:val="22"/>
        </w:rPr>
        <w:t xml:space="preserve">La opinión de no adeudo en el cumplimiento de obligaciones fiscales en materia de seguridad social emitida por el IMSS, generada desde el portal de esa Institución, a través de internet. </w:t>
      </w:r>
    </w:p>
    <w:p w:rsidR="00E57A52" w:rsidRPr="0074392C"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74392C">
        <w:rPr>
          <w:rFonts w:ascii="Palatino Linotype" w:hAnsi="Palatino Linotype" w:cs="Arial"/>
          <w:i/>
          <w:sz w:val="22"/>
        </w:rPr>
        <w:t xml:space="preserve">La opinión de no adeudo en el cumplimiento de obligaciones fiscales estatales emitida por el SAT, generada desde el portal de esa Institución, a través de internet. </w:t>
      </w:r>
    </w:p>
    <w:p w:rsidR="00E57A52" w:rsidRPr="0074392C"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74392C">
        <w:rPr>
          <w:rFonts w:ascii="Palatino Linotype" w:hAnsi="Palatino Linotype" w:cs="Arial"/>
          <w:i/>
          <w:sz w:val="22"/>
        </w:rPr>
        <w:t xml:space="preserve">Un papel de trabajo por el municipio, y otro por cada una de las paramunicipales que contenga los datos para identificar el ISR participable recuperado por cada mes desde </w:t>
      </w:r>
      <w:proofErr w:type="gramStart"/>
      <w:r w:rsidRPr="0074392C">
        <w:rPr>
          <w:rFonts w:ascii="Palatino Linotype" w:hAnsi="Palatino Linotype" w:cs="Arial"/>
          <w:i/>
          <w:sz w:val="22"/>
        </w:rPr>
        <w:t>Enero</w:t>
      </w:r>
      <w:proofErr w:type="gramEnd"/>
      <w:r w:rsidRPr="0074392C">
        <w:rPr>
          <w:rFonts w:ascii="Palatino Linotype" w:hAnsi="Palatino Linotype" w:cs="Arial"/>
          <w:i/>
          <w:sz w:val="22"/>
        </w:rPr>
        <w:t xml:space="preserve">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00E57A52" w:rsidRPr="0074392C" w:rsidRDefault="00E57A52" w:rsidP="00821B43">
      <w:pPr>
        <w:pStyle w:val="Prrafodelista"/>
        <w:numPr>
          <w:ilvl w:val="0"/>
          <w:numId w:val="6"/>
        </w:numPr>
        <w:spacing w:line="360" w:lineRule="auto"/>
        <w:ind w:left="851" w:right="539"/>
        <w:contextualSpacing w:val="0"/>
        <w:jc w:val="both"/>
        <w:rPr>
          <w:rFonts w:ascii="Palatino Linotype" w:hAnsi="Palatino Linotype" w:cs="Arial"/>
          <w:i/>
          <w:sz w:val="22"/>
        </w:rPr>
      </w:pPr>
      <w:r w:rsidRPr="0074392C">
        <w:rPr>
          <w:rFonts w:ascii="Palatino Linotype" w:hAnsi="Palatino Linotype" w:cs="Arial"/>
          <w:i/>
          <w:sz w:val="22"/>
        </w:rPr>
        <w:t xml:space="preserve"> </w:t>
      </w:r>
      <w:r w:rsidRPr="0074392C">
        <w:rPr>
          <w:rFonts w:ascii="Palatino Linotype" w:hAnsi="Palatino Linotype" w:cs="Arial"/>
          <w:i/>
          <w:sz w:val="22"/>
          <w:u w:val="single"/>
        </w:rPr>
        <w:t>Para comprobar que los trabajadores no están siendo afectados por errores en el cálculo de sus impuestos</w:t>
      </w:r>
      <w:r w:rsidRPr="0074392C">
        <w:rPr>
          <w:rFonts w:ascii="Palatino Linotype" w:hAnsi="Palatino Linotype" w:cs="Arial"/>
          <w:i/>
          <w:sz w:val="22"/>
        </w:rPr>
        <w:t xml:space="preserve"> (No tienen diferencias a cargo, ni diferencias a favor en su declaración anual precargada), propongo que </w:t>
      </w:r>
      <w:r w:rsidRPr="0074392C">
        <w:rPr>
          <w:rFonts w:ascii="Palatino Linotype" w:hAnsi="Palatino Linotype" w:cs="Arial"/>
          <w:i/>
          <w:sz w:val="22"/>
          <w:u w:val="single"/>
        </w:rPr>
        <w:t>seleccionen al azar 5 muestras del ayuntamiento y tres muestras de cada paramunicipal</w:t>
      </w:r>
      <w:r w:rsidRPr="0074392C">
        <w:rPr>
          <w:rFonts w:ascii="Palatino Linotype" w:hAnsi="Palatino Linotype" w:cs="Arial"/>
          <w:i/>
          <w:sz w:val="22"/>
        </w:rPr>
        <w:t xml:space="preserve">. A cada uno de los trabajadores </w:t>
      </w:r>
      <w:r w:rsidRPr="0074392C">
        <w:rPr>
          <w:rFonts w:ascii="Palatino Linotype" w:hAnsi="Palatino Linotype" w:cs="Arial"/>
          <w:i/>
          <w:sz w:val="22"/>
        </w:rPr>
        <w:lastRenderedPageBreak/>
        <w:t xml:space="preserve">seleccionados el personal responsable del municipio y/o de las paramunicipales, les calcularán el impuesto anual por los años 2017, 2018, 2019, y 2020, con base en los datos precargados en el expediente fiscal del trabajador. Para guardar la confidencialidad, </w:t>
      </w:r>
      <w:r w:rsidRPr="0074392C">
        <w:rPr>
          <w:rFonts w:ascii="Palatino Linotype" w:hAnsi="Palatino Linotype" w:cs="Arial"/>
          <w:i/>
          <w:sz w:val="22"/>
          <w:u w:val="single"/>
        </w:rPr>
        <w:t xml:space="preserve">a </w:t>
      </w:r>
      <w:proofErr w:type="spellStart"/>
      <w:r w:rsidRPr="0074392C">
        <w:rPr>
          <w:rFonts w:ascii="Palatino Linotype" w:hAnsi="Palatino Linotype" w:cs="Arial"/>
          <w:i/>
          <w:sz w:val="22"/>
          <w:u w:val="single"/>
        </w:rPr>
        <w:t>mi</w:t>
      </w:r>
      <w:proofErr w:type="spellEnd"/>
      <w:r w:rsidRPr="0074392C">
        <w:rPr>
          <w:rFonts w:ascii="Palatino Linotype" w:hAnsi="Palatino Linotype" w:cs="Arial"/>
          <w:i/>
          <w:sz w:val="22"/>
          <w:u w:val="single"/>
        </w:rPr>
        <w:t xml:space="preserve"> solo me entregarán un papel de trabajo con los siguientes encabezados</w:t>
      </w:r>
      <w:r w:rsidRPr="0074392C">
        <w:rPr>
          <w:rFonts w:ascii="Palatino Linotype" w:hAnsi="Palatino Linotype" w:cs="Arial"/>
          <w:i/>
          <w:sz w:val="22"/>
        </w:rPr>
        <w:t xml:space="preserve">: </w:t>
      </w:r>
      <w:proofErr w:type="gramStart"/>
      <w:r w:rsidRPr="0074392C">
        <w:rPr>
          <w:rFonts w:ascii="Palatino Linotype" w:hAnsi="Palatino Linotype" w:cs="Arial"/>
          <w:i/>
          <w:sz w:val="22"/>
        </w:rPr>
        <w:t>A)En</w:t>
      </w:r>
      <w:proofErr w:type="gramEnd"/>
      <w:r w:rsidRPr="0074392C">
        <w:rPr>
          <w:rFonts w:ascii="Palatino Linotype" w:hAnsi="Palatino Linotype" w:cs="Arial"/>
          <w:i/>
          <w:sz w:val="22"/>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rsidR="006972C5" w:rsidRPr="0074392C" w:rsidRDefault="006972C5" w:rsidP="00855290">
      <w:pPr>
        <w:pStyle w:val="Prrafodelista"/>
        <w:spacing w:line="360" w:lineRule="auto"/>
        <w:rPr>
          <w:rFonts w:ascii="Palatino Linotype" w:hAnsi="Palatino Linotype" w:cs="Arial"/>
          <w:b/>
        </w:rPr>
      </w:pPr>
    </w:p>
    <w:p w:rsidR="00435140" w:rsidRPr="0074392C" w:rsidRDefault="00743256" w:rsidP="00435140">
      <w:pPr>
        <w:numPr>
          <w:ilvl w:val="0"/>
          <w:numId w:val="1"/>
        </w:numPr>
        <w:spacing w:line="360" w:lineRule="auto"/>
        <w:ind w:left="0" w:firstLine="0"/>
        <w:contextualSpacing/>
        <w:jc w:val="both"/>
        <w:rPr>
          <w:rFonts w:ascii="Palatino Linotype" w:hAnsi="Palatino Linotype"/>
          <w:i/>
        </w:rPr>
      </w:pPr>
      <w:r w:rsidRPr="0074392C">
        <w:rPr>
          <w:rFonts w:ascii="Palatino Linotype" w:hAnsi="Palatino Linotype"/>
        </w:rPr>
        <w:t>D</w:t>
      </w:r>
      <w:r w:rsidR="00435140" w:rsidRPr="0074392C">
        <w:rPr>
          <w:rFonts w:ascii="Palatino Linotype" w:hAnsi="Palatino Linotype"/>
        </w:rPr>
        <w:t xml:space="preserve">erivado </w:t>
      </w:r>
      <w:r w:rsidR="00435140" w:rsidRPr="0074392C">
        <w:rPr>
          <w:rFonts w:ascii="Palatino Linotype" w:hAnsi="Palatino Linotype" w:cs="Arial"/>
        </w:rPr>
        <w:t xml:space="preserve">de la falta de respuesta por parte del </w:t>
      </w:r>
      <w:r w:rsidR="00435140" w:rsidRPr="0074392C">
        <w:rPr>
          <w:rFonts w:ascii="Palatino Linotype" w:hAnsi="Palatino Linotype" w:cs="Arial"/>
          <w:b/>
        </w:rPr>
        <w:t>SUJETO OBLIGADO</w:t>
      </w:r>
      <w:r w:rsidR="00435140" w:rsidRPr="0074392C">
        <w:rPr>
          <w:rFonts w:ascii="Palatino Linotype" w:hAnsi="Palatino Linotype" w:cs="Arial"/>
        </w:rPr>
        <w:t>, el particular interpuso el Recurso de Revisión</w:t>
      </w:r>
      <w:r w:rsidR="00435140" w:rsidRPr="0074392C">
        <w:rPr>
          <w:rFonts w:ascii="Palatino Linotype" w:hAnsi="Palatino Linotype"/>
        </w:rPr>
        <w:t>, ante este Órgano Garante para hacer valer su derecho de acceso a la información pública.</w:t>
      </w:r>
    </w:p>
    <w:p w:rsidR="00435140" w:rsidRPr="0074392C" w:rsidRDefault="00435140" w:rsidP="00435140">
      <w:pPr>
        <w:tabs>
          <w:tab w:val="left" w:pos="284"/>
        </w:tabs>
        <w:spacing w:line="360" w:lineRule="auto"/>
        <w:contextualSpacing/>
        <w:jc w:val="both"/>
        <w:rPr>
          <w:rFonts w:ascii="Palatino Linotype" w:hAnsi="Palatino Linotype"/>
          <w:i/>
        </w:rPr>
      </w:pPr>
    </w:p>
    <w:p w:rsidR="00435140" w:rsidRPr="0074392C" w:rsidRDefault="00435140" w:rsidP="00435140">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4392C">
        <w:rPr>
          <w:rFonts w:ascii="Palatino Linotype" w:eastAsia="MS Mincho" w:hAnsi="Palatino Linotype" w:cs="Arial"/>
        </w:rPr>
        <w:t xml:space="preserve">En </w:t>
      </w:r>
      <w:r w:rsidRPr="0074392C">
        <w:rPr>
          <w:rFonts w:ascii="Palatino Linotype" w:hAnsi="Palatino Linotype" w:cs="Arial"/>
        </w:rPr>
        <w:t xml:space="preserve">dichas condiciones, la </w:t>
      </w:r>
      <w:r w:rsidRPr="0074392C">
        <w:rPr>
          <w:rFonts w:ascii="Palatino Linotype" w:hAnsi="Palatino Linotype" w:cs="Arial"/>
          <w:i/>
        </w:rPr>
        <w:t>Litis</w:t>
      </w:r>
      <w:r w:rsidRPr="0074392C">
        <w:rPr>
          <w:rFonts w:ascii="Palatino Linotype" w:hAnsi="Palatino Linotype" w:cs="Arial"/>
        </w:rPr>
        <w:t xml:space="preserve"> a resolver en el presente recurso de revisión se circunscribe a determinar si </w:t>
      </w:r>
      <w:r w:rsidRPr="0074392C">
        <w:rPr>
          <w:rFonts w:ascii="Palatino Linotype" w:eastAsia="MS Mincho" w:hAnsi="Palatino Linotype" w:cs="Arial"/>
        </w:rPr>
        <w:t xml:space="preserve">se actualizan la causal de procedencia prevista en el artículo 179, fracción </w:t>
      </w:r>
      <w:r w:rsidRPr="0074392C">
        <w:rPr>
          <w:rFonts w:ascii="Palatino Linotype" w:eastAsia="MS Mincho" w:hAnsi="Palatino Linotype" w:cs="Arial"/>
          <w:b/>
        </w:rPr>
        <w:t>VII</w:t>
      </w:r>
      <w:r w:rsidRPr="0074392C">
        <w:rPr>
          <w:rFonts w:ascii="Palatino Linotype" w:eastAsia="MS Mincho" w:hAnsi="Palatino Linotype" w:cs="Arial"/>
        </w:rPr>
        <w:t xml:space="preserve"> de la </w:t>
      </w:r>
      <w:r w:rsidRPr="0074392C">
        <w:rPr>
          <w:rFonts w:ascii="Palatino Linotype" w:eastAsia="MS Mincho" w:hAnsi="Palatino Linotype" w:cs="Arial"/>
          <w:b/>
        </w:rPr>
        <w:t>Ley de Transparencia y Acceso a la Información Pública del Estado de México y Municipios</w:t>
      </w:r>
      <w:r w:rsidRPr="0074392C">
        <w:rPr>
          <w:rFonts w:ascii="Palatino Linotype" w:eastAsia="MS Mincho" w:hAnsi="Palatino Linotype" w:cs="Arial"/>
        </w:rPr>
        <w:t xml:space="preserve">; </w:t>
      </w:r>
      <w:r w:rsidRPr="0074392C">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74392C">
        <w:rPr>
          <w:rFonts w:ascii="Palatino Linotype" w:eastAsia="MS Mincho" w:hAnsi="Palatino Linotype" w:cs="Arial"/>
        </w:rPr>
        <w:t xml:space="preserve">contexto del cual se dolió la </w:t>
      </w:r>
      <w:r w:rsidRPr="0074392C">
        <w:rPr>
          <w:rFonts w:ascii="Palatino Linotype" w:eastAsia="MS Mincho" w:hAnsi="Palatino Linotype" w:cs="Arial"/>
          <w:b/>
        </w:rPr>
        <w:t>RECURRENTE</w:t>
      </w:r>
      <w:r w:rsidRPr="0074392C">
        <w:rPr>
          <w:rFonts w:ascii="Palatino Linotype" w:eastAsia="MS Mincho" w:hAnsi="Palatino Linotype" w:cs="Arial"/>
        </w:rPr>
        <w:t xml:space="preserve"> al momento de interponer su recurso de revisión</w:t>
      </w:r>
      <w:r w:rsidRPr="0074392C">
        <w:rPr>
          <w:rFonts w:ascii="Palatino Linotype" w:hAnsi="Palatino Linotype" w:cs="Arial"/>
          <w:color w:val="000000" w:themeColor="text1"/>
          <w:lang w:val="es-ES"/>
        </w:rPr>
        <w:t xml:space="preserve">; asimismo, determinar si se vulnera el derecho de acceso a la información de la particular por la inobservancia a los principios contenidos en el artículo 11 de la Ley de Transparencia y Acceso a la Información Pública del Estado de México y </w:t>
      </w:r>
      <w:r w:rsidRPr="0074392C">
        <w:rPr>
          <w:rFonts w:ascii="Palatino Linotype" w:hAnsi="Palatino Linotype" w:cs="Arial"/>
          <w:color w:val="000000" w:themeColor="text1"/>
          <w:lang w:val="es-ES"/>
        </w:rPr>
        <w:lastRenderedPageBreak/>
        <w:t>Municipios, los cuales señala entre otros, que en la generación y entrega de información se deberá garantizar que sea oportuna, expedita, completa e integral.</w:t>
      </w:r>
    </w:p>
    <w:p w:rsidR="007210B9" w:rsidRPr="0074392C" w:rsidRDefault="007210B9" w:rsidP="007E55BA">
      <w:pPr>
        <w:rPr>
          <w:rFonts w:ascii="Palatino Linotype" w:eastAsia="MS Mincho" w:hAnsi="Palatino Linotype" w:cs="Arial"/>
        </w:rPr>
      </w:pPr>
    </w:p>
    <w:p w:rsidR="009F09BC" w:rsidRPr="0074392C" w:rsidRDefault="009F09BC" w:rsidP="00855290">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74392C">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rsidR="009F09BC" w:rsidRPr="0074392C" w:rsidRDefault="009F09BC" w:rsidP="00855290">
      <w:pPr>
        <w:spacing w:line="360" w:lineRule="auto"/>
        <w:rPr>
          <w:rFonts w:ascii="Palatino Linotype" w:hAnsi="Palatino Linotype"/>
          <w:lang w:val="es-MX" w:eastAsia="en-US"/>
        </w:rPr>
      </w:pPr>
    </w:p>
    <w:p w:rsidR="00B54047" w:rsidRPr="0074392C"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74392C">
        <w:rPr>
          <w:rFonts w:ascii="Palatino Linotype" w:hAnsi="Palatino Linotype"/>
          <w:color w:val="000000" w:themeColor="text1"/>
        </w:rPr>
        <w:t>Primeramente es menester precisar</w:t>
      </w:r>
      <w:r w:rsidRPr="0074392C">
        <w:rPr>
          <w:rFonts w:ascii="Palatino Linotype" w:hAnsi="Palatino Linotype"/>
          <w:bCs/>
          <w:color w:val="000000" w:themeColor="text1"/>
          <w:lang w:val="es-MX"/>
        </w:rPr>
        <w:t xml:space="preserve"> que </w:t>
      </w:r>
      <w:r w:rsidRPr="0074392C">
        <w:rPr>
          <w:rFonts w:ascii="Palatino Linotype" w:hAnsi="Palatino Linotype"/>
          <w:bCs/>
          <w:color w:val="000000" w:themeColor="text1"/>
        </w:rPr>
        <w:t xml:space="preserve">este Órgano Garante parte del hecho que el </w:t>
      </w:r>
      <w:r w:rsidRPr="0074392C">
        <w:rPr>
          <w:rFonts w:ascii="Palatino Linotype" w:eastAsia="MS Mincho" w:hAnsi="Palatino Linotype" w:cs="Arial"/>
        </w:rPr>
        <w:t>Derecho</w:t>
      </w:r>
      <w:r w:rsidRPr="0074392C">
        <w:rPr>
          <w:rFonts w:ascii="Palatino Linotype" w:hAnsi="Palatino Linotype"/>
          <w:bCs/>
          <w:color w:val="000000" w:themeColor="text1"/>
        </w:rPr>
        <w:t xml:space="preserve"> de </w:t>
      </w:r>
      <w:r w:rsidRPr="0074392C">
        <w:rPr>
          <w:rFonts w:ascii="Palatino Linotype" w:eastAsia="MS Mincho" w:hAnsi="Palatino Linotype" w:cs="Arial"/>
        </w:rPr>
        <w:t>Acceso</w:t>
      </w:r>
      <w:r w:rsidRPr="0074392C">
        <w:rPr>
          <w:rFonts w:ascii="Palatino Linotype" w:hAnsi="Palatino Linotype"/>
          <w:bCs/>
          <w:color w:val="000000" w:themeColor="text1"/>
        </w:rPr>
        <w:t xml:space="preserve"> a la Información Pública, es un derecho humano </w:t>
      </w:r>
      <w:r w:rsidRPr="0074392C">
        <w:rPr>
          <w:rFonts w:ascii="Palatino Linotype" w:eastAsia="MS Mincho" w:hAnsi="Palatino Linotype" w:cs="Arial"/>
        </w:rPr>
        <w:t>reconocido</w:t>
      </w:r>
      <w:r w:rsidRPr="0074392C">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4392C">
        <w:rPr>
          <w:rFonts w:ascii="Palatino Linotype" w:hAnsi="Palatino Linotype"/>
          <w:b/>
          <w:bCs/>
          <w:color w:val="000000" w:themeColor="text1"/>
        </w:rPr>
        <w:t>SUJETO OBLIGADO</w:t>
      </w:r>
      <w:r w:rsidRPr="0074392C">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4392C">
        <w:rPr>
          <w:rFonts w:ascii="Palatino Linotype" w:hAnsi="Palatino Linotype"/>
          <w:b/>
          <w:bCs/>
          <w:color w:val="000000" w:themeColor="text1"/>
        </w:rPr>
        <w:t xml:space="preserve">Constitución Política de los Estados Unidos Mexicanos </w:t>
      </w:r>
      <w:r w:rsidRPr="0074392C">
        <w:rPr>
          <w:rFonts w:ascii="Palatino Linotype" w:hAnsi="Palatino Linotype"/>
          <w:bCs/>
          <w:color w:val="000000" w:themeColor="text1"/>
        </w:rPr>
        <w:t xml:space="preserve">al señalar la obligación de “promover, respetar, proteger y </w:t>
      </w:r>
      <w:r w:rsidRPr="0074392C">
        <w:rPr>
          <w:rFonts w:ascii="Palatino Linotype" w:hAnsi="Palatino Linotype"/>
          <w:b/>
          <w:bCs/>
          <w:color w:val="000000" w:themeColor="text1"/>
        </w:rPr>
        <w:t>garantizar</w:t>
      </w:r>
      <w:r w:rsidRPr="0074392C">
        <w:rPr>
          <w:rFonts w:ascii="Palatino Linotype" w:hAnsi="Palatino Linotype"/>
          <w:bCs/>
          <w:color w:val="000000" w:themeColor="text1"/>
        </w:rPr>
        <w:t xml:space="preserve"> los derechos humanos”, entre los cuales se encuentra dicho derecho.</w:t>
      </w:r>
    </w:p>
    <w:p w:rsidR="00435140" w:rsidRPr="0074392C" w:rsidRDefault="00435140" w:rsidP="00435140">
      <w:pPr>
        <w:spacing w:line="360" w:lineRule="auto"/>
        <w:contextualSpacing/>
        <w:jc w:val="both"/>
        <w:rPr>
          <w:rFonts w:ascii="Palatino Linotype" w:hAnsi="Palatino Linotype"/>
          <w:color w:val="000000" w:themeColor="text1"/>
        </w:rPr>
      </w:pPr>
    </w:p>
    <w:p w:rsidR="00B54047" w:rsidRPr="0074392C"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74392C">
        <w:rPr>
          <w:rFonts w:ascii="Palatino Linotype" w:hAnsi="Palatino Linotype"/>
          <w:color w:val="000000" w:themeColor="text1"/>
        </w:rPr>
        <w:t xml:space="preserve">Por </w:t>
      </w:r>
      <w:r w:rsidRPr="0074392C">
        <w:rPr>
          <w:rFonts w:ascii="Palatino Linotype" w:hAnsi="Palatino Linotype"/>
          <w:color w:val="000000" w:themeColor="text1"/>
          <w:lang w:val="es-MX"/>
        </w:rPr>
        <w:t xml:space="preserve">lo anterior, se deduce que el derecho de acceso a la información pública es un </w:t>
      </w:r>
      <w:r w:rsidRPr="0074392C">
        <w:rPr>
          <w:rFonts w:ascii="Palatino Linotype" w:hAnsi="Palatino Linotype"/>
          <w:color w:val="000000" w:themeColor="text1"/>
        </w:rPr>
        <w:t>derecho</w:t>
      </w:r>
      <w:r w:rsidRPr="0074392C">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74392C" w:rsidRDefault="00B54047" w:rsidP="00855290">
      <w:pPr>
        <w:spacing w:line="360" w:lineRule="auto"/>
        <w:rPr>
          <w:rFonts w:ascii="Palatino Linotype" w:hAnsi="Palatino Linotype"/>
          <w:color w:val="000000" w:themeColor="text1"/>
        </w:rPr>
      </w:pPr>
    </w:p>
    <w:p w:rsidR="00B54047" w:rsidRPr="0074392C"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74392C">
        <w:rPr>
          <w:rFonts w:ascii="Palatino Linotype" w:hAnsi="Palatino Linotype"/>
          <w:color w:val="000000" w:themeColor="text1"/>
        </w:rPr>
        <w:lastRenderedPageBreak/>
        <w:t xml:space="preserve">Así las cosas, </w:t>
      </w:r>
      <w:r w:rsidRPr="0074392C">
        <w:rPr>
          <w:rFonts w:ascii="Palatino Linotype" w:hAnsi="Palatino Linotype"/>
          <w:color w:val="000000" w:themeColor="text1"/>
          <w:lang w:val="es-MX"/>
        </w:rPr>
        <w:t xml:space="preserve">podemos definir el Derecho de Acceso a la Información Pública </w:t>
      </w:r>
      <w:r w:rsidRPr="0074392C">
        <w:rPr>
          <w:rFonts w:ascii="Palatino Linotype" w:hAnsi="Palatino Linotype"/>
          <w:color w:val="000000" w:themeColor="text1"/>
        </w:rPr>
        <w:t>como</w:t>
      </w:r>
      <w:r w:rsidRPr="0074392C">
        <w:rPr>
          <w:rFonts w:ascii="Palatino Linotype" w:hAnsi="Palatino Linotype"/>
          <w:color w:val="000000" w:themeColor="text1"/>
          <w:lang w:val="es-MX"/>
        </w:rPr>
        <w:t xml:space="preserve">: </w:t>
      </w:r>
      <w:r w:rsidRPr="0074392C">
        <w:rPr>
          <w:rFonts w:ascii="Palatino Linotype" w:hAnsi="Palatino Linotype"/>
          <w:i/>
          <w:color w:val="000000" w:themeColor="text1"/>
          <w:lang w:val="es-MX"/>
        </w:rPr>
        <w:t xml:space="preserve">La </w:t>
      </w:r>
      <w:r w:rsidRPr="0074392C">
        <w:rPr>
          <w:rFonts w:ascii="Palatino Linotype" w:hAnsi="Palatino Linotype"/>
          <w:color w:val="000000" w:themeColor="text1"/>
        </w:rPr>
        <w:t>igualdad</w:t>
      </w:r>
      <w:r w:rsidRPr="0074392C">
        <w:rPr>
          <w:rFonts w:ascii="Palatino Linotype" w:hAnsi="Palatino Linotype"/>
          <w:i/>
          <w:color w:val="000000" w:themeColor="text1"/>
          <w:lang w:val="es-MX"/>
        </w:rPr>
        <w:t xml:space="preserve"> de oportunidades para recibir, buscar e impartir información</w:t>
      </w:r>
      <w:r w:rsidRPr="0074392C">
        <w:rPr>
          <w:rFonts w:ascii="Palatino Linotype" w:hAnsi="Palatino Linotype"/>
          <w:i/>
          <w:color w:val="000000" w:themeColor="text1"/>
          <w:vertAlign w:val="superscript"/>
          <w:lang w:val="es-MX"/>
        </w:rPr>
        <w:footnoteReference w:id="1"/>
      </w:r>
      <w:r w:rsidRPr="0074392C">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392C">
        <w:rPr>
          <w:rFonts w:ascii="Palatino Linotype" w:hAnsi="Palatino Linotype"/>
          <w:i/>
          <w:color w:val="000000" w:themeColor="text1"/>
          <w:vertAlign w:val="superscript"/>
          <w:lang w:val="es-MX"/>
        </w:rPr>
        <w:footnoteReference w:id="2"/>
      </w:r>
      <w:r w:rsidRPr="0074392C">
        <w:rPr>
          <w:rFonts w:ascii="Palatino Linotype" w:hAnsi="Palatino Linotype"/>
          <w:color w:val="000000" w:themeColor="text1"/>
          <w:lang w:val="es-MX"/>
        </w:rPr>
        <w:t>que se constituye como una herramienta fundamental para ejercer</w:t>
      </w:r>
      <w:r w:rsidRPr="0074392C">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74392C">
        <w:rPr>
          <w:rFonts w:ascii="Palatino Linotype" w:hAnsi="Palatino Linotype"/>
          <w:i/>
          <w:color w:val="000000" w:themeColor="text1"/>
          <w:vertAlign w:val="superscript"/>
          <w:lang w:val="es-MX"/>
        </w:rPr>
        <w:footnoteReference w:id="3"/>
      </w:r>
      <w:r w:rsidRPr="0074392C">
        <w:rPr>
          <w:rFonts w:ascii="Palatino Linotype" w:hAnsi="Palatino Linotype"/>
          <w:i/>
          <w:color w:val="000000" w:themeColor="text1"/>
          <w:lang w:val="es-MX"/>
        </w:rPr>
        <w:t xml:space="preserve"> </w:t>
      </w:r>
      <w:r w:rsidRPr="0074392C">
        <w:rPr>
          <w:rFonts w:ascii="Palatino Linotype" w:hAnsi="Palatino Linotype"/>
          <w:color w:val="000000" w:themeColor="text1"/>
          <w:lang w:val="es-MX"/>
        </w:rPr>
        <w:t>fomentando</w:t>
      </w:r>
      <w:r w:rsidRPr="0074392C">
        <w:rPr>
          <w:rFonts w:ascii="Palatino Linotype" w:hAnsi="Palatino Linotype"/>
          <w:i/>
          <w:color w:val="000000" w:themeColor="text1"/>
          <w:lang w:val="es-MX"/>
        </w:rPr>
        <w:t xml:space="preserve"> la transparencia de las actividades estatales y </w:t>
      </w:r>
      <w:r w:rsidRPr="0074392C">
        <w:rPr>
          <w:rFonts w:ascii="Palatino Linotype" w:hAnsi="Palatino Linotype"/>
          <w:color w:val="000000" w:themeColor="text1"/>
          <w:lang w:val="es-MX"/>
        </w:rPr>
        <w:t>promoviendo</w:t>
      </w:r>
      <w:r w:rsidRPr="0074392C">
        <w:rPr>
          <w:rFonts w:ascii="Palatino Linotype" w:hAnsi="Palatino Linotype"/>
          <w:i/>
          <w:color w:val="000000" w:themeColor="text1"/>
          <w:lang w:val="es-MX"/>
        </w:rPr>
        <w:t xml:space="preserve"> la responsabilidad de los funcionarios sobre su gestión pública,</w:t>
      </w:r>
      <w:r w:rsidRPr="0074392C">
        <w:rPr>
          <w:rFonts w:ascii="Palatino Linotype" w:hAnsi="Palatino Linotype"/>
          <w:i/>
          <w:color w:val="000000" w:themeColor="text1"/>
          <w:vertAlign w:val="superscript"/>
          <w:lang w:val="es-MX"/>
        </w:rPr>
        <w:footnoteReference w:id="4"/>
      </w:r>
      <w:r w:rsidRPr="0074392C">
        <w:rPr>
          <w:rFonts w:ascii="Palatino Linotype" w:hAnsi="Palatino Linotype"/>
          <w:color w:val="000000" w:themeColor="text1"/>
          <w:lang w:val="es-MX"/>
        </w:rPr>
        <w:t>que permite</w:t>
      </w:r>
      <w:r w:rsidRPr="0074392C">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74392C" w:rsidRDefault="00B54047" w:rsidP="007E55BA">
      <w:pPr>
        <w:spacing w:line="360" w:lineRule="auto"/>
        <w:rPr>
          <w:rFonts w:ascii="Palatino Linotype" w:hAnsi="Palatino Linotype"/>
          <w:color w:val="000000" w:themeColor="text1"/>
        </w:rPr>
      </w:pPr>
    </w:p>
    <w:p w:rsidR="00B54047" w:rsidRPr="0074392C" w:rsidRDefault="00B54047" w:rsidP="00821B43">
      <w:pPr>
        <w:numPr>
          <w:ilvl w:val="0"/>
          <w:numId w:val="1"/>
        </w:numPr>
        <w:spacing w:line="360" w:lineRule="auto"/>
        <w:ind w:left="0" w:firstLine="0"/>
        <w:contextualSpacing/>
        <w:jc w:val="both"/>
        <w:rPr>
          <w:rFonts w:ascii="Palatino Linotype" w:hAnsi="Palatino Linotype"/>
          <w:color w:val="000000" w:themeColor="text1"/>
        </w:rPr>
      </w:pPr>
      <w:r w:rsidRPr="0074392C">
        <w:rPr>
          <w:rFonts w:ascii="Palatino Linotype" w:hAnsi="Palatino Linotype"/>
          <w:color w:val="000000" w:themeColor="text1"/>
        </w:rPr>
        <w:t xml:space="preserve">Por otro lado, </w:t>
      </w:r>
      <w:r w:rsidRPr="0074392C">
        <w:rPr>
          <w:rFonts w:ascii="Palatino Linotype" w:hAnsi="Palatino Linotype"/>
          <w:color w:val="000000" w:themeColor="text1"/>
          <w:lang w:val="es-MX"/>
        </w:rPr>
        <w:t xml:space="preserve">la Ley de Transparencia y Acceso a la Información Pública del Estado de </w:t>
      </w:r>
      <w:r w:rsidRPr="0074392C">
        <w:rPr>
          <w:rFonts w:ascii="Palatino Linotype" w:hAnsi="Palatino Linotype"/>
          <w:color w:val="000000" w:themeColor="text1"/>
        </w:rPr>
        <w:t>México</w:t>
      </w:r>
      <w:r w:rsidRPr="0074392C">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74392C">
        <w:rPr>
          <w:rFonts w:ascii="Palatino Linotype" w:hAnsi="Palatino Linotype"/>
          <w:color w:val="000000" w:themeColor="text1"/>
          <w:lang w:val="es-MX"/>
        </w:rPr>
        <w:lastRenderedPageBreak/>
        <w:t>posible afectación y, de ser el caso, ordenar la reparación a la violación del derecho en cuestión.</w:t>
      </w:r>
    </w:p>
    <w:p w:rsidR="00B54047" w:rsidRPr="0074392C" w:rsidRDefault="00B54047" w:rsidP="00855290">
      <w:pPr>
        <w:pStyle w:val="Prrafodelista"/>
        <w:spacing w:line="360" w:lineRule="auto"/>
        <w:ind w:left="0"/>
        <w:jc w:val="both"/>
        <w:rPr>
          <w:rFonts w:ascii="Palatino Linotype" w:eastAsia="MS Mincho" w:hAnsi="Palatino Linotype" w:cs="Arial"/>
        </w:rPr>
      </w:pPr>
    </w:p>
    <w:p w:rsidR="00435140" w:rsidRPr="0074392C" w:rsidRDefault="0052774E" w:rsidP="00821B43">
      <w:pPr>
        <w:numPr>
          <w:ilvl w:val="0"/>
          <w:numId w:val="1"/>
        </w:numPr>
        <w:spacing w:line="360" w:lineRule="auto"/>
        <w:ind w:left="0" w:firstLine="0"/>
        <w:contextualSpacing/>
        <w:jc w:val="both"/>
        <w:rPr>
          <w:rFonts w:ascii="Palatino Linotype" w:hAnsi="Palatino Linotype"/>
          <w:color w:val="000000"/>
        </w:rPr>
      </w:pPr>
      <w:r w:rsidRPr="0074392C">
        <w:rPr>
          <w:rFonts w:ascii="Palatino Linotype" w:hAnsi="Palatino Linotype"/>
          <w:color w:val="000000"/>
        </w:rPr>
        <w:t>Ahora bien, como se advierte de las constancias que integran el expediente electrónico en que se actúa</w:t>
      </w:r>
      <w:r w:rsidRPr="0074392C">
        <w:rPr>
          <w:rFonts w:ascii="Palatino Linotype" w:hAnsi="Palatino Linotype"/>
          <w:color w:val="000000"/>
          <w:lang w:val="es-MX"/>
        </w:rPr>
        <w:t xml:space="preserve">, el </w:t>
      </w:r>
      <w:r w:rsidRPr="0074392C">
        <w:rPr>
          <w:rFonts w:ascii="Palatino Linotype" w:hAnsi="Palatino Linotype"/>
          <w:b/>
          <w:color w:val="000000"/>
          <w:lang w:val="es-MX"/>
        </w:rPr>
        <w:t>SUJETO OBLIGADO</w:t>
      </w:r>
      <w:r w:rsidRPr="0074392C">
        <w:rPr>
          <w:rFonts w:ascii="Palatino Linotype" w:hAnsi="Palatino Linotype"/>
          <w:color w:val="000000"/>
          <w:lang w:val="es-MX"/>
        </w:rPr>
        <w:t xml:space="preserve"> </w:t>
      </w:r>
      <w:r w:rsidR="00435140" w:rsidRPr="0074392C">
        <w:rPr>
          <w:rFonts w:ascii="Palatino Linotype" w:hAnsi="Palatino Linotype"/>
          <w:color w:val="000000"/>
          <w:lang w:val="es-MX"/>
        </w:rPr>
        <w:t>fue omiso dar respuesta a la solicitud de información de mérito dentro del plazo legalmente establecido para tal efecto.</w:t>
      </w:r>
      <w:r w:rsidR="00463A37" w:rsidRPr="0074392C">
        <w:rPr>
          <w:rFonts w:ascii="Palatino Linotype" w:hAnsi="Palatino Linotype"/>
          <w:color w:val="000000"/>
          <w:lang w:val="es-MX"/>
        </w:rPr>
        <w:t xml:space="preserve"> No </w:t>
      </w:r>
      <w:proofErr w:type="gramStart"/>
      <w:r w:rsidR="00463A37" w:rsidRPr="0074392C">
        <w:rPr>
          <w:rFonts w:ascii="Palatino Linotype" w:hAnsi="Palatino Linotype"/>
          <w:color w:val="000000"/>
          <w:lang w:val="es-MX"/>
        </w:rPr>
        <w:t>obstante</w:t>
      </w:r>
      <w:proofErr w:type="gramEnd"/>
      <w:r w:rsidR="00463A37" w:rsidRPr="0074392C">
        <w:rPr>
          <w:rFonts w:ascii="Palatino Linotype" w:hAnsi="Palatino Linotype"/>
          <w:color w:val="000000"/>
          <w:lang w:val="es-MX"/>
        </w:rPr>
        <w:t xml:space="preserve"> en un hecho posterior a la interposición del recurso de revisión como lo es la presentación del informe justificado, el </w:t>
      </w:r>
      <w:r w:rsidR="00463A37" w:rsidRPr="0074392C">
        <w:rPr>
          <w:rFonts w:ascii="Palatino Linotype" w:hAnsi="Palatino Linotype"/>
          <w:b/>
          <w:color w:val="000000"/>
          <w:lang w:val="es-MX"/>
        </w:rPr>
        <w:t>SUJETO OBLIGADO</w:t>
      </w:r>
      <w:r w:rsidR="00463A37" w:rsidRPr="0074392C">
        <w:rPr>
          <w:rFonts w:ascii="Palatino Linotype" w:hAnsi="Palatino Linotype"/>
          <w:color w:val="000000"/>
          <w:lang w:val="es-MX"/>
        </w:rPr>
        <w:t xml:space="preserve"> se pronunció respecto de la solicitud de información interpuesta; asimismo remitió diversos soporte documental con la finalidad de eventualmente reparar el derecho de acceso a la información del hoy </w:t>
      </w:r>
      <w:r w:rsidR="00463A37" w:rsidRPr="0074392C">
        <w:rPr>
          <w:rFonts w:ascii="Palatino Linotype" w:hAnsi="Palatino Linotype"/>
          <w:b/>
          <w:color w:val="000000"/>
          <w:lang w:val="es-MX"/>
        </w:rPr>
        <w:t>RECURRENTE</w:t>
      </w:r>
      <w:r w:rsidR="00463A37" w:rsidRPr="0074392C">
        <w:rPr>
          <w:rFonts w:ascii="Palatino Linotype" w:hAnsi="Palatino Linotype"/>
          <w:color w:val="000000"/>
          <w:lang w:val="es-MX"/>
        </w:rPr>
        <w:t>, archivos electrónicos a saber:</w:t>
      </w:r>
    </w:p>
    <w:p w:rsidR="00435140" w:rsidRPr="0074392C" w:rsidRDefault="00435140" w:rsidP="00463A37">
      <w:pPr>
        <w:rPr>
          <w:rFonts w:ascii="Palatino Linotype" w:hAnsi="Palatino Linotype"/>
          <w:color w:val="000000"/>
          <w:lang w:val="es-MX"/>
        </w:rPr>
      </w:pPr>
    </w:p>
    <w:p w:rsidR="00463A37" w:rsidRPr="0074392C" w:rsidRDefault="00463A37" w:rsidP="00743256">
      <w:pPr>
        <w:pStyle w:val="Prrafodelista"/>
        <w:numPr>
          <w:ilvl w:val="0"/>
          <w:numId w:val="11"/>
        </w:numPr>
        <w:spacing w:line="360" w:lineRule="auto"/>
        <w:ind w:left="714" w:hanging="357"/>
        <w:jc w:val="both"/>
        <w:rPr>
          <w:rFonts w:ascii="Palatino Linotype" w:hAnsi="Palatino Linotype"/>
          <w:b/>
          <w:color w:val="000000"/>
          <w:lang w:val="es-MX"/>
        </w:rPr>
      </w:pPr>
      <w:r w:rsidRPr="0074392C">
        <w:rPr>
          <w:rFonts w:ascii="Palatino Linotype" w:hAnsi="Palatino Linotype"/>
          <w:b/>
          <w:color w:val="000000"/>
          <w:lang w:val="es-MX"/>
        </w:rPr>
        <w:t xml:space="preserve">Detalle Mensual y </w:t>
      </w:r>
      <w:r w:rsidR="008E2570" w:rsidRPr="0074392C">
        <w:rPr>
          <w:rFonts w:ascii="Palatino Linotype" w:hAnsi="Palatino Linotype"/>
          <w:b/>
          <w:color w:val="000000"/>
          <w:lang w:val="es-MX"/>
        </w:rPr>
        <w:t xml:space="preserve">Vista </w:t>
      </w:r>
      <w:r w:rsidRPr="0074392C">
        <w:rPr>
          <w:rFonts w:ascii="Palatino Linotype" w:hAnsi="Palatino Linotype"/>
          <w:b/>
          <w:color w:val="000000"/>
          <w:lang w:val="es-MX"/>
        </w:rPr>
        <w:t>Anual Acumulado de los ejercicios fiscales 2018 a 2021, con relación a los pagos y retenciones por sueldos y salarios realizados a los trabajadores.</w:t>
      </w:r>
    </w:p>
    <w:p w:rsidR="00463A37" w:rsidRPr="0074392C" w:rsidRDefault="00463A37" w:rsidP="00463A37">
      <w:pPr>
        <w:rPr>
          <w:rFonts w:ascii="Palatino Linotype" w:hAnsi="Palatino Linotype"/>
          <w:color w:val="000000"/>
          <w:lang w:val="es-MX"/>
        </w:rPr>
      </w:pPr>
    </w:p>
    <w:p w:rsidR="00853A73" w:rsidRPr="0074392C" w:rsidRDefault="00624613" w:rsidP="00821B43">
      <w:pPr>
        <w:numPr>
          <w:ilvl w:val="0"/>
          <w:numId w:val="1"/>
        </w:numPr>
        <w:spacing w:line="360" w:lineRule="auto"/>
        <w:ind w:left="0" w:firstLine="0"/>
        <w:contextualSpacing/>
        <w:jc w:val="both"/>
        <w:rPr>
          <w:rFonts w:ascii="Palatino Linotype" w:hAnsi="Palatino Linotype" w:cs="Arial"/>
        </w:rPr>
      </w:pPr>
      <w:r w:rsidRPr="0074392C">
        <w:rPr>
          <w:rFonts w:ascii="Palatino Linotype" w:hAnsi="Palatino Linotype"/>
          <w:szCs w:val="22"/>
        </w:rPr>
        <w:t>Así las cosas</w:t>
      </w:r>
      <w:r w:rsidRPr="0074392C">
        <w:rPr>
          <w:rFonts w:ascii="Palatino Linotype" w:hAnsi="Palatino Linotype"/>
        </w:rPr>
        <w:t xml:space="preserve">, se logra apreciar </w:t>
      </w:r>
      <w:r w:rsidR="00853A73" w:rsidRPr="0074392C">
        <w:rPr>
          <w:rFonts w:ascii="Palatino Linotype" w:hAnsi="Palatino Linotype"/>
        </w:rPr>
        <w:t xml:space="preserve">primeramente que el </w:t>
      </w:r>
      <w:r w:rsidR="00853A73" w:rsidRPr="0074392C">
        <w:rPr>
          <w:rFonts w:ascii="Palatino Linotype" w:hAnsi="Palatino Linotype"/>
          <w:b/>
        </w:rPr>
        <w:t>SUJETO OBLIGADO</w:t>
      </w:r>
      <w:r w:rsidR="00853A73" w:rsidRPr="0074392C">
        <w:rPr>
          <w:rFonts w:ascii="Palatino Linotype" w:hAnsi="Palatino Linotype"/>
        </w:rPr>
        <w:t xml:space="preserve"> colmo el punto relativo a los </w:t>
      </w:r>
      <w:r w:rsidR="00853A73" w:rsidRPr="0074392C">
        <w:rPr>
          <w:rFonts w:ascii="Palatino Linotype" w:hAnsi="Palatino Linotype" w:cs="Arial"/>
        </w:rPr>
        <w:t>reportes del aplicativo “</w:t>
      </w:r>
      <w:r w:rsidR="00853A73" w:rsidRPr="0074392C">
        <w:rPr>
          <w:rFonts w:ascii="Palatino Linotype" w:hAnsi="Palatino Linotype" w:cs="Arial"/>
          <w:i/>
        </w:rPr>
        <w:t>Visor de nómina del SAT</w:t>
      </w:r>
      <w:r w:rsidR="00853A73" w:rsidRPr="0074392C">
        <w:rPr>
          <w:rFonts w:ascii="Palatino Linotype" w:hAnsi="Palatino Linotype" w:cs="Arial"/>
        </w:rPr>
        <w:t>” por los años 2018, 2019, 2020, y 2021 en sus tres presentaciones: Vista an</w:t>
      </w:r>
      <w:r w:rsidR="007E55BA" w:rsidRPr="0074392C">
        <w:rPr>
          <w:rFonts w:ascii="Palatino Linotype" w:hAnsi="Palatino Linotype" w:cs="Arial"/>
        </w:rPr>
        <w:t>ual acumulada, Detalle mensual, y del que se obtiene el d</w:t>
      </w:r>
      <w:r w:rsidR="00853A73" w:rsidRPr="0074392C">
        <w:rPr>
          <w:rFonts w:ascii="Palatino Linotype" w:hAnsi="Palatino Linotype" w:cs="Arial"/>
        </w:rPr>
        <w:t xml:space="preserve">etalle diferencias sueldos y salarios. </w:t>
      </w:r>
    </w:p>
    <w:p w:rsidR="00853A73" w:rsidRPr="0074392C" w:rsidRDefault="00853A73" w:rsidP="00853A73">
      <w:pPr>
        <w:pStyle w:val="Prrafodelista"/>
        <w:spacing w:line="360" w:lineRule="auto"/>
        <w:ind w:left="0" w:right="539"/>
        <w:contextualSpacing w:val="0"/>
        <w:jc w:val="both"/>
        <w:rPr>
          <w:rFonts w:ascii="Palatino Linotype" w:hAnsi="Palatino Linotype" w:cs="Arial"/>
        </w:rPr>
      </w:pPr>
    </w:p>
    <w:p w:rsidR="00581B22" w:rsidRPr="0074392C" w:rsidRDefault="00581B22" w:rsidP="00821B43">
      <w:pPr>
        <w:numPr>
          <w:ilvl w:val="0"/>
          <w:numId w:val="1"/>
        </w:numPr>
        <w:spacing w:line="360" w:lineRule="auto"/>
        <w:ind w:left="0" w:firstLine="0"/>
        <w:contextualSpacing/>
        <w:jc w:val="both"/>
        <w:rPr>
          <w:rFonts w:ascii="Palatino Linotype" w:hAnsi="Palatino Linotype"/>
          <w:szCs w:val="22"/>
        </w:rPr>
      </w:pPr>
      <w:r w:rsidRPr="0074392C">
        <w:rPr>
          <w:rFonts w:ascii="Palatino Linotype" w:hAnsi="Palatino Linotype"/>
          <w:szCs w:val="22"/>
        </w:rPr>
        <w:t>En concatenación a lo anterior, en la modalidad denominada “Vista anual acumulada” se muestran los pagos acumulados realizados a sus trabajadores durante el ejercicio fiscal; dicha información, debe contener lo siguiente: Concepto, Salarios, Indemnización, Total sueldos, Asimilados a salarios y un Total pagado por nómina.</w:t>
      </w:r>
    </w:p>
    <w:p w:rsidR="00581B22" w:rsidRPr="0074392C" w:rsidRDefault="00581B22" w:rsidP="00821B43">
      <w:pPr>
        <w:numPr>
          <w:ilvl w:val="0"/>
          <w:numId w:val="1"/>
        </w:numPr>
        <w:spacing w:line="360" w:lineRule="auto"/>
        <w:ind w:left="0" w:firstLine="0"/>
        <w:contextualSpacing/>
        <w:jc w:val="both"/>
        <w:rPr>
          <w:rFonts w:ascii="Palatino Linotype" w:hAnsi="Palatino Linotype"/>
          <w:szCs w:val="22"/>
        </w:rPr>
      </w:pPr>
      <w:r w:rsidRPr="0074392C">
        <w:rPr>
          <w:rFonts w:ascii="Palatino Linotype" w:hAnsi="Palatino Linotype"/>
          <w:szCs w:val="22"/>
        </w:rPr>
        <w:lastRenderedPageBreak/>
        <w:t>Ahora bien, por cuanto hace a la vista mensual del visor de nómina, se tiene que es el nivel de desagregación que da cuenta de los pagos y retenciones que se realizaron a los trabajadores de forma parcial durante todo el ejercicio fiscal.</w:t>
      </w:r>
    </w:p>
    <w:p w:rsidR="00581B22" w:rsidRPr="0074392C" w:rsidRDefault="00581B22" w:rsidP="000642C4">
      <w:pPr>
        <w:pStyle w:val="Prrafodelista"/>
        <w:spacing w:line="360" w:lineRule="auto"/>
        <w:ind w:left="360" w:right="-28"/>
        <w:jc w:val="both"/>
        <w:rPr>
          <w:rFonts w:ascii="Palatino Linotype" w:hAnsi="Palatino Linotype"/>
          <w:szCs w:val="22"/>
        </w:rPr>
      </w:pPr>
    </w:p>
    <w:p w:rsidR="00581B22" w:rsidRPr="0074392C" w:rsidRDefault="00581B22" w:rsidP="00821B43">
      <w:pPr>
        <w:numPr>
          <w:ilvl w:val="0"/>
          <w:numId w:val="1"/>
        </w:numPr>
        <w:spacing w:line="360" w:lineRule="auto"/>
        <w:ind w:left="0" w:firstLine="0"/>
        <w:contextualSpacing/>
        <w:jc w:val="both"/>
        <w:rPr>
          <w:rFonts w:ascii="Palatino Linotype" w:hAnsi="Palatino Linotype"/>
          <w:szCs w:val="22"/>
        </w:rPr>
      </w:pPr>
      <w:r w:rsidRPr="0074392C">
        <w:rPr>
          <w:rFonts w:ascii="Palatino Linotype" w:hAnsi="Palatino Linotype"/>
          <w:szCs w:val="22"/>
        </w:rPr>
        <w:t>La información remitida, da cuenta de la cantidad que se retuvo correspondiente al impuesto sobre la renta, así como de la cantidad pagada y enterada a la autoridad fiscal, esto, detallado por mes; de lo cual, en virtud que los Particulares no están obligados a ser expertos en la materia, es viable pronunciar que de dichos rubros, se encuentran relacionados con la vista anual acumulada, en la cual, como se precisó anteriormente, se observa la diferencia que de ser el caso, la persona jurídico colectiva pudo configurar derivado del timbrado de los recibos de nómina de sus trabajadores, el impuesto retenido y el entero devengado en este caso, al Servicio de Administración Tributaria (SAT) por concepto de sueldos y salarios, así como de asimilados a salarios.</w:t>
      </w:r>
    </w:p>
    <w:p w:rsidR="00581B22" w:rsidRPr="0074392C" w:rsidRDefault="00581B22" w:rsidP="000642C4">
      <w:pPr>
        <w:pStyle w:val="Prrafodelista"/>
        <w:spacing w:line="360" w:lineRule="auto"/>
        <w:ind w:left="360" w:right="-28"/>
        <w:jc w:val="both"/>
        <w:rPr>
          <w:rFonts w:ascii="Palatino Linotype" w:hAnsi="Palatino Linotype"/>
          <w:szCs w:val="22"/>
        </w:rPr>
      </w:pPr>
    </w:p>
    <w:p w:rsidR="00581B22" w:rsidRPr="0074392C" w:rsidRDefault="00581B22" w:rsidP="00821B43">
      <w:pPr>
        <w:numPr>
          <w:ilvl w:val="0"/>
          <w:numId w:val="1"/>
        </w:numPr>
        <w:spacing w:line="360" w:lineRule="auto"/>
        <w:ind w:left="0" w:firstLine="0"/>
        <w:contextualSpacing/>
        <w:jc w:val="both"/>
        <w:rPr>
          <w:rFonts w:ascii="Palatino Linotype" w:hAnsi="Palatino Linotype"/>
          <w:szCs w:val="22"/>
        </w:rPr>
      </w:pPr>
      <w:r w:rsidRPr="0074392C">
        <w:rPr>
          <w:rFonts w:ascii="Palatino Linotype" w:hAnsi="Palatino Linotype"/>
          <w:szCs w:val="22"/>
        </w:rPr>
        <w:t xml:space="preserve">Con lo hasta aquí expuesto, este Instituto pudo determinar la naturaleza jurídica de lo peticionado por el Particular y conforme a los documentos que se generan en el portal del Servicio de Administración Tributaria, se tiene que de la consulta al visor de nóminas del Patrón, los documentos que pueden dar cuenta de la pretensión de este último, son, en efecto, la vista anual acumulada y/o el detalle mensual del ejercicio fiscal correspondiente, toda vez que, en ellos, se informa sobre la retención y el entero correspondiente al impuesto sobre la renta gravado por sueldos y salarios y/o asimilados a salarios, así como de la diferencia que en su caso, pudo configurarse; así, es de señalar que no existe un documento denominado “Detalle diferencias sueldos y salarios”, sin embargo, la información que puede </w:t>
      </w:r>
      <w:r w:rsidRPr="0074392C">
        <w:rPr>
          <w:rFonts w:ascii="Palatino Linotype" w:hAnsi="Palatino Linotype"/>
          <w:szCs w:val="22"/>
        </w:rPr>
        <w:lastRenderedPageBreak/>
        <w:t xml:space="preserve">corresponder a ese rubro, se encuentra inmersa en las documentales antes mencionadas. </w:t>
      </w:r>
    </w:p>
    <w:p w:rsidR="00581B22" w:rsidRPr="0074392C" w:rsidRDefault="00581B22" w:rsidP="000642C4">
      <w:pPr>
        <w:pStyle w:val="Prrafodelista"/>
        <w:spacing w:line="360" w:lineRule="auto"/>
        <w:ind w:left="360" w:right="-28"/>
        <w:jc w:val="both"/>
        <w:rPr>
          <w:rFonts w:ascii="Palatino Linotype" w:hAnsi="Palatino Linotype"/>
          <w:szCs w:val="22"/>
        </w:rPr>
      </w:pPr>
    </w:p>
    <w:p w:rsidR="00581B22" w:rsidRPr="0074392C" w:rsidRDefault="00581B22" w:rsidP="00821B43">
      <w:pPr>
        <w:numPr>
          <w:ilvl w:val="0"/>
          <w:numId w:val="1"/>
        </w:numPr>
        <w:spacing w:line="360" w:lineRule="auto"/>
        <w:ind w:left="0" w:firstLine="0"/>
        <w:contextualSpacing/>
        <w:jc w:val="both"/>
        <w:rPr>
          <w:rFonts w:ascii="Palatino Linotype" w:hAnsi="Palatino Linotype"/>
          <w:szCs w:val="22"/>
        </w:rPr>
      </w:pPr>
      <w:r w:rsidRPr="0074392C">
        <w:rPr>
          <w:rFonts w:ascii="Palatino Linotype" w:hAnsi="Palatino Linotype"/>
          <w:szCs w:val="22"/>
        </w:rPr>
        <w:t xml:space="preserve">En este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581B22" w:rsidRPr="0074392C" w:rsidRDefault="00581B22" w:rsidP="000642C4">
      <w:pPr>
        <w:pStyle w:val="Prrafodelista"/>
        <w:spacing w:line="360" w:lineRule="auto"/>
        <w:ind w:left="360" w:right="-28"/>
        <w:jc w:val="both"/>
        <w:rPr>
          <w:rFonts w:ascii="Palatino Linotype" w:hAnsi="Palatino Linotype"/>
          <w:szCs w:val="22"/>
        </w:rPr>
      </w:pPr>
    </w:p>
    <w:p w:rsidR="00624613" w:rsidRPr="0074392C" w:rsidRDefault="00581B22" w:rsidP="00821B43">
      <w:pPr>
        <w:numPr>
          <w:ilvl w:val="0"/>
          <w:numId w:val="1"/>
        </w:numPr>
        <w:spacing w:line="360" w:lineRule="auto"/>
        <w:ind w:left="0" w:firstLine="0"/>
        <w:contextualSpacing/>
        <w:jc w:val="both"/>
        <w:rPr>
          <w:rFonts w:ascii="Palatino Linotype" w:hAnsi="Palatino Linotype"/>
          <w:szCs w:val="22"/>
        </w:rPr>
      </w:pPr>
      <w:r w:rsidRPr="0074392C">
        <w:rPr>
          <w:rFonts w:ascii="Palatino Linotype" w:hAnsi="Palatino Linotype"/>
          <w:szCs w:val="22"/>
        </w:rPr>
        <w:t xml:space="preserve">Asimismo, los artículos 12 y 24 de la Ley de la materia, disponen que los Sujetos Obligados sólo proporcionarán la información pública que se les requiera, generen, administren o posean en el ejercicio de sus atribuciones y que obre en sus archivos en el estado en que ésta se encuentre; por consiguiente, toda vez que el </w:t>
      </w:r>
      <w:r w:rsidR="00330009" w:rsidRPr="0074392C">
        <w:rPr>
          <w:rFonts w:ascii="Palatino Linotype" w:hAnsi="Palatino Linotype"/>
          <w:szCs w:val="22"/>
        </w:rPr>
        <w:t xml:space="preserve">Ayuntamiento de </w:t>
      </w:r>
      <w:proofErr w:type="spellStart"/>
      <w:r w:rsidR="00330009" w:rsidRPr="0074392C">
        <w:rPr>
          <w:rFonts w:ascii="Palatino Linotype" w:hAnsi="Palatino Linotype"/>
          <w:szCs w:val="22"/>
        </w:rPr>
        <w:t>Ecatzingo</w:t>
      </w:r>
      <w:proofErr w:type="spellEnd"/>
      <w:r w:rsidR="000642C4" w:rsidRPr="0074392C">
        <w:rPr>
          <w:rFonts w:ascii="Palatino Linotype" w:hAnsi="Palatino Linotype"/>
          <w:szCs w:val="22"/>
        </w:rPr>
        <w:t xml:space="preserve"> </w:t>
      </w:r>
      <w:r w:rsidRPr="0074392C">
        <w:rPr>
          <w:rFonts w:ascii="Palatino Linotype" w:hAnsi="Palatino Linotype"/>
          <w:szCs w:val="22"/>
        </w:rPr>
        <w:t xml:space="preserve">hizo entrega de la vista anual acumulada de los ejercicios 2018 a 2021 obtenida del visor de nómina del Servicio de Administración Tributaria, en donde se da cuenta al Particular sobre la información que solicitó, se tiene que por medio de informe justificado, atendió esta parte de la solicitud de acceso </w:t>
      </w:r>
      <w:r w:rsidR="00B047FA" w:rsidRPr="0074392C">
        <w:rPr>
          <w:rFonts w:ascii="Palatino Linotype" w:hAnsi="Palatino Linotype"/>
          <w:szCs w:val="22"/>
        </w:rPr>
        <w:t>a la información</w:t>
      </w:r>
      <w:r w:rsidRPr="0074392C">
        <w:rPr>
          <w:rFonts w:ascii="Palatino Linotype" w:hAnsi="Palatino Linotype"/>
          <w:szCs w:val="22"/>
        </w:rPr>
        <w:t xml:space="preserve"> de conformidad con la Ley de Transparencia y Acceso a la Información Pública del Estado de México y Municipios, por lo tanto, el requerimiento identificado en este apartado de la Resolución, se tiene por atendido.</w:t>
      </w:r>
    </w:p>
    <w:p w:rsidR="00B047FA" w:rsidRPr="0074392C" w:rsidRDefault="00B047FA" w:rsidP="00B047FA">
      <w:pPr>
        <w:pStyle w:val="Prrafodelista"/>
        <w:rPr>
          <w:rFonts w:ascii="Palatino Linotype" w:hAnsi="Palatino Linotype"/>
          <w:szCs w:val="22"/>
        </w:rPr>
      </w:pPr>
    </w:p>
    <w:p w:rsidR="00420C58" w:rsidRPr="0074392C" w:rsidRDefault="00B047FA" w:rsidP="00821B43">
      <w:pPr>
        <w:numPr>
          <w:ilvl w:val="0"/>
          <w:numId w:val="1"/>
        </w:numPr>
        <w:spacing w:line="360" w:lineRule="auto"/>
        <w:ind w:left="0" w:firstLine="0"/>
        <w:contextualSpacing/>
        <w:jc w:val="both"/>
        <w:rPr>
          <w:rFonts w:ascii="Palatino Linotype" w:hAnsi="Palatino Linotype" w:cs="Tahoma"/>
        </w:rPr>
      </w:pPr>
      <w:r w:rsidRPr="0074392C">
        <w:rPr>
          <w:rFonts w:ascii="Palatino Linotype" w:hAnsi="Palatino Linotype" w:cs="Tahoma"/>
        </w:rPr>
        <w:lastRenderedPageBreak/>
        <w:t>Seguidamente</w:t>
      </w:r>
      <w:r w:rsidR="00420C58" w:rsidRPr="0074392C">
        <w:rPr>
          <w:rFonts w:ascii="Palatino Linotype" w:hAnsi="Palatino Linotype" w:cs="Tahoma"/>
        </w:rPr>
        <w:t xml:space="preserve">, resulta necesario traer a colación el artículo </w:t>
      </w:r>
      <w:r w:rsidR="00420C58" w:rsidRPr="0074392C">
        <w:rPr>
          <w:rFonts w:ascii="Palatino Linotype" w:hAnsi="Palatino Linotype" w:cs="Tahoma"/>
          <w:lang w:val="es-ES"/>
        </w:rPr>
        <w:t>123</w:t>
      </w:r>
      <w:r w:rsidR="00420C58" w:rsidRPr="0074392C">
        <w:rPr>
          <w:rFonts w:ascii="Palatino Linotype" w:hAnsi="Palatino Linotype" w:cs="Tahoma"/>
        </w:rPr>
        <w:t xml:space="preserve"> en sus aparatos A y B, de la Constitución Política de los Estados Unidos Mexicanos, el cual establece las relaciones obrero-patronales entre particulares (apartado A) y las relaciones laborales entre las Dependencias de Gobierno con sus servidores públicos (apartado B), el cual se cita para mayor referencia a continuación:</w:t>
      </w:r>
    </w:p>
    <w:p w:rsidR="00420C58" w:rsidRPr="0074392C" w:rsidRDefault="00420C58" w:rsidP="00420C58">
      <w:pPr>
        <w:spacing w:line="360" w:lineRule="auto"/>
        <w:ind w:right="-93"/>
        <w:jc w:val="both"/>
        <w:rPr>
          <w:rFonts w:ascii="Palatino Linotype" w:hAnsi="Palatino Linotype" w:cs="Tahoma"/>
          <w:b/>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r w:rsidRPr="0074392C">
        <w:rPr>
          <w:rFonts w:ascii="Palatino Linotype" w:hAnsi="Palatino Linotype" w:cs="Tahoma"/>
          <w:b/>
          <w:i/>
        </w:rPr>
        <w:t>Artículo 123</w:t>
      </w:r>
      <w:r w:rsidRPr="0074392C">
        <w:rPr>
          <w:rFonts w:ascii="Palatino Linotype" w:hAnsi="Palatino Linotype" w:cs="Tahoma"/>
          <w:i/>
        </w:rPr>
        <w:t>. Toda persona tiene derecho al trabajo digno y socialmente útil; al efecto, se promoverán la creación de empleos y la organización social de trabajo, conforme a la ley.</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El Congreso de la Unión, sin contravenir a las bases siguientes deberá expedir leyes sobre el trabajo, las cuales regirán:</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A</w:t>
      </w:r>
      <w:r w:rsidRPr="0074392C">
        <w:rPr>
          <w:rFonts w:ascii="Palatino Linotype" w:hAnsi="Palatino Linotype" w:cs="Tahoma"/>
          <w:i/>
        </w:rPr>
        <w:t>. Entre los obreros, jornaleros, empleados domésticos, artesanos y de una manera general, todo contrato de trabajo:</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B</w:t>
      </w:r>
      <w:r w:rsidRPr="0074392C">
        <w:rPr>
          <w:rFonts w:ascii="Palatino Linotype" w:hAnsi="Palatino Linotype" w:cs="Tahoma"/>
          <w:i/>
        </w:rPr>
        <w:t>. Entre los Poderes de la Unión y sus trabajadores: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B047FA" w:rsidP="00821B43">
      <w:pPr>
        <w:numPr>
          <w:ilvl w:val="0"/>
          <w:numId w:val="1"/>
        </w:numPr>
        <w:spacing w:line="360" w:lineRule="auto"/>
        <w:ind w:left="0" w:firstLine="0"/>
        <w:contextualSpacing/>
        <w:jc w:val="both"/>
        <w:rPr>
          <w:rFonts w:ascii="Palatino Linotype" w:hAnsi="Palatino Linotype" w:cs="Tahoma"/>
        </w:rPr>
      </w:pPr>
      <w:r w:rsidRPr="0074392C">
        <w:rPr>
          <w:rFonts w:ascii="Palatino Linotype" w:hAnsi="Palatino Linotype" w:cs="Tahoma"/>
        </w:rPr>
        <w:t>Ello en virtud de que</w:t>
      </w:r>
      <w:r w:rsidR="00420C58" w:rsidRPr="0074392C">
        <w:rPr>
          <w:rFonts w:ascii="Palatino Linotype" w:hAnsi="Palatino Linotype" w:cs="Tahoma"/>
        </w:rPr>
        <w:t>, tanto el Instituto Mexicano del Seguro Social (IMSS) y el Instituto del Fondo Nacional de la Vivienda para los Trabajadores (INFONAVIT), se encuentran regulados conforme al apartado A del artículo citado, que regula las relaciones laborales entre particulares, empero el apartado que rige las relaciones labores de los servidores públicos corresponde al apartado B, hechas las precisiones anteriores, se procede en los términos siguientes:</w:t>
      </w:r>
    </w:p>
    <w:p w:rsidR="00420C58" w:rsidRPr="0074392C" w:rsidRDefault="00420C58" w:rsidP="00420C58">
      <w:pPr>
        <w:spacing w:line="360" w:lineRule="auto"/>
        <w:ind w:right="-93"/>
        <w:jc w:val="both"/>
        <w:rPr>
          <w:rFonts w:ascii="Palatino Linotype" w:hAnsi="Palatino Linotype" w:cs="Tahoma"/>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rPr>
        <w:lastRenderedPageBreak/>
        <w:t>Respecto</w:t>
      </w:r>
      <w:r w:rsidRPr="0074392C">
        <w:rPr>
          <w:rFonts w:ascii="Palatino Linotype" w:hAnsi="Palatino Linotype" w:cs="Tahoma"/>
          <w:lang w:val="es-ES"/>
        </w:rPr>
        <w:t xml:space="preserve"> a la opinión de cumplimiento del </w:t>
      </w:r>
      <w:r w:rsidRPr="0074392C">
        <w:rPr>
          <w:rFonts w:ascii="Palatino Linotype" w:hAnsi="Palatino Linotype" w:cs="Tahoma"/>
          <w:b/>
          <w:lang w:val="es-ES"/>
        </w:rPr>
        <w:t>Instituto Mexicano del Seguro Social IMSS</w:t>
      </w:r>
      <w:r w:rsidRPr="0074392C">
        <w:rPr>
          <w:rFonts w:ascii="Palatino Linotype" w:hAnsi="Palatino Linotype" w:cs="Tahoma"/>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rPr>
      </w:pPr>
      <w:r w:rsidRPr="0074392C">
        <w:rPr>
          <w:rFonts w:ascii="Palatino Linotype" w:hAnsi="Palatino Linotype" w:cs="Tahoma"/>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w:t>
      </w:r>
      <w:proofErr w:type="spellStart"/>
      <w:r w:rsidRPr="0074392C">
        <w:rPr>
          <w:rFonts w:ascii="Palatino Linotype" w:hAnsi="Palatino Linotype" w:cs="Tahoma"/>
        </w:rPr>
        <w:t>ISSEMyM</w:t>
      </w:r>
      <w:proofErr w:type="spellEnd"/>
      <w:r w:rsidRPr="0074392C">
        <w:rPr>
          <w:rFonts w:ascii="Palatino Linotype" w:hAnsi="Palatino Linotype" w:cs="Tahoma"/>
        </w:rPr>
        <w:t>), se insertan para mayor referencia los artículos a continuación:</w:t>
      </w:r>
    </w:p>
    <w:p w:rsidR="00420C58" w:rsidRPr="0074392C" w:rsidRDefault="00420C58" w:rsidP="00420C58">
      <w:pPr>
        <w:spacing w:line="360" w:lineRule="auto"/>
        <w:ind w:left="567" w:right="539"/>
        <w:jc w:val="both"/>
        <w:rPr>
          <w:rFonts w:ascii="Palatino Linotype" w:hAnsi="Palatino Linotype" w:cs="Tahoma"/>
          <w:i/>
          <w:lang w:val="es-ES"/>
        </w:rPr>
      </w:pP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lang w:val="es-ES"/>
        </w:rPr>
        <w:t>“</w:t>
      </w:r>
      <w:r w:rsidRPr="0074392C">
        <w:rPr>
          <w:rFonts w:ascii="Palatino Linotype" w:hAnsi="Palatino Linotype" w:cs="Tahoma"/>
          <w:b/>
          <w:i/>
          <w:lang w:val="es-ES"/>
        </w:rPr>
        <w:t>ARTICULO 1</w:t>
      </w:r>
      <w:r w:rsidRPr="0074392C">
        <w:rPr>
          <w:rFonts w:ascii="Palatino Linotype" w:hAnsi="Palatino Linotype" w:cs="Tahoma"/>
          <w:i/>
          <w:iCs/>
        </w:rPr>
        <w:t>.- La presente ley es de orden público e interés general y tiene por objeto regular el régimen de seguridad social en favor de los servidores públicos del estado y</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municipios, así como de sus organismos auxiliares y fideicomisos públicos.</w:t>
      </w: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b/>
          <w:i/>
          <w:lang w:val="es-ES"/>
        </w:rPr>
        <w:lastRenderedPageBreak/>
        <w:t>ARTICULO 2</w:t>
      </w:r>
      <w:r w:rsidRPr="0074392C">
        <w:rPr>
          <w:rFonts w:ascii="Palatino Linotype" w:hAnsi="Palatino Linotype" w:cs="Tahoma"/>
          <w:i/>
          <w:lang w:val="es-ES"/>
        </w:rPr>
        <w:t>.- La aplicación y cumplimiento del régimen de seguridad social que regula esta ley, le corresponde al Instituto de Seguridad Social del Estado de México y Municipios, organismo público descentralizado con personalidad jurídica y patrimonio propios.</w:t>
      </w:r>
    </w:p>
    <w:p w:rsidR="00420C58" w:rsidRPr="0074392C" w:rsidRDefault="00420C58" w:rsidP="00420C58">
      <w:pPr>
        <w:spacing w:line="360" w:lineRule="auto"/>
        <w:ind w:left="567" w:right="539"/>
        <w:jc w:val="both"/>
        <w:rPr>
          <w:rFonts w:ascii="Palatino Linotype" w:hAnsi="Palatino Linotype" w:cs="Tahoma"/>
          <w:b/>
          <w:i/>
          <w:lang w:val="es-ES"/>
        </w:rPr>
      </w:pP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b/>
          <w:i/>
          <w:lang w:val="es-ES"/>
        </w:rPr>
        <w:t>ARTÍCULO 3</w:t>
      </w:r>
      <w:r w:rsidRPr="0074392C">
        <w:rPr>
          <w:rFonts w:ascii="Palatino Linotype" w:hAnsi="Palatino Linotype" w:cs="Tahoma"/>
          <w:i/>
          <w:lang w:val="es-ES"/>
        </w:rPr>
        <w:t>.- Son sujetos de esta ley:</w:t>
      </w: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i/>
          <w:lang w:val="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i/>
          <w:lang w:val="es-ES"/>
        </w:rPr>
        <w:t>II. Los servidores públicos de las instituciones públicas mencionadas en la fracción anterior;</w:t>
      </w: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i/>
          <w:lang w:val="es-ES"/>
        </w:rPr>
        <w:t>III. Los pensionados y pensionistas;</w:t>
      </w: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i/>
          <w:lang w:val="es-ES"/>
        </w:rPr>
        <w:t>IV. Los familiares y dependientes económicos de los servidores públicos y de los pensionados.</w:t>
      </w:r>
    </w:p>
    <w:p w:rsidR="00FD5ABA" w:rsidRPr="0074392C" w:rsidRDefault="00FD5ABA" w:rsidP="00420C58">
      <w:pPr>
        <w:spacing w:line="360" w:lineRule="auto"/>
        <w:ind w:left="567" w:right="539"/>
        <w:jc w:val="both"/>
        <w:rPr>
          <w:rFonts w:ascii="Palatino Linotype" w:hAnsi="Palatino Linotype" w:cs="Tahoma"/>
          <w:i/>
          <w:lang w:val="es-ES"/>
        </w:rPr>
      </w:pPr>
    </w:p>
    <w:p w:rsidR="00420C58" w:rsidRPr="0074392C" w:rsidRDefault="00420C58" w:rsidP="00420C58">
      <w:pPr>
        <w:spacing w:line="360" w:lineRule="auto"/>
        <w:ind w:left="567" w:right="539"/>
        <w:jc w:val="both"/>
        <w:rPr>
          <w:rFonts w:ascii="Palatino Linotype" w:hAnsi="Palatino Linotype" w:cs="Tahoma"/>
          <w:i/>
          <w:lang w:val="es-ES"/>
        </w:rPr>
      </w:pPr>
      <w:r w:rsidRPr="0074392C">
        <w:rPr>
          <w:rFonts w:ascii="Palatino Linotype" w:hAnsi="Palatino Linotype" w:cs="Tahoma"/>
          <w:b/>
          <w:i/>
          <w:lang w:val="es-ES"/>
        </w:rPr>
        <w:t>ARTICULO 5</w:t>
      </w:r>
      <w:r w:rsidRPr="0074392C">
        <w:rPr>
          <w:rFonts w:ascii="Palatino Linotype" w:hAnsi="Palatino Linotype" w:cs="Tahoma"/>
          <w:i/>
          <w:lang w:val="es-ES"/>
        </w:rPr>
        <w:t>.- Para los efectos de esta ley se entiende por:</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lang w:val="es-ES"/>
        </w:rPr>
        <w:t>I. …</w:t>
      </w:r>
      <w:r w:rsidRPr="0074392C">
        <w:rPr>
          <w:rFonts w:ascii="Palatino Linotype" w:hAnsi="Palatino Linotype" w:cs="Tahoma"/>
          <w:i/>
          <w:lang w:val="es-ES"/>
        </w:rPr>
        <w:cr/>
      </w:r>
      <w:r w:rsidRPr="0074392C">
        <w:rPr>
          <w:rFonts w:ascii="Palatino Linotype" w:hAnsi="Palatino Linotype"/>
          <w:b/>
        </w:rPr>
        <w:t xml:space="preserve"> </w:t>
      </w:r>
      <w:r w:rsidRPr="0074392C">
        <w:rPr>
          <w:rFonts w:ascii="Palatino Linotype" w:hAnsi="Palatino Linotype" w:cs="Tahoma"/>
          <w:b/>
          <w:i/>
        </w:rPr>
        <w:t>II.</w:t>
      </w:r>
      <w:r w:rsidRPr="0074392C">
        <w:rPr>
          <w:rFonts w:ascii="Palatino Linotype" w:hAnsi="Palatino Linotype" w:cs="Tahoma"/>
          <w:i/>
        </w:rPr>
        <w:t xml:space="preserve"> Institución pública, a los poderes públicos del estado, los ayuntamientos de los municipios y los tribunales administrativos, así como los organismos auxiliares y fideicomisos públicos de carácter estatal y municipal; </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III.</w:t>
      </w:r>
      <w:r w:rsidRPr="0074392C">
        <w:rPr>
          <w:rFonts w:ascii="Palatino Linotype" w:hAnsi="Palatino Linotype" w:cs="Tahoma"/>
          <w:i/>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w:t>
      </w:r>
      <w:r w:rsidRPr="0074392C">
        <w:rPr>
          <w:rFonts w:ascii="Palatino Linotype" w:hAnsi="Palatino Linotype" w:cs="Tahoma"/>
          <w:i/>
        </w:rPr>
        <w:lastRenderedPageBreak/>
        <w:t xml:space="preserve">refiere la fracción II de este artículo. Quedan exceptuadas aquellas que estén sujetas a contrato civil o mercantil, o a pago de honorarios; </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IV a VI…”</w:t>
      </w:r>
    </w:p>
    <w:p w:rsidR="00420C58" w:rsidRPr="0074392C" w:rsidRDefault="00420C58" w:rsidP="00420C58">
      <w:pPr>
        <w:spacing w:line="360" w:lineRule="auto"/>
        <w:ind w:left="567" w:right="539"/>
        <w:jc w:val="both"/>
        <w:rPr>
          <w:rFonts w:ascii="Palatino Linotype" w:hAnsi="Palatino Linotype" w:cs="Tahoma"/>
          <w:i/>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rPr>
      </w:pPr>
      <w:r w:rsidRPr="0074392C">
        <w:rPr>
          <w:rFonts w:ascii="Palatino Linotype" w:hAnsi="Palatino Linotype" w:cs="Tahoma"/>
        </w:rPr>
        <w:t xml:space="preserve">De conformidad con los preceptos legales, se acredita que </w:t>
      </w:r>
      <w:r w:rsidR="00B047FA" w:rsidRPr="0074392C">
        <w:rPr>
          <w:rFonts w:ascii="Palatino Linotype" w:hAnsi="Palatino Linotype" w:cs="Tahoma"/>
        </w:rPr>
        <w:t xml:space="preserve">ciertamente como se adujo en la respuesta, es </w:t>
      </w:r>
      <w:r w:rsidRPr="0074392C">
        <w:rPr>
          <w:rFonts w:ascii="Palatino Linotype" w:hAnsi="Palatino Linotype" w:cs="Tahoma"/>
        </w:rPr>
        <w:t>compete Instituto de Seguridad Social del Estado de México y Municipios (</w:t>
      </w:r>
      <w:proofErr w:type="spellStart"/>
      <w:r w:rsidRPr="0074392C">
        <w:rPr>
          <w:rFonts w:ascii="Palatino Linotype" w:hAnsi="Palatino Linotype" w:cs="Tahoma"/>
        </w:rPr>
        <w:t>ISSEMyM</w:t>
      </w:r>
      <w:proofErr w:type="spellEnd"/>
      <w:r w:rsidRPr="0074392C">
        <w:rPr>
          <w:rFonts w:ascii="Palatino Linotype" w:hAnsi="Palatino Linotype" w:cs="Tahoma"/>
        </w:rPr>
        <w:t>),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por lo que no resulta procedente ordenar su entrega.</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En </w:t>
      </w:r>
      <w:r w:rsidRPr="0074392C">
        <w:rPr>
          <w:rFonts w:ascii="Palatino Linotype" w:hAnsi="Palatino Linotype" w:cs="Tahoma"/>
        </w:rPr>
        <w:t>relación</w:t>
      </w:r>
      <w:r w:rsidRPr="0074392C">
        <w:rPr>
          <w:rFonts w:ascii="Palatino Linotype" w:hAnsi="Palatino Linotype" w:cs="Tahoma"/>
          <w:lang w:val="es-ES"/>
        </w:rPr>
        <w:t xml:space="preserve"> con la opinión de cumplimiento emitida por el </w:t>
      </w:r>
      <w:r w:rsidRPr="0074392C">
        <w:rPr>
          <w:rFonts w:ascii="Palatino Linotype" w:hAnsi="Palatino Linotype" w:cs="Tahoma"/>
          <w:b/>
          <w:lang w:val="es-ES"/>
        </w:rPr>
        <w:t>Instituto del Fondo Nacional de la Vivienda para los Trabajadores (INFONAVIT)</w:t>
      </w:r>
      <w:r w:rsidRPr="0074392C">
        <w:rPr>
          <w:rFonts w:ascii="Palatino Linotype" w:hAnsi="Palatino Linotype" w:cs="Tahoma"/>
          <w:lang w:val="es-ES"/>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b/>
          <w:i/>
          <w:iCs/>
        </w:rPr>
        <w:t>Artículo 123</w:t>
      </w:r>
      <w:r w:rsidRPr="0074392C">
        <w:rPr>
          <w:rFonts w:ascii="Palatino Linotype" w:hAnsi="Palatino Linotype" w:cs="Tahoma"/>
          <w:i/>
          <w:iCs/>
        </w:rPr>
        <w:t>. Toda persona tiene derecho al trabajo digno y socialmente útil; al efecto, se promoverán la creación de empleos y la organización social de trabajo, conforme a la ley.</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El Congreso de la Unión, sin contravenir a las bases siguientes deberá expedir leyes sobre el trabajo, las cuales regirán:</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b/>
          <w:i/>
          <w:iCs/>
        </w:rPr>
        <w:lastRenderedPageBreak/>
        <w:t>A.</w:t>
      </w:r>
      <w:r w:rsidRPr="0074392C">
        <w:rPr>
          <w:rFonts w:ascii="Palatino Linotype" w:hAnsi="Palatino Linotype" w:cs="Tahoma"/>
          <w:i/>
          <w:iCs/>
        </w:rPr>
        <w:t xml:space="preserve"> Entre los obreros, jornaleros, empleados domésticos, artesanos y de una manera general, todo contrato de trabajo:</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I a XI…</w:t>
      </w:r>
    </w:p>
    <w:p w:rsidR="00420C58" w:rsidRPr="0074392C" w:rsidRDefault="00420C58" w:rsidP="00420C58">
      <w:pPr>
        <w:spacing w:line="360" w:lineRule="auto"/>
        <w:ind w:left="567" w:right="539"/>
        <w:contextualSpacing/>
        <w:jc w:val="both"/>
        <w:rPr>
          <w:rFonts w:ascii="Palatino Linotype" w:hAnsi="Palatino Linotype" w:cs="Tahoma"/>
          <w:i/>
          <w:iCs/>
          <w:u w:val="single"/>
        </w:rPr>
      </w:pPr>
      <w:r w:rsidRPr="0074392C">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74392C">
        <w:rPr>
          <w:rFonts w:ascii="Palatino Linotype" w:hAnsi="Palatino Linotype" w:cs="Tahoma"/>
          <w:i/>
          <w:iCs/>
          <w:u w:val="single"/>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u w:val="single"/>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r w:rsidRPr="0074392C">
        <w:rPr>
          <w:rFonts w:ascii="Palatino Linotype" w:hAnsi="Palatino Linotype" w:cs="Tahoma"/>
          <w:i/>
          <w:iCs/>
        </w:rPr>
        <w:t>”</w:t>
      </w:r>
    </w:p>
    <w:p w:rsidR="00C62EA3" w:rsidRPr="0074392C" w:rsidRDefault="00C62EA3" w:rsidP="00420C58">
      <w:pPr>
        <w:spacing w:line="360" w:lineRule="auto"/>
        <w:ind w:left="567" w:right="539"/>
        <w:contextualSpacing/>
        <w:jc w:val="both"/>
        <w:rPr>
          <w:rFonts w:ascii="Palatino Linotype" w:hAnsi="Palatino Linotype" w:cs="Tahoma"/>
          <w:i/>
          <w:iC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pronta referencia:</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b/>
          <w:i/>
          <w:iCs/>
        </w:rPr>
        <w:t>Artículo 3o.-</w:t>
      </w:r>
      <w:r w:rsidRPr="0074392C">
        <w:rPr>
          <w:rFonts w:ascii="Palatino Linotype" w:hAnsi="Palatino Linotype" w:cs="Tahoma"/>
          <w:i/>
          <w:iCs/>
        </w:rPr>
        <w:t xml:space="preserve"> El Instituto tiene por objeto:</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I.- Administrar los recursos del Fondo Nacional de la Vivienda;</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lastRenderedPageBreak/>
        <w:t>II.- Establecer y operar un sistema de financiamiento que permita a los trabajadores obtener crédito barato y suficiente para:</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a</w:t>
      </w:r>
      <w:proofErr w:type="gramStart"/>
      <w:r w:rsidRPr="0074392C">
        <w:rPr>
          <w:rFonts w:ascii="Palatino Linotype" w:hAnsi="Palatino Linotype" w:cs="Tahoma"/>
          <w:i/>
          <w:iCs/>
        </w:rPr>
        <w:t>).-</w:t>
      </w:r>
      <w:proofErr w:type="gramEnd"/>
      <w:r w:rsidRPr="0074392C">
        <w:rPr>
          <w:rFonts w:ascii="Palatino Linotype" w:hAnsi="Palatino Linotype" w:cs="Tahoma"/>
          <w:i/>
          <w:iCs/>
        </w:rPr>
        <w:t xml:space="preserve"> La adquisición en propiedad de habitaciones cómodas e higiénicas,</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b</w:t>
      </w:r>
      <w:proofErr w:type="gramStart"/>
      <w:r w:rsidRPr="0074392C">
        <w:rPr>
          <w:rFonts w:ascii="Palatino Linotype" w:hAnsi="Palatino Linotype" w:cs="Tahoma"/>
          <w:i/>
          <w:iCs/>
        </w:rPr>
        <w:t>).-</w:t>
      </w:r>
      <w:proofErr w:type="gramEnd"/>
      <w:r w:rsidRPr="0074392C">
        <w:rPr>
          <w:rFonts w:ascii="Palatino Linotype" w:hAnsi="Palatino Linotype" w:cs="Tahoma"/>
          <w:i/>
          <w:iCs/>
        </w:rPr>
        <w:t xml:space="preserve"> La construcción, reparación, ampliación o mejoramiento de sus habitaciones, y</w:t>
      </w:r>
    </w:p>
    <w:p w:rsidR="00420C58" w:rsidRPr="0074392C" w:rsidRDefault="00420C58" w:rsidP="00420C58">
      <w:pPr>
        <w:spacing w:line="360" w:lineRule="auto"/>
        <w:ind w:left="567" w:right="539"/>
        <w:contextualSpacing/>
        <w:jc w:val="both"/>
        <w:rPr>
          <w:rFonts w:ascii="Palatino Linotype" w:hAnsi="Palatino Linotype" w:cs="Tahoma"/>
          <w:i/>
          <w:iCs/>
        </w:rPr>
      </w:pPr>
      <w:proofErr w:type="gramStart"/>
      <w:r w:rsidRPr="0074392C">
        <w:rPr>
          <w:rFonts w:ascii="Palatino Linotype" w:hAnsi="Palatino Linotype" w:cs="Tahoma"/>
          <w:i/>
          <w:iCs/>
        </w:rPr>
        <w:t>c).-</w:t>
      </w:r>
      <w:proofErr w:type="gramEnd"/>
      <w:r w:rsidRPr="0074392C">
        <w:rPr>
          <w:rFonts w:ascii="Palatino Linotype" w:hAnsi="Palatino Linotype" w:cs="Tahoma"/>
          <w:i/>
          <w:iCs/>
        </w:rPr>
        <w:t xml:space="preserve"> El pago de pasivos contraídos por los conceptos anteriores;</w:t>
      </w:r>
    </w:p>
    <w:p w:rsidR="00420C58" w:rsidRPr="0074392C" w:rsidRDefault="00420C58" w:rsidP="00420C58">
      <w:pPr>
        <w:spacing w:line="360" w:lineRule="auto"/>
        <w:ind w:left="567" w:right="539"/>
        <w:contextualSpacing/>
        <w:jc w:val="both"/>
        <w:rPr>
          <w:rFonts w:ascii="Palatino Linotype" w:hAnsi="Palatino Linotype" w:cs="Tahoma"/>
          <w:i/>
          <w:iCs/>
        </w:rPr>
      </w:pPr>
      <w:proofErr w:type="gramStart"/>
      <w:r w:rsidRPr="0074392C">
        <w:rPr>
          <w:rFonts w:ascii="Palatino Linotype" w:hAnsi="Palatino Linotype" w:cs="Tahoma"/>
          <w:i/>
          <w:iCs/>
        </w:rPr>
        <w:t>d).-</w:t>
      </w:r>
      <w:proofErr w:type="gramEnd"/>
      <w:r w:rsidRPr="0074392C">
        <w:rPr>
          <w:rFonts w:ascii="Palatino Linotype" w:hAnsi="Palatino Linotype" w:cs="Tahoma"/>
          <w:i/>
          <w:iCs/>
        </w:rPr>
        <w:t xml:space="preserve"> La adquisición en propiedad de suelo destinado para la construcción de sus habitaciones;</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III.- Coordinar y financiar programas de construcción de habitaciones destinadas a ser adquiridas en propiedad por los trabajadores; y</w:t>
      </w:r>
    </w:p>
    <w:p w:rsidR="00420C58" w:rsidRPr="0074392C" w:rsidRDefault="00420C58" w:rsidP="00420C58">
      <w:pPr>
        <w:spacing w:line="360" w:lineRule="auto"/>
        <w:ind w:left="567" w:right="539"/>
        <w:contextualSpacing/>
        <w:jc w:val="both"/>
        <w:rPr>
          <w:rFonts w:ascii="Palatino Linotype" w:hAnsi="Palatino Linotype" w:cs="Tahoma"/>
          <w:i/>
          <w:iCs/>
        </w:rPr>
      </w:pPr>
      <w:r w:rsidRPr="0074392C">
        <w:rPr>
          <w:rFonts w:ascii="Palatino Linotype" w:hAnsi="Palatino Linotype" w:cs="Tahoma"/>
          <w:i/>
          <w:iCs/>
        </w:rPr>
        <w:t>IV.- Lo demás a que se refiere la fracción XII del Apartado A del Artículo 123 Constitucional y el</w:t>
      </w:r>
      <w:r w:rsidR="00015F91" w:rsidRPr="0074392C">
        <w:rPr>
          <w:rFonts w:ascii="Palatino Linotype" w:hAnsi="Palatino Linotype" w:cs="Tahoma"/>
          <w:i/>
          <w:iCs/>
        </w:rPr>
        <w:t xml:space="preserve"> </w:t>
      </w:r>
      <w:r w:rsidRPr="0074392C">
        <w:rPr>
          <w:rFonts w:ascii="Palatino Linotype" w:hAnsi="Palatino Linotype" w:cs="Tahoma"/>
          <w:i/>
          <w:iCs/>
        </w:rPr>
        <w:t>Título Cuarto, Capítulo III de la Ley Federal del Trabajo, así como lo que esta ley establece.</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De los preceptos de Ley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solicitar la entrega de la misma, a Entes de Gobierno, no resulta procedente, derivado de no encuadrar en los supuestos de los ordenamientos citados.</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rPr>
      </w:pPr>
      <w:r w:rsidRPr="0074392C">
        <w:rPr>
          <w:rFonts w:ascii="Palatino Linotype" w:hAnsi="Palatino Linotype" w:cs="Tahoma"/>
        </w:rPr>
        <w:t xml:space="preserve">En lo que corresponde a la opinión de cumplimiento del Servicio de Administración </w:t>
      </w:r>
      <w:r w:rsidRPr="0074392C">
        <w:rPr>
          <w:rFonts w:ascii="Palatino Linotype" w:hAnsi="Palatino Linotype" w:cs="Tahoma"/>
          <w:lang w:val="es-ES"/>
        </w:rPr>
        <w:t>Tributaria</w:t>
      </w:r>
      <w:r w:rsidRPr="0074392C">
        <w:rPr>
          <w:rFonts w:ascii="Palatino Linotype" w:hAnsi="Palatino Linotype" w:cs="Tahoma"/>
        </w:rPr>
        <w:t xml:space="preserve"> (SAT), marcado con el punto 4 en el Considerando </w:t>
      </w:r>
      <w:r w:rsidRPr="0074392C">
        <w:rPr>
          <w:rFonts w:ascii="Palatino Linotype" w:hAnsi="Palatino Linotype" w:cs="Tahoma"/>
        </w:rPr>
        <w:lastRenderedPageBreak/>
        <w:t>Tercero, es de señalar que éste es un órgano desconcentrado de la Secretaría de Hacienda y Crédito Público (SHCP), esta como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rsidR="00420C58" w:rsidRPr="0074392C" w:rsidRDefault="00420C58" w:rsidP="00420C58">
      <w:pPr>
        <w:spacing w:line="360" w:lineRule="auto"/>
        <w:jc w:val="both"/>
        <w:rPr>
          <w:rFonts w:ascii="Palatino Linotype" w:hAnsi="Palatino Linotype" w:cs="Tahoma"/>
          <w:b/>
          <w:lang w:val="es-ES"/>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r w:rsidRPr="0074392C">
        <w:rPr>
          <w:rFonts w:ascii="Palatino Linotype" w:hAnsi="Palatino Linotype" w:cs="Tahoma"/>
          <w:b/>
          <w:i/>
        </w:rPr>
        <w:t>Artículo 27.</w:t>
      </w:r>
      <w:r w:rsidRPr="0074392C">
        <w:rPr>
          <w:rFonts w:ascii="Palatino Linotype" w:hAnsi="Palatino Linotype" w:cs="Tahoma"/>
          <w:i/>
        </w:rPr>
        <w:t xml:space="preserve"> En materia del Registro Federal de Contribuyentes, se estará a lo siguiente:</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A. Sujetos y sus obligaciones específicas: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I a V…</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r w:rsidRPr="0074392C">
        <w:rPr>
          <w:rFonts w:ascii="Palatino Linotype" w:hAnsi="Palatino Linotype" w:cs="Tahoma"/>
          <w:i/>
        </w:rPr>
        <w:cr/>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Artículo 29</w:t>
      </w:r>
      <w:r w:rsidRPr="0074392C">
        <w:rPr>
          <w:rFonts w:ascii="Palatino Linotype" w:hAnsi="Palatino Linotype" w:cs="Tahoma"/>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w:t>
      </w:r>
      <w:r w:rsidRPr="0074392C">
        <w:rPr>
          <w:rFonts w:ascii="Palatino Linotype" w:hAnsi="Palatino Linotype" w:cs="Tahoma"/>
          <w:i/>
        </w:rPr>
        <w:lastRenderedPageBreak/>
        <w:t>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Los contribuyentes a que se refiere el párrafo anterior deberán cumplir con las obligaciones siguientes: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w:t>
      </w:r>
      <w:r w:rsidRPr="0074392C">
        <w:rPr>
          <w:rFonts w:ascii="Palatino Linotype" w:hAnsi="Palatino Linotype" w:cs="Tahoma"/>
          <w:i/>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II.</w:t>
      </w:r>
      <w:r w:rsidRPr="0074392C">
        <w:rPr>
          <w:rFonts w:ascii="Palatino Linotype" w:hAnsi="Palatino Linotype" w:cs="Tahoma"/>
          <w:i/>
        </w:rPr>
        <w:t xml:space="preserve"> Tramitar ante el Servicio de Administración Tributaria el certificado para el uso de los sellos digitales.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 xml:space="preserve">Los contribuyentes podrán tramitar la obtención de un certificado de sello digital para ser utilizado por todos sus establecimientos o locales, o bien, tramitar la obtención de un certificado de sello digital por cada uno de sus establecimientos. </w:t>
      </w:r>
      <w:r w:rsidRPr="0074392C">
        <w:rPr>
          <w:rFonts w:ascii="Palatino Linotype" w:hAnsi="Palatino Linotype" w:cs="Tahoma"/>
          <w:i/>
        </w:rPr>
        <w:lastRenderedPageBreak/>
        <w:t>El Servicio de Administración Tributaria establecerá mediante reglas de carácter general los requisitos de control e identificación a que se sujetará el uso del sello digital de los contribuyentes.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La tramitación de un certificado de sello digital sólo podrá efectuarse mediante formato electrónico que cuente con la firma electrónica avanzada de la persona solicitante.</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III.</w:t>
      </w:r>
      <w:r w:rsidRPr="0074392C">
        <w:rPr>
          <w:rFonts w:ascii="Palatino Linotype" w:hAnsi="Palatino Linotype" w:cs="Tahoma"/>
          <w:i/>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IV.</w:t>
      </w:r>
      <w:r w:rsidRPr="0074392C">
        <w:rPr>
          <w:rFonts w:ascii="Palatino Linotype" w:hAnsi="Palatino Linotype" w:cs="Tahoma"/>
          <w:i/>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a)</w:t>
      </w:r>
      <w:r w:rsidRPr="0074392C">
        <w:rPr>
          <w:rFonts w:ascii="Palatino Linotype" w:hAnsi="Palatino Linotype" w:cs="Tahoma"/>
          <w:i/>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b)</w:t>
      </w:r>
      <w:r w:rsidRPr="0074392C">
        <w:rPr>
          <w:rFonts w:ascii="Palatino Linotype" w:hAnsi="Palatino Linotype" w:cs="Tahoma"/>
          <w:i/>
        </w:rPr>
        <w:t xml:space="preserve"> Asignar el folio del comprobante fiscal digital.</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c)</w:t>
      </w:r>
      <w:r w:rsidRPr="0074392C">
        <w:rPr>
          <w:rFonts w:ascii="Palatino Linotype" w:hAnsi="Palatino Linotype" w:cs="Tahoma"/>
          <w:i/>
        </w:rPr>
        <w:t xml:space="preserve"> Incorporar el sello digital del Servicio de Administración Tributaria </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V.</w:t>
      </w:r>
      <w:r w:rsidRPr="0074392C">
        <w:rPr>
          <w:rFonts w:ascii="Palatino Linotype" w:hAnsi="Palatino Linotype" w:cs="Tahoma"/>
          <w:i/>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w:t>
      </w:r>
      <w:r w:rsidRPr="0074392C">
        <w:rPr>
          <w:rFonts w:ascii="Palatino Linotype" w:hAnsi="Palatino Linotype" w:cs="Tahoma"/>
          <w:i/>
        </w:rPr>
        <w:lastRenderedPageBreak/>
        <w:t>electrónico del comprobante fiscal digital por Internet de que se trate y, cuando les sea solicitada por el cliente, su representación impresa, la cual únicamente presume la existencia de dicho comprobante fiscal.</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VI.</w:t>
      </w:r>
      <w:r w:rsidRPr="0074392C">
        <w:rPr>
          <w:rFonts w:ascii="Palatino Linotype" w:hAnsi="Palatino Linotype" w:cs="Tahoma"/>
          <w:i/>
        </w:rPr>
        <w:t xml:space="preserve"> Cumplir con las especificaciones que en materia de informática </w:t>
      </w:r>
      <w:proofErr w:type="gramStart"/>
      <w:r w:rsidRPr="0074392C">
        <w:rPr>
          <w:rFonts w:ascii="Palatino Linotype" w:hAnsi="Palatino Linotype" w:cs="Tahoma"/>
          <w:i/>
        </w:rPr>
        <w:t>determine</w:t>
      </w:r>
      <w:proofErr w:type="gramEnd"/>
      <w:r w:rsidRPr="0074392C">
        <w:rPr>
          <w:rFonts w:ascii="Palatino Linotype" w:hAnsi="Palatino Linotype" w:cs="Tahoma"/>
          <w:i/>
        </w:rPr>
        <w:t xml:space="preserve"> el Servicio de Administración Tributaria mediante reglas de carácter general.</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 xml:space="preserve">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w:t>
      </w:r>
      <w:r w:rsidRPr="0074392C">
        <w:rPr>
          <w:rFonts w:ascii="Palatino Linotype" w:hAnsi="Palatino Linotype" w:cs="Tahoma"/>
          <w:i/>
        </w:rPr>
        <w:lastRenderedPageBreak/>
        <w:t>comprobantes que servirán para amparar el transporte y la legal tenencia y estancia de las mercancías durante el mismo, así como de los comprobantes que amparen operaciones realizadas con el público en general.</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Artículo 32-D.</w:t>
      </w:r>
      <w:r w:rsidRPr="0074392C">
        <w:rPr>
          <w:rFonts w:ascii="Palatino Linotype" w:hAnsi="Palatino Linotype" w:cs="Tahoma"/>
          <w:i/>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adquisiciones, arrendamientos, servicios u obra pública con las personas físicas, morales o entes jurídicos que:</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I a IX…</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lastRenderedPageBreak/>
        <w:t>Artículo 32-G.</w:t>
      </w:r>
      <w:r w:rsidRPr="0074392C">
        <w:rPr>
          <w:rFonts w:ascii="Palatino Linotype" w:hAnsi="Palatino Linotype" w:cs="Tahoma"/>
          <w:i/>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w:t>
      </w:r>
      <w:r w:rsidRPr="0074392C">
        <w:rPr>
          <w:rFonts w:ascii="Palatino Linotype" w:hAnsi="Palatino Linotype" w:cs="Tahoma"/>
          <w:i/>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II.</w:t>
      </w:r>
      <w:r w:rsidRPr="0074392C">
        <w:rPr>
          <w:rFonts w:ascii="Palatino Linotype" w:hAnsi="Palatino Linotype" w:cs="Tahoma"/>
          <w:i/>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La información a que se refiere el párrafo anterior se deberá presentar a más tardar el día 17 del mes posterior al que corresponda dicha información”</w:t>
      </w:r>
    </w:p>
    <w:p w:rsidR="00420C58" w:rsidRPr="0074392C" w:rsidRDefault="00420C58" w:rsidP="00420C58">
      <w:pPr>
        <w:spacing w:line="360" w:lineRule="auto"/>
        <w:ind w:left="567" w:right="539"/>
        <w:jc w:val="both"/>
        <w:rPr>
          <w:rFonts w:ascii="Palatino Linotype" w:hAnsi="Palatino Linotype" w:cs="Tahoma"/>
        </w:rPr>
      </w:pPr>
      <w:r w:rsidRPr="0074392C">
        <w:rPr>
          <w:rFonts w:ascii="Palatino Linotype" w:hAnsi="Palatino Linotype" w:cs="Tahoma"/>
        </w:rPr>
        <w:t>(Énfasis añadido)</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center"/>
        <w:rPr>
          <w:rFonts w:ascii="Palatino Linotype" w:hAnsi="Palatino Linotype" w:cs="Tahoma"/>
          <w:b/>
          <w:i/>
        </w:rPr>
      </w:pPr>
      <w:r w:rsidRPr="0074392C">
        <w:rPr>
          <w:rFonts w:ascii="Palatino Linotype" w:hAnsi="Palatino Linotype" w:cs="Tahoma"/>
          <w:b/>
          <w:i/>
        </w:rPr>
        <w:t>Ley del Impuesto sobre la Renta</w:t>
      </w:r>
    </w:p>
    <w:p w:rsidR="00420C58" w:rsidRPr="0074392C" w:rsidRDefault="00420C58" w:rsidP="00420C58">
      <w:pPr>
        <w:spacing w:line="360" w:lineRule="auto"/>
        <w:ind w:left="567" w:right="539"/>
        <w:jc w:val="center"/>
        <w:rPr>
          <w:rFonts w:ascii="Palatino Linotype" w:hAnsi="Palatino Linotype" w:cs="Tahoma"/>
          <w:b/>
          <w:i/>
        </w:rPr>
      </w:pPr>
      <w:r w:rsidRPr="0074392C">
        <w:rPr>
          <w:rFonts w:ascii="Palatino Linotype" w:hAnsi="Palatino Linotype" w:cs="Tahoma"/>
          <w:b/>
          <w:i/>
        </w:rPr>
        <w:t>CAPÍTULO I</w:t>
      </w:r>
    </w:p>
    <w:p w:rsidR="00420C58" w:rsidRPr="0074392C" w:rsidRDefault="00420C58" w:rsidP="00420C58">
      <w:pPr>
        <w:spacing w:line="360" w:lineRule="auto"/>
        <w:ind w:left="567" w:right="539"/>
        <w:jc w:val="center"/>
        <w:rPr>
          <w:rFonts w:ascii="Palatino Linotype" w:hAnsi="Palatino Linotype" w:cs="Tahoma"/>
          <w:b/>
          <w:i/>
        </w:rPr>
      </w:pPr>
      <w:r w:rsidRPr="0074392C">
        <w:rPr>
          <w:rFonts w:ascii="Palatino Linotype" w:hAnsi="Palatino Linotype" w:cs="Tahoma"/>
          <w:b/>
          <w:i/>
        </w:rPr>
        <w:t>DE LOS INGRESOS POR SALARIOS Y EN GENERAL POR LA</w:t>
      </w:r>
    </w:p>
    <w:p w:rsidR="00420C58" w:rsidRPr="0074392C" w:rsidRDefault="00420C58" w:rsidP="00420C58">
      <w:pPr>
        <w:spacing w:line="360" w:lineRule="auto"/>
        <w:ind w:left="567" w:right="539"/>
        <w:jc w:val="center"/>
        <w:rPr>
          <w:rFonts w:ascii="Palatino Linotype" w:hAnsi="Palatino Linotype" w:cs="Tahoma"/>
          <w:b/>
          <w:i/>
        </w:rPr>
      </w:pPr>
      <w:r w:rsidRPr="0074392C">
        <w:rPr>
          <w:rFonts w:ascii="Palatino Linotype" w:hAnsi="Palatino Linotype" w:cs="Tahoma"/>
          <w:b/>
          <w:i/>
        </w:rPr>
        <w:t>PRESTACIÓN DE UN SERVICIO PERSONAL SUBORDINADO</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Artículo 94</w:t>
      </w:r>
      <w:r w:rsidRPr="0074392C">
        <w:rPr>
          <w:rFonts w:ascii="Palatino Linotype" w:hAnsi="Palatino Linotype" w:cs="Tahoma"/>
          <w:i/>
        </w:rPr>
        <w:t xml:space="preserve">. Se consideran ingresos por la prestación de un servicio personal subordinado, los salarios y demás prestaciones que deriven de una relación </w:t>
      </w:r>
      <w:r w:rsidRPr="0074392C">
        <w:rPr>
          <w:rFonts w:ascii="Palatino Linotype" w:hAnsi="Palatino Linotype" w:cs="Tahoma"/>
          <w:i/>
        </w:rPr>
        <w:lastRenderedPageBreak/>
        <w:t>laboral, incluyendo la participación de los trabajadores en las utilidades de las empresas y las prestaciones percibidas como consecuencia de la terminación de la relación laboral. Para los efectos de este impuesto, se asimilan a estos ingresos los siguientes: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w:t>
      </w:r>
      <w:r w:rsidRPr="0074392C">
        <w:rPr>
          <w:rFonts w:ascii="Palatino Linotype" w:hAnsi="Palatino Linotype" w:cs="Tahoma"/>
          <w:i/>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II a VII</w:t>
      </w:r>
      <w:r w:rsidRPr="0074392C">
        <w:rPr>
          <w:rFonts w:ascii="Palatino Linotype" w:hAnsi="Palatino Linotype" w:cs="Tahoma"/>
          <w:i/>
        </w:rPr>
        <w:t>…</w:t>
      </w:r>
    </w:p>
    <w:p w:rsidR="00420C58" w:rsidRPr="0074392C" w:rsidRDefault="00420C58" w:rsidP="00420C58">
      <w:pPr>
        <w:spacing w:line="360" w:lineRule="auto"/>
        <w:ind w:left="567" w:right="539"/>
        <w:jc w:val="both"/>
        <w:rPr>
          <w:rFonts w:ascii="Palatino Linotype" w:hAnsi="Palatino Linotype" w:cs="Tahoma"/>
          <w:i/>
        </w:rPr>
      </w:pP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b/>
          <w:i/>
        </w:rPr>
        <w:t>Artículo 96</w:t>
      </w:r>
      <w:r w:rsidRPr="0074392C">
        <w:rPr>
          <w:rFonts w:ascii="Palatino Linotype" w:hAnsi="Palatino Linotype" w:cs="Tahoma"/>
          <w:i/>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420C58" w:rsidRPr="0074392C" w:rsidRDefault="00420C58" w:rsidP="00420C58">
      <w:pPr>
        <w:spacing w:line="360" w:lineRule="auto"/>
        <w:ind w:left="567" w:right="539"/>
        <w:jc w:val="both"/>
        <w:rPr>
          <w:rFonts w:ascii="Palatino Linotype" w:hAnsi="Palatino Linotype" w:cs="Tahoma"/>
          <w:i/>
        </w:rPr>
      </w:pPr>
      <w:r w:rsidRPr="0074392C">
        <w:rPr>
          <w:rFonts w:ascii="Palatino Linotype" w:hAnsi="Palatino Linotype" w:cs="Tahoma"/>
          <w:i/>
        </w:rPr>
        <w:t>…</w:t>
      </w:r>
    </w:p>
    <w:p w:rsidR="00420C58" w:rsidRPr="0074392C" w:rsidRDefault="00420C58" w:rsidP="00420C58">
      <w:pPr>
        <w:ind w:left="567" w:right="567"/>
        <w:rPr>
          <w:rFonts w:ascii="Palatino Linotype" w:eastAsia="Calibri" w:hAnsi="Palatino Linotype"/>
        </w:rPr>
      </w:pPr>
      <w:r w:rsidRPr="0074392C">
        <w:rPr>
          <w:rFonts w:ascii="Palatino Linotype" w:eastAsia="Calibri" w:hAnsi="Palatino Linotype"/>
        </w:rPr>
        <w:t>(Énfasis añadido)</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De </w:t>
      </w:r>
      <w:r w:rsidRPr="0074392C">
        <w:rPr>
          <w:rFonts w:ascii="Palatino Linotype" w:hAnsi="Palatino Linotype" w:cs="Tahoma"/>
        </w:rPr>
        <w:t>conformidad</w:t>
      </w:r>
      <w:r w:rsidRPr="0074392C">
        <w:rPr>
          <w:rFonts w:ascii="Palatino Linotype" w:hAnsi="Palatino Linotype" w:cs="Tahoma"/>
          <w:lang w:val="es-ES"/>
        </w:rPr>
        <w:t xml:space="preserve">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w:t>
      </w:r>
      <w:r w:rsidRPr="0074392C">
        <w:rPr>
          <w:rFonts w:ascii="Palatino Linotype" w:hAnsi="Palatino Linotype" w:cs="Tahoma"/>
          <w:lang w:val="es-ES"/>
        </w:rPr>
        <w:lastRenderedPageBreak/>
        <w:t>presentar ante el Servicio de Administración Tributaria (SAT), la información relativa de las personas a las que les fue efectuada la retención del impuesto sobre la renta.</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 consecuentemente podemos concluir que resulta dable ordenar la entrega de la opinión de cumplimiento emitida por el Servicio de Administración Tributaria (SAT), a favor del Sujeto Obligado.</w:t>
      </w:r>
    </w:p>
    <w:p w:rsidR="00590722" w:rsidRPr="0074392C" w:rsidRDefault="00590722" w:rsidP="007E55BA">
      <w:pPr>
        <w:rPr>
          <w:rFonts w:ascii="Palatino Linotype" w:hAnsi="Palatino Linotype" w:cs="Tahoma"/>
          <w:lang w:val="es-ES"/>
        </w:rPr>
      </w:pPr>
    </w:p>
    <w:p w:rsidR="00420C58" w:rsidRPr="0074392C" w:rsidRDefault="00590722"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Por otro lado, r</w:t>
      </w:r>
      <w:r w:rsidR="00420C58" w:rsidRPr="0074392C">
        <w:rPr>
          <w:rFonts w:ascii="Palatino Linotype" w:hAnsi="Palatino Linotype" w:cs="Tahoma"/>
          <w:lang w:val="es-ES"/>
        </w:rPr>
        <w:t xml:space="preserve">elativo a </w:t>
      </w:r>
      <w:r w:rsidRPr="0074392C">
        <w:rPr>
          <w:rFonts w:ascii="Palatino Linotype" w:hAnsi="Palatino Linotype" w:cs="Tahoma"/>
          <w:lang w:val="es-ES"/>
        </w:rPr>
        <w:t xml:space="preserve">los </w:t>
      </w:r>
      <w:r w:rsidR="00420C58" w:rsidRPr="0074392C">
        <w:rPr>
          <w:rFonts w:ascii="Palatino Linotype" w:hAnsi="Palatino Linotype" w:cs="Tahoma"/>
          <w:b/>
          <w:lang w:val="es-ES"/>
        </w:rPr>
        <w:t>documentos de trabajo por Municipio y por sus órganos paramunicipales, que contenga los datos de identificación de ISR, recuperado por mes, del periodo del uno de enero de dos mil diecinueve al treinta y uno de octubre de dos mil veintiuno</w:t>
      </w:r>
      <w:r w:rsidR="00420C58" w:rsidRPr="0074392C">
        <w:rPr>
          <w:rFonts w:ascii="Palatino Linotype" w:hAnsi="Palatino Linotype" w:cs="Tahoma"/>
          <w:lang w:val="es-ES"/>
        </w:rPr>
        <w:t xml:space="preserve">; el </w:t>
      </w:r>
      <w:r w:rsidRPr="0074392C">
        <w:rPr>
          <w:rFonts w:ascii="Palatino Linotype" w:hAnsi="Palatino Linotype" w:cs="Tahoma"/>
          <w:lang w:val="es-ES"/>
        </w:rPr>
        <w:t xml:space="preserve">hoy </w:t>
      </w:r>
      <w:r w:rsidRPr="0074392C">
        <w:rPr>
          <w:rFonts w:ascii="Palatino Linotype" w:hAnsi="Palatino Linotype" w:cs="Tahoma"/>
          <w:b/>
          <w:lang w:val="es-ES"/>
        </w:rPr>
        <w:t>RECURRENTE</w:t>
      </w:r>
      <w:r w:rsidR="00420C58" w:rsidRPr="0074392C">
        <w:rPr>
          <w:rFonts w:ascii="Palatino Linotype" w:hAnsi="Palatino Linotype" w:cs="Tahoma"/>
          <w:lang w:val="es-ES"/>
        </w:rPr>
        <w:t xml:space="preserve"> solicita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w:t>
      </w:r>
      <w:r w:rsidR="00420C58" w:rsidRPr="0074392C">
        <w:rPr>
          <w:rFonts w:ascii="Palatino Linotype" w:hAnsi="Palatino Linotype" w:cs="Tahoma"/>
          <w:lang w:val="es-ES"/>
        </w:rPr>
        <w:lastRenderedPageBreak/>
        <w:t>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rsidR="00420C58" w:rsidRPr="0074392C" w:rsidRDefault="00420C58" w:rsidP="00420C58">
      <w:pPr>
        <w:spacing w:line="360" w:lineRule="auto"/>
        <w:jc w:val="both"/>
        <w:rPr>
          <w:rFonts w:ascii="Palatino Linotype" w:hAnsi="Palatino Linotype" w:cs="Tahoma"/>
          <w:lang w:val="es-ES"/>
        </w:rPr>
      </w:pPr>
    </w:p>
    <w:p w:rsidR="00907E97" w:rsidRPr="0074392C" w:rsidRDefault="008E5A82"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noProof/>
          <w:lang w:val="es-ES"/>
        </w:rPr>
        <mc:AlternateContent>
          <mc:Choice Requires="wps">
            <w:drawing>
              <wp:anchor distT="0" distB="0" distL="114300" distR="114300" simplePos="0" relativeHeight="251663360" behindDoc="0" locked="0" layoutInCell="1" allowOverlap="1">
                <wp:simplePos x="0" y="0"/>
                <wp:positionH relativeFrom="margin">
                  <wp:posOffset>-635</wp:posOffset>
                </wp:positionH>
                <wp:positionV relativeFrom="paragraph">
                  <wp:posOffset>2004695</wp:posOffset>
                </wp:positionV>
                <wp:extent cx="5772150" cy="28575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72150" cy="2857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00168"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7.85pt" to="454.45pt,3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" strokecolor="black [3200]" strokeweight="1.5pt">
                <v:stroke joinstyle="miter"/>
                <w10:wrap anchorx="margin"/>
              </v:line>
            </w:pict>
          </mc:Fallback>
        </mc:AlternateContent>
      </w:r>
      <w:r w:rsidR="00420C58" w:rsidRPr="0074392C">
        <w:rPr>
          <w:rFonts w:ascii="Palatino Linotype" w:hAnsi="Palatino Linotype" w:cs="Tahoma"/>
          <w:lang w:val="es-ES"/>
        </w:rPr>
        <w:t xml:space="preserve">Acotado lo anterior, </w:t>
      </w:r>
      <w:r w:rsidR="00907E97" w:rsidRPr="0074392C">
        <w:rPr>
          <w:rFonts w:ascii="Palatino Linotype" w:hAnsi="Palatino Linotype" w:cs="Tahoma"/>
          <w:lang w:val="es-ES"/>
        </w:rPr>
        <w:t xml:space="preserve">vía informe justificado a través </w:t>
      </w:r>
      <w:r w:rsidR="00FE476D" w:rsidRPr="0074392C">
        <w:rPr>
          <w:rFonts w:ascii="Palatino Linotype" w:hAnsi="Palatino Linotype" w:cs="Tahoma"/>
          <w:lang w:val="es-ES"/>
        </w:rPr>
        <w:t xml:space="preserve">el </w:t>
      </w:r>
      <w:r w:rsidR="00907E97" w:rsidRPr="0074392C">
        <w:rPr>
          <w:rFonts w:ascii="Palatino Linotype" w:hAnsi="Palatino Linotype" w:cs="Tahoma"/>
          <w:b/>
          <w:lang w:val="es-ES"/>
        </w:rPr>
        <w:t>SUJETO OBLIGADO</w:t>
      </w:r>
      <w:r w:rsidR="00907E97" w:rsidRPr="0074392C">
        <w:rPr>
          <w:rFonts w:ascii="Palatino Linotype" w:hAnsi="Palatino Linotype" w:cs="Tahoma"/>
          <w:lang w:val="es-ES"/>
        </w:rPr>
        <w:t>, modificó su respuesta al remitir</w:t>
      </w:r>
      <w:r w:rsidR="00781A1D" w:rsidRPr="0074392C">
        <w:rPr>
          <w:rFonts w:ascii="Palatino Linotype" w:hAnsi="Palatino Linotype" w:cs="Tahoma"/>
          <w:lang w:val="es-ES"/>
        </w:rPr>
        <w:t xml:space="preserve"> el soporte documental donde consta o se advierte el ISR enterado e ISR retenido, mismo que además abarca la temporalidad requerida establecida en la solicitud de información y que fue del 01 de enero de 2019, hasta el 31 de octubre de 2021, como se aprecia</w:t>
      </w:r>
      <w:r w:rsidRPr="0074392C">
        <w:rPr>
          <w:rFonts w:ascii="Palatino Linotype" w:hAnsi="Palatino Linotype" w:cs="Tahoma"/>
          <w:lang w:val="es-ES"/>
        </w:rPr>
        <w:t xml:space="preserve"> de un ejemplo de los ejercicios fiscales adjuntos</w:t>
      </w:r>
      <w:r w:rsidR="00781A1D" w:rsidRPr="0074392C">
        <w:rPr>
          <w:rFonts w:ascii="Palatino Linotype" w:hAnsi="Palatino Linotype" w:cs="Tahoma"/>
          <w:lang w:val="es-ES"/>
        </w:rPr>
        <w:t>:</w:t>
      </w:r>
    </w:p>
    <w:p w:rsidR="00907E97" w:rsidRPr="0074392C" w:rsidRDefault="00FE476D" w:rsidP="008E5A82">
      <w:pPr>
        <w:jc w:val="center"/>
        <w:rPr>
          <w:rFonts w:ascii="Palatino Linotype" w:hAnsi="Palatino Linotype" w:cs="Tahoma"/>
          <w:lang w:val="es-ES"/>
        </w:rPr>
      </w:pPr>
      <w:r w:rsidRPr="0074392C">
        <w:rPr>
          <w:rFonts w:ascii="Palatino Linotype" w:hAnsi="Palatino Linotype" w:cs="Tahoma"/>
          <w:noProof/>
          <w:lang w:val="es-ES"/>
        </w:rPr>
        <w:lastRenderedPageBreak/>
        <w:drawing>
          <wp:inline distT="0" distB="0" distL="0" distR="0">
            <wp:extent cx="5285433" cy="5654755"/>
            <wp:effectExtent l="19050" t="19050" r="10795" b="222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47" cy="5655733"/>
                    </a:xfrm>
                    <a:prstGeom prst="rect">
                      <a:avLst/>
                    </a:prstGeom>
                    <a:noFill/>
                    <a:ln>
                      <a:solidFill>
                        <a:schemeClr val="tx1"/>
                      </a:solidFill>
                    </a:ln>
                  </pic:spPr>
                </pic:pic>
              </a:graphicData>
            </a:graphic>
          </wp:inline>
        </w:drawing>
      </w:r>
    </w:p>
    <w:p w:rsidR="00FE476D" w:rsidRPr="0074392C" w:rsidRDefault="00FE476D" w:rsidP="008E5A82">
      <w:pPr>
        <w:jc w:val="center"/>
        <w:rPr>
          <w:rFonts w:ascii="Palatino Linotype" w:hAnsi="Palatino Linotype" w:cs="Tahoma"/>
          <w:lang w:val="es-ES"/>
        </w:rPr>
      </w:pPr>
      <w:r w:rsidRPr="0074392C">
        <w:rPr>
          <w:rFonts w:ascii="Palatino Linotype" w:hAnsi="Palatino Linotype" w:cs="Tahoma"/>
          <w:noProof/>
          <w:lang w:val="es-ES"/>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282666</wp:posOffset>
                </wp:positionV>
                <wp:extent cx="5742633" cy="1512277"/>
                <wp:effectExtent l="0" t="0" r="29845" b="31115"/>
                <wp:wrapNone/>
                <wp:docPr id="5" name="Conector recto 5"/>
                <wp:cNvGraphicFramePr/>
                <a:graphic xmlns:a="http://schemas.openxmlformats.org/drawingml/2006/main">
                  <a:graphicData uri="http://schemas.microsoft.com/office/word/2010/wordprocessingShape">
                    <wps:wsp>
                      <wps:cNvCnPr/>
                      <wps:spPr>
                        <a:xfrm>
                          <a:off x="0" y="0"/>
                          <a:ext cx="5742633" cy="151227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8B09A" id="Conector recto 5"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25pt" to="452.2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" strokecolor="black [3200]" strokeweight="1.5pt">
                <v:stroke joinstyle="miter"/>
                <w10:wrap anchorx="margin"/>
              </v:line>
            </w:pict>
          </mc:Fallback>
        </mc:AlternateContent>
      </w:r>
    </w:p>
    <w:p w:rsidR="00FE476D" w:rsidRPr="0074392C" w:rsidRDefault="00FE476D" w:rsidP="008E5A82">
      <w:pPr>
        <w:jc w:val="center"/>
        <w:rPr>
          <w:rFonts w:ascii="Palatino Linotype" w:hAnsi="Palatino Linotype" w:cs="Tahoma"/>
          <w:lang w:val="es-ES"/>
        </w:rPr>
      </w:pPr>
      <w:r w:rsidRPr="0074392C">
        <w:rPr>
          <w:rFonts w:ascii="Palatino Linotype" w:hAnsi="Palatino Linotype" w:cs="Tahoma"/>
          <w:noProof/>
          <w:lang w:val="es-ES"/>
        </w:rPr>
        <w:lastRenderedPageBreak/>
        <w:drawing>
          <wp:inline distT="0" distB="0" distL="0" distR="0">
            <wp:extent cx="5295481" cy="5362049"/>
            <wp:effectExtent l="19050" t="19050" r="19685"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7021" cy="5363608"/>
                    </a:xfrm>
                    <a:prstGeom prst="rect">
                      <a:avLst/>
                    </a:prstGeom>
                    <a:noFill/>
                    <a:ln>
                      <a:solidFill>
                        <a:schemeClr val="tx1"/>
                      </a:solidFill>
                    </a:ln>
                  </pic:spPr>
                </pic:pic>
              </a:graphicData>
            </a:graphic>
          </wp:inline>
        </w:drawing>
      </w:r>
    </w:p>
    <w:p w:rsidR="00781A1D" w:rsidRPr="0074392C" w:rsidRDefault="00781A1D" w:rsidP="00781A1D">
      <w:pPr>
        <w:rPr>
          <w:rFonts w:ascii="Palatino Linotype" w:hAnsi="Palatino Linotype" w:cs="Tahoma"/>
          <w:lang w:val="es-ES"/>
        </w:rPr>
      </w:pPr>
    </w:p>
    <w:p w:rsidR="00907E97" w:rsidRPr="0074392C" w:rsidRDefault="008E5A82"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De modo tal que se da cuenta de</w:t>
      </w:r>
      <w:r w:rsidRPr="0074392C">
        <w:rPr>
          <w:rFonts w:ascii="Palatino Linotype" w:eastAsia="Calibri" w:hAnsi="Palatino Linotype" w:cs="Tahoma"/>
          <w:lang w:eastAsia="en-US"/>
        </w:rPr>
        <w:t xml:space="preserve"> las retenciones, pagos y diferencia a cargo, respecto al Impuesto sobre la Renta, en virtud de su</w:t>
      </w:r>
      <w:r w:rsidR="00562C0A" w:rsidRPr="0074392C">
        <w:rPr>
          <w:rFonts w:ascii="Palatino Linotype" w:eastAsia="Calibri" w:hAnsi="Palatino Linotype" w:cs="Tahoma"/>
          <w:lang w:eastAsia="en-US"/>
        </w:rPr>
        <w:t>eldos y/o asimilados a salarios, por lo que, al dar cuenta sobre las retenciones, pagos y diferencia a cargo, respecto al Impuesto sobre la Renta, en virtud de sueldos y/o asimilados a salarios, se tiene también por colmado el punto en comento.</w:t>
      </w:r>
    </w:p>
    <w:p w:rsidR="00907E97" w:rsidRPr="0074392C" w:rsidRDefault="00907E97" w:rsidP="00907E97">
      <w:pPr>
        <w:pStyle w:val="Prrafodelista"/>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lastRenderedPageBreak/>
        <w:t>Finalmente, respecto de la lectura de</w:t>
      </w:r>
      <w:r w:rsidR="008E5A82" w:rsidRPr="0074392C">
        <w:rPr>
          <w:rFonts w:ascii="Palatino Linotype" w:hAnsi="Palatino Linotype" w:cs="Tahoma"/>
          <w:lang w:val="es-ES"/>
        </w:rPr>
        <w:t xml:space="preserve"> </w:t>
      </w:r>
      <w:r w:rsidRPr="0074392C">
        <w:rPr>
          <w:rFonts w:ascii="Palatino Linotype" w:hAnsi="Palatino Linotype" w:cs="Tahoma"/>
          <w:lang w:val="es-ES"/>
        </w:rPr>
        <w:t>l</w:t>
      </w:r>
      <w:r w:rsidR="008E5A82" w:rsidRPr="0074392C">
        <w:rPr>
          <w:rFonts w:ascii="Palatino Linotype" w:hAnsi="Palatino Linotype" w:cs="Tahoma"/>
          <w:lang w:val="es-ES"/>
        </w:rPr>
        <w:t>a solicitud de información</w:t>
      </w:r>
      <w:r w:rsidRPr="0074392C">
        <w:rPr>
          <w:rFonts w:ascii="Palatino Linotype" w:hAnsi="Palatino Linotype" w:cs="Tahoma"/>
          <w:lang w:val="es-ES"/>
        </w:rPr>
        <w:t>, se acredita que el Recurrente solicita al Sujeto Obligado realice un procesamiento de información, a efecto de poder comprobarse que los servidores públicos no están siendo afectados por errores en el cálculo de impuestos, por lo que a manera de muestra calculen los impuestos anuales de los años 2017, 2018, 2019 y 2020, una vez hecho el procesamiento de la información, deberá realizar un documento de tipo específico que la contenga desagregada conforme a los apartados señalados.</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en el estado que se encuentra y no hacer un procesamiento de la misma, ni presentarla conforme al interés del solicitante; como así lo establece el artículo 12 de la Ley de Transparencia y Acceso a la Información Pública del Estado de México y Municipios.</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eastAsia="Calibri" w:hAnsi="Palatino Linotype" w:cs="Tahoma"/>
          <w:iCs/>
          <w:lang w:val="es-ES" w:eastAsia="es-ES_tradnl"/>
        </w:rPr>
      </w:pPr>
      <w:r w:rsidRPr="0074392C">
        <w:rPr>
          <w:rFonts w:ascii="Palatino Linotype" w:eastAsia="Calibri" w:hAnsi="Palatino Linotype" w:cs="Tahoma"/>
          <w:bCs/>
          <w:lang w:eastAsia="en-US"/>
        </w:rPr>
        <w:lastRenderedPageBreak/>
        <w:t>De</w:t>
      </w:r>
      <w:r w:rsidRPr="0074392C">
        <w:rPr>
          <w:rFonts w:ascii="Palatino Linotype" w:eastAsia="Calibri" w:hAnsi="Palatino Linotype" w:cs="Tahoma"/>
          <w:iCs/>
          <w:lang w:val="es-ES" w:eastAsia="es-ES_tradnl"/>
        </w:rPr>
        <w:t xml:space="preserve"> tales circunstancias, los sujetos obligados únicamente están constreñidos a </w:t>
      </w:r>
      <w:r w:rsidRPr="0074392C">
        <w:rPr>
          <w:rFonts w:ascii="Palatino Linotype" w:hAnsi="Palatino Linotype" w:cs="Tahoma"/>
          <w:lang w:val="es-ES"/>
        </w:rPr>
        <w:t>proporcionar</w:t>
      </w:r>
      <w:r w:rsidRPr="0074392C">
        <w:rPr>
          <w:rFonts w:ascii="Palatino Linotype" w:eastAsia="Calibri" w:hAnsi="Palatino Linotype" w:cs="Tahoma"/>
          <w:iCs/>
          <w:lang w:val="es-ES" w:eastAsia="es-ES_tradnl"/>
        </w:rPr>
        <w:t xml:space="preserve"> la documentación que obre en sus archivos; por lo que, no están obligados a generar o elaborar documentos </w:t>
      </w:r>
      <w:r w:rsidRPr="0074392C">
        <w:rPr>
          <w:rFonts w:ascii="Palatino Linotype" w:eastAsia="Calibri" w:hAnsi="Palatino Linotype" w:cs="Tahoma"/>
          <w:i/>
          <w:iCs/>
          <w:lang w:val="es-ES" w:eastAsia="es-ES_tradnl"/>
        </w:rPr>
        <w:t>Ad hoc,</w:t>
      </w:r>
      <w:r w:rsidRPr="0074392C">
        <w:rPr>
          <w:rFonts w:ascii="Palatino Linotype" w:eastAsia="Calibri" w:hAnsi="Palatino Linotype" w:cs="Tahoma"/>
          <w:iCs/>
          <w:lang w:val="es-ES" w:eastAsia="es-ES_tradnl"/>
        </w:rPr>
        <w:t xml:space="preserve"> robustece lo anterior el Criterio 3/17 del Instituto Nacional de Transparencia, Acceso a la Información y Protección de Datos Personales que a continuación se cita:</w:t>
      </w:r>
    </w:p>
    <w:p w:rsidR="00420C58" w:rsidRPr="0074392C" w:rsidRDefault="00420C58" w:rsidP="00420C58">
      <w:pPr>
        <w:tabs>
          <w:tab w:val="left" w:pos="4962"/>
        </w:tabs>
        <w:spacing w:line="360" w:lineRule="auto"/>
        <w:jc w:val="both"/>
        <w:rPr>
          <w:rFonts w:ascii="Palatino Linotype" w:eastAsia="Calibri" w:hAnsi="Palatino Linotype" w:cs="Tahoma"/>
          <w:iCs/>
          <w:lang w:val="es-ES" w:eastAsia="es-ES_tradnl"/>
        </w:rPr>
      </w:pPr>
    </w:p>
    <w:p w:rsidR="00420C58" w:rsidRPr="0074392C" w:rsidRDefault="00FE476D" w:rsidP="00420C58">
      <w:pPr>
        <w:spacing w:line="360" w:lineRule="auto"/>
        <w:ind w:left="567" w:right="567"/>
        <w:jc w:val="both"/>
        <w:rPr>
          <w:rFonts w:ascii="Palatino Linotype" w:eastAsia="Arial" w:hAnsi="Palatino Linotype" w:cs="Arial"/>
          <w:i/>
        </w:rPr>
      </w:pPr>
      <w:r w:rsidRPr="0074392C">
        <w:rPr>
          <w:rFonts w:ascii="Palatino Linotype" w:eastAsia="Arial" w:hAnsi="Palatino Linotype" w:cs="Arial"/>
          <w:b/>
          <w:i/>
        </w:rPr>
        <w:t>“</w:t>
      </w:r>
      <w:r w:rsidR="00420C58" w:rsidRPr="0074392C">
        <w:rPr>
          <w:rFonts w:ascii="Palatino Linotype" w:eastAsia="Arial" w:hAnsi="Palatino Linotype" w:cs="Arial"/>
          <w:b/>
          <w:i/>
        </w:rPr>
        <w:t xml:space="preserve">No existe obligación de elaborar </w:t>
      </w:r>
      <w:r w:rsidR="00420C58" w:rsidRPr="0074392C">
        <w:rPr>
          <w:rFonts w:ascii="Palatino Linotype" w:eastAsia="Arial" w:hAnsi="Palatino Linotype" w:cs="Arial"/>
          <w:b/>
          <w:i/>
          <w:spacing w:val="-3"/>
        </w:rPr>
        <w:t>d</w:t>
      </w:r>
      <w:r w:rsidR="00420C58" w:rsidRPr="0074392C">
        <w:rPr>
          <w:rFonts w:ascii="Palatino Linotype" w:eastAsia="Arial" w:hAnsi="Palatino Linotype" w:cs="Arial"/>
          <w:b/>
          <w:i/>
        </w:rPr>
        <w:t>ocum</w:t>
      </w:r>
      <w:r w:rsidR="00420C58" w:rsidRPr="0074392C">
        <w:rPr>
          <w:rFonts w:ascii="Palatino Linotype" w:eastAsia="Arial" w:hAnsi="Palatino Linotype" w:cs="Arial"/>
          <w:b/>
          <w:i/>
          <w:spacing w:val="1"/>
        </w:rPr>
        <w:t>e</w:t>
      </w:r>
      <w:r w:rsidR="00420C58" w:rsidRPr="0074392C">
        <w:rPr>
          <w:rFonts w:ascii="Palatino Linotype" w:eastAsia="Arial" w:hAnsi="Palatino Linotype" w:cs="Arial"/>
          <w:b/>
          <w:i/>
        </w:rPr>
        <w:t>n</w:t>
      </w:r>
      <w:r w:rsidR="00420C58" w:rsidRPr="0074392C">
        <w:rPr>
          <w:rFonts w:ascii="Palatino Linotype" w:eastAsia="Arial" w:hAnsi="Palatino Linotype" w:cs="Arial"/>
          <w:b/>
          <w:i/>
          <w:spacing w:val="-1"/>
        </w:rPr>
        <w:t>t</w:t>
      </w:r>
      <w:r w:rsidR="00420C58" w:rsidRPr="0074392C">
        <w:rPr>
          <w:rFonts w:ascii="Palatino Linotype" w:eastAsia="Arial" w:hAnsi="Palatino Linotype" w:cs="Arial"/>
          <w:b/>
          <w:i/>
        </w:rPr>
        <w:t xml:space="preserve">os </w:t>
      </w:r>
      <w:r w:rsidR="00420C58" w:rsidRPr="0074392C">
        <w:rPr>
          <w:rFonts w:ascii="Palatino Linotype" w:eastAsia="Arial" w:hAnsi="Palatino Linotype" w:cs="Arial"/>
          <w:b/>
          <w:i/>
          <w:spacing w:val="-1"/>
        </w:rPr>
        <w:t xml:space="preserve">ad </w:t>
      </w:r>
      <w:r w:rsidR="00420C58" w:rsidRPr="0074392C">
        <w:rPr>
          <w:rFonts w:ascii="Palatino Linotype" w:eastAsia="Arial" w:hAnsi="Palatino Linotype" w:cs="Arial"/>
          <w:b/>
          <w:i/>
        </w:rPr>
        <w:t>hoc para atender las sol</w:t>
      </w:r>
      <w:r w:rsidR="00420C58" w:rsidRPr="0074392C">
        <w:rPr>
          <w:rFonts w:ascii="Palatino Linotype" w:eastAsia="Arial" w:hAnsi="Palatino Linotype" w:cs="Arial"/>
          <w:b/>
          <w:i/>
          <w:spacing w:val="-2"/>
        </w:rPr>
        <w:t>i</w:t>
      </w:r>
      <w:r w:rsidR="00420C58" w:rsidRPr="0074392C">
        <w:rPr>
          <w:rFonts w:ascii="Palatino Linotype" w:eastAsia="Arial" w:hAnsi="Palatino Linotype" w:cs="Arial"/>
          <w:b/>
          <w:i/>
          <w:spacing w:val="1"/>
        </w:rPr>
        <w:t>c</w:t>
      </w:r>
      <w:r w:rsidR="00420C58" w:rsidRPr="0074392C">
        <w:rPr>
          <w:rFonts w:ascii="Palatino Linotype" w:eastAsia="Arial" w:hAnsi="Palatino Linotype" w:cs="Arial"/>
          <w:b/>
          <w:i/>
        </w:rPr>
        <w:t xml:space="preserve">itudes de </w:t>
      </w:r>
      <w:r w:rsidR="00420C58" w:rsidRPr="0074392C">
        <w:rPr>
          <w:rFonts w:ascii="Palatino Linotype" w:eastAsia="Arial" w:hAnsi="Palatino Linotype" w:cs="Arial"/>
          <w:b/>
          <w:i/>
          <w:spacing w:val="1"/>
        </w:rPr>
        <w:t>ac</w:t>
      </w:r>
      <w:r w:rsidR="00420C58" w:rsidRPr="0074392C">
        <w:rPr>
          <w:rFonts w:ascii="Palatino Linotype" w:eastAsia="Arial" w:hAnsi="Palatino Linotype" w:cs="Arial"/>
          <w:b/>
          <w:i/>
          <w:spacing w:val="-1"/>
        </w:rPr>
        <w:t>c</w:t>
      </w:r>
      <w:r w:rsidR="00420C58" w:rsidRPr="0074392C">
        <w:rPr>
          <w:rFonts w:ascii="Palatino Linotype" w:eastAsia="Arial" w:hAnsi="Palatino Linotype" w:cs="Arial"/>
          <w:b/>
          <w:i/>
          <w:spacing w:val="1"/>
        </w:rPr>
        <w:t>es</w:t>
      </w:r>
      <w:r w:rsidR="00420C58" w:rsidRPr="0074392C">
        <w:rPr>
          <w:rFonts w:ascii="Palatino Linotype" w:eastAsia="Arial" w:hAnsi="Palatino Linotype" w:cs="Arial"/>
          <w:b/>
          <w:i/>
        </w:rPr>
        <w:t>o a la informa</w:t>
      </w:r>
      <w:r w:rsidR="00420C58" w:rsidRPr="0074392C">
        <w:rPr>
          <w:rFonts w:ascii="Palatino Linotype" w:eastAsia="Arial" w:hAnsi="Palatino Linotype" w:cs="Arial"/>
          <w:b/>
          <w:i/>
          <w:spacing w:val="1"/>
        </w:rPr>
        <w:t>c</w:t>
      </w:r>
      <w:r w:rsidR="00420C58" w:rsidRPr="0074392C">
        <w:rPr>
          <w:rFonts w:ascii="Palatino Linotype" w:eastAsia="Arial" w:hAnsi="Palatino Linotype" w:cs="Arial"/>
          <w:b/>
          <w:i/>
        </w:rPr>
        <w:t>ió</w:t>
      </w:r>
      <w:r w:rsidR="00420C58" w:rsidRPr="0074392C">
        <w:rPr>
          <w:rFonts w:ascii="Palatino Linotype" w:eastAsia="Arial" w:hAnsi="Palatino Linotype" w:cs="Arial"/>
          <w:b/>
          <w:i/>
          <w:spacing w:val="-2"/>
        </w:rPr>
        <w:t>n</w:t>
      </w:r>
      <w:r w:rsidR="00420C58" w:rsidRPr="0074392C">
        <w:rPr>
          <w:rFonts w:ascii="Palatino Linotype" w:eastAsia="Arial" w:hAnsi="Palatino Linotype" w:cs="Arial"/>
          <w:b/>
          <w:i/>
        </w:rPr>
        <w:t xml:space="preserve">. </w:t>
      </w:r>
      <w:r w:rsidR="00420C58" w:rsidRPr="0074392C">
        <w:rPr>
          <w:rFonts w:ascii="Palatino Linotype" w:eastAsia="Arial" w:hAnsi="Palatino Linotype" w:cs="Arial"/>
          <w:i/>
          <w:spacing w:val="18"/>
        </w:rPr>
        <w:t>L</w:t>
      </w:r>
      <w:r w:rsidR="00420C58" w:rsidRPr="0074392C">
        <w:rPr>
          <w:rFonts w:ascii="Palatino Linotype" w:eastAsia="Arial" w:hAnsi="Palatino Linotype" w:cs="Arial"/>
          <w:i/>
          <w:spacing w:val="-1"/>
        </w:rPr>
        <w:t xml:space="preserve">os </w:t>
      </w:r>
      <w:r w:rsidR="00420C58" w:rsidRPr="0074392C">
        <w:rPr>
          <w:rFonts w:ascii="Palatino Linotype" w:eastAsia="Arial" w:hAnsi="Palatino Linotype" w:cs="Arial"/>
          <w:i/>
          <w:spacing w:val="1"/>
        </w:rPr>
        <w:t>a</w:t>
      </w:r>
      <w:r w:rsidR="00420C58" w:rsidRPr="0074392C">
        <w:rPr>
          <w:rFonts w:ascii="Palatino Linotype" w:eastAsia="Arial" w:hAnsi="Palatino Linotype" w:cs="Arial"/>
          <w:i/>
        </w:rPr>
        <w:t>rt</w:t>
      </w:r>
      <w:r w:rsidR="00420C58" w:rsidRPr="0074392C">
        <w:rPr>
          <w:rFonts w:ascii="Palatino Linotype" w:eastAsia="Arial" w:hAnsi="Palatino Linotype" w:cs="Arial"/>
          <w:i/>
          <w:spacing w:val="-2"/>
        </w:rPr>
        <w:t>í</w:t>
      </w:r>
      <w:r w:rsidR="00420C58" w:rsidRPr="0074392C">
        <w:rPr>
          <w:rFonts w:ascii="Palatino Linotype" w:eastAsia="Arial" w:hAnsi="Palatino Linotype" w:cs="Arial"/>
          <w:i/>
        </w:rPr>
        <w:t>c</w:t>
      </w:r>
      <w:r w:rsidR="00420C58" w:rsidRPr="0074392C">
        <w:rPr>
          <w:rFonts w:ascii="Palatino Linotype" w:eastAsia="Arial" w:hAnsi="Palatino Linotype" w:cs="Arial"/>
          <w:i/>
          <w:spacing w:val="1"/>
        </w:rPr>
        <w:t>u</w:t>
      </w:r>
      <w:r w:rsidR="00420C58" w:rsidRPr="0074392C">
        <w:rPr>
          <w:rFonts w:ascii="Palatino Linotype" w:eastAsia="Arial" w:hAnsi="Palatino Linotype" w:cs="Arial"/>
          <w:i/>
        </w:rPr>
        <w:t>los</w:t>
      </w:r>
      <w:r w:rsidR="00420C58" w:rsidRPr="0074392C">
        <w:rPr>
          <w:rFonts w:ascii="Palatino Linotype" w:eastAsia="Arial" w:hAnsi="Palatino Linotype" w:cs="Arial"/>
          <w:i/>
          <w:spacing w:val="8"/>
        </w:rPr>
        <w:t xml:space="preserve"> 129 </w:t>
      </w:r>
      <w:r w:rsidR="00420C58" w:rsidRPr="0074392C">
        <w:rPr>
          <w:rFonts w:ascii="Palatino Linotype" w:eastAsia="Arial" w:hAnsi="Palatino Linotype" w:cs="Arial"/>
          <w:i/>
          <w:spacing w:val="1"/>
        </w:rPr>
        <w:t>d</w:t>
      </w:r>
      <w:r w:rsidR="00420C58" w:rsidRPr="0074392C">
        <w:rPr>
          <w:rFonts w:ascii="Palatino Linotype" w:eastAsia="Arial" w:hAnsi="Palatino Linotype" w:cs="Arial"/>
          <w:i/>
        </w:rPr>
        <w:t xml:space="preserve">e la </w:t>
      </w:r>
      <w:r w:rsidR="00420C58" w:rsidRPr="0074392C">
        <w:rPr>
          <w:rFonts w:ascii="Palatino Linotype" w:eastAsia="Arial" w:hAnsi="Palatino Linotype" w:cs="Arial"/>
          <w:i/>
          <w:spacing w:val="-1"/>
        </w:rPr>
        <w:t>L</w:t>
      </w:r>
      <w:r w:rsidR="00420C58" w:rsidRPr="0074392C">
        <w:rPr>
          <w:rFonts w:ascii="Palatino Linotype" w:eastAsia="Arial" w:hAnsi="Palatino Linotype" w:cs="Arial"/>
          <w:i/>
          <w:spacing w:val="1"/>
        </w:rPr>
        <w:t>e</w:t>
      </w:r>
      <w:r w:rsidR="00420C58" w:rsidRPr="0074392C">
        <w:rPr>
          <w:rFonts w:ascii="Palatino Linotype" w:eastAsia="Arial" w:hAnsi="Palatino Linotype" w:cs="Arial"/>
          <w:i/>
        </w:rPr>
        <w:t xml:space="preserve">y General </w:t>
      </w:r>
      <w:r w:rsidR="00420C58" w:rsidRPr="0074392C">
        <w:rPr>
          <w:rFonts w:ascii="Palatino Linotype" w:eastAsia="Arial" w:hAnsi="Palatino Linotype" w:cs="Arial"/>
          <w:i/>
          <w:spacing w:val="-1"/>
        </w:rPr>
        <w:t>d</w:t>
      </w:r>
      <w:r w:rsidR="00420C58" w:rsidRPr="0074392C">
        <w:rPr>
          <w:rFonts w:ascii="Palatino Linotype" w:eastAsia="Arial" w:hAnsi="Palatino Linotype" w:cs="Arial"/>
          <w:i/>
        </w:rPr>
        <w:t xml:space="preserve">e </w:t>
      </w:r>
      <w:r w:rsidR="00420C58" w:rsidRPr="0074392C">
        <w:rPr>
          <w:rFonts w:ascii="Palatino Linotype" w:eastAsia="Arial" w:hAnsi="Palatino Linotype" w:cs="Arial"/>
          <w:i/>
          <w:spacing w:val="2"/>
        </w:rPr>
        <w:t>T</w:t>
      </w:r>
      <w:r w:rsidR="00420C58" w:rsidRPr="0074392C">
        <w:rPr>
          <w:rFonts w:ascii="Palatino Linotype" w:eastAsia="Arial" w:hAnsi="Palatino Linotype" w:cs="Arial"/>
          <w:i/>
        </w:rPr>
        <w:t>r</w:t>
      </w:r>
      <w:r w:rsidR="00420C58" w:rsidRPr="0074392C">
        <w:rPr>
          <w:rFonts w:ascii="Palatino Linotype" w:eastAsia="Arial" w:hAnsi="Palatino Linotype" w:cs="Arial"/>
          <w:i/>
          <w:spacing w:val="-2"/>
        </w:rPr>
        <w:t>a</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s</w:t>
      </w:r>
      <w:r w:rsidR="00420C58" w:rsidRPr="0074392C">
        <w:rPr>
          <w:rFonts w:ascii="Palatino Linotype" w:eastAsia="Arial" w:hAnsi="Palatino Linotype" w:cs="Arial"/>
          <w:i/>
          <w:spacing w:val="1"/>
        </w:rPr>
        <w:t>pa</w:t>
      </w:r>
      <w:r w:rsidR="00420C58" w:rsidRPr="0074392C">
        <w:rPr>
          <w:rFonts w:ascii="Palatino Linotype" w:eastAsia="Arial" w:hAnsi="Palatino Linotype" w:cs="Arial"/>
          <w:i/>
        </w:rPr>
        <w:t>r</w:t>
      </w:r>
      <w:r w:rsidR="00420C58" w:rsidRPr="0074392C">
        <w:rPr>
          <w:rFonts w:ascii="Palatino Linotype" w:eastAsia="Arial" w:hAnsi="Palatino Linotype" w:cs="Arial"/>
          <w:i/>
          <w:spacing w:val="-2"/>
        </w:rPr>
        <w:t>e</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cia y Acc</w:t>
      </w:r>
      <w:r w:rsidR="00420C58" w:rsidRPr="0074392C">
        <w:rPr>
          <w:rFonts w:ascii="Palatino Linotype" w:eastAsia="Arial" w:hAnsi="Palatino Linotype" w:cs="Arial"/>
          <w:i/>
          <w:spacing w:val="1"/>
        </w:rPr>
        <w:t>e</w:t>
      </w:r>
      <w:r w:rsidR="00420C58" w:rsidRPr="0074392C">
        <w:rPr>
          <w:rFonts w:ascii="Palatino Linotype" w:eastAsia="Arial" w:hAnsi="Palatino Linotype" w:cs="Arial"/>
          <w:i/>
        </w:rPr>
        <w:t>so a la I</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f</w:t>
      </w:r>
      <w:r w:rsidR="00420C58" w:rsidRPr="0074392C">
        <w:rPr>
          <w:rFonts w:ascii="Palatino Linotype" w:eastAsia="Arial" w:hAnsi="Palatino Linotype" w:cs="Arial"/>
          <w:i/>
          <w:spacing w:val="1"/>
        </w:rPr>
        <w:t>o</w:t>
      </w:r>
      <w:r w:rsidR="00420C58" w:rsidRPr="0074392C">
        <w:rPr>
          <w:rFonts w:ascii="Palatino Linotype" w:eastAsia="Arial" w:hAnsi="Palatino Linotype" w:cs="Arial"/>
          <w:i/>
          <w:spacing w:val="-3"/>
        </w:rPr>
        <w:t>r</w:t>
      </w:r>
      <w:r w:rsidR="00420C58" w:rsidRPr="0074392C">
        <w:rPr>
          <w:rFonts w:ascii="Palatino Linotype" w:eastAsia="Arial" w:hAnsi="Palatino Linotype" w:cs="Arial"/>
          <w:i/>
          <w:spacing w:val="1"/>
        </w:rPr>
        <w:t>ma</w:t>
      </w:r>
      <w:r w:rsidR="00420C58" w:rsidRPr="0074392C">
        <w:rPr>
          <w:rFonts w:ascii="Palatino Linotype" w:eastAsia="Arial" w:hAnsi="Palatino Linotype" w:cs="Arial"/>
          <w:i/>
        </w:rPr>
        <w:t>ci</w:t>
      </w:r>
      <w:r w:rsidR="00420C58" w:rsidRPr="0074392C">
        <w:rPr>
          <w:rFonts w:ascii="Palatino Linotype" w:eastAsia="Arial" w:hAnsi="Palatino Linotype" w:cs="Arial"/>
          <w:i/>
          <w:spacing w:val="-2"/>
        </w:rPr>
        <w:t>ó</w:t>
      </w:r>
      <w:r w:rsidR="00420C58" w:rsidRPr="0074392C">
        <w:rPr>
          <w:rFonts w:ascii="Palatino Linotype" w:eastAsia="Arial" w:hAnsi="Palatino Linotype" w:cs="Arial"/>
          <w:i/>
        </w:rPr>
        <w:t xml:space="preserve">n </w:t>
      </w:r>
      <w:r w:rsidR="00420C58" w:rsidRPr="0074392C">
        <w:rPr>
          <w:rFonts w:ascii="Palatino Linotype" w:eastAsia="Arial" w:hAnsi="Palatino Linotype" w:cs="Arial"/>
          <w:i/>
          <w:spacing w:val="-2"/>
        </w:rPr>
        <w:t>P</w:t>
      </w:r>
      <w:r w:rsidR="00420C58" w:rsidRPr="0074392C">
        <w:rPr>
          <w:rFonts w:ascii="Palatino Linotype" w:eastAsia="Arial" w:hAnsi="Palatino Linotype" w:cs="Arial"/>
          <w:i/>
          <w:spacing w:val="1"/>
        </w:rPr>
        <w:t>úb</w:t>
      </w:r>
      <w:r w:rsidR="00420C58" w:rsidRPr="0074392C">
        <w:rPr>
          <w:rFonts w:ascii="Palatino Linotype" w:eastAsia="Arial" w:hAnsi="Palatino Linotype" w:cs="Arial"/>
          <w:i/>
        </w:rPr>
        <w:t>l</w:t>
      </w:r>
      <w:r w:rsidR="00420C58" w:rsidRPr="0074392C">
        <w:rPr>
          <w:rFonts w:ascii="Palatino Linotype" w:eastAsia="Arial" w:hAnsi="Palatino Linotype" w:cs="Arial"/>
          <w:i/>
          <w:spacing w:val="-1"/>
        </w:rPr>
        <w:t>i</w:t>
      </w:r>
      <w:r w:rsidR="00420C58" w:rsidRPr="0074392C">
        <w:rPr>
          <w:rFonts w:ascii="Palatino Linotype" w:eastAsia="Arial" w:hAnsi="Palatino Linotype" w:cs="Arial"/>
          <w:i/>
        </w:rPr>
        <w:t xml:space="preserve">ca y </w:t>
      </w:r>
      <w:r w:rsidR="00420C58" w:rsidRPr="0074392C">
        <w:rPr>
          <w:rFonts w:ascii="Palatino Linotype" w:eastAsia="Arial" w:hAnsi="Palatino Linotype" w:cs="Arial"/>
          <w:i/>
          <w:spacing w:val="8"/>
        </w:rPr>
        <w:t xml:space="preserve">130, párrafo cuarto, </w:t>
      </w:r>
      <w:r w:rsidR="00420C58" w:rsidRPr="0074392C">
        <w:rPr>
          <w:rFonts w:ascii="Palatino Linotype" w:eastAsia="Arial" w:hAnsi="Palatino Linotype" w:cs="Arial"/>
          <w:i/>
          <w:spacing w:val="1"/>
        </w:rPr>
        <w:t>d</w:t>
      </w:r>
      <w:r w:rsidR="00420C58" w:rsidRPr="0074392C">
        <w:rPr>
          <w:rFonts w:ascii="Palatino Linotype" w:eastAsia="Arial" w:hAnsi="Palatino Linotype" w:cs="Arial"/>
          <w:i/>
        </w:rPr>
        <w:t xml:space="preserve">e la </w:t>
      </w:r>
      <w:r w:rsidR="00420C58" w:rsidRPr="0074392C">
        <w:rPr>
          <w:rFonts w:ascii="Palatino Linotype" w:eastAsia="Arial" w:hAnsi="Palatino Linotype" w:cs="Arial"/>
          <w:i/>
          <w:spacing w:val="-1"/>
        </w:rPr>
        <w:t>L</w:t>
      </w:r>
      <w:r w:rsidR="00420C58" w:rsidRPr="0074392C">
        <w:rPr>
          <w:rFonts w:ascii="Palatino Linotype" w:eastAsia="Arial" w:hAnsi="Palatino Linotype" w:cs="Arial"/>
          <w:i/>
          <w:spacing w:val="1"/>
        </w:rPr>
        <w:t>e</w:t>
      </w:r>
      <w:r w:rsidR="00420C58" w:rsidRPr="0074392C">
        <w:rPr>
          <w:rFonts w:ascii="Palatino Linotype" w:eastAsia="Arial" w:hAnsi="Palatino Linotype" w:cs="Arial"/>
          <w:i/>
        </w:rPr>
        <w:t>y Fe</w:t>
      </w:r>
      <w:r w:rsidR="00420C58" w:rsidRPr="0074392C">
        <w:rPr>
          <w:rFonts w:ascii="Palatino Linotype" w:eastAsia="Arial" w:hAnsi="Palatino Linotype" w:cs="Arial"/>
          <w:i/>
          <w:spacing w:val="1"/>
        </w:rPr>
        <w:t>de</w:t>
      </w:r>
      <w:r w:rsidR="00420C58" w:rsidRPr="0074392C">
        <w:rPr>
          <w:rFonts w:ascii="Palatino Linotype" w:eastAsia="Arial" w:hAnsi="Palatino Linotype" w:cs="Arial"/>
          <w:i/>
        </w:rPr>
        <w:t xml:space="preserve">ral </w:t>
      </w:r>
      <w:r w:rsidR="00420C58" w:rsidRPr="0074392C">
        <w:rPr>
          <w:rFonts w:ascii="Palatino Linotype" w:eastAsia="Arial" w:hAnsi="Palatino Linotype" w:cs="Arial"/>
          <w:i/>
          <w:spacing w:val="-1"/>
        </w:rPr>
        <w:t>d</w:t>
      </w:r>
      <w:r w:rsidR="00420C58" w:rsidRPr="0074392C">
        <w:rPr>
          <w:rFonts w:ascii="Palatino Linotype" w:eastAsia="Arial" w:hAnsi="Palatino Linotype" w:cs="Arial"/>
          <w:i/>
        </w:rPr>
        <w:t xml:space="preserve">e </w:t>
      </w:r>
      <w:r w:rsidR="00420C58" w:rsidRPr="0074392C">
        <w:rPr>
          <w:rFonts w:ascii="Palatino Linotype" w:eastAsia="Arial" w:hAnsi="Palatino Linotype" w:cs="Arial"/>
          <w:i/>
          <w:spacing w:val="2"/>
        </w:rPr>
        <w:t>T</w:t>
      </w:r>
      <w:r w:rsidR="00420C58" w:rsidRPr="0074392C">
        <w:rPr>
          <w:rFonts w:ascii="Palatino Linotype" w:eastAsia="Arial" w:hAnsi="Palatino Linotype" w:cs="Arial"/>
          <w:i/>
        </w:rPr>
        <w:t>r</w:t>
      </w:r>
      <w:r w:rsidR="00420C58" w:rsidRPr="0074392C">
        <w:rPr>
          <w:rFonts w:ascii="Palatino Linotype" w:eastAsia="Arial" w:hAnsi="Palatino Linotype" w:cs="Arial"/>
          <w:i/>
          <w:spacing w:val="-2"/>
        </w:rPr>
        <w:t>a</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s</w:t>
      </w:r>
      <w:r w:rsidR="00420C58" w:rsidRPr="0074392C">
        <w:rPr>
          <w:rFonts w:ascii="Palatino Linotype" w:eastAsia="Arial" w:hAnsi="Palatino Linotype" w:cs="Arial"/>
          <w:i/>
          <w:spacing w:val="1"/>
        </w:rPr>
        <w:t>pa</w:t>
      </w:r>
      <w:r w:rsidR="00420C58" w:rsidRPr="0074392C">
        <w:rPr>
          <w:rFonts w:ascii="Palatino Linotype" w:eastAsia="Arial" w:hAnsi="Palatino Linotype" w:cs="Arial"/>
          <w:i/>
        </w:rPr>
        <w:t>r</w:t>
      </w:r>
      <w:r w:rsidR="00420C58" w:rsidRPr="0074392C">
        <w:rPr>
          <w:rFonts w:ascii="Palatino Linotype" w:eastAsia="Arial" w:hAnsi="Palatino Linotype" w:cs="Arial"/>
          <w:i/>
          <w:spacing w:val="-2"/>
        </w:rPr>
        <w:t>e</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cia y Acc</w:t>
      </w:r>
      <w:r w:rsidR="00420C58" w:rsidRPr="0074392C">
        <w:rPr>
          <w:rFonts w:ascii="Palatino Linotype" w:eastAsia="Arial" w:hAnsi="Palatino Linotype" w:cs="Arial"/>
          <w:i/>
          <w:spacing w:val="1"/>
        </w:rPr>
        <w:t>e</w:t>
      </w:r>
      <w:r w:rsidR="00420C58" w:rsidRPr="0074392C">
        <w:rPr>
          <w:rFonts w:ascii="Palatino Linotype" w:eastAsia="Arial" w:hAnsi="Palatino Linotype" w:cs="Arial"/>
          <w:i/>
        </w:rPr>
        <w:t>so a la I</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f</w:t>
      </w:r>
      <w:r w:rsidR="00420C58" w:rsidRPr="0074392C">
        <w:rPr>
          <w:rFonts w:ascii="Palatino Linotype" w:eastAsia="Arial" w:hAnsi="Palatino Linotype" w:cs="Arial"/>
          <w:i/>
          <w:spacing w:val="1"/>
        </w:rPr>
        <w:t>o</w:t>
      </w:r>
      <w:r w:rsidR="00420C58" w:rsidRPr="0074392C">
        <w:rPr>
          <w:rFonts w:ascii="Palatino Linotype" w:eastAsia="Arial" w:hAnsi="Palatino Linotype" w:cs="Arial"/>
          <w:i/>
          <w:spacing w:val="-3"/>
        </w:rPr>
        <w:t>r</w:t>
      </w:r>
      <w:r w:rsidR="00420C58" w:rsidRPr="0074392C">
        <w:rPr>
          <w:rFonts w:ascii="Palatino Linotype" w:eastAsia="Arial" w:hAnsi="Palatino Linotype" w:cs="Arial"/>
          <w:i/>
          <w:spacing w:val="1"/>
        </w:rPr>
        <w:t>ma</w:t>
      </w:r>
      <w:r w:rsidR="00420C58" w:rsidRPr="0074392C">
        <w:rPr>
          <w:rFonts w:ascii="Palatino Linotype" w:eastAsia="Arial" w:hAnsi="Palatino Linotype" w:cs="Arial"/>
          <w:i/>
        </w:rPr>
        <w:t>ci</w:t>
      </w:r>
      <w:r w:rsidR="00420C58" w:rsidRPr="0074392C">
        <w:rPr>
          <w:rFonts w:ascii="Palatino Linotype" w:eastAsia="Arial" w:hAnsi="Palatino Linotype" w:cs="Arial"/>
          <w:i/>
          <w:spacing w:val="-2"/>
        </w:rPr>
        <w:t>ó</w:t>
      </w:r>
      <w:r w:rsidR="00420C58" w:rsidRPr="0074392C">
        <w:rPr>
          <w:rFonts w:ascii="Palatino Linotype" w:eastAsia="Arial" w:hAnsi="Palatino Linotype" w:cs="Arial"/>
          <w:i/>
        </w:rPr>
        <w:t xml:space="preserve">n </w:t>
      </w:r>
      <w:r w:rsidR="00420C58" w:rsidRPr="0074392C">
        <w:rPr>
          <w:rFonts w:ascii="Palatino Linotype" w:eastAsia="Arial" w:hAnsi="Palatino Linotype" w:cs="Arial"/>
          <w:i/>
          <w:spacing w:val="-2"/>
        </w:rPr>
        <w:t>P</w:t>
      </w:r>
      <w:r w:rsidR="00420C58" w:rsidRPr="0074392C">
        <w:rPr>
          <w:rFonts w:ascii="Palatino Linotype" w:eastAsia="Arial" w:hAnsi="Palatino Linotype" w:cs="Arial"/>
          <w:i/>
          <w:spacing w:val="1"/>
        </w:rPr>
        <w:t>úb</w:t>
      </w:r>
      <w:r w:rsidR="00420C58" w:rsidRPr="0074392C">
        <w:rPr>
          <w:rFonts w:ascii="Palatino Linotype" w:eastAsia="Arial" w:hAnsi="Palatino Linotype" w:cs="Arial"/>
          <w:i/>
        </w:rPr>
        <w:t>l</w:t>
      </w:r>
      <w:r w:rsidR="00420C58" w:rsidRPr="0074392C">
        <w:rPr>
          <w:rFonts w:ascii="Palatino Linotype" w:eastAsia="Arial" w:hAnsi="Palatino Linotype" w:cs="Arial"/>
          <w:i/>
          <w:spacing w:val="-1"/>
        </w:rPr>
        <w:t>i</w:t>
      </w:r>
      <w:r w:rsidR="00420C58" w:rsidRPr="0074392C">
        <w:rPr>
          <w:rFonts w:ascii="Palatino Linotype" w:eastAsia="Arial" w:hAnsi="Palatino Linotype" w:cs="Arial"/>
          <w:i/>
        </w:rPr>
        <w:t xml:space="preserve">ca, </w:t>
      </w:r>
      <w:r w:rsidR="00420C58" w:rsidRPr="0074392C">
        <w:rPr>
          <w:rFonts w:ascii="Palatino Linotype" w:eastAsia="Arial" w:hAnsi="Palatino Linotype" w:cs="Arial"/>
          <w:i/>
          <w:spacing w:val="-1"/>
        </w:rPr>
        <w:t>señalan q</w:t>
      </w:r>
      <w:r w:rsidR="00420C58" w:rsidRPr="0074392C">
        <w:rPr>
          <w:rFonts w:ascii="Palatino Linotype" w:eastAsia="Arial" w:hAnsi="Palatino Linotype" w:cs="Arial"/>
          <w:i/>
          <w:spacing w:val="1"/>
        </w:rPr>
        <w:t>u</w:t>
      </w:r>
      <w:r w:rsidR="00420C58" w:rsidRPr="0074392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00420C58" w:rsidRPr="0074392C">
        <w:rPr>
          <w:rFonts w:ascii="Palatino Linotype" w:eastAsia="Arial" w:hAnsi="Palatino Linotype" w:cs="Arial"/>
          <w:i/>
          <w:spacing w:val="-1"/>
        </w:rPr>
        <w:t xml:space="preserve"> sin necesidad de</w:t>
      </w:r>
      <w:r w:rsidR="00420C58" w:rsidRPr="0074392C">
        <w:rPr>
          <w:rFonts w:ascii="Palatino Linotype" w:eastAsia="Arial" w:hAnsi="Palatino Linotype" w:cs="Arial"/>
          <w:i/>
          <w:spacing w:val="1"/>
        </w:rPr>
        <w:t xml:space="preserve"> e</w:t>
      </w:r>
      <w:r w:rsidR="00420C58" w:rsidRPr="0074392C">
        <w:rPr>
          <w:rFonts w:ascii="Palatino Linotype" w:eastAsia="Arial" w:hAnsi="Palatino Linotype" w:cs="Arial"/>
          <w:i/>
        </w:rPr>
        <w:t>la</w:t>
      </w:r>
      <w:r w:rsidR="00420C58" w:rsidRPr="0074392C">
        <w:rPr>
          <w:rFonts w:ascii="Palatino Linotype" w:eastAsia="Arial" w:hAnsi="Palatino Linotype" w:cs="Arial"/>
          <w:i/>
          <w:spacing w:val="1"/>
        </w:rPr>
        <w:t>bo</w:t>
      </w:r>
      <w:r w:rsidR="00420C58" w:rsidRPr="0074392C">
        <w:rPr>
          <w:rFonts w:ascii="Palatino Linotype" w:eastAsia="Arial" w:hAnsi="Palatino Linotype" w:cs="Arial"/>
          <w:i/>
        </w:rPr>
        <w:t xml:space="preserve">rar </w:t>
      </w:r>
      <w:r w:rsidR="00420C58" w:rsidRPr="0074392C">
        <w:rPr>
          <w:rFonts w:ascii="Palatino Linotype" w:eastAsia="Arial" w:hAnsi="Palatino Linotype" w:cs="Arial"/>
          <w:i/>
          <w:spacing w:val="1"/>
        </w:rPr>
        <w:t>do</w:t>
      </w:r>
      <w:r w:rsidR="00420C58" w:rsidRPr="0074392C">
        <w:rPr>
          <w:rFonts w:ascii="Palatino Linotype" w:eastAsia="Arial" w:hAnsi="Palatino Linotype" w:cs="Arial"/>
          <w:i/>
          <w:spacing w:val="-2"/>
        </w:rPr>
        <w:t>c</w:t>
      </w:r>
      <w:r w:rsidR="00420C58" w:rsidRPr="0074392C">
        <w:rPr>
          <w:rFonts w:ascii="Palatino Linotype" w:eastAsia="Arial" w:hAnsi="Palatino Linotype" w:cs="Arial"/>
          <w:i/>
          <w:spacing w:val="1"/>
        </w:rPr>
        <w:t>u</w:t>
      </w:r>
      <w:r w:rsidR="00420C58" w:rsidRPr="0074392C">
        <w:rPr>
          <w:rFonts w:ascii="Palatino Linotype" w:eastAsia="Arial" w:hAnsi="Palatino Linotype" w:cs="Arial"/>
          <w:i/>
          <w:spacing w:val="-1"/>
        </w:rPr>
        <w:t>m</w:t>
      </w:r>
      <w:r w:rsidR="00420C58" w:rsidRPr="0074392C">
        <w:rPr>
          <w:rFonts w:ascii="Palatino Linotype" w:eastAsia="Arial" w:hAnsi="Palatino Linotype" w:cs="Arial"/>
          <w:i/>
          <w:spacing w:val="1"/>
        </w:rPr>
        <w:t>en</w:t>
      </w:r>
      <w:r w:rsidR="00420C58" w:rsidRPr="0074392C">
        <w:rPr>
          <w:rFonts w:ascii="Palatino Linotype" w:eastAsia="Arial" w:hAnsi="Palatino Linotype" w:cs="Arial"/>
          <w:i/>
          <w:spacing w:val="-2"/>
        </w:rPr>
        <w:t>t</w:t>
      </w:r>
      <w:r w:rsidR="00420C58" w:rsidRPr="0074392C">
        <w:rPr>
          <w:rFonts w:ascii="Palatino Linotype" w:eastAsia="Arial" w:hAnsi="Palatino Linotype" w:cs="Arial"/>
          <w:i/>
          <w:spacing w:val="1"/>
        </w:rPr>
        <w:t>o</w:t>
      </w:r>
      <w:r w:rsidR="00420C58" w:rsidRPr="0074392C">
        <w:rPr>
          <w:rFonts w:ascii="Palatino Linotype" w:eastAsia="Arial" w:hAnsi="Palatino Linotype" w:cs="Arial"/>
          <w:i/>
        </w:rPr>
        <w:t xml:space="preserve">s </w:t>
      </w:r>
      <w:r w:rsidR="00420C58" w:rsidRPr="0074392C">
        <w:rPr>
          <w:rFonts w:ascii="Palatino Linotype" w:eastAsia="Arial" w:hAnsi="Palatino Linotype" w:cs="Arial"/>
          <w:i/>
          <w:spacing w:val="1"/>
        </w:rPr>
        <w:t>a</w:t>
      </w:r>
      <w:r w:rsidR="00420C58" w:rsidRPr="0074392C">
        <w:rPr>
          <w:rFonts w:ascii="Palatino Linotype" w:eastAsia="Arial" w:hAnsi="Palatino Linotype" w:cs="Arial"/>
          <w:i/>
        </w:rPr>
        <w:t>d</w:t>
      </w:r>
      <w:r w:rsidR="00420C58" w:rsidRPr="0074392C">
        <w:rPr>
          <w:rFonts w:ascii="Palatino Linotype" w:eastAsia="Arial" w:hAnsi="Palatino Linotype" w:cs="Arial"/>
          <w:i/>
          <w:spacing w:val="1"/>
        </w:rPr>
        <w:t xml:space="preserve"> ho</w:t>
      </w:r>
      <w:r w:rsidR="00420C58" w:rsidRPr="0074392C">
        <w:rPr>
          <w:rFonts w:ascii="Palatino Linotype" w:eastAsia="Arial" w:hAnsi="Palatino Linotype" w:cs="Arial"/>
          <w:i/>
        </w:rPr>
        <w:t xml:space="preserve">c </w:t>
      </w:r>
      <w:r w:rsidR="00420C58" w:rsidRPr="0074392C">
        <w:rPr>
          <w:rFonts w:ascii="Palatino Linotype" w:eastAsia="Arial" w:hAnsi="Palatino Linotype" w:cs="Arial"/>
          <w:i/>
          <w:spacing w:val="1"/>
        </w:rPr>
        <w:t>pa</w:t>
      </w:r>
      <w:r w:rsidR="00420C58" w:rsidRPr="0074392C">
        <w:rPr>
          <w:rFonts w:ascii="Palatino Linotype" w:eastAsia="Arial" w:hAnsi="Palatino Linotype" w:cs="Arial"/>
          <w:i/>
        </w:rPr>
        <w:t xml:space="preserve">ra </w:t>
      </w:r>
      <w:r w:rsidR="00420C58" w:rsidRPr="0074392C">
        <w:rPr>
          <w:rFonts w:ascii="Palatino Linotype" w:eastAsia="Arial" w:hAnsi="Palatino Linotype" w:cs="Arial"/>
          <w:i/>
          <w:spacing w:val="1"/>
        </w:rPr>
        <w:t>a</w:t>
      </w:r>
      <w:r w:rsidR="00420C58" w:rsidRPr="0074392C">
        <w:rPr>
          <w:rFonts w:ascii="Palatino Linotype" w:eastAsia="Arial" w:hAnsi="Palatino Linotype" w:cs="Arial"/>
          <w:i/>
        </w:rPr>
        <w:t>t</w:t>
      </w:r>
      <w:r w:rsidR="00420C58" w:rsidRPr="0074392C">
        <w:rPr>
          <w:rFonts w:ascii="Palatino Linotype" w:eastAsia="Arial" w:hAnsi="Palatino Linotype" w:cs="Arial"/>
          <w:i/>
          <w:spacing w:val="-1"/>
        </w:rPr>
        <w:t>e</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spacing w:val="-1"/>
        </w:rPr>
        <w:t>d</w:t>
      </w:r>
      <w:r w:rsidR="00420C58" w:rsidRPr="0074392C">
        <w:rPr>
          <w:rFonts w:ascii="Palatino Linotype" w:eastAsia="Arial" w:hAnsi="Palatino Linotype" w:cs="Arial"/>
          <w:i/>
          <w:spacing w:val="1"/>
        </w:rPr>
        <w:t>e</w:t>
      </w:r>
      <w:r w:rsidR="00420C58" w:rsidRPr="0074392C">
        <w:rPr>
          <w:rFonts w:ascii="Palatino Linotype" w:eastAsia="Arial" w:hAnsi="Palatino Linotype" w:cs="Arial"/>
          <w:i/>
        </w:rPr>
        <w:t>r l</w:t>
      </w:r>
      <w:r w:rsidR="00420C58" w:rsidRPr="0074392C">
        <w:rPr>
          <w:rFonts w:ascii="Palatino Linotype" w:eastAsia="Arial" w:hAnsi="Palatino Linotype" w:cs="Arial"/>
          <w:i/>
          <w:spacing w:val="-2"/>
        </w:rPr>
        <w:t>a</w:t>
      </w:r>
      <w:r w:rsidR="00420C58" w:rsidRPr="0074392C">
        <w:rPr>
          <w:rFonts w:ascii="Palatino Linotype" w:eastAsia="Arial" w:hAnsi="Palatino Linotype" w:cs="Arial"/>
          <w:i/>
        </w:rPr>
        <w:t>s s</w:t>
      </w:r>
      <w:r w:rsidR="00420C58" w:rsidRPr="0074392C">
        <w:rPr>
          <w:rFonts w:ascii="Palatino Linotype" w:eastAsia="Arial" w:hAnsi="Palatino Linotype" w:cs="Arial"/>
          <w:i/>
          <w:spacing w:val="1"/>
        </w:rPr>
        <w:t>o</w:t>
      </w:r>
      <w:r w:rsidR="00420C58" w:rsidRPr="0074392C">
        <w:rPr>
          <w:rFonts w:ascii="Palatino Linotype" w:eastAsia="Arial" w:hAnsi="Palatino Linotype" w:cs="Arial"/>
          <w:i/>
        </w:rPr>
        <w:t>l</w:t>
      </w:r>
      <w:r w:rsidR="00420C58" w:rsidRPr="0074392C">
        <w:rPr>
          <w:rFonts w:ascii="Palatino Linotype" w:eastAsia="Arial" w:hAnsi="Palatino Linotype" w:cs="Arial"/>
          <w:i/>
          <w:spacing w:val="-1"/>
        </w:rPr>
        <w:t>i</w:t>
      </w:r>
      <w:r w:rsidR="00420C58" w:rsidRPr="0074392C">
        <w:rPr>
          <w:rFonts w:ascii="Palatino Linotype" w:eastAsia="Arial" w:hAnsi="Palatino Linotype" w:cs="Arial"/>
          <w:i/>
        </w:rPr>
        <w:t>cit</w:t>
      </w:r>
      <w:r w:rsidR="00420C58" w:rsidRPr="0074392C">
        <w:rPr>
          <w:rFonts w:ascii="Palatino Linotype" w:eastAsia="Arial" w:hAnsi="Palatino Linotype" w:cs="Arial"/>
          <w:i/>
          <w:spacing w:val="1"/>
        </w:rPr>
        <w:t>ude</w:t>
      </w:r>
      <w:r w:rsidR="00420C58" w:rsidRPr="0074392C">
        <w:rPr>
          <w:rFonts w:ascii="Palatino Linotype" w:eastAsia="Arial" w:hAnsi="Palatino Linotype" w:cs="Arial"/>
          <w:i/>
        </w:rPr>
        <w:t xml:space="preserve">s </w:t>
      </w:r>
      <w:r w:rsidR="00420C58" w:rsidRPr="0074392C">
        <w:rPr>
          <w:rFonts w:ascii="Palatino Linotype" w:eastAsia="Arial" w:hAnsi="Palatino Linotype" w:cs="Arial"/>
          <w:i/>
          <w:spacing w:val="-1"/>
        </w:rPr>
        <w:t>d</w:t>
      </w:r>
      <w:r w:rsidR="00420C58" w:rsidRPr="0074392C">
        <w:rPr>
          <w:rFonts w:ascii="Palatino Linotype" w:eastAsia="Arial" w:hAnsi="Palatino Linotype" w:cs="Arial"/>
          <w:i/>
        </w:rPr>
        <w:t>e i</w:t>
      </w:r>
      <w:r w:rsidR="00420C58" w:rsidRPr="0074392C">
        <w:rPr>
          <w:rFonts w:ascii="Palatino Linotype" w:eastAsia="Arial" w:hAnsi="Palatino Linotype" w:cs="Arial"/>
          <w:i/>
          <w:spacing w:val="-2"/>
        </w:rPr>
        <w:t>n</w:t>
      </w:r>
      <w:r w:rsidR="00420C58" w:rsidRPr="0074392C">
        <w:rPr>
          <w:rFonts w:ascii="Palatino Linotype" w:eastAsia="Arial" w:hAnsi="Palatino Linotype" w:cs="Arial"/>
          <w:i/>
        </w:rPr>
        <w:t>f</w:t>
      </w:r>
      <w:r w:rsidR="00420C58" w:rsidRPr="0074392C">
        <w:rPr>
          <w:rFonts w:ascii="Palatino Linotype" w:eastAsia="Arial" w:hAnsi="Palatino Linotype" w:cs="Arial"/>
          <w:i/>
          <w:spacing w:val="1"/>
        </w:rPr>
        <w:t>o</w:t>
      </w:r>
      <w:r w:rsidR="00420C58" w:rsidRPr="0074392C">
        <w:rPr>
          <w:rFonts w:ascii="Palatino Linotype" w:eastAsia="Arial" w:hAnsi="Palatino Linotype" w:cs="Arial"/>
          <w:i/>
        </w:rPr>
        <w:t>r</w:t>
      </w:r>
      <w:r w:rsidR="00420C58" w:rsidRPr="0074392C">
        <w:rPr>
          <w:rFonts w:ascii="Palatino Linotype" w:eastAsia="Arial" w:hAnsi="Palatino Linotype" w:cs="Arial"/>
          <w:i/>
          <w:spacing w:val="-1"/>
        </w:rPr>
        <w:t>m</w:t>
      </w:r>
      <w:r w:rsidR="00420C58" w:rsidRPr="0074392C">
        <w:rPr>
          <w:rFonts w:ascii="Palatino Linotype" w:eastAsia="Arial" w:hAnsi="Palatino Linotype" w:cs="Arial"/>
          <w:i/>
          <w:spacing w:val="1"/>
        </w:rPr>
        <w:t>a</w:t>
      </w:r>
      <w:r w:rsidR="00420C58" w:rsidRPr="0074392C">
        <w:rPr>
          <w:rFonts w:ascii="Palatino Linotype" w:eastAsia="Arial" w:hAnsi="Palatino Linotype" w:cs="Arial"/>
          <w:i/>
        </w:rPr>
        <w:t>ció</w:t>
      </w:r>
      <w:r w:rsidR="00420C58" w:rsidRPr="0074392C">
        <w:rPr>
          <w:rFonts w:ascii="Palatino Linotype" w:eastAsia="Arial" w:hAnsi="Palatino Linotype" w:cs="Arial"/>
          <w:i/>
          <w:spacing w:val="1"/>
        </w:rPr>
        <w:t>n</w:t>
      </w:r>
      <w:r w:rsidR="00420C58" w:rsidRPr="0074392C">
        <w:rPr>
          <w:rFonts w:ascii="Palatino Linotype" w:eastAsia="Arial" w:hAnsi="Palatino Linotype" w:cs="Arial"/>
          <w:i/>
        </w:rPr>
        <w:t>.</w:t>
      </w:r>
      <w:r w:rsidRPr="0074392C">
        <w:rPr>
          <w:rFonts w:ascii="Palatino Linotype" w:eastAsia="Arial" w:hAnsi="Palatino Linotype" w:cs="Arial"/>
          <w:i/>
        </w:rPr>
        <w:t>”</w:t>
      </w:r>
    </w:p>
    <w:p w:rsidR="00420C58" w:rsidRPr="0074392C" w:rsidRDefault="00420C58" w:rsidP="00420C58">
      <w:pPr>
        <w:spacing w:line="360" w:lineRule="auto"/>
        <w:jc w:val="both"/>
        <w:rPr>
          <w:rFonts w:ascii="Palatino Linotype" w:eastAsia="Calibri" w:hAnsi="Palatino Linotype" w:cs="Tahoma"/>
          <w:lang w:eastAsia="es-ES_tradnl"/>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Por lo que, se concluye que los sujetos obligados únicamente proporcionan los </w:t>
      </w:r>
      <w:r w:rsidRPr="0074392C">
        <w:rPr>
          <w:rFonts w:ascii="Palatino Linotype" w:eastAsia="Calibri" w:hAnsi="Palatino Linotype" w:cs="Tahoma"/>
          <w:bCs/>
          <w:lang w:eastAsia="en-US"/>
        </w:rPr>
        <w:t>documentos</w:t>
      </w:r>
      <w:r w:rsidRPr="0074392C">
        <w:rPr>
          <w:rFonts w:ascii="Palatino Linotype" w:hAnsi="Palatino Linotype" w:cs="Tahoma"/>
          <w:lang w:val="es-ES"/>
        </w:rPr>
        <w:t xml:space="preserve"> que den cuenta de la información solicitada, como obren en sus archivos, sin tener que elaborarlos a las necesidades del Recurrente</w:t>
      </w:r>
      <w:r w:rsidR="00590722" w:rsidRPr="0074392C">
        <w:rPr>
          <w:rFonts w:ascii="Palatino Linotype" w:hAnsi="Palatino Linotype" w:cs="Tahoma"/>
          <w:lang w:val="es-ES"/>
        </w:rPr>
        <w:t>.</w:t>
      </w:r>
    </w:p>
    <w:p w:rsidR="00B047FA" w:rsidRPr="0074392C" w:rsidRDefault="00B047FA" w:rsidP="00B047FA">
      <w:pPr>
        <w:spacing w:line="360" w:lineRule="auto"/>
        <w:contextualSpacing/>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En esa tesitura, al apreciarse que el Recurrente no desea acceder a un soporte documental, sino que el </w:t>
      </w:r>
      <w:r w:rsidR="00590722" w:rsidRPr="0074392C">
        <w:rPr>
          <w:rFonts w:ascii="Palatino Linotype" w:hAnsi="Palatino Linotype" w:cs="Tahoma"/>
          <w:b/>
          <w:lang w:val="es-ES"/>
        </w:rPr>
        <w:t>SUJETO OBLIGADO</w:t>
      </w:r>
      <w:r w:rsidR="00590722" w:rsidRPr="0074392C">
        <w:rPr>
          <w:rFonts w:ascii="Palatino Linotype" w:hAnsi="Palatino Linotype" w:cs="Tahoma"/>
          <w:lang w:val="es-ES"/>
        </w:rPr>
        <w:t xml:space="preserve"> </w:t>
      </w:r>
      <w:r w:rsidRPr="0074392C">
        <w:rPr>
          <w:rFonts w:ascii="Palatino Linotype" w:hAnsi="Palatino Linotype" w:cs="Tahoma"/>
          <w:lang w:val="es-ES"/>
        </w:rPr>
        <w:t xml:space="preserve">realice un procesamiento y cálculo </w:t>
      </w:r>
      <w:r w:rsidRPr="0074392C">
        <w:rPr>
          <w:rFonts w:ascii="Palatino Linotype" w:hAnsi="Palatino Linotype" w:cs="Tahoma"/>
          <w:lang w:val="es-ES"/>
        </w:rPr>
        <w:lastRenderedPageBreak/>
        <w:t>de la información, una vez realizados, genere un documento que contenga desagregada la información, en apartados específicos; lo cual no resulta exigible, consecuentemente, no resulta dable ordenar su entrega.</w:t>
      </w:r>
    </w:p>
    <w:p w:rsidR="00420C58" w:rsidRPr="0074392C" w:rsidRDefault="00420C58" w:rsidP="00420C58">
      <w:pPr>
        <w:spacing w:line="360" w:lineRule="auto"/>
        <w:jc w:val="both"/>
        <w:rPr>
          <w:rFonts w:ascii="Palatino Linotype" w:hAnsi="Palatino Linotype" w:cs="Tahoma"/>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Finalmente, con relación a las modalidad de entrega de la información “…</w:t>
      </w:r>
      <w:proofErr w:type="spellStart"/>
      <w:r w:rsidRPr="0074392C">
        <w:rPr>
          <w:rFonts w:ascii="Palatino Linotype" w:hAnsi="Palatino Linotype" w:cs="Tahoma"/>
          <w:lang w:val="es-ES"/>
        </w:rPr>
        <w:t>usb</w:t>
      </w:r>
      <w:proofErr w:type="spellEnd"/>
      <w:r w:rsidRPr="0074392C">
        <w:rPr>
          <w:rFonts w:ascii="Palatino Linotype" w:hAnsi="Palatino Linotype" w:cs="Tahoma"/>
          <w:lang w:val="es-ES"/>
        </w:rPr>
        <w:t xml:space="preserve">, </w:t>
      </w:r>
      <w:proofErr w:type="spellStart"/>
      <w:r w:rsidRPr="0074392C">
        <w:rPr>
          <w:rFonts w:ascii="Palatino Linotype" w:hAnsi="Palatino Linotype" w:cs="Tahoma"/>
          <w:lang w:val="es-ES"/>
        </w:rPr>
        <w:t>sd</w:t>
      </w:r>
      <w:proofErr w:type="spellEnd"/>
      <w:r w:rsidRPr="0074392C">
        <w:rPr>
          <w:rFonts w:ascii="Palatino Linotype" w:hAnsi="Palatino Linotype" w:cs="Tahoma"/>
          <w:lang w:val="es-ES"/>
        </w:rPr>
        <w:t xml:space="preserve"> y </w:t>
      </w:r>
      <w:proofErr w:type="spellStart"/>
      <w:r w:rsidRPr="0074392C">
        <w:rPr>
          <w:rFonts w:ascii="Palatino Linotype" w:hAnsi="Palatino Linotype" w:cs="Tahoma"/>
          <w:lang w:val="es-ES"/>
        </w:rPr>
        <w:t>cd-rom</w:t>
      </w:r>
      <w:proofErr w:type="spellEnd"/>
      <w:r w:rsidRPr="0074392C">
        <w:rPr>
          <w:rFonts w:ascii="Palatino Linotype" w:hAnsi="Palatino Linotype" w:cs="Tahoma"/>
          <w:lang w:val="es-ES"/>
        </w:rPr>
        <w:t>.”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rsidR="00420C58" w:rsidRPr="0074392C" w:rsidRDefault="00420C58" w:rsidP="00420C58">
      <w:pPr>
        <w:spacing w:line="360" w:lineRule="auto"/>
        <w:jc w:val="both"/>
        <w:rPr>
          <w:rFonts w:ascii="Palatino Linotype" w:hAnsi="Palatino Linotype" w:cs="Tahoma"/>
          <w:b/>
          <w:lang w:val="es-ES"/>
        </w:rPr>
      </w:pPr>
    </w:p>
    <w:p w:rsidR="00420C58" w:rsidRPr="0074392C" w:rsidRDefault="00420C58" w:rsidP="00821B43">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w:t>
      </w:r>
      <w:r w:rsidR="00015F91" w:rsidRPr="0074392C">
        <w:rPr>
          <w:rFonts w:ascii="Palatino Linotype" w:hAnsi="Palatino Linotype" w:cs="Tahoma"/>
          <w:lang w:val="es-ES"/>
        </w:rPr>
        <w:t>obstante,</w:t>
      </w:r>
      <w:r w:rsidRPr="0074392C">
        <w:rPr>
          <w:rFonts w:ascii="Palatino Linotype" w:hAnsi="Palatino Linotype" w:cs="Tahoma"/>
          <w:lang w:val="es-ES"/>
        </w:rPr>
        <w:t xml:space="preserve"> lo anterior, en el caso en particular </w:t>
      </w:r>
      <w:r w:rsidRPr="0074392C">
        <w:rPr>
          <w:rFonts w:ascii="Palatino Linotype" w:hAnsi="Palatino Linotype" w:cs="Tahoma"/>
          <w:b/>
          <w:lang w:val="es-ES"/>
        </w:rPr>
        <w:t>su cobró no resultará procedente para el caso de que el solicitante proporcione el medio en el que requiera le sea entregada la información pública</w:t>
      </w:r>
      <w:r w:rsidRPr="0074392C">
        <w:rPr>
          <w:rFonts w:ascii="Palatino Linotype" w:hAnsi="Palatino Linotype" w:cs="Tahoma"/>
          <w:lang w:val="es-ES"/>
        </w:rPr>
        <w:t>.</w:t>
      </w:r>
    </w:p>
    <w:p w:rsidR="0017602A" w:rsidRPr="0074392C" w:rsidRDefault="0017602A" w:rsidP="0017602A">
      <w:pPr>
        <w:pStyle w:val="Prrafodelista"/>
        <w:rPr>
          <w:rFonts w:ascii="Palatino Linotype" w:hAnsi="Palatino Linotype" w:cs="Tahoma"/>
          <w:lang w:val="es-ES"/>
        </w:rPr>
      </w:pPr>
    </w:p>
    <w:p w:rsidR="0017602A" w:rsidRPr="0074392C" w:rsidRDefault="0017602A" w:rsidP="0017602A">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Por otro lado, con relación a las modalidad de entrega de la información “…</w:t>
      </w:r>
      <w:proofErr w:type="spellStart"/>
      <w:r w:rsidRPr="0074392C">
        <w:rPr>
          <w:rFonts w:ascii="Palatino Linotype" w:hAnsi="Palatino Linotype" w:cs="Tahoma"/>
          <w:lang w:val="es-ES"/>
        </w:rPr>
        <w:t>usb</w:t>
      </w:r>
      <w:proofErr w:type="spellEnd"/>
      <w:r w:rsidRPr="0074392C">
        <w:rPr>
          <w:rFonts w:ascii="Palatino Linotype" w:hAnsi="Palatino Linotype" w:cs="Tahoma"/>
          <w:lang w:val="es-ES"/>
        </w:rPr>
        <w:t xml:space="preserve">, </w:t>
      </w:r>
      <w:proofErr w:type="spellStart"/>
      <w:r w:rsidRPr="0074392C">
        <w:rPr>
          <w:rFonts w:ascii="Palatino Linotype" w:hAnsi="Palatino Linotype" w:cs="Tahoma"/>
          <w:lang w:val="es-ES"/>
        </w:rPr>
        <w:t>sd</w:t>
      </w:r>
      <w:proofErr w:type="spellEnd"/>
      <w:r w:rsidRPr="0074392C">
        <w:rPr>
          <w:rFonts w:ascii="Palatino Linotype" w:hAnsi="Palatino Linotype" w:cs="Tahoma"/>
          <w:lang w:val="es-ES"/>
        </w:rPr>
        <w:t xml:space="preserve"> y </w:t>
      </w:r>
      <w:proofErr w:type="spellStart"/>
      <w:r w:rsidRPr="0074392C">
        <w:rPr>
          <w:rFonts w:ascii="Palatino Linotype" w:hAnsi="Palatino Linotype" w:cs="Tahoma"/>
          <w:lang w:val="es-ES"/>
        </w:rPr>
        <w:t>cd-rom</w:t>
      </w:r>
      <w:proofErr w:type="spellEnd"/>
      <w:r w:rsidRPr="0074392C">
        <w:rPr>
          <w:rFonts w:ascii="Palatino Linotype" w:hAnsi="Palatino Linotype" w:cs="Tahoma"/>
          <w:lang w:val="es-ES"/>
        </w:rPr>
        <w:t xml:space="preserve">.”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w:t>
      </w:r>
      <w:r w:rsidRPr="0074392C">
        <w:rPr>
          <w:rFonts w:ascii="Palatino Linotype" w:hAnsi="Palatino Linotype" w:cs="Tahoma"/>
          <w:lang w:val="es-ES"/>
        </w:rPr>
        <w:lastRenderedPageBreak/>
        <w:t>“De los Derechos por Servicios Prestados por Autoridades Fiscales, Administrativas y de Acceso a la Información Pública”.</w:t>
      </w:r>
    </w:p>
    <w:p w:rsidR="0017602A" w:rsidRPr="0074392C" w:rsidRDefault="0017602A" w:rsidP="0017602A">
      <w:pPr>
        <w:spacing w:line="360" w:lineRule="auto"/>
        <w:jc w:val="both"/>
        <w:rPr>
          <w:rFonts w:ascii="Palatino Linotype" w:hAnsi="Palatino Linotype" w:cs="Tahoma"/>
          <w:b/>
          <w:lang w:val="es-ES"/>
        </w:rPr>
      </w:pPr>
    </w:p>
    <w:p w:rsidR="0017602A" w:rsidRPr="0074392C" w:rsidRDefault="0017602A" w:rsidP="0017602A">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w:t>
      </w:r>
      <w:r w:rsidRPr="0074392C">
        <w:rPr>
          <w:rFonts w:ascii="Palatino Linotype" w:hAnsi="Palatino Linotype" w:cs="Tahoma"/>
          <w:b/>
          <w:lang w:val="es-ES"/>
        </w:rPr>
        <w:t>su cobró no resultará procedente para el caso de que el solicitante proporcione el medio en el que requiera le sea entregada la información pública</w:t>
      </w:r>
      <w:r w:rsidRPr="0074392C">
        <w:rPr>
          <w:rFonts w:ascii="Palatino Linotype" w:hAnsi="Palatino Linotype" w:cs="Tahoma"/>
          <w:lang w:val="es-ES"/>
        </w:rPr>
        <w:t>.</w:t>
      </w:r>
    </w:p>
    <w:p w:rsidR="0017602A" w:rsidRPr="0074392C" w:rsidRDefault="0017602A" w:rsidP="005D7AF6">
      <w:pPr>
        <w:rPr>
          <w:rFonts w:ascii="Palatino Linotype" w:hAnsi="Palatino Linotype" w:cs="Tahoma"/>
          <w:lang w:val="es-ES"/>
        </w:rPr>
      </w:pPr>
    </w:p>
    <w:p w:rsidR="0017602A" w:rsidRPr="0074392C" w:rsidRDefault="0017602A" w:rsidP="0017602A">
      <w:pPr>
        <w:numPr>
          <w:ilvl w:val="0"/>
          <w:numId w:val="1"/>
        </w:numPr>
        <w:spacing w:line="360" w:lineRule="auto"/>
        <w:ind w:left="0" w:firstLine="0"/>
        <w:contextualSpacing/>
        <w:jc w:val="both"/>
        <w:rPr>
          <w:rFonts w:ascii="Palatino Linotype" w:hAnsi="Palatino Linotype" w:cs="Tahoma"/>
          <w:lang w:val="es-ES"/>
        </w:rPr>
      </w:pPr>
      <w:r w:rsidRPr="0074392C">
        <w:rPr>
          <w:rFonts w:ascii="Palatino Linotype" w:hAnsi="Palatino Linotype" w:cs="Tahoma"/>
          <w:lang w:val="es-ES"/>
        </w:rPr>
        <w:t xml:space="preserve">Por último, no pasa desapercibido, que el hoy </w:t>
      </w:r>
      <w:r w:rsidRPr="0074392C">
        <w:rPr>
          <w:rFonts w:ascii="Palatino Linotype" w:hAnsi="Palatino Linotype" w:cs="Tahoma"/>
          <w:b/>
          <w:lang w:val="es-ES"/>
        </w:rPr>
        <w:t>RECURRENTE</w:t>
      </w:r>
      <w:r w:rsidRPr="0074392C">
        <w:rPr>
          <w:rFonts w:ascii="Palatino Linotype" w:hAnsi="Palatino Linotype" w:cs="Tahoma"/>
          <w:lang w:val="es-ES"/>
        </w:rPr>
        <w:t xml:space="preserve"> hace mención que, de los organismos descentralizados del </w:t>
      </w:r>
      <w:r w:rsidRPr="0074392C">
        <w:rPr>
          <w:rFonts w:ascii="Palatino Linotype" w:hAnsi="Palatino Linotype" w:cs="Tahoma"/>
          <w:b/>
          <w:lang w:val="es-ES"/>
        </w:rPr>
        <w:t xml:space="preserve">SUJETO OBLIGADO, </w:t>
      </w:r>
      <w:r w:rsidRPr="0074392C">
        <w:rPr>
          <w:rFonts w:ascii="Palatino Linotype" w:hAnsi="Palatino Linotype" w:cs="Tahoma"/>
          <w:lang w:val="es-ES"/>
        </w:rPr>
        <w:t xml:space="preserve">a saber: </w:t>
      </w:r>
      <w:r w:rsidRPr="0074392C">
        <w:rPr>
          <w:rFonts w:ascii="Palatino Linotype" w:hAnsi="Palatino Linotype" w:cs="Tahoma"/>
          <w:i/>
          <w:lang w:val="es-ES"/>
        </w:rPr>
        <w:t xml:space="preserve">(DIF, Sistema de agua, Instituto de la mujer, casa de la cultura, </w:t>
      </w:r>
      <w:proofErr w:type="spellStart"/>
      <w:r w:rsidRPr="0074392C">
        <w:rPr>
          <w:rFonts w:ascii="Palatino Linotype" w:hAnsi="Palatino Linotype" w:cs="Tahoma"/>
          <w:i/>
          <w:lang w:val="es-ES"/>
        </w:rPr>
        <w:t>etc</w:t>
      </w:r>
      <w:proofErr w:type="spellEnd"/>
      <w:r w:rsidRPr="0074392C">
        <w:rPr>
          <w:rFonts w:ascii="Palatino Linotype" w:hAnsi="Palatino Linotype" w:cs="Tahoma"/>
          <w:i/>
          <w:lang w:val="es-ES"/>
        </w:rPr>
        <w:t>);</w:t>
      </w:r>
      <w:r w:rsidRPr="0074392C">
        <w:rPr>
          <w:rFonts w:ascii="Palatino Linotype" w:hAnsi="Palatino Linotype" w:cs="Tahoma"/>
          <w:b/>
          <w:i/>
          <w:lang w:val="es-ES"/>
        </w:rPr>
        <w:t xml:space="preserve"> </w:t>
      </w:r>
      <w:r w:rsidRPr="0074392C">
        <w:rPr>
          <w:rFonts w:ascii="Palatino Linotype" w:hAnsi="Palatino Linotype" w:cs="Tahoma"/>
          <w:lang w:val="es-ES"/>
        </w:rPr>
        <w:t xml:space="preserve">no </w:t>
      </w:r>
      <w:proofErr w:type="gramStart"/>
      <w:r w:rsidRPr="0074392C">
        <w:rPr>
          <w:rFonts w:ascii="Palatino Linotype" w:hAnsi="Palatino Linotype" w:cs="Tahoma"/>
          <w:lang w:val="es-ES"/>
        </w:rPr>
        <w:t>obstante</w:t>
      </w:r>
      <w:proofErr w:type="gramEnd"/>
      <w:r w:rsidRPr="0074392C">
        <w:rPr>
          <w:rFonts w:ascii="Palatino Linotype" w:hAnsi="Palatino Linotype" w:cs="Tahoma"/>
          <w:lang w:val="es-ES"/>
        </w:rPr>
        <w:t xml:space="preserve"> el Ayuntamiento no cuenta con </w:t>
      </w:r>
      <w:r w:rsidR="005D7AF6" w:rsidRPr="0074392C">
        <w:rPr>
          <w:rFonts w:ascii="Palatino Linotype" w:hAnsi="Palatino Linotype" w:cs="Tahoma"/>
          <w:lang w:val="es-ES"/>
        </w:rPr>
        <w:t>todos ellos</w:t>
      </w:r>
      <w:r w:rsidRPr="0074392C">
        <w:rPr>
          <w:rFonts w:ascii="Palatino Linotype" w:hAnsi="Palatino Linotype" w:cs="Tahoma"/>
          <w:lang w:val="es-ES"/>
        </w:rPr>
        <w:t xml:space="preserve"> de acuerdo al vigente Bando Municipal, </w:t>
      </w:r>
      <w:r w:rsidR="005D7AF6" w:rsidRPr="0074392C">
        <w:rPr>
          <w:rFonts w:ascii="Palatino Linotype" w:hAnsi="Palatino Linotype" w:cs="Tahoma"/>
          <w:lang w:val="es-ES"/>
        </w:rPr>
        <w:t>como se aprecia</w:t>
      </w:r>
      <w:r w:rsidRPr="0074392C">
        <w:rPr>
          <w:rFonts w:ascii="Palatino Linotype" w:hAnsi="Palatino Linotype" w:cs="Tahoma"/>
          <w:lang w:val="es-ES"/>
        </w:rPr>
        <w:t>:</w:t>
      </w:r>
    </w:p>
    <w:p w:rsidR="0017602A" w:rsidRPr="0074392C" w:rsidRDefault="0017602A" w:rsidP="005D7AF6">
      <w:pPr>
        <w:rPr>
          <w:rFonts w:ascii="Palatino Linotype" w:hAnsi="Palatino Linotype" w:cs="Tahoma"/>
          <w:lang w:val="es-ES"/>
        </w:rPr>
      </w:pPr>
    </w:p>
    <w:p w:rsidR="005D7AF6" w:rsidRPr="0074392C" w:rsidRDefault="005D7AF6" w:rsidP="005D7AF6">
      <w:pPr>
        <w:spacing w:line="360" w:lineRule="auto"/>
        <w:contextualSpacing/>
        <w:jc w:val="center"/>
        <w:rPr>
          <w:rFonts w:ascii="Palatino Linotype" w:hAnsi="Palatino Linotype" w:cs="Tahoma"/>
          <w:b/>
          <w:i/>
          <w:lang w:val="es-ES"/>
        </w:rPr>
      </w:pPr>
      <w:r w:rsidRPr="0074392C">
        <w:rPr>
          <w:rFonts w:ascii="Palatino Linotype" w:hAnsi="Palatino Linotype" w:cs="Tahoma"/>
          <w:i/>
          <w:lang w:val="es-ES"/>
        </w:rPr>
        <w:t>“</w:t>
      </w:r>
      <w:r w:rsidRPr="0074392C">
        <w:rPr>
          <w:rFonts w:ascii="Palatino Linotype" w:hAnsi="Palatino Linotype" w:cs="Tahoma"/>
          <w:b/>
          <w:i/>
          <w:lang w:val="es-ES"/>
        </w:rPr>
        <w:t>SECCIÓN SEGUNDA</w:t>
      </w:r>
    </w:p>
    <w:p w:rsidR="005D7AF6" w:rsidRPr="0074392C" w:rsidRDefault="005D7AF6" w:rsidP="005D7AF6">
      <w:pPr>
        <w:spacing w:line="360" w:lineRule="auto"/>
        <w:contextualSpacing/>
        <w:jc w:val="center"/>
        <w:rPr>
          <w:rFonts w:ascii="Palatino Linotype" w:hAnsi="Palatino Linotype" w:cs="Tahoma"/>
          <w:b/>
          <w:i/>
          <w:lang w:val="es-ES"/>
        </w:rPr>
      </w:pPr>
      <w:r w:rsidRPr="0074392C">
        <w:rPr>
          <w:rFonts w:ascii="Palatino Linotype" w:hAnsi="Palatino Linotype" w:cs="Tahoma"/>
          <w:b/>
          <w:i/>
          <w:lang w:val="es-ES"/>
        </w:rPr>
        <w:t>DE LOS ORGANISMOS AUXILIARES Y DESCONCENTRADOS</w:t>
      </w:r>
    </w:p>
    <w:p w:rsidR="005D7AF6" w:rsidRPr="0074392C" w:rsidRDefault="005D7AF6" w:rsidP="005D7AF6">
      <w:pPr>
        <w:spacing w:line="360" w:lineRule="auto"/>
        <w:ind w:left="567" w:right="616"/>
        <w:contextualSpacing/>
        <w:jc w:val="both"/>
        <w:rPr>
          <w:rFonts w:ascii="Palatino Linotype" w:hAnsi="Palatino Linotype" w:cs="Tahoma"/>
          <w:i/>
          <w:lang w:val="es-ES"/>
        </w:rPr>
      </w:pPr>
      <w:r w:rsidRPr="0074392C">
        <w:rPr>
          <w:rFonts w:ascii="Palatino Linotype" w:hAnsi="Palatino Linotype" w:cs="Tahoma"/>
          <w:i/>
          <w:lang w:val="es-ES"/>
        </w:rPr>
        <w:t>Artículo 54.- Son organismos descentralizados de Ayuntamiento:</w:t>
      </w:r>
    </w:p>
    <w:p w:rsidR="005D7AF6" w:rsidRPr="0074392C" w:rsidRDefault="005D7AF6" w:rsidP="005D7AF6">
      <w:pPr>
        <w:spacing w:line="360" w:lineRule="auto"/>
        <w:ind w:left="567" w:right="616"/>
        <w:contextualSpacing/>
        <w:jc w:val="both"/>
        <w:rPr>
          <w:rFonts w:ascii="Palatino Linotype" w:hAnsi="Palatino Linotype" w:cs="Tahoma"/>
          <w:i/>
          <w:lang w:val="es-ES"/>
        </w:rPr>
      </w:pPr>
      <w:r w:rsidRPr="0074392C">
        <w:rPr>
          <w:rFonts w:ascii="Palatino Linotype" w:hAnsi="Palatino Linotype" w:cs="Tahoma"/>
          <w:i/>
          <w:lang w:val="es-ES"/>
        </w:rPr>
        <w:t xml:space="preserve">I. El Sistema Municipal para el Desarrollo Integral de la Familia de </w:t>
      </w:r>
      <w:proofErr w:type="spellStart"/>
      <w:r w:rsidRPr="0074392C">
        <w:rPr>
          <w:rFonts w:ascii="Palatino Linotype" w:hAnsi="Palatino Linotype" w:cs="Tahoma"/>
          <w:i/>
          <w:lang w:val="es-ES"/>
        </w:rPr>
        <w:t>Ecatzingo</w:t>
      </w:r>
      <w:proofErr w:type="spellEnd"/>
      <w:r w:rsidRPr="0074392C">
        <w:rPr>
          <w:rFonts w:ascii="Palatino Linotype" w:hAnsi="Palatino Linotype" w:cs="Tahoma"/>
          <w:i/>
          <w:lang w:val="es-ES"/>
        </w:rPr>
        <w:t>; y</w:t>
      </w:r>
    </w:p>
    <w:p w:rsidR="0017602A" w:rsidRPr="0074392C" w:rsidRDefault="005D7AF6" w:rsidP="005D7AF6">
      <w:pPr>
        <w:spacing w:line="360" w:lineRule="auto"/>
        <w:ind w:left="567" w:right="616"/>
        <w:contextualSpacing/>
        <w:jc w:val="both"/>
        <w:rPr>
          <w:rFonts w:ascii="Palatino Linotype" w:hAnsi="Palatino Linotype" w:cs="Tahoma"/>
          <w:i/>
          <w:lang w:val="es-ES"/>
        </w:rPr>
      </w:pPr>
      <w:r w:rsidRPr="0074392C">
        <w:rPr>
          <w:rFonts w:ascii="Palatino Linotype" w:hAnsi="Palatino Linotype" w:cs="Tahoma"/>
          <w:i/>
          <w:lang w:val="es-ES"/>
        </w:rPr>
        <w:t xml:space="preserve">II. El Instituto Municipal de Cultura Física y Deporte de </w:t>
      </w:r>
      <w:proofErr w:type="spellStart"/>
      <w:r w:rsidRPr="0074392C">
        <w:rPr>
          <w:rFonts w:ascii="Palatino Linotype" w:hAnsi="Palatino Linotype" w:cs="Tahoma"/>
          <w:i/>
          <w:lang w:val="es-ES"/>
        </w:rPr>
        <w:t>Ecatzingo</w:t>
      </w:r>
      <w:proofErr w:type="spellEnd"/>
      <w:r w:rsidRPr="0074392C">
        <w:rPr>
          <w:rFonts w:ascii="Palatino Linotype" w:hAnsi="Palatino Linotype" w:cs="Tahoma"/>
          <w:i/>
          <w:lang w:val="es-ES"/>
        </w:rPr>
        <w:t>.”</w:t>
      </w:r>
    </w:p>
    <w:p w:rsidR="005D7AF6" w:rsidRPr="0074392C" w:rsidRDefault="005D7AF6" w:rsidP="005D7AF6">
      <w:pPr>
        <w:spacing w:line="360" w:lineRule="auto"/>
        <w:contextualSpacing/>
        <w:jc w:val="center"/>
        <w:rPr>
          <w:rFonts w:ascii="Palatino Linotype" w:hAnsi="Palatino Linotype" w:cs="Tahoma"/>
          <w:lang w:val="es-ES"/>
        </w:rPr>
      </w:pPr>
    </w:p>
    <w:p w:rsidR="0017602A" w:rsidRPr="0074392C" w:rsidRDefault="005D7AF6" w:rsidP="005D7AF6">
      <w:pPr>
        <w:pStyle w:val="Prrafodelista"/>
        <w:numPr>
          <w:ilvl w:val="0"/>
          <w:numId w:val="1"/>
        </w:numPr>
        <w:spacing w:line="360" w:lineRule="auto"/>
        <w:ind w:left="0" w:firstLine="0"/>
        <w:jc w:val="both"/>
        <w:rPr>
          <w:rFonts w:ascii="Palatino Linotype" w:hAnsi="Palatino Linotype" w:cs="Tahoma"/>
          <w:lang w:val="es-ES"/>
        </w:rPr>
      </w:pPr>
      <w:r w:rsidRPr="0074392C">
        <w:rPr>
          <w:rFonts w:ascii="Palatino Linotype" w:hAnsi="Palatino Linotype"/>
        </w:rPr>
        <w:t xml:space="preserve">Es decir, </w:t>
      </w:r>
      <w:r w:rsidR="0017602A" w:rsidRPr="0074392C">
        <w:rPr>
          <w:rFonts w:ascii="Palatino Linotype" w:hAnsi="Palatino Linotype"/>
        </w:rPr>
        <w:t xml:space="preserve">que no cuenta con todos los requeridos en el escrito de solicitud de información, como lo es de manera enunciativa </w:t>
      </w:r>
      <w:r w:rsidRPr="0074392C">
        <w:rPr>
          <w:rFonts w:ascii="Palatino Linotype" w:hAnsi="Palatino Linotype"/>
        </w:rPr>
        <w:t>más</w:t>
      </w:r>
      <w:r w:rsidR="0017602A" w:rsidRPr="0074392C">
        <w:rPr>
          <w:rFonts w:ascii="Palatino Linotype" w:hAnsi="Palatino Linotype"/>
        </w:rPr>
        <w:t xml:space="preserve"> no limitativa, un organismo operador de agua. Asimismo, hacer la precisión que, para el caso del Ayuntamiento </w:t>
      </w:r>
      <w:r w:rsidR="0017602A" w:rsidRPr="0074392C">
        <w:rPr>
          <w:rFonts w:ascii="Palatino Linotype" w:hAnsi="Palatino Linotype"/>
        </w:rPr>
        <w:lastRenderedPageBreak/>
        <w:t xml:space="preserve">de </w:t>
      </w:r>
      <w:proofErr w:type="spellStart"/>
      <w:r w:rsidRPr="0074392C">
        <w:rPr>
          <w:rFonts w:ascii="Palatino Linotype" w:hAnsi="Palatino Linotype"/>
        </w:rPr>
        <w:t>Ecatzingo</w:t>
      </w:r>
      <w:proofErr w:type="spellEnd"/>
      <w:r w:rsidR="0017602A" w:rsidRPr="0074392C">
        <w:rPr>
          <w:rFonts w:ascii="Palatino Linotype" w:hAnsi="Palatino Linotype"/>
        </w:rPr>
        <w:t>, el Sistema Municipal para el Desarrollo Integral de la Familia</w:t>
      </w:r>
      <w:r w:rsidRPr="0074392C">
        <w:rPr>
          <w:rFonts w:ascii="Palatino Linotype" w:hAnsi="Palatino Linotype"/>
        </w:rPr>
        <w:t xml:space="preserve"> y el Instituto Municipal de Cultura Física y Deporte, no son</w:t>
      </w:r>
      <w:r w:rsidR="0017602A" w:rsidRPr="0074392C">
        <w:rPr>
          <w:rFonts w:ascii="Palatino Linotype" w:hAnsi="Palatino Linotype"/>
        </w:rPr>
        <w:t xml:space="preserve"> sujeto</w:t>
      </w:r>
      <w:r w:rsidRPr="0074392C">
        <w:rPr>
          <w:rFonts w:ascii="Palatino Linotype" w:hAnsi="Palatino Linotype"/>
        </w:rPr>
        <w:t>s</w:t>
      </w:r>
      <w:r w:rsidR="0017602A" w:rsidRPr="0074392C">
        <w:rPr>
          <w:rFonts w:ascii="Palatino Linotype" w:hAnsi="Palatino Linotype"/>
        </w:rPr>
        <w:t xml:space="preserve"> obligado</w:t>
      </w:r>
      <w:r w:rsidRPr="0074392C">
        <w:rPr>
          <w:rFonts w:ascii="Palatino Linotype" w:hAnsi="Palatino Linotype"/>
        </w:rPr>
        <w:t>s</w:t>
      </w:r>
      <w:r w:rsidR="0017602A" w:rsidRPr="0074392C">
        <w:rPr>
          <w:rFonts w:ascii="Palatino Linotype" w:hAnsi="Palatino Linotype"/>
        </w:rPr>
        <w:t xml:space="preserve"> independiente</w:t>
      </w:r>
      <w:r w:rsidRPr="0074392C">
        <w:rPr>
          <w:rFonts w:ascii="Palatino Linotype" w:hAnsi="Palatino Linotype"/>
        </w:rPr>
        <w:t>s</w:t>
      </w:r>
      <w:r w:rsidR="0017602A" w:rsidRPr="0074392C">
        <w:rPr>
          <w:rFonts w:ascii="Palatino Linotype" w:hAnsi="Palatino Linotype"/>
        </w:rPr>
        <w:t xml:space="preserve"> del Ayuntamiento, </w:t>
      </w:r>
      <w:r w:rsidRPr="0074392C">
        <w:rPr>
          <w:rFonts w:ascii="Palatino Linotype" w:hAnsi="Palatino Linotype"/>
        </w:rPr>
        <w:t>luego entonces resulta</w:t>
      </w:r>
      <w:r w:rsidR="0017602A" w:rsidRPr="0074392C">
        <w:rPr>
          <w:rFonts w:ascii="Palatino Linotype" w:hAnsi="Palatino Linotype"/>
        </w:rPr>
        <w:t xml:space="preserve"> dable ordenar</w:t>
      </w:r>
      <w:r w:rsidRPr="0074392C">
        <w:rPr>
          <w:rFonts w:ascii="Palatino Linotype" w:hAnsi="Palatino Linotype"/>
        </w:rPr>
        <w:t xml:space="preserve"> la entrega de la información que comprenda a dichos entes</w:t>
      </w:r>
      <w:r w:rsidR="0017602A" w:rsidRPr="0074392C">
        <w:rPr>
          <w:rFonts w:ascii="Palatino Linotype" w:hAnsi="Palatino Linotype"/>
        </w:rPr>
        <w:t>.</w:t>
      </w:r>
    </w:p>
    <w:p w:rsidR="005C7272" w:rsidRPr="0074392C" w:rsidRDefault="005C7272" w:rsidP="005C7272">
      <w:pPr>
        <w:pStyle w:val="Prrafodelista"/>
        <w:rPr>
          <w:rFonts w:ascii="Palatino Linotype" w:hAnsi="Palatino Linotype" w:cs="Tahoma"/>
          <w:lang w:val="es-ES"/>
        </w:rPr>
      </w:pPr>
    </w:p>
    <w:p w:rsidR="009F09BC" w:rsidRPr="0074392C" w:rsidRDefault="00140817" w:rsidP="00855290">
      <w:pPr>
        <w:pStyle w:val="Prrafodelista"/>
        <w:spacing w:line="360" w:lineRule="auto"/>
        <w:ind w:left="0"/>
        <w:jc w:val="both"/>
        <w:rPr>
          <w:rFonts w:ascii="Palatino Linotype" w:hAnsi="Palatino Linotype"/>
          <w:b/>
        </w:rPr>
      </w:pPr>
      <w:bookmarkStart w:id="150" w:name="_Toc531859120"/>
      <w:bookmarkStart w:id="151" w:name="_Toc2871952"/>
      <w:bookmarkStart w:id="152" w:name="_Toc20246253"/>
      <w:bookmarkStart w:id="153" w:name="_Toc24023250"/>
      <w:bookmarkStart w:id="154" w:name="_Toc26461369"/>
      <w:bookmarkStart w:id="155" w:name="_Toc29481474"/>
      <w:bookmarkStart w:id="156" w:name="_Toc36648201"/>
      <w:bookmarkStart w:id="157" w:name="_Toc36732268"/>
      <w:bookmarkStart w:id="158" w:name="_Toc38560292"/>
      <w:bookmarkStart w:id="159" w:name="_Toc83128590"/>
      <w:bookmarkStart w:id="160" w:name="_Toc473799824"/>
      <w:bookmarkStart w:id="161" w:name="_Toc487025370"/>
      <w:bookmarkStart w:id="162" w:name="_Toc493790438"/>
      <w:bookmarkStart w:id="163" w:name="_Toc495606558"/>
      <w:bookmarkStart w:id="164" w:name="_Toc497297048"/>
      <w:bookmarkStart w:id="165" w:name="_Toc498503756"/>
      <w:bookmarkStart w:id="166" w:name="_Toc499201876"/>
      <w:bookmarkStart w:id="167" w:name="_Toc524000321"/>
      <w:r w:rsidRPr="0074392C">
        <w:rPr>
          <w:rFonts w:ascii="Palatino Linotype" w:hAnsi="Palatino Linotype"/>
          <w:b/>
        </w:rPr>
        <w:t>QUIN</w:t>
      </w:r>
      <w:r w:rsidR="009F09BC" w:rsidRPr="0074392C">
        <w:rPr>
          <w:rFonts w:ascii="Palatino Linotype" w:hAnsi="Palatino Linotype"/>
          <w:b/>
        </w:rPr>
        <w:t xml:space="preserve">TO. De la </w:t>
      </w:r>
      <w:bookmarkEnd w:id="150"/>
      <w:bookmarkEnd w:id="151"/>
      <w:r w:rsidR="009F09BC" w:rsidRPr="0074392C">
        <w:rPr>
          <w:rFonts w:ascii="Palatino Linotype" w:hAnsi="Palatino Linotype"/>
          <w:b/>
        </w:rPr>
        <w:t>versión pública</w:t>
      </w:r>
      <w:bookmarkEnd w:id="152"/>
      <w:bookmarkEnd w:id="153"/>
      <w:bookmarkEnd w:id="154"/>
      <w:bookmarkEnd w:id="155"/>
      <w:bookmarkEnd w:id="156"/>
      <w:bookmarkEnd w:id="157"/>
      <w:bookmarkEnd w:id="158"/>
      <w:bookmarkEnd w:id="159"/>
    </w:p>
    <w:bookmarkEnd w:id="160"/>
    <w:bookmarkEnd w:id="161"/>
    <w:bookmarkEnd w:id="162"/>
    <w:bookmarkEnd w:id="163"/>
    <w:bookmarkEnd w:id="164"/>
    <w:bookmarkEnd w:id="165"/>
    <w:bookmarkEnd w:id="166"/>
    <w:bookmarkEnd w:id="167"/>
    <w:p w:rsidR="005D7AF6" w:rsidRPr="0074392C" w:rsidRDefault="005D7AF6" w:rsidP="005D7AF6">
      <w:pPr>
        <w:spacing w:line="360" w:lineRule="auto"/>
        <w:jc w:val="both"/>
        <w:rPr>
          <w:rFonts w:ascii="Palatino Linotype" w:hAnsi="Palatino Linotype"/>
        </w:rPr>
      </w:pPr>
    </w:p>
    <w:p w:rsidR="009F09BC" w:rsidRPr="0074392C" w:rsidRDefault="00140817" w:rsidP="00821B43">
      <w:pPr>
        <w:pStyle w:val="Prrafodelista"/>
        <w:numPr>
          <w:ilvl w:val="0"/>
          <w:numId w:val="1"/>
        </w:numPr>
        <w:spacing w:line="360" w:lineRule="auto"/>
        <w:ind w:left="0" w:firstLine="0"/>
        <w:jc w:val="both"/>
        <w:rPr>
          <w:rFonts w:ascii="Palatino Linotype" w:hAnsi="Palatino Linotype"/>
        </w:rPr>
      </w:pPr>
      <w:r w:rsidRPr="0074392C">
        <w:rPr>
          <w:rFonts w:ascii="Palatino Linotype" w:hAnsi="Palatino Linotype"/>
        </w:rPr>
        <w:t>Como ya se hiciera mención, d</w:t>
      </w:r>
      <w:r w:rsidR="004A4393" w:rsidRPr="0074392C">
        <w:rPr>
          <w:rFonts w:ascii="Palatino Linotype" w:hAnsi="Palatino Linotype"/>
        </w:rPr>
        <w:t>ada la propia y especial naturaleza</w:t>
      </w:r>
      <w:r w:rsidRPr="0074392C">
        <w:rPr>
          <w:rFonts w:ascii="Palatino Linotype" w:hAnsi="Palatino Linotype"/>
        </w:rPr>
        <w:t xml:space="preserve"> de la información</w:t>
      </w:r>
      <w:r w:rsidR="004A4393" w:rsidRPr="0074392C">
        <w:rPr>
          <w:rFonts w:ascii="Palatino Linotype" w:hAnsi="Palatino Linotype"/>
        </w:rPr>
        <w:t xml:space="preserve"> </w:t>
      </w:r>
      <w:r w:rsidR="009F09BC" w:rsidRPr="0074392C">
        <w:rPr>
          <w:rFonts w:ascii="Palatino Linotype" w:hAnsi="Palatino Linotype"/>
        </w:rPr>
        <w:t xml:space="preserve">que se ha tenido a bien ordenar, </w:t>
      </w:r>
      <w:r w:rsidR="000E4F3B" w:rsidRPr="0074392C">
        <w:rPr>
          <w:rFonts w:ascii="Palatino Linotype" w:hAnsi="Palatino Linotype"/>
        </w:rPr>
        <w:t>eventualmente</w:t>
      </w:r>
      <w:r w:rsidR="004A4393" w:rsidRPr="0074392C">
        <w:rPr>
          <w:rFonts w:ascii="Palatino Linotype" w:hAnsi="Palatino Linotype"/>
        </w:rPr>
        <w:t xml:space="preserve"> contiene</w:t>
      </w:r>
      <w:r w:rsidR="009F09BC" w:rsidRPr="0074392C">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009F09BC" w:rsidRPr="0074392C">
        <w:rPr>
          <w:rFonts w:ascii="Palatino Linotype" w:hAnsi="Palatino Linotype"/>
          <w:b/>
        </w:rPr>
        <w:t>RECURRENTE</w:t>
      </w:r>
      <w:r w:rsidR="009A2251" w:rsidRPr="0074392C">
        <w:rPr>
          <w:rFonts w:ascii="Palatino Linotype" w:hAnsi="Palatino Linotype"/>
        </w:rPr>
        <w:t>.</w:t>
      </w:r>
    </w:p>
    <w:p w:rsidR="000E4F3B" w:rsidRPr="0074392C" w:rsidRDefault="000E4F3B" w:rsidP="000E4F3B">
      <w:pPr>
        <w:pStyle w:val="Prrafodelista"/>
        <w:spacing w:line="360" w:lineRule="auto"/>
        <w:ind w:left="0"/>
        <w:jc w:val="both"/>
        <w:rPr>
          <w:rFonts w:ascii="Palatino Linotype" w:hAnsi="Palatino Linotype"/>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4392C">
        <w:rPr>
          <w:rFonts w:ascii="Palatino Linotype" w:eastAsia="MS Gothic" w:hAnsi="Palatino Linotype" w:cs="Times New Roman"/>
          <w:vertAlign w:val="superscript"/>
        </w:rPr>
        <w:footnoteReference w:id="5"/>
      </w:r>
      <w:r w:rsidRPr="0074392C">
        <w:rPr>
          <w:rFonts w:ascii="Palatino Linotype" w:eastAsia="MS Gothic" w:hAnsi="Palatino Linotype" w:cs="Times New Roman"/>
        </w:rPr>
        <w:t xml:space="preserve"> aunque cualquier límite o restricción, </w:t>
      </w:r>
      <w:r w:rsidRPr="0074392C">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4392C">
        <w:rPr>
          <w:rFonts w:ascii="Palatino Linotype" w:eastAsia="MS Gothic" w:hAnsi="Palatino Linotype" w:cs="Times New Roman"/>
          <w:vertAlign w:val="superscript"/>
        </w:rPr>
        <w:footnoteReference w:id="6"/>
      </w:r>
      <w:r w:rsidRPr="0074392C">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5"/>
        </w:numPr>
        <w:tabs>
          <w:tab w:val="left" w:pos="142"/>
          <w:tab w:val="left" w:pos="284"/>
          <w:tab w:val="left" w:pos="426"/>
        </w:tabs>
        <w:spacing w:line="360" w:lineRule="auto"/>
        <w:jc w:val="both"/>
        <w:outlineLvl w:val="2"/>
        <w:rPr>
          <w:rFonts w:ascii="Palatino Linotype" w:hAnsi="Palatino Linotype" w:cs="Arial"/>
          <w:b/>
        </w:rPr>
      </w:pPr>
      <w:bookmarkStart w:id="168" w:name="_Toc51863315"/>
      <w:bookmarkStart w:id="169" w:name="_Toc52444649"/>
      <w:bookmarkStart w:id="170" w:name="_Toc57154368"/>
      <w:bookmarkStart w:id="171" w:name="_Toc65170174"/>
      <w:bookmarkStart w:id="172" w:name="_Toc66371800"/>
      <w:bookmarkStart w:id="173" w:name="_Toc67584835"/>
      <w:bookmarkStart w:id="174" w:name="_Toc70070911"/>
      <w:bookmarkStart w:id="175" w:name="_Toc70593358"/>
      <w:bookmarkStart w:id="176" w:name="_Toc71290717"/>
      <w:bookmarkStart w:id="177" w:name="_Toc71291223"/>
      <w:bookmarkStart w:id="178" w:name="_Toc71674122"/>
      <w:bookmarkStart w:id="179" w:name="_Toc83128591"/>
      <w:r w:rsidRPr="0074392C">
        <w:rPr>
          <w:rFonts w:ascii="Palatino Linotype" w:hAnsi="Palatino Linotype" w:cs="Arial"/>
          <w:b/>
        </w:rPr>
        <w:t>Requisitos previos.</w:t>
      </w:r>
      <w:bookmarkEnd w:id="168"/>
      <w:bookmarkEnd w:id="169"/>
      <w:bookmarkEnd w:id="170"/>
      <w:bookmarkEnd w:id="171"/>
      <w:bookmarkEnd w:id="172"/>
      <w:bookmarkEnd w:id="173"/>
      <w:bookmarkEnd w:id="174"/>
      <w:bookmarkEnd w:id="175"/>
      <w:bookmarkEnd w:id="176"/>
      <w:bookmarkEnd w:id="177"/>
      <w:bookmarkEnd w:id="178"/>
      <w:bookmarkEnd w:id="179"/>
    </w:p>
    <w:p w:rsidR="009F09BC" w:rsidRPr="0074392C" w:rsidRDefault="009F09BC" w:rsidP="00855290">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74392C">
        <w:rPr>
          <w:rFonts w:ascii="Palatino Linotype" w:eastAsia="MS Gothic"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74392C" w:rsidRDefault="009F09BC" w:rsidP="00855290">
      <w:pPr>
        <w:pStyle w:val="Prrafodelista"/>
        <w:spacing w:line="360" w:lineRule="auto"/>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74392C">
        <w:rPr>
          <w:rFonts w:ascii="Palatino Linotype" w:eastAsia="MS Gothic" w:hAnsi="Palatino Linotype" w:cs="Times New Roman"/>
          <w:b/>
          <w:u w:val="single"/>
        </w:rPr>
        <w:t>no se puede hacer un acuerdo para clasificar de manera general todos los documentos de un expediente o área</w:t>
      </w:r>
      <w:r w:rsidRPr="0074392C">
        <w:rPr>
          <w:rFonts w:ascii="Palatino Linotype" w:eastAsia="MS Gothic" w:hAnsi="Palatino Linotype" w:cs="Times New Roman"/>
          <w:b/>
        </w:rPr>
        <w:t xml:space="preserve">,  </w:t>
      </w:r>
      <w:r w:rsidRPr="0074392C">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5"/>
        </w:numPr>
        <w:tabs>
          <w:tab w:val="left" w:pos="142"/>
          <w:tab w:val="left" w:pos="284"/>
          <w:tab w:val="left" w:pos="426"/>
        </w:tabs>
        <w:spacing w:line="360" w:lineRule="auto"/>
        <w:jc w:val="both"/>
        <w:outlineLvl w:val="2"/>
        <w:rPr>
          <w:rFonts w:ascii="Palatino Linotype" w:hAnsi="Palatino Linotype" w:cs="Arial"/>
          <w:b/>
        </w:rPr>
      </w:pPr>
      <w:bookmarkStart w:id="180" w:name="_Toc51863316"/>
      <w:bookmarkStart w:id="181" w:name="_Toc52444650"/>
      <w:bookmarkStart w:id="182" w:name="_Toc57154369"/>
      <w:bookmarkStart w:id="183" w:name="_Toc65170175"/>
      <w:bookmarkStart w:id="184" w:name="_Toc66371801"/>
      <w:bookmarkStart w:id="185" w:name="_Toc67584836"/>
      <w:bookmarkStart w:id="186" w:name="_Toc70070912"/>
      <w:bookmarkStart w:id="187" w:name="_Toc70593359"/>
      <w:bookmarkStart w:id="188" w:name="_Toc71290718"/>
      <w:bookmarkStart w:id="189" w:name="_Toc71291224"/>
      <w:bookmarkStart w:id="190" w:name="_Toc71674123"/>
      <w:bookmarkStart w:id="191" w:name="_Toc83128592"/>
      <w:r w:rsidRPr="0074392C">
        <w:rPr>
          <w:rFonts w:ascii="Palatino Linotype" w:hAnsi="Palatino Linotype" w:cs="Arial"/>
          <w:b/>
        </w:rPr>
        <w:t>Supuestos de clasificación.</w:t>
      </w:r>
      <w:bookmarkEnd w:id="180"/>
      <w:bookmarkEnd w:id="181"/>
      <w:bookmarkEnd w:id="182"/>
      <w:bookmarkEnd w:id="183"/>
      <w:bookmarkEnd w:id="184"/>
      <w:bookmarkEnd w:id="185"/>
      <w:bookmarkEnd w:id="186"/>
      <w:bookmarkEnd w:id="187"/>
      <w:bookmarkEnd w:id="188"/>
      <w:bookmarkEnd w:id="189"/>
      <w:bookmarkEnd w:id="190"/>
      <w:bookmarkEnd w:id="191"/>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392C">
        <w:rPr>
          <w:rFonts w:ascii="Palatino Linotype" w:hAnsi="Palatino Linotype" w:cs="Bookman Old Style"/>
          <w:bCs/>
          <w:i/>
          <w:color w:val="000000"/>
        </w:rPr>
        <w:t xml:space="preserve">“I. </w:t>
      </w:r>
      <w:r w:rsidRPr="0074392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74392C"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392C">
        <w:rPr>
          <w:rFonts w:ascii="Palatino Linotype" w:hAnsi="Palatino Linotype" w:cs="Bookman Old Style"/>
          <w:bCs/>
          <w:i/>
          <w:color w:val="000000"/>
        </w:rPr>
        <w:t xml:space="preserve">II. </w:t>
      </w:r>
      <w:r w:rsidRPr="0074392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74392C"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392C">
        <w:rPr>
          <w:rFonts w:ascii="Palatino Linotype" w:hAnsi="Palatino Linotype" w:cs="Bookman Old Style"/>
          <w:bCs/>
          <w:i/>
          <w:color w:val="000000"/>
        </w:rPr>
        <w:t xml:space="preserve">III. </w:t>
      </w:r>
      <w:r w:rsidRPr="0074392C">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74392C"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392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74392C"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392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lastRenderedPageBreak/>
        <w:t xml:space="preserve">Como consecuencia de lo anterior, el </w:t>
      </w:r>
      <w:r w:rsidRPr="0074392C">
        <w:rPr>
          <w:rFonts w:ascii="Palatino Linotype" w:eastAsia="MS Gothic" w:hAnsi="Palatino Linotype" w:cs="Times New Roman"/>
          <w:b/>
        </w:rPr>
        <w:t>SUJETO OBLIGADO</w:t>
      </w:r>
      <w:r w:rsidRPr="0074392C">
        <w:rPr>
          <w:rFonts w:ascii="Palatino Linotype" w:eastAsia="MS Gothic" w:hAnsi="Palatino Linotype" w:cs="Times New Roman"/>
        </w:rPr>
        <w:t xml:space="preserve"> debe identificar claramente el tipo de información y hacer un juicio de subsunción o encaje</w:t>
      </w:r>
      <w:r w:rsidRPr="0074392C">
        <w:rPr>
          <w:rFonts w:ascii="Palatino Linotype" w:eastAsia="MS Gothic" w:hAnsi="Palatino Linotype" w:cs="Times New Roman"/>
          <w:vertAlign w:val="superscript"/>
        </w:rPr>
        <w:footnoteReference w:id="7"/>
      </w:r>
      <w:r w:rsidRPr="0074392C">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9F09BC" w:rsidRPr="0074392C" w:rsidRDefault="009F09BC" w:rsidP="00855290">
      <w:pPr>
        <w:pStyle w:val="Prrafodelista"/>
        <w:spacing w:line="360" w:lineRule="auto"/>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74392C" w:rsidRDefault="009A2251" w:rsidP="00855290">
      <w:pPr>
        <w:pStyle w:val="Prrafodelista"/>
        <w:spacing w:line="360" w:lineRule="auto"/>
        <w:rPr>
          <w:rFonts w:ascii="Palatino Linotype" w:hAnsi="Palatino Linotype" w:cs="Arial"/>
        </w:rPr>
      </w:pP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w:t>
      </w:r>
      <w:r w:rsidRPr="0074392C">
        <w:rPr>
          <w:rFonts w:ascii="Palatino Linotype" w:hAnsi="Palatino Linotype" w:cs="Arial"/>
          <w:b/>
          <w:i/>
        </w:rPr>
        <w:t>Quincuagésimo.</w:t>
      </w:r>
      <w:r w:rsidRPr="0074392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E476D" w:rsidRPr="0074392C" w:rsidRDefault="00FE476D" w:rsidP="00855290">
      <w:pPr>
        <w:pStyle w:val="Prrafodelista"/>
        <w:tabs>
          <w:tab w:val="left" w:pos="142"/>
          <w:tab w:val="left" w:pos="284"/>
          <w:tab w:val="left" w:pos="426"/>
        </w:tabs>
        <w:spacing w:line="360" w:lineRule="auto"/>
        <w:ind w:left="567" w:right="567"/>
        <w:jc w:val="both"/>
        <w:rPr>
          <w:rFonts w:ascii="Palatino Linotype" w:hAnsi="Palatino Linotype" w:cs="Arial"/>
          <w:i/>
        </w:rPr>
      </w:pP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b/>
          <w:i/>
        </w:rPr>
        <w:t>Quincuagésimo primero.</w:t>
      </w:r>
      <w:r w:rsidRPr="0074392C">
        <w:rPr>
          <w:rFonts w:ascii="Palatino Linotype" w:hAnsi="Palatino Linotype" w:cs="Arial"/>
          <w:i/>
        </w:rPr>
        <w:t xml:space="preserve"> La leyenda en los documentos clasificados indicará:</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lastRenderedPageBreak/>
        <w:t>I. La fecha de sesión del Comité de Transparencia en donde se confirmó la clasificación, en su caso;</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II. El nombre del área;</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III. La palabra reservado o confidencial;</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IV. Las partes o secciones reservadas o confidenciales, en su caso;</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V. El fundamento legal;</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VI. El periodo de reserva, y</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VII. La rúbrica del titular del área.</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b/>
          <w:i/>
        </w:rPr>
        <w:t>Quincuagésimo segundo.</w:t>
      </w:r>
      <w:r w:rsidRPr="0074392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74392C"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74392C">
        <w:rPr>
          <w:rFonts w:ascii="Palatino Linotype" w:hAnsi="Palatino Linotype" w:cs="Arial"/>
          <w:b/>
          <w:i/>
        </w:rPr>
        <w:t>Quincuagésimo tercero.</w:t>
      </w:r>
      <w:r w:rsidRPr="0074392C">
        <w:rPr>
          <w:rFonts w:ascii="Palatino Linotype" w:hAnsi="Palatino Linotype" w:cs="Arial"/>
          <w:i/>
        </w:rPr>
        <w:t xml:space="preserve"> El formato para señalar la clasificación parcial de un documento, es el siguiente:</w:t>
      </w:r>
    </w:p>
    <w:p w:rsidR="009F09BC" w:rsidRPr="0074392C" w:rsidRDefault="009F09BC" w:rsidP="00855290">
      <w:pPr>
        <w:pStyle w:val="Prrafodelista"/>
        <w:tabs>
          <w:tab w:val="left" w:pos="142"/>
          <w:tab w:val="left" w:pos="284"/>
          <w:tab w:val="left" w:pos="426"/>
        </w:tabs>
        <w:spacing w:line="360" w:lineRule="auto"/>
        <w:ind w:left="0"/>
        <w:jc w:val="center"/>
        <w:rPr>
          <w:rFonts w:ascii="Palatino Linotype" w:hAnsi="Palatino Linotype" w:cs="Arial"/>
        </w:rPr>
      </w:pPr>
      <w:r w:rsidRPr="0074392C">
        <w:rPr>
          <w:rFonts w:ascii="Palatino Linotype" w:hAnsi="Palatino Linotype" w:cs="Arial"/>
          <w:i/>
          <w:noProof/>
          <w:lang w:val="es-ES"/>
        </w:rPr>
        <w:lastRenderedPageBreak/>
        <w:drawing>
          <wp:inline distT="0" distB="0" distL="0" distR="0" wp14:anchorId="2E6835A7" wp14:editId="6EDF19F0">
            <wp:extent cx="4337050" cy="3752850"/>
            <wp:effectExtent l="57150" t="57150" r="1206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6412" cy="36830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F61013" w:rsidRPr="0074392C" w:rsidRDefault="00F61013" w:rsidP="00F61013">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5529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2" w:name="_Toc51863317"/>
      <w:bookmarkStart w:id="193" w:name="_Toc52444651"/>
      <w:bookmarkStart w:id="194" w:name="_Toc57154370"/>
      <w:bookmarkStart w:id="195" w:name="_Toc65170176"/>
      <w:bookmarkStart w:id="196" w:name="_Toc66371802"/>
      <w:bookmarkStart w:id="197" w:name="_Toc67584837"/>
      <w:bookmarkStart w:id="198" w:name="_Toc70070913"/>
      <w:bookmarkStart w:id="199" w:name="_Toc70593360"/>
      <w:bookmarkStart w:id="200" w:name="_Toc71290719"/>
      <w:bookmarkStart w:id="201" w:name="_Toc71291225"/>
      <w:bookmarkStart w:id="202" w:name="_Toc71674124"/>
      <w:bookmarkStart w:id="203" w:name="_Toc83128593"/>
      <w:r w:rsidRPr="0074392C">
        <w:rPr>
          <w:rFonts w:ascii="Palatino Linotype" w:hAnsi="Palatino Linotype" w:cs="Arial"/>
          <w:b/>
        </w:rPr>
        <w:t>III. La intervención del Comité de Transparencia.</w:t>
      </w:r>
      <w:bookmarkEnd w:id="192"/>
      <w:bookmarkEnd w:id="193"/>
      <w:bookmarkEnd w:id="194"/>
      <w:bookmarkEnd w:id="195"/>
      <w:bookmarkEnd w:id="196"/>
      <w:bookmarkEnd w:id="197"/>
      <w:bookmarkEnd w:id="198"/>
      <w:bookmarkEnd w:id="199"/>
      <w:bookmarkEnd w:id="200"/>
      <w:bookmarkEnd w:id="201"/>
      <w:bookmarkEnd w:id="202"/>
      <w:bookmarkEnd w:id="203"/>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b/>
        </w:rPr>
      </w:pPr>
      <w:r w:rsidRPr="0074392C">
        <w:rPr>
          <w:rFonts w:ascii="Palatino Linotype" w:hAnsi="Palatino Linotype" w:cs="Arial"/>
          <w:b/>
        </w:rPr>
        <w:t>a) Formalidades para emitir el Acuerdo de Clasificación.</w:t>
      </w:r>
    </w:p>
    <w:p w:rsidR="00562C0A" w:rsidRPr="0074392C" w:rsidRDefault="00562C0A" w:rsidP="00855290">
      <w:pPr>
        <w:pStyle w:val="Prrafodelista"/>
        <w:tabs>
          <w:tab w:val="left" w:pos="142"/>
          <w:tab w:val="left" w:pos="284"/>
          <w:tab w:val="left" w:pos="426"/>
        </w:tabs>
        <w:spacing w:line="360" w:lineRule="auto"/>
        <w:ind w:left="0"/>
        <w:jc w:val="both"/>
        <w:rPr>
          <w:rFonts w:ascii="Palatino Linotype" w:hAnsi="Palatino Linotype" w:cs="Arial"/>
          <w:b/>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74392C">
        <w:rPr>
          <w:rFonts w:ascii="Palatino Linotype" w:eastAsia="MS Gothic" w:hAnsi="Palatino Linotype" w:cs="Times New Roman"/>
        </w:rPr>
        <w:lastRenderedPageBreak/>
        <w:t xml:space="preserve">los Lineamientos Generales, cuenta con las facultades para </w:t>
      </w:r>
      <w:r w:rsidRPr="0074392C">
        <w:rPr>
          <w:rFonts w:ascii="Palatino Linotype" w:eastAsia="MS Gothic" w:hAnsi="Palatino Linotype" w:cs="Times New Roman"/>
          <w:b/>
          <w:u w:val="single"/>
        </w:rPr>
        <w:t>confirmar, modificar o revocar</w:t>
      </w:r>
      <w:r w:rsidRPr="0074392C">
        <w:rPr>
          <w:rFonts w:ascii="Palatino Linotype" w:eastAsia="MS Gothic" w:hAnsi="Palatino Linotype" w:cs="Times New Roman"/>
        </w:rPr>
        <w:t xml:space="preserve"> la clasificación de la información que ha hecho el titular del área que administra la información. Por lo tanto, el Comité </w:t>
      </w:r>
      <w:r w:rsidRPr="0074392C">
        <w:rPr>
          <w:rFonts w:ascii="Palatino Linotype" w:eastAsia="MS Gothic" w:hAnsi="Palatino Linotype" w:cs="Times New Roman"/>
          <w:b/>
          <w:u w:val="single"/>
        </w:rPr>
        <w:t>no aprueba</w:t>
      </w:r>
      <w:r w:rsidRPr="0074392C">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74392C">
        <w:rPr>
          <w:rFonts w:ascii="Palatino Linotype" w:eastAsia="MS Gothic" w:hAnsi="Palatino Linotype" w:cs="Times New Roman"/>
          <w:b/>
          <w:u w:val="single"/>
        </w:rPr>
        <w:t>el acto reúna con los requisitos elementales</w:t>
      </w:r>
      <w:r w:rsidRPr="0074392C">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74392C" w:rsidRDefault="006D15D0" w:rsidP="00855290">
      <w:pPr>
        <w:pStyle w:val="Prrafodelista"/>
        <w:spacing w:line="360" w:lineRule="auto"/>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74392C">
        <w:rPr>
          <w:rFonts w:ascii="Palatino Linotype" w:eastAsia="MS Gothic" w:hAnsi="Palatino Linotype" w:cs="Times New Roman"/>
        </w:rPr>
        <w:lastRenderedPageBreak/>
        <w:t>por los titulares de áreas y que son sujetas a control, en primera instancia, por el Comité de Transparencia.</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4"/>
        </w:numPr>
        <w:tabs>
          <w:tab w:val="left" w:pos="142"/>
          <w:tab w:val="left" w:pos="284"/>
          <w:tab w:val="left" w:pos="426"/>
        </w:tabs>
        <w:spacing w:line="360" w:lineRule="auto"/>
        <w:jc w:val="both"/>
        <w:rPr>
          <w:rFonts w:ascii="Palatino Linotype" w:hAnsi="Palatino Linotype" w:cs="Arial"/>
          <w:b/>
        </w:rPr>
      </w:pPr>
      <w:r w:rsidRPr="0074392C">
        <w:rPr>
          <w:rFonts w:ascii="Palatino Linotype" w:hAnsi="Palatino Linotype" w:cs="Arial"/>
          <w:b/>
        </w:rPr>
        <w:t>Requisitos de fondo del Acuerdo de Clasificación.</w:t>
      </w: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74392C">
        <w:rPr>
          <w:rFonts w:ascii="Palatino Linotype" w:eastAsia="MS Gothic" w:hAnsi="Palatino Linotype" w:cs="Times New Roman"/>
        </w:rPr>
        <w:t>Generales,  al</w:t>
      </w:r>
      <w:proofErr w:type="gramEnd"/>
      <w:r w:rsidRPr="0074392C">
        <w:rPr>
          <w:rFonts w:ascii="Palatino Linotype" w:eastAsia="MS Gothic" w:hAnsi="Palatino Linotype" w:cs="Times New Roman"/>
        </w:rPr>
        <w:t xml:space="preserve"> señalar que la carga de la prueba, para justificar las restricciones, corresponde a los sujetos obligados, por lo que deberán fundar y motivar debidamente la clasificación.</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De lo anterior, se desprende </w:t>
      </w:r>
      <w:proofErr w:type="gramStart"/>
      <w:r w:rsidRPr="0074392C">
        <w:rPr>
          <w:rFonts w:ascii="Palatino Linotype" w:eastAsia="MS Gothic" w:hAnsi="Palatino Linotype" w:cs="Times New Roman"/>
        </w:rPr>
        <w:t>que</w:t>
      </w:r>
      <w:proofErr w:type="gramEnd"/>
      <w:r w:rsidRPr="0074392C">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54A61" w:rsidRPr="0074392C" w:rsidRDefault="00E54A61" w:rsidP="00E54A61">
      <w:pPr>
        <w:pStyle w:val="Prrafodelista"/>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74392C">
        <w:rPr>
          <w:rFonts w:ascii="Palatino Linotype" w:eastAsia="MS Gothic" w:hAnsi="Palatino Linotype" w:cs="Times New Roman"/>
          <w:i/>
        </w:rPr>
        <w:t xml:space="preserve">la garantía de fundamentación impone a las autoridades el deber de precisar </w:t>
      </w:r>
      <w:r w:rsidRPr="0074392C">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392C">
        <w:rPr>
          <w:rFonts w:ascii="Palatino Linotype" w:eastAsia="MS Gothic" w:hAnsi="Palatino Linotype" w:cs="Times New Roman"/>
        </w:rPr>
        <w:t>....”</w:t>
      </w:r>
      <w:r w:rsidRPr="0074392C">
        <w:rPr>
          <w:rFonts w:ascii="Palatino Linotype" w:eastAsia="MS Gothic" w:hAnsi="Palatino Linotype" w:cs="Times New Roman"/>
          <w:vertAlign w:val="superscript"/>
        </w:rPr>
        <w:footnoteReference w:id="8"/>
      </w:r>
    </w:p>
    <w:p w:rsidR="009F09BC" w:rsidRPr="0074392C" w:rsidRDefault="009F09BC" w:rsidP="00855290">
      <w:pPr>
        <w:pStyle w:val="Prrafodelista"/>
        <w:spacing w:line="360" w:lineRule="auto"/>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b/>
          <w:i/>
          <w:color w:val="000000"/>
        </w:rPr>
        <w:t>FUNDAMENTACIÓN Y MOTIVACIÓN.</w:t>
      </w:r>
      <w:r w:rsidRPr="0074392C">
        <w:rPr>
          <w:rFonts w:ascii="Palatino Linotype" w:hAnsi="Palatino Linotype" w:cs="Arial"/>
          <w:i/>
          <w:color w:val="000000"/>
        </w:rPr>
        <w:t xml:space="preserve"> “La </w:t>
      </w:r>
      <w:r w:rsidRPr="0074392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392C">
        <w:rPr>
          <w:rFonts w:ascii="Palatino Linotype" w:hAnsi="Palatino Linotype" w:cs="Arial"/>
          <w:i/>
          <w:color w:val="000000"/>
        </w:rPr>
        <w:t>.”</w:t>
      </w: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i/>
          <w:color w:val="000000"/>
        </w:rPr>
        <w:t>SEGUNDO TRIBUNAL COLEGIADO DEL SEXTO CIRCUITO.</w:t>
      </w: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74392C">
        <w:rPr>
          <w:rFonts w:ascii="Palatino Linotype" w:hAnsi="Palatino Linotype" w:cs="Arial"/>
          <w:i/>
          <w:color w:val="000000"/>
        </w:rPr>
        <w:t>Esponda</w:t>
      </w:r>
      <w:proofErr w:type="spellEnd"/>
      <w:r w:rsidRPr="0074392C">
        <w:rPr>
          <w:rFonts w:ascii="Palatino Linotype" w:hAnsi="Palatino Linotype" w:cs="Arial"/>
          <w:i/>
          <w:color w:val="000000"/>
        </w:rPr>
        <w:t xml:space="preserve"> Rincón.</w:t>
      </w: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i/>
          <w:color w:val="000000"/>
        </w:rPr>
        <w:t xml:space="preserve">Amparo en revisión 333/88. </w:t>
      </w:r>
      <w:proofErr w:type="spellStart"/>
      <w:r w:rsidRPr="0074392C">
        <w:rPr>
          <w:rFonts w:ascii="Palatino Linotype" w:hAnsi="Palatino Linotype" w:cs="Arial"/>
          <w:i/>
          <w:color w:val="000000"/>
        </w:rPr>
        <w:t>Adilia</w:t>
      </w:r>
      <w:proofErr w:type="spellEnd"/>
      <w:r w:rsidRPr="0074392C">
        <w:rPr>
          <w:rFonts w:ascii="Palatino Linotype" w:hAnsi="Palatino Linotype" w:cs="Arial"/>
          <w:i/>
          <w:color w:val="000000"/>
        </w:rPr>
        <w:t xml:space="preserve"> Romero. 26 de octubre de 1988. Unanimidad de votos. Ponente: Arnoldo Nájera Virgen. Secretario: Enrique Crispín Campos Ramírez.</w:t>
      </w: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4392C">
        <w:rPr>
          <w:rFonts w:ascii="Palatino Linotype" w:hAnsi="Palatino Linotype" w:cs="Arial"/>
          <w:i/>
          <w:color w:val="000000"/>
        </w:rPr>
        <w:t>Goyzueta</w:t>
      </w:r>
      <w:proofErr w:type="spellEnd"/>
      <w:r w:rsidRPr="0074392C">
        <w:rPr>
          <w:rFonts w:ascii="Palatino Linotype" w:hAnsi="Palatino Linotype" w:cs="Arial"/>
          <w:i/>
          <w:color w:val="000000"/>
        </w:rPr>
        <w:t>. Secretario: Gonzalo Carrera Molina.</w:t>
      </w:r>
    </w:p>
    <w:p w:rsidR="009F09BC" w:rsidRPr="0074392C" w:rsidRDefault="009F09BC" w:rsidP="00855290">
      <w:pPr>
        <w:spacing w:line="360" w:lineRule="auto"/>
        <w:ind w:left="851" w:right="618"/>
        <w:contextualSpacing/>
        <w:jc w:val="both"/>
        <w:rPr>
          <w:rFonts w:ascii="Palatino Linotype" w:hAnsi="Palatino Linotype" w:cs="Arial"/>
          <w:i/>
          <w:color w:val="000000"/>
        </w:rPr>
      </w:pPr>
      <w:r w:rsidRPr="0074392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4392C">
        <w:rPr>
          <w:rFonts w:ascii="Palatino Linotype" w:hAnsi="Palatino Linotype" w:cs="Arial"/>
          <w:i/>
          <w:color w:val="000000"/>
        </w:rPr>
        <w:t>Baigts</w:t>
      </w:r>
      <w:proofErr w:type="spellEnd"/>
      <w:r w:rsidRPr="0074392C">
        <w:rPr>
          <w:rFonts w:ascii="Palatino Linotype" w:hAnsi="Palatino Linotype" w:cs="Arial"/>
          <w:i/>
          <w:color w:val="000000"/>
        </w:rPr>
        <w:t xml:space="preserve"> Muñoz.</w:t>
      </w:r>
    </w:p>
    <w:p w:rsidR="00562C0A" w:rsidRPr="0074392C" w:rsidRDefault="00562C0A" w:rsidP="00855290">
      <w:pPr>
        <w:spacing w:line="360" w:lineRule="auto"/>
        <w:ind w:left="851" w:right="618"/>
        <w:contextualSpacing/>
        <w:jc w:val="both"/>
        <w:rPr>
          <w:rFonts w:ascii="Palatino Linotype" w:hAnsi="Palatino Linotype" w:cs="Arial"/>
          <w:i/>
          <w:color w:val="000000"/>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21B4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rPr>
      </w:pPr>
      <w:r w:rsidRPr="0074392C">
        <w:rPr>
          <w:rFonts w:ascii="Palatino Linotype" w:eastAsia="MS Gothic" w:hAnsi="Palatino Linotype" w:cs="Times New Roman"/>
        </w:rPr>
        <w:lastRenderedPageBreak/>
        <w:t xml:space="preserve"> En ese mismo sentido, el numeral trigésimo tercero fracción V de los Lineamientos Generales, precisa que para motivar la clasificación se deben acreditar las circunstancias de tiempo, modo y lugar.</w:t>
      </w:r>
    </w:p>
    <w:p w:rsidR="009F09BC" w:rsidRPr="0074392C"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74392C" w:rsidRDefault="009F09BC" w:rsidP="00855290">
      <w:pPr>
        <w:pStyle w:val="Ttulo1"/>
        <w:spacing w:before="0" w:line="360" w:lineRule="auto"/>
        <w:jc w:val="center"/>
        <w:rPr>
          <w:rFonts w:ascii="Palatino Linotype" w:eastAsia="Calibri" w:hAnsi="Palatino Linotype"/>
          <w:b/>
          <w:color w:val="000000" w:themeColor="text1"/>
          <w:sz w:val="24"/>
          <w:szCs w:val="24"/>
          <w:lang w:val="es-ES"/>
        </w:rPr>
      </w:pPr>
      <w:bookmarkStart w:id="204" w:name="_Toc504500693"/>
      <w:bookmarkStart w:id="205" w:name="_Toc534742545"/>
      <w:bookmarkStart w:id="206" w:name="_Toc2248738"/>
      <w:bookmarkStart w:id="207" w:name="_Toc34819440"/>
      <w:bookmarkStart w:id="208" w:name="_Toc51259595"/>
      <w:bookmarkStart w:id="209" w:name="_Toc83128595"/>
      <w:r w:rsidRPr="0074392C">
        <w:rPr>
          <w:rFonts w:ascii="Palatino Linotype" w:eastAsia="Calibri" w:hAnsi="Palatino Linotype"/>
          <w:b/>
          <w:color w:val="000000" w:themeColor="text1"/>
          <w:sz w:val="24"/>
          <w:szCs w:val="24"/>
          <w:lang w:val="es-ES"/>
        </w:rPr>
        <w:t>R E S O L U T I V O S</w:t>
      </w:r>
      <w:bookmarkEnd w:id="204"/>
      <w:bookmarkEnd w:id="205"/>
      <w:bookmarkEnd w:id="206"/>
      <w:bookmarkEnd w:id="207"/>
      <w:bookmarkEnd w:id="208"/>
      <w:bookmarkEnd w:id="209"/>
      <w:r w:rsidRPr="0074392C">
        <w:rPr>
          <w:rFonts w:ascii="Palatino Linotype" w:eastAsia="Calibri" w:hAnsi="Palatino Linotype"/>
          <w:b/>
          <w:color w:val="000000" w:themeColor="text1"/>
          <w:sz w:val="24"/>
          <w:szCs w:val="24"/>
          <w:lang w:val="es-ES"/>
        </w:rPr>
        <w:t xml:space="preserve"> </w:t>
      </w:r>
    </w:p>
    <w:p w:rsidR="009072B7" w:rsidRPr="0074392C" w:rsidRDefault="009072B7" w:rsidP="00855290">
      <w:pPr>
        <w:spacing w:line="360" w:lineRule="auto"/>
        <w:rPr>
          <w:rFonts w:ascii="Palatino Linotype" w:hAnsi="Palatino Linotype"/>
          <w:lang w:val="es-ES"/>
        </w:rPr>
      </w:pPr>
    </w:p>
    <w:p w:rsidR="009F09BC" w:rsidRPr="0074392C" w:rsidRDefault="009F09BC" w:rsidP="00855290">
      <w:pPr>
        <w:spacing w:line="360" w:lineRule="auto"/>
        <w:jc w:val="both"/>
        <w:rPr>
          <w:rFonts w:ascii="Palatino Linotype" w:eastAsia="Times New Roman" w:hAnsi="Palatino Linotype" w:cs="Arial"/>
          <w:lang w:val="es-ES"/>
        </w:rPr>
      </w:pPr>
      <w:r w:rsidRPr="0074392C">
        <w:rPr>
          <w:rFonts w:ascii="Palatino Linotype" w:eastAsia="Times New Roman" w:hAnsi="Palatino Linotype" w:cs="Arial"/>
          <w:b/>
        </w:rPr>
        <w:t>PRIMERO</w:t>
      </w:r>
      <w:r w:rsidRPr="0074392C">
        <w:rPr>
          <w:rFonts w:ascii="Palatino Linotype" w:eastAsia="Times New Roman" w:hAnsi="Palatino Linotype" w:cs="Arial"/>
          <w:lang w:val="es-ES"/>
        </w:rPr>
        <w:t xml:space="preserve">. Resultan </w:t>
      </w:r>
      <w:r w:rsidR="00564627" w:rsidRPr="0074392C">
        <w:rPr>
          <w:rFonts w:ascii="Palatino Linotype" w:eastAsia="Times New Roman" w:hAnsi="Palatino Linotype" w:cs="Arial"/>
          <w:lang w:val="es-ES"/>
        </w:rPr>
        <w:t xml:space="preserve">parcialmente </w:t>
      </w:r>
      <w:r w:rsidRPr="0074392C">
        <w:rPr>
          <w:rFonts w:ascii="Palatino Linotype" w:eastAsia="Times New Roman" w:hAnsi="Palatino Linotype" w:cs="Arial"/>
          <w:lang w:val="es-ES"/>
        </w:rPr>
        <w:t>fundadas las razones o motivos de inconformidad hechos valer en</w:t>
      </w:r>
      <w:r w:rsidR="009A2251" w:rsidRPr="0074392C">
        <w:rPr>
          <w:rFonts w:ascii="Palatino Linotype" w:eastAsia="Times New Roman" w:hAnsi="Palatino Linotype" w:cs="Arial"/>
          <w:lang w:val="es-ES"/>
        </w:rPr>
        <w:t xml:space="preserve"> el</w:t>
      </w:r>
      <w:r w:rsidRPr="0074392C">
        <w:rPr>
          <w:rFonts w:ascii="Palatino Linotype" w:eastAsia="Times New Roman" w:hAnsi="Palatino Linotype" w:cs="Arial"/>
          <w:lang w:val="es-ES"/>
        </w:rPr>
        <w:t xml:space="preserve"> Recurso de Revisión </w:t>
      </w:r>
      <w:r w:rsidR="00330009" w:rsidRPr="0074392C">
        <w:rPr>
          <w:rFonts w:ascii="Palatino Linotype" w:hAnsi="Palatino Linotype"/>
          <w:b/>
        </w:rPr>
        <w:t>01528/INFOEM/IP/RR/2022</w:t>
      </w:r>
      <w:r w:rsidRPr="0074392C">
        <w:rPr>
          <w:rFonts w:ascii="Palatino Linotype" w:hAnsi="Palatino Linotype"/>
        </w:rPr>
        <w:t>,</w:t>
      </w:r>
      <w:r w:rsidRPr="0074392C">
        <w:rPr>
          <w:rFonts w:ascii="Palatino Linotype" w:eastAsia="Times New Roman" w:hAnsi="Palatino Linotype" w:cs="Arial"/>
          <w:b/>
          <w:lang w:val="es-ES"/>
        </w:rPr>
        <w:t xml:space="preserve"> </w:t>
      </w:r>
      <w:r w:rsidRPr="0074392C">
        <w:rPr>
          <w:rFonts w:ascii="Palatino Linotype" w:eastAsia="Times New Roman" w:hAnsi="Palatino Linotype" w:cs="Arial"/>
          <w:lang w:val="es-ES"/>
        </w:rPr>
        <w:t xml:space="preserve">en términos de los Considerandos </w:t>
      </w:r>
      <w:r w:rsidRPr="0074392C">
        <w:rPr>
          <w:rFonts w:ascii="Palatino Linotype" w:eastAsia="Times New Roman" w:hAnsi="Palatino Linotype" w:cs="Arial"/>
          <w:b/>
          <w:lang w:val="es-ES"/>
        </w:rPr>
        <w:t xml:space="preserve">CUARTO </w:t>
      </w:r>
      <w:r w:rsidRPr="0074392C">
        <w:rPr>
          <w:rFonts w:ascii="Palatino Linotype" w:eastAsia="Times New Roman" w:hAnsi="Palatino Linotype" w:cs="Arial"/>
          <w:lang w:val="es-ES"/>
        </w:rPr>
        <w:t>y</w:t>
      </w:r>
      <w:r w:rsidRPr="0074392C">
        <w:rPr>
          <w:rFonts w:ascii="Palatino Linotype" w:eastAsia="Times New Roman" w:hAnsi="Palatino Linotype" w:cs="Arial"/>
          <w:b/>
          <w:lang w:val="es-ES"/>
        </w:rPr>
        <w:t xml:space="preserve"> </w:t>
      </w:r>
      <w:r w:rsidR="00F81B92" w:rsidRPr="0074392C">
        <w:rPr>
          <w:rFonts w:ascii="Palatino Linotype" w:eastAsia="Times New Roman" w:hAnsi="Palatino Linotype" w:cs="Arial"/>
          <w:b/>
          <w:lang w:val="es-ES"/>
        </w:rPr>
        <w:t>QUIN</w:t>
      </w:r>
      <w:r w:rsidRPr="0074392C">
        <w:rPr>
          <w:rFonts w:ascii="Palatino Linotype" w:eastAsia="Times New Roman" w:hAnsi="Palatino Linotype" w:cs="Arial"/>
          <w:b/>
          <w:lang w:val="es-ES"/>
        </w:rPr>
        <w:t xml:space="preserve">TO </w:t>
      </w:r>
      <w:r w:rsidRPr="0074392C">
        <w:rPr>
          <w:rFonts w:ascii="Palatino Linotype" w:eastAsia="Times New Roman" w:hAnsi="Palatino Linotype" w:cs="Arial"/>
          <w:lang w:val="es-ES"/>
        </w:rPr>
        <w:t xml:space="preserve">de la presente resolución. </w:t>
      </w:r>
    </w:p>
    <w:p w:rsidR="009072B7" w:rsidRPr="0074392C" w:rsidRDefault="009072B7" w:rsidP="00855290">
      <w:pPr>
        <w:spacing w:line="360" w:lineRule="auto"/>
        <w:jc w:val="both"/>
        <w:rPr>
          <w:rFonts w:ascii="Palatino Linotype" w:eastAsia="Times New Roman" w:hAnsi="Palatino Linotype" w:cs="Arial"/>
          <w:lang w:val="es-ES"/>
        </w:rPr>
      </w:pPr>
    </w:p>
    <w:p w:rsidR="0065530D" w:rsidRPr="0074392C" w:rsidRDefault="009F09BC" w:rsidP="005C7272">
      <w:pPr>
        <w:autoSpaceDE w:val="0"/>
        <w:autoSpaceDN w:val="0"/>
        <w:adjustRightInd w:val="0"/>
        <w:spacing w:line="360" w:lineRule="auto"/>
        <w:ind w:right="49"/>
        <w:jc w:val="both"/>
        <w:rPr>
          <w:rFonts w:ascii="Palatino Linotype" w:hAnsi="Palatino Linotype" w:cs="Arial"/>
          <w:lang w:val="es-ES"/>
        </w:rPr>
      </w:pPr>
      <w:bookmarkStart w:id="210" w:name="_Toc503891607"/>
      <w:bookmarkStart w:id="211" w:name="_Toc511647757"/>
      <w:bookmarkStart w:id="212" w:name="_Toc511647818"/>
      <w:bookmarkStart w:id="213" w:name="_Toc477891768"/>
      <w:bookmarkStart w:id="214" w:name="_Toc477891858"/>
      <w:bookmarkStart w:id="215" w:name="_Toc481576259"/>
      <w:bookmarkStart w:id="216" w:name="_Toc492590391"/>
      <w:bookmarkStart w:id="217" w:name="_Toc462653937"/>
      <w:bookmarkStart w:id="218" w:name="_Toc453696502"/>
      <w:bookmarkStart w:id="219" w:name="_Toc454301155"/>
      <w:r w:rsidRPr="0074392C">
        <w:rPr>
          <w:rFonts w:ascii="Palatino Linotype" w:eastAsia="Times New Roman" w:hAnsi="Palatino Linotype" w:cs="Times New Roman"/>
          <w:b/>
        </w:rPr>
        <w:t>SEGUNDO.</w:t>
      </w:r>
      <w:bookmarkEnd w:id="210"/>
      <w:bookmarkEnd w:id="211"/>
      <w:bookmarkEnd w:id="212"/>
      <w:r w:rsidRPr="0074392C">
        <w:rPr>
          <w:rFonts w:ascii="Palatino Linotype" w:eastAsia="Times New Roman" w:hAnsi="Palatino Linotype" w:cs="Times New Roman"/>
          <w:b/>
        </w:rPr>
        <w:t xml:space="preserve"> </w:t>
      </w:r>
      <w:bookmarkEnd w:id="213"/>
      <w:bookmarkEnd w:id="214"/>
      <w:bookmarkEnd w:id="215"/>
      <w:bookmarkEnd w:id="216"/>
      <w:bookmarkEnd w:id="217"/>
      <w:bookmarkEnd w:id="218"/>
      <w:bookmarkEnd w:id="219"/>
      <w:r w:rsidRPr="0074392C">
        <w:rPr>
          <w:rFonts w:ascii="Palatino Linotype" w:eastAsia="MS Mincho" w:hAnsi="Palatino Linotype" w:cs="Times New Roman"/>
          <w:color w:val="000000" w:themeColor="text1"/>
        </w:rPr>
        <w:t xml:space="preserve">Se </w:t>
      </w:r>
      <w:r w:rsidR="00F61013" w:rsidRPr="0074392C">
        <w:rPr>
          <w:rFonts w:ascii="Palatino Linotype" w:eastAsia="MS Mincho" w:hAnsi="Palatino Linotype" w:cs="Times New Roman"/>
          <w:b/>
          <w:color w:val="000000" w:themeColor="text1"/>
        </w:rPr>
        <w:t>ORDEN</w:t>
      </w:r>
      <w:r w:rsidRPr="0074392C">
        <w:rPr>
          <w:rFonts w:ascii="Palatino Linotype" w:eastAsia="MS Mincho" w:hAnsi="Palatino Linotype" w:cs="Times New Roman"/>
          <w:b/>
          <w:color w:val="000000" w:themeColor="text1"/>
        </w:rPr>
        <w:t xml:space="preserve">A </w:t>
      </w:r>
      <w:r w:rsidR="0086792A" w:rsidRPr="0074392C">
        <w:rPr>
          <w:rFonts w:ascii="Palatino Linotype" w:eastAsia="MS Mincho" w:hAnsi="Palatino Linotype" w:cs="Times New Roman"/>
          <w:color w:val="000000" w:themeColor="text1"/>
        </w:rPr>
        <w:t>a</w:t>
      </w:r>
      <w:r w:rsidR="00F61013" w:rsidRPr="0074392C">
        <w:rPr>
          <w:rFonts w:ascii="Palatino Linotype" w:eastAsia="MS Mincho" w:hAnsi="Palatino Linotype" w:cs="Times New Roman"/>
          <w:color w:val="000000" w:themeColor="text1"/>
        </w:rPr>
        <w:t>l</w:t>
      </w:r>
      <w:r w:rsidRPr="0074392C">
        <w:rPr>
          <w:rFonts w:ascii="Palatino Linotype" w:eastAsia="MS Mincho" w:hAnsi="Palatino Linotype" w:cs="Times New Roman"/>
          <w:color w:val="000000" w:themeColor="text1"/>
        </w:rPr>
        <w:t xml:space="preserve"> </w:t>
      </w:r>
      <w:r w:rsidR="00330009" w:rsidRPr="0074392C">
        <w:rPr>
          <w:rFonts w:ascii="Palatino Linotype" w:hAnsi="Palatino Linotype"/>
          <w:b/>
          <w:bCs/>
          <w:color w:val="000000"/>
        </w:rPr>
        <w:t xml:space="preserve">Ayuntamiento de </w:t>
      </w:r>
      <w:proofErr w:type="spellStart"/>
      <w:r w:rsidR="00330009" w:rsidRPr="0074392C">
        <w:rPr>
          <w:rFonts w:ascii="Palatino Linotype" w:hAnsi="Palatino Linotype"/>
          <w:b/>
          <w:bCs/>
          <w:color w:val="000000"/>
        </w:rPr>
        <w:t>Ecatzingo</w:t>
      </w:r>
      <w:proofErr w:type="spellEnd"/>
      <w:r w:rsidRPr="0074392C">
        <w:rPr>
          <w:rFonts w:ascii="Palatino Linotype" w:eastAsia="MS Mincho" w:hAnsi="Palatino Linotype" w:cs="Times New Roman"/>
          <w:b/>
          <w:color w:val="000000" w:themeColor="text1"/>
        </w:rPr>
        <w:t xml:space="preserve"> </w:t>
      </w:r>
      <w:r w:rsidRPr="0074392C">
        <w:rPr>
          <w:rFonts w:ascii="Palatino Linotype" w:eastAsia="MS Mincho" w:hAnsi="Palatino Linotype" w:cs="Times New Roman"/>
          <w:color w:val="000000" w:themeColor="text1"/>
        </w:rPr>
        <w:t xml:space="preserve">entregar vía Sistema de Acceso a la Información Mexiquense </w:t>
      </w:r>
      <w:r w:rsidRPr="0074392C">
        <w:rPr>
          <w:rFonts w:ascii="Palatino Linotype" w:eastAsia="MS Mincho" w:hAnsi="Palatino Linotype" w:cs="Times New Roman"/>
          <w:b/>
          <w:color w:val="000000" w:themeColor="text1"/>
        </w:rPr>
        <w:t>(SAIMEX)</w:t>
      </w:r>
      <w:r w:rsidRPr="0074392C">
        <w:rPr>
          <w:rFonts w:ascii="Palatino Linotype" w:eastAsia="MS Mincho" w:hAnsi="Palatino Linotype" w:cs="Times New Roman"/>
          <w:color w:val="000000" w:themeColor="text1"/>
        </w:rPr>
        <w:t>,</w:t>
      </w:r>
      <w:r w:rsidR="0065530D" w:rsidRPr="0074392C">
        <w:rPr>
          <w:rFonts w:ascii="Palatino Linotype" w:eastAsia="MS Mincho" w:hAnsi="Palatino Linotype" w:cs="Times New Roman"/>
          <w:color w:val="000000" w:themeColor="text1"/>
        </w:rPr>
        <w:t xml:space="preserve"> </w:t>
      </w:r>
      <w:r w:rsidR="0065530D" w:rsidRPr="0074392C">
        <w:rPr>
          <w:rFonts w:ascii="Palatino Linotype" w:hAnsi="Palatino Linotype" w:cs="Arial"/>
        </w:rPr>
        <w:t xml:space="preserve">correo electrónico, medios magnéticos </w:t>
      </w:r>
      <w:r w:rsidR="00562C0A" w:rsidRPr="0074392C">
        <w:rPr>
          <w:rFonts w:ascii="Palatino Linotype" w:hAnsi="Palatino Linotype" w:cs="Arial"/>
        </w:rPr>
        <w:t>o</w:t>
      </w:r>
      <w:r w:rsidR="0065530D" w:rsidRPr="0074392C">
        <w:rPr>
          <w:rFonts w:ascii="Palatino Linotype" w:hAnsi="Palatino Linotype" w:cs="Arial"/>
        </w:rPr>
        <w:t xml:space="preserve"> CD-ROM</w:t>
      </w:r>
      <w:r w:rsidR="00E54A61" w:rsidRPr="0074392C">
        <w:rPr>
          <w:rFonts w:ascii="Palatino Linotype" w:hAnsi="Palatino Linotype" w:cs="Arial"/>
        </w:rPr>
        <w:t xml:space="preserve"> (con costo)</w:t>
      </w:r>
      <w:r w:rsidR="0065530D" w:rsidRPr="0074392C">
        <w:rPr>
          <w:rFonts w:ascii="Palatino Linotype" w:hAnsi="Palatino Linotype" w:cs="Arial"/>
          <w:lang w:val="es-ES"/>
        </w:rPr>
        <w:t xml:space="preserve">, </w:t>
      </w:r>
      <w:r w:rsidR="00F61013" w:rsidRPr="0074392C">
        <w:rPr>
          <w:rFonts w:ascii="Palatino Linotype" w:hAnsi="Palatino Linotype" w:cs="Arial"/>
          <w:lang w:val="es-ES"/>
        </w:rPr>
        <w:t>el soporte documental en el que obre lo siguiente del Ayuntamiento</w:t>
      </w:r>
      <w:r w:rsidR="00564627" w:rsidRPr="0074392C">
        <w:rPr>
          <w:rFonts w:ascii="Palatino Linotype" w:hAnsi="Palatino Linotype" w:cs="Arial"/>
          <w:lang w:val="es-ES"/>
        </w:rPr>
        <w:t>,</w:t>
      </w:r>
      <w:r w:rsidR="00F61013" w:rsidRPr="0074392C">
        <w:rPr>
          <w:rFonts w:ascii="Palatino Linotype" w:hAnsi="Palatino Linotype" w:cs="Arial"/>
          <w:lang w:val="es-ES"/>
        </w:rPr>
        <w:t xml:space="preserve"> </w:t>
      </w:r>
      <w:r w:rsidR="00564627" w:rsidRPr="0074392C">
        <w:rPr>
          <w:rFonts w:ascii="Palatino Linotype" w:hAnsi="Palatino Linotype" w:cs="Arial"/>
          <w:lang w:val="es-ES"/>
        </w:rPr>
        <w:t xml:space="preserve">Sistema Municipal para el Desarrollo Integral de la Familia de </w:t>
      </w:r>
      <w:proofErr w:type="spellStart"/>
      <w:r w:rsidR="00564627" w:rsidRPr="0074392C">
        <w:rPr>
          <w:rFonts w:ascii="Palatino Linotype" w:hAnsi="Palatino Linotype" w:cs="Arial"/>
          <w:lang w:val="es-ES"/>
        </w:rPr>
        <w:t>Ecatzingo</w:t>
      </w:r>
      <w:proofErr w:type="spellEnd"/>
      <w:r w:rsidR="00564627" w:rsidRPr="0074392C">
        <w:rPr>
          <w:rFonts w:ascii="Palatino Linotype" w:hAnsi="Palatino Linotype" w:cs="Arial"/>
          <w:lang w:val="es-ES"/>
        </w:rPr>
        <w:t xml:space="preserve"> e Instituto Municipal de Cultura Física y Deporte de </w:t>
      </w:r>
      <w:proofErr w:type="spellStart"/>
      <w:r w:rsidR="00564627" w:rsidRPr="0074392C">
        <w:rPr>
          <w:rFonts w:ascii="Palatino Linotype" w:hAnsi="Palatino Linotype" w:cs="Arial"/>
          <w:lang w:val="es-ES"/>
        </w:rPr>
        <w:t>Ecatzingo</w:t>
      </w:r>
      <w:proofErr w:type="spellEnd"/>
      <w:r w:rsidR="00F61013" w:rsidRPr="0074392C">
        <w:rPr>
          <w:rFonts w:ascii="Palatino Linotype" w:hAnsi="Palatino Linotype" w:cs="Arial"/>
          <w:lang w:val="es-ES"/>
        </w:rPr>
        <w:t>, respectivamente:</w:t>
      </w:r>
    </w:p>
    <w:p w:rsidR="009072B7" w:rsidRPr="0074392C" w:rsidRDefault="009072B7" w:rsidP="00855290">
      <w:pPr>
        <w:spacing w:line="360" w:lineRule="auto"/>
        <w:jc w:val="both"/>
        <w:rPr>
          <w:rFonts w:ascii="Palatino Linotype" w:eastAsia="MS Mincho" w:hAnsi="Palatino Linotype" w:cs="Times New Roman"/>
          <w:color w:val="000000" w:themeColor="text1"/>
        </w:rPr>
      </w:pPr>
    </w:p>
    <w:p w:rsidR="00E54A61" w:rsidRPr="0074392C" w:rsidRDefault="00E54A61" w:rsidP="00821B43">
      <w:pPr>
        <w:pStyle w:val="Prrafodelista"/>
        <w:numPr>
          <w:ilvl w:val="0"/>
          <w:numId w:val="8"/>
        </w:numPr>
        <w:spacing w:line="360" w:lineRule="auto"/>
        <w:ind w:left="709" w:right="539"/>
        <w:contextualSpacing w:val="0"/>
        <w:jc w:val="both"/>
        <w:rPr>
          <w:rFonts w:ascii="Palatino Linotype" w:hAnsi="Palatino Linotype" w:cs="Arial"/>
        </w:rPr>
      </w:pPr>
      <w:bookmarkStart w:id="220" w:name="_Toc503891610"/>
      <w:bookmarkStart w:id="221" w:name="_Toc453696503"/>
      <w:bookmarkStart w:id="222" w:name="_Toc454301156"/>
      <w:bookmarkStart w:id="223" w:name="_Toc462653938"/>
      <w:bookmarkStart w:id="224" w:name="_Toc477891769"/>
      <w:bookmarkStart w:id="225" w:name="_Toc477891859"/>
      <w:bookmarkStart w:id="226" w:name="_Toc481576260"/>
      <w:bookmarkStart w:id="227" w:name="_Toc492590392"/>
      <w:r w:rsidRPr="0074392C">
        <w:rPr>
          <w:rFonts w:ascii="Palatino Linotype" w:hAnsi="Palatino Linotype" w:cs="Arial"/>
        </w:rPr>
        <w:t>La opinión de no adeudo en el cumplimiento de obligaciones fiscales emitida por el Servicio de Administración Tributaria (SAT);</w:t>
      </w:r>
    </w:p>
    <w:p w:rsidR="00B047FA" w:rsidRPr="0074392C" w:rsidRDefault="00B047FA" w:rsidP="00B047FA">
      <w:pPr>
        <w:pStyle w:val="Prrafodelista"/>
        <w:spacing w:line="360" w:lineRule="auto"/>
        <w:ind w:left="709" w:right="539"/>
        <w:contextualSpacing w:val="0"/>
        <w:jc w:val="both"/>
        <w:rPr>
          <w:rFonts w:ascii="Palatino Linotype" w:hAnsi="Palatino Linotype" w:cs="Arial"/>
        </w:rPr>
      </w:pPr>
    </w:p>
    <w:p w:rsidR="009F09BC" w:rsidRPr="0074392C" w:rsidRDefault="009F09BC" w:rsidP="00855290">
      <w:pPr>
        <w:spacing w:line="360" w:lineRule="auto"/>
        <w:jc w:val="both"/>
        <w:rPr>
          <w:rFonts w:ascii="Palatino Linotype" w:eastAsia="Calibri" w:hAnsi="Palatino Linotype" w:cs="Arial"/>
          <w:b/>
        </w:rPr>
      </w:pPr>
      <w:r w:rsidRPr="0074392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74392C">
        <w:rPr>
          <w:rFonts w:ascii="Palatino Linotype" w:eastAsia="Calibri" w:hAnsi="Palatino Linotype" w:cs="Arial"/>
        </w:rPr>
        <w:lastRenderedPageBreak/>
        <w:t xml:space="preserve">dentro del soporte documental respectivo objeto de las versiones públicas que se formulen y se pongan a disposición de </w:t>
      </w:r>
      <w:r w:rsidRPr="0074392C">
        <w:rPr>
          <w:rFonts w:ascii="Palatino Linotype" w:eastAsia="Calibri" w:hAnsi="Palatino Linotype" w:cs="Arial"/>
          <w:b/>
        </w:rPr>
        <w:t>EL RECURRENTE.</w:t>
      </w:r>
    </w:p>
    <w:p w:rsidR="00E54A61" w:rsidRPr="0074392C" w:rsidRDefault="00E54A61" w:rsidP="00855290">
      <w:pPr>
        <w:spacing w:line="360" w:lineRule="auto"/>
        <w:jc w:val="both"/>
        <w:rPr>
          <w:rFonts w:ascii="Palatino Linotype" w:eastAsia="Calibri" w:hAnsi="Palatino Linotype" w:cs="Arial"/>
          <w:b/>
        </w:rPr>
      </w:pPr>
    </w:p>
    <w:p w:rsidR="00E54A61" w:rsidRPr="0074392C" w:rsidRDefault="00E54A61" w:rsidP="00E54A61">
      <w:pPr>
        <w:spacing w:line="360" w:lineRule="auto"/>
        <w:ind w:right="-93"/>
        <w:jc w:val="both"/>
        <w:rPr>
          <w:rFonts w:ascii="Palatino Linotype" w:eastAsia="Calibri" w:hAnsi="Palatino Linotype" w:cs="Tahoma"/>
          <w:bCs/>
          <w:szCs w:val="22"/>
          <w:lang w:eastAsia="en-US"/>
        </w:rPr>
      </w:pPr>
      <w:r w:rsidRPr="0074392C">
        <w:rPr>
          <w:rFonts w:ascii="Palatino Linotype" w:eastAsia="Calibri" w:hAnsi="Palatino Linotype" w:cs="Tahoma"/>
          <w:bCs/>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009072B7" w:rsidRPr="0074392C" w:rsidRDefault="009072B7" w:rsidP="00855290">
      <w:pPr>
        <w:spacing w:line="360" w:lineRule="auto"/>
        <w:jc w:val="both"/>
        <w:rPr>
          <w:rFonts w:ascii="Palatino Linotype" w:eastAsia="Calibri" w:hAnsi="Palatino Linotype" w:cs="Arial"/>
          <w:b/>
        </w:rPr>
      </w:pPr>
    </w:p>
    <w:p w:rsidR="009F09BC" w:rsidRPr="0074392C"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228" w:name="_Toc511647758"/>
      <w:bookmarkStart w:id="229" w:name="_Toc511647819"/>
      <w:r w:rsidRPr="0074392C">
        <w:rPr>
          <w:rFonts w:ascii="Palatino Linotype" w:eastAsia="Times New Roman" w:hAnsi="Palatino Linotype" w:cs="Times New Roman"/>
          <w:b/>
        </w:rPr>
        <w:t>TERCERO.</w:t>
      </w:r>
      <w:bookmarkEnd w:id="220"/>
      <w:bookmarkEnd w:id="228"/>
      <w:bookmarkEnd w:id="229"/>
      <w:r w:rsidRPr="0074392C">
        <w:rPr>
          <w:rFonts w:ascii="Palatino Linotype" w:eastAsia="Times New Roman" w:hAnsi="Palatino Linotype" w:cs="Times New Roman"/>
          <w:b/>
        </w:rPr>
        <w:t xml:space="preserve"> </w:t>
      </w:r>
      <w:bookmarkEnd w:id="221"/>
      <w:bookmarkEnd w:id="222"/>
      <w:bookmarkEnd w:id="223"/>
      <w:bookmarkEnd w:id="224"/>
      <w:bookmarkEnd w:id="225"/>
      <w:bookmarkEnd w:id="226"/>
      <w:bookmarkEnd w:id="227"/>
      <w:r w:rsidRPr="0074392C">
        <w:rPr>
          <w:rFonts w:ascii="Palatino Linotype" w:eastAsia="Palatino Linotype" w:hAnsi="Palatino Linotype" w:cs="Palatino Linotype"/>
          <w:b/>
        </w:rPr>
        <w:t xml:space="preserve">Notifíquese </w:t>
      </w:r>
      <w:r w:rsidRPr="0074392C">
        <w:rPr>
          <w:rFonts w:ascii="Palatino Linotype" w:eastAsia="Palatino Linotype" w:hAnsi="Palatino Linotype" w:cs="Palatino Linotype"/>
        </w:rPr>
        <w:t xml:space="preserve">al Titular de la Unidad de Transparencia del </w:t>
      </w:r>
      <w:r w:rsidRPr="0074392C">
        <w:rPr>
          <w:rFonts w:ascii="Palatino Linotype" w:eastAsia="Palatino Linotype" w:hAnsi="Palatino Linotype" w:cs="Palatino Linotype"/>
          <w:b/>
        </w:rPr>
        <w:t>SUJETO OBLIGADO</w:t>
      </w:r>
      <w:r w:rsidR="00204057" w:rsidRPr="0074392C">
        <w:rPr>
          <w:rFonts w:ascii="Palatino Linotype" w:eastAsia="Palatino Linotype" w:hAnsi="Palatino Linotype" w:cs="Palatino Linotype"/>
          <w:b/>
        </w:rPr>
        <w:t xml:space="preserve"> </w:t>
      </w:r>
      <w:r w:rsidR="00204057" w:rsidRPr="0074392C">
        <w:rPr>
          <w:rFonts w:ascii="Palatino Linotype" w:eastAsia="Palatino Linotype" w:hAnsi="Palatino Linotype" w:cs="Palatino Linotype"/>
        </w:rPr>
        <w:t>vía</w:t>
      </w:r>
      <w:r w:rsidR="00204057" w:rsidRPr="0074392C">
        <w:rPr>
          <w:rFonts w:ascii="Palatino Linotype" w:eastAsia="Palatino Linotype" w:hAnsi="Palatino Linotype" w:cs="Palatino Linotype"/>
          <w:b/>
        </w:rPr>
        <w:t xml:space="preserve"> SAIMEX</w:t>
      </w:r>
      <w:r w:rsidRPr="0074392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4392C">
        <w:rPr>
          <w:rFonts w:ascii="Palatino Linotype" w:eastAsia="Times New Roman" w:hAnsi="Palatino Linotype" w:cs="Times New Roman"/>
          <w:shd w:val="clear" w:color="auto" w:fill="FFFFFF"/>
        </w:rPr>
        <w:t xml:space="preserve">vigente, dé cumplimiento a lo ordenado dentro del plazo de </w:t>
      </w:r>
      <w:r w:rsidR="00782A12" w:rsidRPr="0074392C">
        <w:rPr>
          <w:rFonts w:ascii="Palatino Linotype" w:eastAsia="Times New Roman" w:hAnsi="Palatino Linotype" w:cs="Times New Roman"/>
          <w:b/>
          <w:shd w:val="clear" w:color="auto" w:fill="FFFFFF"/>
        </w:rPr>
        <w:t>diez</w:t>
      </w:r>
      <w:r w:rsidRPr="0074392C">
        <w:rPr>
          <w:rFonts w:ascii="Palatino Linotype" w:eastAsia="Times New Roman" w:hAnsi="Palatino Linotype" w:cs="Times New Roman"/>
          <w:b/>
          <w:shd w:val="clear" w:color="auto" w:fill="FFFFFF"/>
        </w:rPr>
        <w:t xml:space="preserve"> días hábiles</w:t>
      </w:r>
      <w:r w:rsidRPr="0074392C">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74392C" w:rsidRDefault="0057514F" w:rsidP="00855290">
      <w:pPr>
        <w:spacing w:line="360" w:lineRule="auto"/>
        <w:jc w:val="both"/>
        <w:rPr>
          <w:rFonts w:ascii="Palatino Linotype" w:hAnsi="Palatino Linotype" w:cs="Arial"/>
          <w:b/>
        </w:rPr>
      </w:pPr>
    </w:p>
    <w:p w:rsidR="0057514F" w:rsidRPr="0074392C" w:rsidRDefault="0057514F" w:rsidP="00855290">
      <w:pPr>
        <w:spacing w:line="360" w:lineRule="auto"/>
        <w:jc w:val="both"/>
        <w:rPr>
          <w:rFonts w:ascii="Palatino Linotype" w:eastAsia="Calibri" w:hAnsi="Palatino Linotype" w:cs="Arial"/>
          <w:bCs/>
        </w:rPr>
      </w:pPr>
      <w:r w:rsidRPr="0074392C">
        <w:rPr>
          <w:rFonts w:ascii="Palatino Linotype" w:hAnsi="Palatino Linotype" w:cs="Arial"/>
          <w:b/>
        </w:rPr>
        <w:t xml:space="preserve">CUARTO. </w:t>
      </w:r>
      <w:r w:rsidRPr="0074392C">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74392C">
        <w:rPr>
          <w:rFonts w:ascii="Palatino Linotype" w:eastAsia="Calibri" w:hAnsi="Palatino Linotype" w:cs="Arial"/>
          <w:b/>
          <w:bCs/>
        </w:rPr>
        <w:t>SUJETO OBLIGADO</w:t>
      </w:r>
      <w:r w:rsidRPr="0074392C">
        <w:rPr>
          <w:rFonts w:ascii="Palatino Linotype" w:eastAsia="Calibri" w:hAnsi="Palatino Linotype" w:cs="Arial"/>
          <w:bCs/>
        </w:rPr>
        <w:t xml:space="preserve"> de manera fundada y motivada, podrá solicitar una ampliación de plazo para el cumplimiento de la presente resolución.</w:t>
      </w:r>
    </w:p>
    <w:p w:rsidR="009072B7" w:rsidRPr="0074392C" w:rsidRDefault="009072B7" w:rsidP="00855290">
      <w:pPr>
        <w:spacing w:line="360" w:lineRule="auto"/>
        <w:jc w:val="both"/>
        <w:rPr>
          <w:rFonts w:ascii="Palatino Linotype" w:eastAsia="Calibri" w:hAnsi="Palatino Linotype" w:cs="Arial"/>
          <w:bCs/>
        </w:rPr>
      </w:pPr>
    </w:p>
    <w:p w:rsidR="009F09BC" w:rsidRPr="0074392C"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230" w:name="_Toc492590393"/>
      <w:bookmarkStart w:id="231" w:name="_Toc503891611"/>
      <w:bookmarkStart w:id="232" w:name="_Toc511647759"/>
      <w:bookmarkStart w:id="233" w:name="_Toc511647820"/>
      <w:r w:rsidRPr="0074392C">
        <w:rPr>
          <w:rFonts w:ascii="Palatino Linotype" w:eastAsia="Times New Roman" w:hAnsi="Palatino Linotype" w:cs="Times New Roman"/>
          <w:b/>
        </w:rPr>
        <w:t>QUIN</w:t>
      </w:r>
      <w:r w:rsidR="009F09BC" w:rsidRPr="0074392C">
        <w:rPr>
          <w:rFonts w:ascii="Palatino Linotype" w:eastAsia="Times New Roman" w:hAnsi="Palatino Linotype" w:cs="Times New Roman"/>
          <w:b/>
        </w:rPr>
        <w:t xml:space="preserve">TO. </w:t>
      </w:r>
      <w:r w:rsidR="009F09BC" w:rsidRPr="0074392C">
        <w:rPr>
          <w:rFonts w:ascii="Palatino Linotype" w:eastAsia="Times New Roman" w:hAnsi="Palatino Linotype" w:cs="Times New Roman"/>
        </w:rPr>
        <w:t>Notifíquese</w:t>
      </w:r>
      <w:bookmarkEnd w:id="230"/>
      <w:bookmarkEnd w:id="231"/>
      <w:bookmarkEnd w:id="232"/>
      <w:bookmarkEnd w:id="233"/>
      <w:r w:rsidR="009F09BC" w:rsidRPr="0074392C">
        <w:rPr>
          <w:rFonts w:ascii="Palatino Linotype" w:eastAsia="Times New Roman" w:hAnsi="Palatino Linotype" w:cs="Times New Roman"/>
        </w:rPr>
        <w:t xml:space="preserve"> a </w:t>
      </w:r>
      <w:r w:rsidR="009F09BC" w:rsidRPr="0074392C">
        <w:rPr>
          <w:rFonts w:ascii="Palatino Linotype" w:eastAsia="Times New Roman" w:hAnsi="Palatino Linotype" w:cs="Times New Roman"/>
          <w:b/>
        </w:rPr>
        <w:t>EL RECURRENTE</w:t>
      </w:r>
      <w:r w:rsidR="009F09BC" w:rsidRPr="0074392C">
        <w:rPr>
          <w:rFonts w:ascii="Palatino Linotype" w:eastAsia="Times New Roman" w:hAnsi="Palatino Linotype" w:cs="Times New Roman"/>
        </w:rPr>
        <w:t xml:space="preserve"> la presente</w:t>
      </w:r>
      <w:r w:rsidR="009F09BC" w:rsidRPr="0074392C">
        <w:rPr>
          <w:rFonts w:ascii="Palatino Linotype" w:eastAsia="Times New Roman" w:hAnsi="Palatino Linotype" w:cs="Times New Roman"/>
          <w:lang w:val="es-ES" w:eastAsia="es-MX"/>
        </w:rPr>
        <w:t xml:space="preserve"> resolución</w:t>
      </w:r>
      <w:r w:rsidR="00204057" w:rsidRPr="0074392C">
        <w:rPr>
          <w:rFonts w:ascii="Palatino Linotype" w:eastAsia="Times New Roman" w:hAnsi="Palatino Linotype" w:cs="Times New Roman"/>
          <w:lang w:val="es-ES" w:eastAsia="es-MX"/>
        </w:rPr>
        <w:t xml:space="preserve"> vía SAIMEX y correo electrónico</w:t>
      </w:r>
      <w:r w:rsidR="006D15D0" w:rsidRPr="0074392C">
        <w:rPr>
          <w:rFonts w:ascii="Palatino Linotype" w:eastAsia="Times New Roman" w:hAnsi="Palatino Linotype" w:cs="Times New Roman"/>
          <w:lang w:val="es-ES" w:eastAsia="es-MX"/>
        </w:rPr>
        <w:t>.</w:t>
      </w:r>
    </w:p>
    <w:p w:rsidR="009072B7" w:rsidRPr="0074392C"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74392C" w:rsidRDefault="0057514F" w:rsidP="00855290">
      <w:pPr>
        <w:shd w:val="clear" w:color="auto" w:fill="FFFFFF"/>
        <w:spacing w:line="360" w:lineRule="auto"/>
        <w:jc w:val="both"/>
        <w:rPr>
          <w:rFonts w:ascii="Palatino Linotype" w:hAnsi="Palatino Linotype"/>
          <w:color w:val="222222"/>
          <w:lang w:eastAsia="es-ES_tradnl"/>
        </w:rPr>
      </w:pPr>
      <w:r w:rsidRPr="0074392C">
        <w:rPr>
          <w:rFonts w:ascii="Palatino Linotype" w:eastAsia="Calibri" w:hAnsi="Palatino Linotype" w:cs="Times New Roman"/>
          <w:b/>
          <w:lang w:val="es-MX" w:eastAsia="en-US"/>
        </w:rPr>
        <w:t>SEX</w:t>
      </w:r>
      <w:r w:rsidR="009F09BC" w:rsidRPr="0074392C">
        <w:rPr>
          <w:rFonts w:ascii="Palatino Linotype" w:eastAsia="Calibri" w:hAnsi="Palatino Linotype" w:cs="Times New Roman"/>
          <w:b/>
          <w:lang w:val="es-MX" w:eastAsia="en-US"/>
        </w:rPr>
        <w:t>TO.</w:t>
      </w:r>
      <w:r w:rsidR="009F09BC" w:rsidRPr="0074392C">
        <w:rPr>
          <w:rFonts w:ascii="Palatino Linotype" w:eastAsia="Calibri" w:hAnsi="Palatino Linotype" w:cs="Times New Roman"/>
          <w:lang w:val="es-MX" w:eastAsia="en-US"/>
        </w:rPr>
        <w:t xml:space="preserve"> </w:t>
      </w:r>
      <w:r w:rsidR="009F09BC" w:rsidRPr="0074392C">
        <w:rPr>
          <w:rFonts w:ascii="Palatino Linotype" w:eastAsia="Times New Roman" w:hAnsi="Palatino Linotype" w:cs="Times New Roman"/>
          <w:lang w:val="es-ES" w:eastAsia="es-MX"/>
        </w:rPr>
        <w:t xml:space="preserve">Se hace del conocimiento de </w:t>
      </w:r>
      <w:r w:rsidR="009F09BC" w:rsidRPr="0074392C">
        <w:rPr>
          <w:rFonts w:ascii="Palatino Linotype" w:eastAsia="Times New Roman" w:hAnsi="Palatino Linotype" w:cs="Times New Roman"/>
          <w:b/>
          <w:lang w:val="es-ES" w:eastAsia="es-MX"/>
        </w:rPr>
        <w:t>EL RECURRENTE</w:t>
      </w:r>
      <w:r w:rsidR="009F09BC" w:rsidRPr="0074392C">
        <w:rPr>
          <w:rFonts w:ascii="Palatino Linotype" w:eastAsia="Times New Roman" w:hAnsi="Palatino Linotype" w:cs="Times New Roman"/>
          <w:lang w:val="es-ES" w:eastAsia="es-MX"/>
        </w:rPr>
        <w:t xml:space="preserve"> </w:t>
      </w:r>
      <w:r w:rsidR="00F30E97" w:rsidRPr="0074392C">
        <w:rPr>
          <w:rFonts w:ascii="Palatino Linotype" w:hAnsi="Palatino Linotype"/>
          <w:color w:val="000000" w:themeColor="text1"/>
          <w:szCs w:val="17"/>
          <w:lang w:eastAsia="es-ES_tradnl"/>
        </w:rPr>
        <w:t xml:space="preserve">que </w:t>
      </w:r>
      <w:r w:rsidR="00F30E97" w:rsidRPr="0074392C">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F61013" w:rsidRPr="0074392C" w:rsidRDefault="00F61013" w:rsidP="00855290">
      <w:pPr>
        <w:shd w:val="clear" w:color="auto" w:fill="FFFFFF"/>
        <w:spacing w:line="360" w:lineRule="auto"/>
        <w:jc w:val="both"/>
        <w:rPr>
          <w:rFonts w:ascii="Palatino Linotype" w:hAnsi="Palatino Linotype"/>
          <w:color w:val="222222"/>
          <w:lang w:eastAsia="es-ES_tradnl"/>
        </w:rPr>
      </w:pPr>
    </w:p>
    <w:p w:rsidR="00F61013" w:rsidRPr="0074392C" w:rsidRDefault="00F61013" w:rsidP="00F61013">
      <w:pPr>
        <w:spacing w:line="360" w:lineRule="auto"/>
        <w:jc w:val="both"/>
        <w:rPr>
          <w:rFonts w:ascii="Palatino Linotype" w:eastAsia="MS Mincho" w:hAnsi="Palatino Linotype"/>
          <w:b/>
        </w:rPr>
      </w:pPr>
      <w:r w:rsidRPr="0074392C">
        <w:rPr>
          <w:rFonts w:ascii="Palatino Linotype" w:eastAsia="MS Mincho" w:hAnsi="Palatino Linotype"/>
          <w:b/>
        </w:rPr>
        <w:t>SÉPTIMO.</w:t>
      </w:r>
      <w:r w:rsidRPr="0074392C">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4392C">
        <w:rPr>
          <w:rFonts w:ascii="Palatino Linotype" w:eastAsia="MS Mincho" w:hAnsi="Palatino Linotype"/>
          <w:b/>
        </w:rPr>
        <w:t>Considerando SEXTO.</w:t>
      </w:r>
    </w:p>
    <w:p w:rsidR="00F61013" w:rsidRPr="0074392C" w:rsidRDefault="00F61013" w:rsidP="00855290">
      <w:pPr>
        <w:shd w:val="clear" w:color="auto" w:fill="FFFFFF"/>
        <w:spacing w:line="360" w:lineRule="auto"/>
        <w:jc w:val="both"/>
        <w:rPr>
          <w:rFonts w:ascii="Palatino Linotype" w:hAnsi="Palatino Linotype"/>
          <w:color w:val="222222"/>
          <w:lang w:eastAsia="es-ES_tradnl"/>
        </w:rPr>
      </w:pPr>
    </w:p>
    <w:p w:rsidR="00B71A96" w:rsidRDefault="00B71A96" w:rsidP="00B71A96">
      <w:pPr>
        <w:spacing w:before="240" w:after="240" w:line="360" w:lineRule="auto"/>
        <w:ind w:firstLine="1"/>
        <w:jc w:val="both"/>
        <w:rPr>
          <w:rFonts w:ascii="Palatino Linotype" w:hAnsi="Palatino Linotype"/>
        </w:rPr>
      </w:pPr>
      <w:r w:rsidRPr="0074392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6F1C39">
      <w:headerReference w:type="even" r:id="rId11"/>
      <w:headerReference w:type="default" r:id="rId12"/>
      <w:footerReference w:type="default" r:id="rId13"/>
      <w:headerReference w:type="first" r:id="rId14"/>
      <w:footerReference w:type="first" r:id="rId15"/>
      <w:pgSz w:w="12240" w:h="15840"/>
      <w:pgMar w:top="1843" w:right="1701" w:bottom="1702"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29" w:rsidRDefault="00EF1D29" w:rsidP="003B7751">
      <w:r>
        <w:separator/>
      </w:r>
    </w:p>
  </w:endnote>
  <w:endnote w:type="continuationSeparator" w:id="0">
    <w:p w:rsidR="00EF1D29" w:rsidRDefault="00EF1D29"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254700"/>
      <w:docPartObj>
        <w:docPartGallery w:val="Page Numbers (Bottom of Page)"/>
        <w:docPartUnique/>
      </w:docPartObj>
    </w:sdtPr>
    <w:sdtEndPr/>
    <w:sdtContent>
      <w:sdt>
        <w:sdtPr>
          <w:id w:val="917747924"/>
          <w:docPartObj>
            <w:docPartGallery w:val="Page Numbers (Top of Page)"/>
            <w:docPartUnique/>
          </w:docPartObj>
        </w:sdtPr>
        <w:sdtEndPr/>
        <w:sdtContent>
          <w:p w:rsidR="00512EAB" w:rsidRPr="002D6DD8" w:rsidRDefault="00512EA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67B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C67B8">
              <w:rPr>
                <w:rFonts w:ascii="Palatino Linotype" w:hAnsi="Palatino Linotype"/>
                <w:bCs/>
                <w:noProof/>
                <w:sz w:val="20"/>
              </w:rPr>
              <w:t>54</w:t>
            </w:r>
            <w:r>
              <w:rPr>
                <w:rFonts w:ascii="Palatino Linotype" w:hAnsi="Palatino Linotype"/>
                <w:bCs/>
                <w:noProof/>
                <w:sz w:val="20"/>
              </w:rPr>
              <w:fldChar w:fldCharType="end"/>
            </w:r>
          </w:p>
        </w:sdtContent>
      </w:sdt>
    </w:sdtContent>
  </w:sdt>
  <w:p w:rsidR="00512EAB" w:rsidRDefault="00512E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AB" w:rsidRPr="000B69FA" w:rsidRDefault="00512EA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1E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61E9E">
      <w:rPr>
        <w:rFonts w:ascii="Palatino Linotype" w:hAnsi="Palatino Linotype"/>
        <w:bCs/>
        <w:noProof/>
        <w:sz w:val="20"/>
      </w:rPr>
      <w:t>54</w:t>
    </w:r>
    <w:r>
      <w:rPr>
        <w:rFonts w:ascii="Palatino Linotype" w:hAnsi="Palatino Linotype"/>
        <w:bCs/>
        <w:noProof/>
        <w:sz w:val="20"/>
      </w:rPr>
      <w:fldChar w:fldCharType="end"/>
    </w:r>
  </w:p>
  <w:p w:rsidR="00512EAB" w:rsidRDefault="00512E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29" w:rsidRDefault="00EF1D29" w:rsidP="003B7751">
      <w:r>
        <w:separator/>
      </w:r>
    </w:p>
  </w:footnote>
  <w:footnote w:type="continuationSeparator" w:id="0">
    <w:p w:rsidR="00EF1D29" w:rsidRDefault="00EF1D29" w:rsidP="003B7751">
      <w:r>
        <w:continuationSeparator/>
      </w:r>
    </w:p>
  </w:footnote>
  <w:footnote w:id="1">
    <w:p w:rsidR="00512EAB" w:rsidRPr="009C43C2" w:rsidRDefault="00512EAB"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512EAB" w:rsidRPr="009C43C2" w:rsidRDefault="00512EAB"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512EAB" w:rsidRPr="009C43C2" w:rsidRDefault="00512EAB"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512EAB" w:rsidRDefault="00512EAB"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512EAB" w:rsidRDefault="00512EAB"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512EAB" w:rsidRDefault="00512EAB" w:rsidP="009F09BC">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rsidR="00512EAB" w:rsidRDefault="00512EAB"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512EAB" w:rsidRDefault="00512EAB"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rsidR="00512EAB" w:rsidRDefault="00512EAB"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12EAB" w:rsidRDefault="00512EAB"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rsidR="00512EAB" w:rsidRDefault="00512EAB"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EAB" w:rsidRDefault="00EF1D2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12EAB" w:rsidTr="006A04B6">
      <w:trPr>
        <w:trHeight w:val="227"/>
      </w:trPr>
      <w:tc>
        <w:tcPr>
          <w:tcW w:w="2976" w:type="dxa"/>
          <w:vAlign w:val="center"/>
          <w:hideMark/>
        </w:tcPr>
        <w:p w:rsidR="00512EAB" w:rsidRPr="00674A46" w:rsidRDefault="00512EA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12EAB" w:rsidRPr="00485ED8" w:rsidRDefault="00CF48B2" w:rsidP="00E54AAE">
          <w:pPr>
            <w:pStyle w:val="Encabezado"/>
            <w:rPr>
              <w:rFonts w:ascii="Palatino Linotype" w:hAnsi="Palatino Linotype"/>
              <w:b/>
              <w:sz w:val="22"/>
              <w:szCs w:val="22"/>
            </w:rPr>
          </w:pPr>
          <w:r>
            <w:rPr>
              <w:rFonts w:ascii="Palatino Linotype" w:hAnsi="Palatino Linotype" w:cs="Arial"/>
              <w:b/>
              <w:bCs/>
              <w:sz w:val="22"/>
              <w:szCs w:val="22"/>
              <w:lang w:eastAsia="es-MX"/>
            </w:rPr>
            <w:t>01528</w:t>
          </w:r>
          <w:r w:rsidR="00512EAB" w:rsidRPr="00485ED8">
            <w:rPr>
              <w:rFonts w:ascii="Palatino Linotype" w:hAnsi="Palatino Linotype" w:cs="Arial"/>
              <w:b/>
              <w:bCs/>
              <w:sz w:val="22"/>
              <w:szCs w:val="22"/>
              <w:lang w:eastAsia="es-MX"/>
            </w:rPr>
            <w:t>/INFOEM/IP/RR/202</w:t>
          </w:r>
          <w:r w:rsidR="00512EAB">
            <w:rPr>
              <w:rFonts w:ascii="Palatino Linotype" w:hAnsi="Palatino Linotype" w:cs="Arial"/>
              <w:b/>
              <w:bCs/>
              <w:sz w:val="22"/>
              <w:szCs w:val="22"/>
              <w:lang w:eastAsia="es-MX"/>
            </w:rPr>
            <w:t>2</w:t>
          </w:r>
        </w:p>
      </w:tc>
    </w:tr>
    <w:tr w:rsidR="00512EAB" w:rsidTr="006A04B6">
      <w:trPr>
        <w:trHeight w:val="242"/>
      </w:trPr>
      <w:tc>
        <w:tcPr>
          <w:tcW w:w="2976" w:type="dxa"/>
          <w:vAlign w:val="center"/>
          <w:hideMark/>
        </w:tcPr>
        <w:p w:rsidR="00512EAB" w:rsidRPr="00674A46" w:rsidRDefault="00512EA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12EAB" w:rsidRPr="00485ED8" w:rsidRDefault="00CF48B2" w:rsidP="00156A8C">
          <w:pPr>
            <w:pStyle w:val="Encabezado"/>
            <w:jc w:val="both"/>
            <w:rPr>
              <w:rFonts w:ascii="Palatino Linotype" w:hAnsi="Palatino Linotype"/>
              <w:b/>
              <w:sz w:val="22"/>
              <w:szCs w:val="22"/>
            </w:rPr>
          </w:pPr>
          <w:r w:rsidRPr="00CF48B2">
            <w:rPr>
              <w:rFonts w:ascii="Palatino Linotype" w:hAnsi="Palatino Linotype" w:cs="Arial"/>
              <w:b/>
            </w:rPr>
            <w:t xml:space="preserve">Ayuntamiento de </w:t>
          </w:r>
          <w:proofErr w:type="spellStart"/>
          <w:r w:rsidRPr="00CF48B2">
            <w:rPr>
              <w:rFonts w:ascii="Palatino Linotype" w:hAnsi="Palatino Linotype" w:cs="Arial"/>
              <w:b/>
            </w:rPr>
            <w:t>Ecatzingo</w:t>
          </w:r>
          <w:proofErr w:type="spellEnd"/>
        </w:p>
      </w:tc>
    </w:tr>
    <w:tr w:rsidR="00512EAB" w:rsidTr="006A04B6">
      <w:trPr>
        <w:trHeight w:val="342"/>
      </w:trPr>
      <w:tc>
        <w:tcPr>
          <w:tcW w:w="2976" w:type="dxa"/>
          <w:vAlign w:val="center"/>
          <w:hideMark/>
        </w:tcPr>
        <w:p w:rsidR="00512EAB" w:rsidRPr="00674A46" w:rsidRDefault="00F00FDA" w:rsidP="009F09BC">
          <w:pPr>
            <w:ind w:right="34"/>
            <w:jc w:val="right"/>
            <w:rPr>
              <w:rFonts w:ascii="Palatino Linotype" w:hAnsi="Palatino Linotype"/>
              <w:b/>
              <w:sz w:val="22"/>
              <w:szCs w:val="22"/>
            </w:rPr>
          </w:pPr>
          <w:r>
            <w:rPr>
              <w:rFonts w:ascii="Palatino Linotype" w:hAnsi="Palatino Linotype"/>
              <w:b/>
              <w:sz w:val="22"/>
              <w:szCs w:val="22"/>
            </w:rPr>
            <w:t>Comisionada</w:t>
          </w:r>
          <w:r w:rsidR="00512EAB" w:rsidRPr="00674A46">
            <w:rPr>
              <w:rFonts w:ascii="Palatino Linotype" w:hAnsi="Palatino Linotype"/>
              <w:b/>
              <w:sz w:val="22"/>
              <w:szCs w:val="22"/>
            </w:rPr>
            <w:t xml:space="preserve"> Ponente:</w:t>
          </w:r>
        </w:p>
      </w:tc>
      <w:tc>
        <w:tcPr>
          <w:tcW w:w="3543" w:type="dxa"/>
          <w:vAlign w:val="center"/>
          <w:hideMark/>
        </w:tcPr>
        <w:p w:rsidR="00512EAB" w:rsidRPr="00485ED8" w:rsidRDefault="00512EA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12EAB" w:rsidRPr="00AE046A" w:rsidRDefault="00EF1D29"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1.8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12EAB" w:rsidTr="006A04B6">
      <w:trPr>
        <w:trHeight w:val="227"/>
      </w:trPr>
      <w:tc>
        <w:tcPr>
          <w:tcW w:w="2977" w:type="dxa"/>
          <w:vAlign w:val="center"/>
          <w:hideMark/>
        </w:tcPr>
        <w:p w:rsidR="00512EAB" w:rsidRPr="00674A46" w:rsidRDefault="00512EA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12EAB" w:rsidRPr="00485ED8" w:rsidRDefault="00CF48B2" w:rsidP="00627608">
          <w:pPr>
            <w:pStyle w:val="Encabezado"/>
            <w:rPr>
              <w:rFonts w:ascii="Palatino Linotype" w:hAnsi="Palatino Linotype"/>
              <w:b/>
              <w:sz w:val="22"/>
              <w:szCs w:val="22"/>
            </w:rPr>
          </w:pPr>
          <w:r>
            <w:rPr>
              <w:rFonts w:ascii="Palatino Linotype" w:hAnsi="Palatino Linotype" w:cs="Arial"/>
              <w:b/>
              <w:bCs/>
              <w:sz w:val="22"/>
              <w:szCs w:val="22"/>
              <w:lang w:eastAsia="es-MX"/>
            </w:rPr>
            <w:t>01528</w:t>
          </w:r>
          <w:r w:rsidR="00512EAB" w:rsidRPr="00065792">
            <w:rPr>
              <w:rFonts w:ascii="Palatino Linotype" w:hAnsi="Palatino Linotype" w:cs="Arial"/>
              <w:b/>
              <w:bCs/>
              <w:sz w:val="22"/>
              <w:szCs w:val="22"/>
              <w:lang w:eastAsia="es-MX"/>
            </w:rPr>
            <w:t>/INFOEM/IP/RR/2022</w:t>
          </w:r>
        </w:p>
      </w:tc>
    </w:tr>
    <w:tr w:rsidR="00512EAB" w:rsidTr="006A04B6">
      <w:trPr>
        <w:trHeight w:val="242"/>
      </w:trPr>
      <w:tc>
        <w:tcPr>
          <w:tcW w:w="2977" w:type="dxa"/>
          <w:vAlign w:val="center"/>
          <w:hideMark/>
        </w:tcPr>
        <w:p w:rsidR="00512EAB" w:rsidRPr="00674A46" w:rsidRDefault="00512EA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512EAB" w:rsidRPr="00B75F20" w:rsidRDefault="00A61E9E"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XXXXXX</w:t>
          </w:r>
        </w:p>
      </w:tc>
    </w:tr>
    <w:tr w:rsidR="00512EAB" w:rsidTr="006A04B6">
      <w:trPr>
        <w:trHeight w:val="342"/>
      </w:trPr>
      <w:tc>
        <w:tcPr>
          <w:tcW w:w="2977" w:type="dxa"/>
          <w:vAlign w:val="center"/>
        </w:tcPr>
        <w:p w:rsidR="00512EAB" w:rsidRPr="00674A46" w:rsidRDefault="00512EA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12EAB" w:rsidRPr="00674A46" w:rsidRDefault="00CF48B2" w:rsidP="009F09BC">
          <w:pPr>
            <w:pStyle w:val="Encabezado"/>
            <w:jc w:val="both"/>
            <w:rPr>
              <w:rFonts w:ascii="Palatino Linotype" w:hAnsi="Palatino Linotype"/>
              <w:b/>
              <w:sz w:val="22"/>
              <w:szCs w:val="22"/>
            </w:rPr>
          </w:pPr>
          <w:r w:rsidRPr="00CF48B2">
            <w:rPr>
              <w:rFonts w:ascii="Palatino Linotype" w:hAnsi="Palatino Linotype"/>
              <w:b/>
              <w:bCs/>
              <w:color w:val="000000"/>
              <w:sz w:val="22"/>
              <w:szCs w:val="22"/>
            </w:rPr>
            <w:t xml:space="preserve">Ayuntamiento de </w:t>
          </w:r>
          <w:proofErr w:type="spellStart"/>
          <w:r w:rsidRPr="00CF48B2">
            <w:rPr>
              <w:rFonts w:ascii="Palatino Linotype" w:hAnsi="Palatino Linotype"/>
              <w:b/>
              <w:bCs/>
              <w:color w:val="000000"/>
              <w:sz w:val="22"/>
              <w:szCs w:val="22"/>
            </w:rPr>
            <w:t>Ecatzingo</w:t>
          </w:r>
          <w:proofErr w:type="spellEnd"/>
        </w:p>
      </w:tc>
    </w:tr>
    <w:tr w:rsidR="00512EAB" w:rsidTr="006A04B6">
      <w:trPr>
        <w:trHeight w:val="342"/>
      </w:trPr>
      <w:tc>
        <w:tcPr>
          <w:tcW w:w="2977" w:type="dxa"/>
          <w:vAlign w:val="center"/>
        </w:tcPr>
        <w:p w:rsidR="00512EAB" w:rsidRPr="00674A46" w:rsidRDefault="00512EA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12EAB" w:rsidRPr="00674A46" w:rsidRDefault="00512EA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12EAB" w:rsidRPr="00C222C0" w:rsidRDefault="00EF1D2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1.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E24176"/>
    <w:multiLevelType w:val="hybridMultilevel"/>
    <w:tmpl w:val="2A320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82355F"/>
    <w:multiLevelType w:val="multilevel"/>
    <w:tmpl w:val="206E5C30"/>
    <w:lvl w:ilvl="0">
      <w:start w:val="1"/>
      <w:numFmt w:val="lowerLetter"/>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5" w15:restartNumberingAfterBreak="0">
    <w:nsid w:val="4658523C"/>
    <w:multiLevelType w:val="hybridMultilevel"/>
    <w:tmpl w:val="19205E8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A55ED3"/>
    <w:multiLevelType w:val="hybridMultilevel"/>
    <w:tmpl w:val="20D62A94"/>
    <w:lvl w:ilvl="0" w:tplc="080A000B">
      <w:start w:val="1"/>
      <w:numFmt w:val="bullet"/>
      <w:lvlText w:val=""/>
      <w:lvlJc w:val="left"/>
      <w:pPr>
        <w:ind w:left="1724" w:hanging="360"/>
      </w:pPr>
      <w:rPr>
        <w:rFonts w:ascii="Wingdings" w:hAnsi="Wingdings"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9"/>
  </w:num>
  <w:num w:numId="3">
    <w:abstractNumId w:val="1"/>
  </w:num>
  <w:num w:numId="4">
    <w:abstractNumId w:val="6"/>
  </w:num>
  <w:num w:numId="5">
    <w:abstractNumId w:val="8"/>
  </w:num>
  <w:num w:numId="6">
    <w:abstractNumId w:val="0"/>
  </w:num>
  <w:num w:numId="7">
    <w:abstractNumId w:val="10"/>
  </w:num>
  <w:num w:numId="8">
    <w:abstractNumId w:val="4"/>
  </w:num>
  <w:num w:numId="9">
    <w:abstractNumId w:val="7"/>
  </w:num>
  <w:num w:numId="10">
    <w:abstractNumId w:val="5"/>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AD3"/>
    <w:rsid w:val="00015F91"/>
    <w:rsid w:val="0001674C"/>
    <w:rsid w:val="00020780"/>
    <w:rsid w:val="00030FBC"/>
    <w:rsid w:val="000373F6"/>
    <w:rsid w:val="00051287"/>
    <w:rsid w:val="000642C4"/>
    <w:rsid w:val="00065792"/>
    <w:rsid w:val="0008243D"/>
    <w:rsid w:val="000D7E6D"/>
    <w:rsid w:val="000E1A02"/>
    <w:rsid w:val="000E4891"/>
    <w:rsid w:val="000E4F3B"/>
    <w:rsid w:val="00112D7E"/>
    <w:rsid w:val="00114502"/>
    <w:rsid w:val="00126C85"/>
    <w:rsid w:val="001352F5"/>
    <w:rsid w:val="00137203"/>
    <w:rsid w:val="00140817"/>
    <w:rsid w:val="00156A8C"/>
    <w:rsid w:val="0017602A"/>
    <w:rsid w:val="00177119"/>
    <w:rsid w:val="00192AC9"/>
    <w:rsid w:val="001A18E7"/>
    <w:rsid w:val="001A45AA"/>
    <w:rsid w:val="001C0503"/>
    <w:rsid w:val="001C4290"/>
    <w:rsid w:val="001D23C1"/>
    <w:rsid w:val="001D373F"/>
    <w:rsid w:val="001D5404"/>
    <w:rsid w:val="00204057"/>
    <w:rsid w:val="00223C06"/>
    <w:rsid w:val="00246A14"/>
    <w:rsid w:val="00272CA2"/>
    <w:rsid w:val="00277FAC"/>
    <w:rsid w:val="00283A4C"/>
    <w:rsid w:val="002901F4"/>
    <w:rsid w:val="00291500"/>
    <w:rsid w:val="002C0D3C"/>
    <w:rsid w:val="002C40FB"/>
    <w:rsid w:val="002C4997"/>
    <w:rsid w:val="002F7EE0"/>
    <w:rsid w:val="0030094A"/>
    <w:rsid w:val="00310233"/>
    <w:rsid w:val="00312281"/>
    <w:rsid w:val="00323FFD"/>
    <w:rsid w:val="00330009"/>
    <w:rsid w:val="003437D9"/>
    <w:rsid w:val="003522EE"/>
    <w:rsid w:val="00353521"/>
    <w:rsid w:val="00353F1D"/>
    <w:rsid w:val="00372672"/>
    <w:rsid w:val="00375B0E"/>
    <w:rsid w:val="003833B3"/>
    <w:rsid w:val="003A15C8"/>
    <w:rsid w:val="003B7751"/>
    <w:rsid w:val="003C13F1"/>
    <w:rsid w:val="003E66D2"/>
    <w:rsid w:val="00400588"/>
    <w:rsid w:val="00402466"/>
    <w:rsid w:val="00407FDA"/>
    <w:rsid w:val="004118FA"/>
    <w:rsid w:val="00420C58"/>
    <w:rsid w:val="00425842"/>
    <w:rsid w:val="00435140"/>
    <w:rsid w:val="00437672"/>
    <w:rsid w:val="004512D3"/>
    <w:rsid w:val="004525CB"/>
    <w:rsid w:val="00456CFF"/>
    <w:rsid w:val="0046395B"/>
    <w:rsid w:val="00463A37"/>
    <w:rsid w:val="004A4393"/>
    <w:rsid w:val="004C139A"/>
    <w:rsid w:val="004E4EE6"/>
    <w:rsid w:val="004E6CE4"/>
    <w:rsid w:val="004F34D1"/>
    <w:rsid w:val="00512EAB"/>
    <w:rsid w:val="00522B30"/>
    <w:rsid w:val="0052774E"/>
    <w:rsid w:val="005432D0"/>
    <w:rsid w:val="00546076"/>
    <w:rsid w:val="00547ACE"/>
    <w:rsid w:val="005507B0"/>
    <w:rsid w:val="00554A21"/>
    <w:rsid w:val="00556E0A"/>
    <w:rsid w:val="00562C0A"/>
    <w:rsid w:val="00563F2E"/>
    <w:rsid w:val="00564627"/>
    <w:rsid w:val="0057514F"/>
    <w:rsid w:val="00581B22"/>
    <w:rsid w:val="00590722"/>
    <w:rsid w:val="00592F5C"/>
    <w:rsid w:val="005B076D"/>
    <w:rsid w:val="005B3B95"/>
    <w:rsid w:val="005C5021"/>
    <w:rsid w:val="005C7272"/>
    <w:rsid w:val="005D2F1C"/>
    <w:rsid w:val="005D4C57"/>
    <w:rsid w:val="005D7AF6"/>
    <w:rsid w:val="006042B4"/>
    <w:rsid w:val="00614B85"/>
    <w:rsid w:val="00624613"/>
    <w:rsid w:val="00627608"/>
    <w:rsid w:val="00647F7C"/>
    <w:rsid w:val="0065530D"/>
    <w:rsid w:val="00655C1F"/>
    <w:rsid w:val="00657639"/>
    <w:rsid w:val="00672571"/>
    <w:rsid w:val="00694BD0"/>
    <w:rsid w:val="006972C5"/>
    <w:rsid w:val="006A04B6"/>
    <w:rsid w:val="006A6390"/>
    <w:rsid w:val="006D15D0"/>
    <w:rsid w:val="006D6CC1"/>
    <w:rsid w:val="006E03FF"/>
    <w:rsid w:val="006E237E"/>
    <w:rsid w:val="006E7397"/>
    <w:rsid w:val="006E7C94"/>
    <w:rsid w:val="006F05BA"/>
    <w:rsid w:val="006F1C39"/>
    <w:rsid w:val="006F3EF7"/>
    <w:rsid w:val="00705EFD"/>
    <w:rsid w:val="00711062"/>
    <w:rsid w:val="00716BCA"/>
    <w:rsid w:val="00720371"/>
    <w:rsid w:val="007210B9"/>
    <w:rsid w:val="0073654B"/>
    <w:rsid w:val="00742823"/>
    <w:rsid w:val="00743256"/>
    <w:rsid w:val="0074392C"/>
    <w:rsid w:val="00775EB2"/>
    <w:rsid w:val="00781A1D"/>
    <w:rsid w:val="00782A12"/>
    <w:rsid w:val="007851DB"/>
    <w:rsid w:val="007A6A1A"/>
    <w:rsid w:val="007C095D"/>
    <w:rsid w:val="007C3761"/>
    <w:rsid w:val="007D5CD5"/>
    <w:rsid w:val="007E55BA"/>
    <w:rsid w:val="00821B43"/>
    <w:rsid w:val="00831B89"/>
    <w:rsid w:val="00843EFF"/>
    <w:rsid w:val="008526F4"/>
    <w:rsid w:val="00853A73"/>
    <w:rsid w:val="00854AC5"/>
    <w:rsid w:val="00855290"/>
    <w:rsid w:val="008563C8"/>
    <w:rsid w:val="008573BF"/>
    <w:rsid w:val="00857482"/>
    <w:rsid w:val="0086792A"/>
    <w:rsid w:val="00873EB6"/>
    <w:rsid w:val="008A699B"/>
    <w:rsid w:val="008B0637"/>
    <w:rsid w:val="008C1ED7"/>
    <w:rsid w:val="008E2570"/>
    <w:rsid w:val="008E330F"/>
    <w:rsid w:val="008E5A82"/>
    <w:rsid w:val="008E6050"/>
    <w:rsid w:val="008E6574"/>
    <w:rsid w:val="008F6D18"/>
    <w:rsid w:val="00905F49"/>
    <w:rsid w:val="009072B7"/>
    <w:rsid w:val="00907E97"/>
    <w:rsid w:val="00911A75"/>
    <w:rsid w:val="009126F1"/>
    <w:rsid w:val="0091762E"/>
    <w:rsid w:val="009335F9"/>
    <w:rsid w:val="00933A28"/>
    <w:rsid w:val="00945135"/>
    <w:rsid w:val="00960B07"/>
    <w:rsid w:val="009A1604"/>
    <w:rsid w:val="009A2251"/>
    <w:rsid w:val="009D5A32"/>
    <w:rsid w:val="009D65DE"/>
    <w:rsid w:val="009F09BC"/>
    <w:rsid w:val="00A03F8F"/>
    <w:rsid w:val="00A054B6"/>
    <w:rsid w:val="00A23E82"/>
    <w:rsid w:val="00A61E9E"/>
    <w:rsid w:val="00A626EB"/>
    <w:rsid w:val="00AD316E"/>
    <w:rsid w:val="00AD63B4"/>
    <w:rsid w:val="00AF4BBC"/>
    <w:rsid w:val="00AF4EB9"/>
    <w:rsid w:val="00B047FA"/>
    <w:rsid w:val="00B07BF8"/>
    <w:rsid w:val="00B12329"/>
    <w:rsid w:val="00B277D5"/>
    <w:rsid w:val="00B47955"/>
    <w:rsid w:val="00B54047"/>
    <w:rsid w:val="00B71A96"/>
    <w:rsid w:val="00B77ECF"/>
    <w:rsid w:val="00BC040C"/>
    <w:rsid w:val="00BF3FB5"/>
    <w:rsid w:val="00C0715F"/>
    <w:rsid w:val="00C105CC"/>
    <w:rsid w:val="00C14F2A"/>
    <w:rsid w:val="00C21FAE"/>
    <w:rsid w:val="00C23EB6"/>
    <w:rsid w:val="00C30F47"/>
    <w:rsid w:val="00C41B2B"/>
    <w:rsid w:val="00C54D99"/>
    <w:rsid w:val="00C62EA3"/>
    <w:rsid w:val="00C674FC"/>
    <w:rsid w:val="00C85E64"/>
    <w:rsid w:val="00C87396"/>
    <w:rsid w:val="00C90814"/>
    <w:rsid w:val="00C91F0F"/>
    <w:rsid w:val="00CA1063"/>
    <w:rsid w:val="00CA3A63"/>
    <w:rsid w:val="00CC5B2F"/>
    <w:rsid w:val="00CF0D2B"/>
    <w:rsid w:val="00CF1B6E"/>
    <w:rsid w:val="00CF48B2"/>
    <w:rsid w:val="00D021A5"/>
    <w:rsid w:val="00D06ECC"/>
    <w:rsid w:val="00D16FC7"/>
    <w:rsid w:val="00D4403A"/>
    <w:rsid w:val="00D47231"/>
    <w:rsid w:val="00D6224B"/>
    <w:rsid w:val="00D81329"/>
    <w:rsid w:val="00DA6538"/>
    <w:rsid w:val="00DA6D37"/>
    <w:rsid w:val="00DA782E"/>
    <w:rsid w:val="00DB753F"/>
    <w:rsid w:val="00DC50EF"/>
    <w:rsid w:val="00DF0719"/>
    <w:rsid w:val="00E02175"/>
    <w:rsid w:val="00E118BA"/>
    <w:rsid w:val="00E17429"/>
    <w:rsid w:val="00E43FC8"/>
    <w:rsid w:val="00E54A61"/>
    <w:rsid w:val="00E54AAE"/>
    <w:rsid w:val="00E56172"/>
    <w:rsid w:val="00E5636B"/>
    <w:rsid w:val="00E566C9"/>
    <w:rsid w:val="00E56AF3"/>
    <w:rsid w:val="00E57A52"/>
    <w:rsid w:val="00E61DA9"/>
    <w:rsid w:val="00E80237"/>
    <w:rsid w:val="00E819F3"/>
    <w:rsid w:val="00E92E04"/>
    <w:rsid w:val="00EC67B8"/>
    <w:rsid w:val="00ED1D6B"/>
    <w:rsid w:val="00ED3A35"/>
    <w:rsid w:val="00ED6E75"/>
    <w:rsid w:val="00EF0CCB"/>
    <w:rsid w:val="00EF1D29"/>
    <w:rsid w:val="00F00FDA"/>
    <w:rsid w:val="00F0370D"/>
    <w:rsid w:val="00F2035F"/>
    <w:rsid w:val="00F24A04"/>
    <w:rsid w:val="00F255BA"/>
    <w:rsid w:val="00F30E97"/>
    <w:rsid w:val="00F35B0C"/>
    <w:rsid w:val="00F42ADB"/>
    <w:rsid w:val="00F61013"/>
    <w:rsid w:val="00F7371C"/>
    <w:rsid w:val="00F81B92"/>
    <w:rsid w:val="00F946B5"/>
    <w:rsid w:val="00FA3E72"/>
    <w:rsid w:val="00FC0A83"/>
    <w:rsid w:val="00FC38BE"/>
    <w:rsid w:val="00FD2FA4"/>
    <w:rsid w:val="00FD5ABA"/>
    <w:rsid w:val="00FE3FBE"/>
    <w:rsid w:val="00FE476D"/>
    <w:rsid w:val="00FE6761"/>
    <w:rsid w:val="00FF1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F116AE"/>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FF98-2D7B-4478-96DC-CE79E429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54</Pages>
  <Words>11670</Words>
  <Characters>64191</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Lenovo</cp:lastModifiedBy>
  <cp:revision>12</cp:revision>
  <cp:lastPrinted>2022-05-23T18:14:00Z</cp:lastPrinted>
  <dcterms:created xsi:type="dcterms:W3CDTF">2022-05-23T18:16:00Z</dcterms:created>
  <dcterms:modified xsi:type="dcterms:W3CDTF">2022-07-11T23:17:00Z</dcterms:modified>
</cp:coreProperties>
</file>