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6936B" w14:textId="66954231" w:rsidR="009142F1" w:rsidRPr="00BB3C89" w:rsidRDefault="00F37D93">
      <w:pPr>
        <w:spacing w:before="240" w:after="240" w:line="360" w:lineRule="auto"/>
        <w:ind w:right="49"/>
        <w:jc w:val="both"/>
        <w:rPr>
          <w:rFonts w:ascii="Palatino Linotype" w:eastAsia="Palatino Linotype" w:hAnsi="Palatino Linotype" w:cs="Palatino Linotype"/>
          <w:b/>
        </w:rPr>
      </w:pPr>
      <w:r w:rsidRPr="00BB3C8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0F53FE" w:rsidRPr="00BB3C89">
        <w:rPr>
          <w:rFonts w:ascii="Palatino Linotype" w:eastAsia="Palatino Linotype" w:hAnsi="Palatino Linotype" w:cs="Palatino Linotype"/>
          <w:b/>
        </w:rPr>
        <w:t>quince</w:t>
      </w:r>
      <w:r w:rsidRPr="00BB3C89">
        <w:rPr>
          <w:rFonts w:ascii="Palatino Linotype" w:eastAsia="Palatino Linotype" w:hAnsi="Palatino Linotype" w:cs="Palatino Linotype"/>
          <w:b/>
        </w:rPr>
        <w:t xml:space="preserve"> de </w:t>
      </w:r>
      <w:r w:rsidR="00BB3C89" w:rsidRPr="00BB3C89">
        <w:rPr>
          <w:rFonts w:ascii="Palatino Linotype" w:eastAsia="Palatino Linotype" w:hAnsi="Palatino Linotype" w:cs="Palatino Linotype"/>
          <w:b/>
        </w:rPr>
        <w:t>junio</w:t>
      </w:r>
      <w:r w:rsidRPr="00BB3C89">
        <w:rPr>
          <w:rFonts w:ascii="Palatino Linotype" w:eastAsia="Palatino Linotype" w:hAnsi="Palatino Linotype" w:cs="Palatino Linotype"/>
          <w:b/>
        </w:rPr>
        <w:t xml:space="preserve"> de dos mil veintidós</w:t>
      </w:r>
      <w:r w:rsidRPr="00BB3C89">
        <w:rPr>
          <w:rFonts w:ascii="Palatino Linotype" w:eastAsia="Palatino Linotype" w:hAnsi="Palatino Linotype" w:cs="Palatino Linotype"/>
        </w:rPr>
        <w:t>.</w:t>
      </w:r>
    </w:p>
    <w:p w14:paraId="0822241A" w14:textId="61E6DB8E" w:rsidR="009142F1" w:rsidRPr="00BB3C89" w:rsidRDefault="00F37D93">
      <w:pPr>
        <w:spacing w:before="240" w:after="240"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b/>
        </w:rPr>
        <w:t>Visto</w:t>
      </w:r>
      <w:r w:rsidRPr="00BB3C89">
        <w:rPr>
          <w:rFonts w:ascii="Palatino Linotype" w:eastAsia="Palatino Linotype" w:hAnsi="Palatino Linotype" w:cs="Palatino Linotype"/>
        </w:rPr>
        <w:t xml:space="preserve"> el expediente relativo al recurso de revisión </w:t>
      </w:r>
      <w:r w:rsidR="00D03E14" w:rsidRPr="00BB3C89">
        <w:rPr>
          <w:rFonts w:ascii="Palatino Linotype" w:eastAsia="Palatino Linotype" w:hAnsi="Palatino Linotype" w:cs="Palatino Linotype"/>
          <w:b/>
          <w:sz w:val="22"/>
          <w:szCs w:val="22"/>
        </w:rPr>
        <w:t>03429</w:t>
      </w:r>
      <w:r w:rsidRPr="00BB3C89">
        <w:rPr>
          <w:rFonts w:ascii="Palatino Linotype" w:eastAsia="Palatino Linotype" w:hAnsi="Palatino Linotype" w:cs="Palatino Linotype"/>
          <w:b/>
          <w:sz w:val="22"/>
          <w:szCs w:val="22"/>
        </w:rPr>
        <w:t>/INFOEM/IP/RR/202</w:t>
      </w:r>
      <w:r w:rsidRPr="00BB3C89">
        <w:rPr>
          <w:rFonts w:ascii="Palatino Linotype" w:eastAsia="Palatino Linotype" w:hAnsi="Palatino Linotype" w:cs="Palatino Linotype"/>
          <w:b/>
          <w:sz w:val="20"/>
          <w:szCs w:val="20"/>
        </w:rPr>
        <w:t>2</w:t>
      </w:r>
      <w:r w:rsidRPr="00BB3C89">
        <w:rPr>
          <w:rFonts w:ascii="Palatino Linotype" w:eastAsia="Palatino Linotype" w:hAnsi="Palatino Linotype" w:cs="Palatino Linotype"/>
          <w:b/>
          <w:sz w:val="22"/>
          <w:szCs w:val="22"/>
        </w:rPr>
        <w:t xml:space="preserve">, </w:t>
      </w:r>
      <w:r w:rsidRPr="00BB3C89">
        <w:rPr>
          <w:rFonts w:ascii="Palatino Linotype" w:eastAsia="Palatino Linotype" w:hAnsi="Palatino Linotype" w:cs="Palatino Linotype"/>
        </w:rPr>
        <w:t>interpuesto por</w:t>
      </w:r>
      <w:r w:rsidRPr="00BB3C89">
        <w:rPr>
          <w:rFonts w:ascii="Palatino Linotype" w:eastAsia="Palatino Linotype" w:hAnsi="Palatino Linotype" w:cs="Palatino Linotype"/>
          <w:b/>
          <w:color w:val="000000"/>
        </w:rPr>
        <w:t xml:space="preserve"> </w:t>
      </w:r>
      <w:r w:rsidR="004553B3">
        <w:rPr>
          <w:rFonts w:ascii="Palatino Linotype" w:eastAsia="Palatino Linotype" w:hAnsi="Palatino Linotype" w:cs="Palatino Linotype"/>
          <w:b/>
          <w:sz w:val="22"/>
          <w:szCs w:val="22"/>
        </w:rPr>
        <w:t>XXXX XXXXX XXXX</w:t>
      </w:r>
      <w:r w:rsidRPr="00BB3C89">
        <w:rPr>
          <w:rFonts w:ascii="Palatino Linotype" w:eastAsia="Palatino Linotype" w:hAnsi="Palatino Linotype" w:cs="Palatino Linotype"/>
          <w:b/>
          <w:color w:val="000000"/>
        </w:rPr>
        <w:t xml:space="preserve">, </w:t>
      </w:r>
      <w:r w:rsidRPr="00BB3C89">
        <w:rPr>
          <w:rFonts w:ascii="Palatino Linotype" w:eastAsia="Palatino Linotype" w:hAnsi="Palatino Linotype" w:cs="Palatino Linotype"/>
        </w:rPr>
        <w:t xml:space="preserve">a quien en lo sucesivo se le denominará </w:t>
      </w:r>
      <w:r w:rsidRPr="00BB3C89">
        <w:rPr>
          <w:rFonts w:ascii="Palatino Linotype" w:eastAsia="Palatino Linotype" w:hAnsi="Palatino Linotype" w:cs="Palatino Linotype"/>
          <w:b/>
        </w:rPr>
        <w:t>el</w:t>
      </w:r>
      <w:r w:rsidRPr="00BB3C89">
        <w:rPr>
          <w:rFonts w:ascii="Palatino Linotype" w:eastAsia="Palatino Linotype" w:hAnsi="Palatino Linotype" w:cs="Palatino Linotype"/>
        </w:rPr>
        <w:t xml:space="preserve"> </w:t>
      </w:r>
      <w:r w:rsidRPr="00BB3C89">
        <w:rPr>
          <w:rFonts w:ascii="Palatino Linotype" w:eastAsia="Palatino Linotype" w:hAnsi="Palatino Linotype" w:cs="Palatino Linotype"/>
          <w:b/>
        </w:rPr>
        <w:t>Recurrente</w:t>
      </w:r>
      <w:r w:rsidRPr="00BB3C89">
        <w:rPr>
          <w:rFonts w:ascii="Palatino Linotype" w:eastAsia="Palatino Linotype" w:hAnsi="Palatino Linotype" w:cs="Palatino Linotype"/>
          <w:b/>
          <w:i/>
        </w:rPr>
        <w:t xml:space="preserve"> </w:t>
      </w:r>
      <w:r w:rsidRPr="00BB3C89">
        <w:rPr>
          <w:rFonts w:ascii="Palatino Linotype" w:eastAsia="Palatino Linotype" w:hAnsi="Palatino Linotype" w:cs="Palatino Linotype"/>
        </w:rPr>
        <w:t>en contra de la falta de respuesta a la solicitud de información con número de folio</w:t>
      </w:r>
      <w:r w:rsidRPr="00BB3C89">
        <w:rPr>
          <w:rFonts w:ascii="Palatino Linotype" w:eastAsia="Palatino Linotype" w:hAnsi="Palatino Linotype" w:cs="Palatino Linotype"/>
          <w:b/>
          <w:color w:val="000000"/>
          <w:sz w:val="22"/>
          <w:szCs w:val="22"/>
        </w:rPr>
        <w:t xml:space="preserve"> </w:t>
      </w:r>
      <w:r w:rsidR="00D03E14" w:rsidRPr="00BB3C89">
        <w:rPr>
          <w:rFonts w:ascii="Palatino Linotype" w:eastAsia="Palatino Linotype" w:hAnsi="Palatino Linotype" w:cs="Palatino Linotype"/>
          <w:b/>
          <w:color w:val="000000"/>
          <w:sz w:val="22"/>
          <w:szCs w:val="22"/>
        </w:rPr>
        <w:t>00104/NAUCALPA/IP/2022</w:t>
      </w:r>
      <w:r w:rsidRPr="00BB3C89">
        <w:rPr>
          <w:rFonts w:ascii="Palatino Linotype" w:eastAsia="Palatino Linotype" w:hAnsi="Palatino Linotype" w:cs="Palatino Linotype"/>
        </w:rPr>
        <w:t xml:space="preserve">, del </w:t>
      </w:r>
      <w:r w:rsidR="00D03E14" w:rsidRPr="00BB3C89">
        <w:rPr>
          <w:rFonts w:ascii="Palatino Linotype" w:eastAsia="Palatino Linotype" w:hAnsi="Palatino Linotype" w:cs="Palatino Linotype"/>
          <w:b/>
        </w:rPr>
        <w:t>Ayuntamiento de Naucalpan de Juárez</w:t>
      </w:r>
      <w:r w:rsidRPr="00BB3C89">
        <w:rPr>
          <w:rFonts w:ascii="Palatino Linotype" w:eastAsia="Palatino Linotype" w:hAnsi="Palatino Linotype" w:cs="Palatino Linotype"/>
        </w:rPr>
        <w:t xml:space="preserve">, en lo sucesivo el </w:t>
      </w:r>
      <w:r w:rsidR="002D241B" w:rsidRPr="00BB3C89">
        <w:rPr>
          <w:rFonts w:ascii="Palatino Linotype" w:eastAsia="Palatino Linotype" w:hAnsi="Palatino Linotype" w:cs="Palatino Linotype"/>
          <w:b/>
        </w:rPr>
        <w:t>SUJETO OBLIGADO</w:t>
      </w:r>
      <w:r w:rsidRPr="00BB3C89">
        <w:rPr>
          <w:rFonts w:ascii="Palatino Linotype" w:eastAsia="Palatino Linotype" w:hAnsi="Palatino Linotype" w:cs="Palatino Linotype"/>
        </w:rPr>
        <w:t>;</w:t>
      </w:r>
      <w:r w:rsidRPr="00BB3C89">
        <w:rPr>
          <w:rFonts w:ascii="Palatino Linotype" w:eastAsia="Palatino Linotype" w:hAnsi="Palatino Linotype" w:cs="Palatino Linotype"/>
          <w:b/>
        </w:rPr>
        <w:t xml:space="preserve"> </w:t>
      </w:r>
      <w:r w:rsidRPr="00BB3C89">
        <w:rPr>
          <w:rFonts w:ascii="Palatino Linotype" w:eastAsia="Palatino Linotype" w:hAnsi="Palatino Linotype" w:cs="Palatino Linotype"/>
        </w:rPr>
        <w:t>se procede a dictar la presente resolución, con base en lo siguiente.</w:t>
      </w:r>
    </w:p>
    <w:p w14:paraId="20CF9DB6" w14:textId="77777777" w:rsidR="009142F1" w:rsidRPr="00BB3C89" w:rsidRDefault="00F37D93">
      <w:pPr>
        <w:keepNext/>
        <w:keepLines/>
        <w:spacing w:before="40"/>
        <w:jc w:val="center"/>
        <w:rPr>
          <w:rFonts w:ascii="Palatino Linotype" w:eastAsia="Palatino Linotype" w:hAnsi="Palatino Linotype" w:cs="Palatino Linotype"/>
          <w:b/>
        </w:rPr>
      </w:pPr>
      <w:r w:rsidRPr="00BB3C89">
        <w:rPr>
          <w:rFonts w:ascii="Palatino Linotype" w:eastAsia="Palatino Linotype" w:hAnsi="Palatino Linotype" w:cs="Palatino Linotype"/>
          <w:b/>
        </w:rPr>
        <w:t>I. A N T E C E D E N T E S:</w:t>
      </w:r>
    </w:p>
    <w:p w14:paraId="57E225A9" w14:textId="77777777" w:rsidR="009142F1" w:rsidRPr="00BB3C89" w:rsidRDefault="00F37D93">
      <w:pPr>
        <w:spacing w:before="240" w:after="240"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b/>
        </w:rPr>
        <w:t>1. Solicitud de acceso a la información.</w:t>
      </w:r>
      <w:r w:rsidRPr="00BB3C89">
        <w:rPr>
          <w:rFonts w:ascii="Palatino Linotype" w:eastAsia="Palatino Linotype" w:hAnsi="Palatino Linotype" w:cs="Palatino Linotype"/>
          <w:b/>
          <w:sz w:val="28"/>
          <w:szCs w:val="28"/>
        </w:rPr>
        <w:t xml:space="preserve"> </w:t>
      </w:r>
      <w:r w:rsidRPr="00BB3C89">
        <w:rPr>
          <w:rFonts w:ascii="Palatino Linotype" w:eastAsia="Palatino Linotype" w:hAnsi="Palatino Linotype" w:cs="Palatino Linotype"/>
        </w:rPr>
        <w:t xml:space="preserve">En fecha </w:t>
      </w:r>
      <w:r w:rsidR="00D03E14" w:rsidRPr="00BB3C89">
        <w:rPr>
          <w:rFonts w:ascii="Palatino Linotype" w:eastAsia="Palatino Linotype" w:hAnsi="Palatino Linotype" w:cs="Palatino Linotype"/>
          <w:b/>
        </w:rPr>
        <w:t>primero</w:t>
      </w:r>
      <w:r w:rsidRPr="00BB3C89">
        <w:rPr>
          <w:rFonts w:ascii="Palatino Linotype" w:eastAsia="Palatino Linotype" w:hAnsi="Palatino Linotype" w:cs="Palatino Linotype"/>
          <w:b/>
        </w:rPr>
        <w:t xml:space="preserve"> </w:t>
      </w:r>
      <w:r w:rsidR="00D03E14" w:rsidRPr="00BB3C89">
        <w:rPr>
          <w:rFonts w:ascii="Palatino Linotype" w:eastAsia="Palatino Linotype" w:hAnsi="Palatino Linotype" w:cs="Palatino Linotype"/>
          <w:b/>
          <w:color w:val="000000"/>
        </w:rPr>
        <w:t>de febrero</w:t>
      </w:r>
      <w:r w:rsidRPr="00BB3C89">
        <w:rPr>
          <w:rFonts w:ascii="Palatino Linotype" w:eastAsia="Palatino Linotype" w:hAnsi="Palatino Linotype" w:cs="Palatino Linotype"/>
          <w:color w:val="000000"/>
        </w:rPr>
        <w:t xml:space="preserve"> </w:t>
      </w:r>
      <w:r w:rsidR="00D03E14" w:rsidRPr="00BB3C89">
        <w:rPr>
          <w:rFonts w:ascii="Palatino Linotype" w:eastAsia="Palatino Linotype" w:hAnsi="Palatino Linotype" w:cs="Palatino Linotype"/>
          <w:b/>
        </w:rPr>
        <w:t>de dos mil veintidós</w:t>
      </w:r>
      <w:r w:rsidRPr="00BB3C89">
        <w:rPr>
          <w:rFonts w:ascii="Palatino Linotype" w:eastAsia="Palatino Linotype" w:hAnsi="Palatino Linotype" w:cs="Palatino Linotype"/>
        </w:rPr>
        <w:t xml:space="preserve">, </w:t>
      </w:r>
      <w:r w:rsidRPr="00BB3C89">
        <w:rPr>
          <w:rFonts w:ascii="Palatino Linotype" w:eastAsia="Palatino Linotype" w:hAnsi="Palatino Linotype" w:cs="Palatino Linotype"/>
          <w:b/>
        </w:rPr>
        <w:t>el</w:t>
      </w:r>
      <w:r w:rsidRPr="00BB3C89">
        <w:rPr>
          <w:rFonts w:ascii="Palatino Linotype" w:eastAsia="Palatino Linotype" w:hAnsi="Palatino Linotype" w:cs="Palatino Linotype"/>
        </w:rPr>
        <w:t xml:space="preserve"> </w:t>
      </w:r>
      <w:r w:rsidRPr="00BB3C89">
        <w:rPr>
          <w:rFonts w:ascii="Palatino Linotype" w:eastAsia="Palatino Linotype" w:hAnsi="Palatino Linotype" w:cs="Palatino Linotype"/>
          <w:b/>
        </w:rPr>
        <w:t>Recurrente</w:t>
      </w:r>
      <w:r w:rsidRPr="00BB3C89">
        <w:rPr>
          <w:rFonts w:ascii="Palatino Linotype" w:eastAsia="Palatino Linotype" w:hAnsi="Palatino Linotype" w:cs="Palatino Linotype"/>
        </w:rPr>
        <w:t xml:space="preserve"> formuló su solicitud de acceso a la información pública ante el </w:t>
      </w:r>
      <w:r w:rsidR="002D241B" w:rsidRPr="00BB3C89">
        <w:rPr>
          <w:rFonts w:ascii="Palatino Linotype" w:eastAsia="Palatino Linotype" w:hAnsi="Palatino Linotype" w:cs="Palatino Linotype"/>
          <w:b/>
        </w:rPr>
        <w:t>SUJETO OBLIGADO</w:t>
      </w:r>
      <w:r w:rsidR="002D241B" w:rsidRPr="00BB3C89">
        <w:rPr>
          <w:rFonts w:ascii="Palatino Linotype" w:eastAsia="Palatino Linotype" w:hAnsi="Palatino Linotype" w:cs="Palatino Linotype"/>
        </w:rPr>
        <w:t xml:space="preserve"> </w:t>
      </w:r>
      <w:r w:rsidRPr="00BB3C89">
        <w:rPr>
          <w:rFonts w:ascii="Palatino Linotype" w:eastAsia="Palatino Linotype" w:hAnsi="Palatino Linotype" w:cs="Palatino Linotype"/>
        </w:rPr>
        <w:t xml:space="preserve">a través del Sistema de Acceso a la Información Mexiquense, en adelante </w:t>
      </w:r>
      <w:r w:rsidRPr="00BB3C89">
        <w:rPr>
          <w:rFonts w:ascii="Palatino Linotype" w:eastAsia="Palatino Linotype" w:hAnsi="Palatino Linotype" w:cs="Palatino Linotype"/>
          <w:b/>
        </w:rPr>
        <w:t>SAIMEX,</w:t>
      </w:r>
      <w:r w:rsidRPr="00BB3C89">
        <w:rPr>
          <w:rFonts w:ascii="Palatino Linotype" w:eastAsia="Palatino Linotype" w:hAnsi="Palatino Linotype" w:cs="Palatino Linotype"/>
        </w:rPr>
        <w:t xml:space="preserve"> requiriendo lo siguiente:</w:t>
      </w:r>
    </w:p>
    <w:p w14:paraId="19CB965E" w14:textId="77777777" w:rsidR="009142F1" w:rsidRPr="00BB3C89" w:rsidRDefault="00F37D93">
      <w:pPr>
        <w:spacing w:before="240" w:after="240"/>
        <w:ind w:left="567" w:right="900"/>
        <w:jc w:val="both"/>
        <w:rPr>
          <w:rFonts w:ascii="Palatino Linotype" w:eastAsia="Palatino Linotype" w:hAnsi="Palatino Linotype" w:cs="Palatino Linotype"/>
          <w:i/>
          <w:color w:val="000000"/>
          <w:sz w:val="22"/>
          <w:szCs w:val="22"/>
        </w:rPr>
      </w:pPr>
      <w:r w:rsidRPr="00BB3C89">
        <w:rPr>
          <w:rFonts w:ascii="Palatino Linotype" w:eastAsia="Palatino Linotype" w:hAnsi="Palatino Linotype" w:cs="Palatino Linotype"/>
          <w:i/>
          <w:color w:val="000000"/>
          <w:sz w:val="22"/>
          <w:szCs w:val="22"/>
        </w:rPr>
        <w:t>“</w:t>
      </w:r>
      <w:r w:rsidR="00D03E14" w:rsidRPr="00BB3C89">
        <w:rPr>
          <w:rFonts w:ascii="Palatino Linotype" w:eastAsia="Palatino Linotype" w:hAnsi="Palatino Linotype" w:cs="Palatino Linotype"/>
          <w:i/>
          <w:color w:val="000000"/>
          <w:sz w:val="22"/>
          <w:szCs w:val="22"/>
        </w:rPr>
        <w:t>QUIERO EN VERSIÓN PÚBLICA EL ACTA FINAL O DE CONCLUSIÓN DE GESTIÓN MUNICIPAL QUE RECIBIÓ LA DIRECTORA DE ADMINISTRACIÓN Y FINANZAS.</w:t>
      </w:r>
      <w:r w:rsidRPr="00BB3C89">
        <w:rPr>
          <w:rFonts w:ascii="Palatino Linotype" w:eastAsia="Palatino Linotype" w:hAnsi="Palatino Linotype" w:cs="Palatino Linotype"/>
          <w:i/>
          <w:color w:val="000000"/>
          <w:sz w:val="22"/>
          <w:szCs w:val="22"/>
        </w:rPr>
        <w:t>” (Sic)</w:t>
      </w:r>
    </w:p>
    <w:p w14:paraId="3254630D" w14:textId="77777777" w:rsidR="009142F1" w:rsidRPr="00BB3C89" w:rsidRDefault="00F37D93">
      <w:pPr>
        <w:spacing w:before="240" w:after="240"/>
        <w:ind w:right="900"/>
        <w:jc w:val="both"/>
        <w:rPr>
          <w:rFonts w:ascii="Palatino Linotype" w:eastAsia="Palatino Linotype" w:hAnsi="Palatino Linotype" w:cs="Palatino Linotype"/>
          <w:i/>
          <w:color w:val="000000"/>
        </w:rPr>
      </w:pPr>
      <w:r w:rsidRPr="00BB3C89">
        <w:rPr>
          <w:rFonts w:ascii="Palatino Linotype" w:eastAsia="Palatino Linotype" w:hAnsi="Palatino Linotype" w:cs="Palatino Linotype"/>
          <w:b/>
          <w:color w:val="000000"/>
        </w:rPr>
        <w:t>Modalidad de entrega de la información:</w:t>
      </w:r>
      <w:r w:rsidRPr="00BB3C89">
        <w:rPr>
          <w:rFonts w:ascii="Palatino Linotype" w:eastAsia="Palatino Linotype" w:hAnsi="Palatino Linotype" w:cs="Palatino Linotype"/>
          <w:color w:val="000000"/>
        </w:rPr>
        <w:t xml:space="preserve"> A través del </w:t>
      </w:r>
      <w:r w:rsidRPr="00BB3C89">
        <w:rPr>
          <w:rFonts w:ascii="Palatino Linotype" w:eastAsia="Palatino Linotype" w:hAnsi="Palatino Linotype" w:cs="Palatino Linotype"/>
          <w:b/>
        </w:rPr>
        <w:t>SAIMEX.</w:t>
      </w:r>
    </w:p>
    <w:p w14:paraId="6A68A776" w14:textId="77777777" w:rsidR="009142F1" w:rsidRPr="00BB3C89" w:rsidRDefault="00F37D93">
      <w:pPr>
        <w:spacing w:before="240" w:after="240"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b/>
        </w:rPr>
        <w:lastRenderedPageBreak/>
        <w:t>2. Respuesta.</w:t>
      </w:r>
      <w:r w:rsidRPr="00BB3C89">
        <w:rPr>
          <w:rFonts w:ascii="Palatino Linotype" w:eastAsia="Palatino Linotype" w:hAnsi="Palatino Linotype" w:cs="Palatino Linotype"/>
          <w:b/>
          <w:sz w:val="22"/>
          <w:szCs w:val="22"/>
        </w:rPr>
        <w:t xml:space="preserve"> </w:t>
      </w:r>
      <w:r w:rsidRPr="00BB3C89">
        <w:rPr>
          <w:rFonts w:ascii="Palatino Linotype" w:eastAsia="Palatino Linotype" w:hAnsi="Palatino Linotype" w:cs="Palatino Linotype"/>
        </w:rPr>
        <w:t xml:space="preserve">Con base en el detalle de seguimiento que obra en el </w:t>
      </w:r>
      <w:r w:rsidRPr="00BB3C89">
        <w:rPr>
          <w:rFonts w:ascii="Palatino Linotype" w:eastAsia="Palatino Linotype" w:hAnsi="Palatino Linotype" w:cs="Palatino Linotype"/>
          <w:b/>
        </w:rPr>
        <w:t xml:space="preserve">SAIMEX, </w:t>
      </w:r>
      <w:r w:rsidRPr="00BB3C89">
        <w:rPr>
          <w:rFonts w:ascii="Palatino Linotype" w:eastAsia="Palatino Linotype" w:hAnsi="Palatino Linotype" w:cs="Palatino Linotype"/>
        </w:rPr>
        <w:t xml:space="preserve">se advierte que el </w:t>
      </w:r>
      <w:r w:rsidR="002D241B" w:rsidRPr="00BB3C89">
        <w:rPr>
          <w:rFonts w:ascii="Palatino Linotype" w:eastAsia="Palatino Linotype" w:hAnsi="Palatino Linotype" w:cs="Palatino Linotype"/>
          <w:b/>
        </w:rPr>
        <w:t xml:space="preserve">SUJETO OBLIGADO </w:t>
      </w:r>
      <w:r w:rsidRPr="00BB3C89">
        <w:rPr>
          <w:rFonts w:ascii="Palatino Linotype" w:eastAsia="Palatino Linotype" w:hAnsi="Palatino Linotype" w:cs="Palatino Linotype"/>
        </w:rPr>
        <w:t>omitió dar contestación a la solicitud de acceso a la información pública.</w:t>
      </w:r>
    </w:p>
    <w:p w14:paraId="4BED4D7B" w14:textId="77777777" w:rsidR="009142F1" w:rsidRPr="00BB3C89" w:rsidRDefault="00F37D93">
      <w:pPr>
        <w:spacing w:before="240" w:after="240"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b/>
        </w:rPr>
        <w:t>3. Recurso de revisión.</w:t>
      </w:r>
      <w:r w:rsidRPr="00BB3C89">
        <w:rPr>
          <w:rFonts w:ascii="Palatino Linotype" w:eastAsia="Palatino Linotype" w:hAnsi="Palatino Linotype" w:cs="Palatino Linotype"/>
          <w:b/>
          <w:sz w:val="22"/>
          <w:szCs w:val="22"/>
        </w:rPr>
        <w:t xml:space="preserve"> </w:t>
      </w:r>
      <w:r w:rsidRPr="00BB3C89">
        <w:rPr>
          <w:rFonts w:ascii="Palatino Linotype" w:eastAsia="Palatino Linotype" w:hAnsi="Palatino Linotype" w:cs="Palatino Linotype"/>
        </w:rPr>
        <w:t xml:space="preserve">El recurso de revisión se interpuso a través del SAIMEX, en fecha </w:t>
      </w:r>
      <w:r w:rsidR="008634FB" w:rsidRPr="00BB3C89">
        <w:rPr>
          <w:rFonts w:ascii="Palatino Linotype" w:eastAsia="Palatino Linotype" w:hAnsi="Palatino Linotype" w:cs="Palatino Linotype"/>
          <w:b/>
        </w:rPr>
        <w:t>cinco</w:t>
      </w:r>
      <w:r w:rsidRPr="00BB3C89">
        <w:rPr>
          <w:rFonts w:ascii="Palatino Linotype" w:eastAsia="Palatino Linotype" w:hAnsi="Palatino Linotype" w:cs="Palatino Linotype"/>
          <w:b/>
        </w:rPr>
        <w:t xml:space="preserve"> </w:t>
      </w:r>
      <w:r w:rsidR="008634FB" w:rsidRPr="00BB3C89">
        <w:rPr>
          <w:rFonts w:ascii="Palatino Linotype" w:eastAsia="Palatino Linotype" w:hAnsi="Palatino Linotype" w:cs="Palatino Linotype"/>
          <w:b/>
          <w:color w:val="000000"/>
        </w:rPr>
        <w:t>de marzo</w:t>
      </w:r>
      <w:r w:rsidRPr="00BB3C89">
        <w:rPr>
          <w:rFonts w:ascii="Palatino Linotype" w:eastAsia="Palatino Linotype" w:hAnsi="Palatino Linotype" w:cs="Palatino Linotype"/>
          <w:b/>
          <w:color w:val="000000"/>
        </w:rPr>
        <w:t xml:space="preserve"> del año dos mil veintidós</w:t>
      </w:r>
      <w:r w:rsidRPr="00BB3C89">
        <w:rPr>
          <w:rFonts w:ascii="Palatino Linotype" w:eastAsia="Palatino Linotype" w:hAnsi="Palatino Linotype" w:cs="Palatino Linotype"/>
        </w:rPr>
        <w:t>, por</w:t>
      </w:r>
      <w:r w:rsidR="000F53FE" w:rsidRPr="00BB3C89">
        <w:rPr>
          <w:rFonts w:ascii="Palatino Linotype" w:eastAsia="Palatino Linotype" w:hAnsi="Palatino Linotype" w:cs="Palatino Linotype"/>
        </w:rPr>
        <w:t xml:space="preserve"> parte del</w:t>
      </w:r>
      <w:r w:rsidRPr="00BB3C89">
        <w:rPr>
          <w:rFonts w:ascii="Palatino Linotype" w:eastAsia="Palatino Linotype" w:hAnsi="Palatino Linotype" w:cs="Palatino Linotype"/>
        </w:rPr>
        <w:t xml:space="preserve"> solicitante de información, expresando lo siguiente:</w:t>
      </w:r>
    </w:p>
    <w:p w14:paraId="69C24BEF" w14:textId="77777777" w:rsidR="009142F1" w:rsidRPr="00BB3C89" w:rsidRDefault="00F37D93">
      <w:pPr>
        <w:spacing w:before="240" w:after="240" w:line="360" w:lineRule="auto"/>
        <w:ind w:left="567"/>
        <w:rPr>
          <w:rFonts w:ascii="Palatino Linotype" w:eastAsia="Palatino Linotype" w:hAnsi="Palatino Linotype" w:cs="Palatino Linotype"/>
          <w:b/>
        </w:rPr>
      </w:pPr>
      <w:r w:rsidRPr="00BB3C89">
        <w:rPr>
          <w:rFonts w:ascii="Palatino Linotype" w:eastAsia="Palatino Linotype" w:hAnsi="Palatino Linotype" w:cs="Palatino Linotype"/>
          <w:b/>
        </w:rPr>
        <w:t>a) Acto impugnado.</w:t>
      </w:r>
    </w:p>
    <w:p w14:paraId="5DE81160" w14:textId="77777777" w:rsidR="009142F1" w:rsidRPr="00BB3C89" w:rsidRDefault="00F37D93">
      <w:pPr>
        <w:spacing w:before="240" w:after="240"/>
        <w:ind w:left="567" w:right="709"/>
        <w:jc w:val="both"/>
        <w:rPr>
          <w:rFonts w:ascii="Palatino Linotype" w:eastAsia="Palatino Linotype" w:hAnsi="Palatino Linotype" w:cs="Palatino Linotype"/>
          <w:sz w:val="22"/>
          <w:szCs w:val="22"/>
        </w:rPr>
      </w:pPr>
      <w:r w:rsidRPr="00BB3C89">
        <w:rPr>
          <w:rFonts w:ascii="Palatino Linotype" w:eastAsia="Palatino Linotype" w:hAnsi="Palatino Linotype" w:cs="Palatino Linotype"/>
          <w:i/>
          <w:color w:val="000000"/>
          <w:sz w:val="22"/>
          <w:szCs w:val="22"/>
        </w:rPr>
        <w:t>“</w:t>
      </w:r>
      <w:r w:rsidR="008634FB" w:rsidRPr="00BB3C89">
        <w:rPr>
          <w:rFonts w:ascii="Palatino Linotype" w:eastAsia="Palatino Linotype" w:hAnsi="Palatino Linotype" w:cs="Palatino Linotype"/>
          <w:i/>
          <w:color w:val="000000"/>
          <w:sz w:val="22"/>
          <w:szCs w:val="22"/>
        </w:rPr>
        <w:t>No atendieron mi solicitud</w:t>
      </w:r>
      <w:r w:rsidRPr="00BB3C89">
        <w:rPr>
          <w:rFonts w:ascii="Palatino Linotype" w:eastAsia="Palatino Linotype" w:hAnsi="Palatino Linotype" w:cs="Palatino Linotype"/>
          <w:i/>
          <w:color w:val="000000"/>
          <w:sz w:val="22"/>
          <w:szCs w:val="22"/>
        </w:rPr>
        <w:t>.”</w:t>
      </w:r>
      <w:r w:rsidRPr="00BB3C89">
        <w:rPr>
          <w:rFonts w:ascii="Palatino Linotype" w:eastAsia="Palatino Linotype" w:hAnsi="Palatino Linotype" w:cs="Palatino Linotype"/>
          <w:i/>
          <w:sz w:val="22"/>
          <w:szCs w:val="22"/>
        </w:rPr>
        <w:t xml:space="preserve"> (Sic)</w:t>
      </w:r>
    </w:p>
    <w:p w14:paraId="2AEF6BE3" w14:textId="77777777" w:rsidR="009142F1" w:rsidRPr="00BB3C89" w:rsidRDefault="00F37D93">
      <w:pPr>
        <w:spacing w:before="240" w:after="240" w:line="360" w:lineRule="auto"/>
        <w:ind w:left="567"/>
        <w:jc w:val="both"/>
        <w:rPr>
          <w:rFonts w:ascii="Palatino Linotype" w:eastAsia="Palatino Linotype" w:hAnsi="Palatino Linotype" w:cs="Palatino Linotype"/>
          <w:b/>
        </w:rPr>
      </w:pPr>
      <w:r w:rsidRPr="00BB3C89">
        <w:rPr>
          <w:rFonts w:ascii="Palatino Linotype" w:eastAsia="Palatino Linotype" w:hAnsi="Palatino Linotype" w:cs="Palatino Linotype"/>
          <w:b/>
        </w:rPr>
        <w:t>b) Razones o Motivos de inconformidad.</w:t>
      </w:r>
    </w:p>
    <w:p w14:paraId="3E0ABF67" w14:textId="77777777" w:rsidR="009142F1" w:rsidRPr="00BB3C89" w:rsidRDefault="00F37D93">
      <w:pPr>
        <w:spacing w:before="240" w:after="240"/>
        <w:ind w:left="567" w:right="709"/>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i/>
          <w:color w:val="000000"/>
          <w:sz w:val="22"/>
          <w:szCs w:val="22"/>
        </w:rPr>
        <w:t>“</w:t>
      </w:r>
      <w:r w:rsidR="008634FB" w:rsidRPr="00BB3C89">
        <w:rPr>
          <w:rFonts w:ascii="Palatino Linotype" w:eastAsia="Palatino Linotype" w:hAnsi="Palatino Linotype" w:cs="Palatino Linotype"/>
          <w:b/>
          <w:i/>
          <w:color w:val="000000"/>
          <w:sz w:val="22"/>
          <w:szCs w:val="22"/>
          <w:u w:val="single"/>
        </w:rPr>
        <w:t>No atendieron mi solicitud “</w:t>
      </w:r>
      <w:r w:rsidRPr="00BB3C89">
        <w:rPr>
          <w:rFonts w:ascii="Palatino Linotype" w:eastAsia="Palatino Linotype" w:hAnsi="Palatino Linotype" w:cs="Palatino Linotype"/>
          <w:i/>
          <w:sz w:val="22"/>
          <w:szCs w:val="22"/>
        </w:rPr>
        <w:t>(Sic) (Énfasis añadido)</w:t>
      </w:r>
    </w:p>
    <w:p w14:paraId="3D5DA763" w14:textId="77777777" w:rsidR="008634FB" w:rsidRPr="00BB3C89" w:rsidRDefault="008634FB">
      <w:pPr>
        <w:spacing w:line="360" w:lineRule="auto"/>
        <w:jc w:val="both"/>
        <w:rPr>
          <w:rFonts w:ascii="Palatino Linotype" w:eastAsia="Palatino Linotype" w:hAnsi="Palatino Linotype" w:cs="Palatino Linotype"/>
          <w:b/>
        </w:rPr>
      </w:pPr>
    </w:p>
    <w:p w14:paraId="4CEB5A0E" w14:textId="77777777" w:rsidR="008634FB" w:rsidRPr="00BB3C89" w:rsidRDefault="008634FB">
      <w:pPr>
        <w:spacing w:line="360" w:lineRule="auto"/>
        <w:jc w:val="both"/>
        <w:rPr>
          <w:rFonts w:ascii="Palatino Linotype" w:eastAsia="Palatino Linotype" w:hAnsi="Palatino Linotype" w:cs="Palatino Linotype"/>
          <w:b/>
        </w:rPr>
      </w:pPr>
    </w:p>
    <w:p w14:paraId="7BEAA3CC" w14:textId="77777777" w:rsidR="009142F1" w:rsidRPr="00BB3C89" w:rsidRDefault="00F37D93">
      <w:pPr>
        <w:spacing w:line="360" w:lineRule="auto"/>
        <w:jc w:val="both"/>
        <w:rPr>
          <w:rFonts w:ascii="Palatino Linotype" w:eastAsia="Palatino Linotype" w:hAnsi="Palatino Linotype" w:cs="Palatino Linotype"/>
          <w:b/>
        </w:rPr>
      </w:pPr>
      <w:r w:rsidRPr="00BB3C89">
        <w:rPr>
          <w:rFonts w:ascii="Palatino Linotype" w:eastAsia="Palatino Linotype" w:hAnsi="Palatino Linotype" w:cs="Palatino Linotype"/>
          <w:b/>
        </w:rPr>
        <w:t xml:space="preserve">4. Turno. </w:t>
      </w:r>
      <w:r w:rsidRPr="00BB3C8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recurso de revisión fue turnado por el sistema electrónico del Instituto de Transparencia, Acceso a la Información Pública y Protección de Datos Personales del Estado de México y Municipios a la </w:t>
      </w:r>
      <w:r w:rsidRPr="00BB3C89">
        <w:rPr>
          <w:rFonts w:ascii="Palatino Linotype" w:eastAsia="Palatino Linotype" w:hAnsi="Palatino Linotype" w:cs="Palatino Linotype"/>
          <w:b/>
        </w:rPr>
        <w:t>Comisionada Guadalupe Ramírez Peña</w:t>
      </w:r>
      <w:r w:rsidRPr="00BB3C89">
        <w:rPr>
          <w:rFonts w:ascii="Palatino Linotype" w:eastAsia="Palatino Linotype" w:hAnsi="Palatino Linotype" w:cs="Palatino Linotype"/>
        </w:rPr>
        <w:t>.</w:t>
      </w:r>
      <w:r w:rsidRPr="00BB3C89">
        <w:rPr>
          <w:rFonts w:ascii="Palatino Linotype" w:eastAsia="Palatino Linotype" w:hAnsi="Palatino Linotype" w:cs="Palatino Linotype"/>
          <w:b/>
        </w:rPr>
        <w:t xml:space="preserve"> </w:t>
      </w:r>
    </w:p>
    <w:p w14:paraId="739ACBB5" w14:textId="77777777" w:rsidR="009142F1" w:rsidRPr="00BB3C89" w:rsidRDefault="00F37D93">
      <w:pPr>
        <w:spacing w:before="240" w:after="240" w:line="360" w:lineRule="auto"/>
        <w:jc w:val="both"/>
      </w:pPr>
      <w:r w:rsidRPr="00BB3C89">
        <w:rPr>
          <w:rFonts w:ascii="Palatino Linotype" w:eastAsia="Palatino Linotype" w:hAnsi="Palatino Linotype" w:cs="Palatino Linotype"/>
          <w:b/>
        </w:rPr>
        <w:t>5. Admisión.</w:t>
      </w:r>
      <w:r w:rsidRPr="00BB3C89">
        <w:rPr>
          <w:rFonts w:ascii="Palatino Linotype" w:eastAsia="Palatino Linotype" w:hAnsi="Palatino Linotype" w:cs="Palatino Linotype"/>
          <w:b/>
          <w:sz w:val="28"/>
          <w:szCs w:val="28"/>
        </w:rPr>
        <w:t xml:space="preserve"> </w:t>
      </w:r>
      <w:r w:rsidRPr="00BB3C89">
        <w:rPr>
          <w:rFonts w:ascii="Palatino Linotype" w:eastAsia="Palatino Linotype" w:hAnsi="Palatino Linotype" w:cs="Palatino Linotype"/>
        </w:rPr>
        <w:t xml:space="preserve">Mediante auto de fecha </w:t>
      </w:r>
      <w:r w:rsidR="008634FB" w:rsidRPr="00BB3C89">
        <w:rPr>
          <w:rFonts w:ascii="Palatino Linotype" w:eastAsia="Palatino Linotype" w:hAnsi="Palatino Linotype" w:cs="Palatino Linotype"/>
          <w:b/>
        </w:rPr>
        <w:t>diez</w:t>
      </w:r>
      <w:r w:rsidRPr="00BB3C89">
        <w:rPr>
          <w:rFonts w:ascii="Palatino Linotype" w:eastAsia="Palatino Linotype" w:hAnsi="Palatino Linotype" w:cs="Palatino Linotype"/>
          <w:b/>
        </w:rPr>
        <w:t xml:space="preserve"> </w:t>
      </w:r>
      <w:r w:rsidR="008634FB" w:rsidRPr="00BB3C89">
        <w:rPr>
          <w:rFonts w:ascii="Palatino Linotype" w:eastAsia="Palatino Linotype" w:hAnsi="Palatino Linotype" w:cs="Palatino Linotype"/>
          <w:b/>
          <w:color w:val="000000"/>
        </w:rPr>
        <w:t>de marzo</w:t>
      </w:r>
      <w:r w:rsidRPr="00BB3C89">
        <w:rPr>
          <w:rFonts w:ascii="Palatino Linotype" w:eastAsia="Palatino Linotype" w:hAnsi="Palatino Linotype" w:cs="Palatino Linotype"/>
          <w:b/>
          <w:color w:val="000000"/>
        </w:rPr>
        <w:t xml:space="preserve"> de dos mil veintidós</w:t>
      </w:r>
      <w:r w:rsidR="000F53FE" w:rsidRPr="00BB3C89">
        <w:rPr>
          <w:rFonts w:ascii="Palatino Linotype" w:eastAsia="Palatino Linotype" w:hAnsi="Palatino Linotype" w:cs="Palatino Linotype"/>
        </w:rPr>
        <w:t xml:space="preserve">, este </w:t>
      </w:r>
      <w:proofErr w:type="spellStart"/>
      <w:r w:rsidR="000F53FE" w:rsidRPr="00BB3C89">
        <w:rPr>
          <w:rFonts w:ascii="Palatino Linotype" w:eastAsia="Palatino Linotype" w:hAnsi="Palatino Linotype" w:cs="Palatino Linotype"/>
        </w:rPr>
        <w:t>Órganismo</w:t>
      </w:r>
      <w:proofErr w:type="spellEnd"/>
      <w:r w:rsidRPr="00BB3C89">
        <w:rPr>
          <w:rFonts w:ascii="Palatino Linotype" w:eastAsia="Palatino Linotype" w:hAnsi="Palatino Linotype" w:cs="Palatino Linotype"/>
        </w:rPr>
        <w:t xml:space="preserve"> Garante, admitió a trámite el recurso de revisión respectivo, poniéndose a disposición de las partes, para que un plazo no mayor a siete días </w:t>
      </w:r>
      <w:r w:rsidRPr="00BB3C89">
        <w:rPr>
          <w:rFonts w:ascii="Palatino Linotype" w:eastAsia="Palatino Linotype" w:hAnsi="Palatino Linotype" w:cs="Palatino Linotype"/>
        </w:rPr>
        <w:lastRenderedPageBreak/>
        <w:t xml:space="preserve">hábiles manifestaran lo que a su derecho corresponda, a efecto de ofrecer pruebas, informe justificado y alegatos, lo anterior con fundamento en el artículo 185 fracciones I, II y IV de la Ley de Transparencia y Acceso a la Información Pública del Estado de México y Municipios. </w:t>
      </w:r>
    </w:p>
    <w:p w14:paraId="1485CFAC" w14:textId="77777777" w:rsidR="009142F1" w:rsidRPr="00BB3C89" w:rsidRDefault="00F37D93">
      <w:pPr>
        <w:spacing w:before="240" w:after="240"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b/>
        </w:rPr>
        <w:t>6. Manifestaciones.</w:t>
      </w:r>
      <w:r w:rsidRPr="00BB3C89">
        <w:rPr>
          <w:sz w:val="22"/>
          <w:szCs w:val="22"/>
        </w:rPr>
        <w:t xml:space="preserve"> </w:t>
      </w:r>
      <w:r w:rsidRPr="00BB3C89">
        <w:rPr>
          <w:rFonts w:ascii="Palatino Linotype" w:eastAsia="Palatino Linotype" w:hAnsi="Palatino Linotype" w:cs="Palatino Linotype"/>
        </w:rPr>
        <w:t>De las constancias del expediente electrónico del</w:t>
      </w:r>
      <w:r w:rsidRPr="00BB3C89">
        <w:rPr>
          <w:rFonts w:ascii="Palatino Linotype" w:eastAsia="Palatino Linotype" w:hAnsi="Palatino Linotype" w:cs="Palatino Linotype"/>
          <w:b/>
        </w:rPr>
        <w:t xml:space="preserve"> SAIMEX</w:t>
      </w:r>
      <w:r w:rsidRPr="00BB3C89">
        <w:rPr>
          <w:rFonts w:ascii="Palatino Linotype" w:eastAsia="Palatino Linotype" w:hAnsi="Palatino Linotype" w:cs="Palatino Linotype"/>
        </w:rPr>
        <w:t xml:space="preserve">, se observa que en fecha </w:t>
      </w:r>
      <w:r w:rsidR="008634FB" w:rsidRPr="00BB3C89">
        <w:rPr>
          <w:rFonts w:ascii="Palatino Linotype" w:eastAsia="Palatino Linotype" w:hAnsi="Palatino Linotype" w:cs="Palatino Linotype"/>
          <w:b/>
        </w:rPr>
        <w:t>catorce</w:t>
      </w:r>
      <w:r w:rsidRPr="00BB3C89">
        <w:rPr>
          <w:rFonts w:ascii="Palatino Linotype" w:eastAsia="Palatino Linotype" w:hAnsi="Palatino Linotype" w:cs="Palatino Linotype"/>
          <w:b/>
        </w:rPr>
        <w:t xml:space="preserve"> de marzo de dos mil veintidós</w:t>
      </w:r>
      <w:r w:rsidRPr="00BB3C89">
        <w:rPr>
          <w:rFonts w:ascii="Palatino Linotype" w:eastAsia="Palatino Linotype" w:hAnsi="Palatino Linotype" w:cs="Palatino Linotype"/>
        </w:rPr>
        <w:t xml:space="preserve">, </w:t>
      </w:r>
      <w:r w:rsidRPr="00BB3C89">
        <w:rPr>
          <w:rFonts w:ascii="Palatino Linotype" w:eastAsia="Palatino Linotype" w:hAnsi="Palatino Linotype" w:cs="Palatino Linotype"/>
          <w:b/>
        </w:rPr>
        <w:t xml:space="preserve">el </w:t>
      </w:r>
      <w:r w:rsidR="002D241B" w:rsidRPr="00BB3C89">
        <w:rPr>
          <w:rFonts w:ascii="Palatino Linotype" w:eastAsia="Palatino Linotype" w:hAnsi="Palatino Linotype" w:cs="Palatino Linotype"/>
          <w:b/>
        </w:rPr>
        <w:t xml:space="preserve">SUJETO OBLIGADO </w:t>
      </w:r>
      <w:r w:rsidRPr="00BB3C89">
        <w:rPr>
          <w:rFonts w:ascii="Palatino Linotype" w:eastAsia="Palatino Linotype" w:hAnsi="Palatino Linotype" w:cs="Palatino Linotype"/>
        </w:rPr>
        <w:t>remitió los siguientes archivos electrónicos:</w:t>
      </w:r>
    </w:p>
    <w:p w14:paraId="6C7CC921" w14:textId="77777777" w:rsidR="009142F1" w:rsidRPr="00BB3C89" w:rsidRDefault="00F37D93" w:rsidP="008634FB">
      <w:pPr>
        <w:spacing w:before="240" w:after="240" w:line="276" w:lineRule="auto"/>
        <w:ind w:left="567" w:right="709"/>
        <w:jc w:val="both"/>
        <w:rPr>
          <w:rFonts w:ascii="Palatino Linotype" w:eastAsia="Palatino Linotype" w:hAnsi="Palatino Linotype" w:cs="Palatino Linotype"/>
        </w:rPr>
      </w:pPr>
      <w:r w:rsidRPr="00BB3C89">
        <w:rPr>
          <w:rFonts w:ascii="Palatino Linotype" w:eastAsia="Palatino Linotype" w:hAnsi="Palatino Linotype" w:cs="Palatino Linotype"/>
        </w:rPr>
        <w:t xml:space="preserve"> </w:t>
      </w:r>
      <w:r w:rsidRPr="00BB3C89">
        <w:rPr>
          <w:rFonts w:ascii="Palatino Linotype" w:eastAsia="Palatino Linotype" w:hAnsi="Palatino Linotype" w:cs="Palatino Linotype"/>
          <w:b/>
          <w:i/>
        </w:rPr>
        <w:t>“</w:t>
      </w:r>
      <w:r w:rsidR="008634FB" w:rsidRPr="00BB3C89">
        <w:rPr>
          <w:rFonts w:ascii="Palatino Linotype" w:eastAsia="Palatino Linotype" w:hAnsi="Palatino Linotype" w:cs="Palatino Linotype"/>
          <w:b/>
          <w:i/>
        </w:rPr>
        <w:t>CGUA-M-0059-2022.pdf</w:t>
      </w:r>
      <w:r w:rsidRPr="00BB3C89">
        <w:rPr>
          <w:rFonts w:ascii="Palatino Linotype" w:eastAsia="Palatino Linotype" w:hAnsi="Palatino Linotype" w:cs="Palatino Linotype"/>
          <w:b/>
          <w:i/>
        </w:rPr>
        <w:t xml:space="preserve">”: </w:t>
      </w:r>
      <w:r w:rsidR="008634FB" w:rsidRPr="00BB3C89">
        <w:rPr>
          <w:rFonts w:ascii="Palatino Linotype" w:eastAsia="Palatino Linotype" w:hAnsi="Palatino Linotype" w:cs="Palatino Linotype"/>
        </w:rPr>
        <w:t>Documento de dos hojas suscrito por la Coordinación General de Unidades Administrativas de cuyo contenido se señala que esa área no cuenta con la citada información en virtud de que corresponde a la Dirección General de Administración, por lo que no se cuenta con esa informac</w:t>
      </w:r>
      <w:r w:rsidR="000F53FE" w:rsidRPr="00BB3C89">
        <w:rPr>
          <w:rFonts w:ascii="Palatino Linotype" w:eastAsia="Palatino Linotype" w:hAnsi="Palatino Linotype" w:cs="Palatino Linotype"/>
        </w:rPr>
        <w:t xml:space="preserve">ión, anexa para tales efectos captura de pantalla de un extracto </w:t>
      </w:r>
      <w:proofErr w:type="gramStart"/>
      <w:r w:rsidR="000F53FE" w:rsidRPr="00BB3C89">
        <w:rPr>
          <w:rFonts w:ascii="Palatino Linotype" w:eastAsia="Palatino Linotype" w:hAnsi="Palatino Linotype" w:cs="Palatino Linotype"/>
        </w:rPr>
        <w:t xml:space="preserve">del </w:t>
      </w:r>
      <w:r w:rsidR="008634FB" w:rsidRPr="00BB3C89">
        <w:rPr>
          <w:rFonts w:ascii="Palatino Linotype" w:eastAsia="Palatino Linotype" w:hAnsi="Palatino Linotype" w:cs="Palatino Linotype"/>
        </w:rPr>
        <w:t xml:space="preserve"> Reglamento</w:t>
      </w:r>
      <w:proofErr w:type="gramEnd"/>
      <w:r w:rsidR="008634FB" w:rsidRPr="00BB3C89">
        <w:rPr>
          <w:rFonts w:ascii="Palatino Linotype" w:eastAsia="Palatino Linotype" w:hAnsi="Palatino Linotype" w:cs="Palatino Linotype"/>
        </w:rPr>
        <w:t xml:space="preserve"> Orgánico de la Administración Pública  Municipal de Naucalpan de Juárez. </w:t>
      </w:r>
    </w:p>
    <w:p w14:paraId="605F7F0F" w14:textId="7081D07E" w:rsidR="009142F1" w:rsidRPr="00BB3C89" w:rsidRDefault="00F37D93" w:rsidP="004553B3">
      <w:pPr>
        <w:spacing w:before="240" w:after="240" w:line="360" w:lineRule="auto"/>
        <w:ind w:left="567" w:right="709"/>
        <w:jc w:val="both"/>
        <w:rPr>
          <w:rFonts w:ascii="Palatino Linotype" w:eastAsia="Palatino Linotype" w:hAnsi="Palatino Linotype" w:cs="Palatino Linotype"/>
        </w:rPr>
      </w:pPr>
      <w:r w:rsidRPr="00BB3C89">
        <w:rPr>
          <w:rFonts w:ascii="Palatino Linotype" w:eastAsia="Palatino Linotype" w:hAnsi="Palatino Linotype" w:cs="Palatino Linotype"/>
          <w:b/>
          <w:i/>
        </w:rPr>
        <w:t xml:space="preserve"> “</w:t>
      </w:r>
      <w:r w:rsidR="008634FB" w:rsidRPr="00BB3C89">
        <w:rPr>
          <w:rFonts w:ascii="Palatino Linotype" w:eastAsia="Palatino Linotype" w:hAnsi="Palatino Linotype" w:cs="Palatino Linotype"/>
          <w:b/>
          <w:i/>
        </w:rPr>
        <w:t>DGSCYTM-SJ-ETAIP-00032-2022.pdf</w:t>
      </w:r>
      <w:r w:rsidRPr="00BB3C89">
        <w:rPr>
          <w:rFonts w:ascii="Palatino Linotype" w:eastAsia="Palatino Linotype" w:hAnsi="Palatino Linotype" w:cs="Palatino Linotype"/>
          <w:b/>
          <w:i/>
        </w:rPr>
        <w:t xml:space="preserve">”: </w:t>
      </w:r>
      <w:r w:rsidR="000F53FE" w:rsidRPr="00BB3C89">
        <w:rPr>
          <w:rFonts w:ascii="Palatino Linotype" w:eastAsia="Palatino Linotype" w:hAnsi="Palatino Linotype" w:cs="Palatino Linotype"/>
        </w:rPr>
        <w:t xml:space="preserve">archivo digital en el que se contiene el  </w:t>
      </w:r>
      <w:r w:rsidR="001F0F05" w:rsidRPr="00BB3C89">
        <w:rPr>
          <w:rFonts w:ascii="Palatino Linotype" w:eastAsia="Palatino Linotype" w:hAnsi="Palatino Linotype" w:cs="Palatino Linotype"/>
          <w:b/>
        </w:rPr>
        <w:t xml:space="preserve">Oficio DGSCYTM/SA/863/2022 </w:t>
      </w:r>
      <w:r w:rsidR="001F0F05" w:rsidRPr="00BB3C89">
        <w:rPr>
          <w:rFonts w:ascii="Palatino Linotype" w:eastAsia="Palatino Linotype" w:hAnsi="Palatino Linotype" w:cs="Palatino Linotype"/>
        </w:rPr>
        <w:t xml:space="preserve"> de fecha veinticuatro de marzo de la presente anualidad, suscrito por el Subdirector de Administración por vía del cual  informa que no es posible atender favorablemente la solicitud de referencia, toda vez  que la misma es imprecisa e incierta en consideración a que el solicitante no señala el periodo del que requiere la información por lo que esa Subdirección </w:t>
      </w:r>
      <w:r w:rsidR="001F0F05" w:rsidRPr="00BB3C89">
        <w:rPr>
          <w:rFonts w:ascii="Palatino Linotype" w:eastAsia="Palatino Linotype" w:hAnsi="Palatino Linotype" w:cs="Palatino Linotype"/>
        </w:rPr>
        <w:lastRenderedPageBreak/>
        <w:t xml:space="preserve">de Administración se encuentra imposibilitada para darle la oportuna atención a dicha solicitud.    </w:t>
      </w:r>
      <w:bookmarkStart w:id="0" w:name="_GoBack"/>
      <w:bookmarkEnd w:id="0"/>
    </w:p>
    <w:p w14:paraId="4A9A5863" w14:textId="77777777" w:rsidR="00EC7988" w:rsidRPr="00BB3C89" w:rsidRDefault="00EC7988">
      <w:pPr>
        <w:spacing w:before="240" w:after="240" w:line="360" w:lineRule="auto"/>
        <w:jc w:val="both"/>
        <w:rPr>
          <w:rFonts w:ascii="Palatino Linotype" w:eastAsia="Palatino Linotype" w:hAnsi="Palatino Linotype" w:cs="Palatino Linotype"/>
          <w:b/>
        </w:rPr>
      </w:pPr>
      <w:r w:rsidRPr="00BB3C89">
        <w:rPr>
          <w:rFonts w:ascii="Palatino Linotype" w:eastAsia="Palatino Linotype" w:hAnsi="Palatino Linotype" w:cs="Palatino Linotype"/>
          <w:b/>
        </w:rPr>
        <w:t>7.- Ampliación del plazo para emitir resolución.</w:t>
      </w:r>
      <w:r w:rsidRPr="00BB3C89">
        <w:rPr>
          <w:rFonts w:ascii="Palatino Linotype" w:eastAsia="Palatino Linotype" w:hAnsi="Palatino Linotype" w:cs="Palatino Linotype"/>
        </w:rPr>
        <w:t xml:space="preserve"> El </w:t>
      </w:r>
      <w:r w:rsidRPr="00BB3C89">
        <w:rPr>
          <w:rFonts w:ascii="Palatino Linotype" w:eastAsia="Palatino Linotype" w:hAnsi="Palatino Linotype" w:cs="Palatino Linotype"/>
          <w:b/>
        </w:rPr>
        <w:t>dieciséis de mayo de dos mil veintidós</w:t>
      </w:r>
      <w:r w:rsidRPr="00BB3C89">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con la finalidad de realizar un análisis exhaustivo de las constancias que obran en el expediente electrónico, adoptando las medidas pertinentes, a fin de aminorar los efectos que conlleva.</w:t>
      </w:r>
    </w:p>
    <w:p w14:paraId="1E3DA40F" w14:textId="77777777" w:rsidR="009142F1" w:rsidRPr="00BB3C89" w:rsidRDefault="00EC7988">
      <w:pPr>
        <w:spacing w:before="240" w:after="240"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b/>
        </w:rPr>
        <w:t xml:space="preserve">8. </w:t>
      </w:r>
      <w:r w:rsidR="00F37D93" w:rsidRPr="00BB3C89">
        <w:rPr>
          <w:rFonts w:ascii="Palatino Linotype" w:eastAsia="Palatino Linotype" w:hAnsi="Palatino Linotype" w:cs="Palatino Linotype"/>
          <w:b/>
        </w:rPr>
        <w:t xml:space="preserve">Cierre de Instrucción. </w:t>
      </w:r>
      <w:r w:rsidR="00F37D93" w:rsidRPr="00BB3C89">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 </w:t>
      </w:r>
      <w:r w:rsidRPr="00BB3C89">
        <w:rPr>
          <w:rFonts w:ascii="Palatino Linotype" w:eastAsia="Palatino Linotype" w:hAnsi="Palatino Linotype" w:cs="Palatino Linotype"/>
          <w:b/>
        </w:rPr>
        <w:t>treinta y uno</w:t>
      </w:r>
      <w:r w:rsidR="00F37D93" w:rsidRPr="00BB3C89">
        <w:rPr>
          <w:rFonts w:ascii="Palatino Linotype" w:eastAsia="Palatino Linotype" w:hAnsi="Palatino Linotype" w:cs="Palatino Linotype"/>
          <w:b/>
        </w:rPr>
        <w:t xml:space="preserve"> </w:t>
      </w:r>
      <w:r w:rsidR="000F53FE" w:rsidRPr="00BB3C89">
        <w:rPr>
          <w:rFonts w:ascii="Palatino Linotype" w:eastAsia="Palatino Linotype" w:hAnsi="Palatino Linotype" w:cs="Palatino Linotype"/>
          <w:b/>
          <w:color w:val="000000"/>
        </w:rPr>
        <w:t>de mayo</w:t>
      </w:r>
      <w:r w:rsidR="00F37D93" w:rsidRPr="00BB3C89">
        <w:rPr>
          <w:rFonts w:ascii="Palatino Linotype" w:eastAsia="Palatino Linotype" w:hAnsi="Palatino Linotype" w:cs="Palatino Linotype"/>
          <w:b/>
          <w:color w:val="000000"/>
        </w:rPr>
        <w:t xml:space="preserve"> </w:t>
      </w:r>
      <w:r w:rsidR="00F37D93" w:rsidRPr="00BB3C89">
        <w:rPr>
          <w:rFonts w:ascii="Palatino Linotype" w:eastAsia="Palatino Linotype" w:hAnsi="Palatino Linotype" w:cs="Palatino Linotype"/>
          <w:b/>
        </w:rPr>
        <w:t>de dos mil veintidós</w:t>
      </w:r>
      <w:r w:rsidR="00F37D93" w:rsidRPr="00BB3C89">
        <w:rPr>
          <w:rFonts w:ascii="Palatino Linotype" w:eastAsia="Palatino Linotype" w:hAnsi="Palatino Linotype" w:cs="Palatino Linotype"/>
        </w:rPr>
        <w:t>, se procedió a decretar el cierre de instrucción respectivo y no existiendo diligencia pendiente de desahogo, se ordenó emitir la resolución que conforme a derecho proceda.</w:t>
      </w:r>
    </w:p>
    <w:p w14:paraId="3DCBA1F9" w14:textId="77777777" w:rsidR="009142F1" w:rsidRPr="00BB3C89" w:rsidRDefault="009142F1">
      <w:pPr>
        <w:spacing w:before="240" w:after="240" w:line="360" w:lineRule="auto"/>
        <w:jc w:val="both"/>
        <w:rPr>
          <w:rFonts w:ascii="Palatino Linotype" w:eastAsia="Palatino Linotype" w:hAnsi="Palatino Linotype" w:cs="Palatino Linotype"/>
          <w:b/>
        </w:rPr>
      </w:pPr>
    </w:p>
    <w:p w14:paraId="4811B515" w14:textId="77777777" w:rsidR="009142F1" w:rsidRPr="00BB3C89" w:rsidRDefault="009142F1">
      <w:pPr>
        <w:spacing w:before="240" w:after="240" w:line="360" w:lineRule="auto"/>
        <w:jc w:val="both"/>
        <w:rPr>
          <w:rFonts w:ascii="Palatino Linotype" w:eastAsia="Palatino Linotype" w:hAnsi="Palatino Linotype" w:cs="Palatino Linotype"/>
        </w:rPr>
      </w:pPr>
    </w:p>
    <w:p w14:paraId="6A5CC87C" w14:textId="77777777" w:rsidR="009142F1" w:rsidRPr="00BB3C89" w:rsidRDefault="009142F1">
      <w:pPr>
        <w:keepNext/>
        <w:keepLines/>
        <w:spacing w:before="40"/>
        <w:jc w:val="center"/>
        <w:rPr>
          <w:rFonts w:ascii="Palatino Linotype" w:eastAsia="Palatino Linotype" w:hAnsi="Palatino Linotype" w:cs="Palatino Linotype"/>
          <w:b/>
        </w:rPr>
      </w:pPr>
    </w:p>
    <w:p w14:paraId="04841F6F" w14:textId="77777777" w:rsidR="009142F1" w:rsidRPr="00BB3C89" w:rsidRDefault="00F37D93">
      <w:pPr>
        <w:keepNext/>
        <w:keepLines/>
        <w:spacing w:before="40"/>
        <w:jc w:val="center"/>
        <w:rPr>
          <w:rFonts w:ascii="Palatino Linotype" w:eastAsia="Palatino Linotype" w:hAnsi="Palatino Linotype" w:cs="Palatino Linotype"/>
          <w:b/>
        </w:rPr>
      </w:pPr>
      <w:r w:rsidRPr="00BB3C89">
        <w:rPr>
          <w:rFonts w:ascii="Palatino Linotype" w:eastAsia="Palatino Linotype" w:hAnsi="Palatino Linotype" w:cs="Palatino Linotype"/>
          <w:b/>
        </w:rPr>
        <w:t>II. C O N S I D E R A N D O S:</w:t>
      </w:r>
    </w:p>
    <w:p w14:paraId="5BB68564" w14:textId="77777777" w:rsidR="009142F1" w:rsidRPr="00BB3C89" w:rsidRDefault="00F37D93">
      <w:pPr>
        <w:spacing w:before="240" w:after="240" w:line="360" w:lineRule="auto"/>
        <w:jc w:val="both"/>
        <w:rPr>
          <w:rFonts w:ascii="Palatino Linotype" w:eastAsia="Palatino Linotype" w:hAnsi="Palatino Linotype" w:cs="Palatino Linotype"/>
          <w:b/>
        </w:rPr>
      </w:pPr>
      <w:r w:rsidRPr="00BB3C89">
        <w:rPr>
          <w:rFonts w:ascii="Palatino Linotype" w:eastAsia="Palatino Linotype" w:hAnsi="Palatino Linotype" w:cs="Palatino Linotype"/>
          <w:b/>
        </w:rPr>
        <w:t xml:space="preserve">Primero. Competencia. </w:t>
      </w:r>
      <w:r w:rsidRPr="00BB3C89">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p>
    <w:p w14:paraId="042843A5" w14:textId="77777777" w:rsidR="009142F1" w:rsidRPr="00BB3C89" w:rsidRDefault="00F37D93">
      <w:pPr>
        <w:widowControl w:val="0"/>
        <w:spacing w:before="120" w:after="120"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b/>
        </w:rPr>
        <w:t xml:space="preserve">Segundo. Oportunidad y </w:t>
      </w:r>
      <w:proofErr w:type="spellStart"/>
      <w:r w:rsidRPr="00BB3C89">
        <w:rPr>
          <w:rFonts w:ascii="Palatino Linotype" w:eastAsia="Palatino Linotype" w:hAnsi="Palatino Linotype" w:cs="Palatino Linotype"/>
          <w:b/>
        </w:rPr>
        <w:t>Procediblidad</w:t>
      </w:r>
      <w:proofErr w:type="spellEnd"/>
      <w:r w:rsidRPr="00BB3C89">
        <w:rPr>
          <w:rFonts w:ascii="Palatino Linotype" w:eastAsia="Palatino Linotype" w:hAnsi="Palatino Linotype" w:cs="Palatino Linotype"/>
          <w:b/>
        </w:rPr>
        <w:t xml:space="preserve"> del Recurso de Revisión.</w:t>
      </w:r>
      <w:r w:rsidRPr="00BB3C89">
        <w:rPr>
          <w:rFonts w:ascii="Palatino Linotype" w:eastAsia="Palatino Linotype" w:hAnsi="Palatino Linotype" w:cs="Palatino Linotype"/>
          <w:b/>
          <w:sz w:val="22"/>
          <w:szCs w:val="22"/>
        </w:rPr>
        <w:t xml:space="preserve"> </w:t>
      </w:r>
      <w:r w:rsidRPr="00BB3C89">
        <w:rPr>
          <w:rFonts w:ascii="Palatino Linotype" w:eastAsia="Palatino Linotype" w:hAnsi="Palatino Linotype" w:cs="Palatino Linotype"/>
        </w:rPr>
        <w:t xml:space="preserve">Previo al estudio del fondo del asunto, se procede a analizar los requisitos de oportunidad y </w:t>
      </w:r>
      <w:proofErr w:type="spellStart"/>
      <w:r w:rsidRPr="00BB3C89">
        <w:rPr>
          <w:rFonts w:ascii="Palatino Linotype" w:eastAsia="Palatino Linotype" w:hAnsi="Palatino Linotype" w:cs="Palatino Linotype"/>
        </w:rPr>
        <w:t>procedibilidad</w:t>
      </w:r>
      <w:proofErr w:type="spellEnd"/>
      <w:r w:rsidRPr="00BB3C89">
        <w:rPr>
          <w:rFonts w:ascii="Palatino Linotype" w:eastAsia="Palatino Linotype" w:hAnsi="Palatino Linotype" w:cs="Palatino Linotype"/>
        </w:rPr>
        <w:t xml:space="preserve"> que debe reunir el recurso de revisión, previstos en los artículos 178 y 180 de la Ley de Transparencia y Acceso a la Información Pública del Estado de México y Municipios.</w:t>
      </w:r>
    </w:p>
    <w:p w14:paraId="17B7BD27" w14:textId="77777777" w:rsidR="009142F1" w:rsidRPr="00BB3C89" w:rsidRDefault="00F37D93">
      <w:pPr>
        <w:widowControl w:val="0"/>
        <w:spacing w:before="120" w:after="120" w:line="360" w:lineRule="auto"/>
        <w:jc w:val="both"/>
        <w:rPr>
          <w:rFonts w:ascii="Palatino Linotype" w:eastAsia="Palatino Linotype" w:hAnsi="Palatino Linotype" w:cs="Palatino Linotype"/>
          <w:color w:val="000000"/>
        </w:rPr>
      </w:pPr>
      <w:r w:rsidRPr="00BB3C89">
        <w:rPr>
          <w:rFonts w:ascii="Palatino Linotype" w:eastAsia="Palatino Linotype" w:hAnsi="Palatino Linotype" w:cs="Palatino Linotype"/>
        </w:rPr>
        <w:t xml:space="preserve">Primeramente, es de precisar que la Ley de Transparencia </w:t>
      </w:r>
      <w:r w:rsidRPr="00BB3C89">
        <w:rPr>
          <w:rFonts w:ascii="Palatino Linotype" w:eastAsia="Palatino Linotype" w:hAnsi="Palatino Linotype" w:cs="Palatino Linotype"/>
          <w:color w:val="000000"/>
        </w:rPr>
        <w:t xml:space="preserve">y Acceso a la Información Pública del Estado de México y Municipios, describe el </w:t>
      </w:r>
      <w:r w:rsidRPr="00BB3C89">
        <w:rPr>
          <w:rFonts w:ascii="Palatino Linotype" w:eastAsia="Palatino Linotype" w:hAnsi="Palatino Linotype" w:cs="Palatino Linotype"/>
        </w:rPr>
        <w:t>mecanismo</w:t>
      </w:r>
      <w:r w:rsidRPr="00BB3C89">
        <w:rPr>
          <w:rFonts w:ascii="Palatino Linotype" w:eastAsia="Palatino Linotype" w:hAnsi="Palatino Linotype" w:cs="Palatino Linotype"/>
          <w:color w:val="000000"/>
        </w:rPr>
        <w:t xml:space="preserve"> de procedencia de los recursos de revisión, en ese sentido en su artículo 163 prevé </w:t>
      </w:r>
      <w:r w:rsidRPr="00BB3C89">
        <w:rPr>
          <w:rFonts w:ascii="Palatino Linotype" w:eastAsia="Palatino Linotype" w:hAnsi="Palatino Linotype" w:cs="Palatino Linotype"/>
          <w:color w:val="000000"/>
        </w:rPr>
        <w:lastRenderedPageBreak/>
        <w:t>lo siguiente:</w:t>
      </w:r>
    </w:p>
    <w:p w14:paraId="7EE03B16" w14:textId="77777777" w:rsidR="009142F1" w:rsidRPr="00BB3C89" w:rsidRDefault="00F37D93">
      <w:pPr>
        <w:spacing w:before="120" w:after="240"/>
        <w:ind w:left="851" w:right="902"/>
        <w:jc w:val="both"/>
        <w:rPr>
          <w:rFonts w:ascii="Palatino Linotype" w:eastAsia="Palatino Linotype" w:hAnsi="Palatino Linotype" w:cs="Palatino Linotype"/>
          <w:i/>
          <w:color w:val="000000"/>
          <w:sz w:val="22"/>
          <w:szCs w:val="22"/>
        </w:rPr>
      </w:pPr>
      <w:r w:rsidRPr="00BB3C89">
        <w:rPr>
          <w:rFonts w:ascii="Palatino Linotype" w:eastAsia="Palatino Linotype" w:hAnsi="Palatino Linotype" w:cs="Palatino Linotype"/>
          <w:b/>
          <w:i/>
          <w:color w:val="000000"/>
          <w:sz w:val="22"/>
          <w:szCs w:val="22"/>
        </w:rPr>
        <w:t>“Artículo 163.</w:t>
      </w:r>
      <w:r w:rsidRPr="00BB3C89">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7B47A47D" w14:textId="77777777" w:rsidR="009142F1" w:rsidRPr="00BB3C89" w:rsidRDefault="00F37D93">
      <w:pPr>
        <w:spacing w:before="120" w:after="240"/>
        <w:ind w:left="851" w:right="902"/>
        <w:jc w:val="both"/>
        <w:rPr>
          <w:rFonts w:ascii="Palatino Linotype" w:eastAsia="Palatino Linotype" w:hAnsi="Palatino Linotype" w:cs="Palatino Linotype"/>
          <w:i/>
          <w:color w:val="000000"/>
          <w:sz w:val="22"/>
          <w:szCs w:val="22"/>
        </w:rPr>
      </w:pPr>
      <w:r w:rsidRPr="00BB3C89">
        <w:rPr>
          <w:rFonts w:ascii="Palatino Linotype" w:eastAsia="Palatino Linotype" w:hAnsi="Palatino Linotype" w:cs="Palatino Linotype"/>
          <w:i/>
          <w:sz w:val="22"/>
          <w:szCs w:val="22"/>
        </w:rPr>
        <w:t>Excepcionalmente</w:t>
      </w:r>
      <w:r w:rsidRPr="00BB3C89">
        <w:rPr>
          <w:rFonts w:ascii="Palatino Linotype" w:eastAsia="Palatino Linotype" w:hAnsi="Palatino Linotype" w:cs="Palatino Linotype"/>
          <w:i/>
          <w:color w:val="000000"/>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67E4607" w14:textId="77777777" w:rsidR="009142F1" w:rsidRPr="00BB3C89" w:rsidRDefault="00F37D93">
      <w:pPr>
        <w:widowControl w:val="0"/>
        <w:spacing w:before="120" w:after="120" w:line="360" w:lineRule="auto"/>
        <w:jc w:val="both"/>
        <w:rPr>
          <w:rFonts w:ascii="Palatino Linotype" w:eastAsia="Palatino Linotype" w:hAnsi="Palatino Linotype" w:cs="Palatino Linotype"/>
          <w:color w:val="000000"/>
        </w:rPr>
      </w:pPr>
      <w:r w:rsidRPr="00BB3C89">
        <w:rPr>
          <w:rFonts w:ascii="Palatino Linotype" w:eastAsia="Palatino Linotype" w:hAnsi="Palatino Linotype" w:cs="Palatino Linotype"/>
          <w:color w:val="000000"/>
        </w:rPr>
        <w:t>Del precepto legal inserto se advierte que el plazo que le asiste a los sujetos obligados para notificar la respuesta a una solicitud de información pública es de quince días hábiles posteriores a la presentación de ésta.</w:t>
      </w:r>
    </w:p>
    <w:p w14:paraId="35511C56" w14:textId="77777777" w:rsidR="009142F1" w:rsidRPr="00BB3C89" w:rsidRDefault="00F37D93">
      <w:pPr>
        <w:spacing w:before="240" w:after="240"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rPr>
        <w:t>Caso contrario, se actualiza lo que en la doctrina se conoce como negativa ficta, figura jurídica cuya esencia consiste en atribuir un efecto negativo al silencio de la autoridad administrativa frente a las instancias y solicitudes que hagan los particulares; bajo este supuesto, es importante destacar lo establecido en la Ley de Transparencia y Acceso a la Información Pública del Estado de México y Municipios, que señala en su artículo 166 párrafo cuarto:</w:t>
      </w:r>
    </w:p>
    <w:p w14:paraId="03B8E603" w14:textId="77777777" w:rsidR="009142F1" w:rsidRPr="00BB3C89" w:rsidRDefault="00F37D93">
      <w:pPr>
        <w:spacing w:after="120"/>
        <w:ind w:left="851"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 xml:space="preserve">“Artículo 166. </w:t>
      </w:r>
      <w:r w:rsidRPr="00BB3C89">
        <w:rPr>
          <w:rFonts w:ascii="Palatino Linotype" w:eastAsia="Palatino Linotype" w:hAnsi="Palatino Linotype" w:cs="Palatino Linotype"/>
          <w:i/>
          <w:sz w:val="22"/>
          <w:szCs w:val="22"/>
        </w:rPr>
        <w:t>La obligación de acceso a la información pública se tendrá por cumplida cuando el solicitante tenga a su disposición la información requerida, o cuando realice la consulta de la misma en el lugar en el que ésta se localice.</w:t>
      </w:r>
    </w:p>
    <w:p w14:paraId="675CC19A" w14:textId="77777777" w:rsidR="009142F1" w:rsidRPr="00BB3C89" w:rsidRDefault="00F37D93">
      <w:pPr>
        <w:spacing w:after="120"/>
        <w:ind w:left="851"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i/>
          <w:sz w:val="22"/>
          <w:szCs w:val="22"/>
        </w:rPr>
        <w:t>…</w:t>
      </w:r>
    </w:p>
    <w:p w14:paraId="6C7C19D8" w14:textId="77777777" w:rsidR="009142F1" w:rsidRPr="00BB3C89" w:rsidRDefault="00F37D93">
      <w:pPr>
        <w:spacing w:after="120"/>
        <w:ind w:left="851" w:right="902"/>
        <w:jc w:val="both"/>
        <w:rPr>
          <w:rFonts w:ascii="Palatino Linotype" w:eastAsia="Palatino Linotype" w:hAnsi="Palatino Linotype" w:cs="Palatino Linotype"/>
          <w:i/>
          <w:sz w:val="28"/>
          <w:szCs w:val="28"/>
        </w:rPr>
      </w:pPr>
      <w:r w:rsidRPr="00BB3C89">
        <w:rPr>
          <w:rFonts w:ascii="Palatino Linotype" w:eastAsia="Palatino Linotype" w:hAnsi="Palatino Linotype" w:cs="Palatino Linotype"/>
          <w:i/>
          <w:sz w:val="22"/>
          <w:szCs w:val="22"/>
        </w:rPr>
        <w:lastRenderedPageBreak/>
        <w:t>Cuando el sujeto obligado no entregue la respuesta a la solicitud dentro del plazo previsto en la Ley, la solicitud se entenderá negada y el solicitante podrá interponer el recurso de revisión previsto en este ordenamiento.”</w:t>
      </w:r>
    </w:p>
    <w:p w14:paraId="6FF858B2" w14:textId="77777777" w:rsidR="009142F1" w:rsidRPr="00BB3C89" w:rsidRDefault="00F37D93">
      <w:pPr>
        <w:spacing w:before="240" w:after="240"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rPr>
        <w:t>De lo anterior, se advierte que el recurso de revisión se ha de interponer dentro del plazo de quince días hábiles contados a partir del día siguiente en que el particular tiene conocimiento de la resolución respectiva, a partir de la fecha en que el</w:t>
      </w:r>
      <w:r w:rsidR="002D241B" w:rsidRPr="00BB3C89">
        <w:rPr>
          <w:rFonts w:ascii="Palatino Linotype" w:eastAsia="Palatino Linotype" w:hAnsi="Palatino Linotype" w:cs="Palatino Linotype"/>
        </w:rPr>
        <w:t xml:space="preserve"> SUJETO OBLIGADO </w:t>
      </w:r>
      <w:r w:rsidRPr="00BB3C89">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 los recursos de revisión pueden ser en cualquier momento;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14:paraId="256F8DCA" w14:textId="77777777" w:rsidR="009142F1" w:rsidRPr="00BB3C89" w:rsidRDefault="00F37D93">
      <w:pPr>
        <w:spacing w:after="120"/>
        <w:ind w:left="567" w:right="709"/>
        <w:jc w:val="both"/>
        <w:rPr>
          <w:rFonts w:ascii="Palatino Linotype" w:eastAsia="Palatino Linotype" w:hAnsi="Palatino Linotype" w:cs="Palatino Linotype"/>
          <w:sz w:val="22"/>
          <w:szCs w:val="22"/>
        </w:rPr>
      </w:pPr>
      <w:r w:rsidRPr="00BB3C89">
        <w:rPr>
          <w:rFonts w:ascii="Palatino Linotype" w:eastAsia="Palatino Linotype" w:hAnsi="Palatino Linotype" w:cs="Palatino Linotype"/>
          <w:b/>
          <w:i/>
          <w:sz w:val="22"/>
          <w:szCs w:val="22"/>
        </w:rPr>
        <w:t>“CRITERIO 0001-15 NEGATIVA FICTA. PLAZO PARA INTERPONER EL RECURSO DE REVISIÓN TRATÁNDOSE DE</w:t>
      </w:r>
      <w:r w:rsidRPr="00BB3C89">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w:t>
      </w:r>
      <w:r w:rsidRPr="00BB3C89">
        <w:rPr>
          <w:rFonts w:ascii="Palatino Linotype" w:eastAsia="Palatino Linotype" w:hAnsi="Palatino Linotype" w:cs="Palatino Linotype"/>
          <w:i/>
          <w:sz w:val="22"/>
          <w:szCs w:val="22"/>
        </w:rPr>
        <w:lastRenderedPageBreak/>
        <w:t>Obligado, momento a partir del cual deberá computarse el plazo previsto en el artículo 72 de la citada Ley.”</w:t>
      </w:r>
    </w:p>
    <w:p w14:paraId="439F523A" w14:textId="77777777" w:rsidR="00F93541" w:rsidRPr="00BB3C89" w:rsidRDefault="00F93541">
      <w:pPr>
        <w:spacing w:before="240" w:after="240" w:line="360" w:lineRule="auto"/>
        <w:jc w:val="both"/>
        <w:rPr>
          <w:rFonts w:ascii="Palatino Linotype" w:eastAsia="Palatino Linotype" w:hAnsi="Palatino Linotype" w:cs="Palatino Linotype"/>
        </w:rPr>
      </w:pPr>
    </w:p>
    <w:p w14:paraId="52225EB9" w14:textId="77777777" w:rsidR="009142F1" w:rsidRPr="00BB3C89" w:rsidRDefault="00F37D93">
      <w:pPr>
        <w:spacing w:before="240" w:after="240" w:line="360" w:lineRule="auto"/>
        <w:jc w:val="both"/>
        <w:rPr>
          <w:rFonts w:ascii="Quattrocento Sans" w:eastAsia="Quattrocento Sans" w:hAnsi="Quattrocento Sans" w:cs="Quattrocento Sans"/>
        </w:rPr>
      </w:pPr>
      <w:r w:rsidRPr="00BB3C89">
        <w:rPr>
          <w:rFonts w:ascii="Palatino Linotype" w:eastAsia="Palatino Linotype" w:hAnsi="Palatino Linotype" w:cs="Palatino Linotype"/>
        </w:rPr>
        <w:t>Así las cosas,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 y, en consecuencia,  resulta conforme a derecho entrar al estudio de fondo y resolver el presente medio de impugnación, al actualizarse lo dispuesto en los artículos 176 y 179 fracción VII del ordenamiento legal citado, que establecen los supuestos en que puede interponerse el recurso de revisión:</w:t>
      </w:r>
    </w:p>
    <w:p w14:paraId="0B98CF61" w14:textId="77777777" w:rsidR="009142F1" w:rsidRPr="00BB3C89" w:rsidRDefault="00F37D93">
      <w:pPr>
        <w:spacing w:before="240" w:after="240"/>
        <w:ind w:left="567"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 xml:space="preserve">“Artículo 176. </w:t>
      </w:r>
      <w:r w:rsidRPr="00BB3C89">
        <w:rPr>
          <w:rFonts w:ascii="Palatino Linotype" w:eastAsia="Palatino Linotype" w:hAnsi="Palatino Linotype" w:cs="Palatino Linotype"/>
          <w:i/>
          <w:sz w:val="22"/>
          <w:szCs w:val="22"/>
        </w:rPr>
        <w:t xml:space="preserve">El recurso de </w:t>
      </w:r>
      <w:proofErr w:type="gramStart"/>
      <w:r w:rsidRPr="00BB3C89">
        <w:rPr>
          <w:rFonts w:ascii="Palatino Linotype" w:eastAsia="Palatino Linotype" w:hAnsi="Palatino Linotype" w:cs="Palatino Linotype"/>
          <w:i/>
          <w:sz w:val="22"/>
          <w:szCs w:val="22"/>
        </w:rPr>
        <w:t>revisión  es</w:t>
      </w:r>
      <w:proofErr w:type="gramEnd"/>
      <w:r w:rsidRPr="00BB3C89">
        <w:rPr>
          <w:rFonts w:ascii="Palatino Linotype" w:eastAsia="Palatino Linotype" w:hAnsi="Palatino Linotype" w:cs="Palatino Linotype"/>
          <w:i/>
          <w:sz w:val="22"/>
          <w:szCs w:val="22"/>
        </w:rPr>
        <w:t xml:space="preserve"> la garantía secundaria mediante la cual se pretende reparar cualquier posible afectación al derecho de acceso a la información pública en términos del presente y siguiente Capítulo.</w:t>
      </w:r>
    </w:p>
    <w:p w14:paraId="00586C7F" w14:textId="77777777" w:rsidR="009142F1" w:rsidRPr="00BB3C89" w:rsidRDefault="00F37D93">
      <w:pPr>
        <w:spacing w:before="240" w:after="240"/>
        <w:ind w:left="567"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Artículo 179</w:t>
      </w:r>
      <w:r w:rsidRPr="00BB3C89">
        <w:rPr>
          <w:rFonts w:ascii="Palatino Linotype" w:eastAsia="Palatino Linotype" w:hAnsi="Palatino Linotype" w:cs="Palatino Linotype"/>
          <w:b/>
          <w:sz w:val="22"/>
          <w:szCs w:val="22"/>
        </w:rPr>
        <w:t>.-</w:t>
      </w:r>
      <w:r w:rsidRPr="00BB3C89">
        <w:rPr>
          <w:rFonts w:ascii="Bookman Old Style" w:eastAsia="Bookman Old Style" w:hAnsi="Bookman Old Style" w:cs="Bookman Old Style"/>
          <w:sz w:val="20"/>
          <w:szCs w:val="20"/>
        </w:rPr>
        <w:t xml:space="preserve"> </w:t>
      </w:r>
      <w:r w:rsidRPr="00BB3C8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B46F6B6" w14:textId="77777777" w:rsidR="009142F1" w:rsidRPr="00BB3C89" w:rsidRDefault="00F37D93">
      <w:pPr>
        <w:spacing w:before="240" w:after="240"/>
        <w:ind w:left="567"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w:t>
      </w:r>
      <w:r w:rsidRPr="00BB3C89">
        <w:rPr>
          <w:rFonts w:ascii="Palatino Linotype" w:eastAsia="Palatino Linotype" w:hAnsi="Palatino Linotype" w:cs="Palatino Linotype"/>
          <w:i/>
          <w:sz w:val="22"/>
          <w:szCs w:val="22"/>
        </w:rPr>
        <w:t>]</w:t>
      </w:r>
    </w:p>
    <w:p w14:paraId="4C739543" w14:textId="77777777" w:rsidR="009142F1" w:rsidRPr="00BB3C89" w:rsidRDefault="00F37D93">
      <w:pPr>
        <w:spacing w:before="240" w:after="240" w:line="276" w:lineRule="auto"/>
        <w:ind w:left="567" w:right="900"/>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 xml:space="preserve"> VII. La falta de respuesta a una solicitud de acceso a la información</w:t>
      </w:r>
      <w:r w:rsidRPr="00BB3C89">
        <w:rPr>
          <w:rFonts w:ascii="Palatino Linotype" w:eastAsia="Palatino Linotype" w:hAnsi="Palatino Linotype" w:cs="Palatino Linotype"/>
          <w:i/>
          <w:sz w:val="22"/>
          <w:szCs w:val="22"/>
        </w:rPr>
        <w:t>…”</w:t>
      </w:r>
    </w:p>
    <w:p w14:paraId="0931F7D8" w14:textId="77777777" w:rsidR="009142F1" w:rsidRPr="00BB3C89" w:rsidRDefault="00F37D93">
      <w:pPr>
        <w:spacing w:before="240" w:after="240" w:line="360" w:lineRule="auto"/>
        <w:ind w:right="900"/>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i/>
          <w:sz w:val="22"/>
          <w:szCs w:val="22"/>
        </w:rPr>
        <w:t xml:space="preserve">            (Sic) (Énfasis añadido)</w:t>
      </w:r>
    </w:p>
    <w:p w14:paraId="5CFDDE67" w14:textId="77777777" w:rsidR="009142F1" w:rsidRPr="00BB3C89" w:rsidRDefault="00F37D93">
      <w:pPr>
        <w:spacing w:before="280" w:after="280" w:line="360" w:lineRule="auto"/>
        <w:jc w:val="both"/>
        <w:rPr>
          <w:rFonts w:ascii="Palatino Linotype" w:eastAsia="Palatino Linotype" w:hAnsi="Palatino Linotype" w:cs="Palatino Linotype"/>
        </w:rPr>
      </w:pPr>
      <w:bookmarkStart w:id="1" w:name="_gjdgxs" w:colFirst="0" w:colLast="0"/>
      <w:bookmarkEnd w:id="1"/>
      <w:r w:rsidRPr="00BB3C89">
        <w:rPr>
          <w:rFonts w:ascii="Palatino Linotype" w:eastAsia="Palatino Linotype" w:hAnsi="Palatino Linotype" w:cs="Palatino Linotype"/>
          <w:b/>
        </w:rPr>
        <w:t>Tercero. Materia de la revisión.</w:t>
      </w:r>
      <w:r w:rsidRPr="00BB3C89">
        <w:rPr>
          <w:rFonts w:ascii="Palatino Linotype" w:eastAsia="Palatino Linotype" w:hAnsi="Palatino Linotype" w:cs="Palatino Linotype"/>
          <w:b/>
          <w:color w:val="FF0000"/>
        </w:rPr>
        <w:t xml:space="preserve"> </w:t>
      </w:r>
      <w:r w:rsidRPr="00BB3C89">
        <w:rPr>
          <w:rFonts w:ascii="Palatino Linotype" w:eastAsia="Palatino Linotype" w:hAnsi="Palatino Linotype" w:cs="Palatino Linotype"/>
        </w:rPr>
        <w:t xml:space="preserve">De la revisión a las constancias y documentos que obran en el expediente electrónico se advierte, que </w:t>
      </w:r>
      <w:r w:rsidR="00F93541" w:rsidRPr="00BB3C89">
        <w:rPr>
          <w:rFonts w:ascii="Palatino Linotype" w:eastAsia="Palatino Linotype" w:hAnsi="Palatino Linotype" w:cs="Palatino Linotype"/>
        </w:rPr>
        <w:t>el tema sobre el que este Organismo</w:t>
      </w:r>
      <w:r w:rsidRPr="00BB3C89">
        <w:rPr>
          <w:rFonts w:ascii="Palatino Linotype" w:eastAsia="Palatino Linotype" w:hAnsi="Palatino Linotype" w:cs="Palatino Linotype"/>
        </w:rPr>
        <w:t xml:space="preserve"> Garante de Transparencia y Acceso a la Información se pronunciará </w:t>
      </w:r>
      <w:r w:rsidRPr="00BB3C89">
        <w:rPr>
          <w:rFonts w:ascii="Palatino Linotype" w:eastAsia="Palatino Linotype" w:hAnsi="Palatino Linotype" w:cs="Palatino Linotype"/>
        </w:rPr>
        <w:lastRenderedPageBreak/>
        <w:t xml:space="preserve">será: </w:t>
      </w:r>
      <w:r w:rsidRPr="00BB3C89">
        <w:rPr>
          <w:rFonts w:ascii="Palatino Linotype" w:eastAsia="Palatino Linotype" w:hAnsi="Palatino Linotype" w:cs="Palatino Linotype"/>
          <w:b/>
        </w:rPr>
        <w:t xml:space="preserve">verificar si el pronunciamiento vertido en informe por el </w:t>
      </w:r>
      <w:r w:rsidR="002D241B" w:rsidRPr="00BB3C89">
        <w:rPr>
          <w:rFonts w:ascii="Palatino Linotype" w:eastAsia="Palatino Linotype" w:hAnsi="Palatino Linotype" w:cs="Palatino Linotype"/>
          <w:b/>
        </w:rPr>
        <w:t xml:space="preserve">SUJETO OBLIGADO </w:t>
      </w:r>
      <w:r w:rsidRPr="00BB3C89">
        <w:rPr>
          <w:rFonts w:ascii="Palatino Linotype" w:eastAsia="Palatino Linotype" w:hAnsi="Palatino Linotype" w:cs="Palatino Linotype"/>
          <w:b/>
        </w:rPr>
        <w:t xml:space="preserve">es adecuada y suficiente para satisfacer el derecho de acceso a la información pública </w:t>
      </w:r>
      <w:r w:rsidRPr="00BB3C89">
        <w:rPr>
          <w:rFonts w:ascii="Palatino Linotype" w:eastAsia="Palatino Linotype" w:hAnsi="Palatino Linotype" w:cs="Palatino Linotype"/>
        </w:rPr>
        <w:t>de la parte Recurrente, o en su defecto, en caso de ser procedente, ordenar la entrega de información oportuna.</w:t>
      </w:r>
    </w:p>
    <w:p w14:paraId="1249F375" w14:textId="77777777" w:rsidR="009142F1" w:rsidRPr="00BB3C89" w:rsidRDefault="00F37D93">
      <w:pPr>
        <w:spacing w:before="240" w:after="240" w:line="360" w:lineRule="auto"/>
        <w:jc w:val="both"/>
        <w:rPr>
          <w:rFonts w:ascii="Palatino Linotype" w:eastAsia="Palatino Linotype" w:hAnsi="Palatino Linotype" w:cs="Palatino Linotype"/>
          <w:b/>
          <w:sz w:val="28"/>
          <w:szCs w:val="28"/>
        </w:rPr>
      </w:pPr>
      <w:r w:rsidRPr="00BB3C89">
        <w:rPr>
          <w:rFonts w:ascii="Palatino Linotype" w:eastAsia="Palatino Linotype" w:hAnsi="Palatino Linotype" w:cs="Palatino Linotype"/>
          <w:b/>
        </w:rPr>
        <w:t xml:space="preserve">Cuarto. Estudio del asunto. </w:t>
      </w:r>
      <w:r w:rsidRPr="00BB3C89">
        <w:rPr>
          <w:rFonts w:ascii="Palatino Linotype" w:eastAsia="Palatino Linotype" w:hAnsi="Palatino Linotype" w:cs="Palatino Linotype"/>
        </w:rPr>
        <w:t>En este apartado se expondrán las razones y fundamentos de orden jurídico nacional y estatal que soportan la decisión de este Organismo Garante en el asunto que nos ocupa, tras analizar lo</w:t>
      </w:r>
      <w:r w:rsidR="002D241B" w:rsidRPr="00BB3C89">
        <w:rPr>
          <w:rFonts w:ascii="Palatino Linotype" w:eastAsia="Palatino Linotype" w:hAnsi="Palatino Linotype" w:cs="Palatino Linotype"/>
        </w:rPr>
        <w:t>s motivos de inconformidad del</w:t>
      </w:r>
      <w:r w:rsidRPr="00BB3C89">
        <w:rPr>
          <w:rFonts w:ascii="Palatino Linotype" w:eastAsia="Palatino Linotype" w:hAnsi="Palatino Linotype" w:cs="Palatino Linotype"/>
        </w:rPr>
        <w:t xml:space="preserve"> </w:t>
      </w:r>
      <w:r w:rsidRPr="00BB3C89">
        <w:rPr>
          <w:rFonts w:ascii="Palatino Linotype" w:eastAsia="Palatino Linotype" w:hAnsi="Palatino Linotype" w:cs="Palatino Linotype"/>
          <w:b/>
        </w:rPr>
        <w:t>Recurrente</w:t>
      </w:r>
      <w:r w:rsidRPr="00BB3C89">
        <w:rPr>
          <w:rFonts w:ascii="Palatino Linotype" w:eastAsia="Palatino Linotype" w:hAnsi="Palatino Linotype" w:cs="Palatino Linotype"/>
        </w:rPr>
        <w:t xml:space="preserve">, los argumentos del </w:t>
      </w:r>
      <w:r w:rsidR="002D241B" w:rsidRPr="00BB3C89">
        <w:rPr>
          <w:rFonts w:ascii="Palatino Linotype" w:eastAsia="Palatino Linotype" w:hAnsi="Palatino Linotype" w:cs="Palatino Linotype"/>
          <w:b/>
        </w:rPr>
        <w:t xml:space="preserve">SUJETO OBLIGADO </w:t>
      </w:r>
      <w:r w:rsidRPr="00BB3C89">
        <w:rPr>
          <w:rFonts w:ascii="Palatino Linotype" w:eastAsia="Palatino Linotype" w:hAnsi="Palatino Linotype" w:cs="Palatino Linotype"/>
        </w:rPr>
        <w:t>y</w:t>
      </w:r>
      <w:r w:rsidRPr="00BB3C89">
        <w:rPr>
          <w:rFonts w:ascii="Palatino Linotype" w:eastAsia="Palatino Linotype" w:hAnsi="Palatino Linotype" w:cs="Palatino Linotype"/>
          <w:b/>
        </w:rPr>
        <w:t xml:space="preserve"> </w:t>
      </w:r>
      <w:r w:rsidRPr="00BB3C89">
        <w:rPr>
          <w:rFonts w:ascii="Palatino Linotype" w:eastAsia="Palatino Linotype" w:hAnsi="Palatino Linotype" w:cs="Palatino Linotype"/>
        </w:rPr>
        <w:t>el marco jurídico aplicable.</w:t>
      </w:r>
    </w:p>
    <w:p w14:paraId="3A0D8168" w14:textId="77777777" w:rsidR="009142F1" w:rsidRPr="00BB3C89" w:rsidRDefault="00F37D93">
      <w:pPr>
        <w:spacing w:before="280" w:after="280"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rPr>
        <w:t xml:space="preserve">Previo al estudio del presente asunto, es conveniente precisar que la parte solicitante requirió al </w:t>
      </w:r>
      <w:r w:rsidR="002D241B" w:rsidRPr="00BB3C89">
        <w:rPr>
          <w:rFonts w:ascii="Palatino Linotype" w:eastAsia="Palatino Linotype" w:hAnsi="Palatino Linotype" w:cs="Palatino Linotype"/>
          <w:b/>
        </w:rPr>
        <w:t>SUJETO OBLIGADO</w:t>
      </w:r>
      <w:r w:rsidR="002D241B" w:rsidRPr="00BB3C89">
        <w:rPr>
          <w:rFonts w:ascii="Palatino Linotype" w:eastAsia="Palatino Linotype" w:hAnsi="Palatino Linotype" w:cs="Palatino Linotype"/>
        </w:rPr>
        <w:t xml:space="preserve"> </w:t>
      </w:r>
      <w:r w:rsidRPr="00BB3C89">
        <w:rPr>
          <w:rFonts w:ascii="Palatino Linotype" w:eastAsia="Palatino Linotype" w:hAnsi="Palatino Linotype" w:cs="Palatino Linotype"/>
        </w:rPr>
        <w:t>le proporcionara información consistente en lo siguiente:</w:t>
      </w:r>
    </w:p>
    <w:p w14:paraId="332A4B93" w14:textId="77777777" w:rsidR="00753CA3" w:rsidRPr="00BB3C89" w:rsidRDefault="00753CA3" w:rsidP="00753CA3">
      <w:pPr>
        <w:pStyle w:val="Prrafodelista"/>
        <w:numPr>
          <w:ilvl w:val="0"/>
          <w:numId w:val="2"/>
        </w:numPr>
        <w:spacing w:before="240" w:after="240" w:line="360" w:lineRule="auto"/>
        <w:ind w:right="49"/>
        <w:jc w:val="both"/>
        <w:rPr>
          <w:rFonts w:ascii="Palatino Linotype" w:eastAsia="Palatino Linotype" w:hAnsi="Palatino Linotype" w:cs="Palatino Linotype"/>
          <w:sz w:val="24"/>
          <w:szCs w:val="24"/>
          <w:lang w:eastAsia="es-ES"/>
        </w:rPr>
      </w:pPr>
      <w:r w:rsidRPr="00BB3C89">
        <w:rPr>
          <w:rFonts w:ascii="Palatino Linotype" w:eastAsia="Palatino Linotype" w:hAnsi="Palatino Linotype" w:cs="Palatino Linotype"/>
          <w:sz w:val="24"/>
        </w:rPr>
        <w:t>El acta final o de conclusión de gestión municipal que recibió la Directora de Administración y Finanzas;</w:t>
      </w:r>
      <w:r w:rsidRPr="00BB3C89">
        <w:rPr>
          <w:rFonts w:ascii="Palatino Linotype" w:eastAsia="Palatino Linotype" w:hAnsi="Palatino Linotype" w:cs="Palatino Linotype"/>
          <w:sz w:val="24"/>
          <w:szCs w:val="24"/>
          <w:lang w:eastAsia="es-ES"/>
        </w:rPr>
        <w:t xml:space="preserve"> </w:t>
      </w:r>
    </w:p>
    <w:p w14:paraId="78A2033E" w14:textId="77777777" w:rsidR="009142F1" w:rsidRPr="00BB3C89" w:rsidRDefault="00753CA3" w:rsidP="00753CA3">
      <w:pPr>
        <w:spacing w:before="240" w:after="240" w:line="360" w:lineRule="auto"/>
        <w:ind w:right="49"/>
        <w:jc w:val="both"/>
        <w:rPr>
          <w:rFonts w:ascii="Palatino Linotype" w:eastAsia="Palatino Linotype" w:hAnsi="Palatino Linotype" w:cs="Palatino Linotype"/>
        </w:rPr>
      </w:pPr>
      <w:r w:rsidRPr="00BB3C89">
        <w:rPr>
          <w:rFonts w:ascii="Palatino Linotype" w:eastAsia="Palatino Linotype" w:hAnsi="Palatino Linotype" w:cs="Palatino Linotype"/>
        </w:rPr>
        <w:t xml:space="preserve"> </w:t>
      </w:r>
      <w:r w:rsidR="00F37D93" w:rsidRPr="00BB3C89">
        <w:rPr>
          <w:rFonts w:ascii="Palatino Linotype" w:eastAsia="Palatino Linotype" w:hAnsi="Palatino Linotype" w:cs="Palatino Linotype"/>
        </w:rPr>
        <w:t xml:space="preserve">Sobre el particular, debe precisarse que el </w:t>
      </w:r>
      <w:r w:rsidR="002D241B" w:rsidRPr="00BB3C89">
        <w:rPr>
          <w:rFonts w:ascii="Palatino Linotype" w:eastAsia="Palatino Linotype" w:hAnsi="Palatino Linotype" w:cs="Palatino Linotype"/>
          <w:b/>
        </w:rPr>
        <w:t>SUJETO OBLIGADO</w:t>
      </w:r>
      <w:r w:rsidR="002D241B" w:rsidRPr="00BB3C89">
        <w:rPr>
          <w:rFonts w:ascii="Palatino Linotype" w:eastAsia="Palatino Linotype" w:hAnsi="Palatino Linotype" w:cs="Palatino Linotype"/>
        </w:rPr>
        <w:t xml:space="preserve"> </w:t>
      </w:r>
      <w:r w:rsidR="00F37D93" w:rsidRPr="00BB3C89">
        <w:rPr>
          <w:rFonts w:ascii="Palatino Linotype" w:eastAsia="Palatino Linotype" w:hAnsi="Palatino Linotype" w:cs="Palatino Linotype"/>
        </w:rPr>
        <w:t xml:space="preserve">fue omiso en emitir respuesta, lo cual derivó en la interposición del recurso de revisión que nos ocupa. </w:t>
      </w:r>
    </w:p>
    <w:p w14:paraId="7A634E3E" w14:textId="77777777" w:rsidR="00F250FF" w:rsidRPr="00BB3C89" w:rsidRDefault="00F37D93" w:rsidP="00F250FF">
      <w:pPr>
        <w:spacing w:before="240" w:after="240"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rPr>
        <w:t xml:space="preserve">Una vez admitido el presente medio de impugnación, el </w:t>
      </w:r>
      <w:r w:rsidR="00635183" w:rsidRPr="00BB3C89">
        <w:rPr>
          <w:rFonts w:ascii="Palatino Linotype" w:eastAsia="Palatino Linotype" w:hAnsi="Palatino Linotype" w:cs="Palatino Linotype"/>
          <w:b/>
          <w:sz w:val="21"/>
          <w:szCs w:val="21"/>
        </w:rPr>
        <w:t>Ayuntamiento de Naucalpan de Juárez</w:t>
      </w:r>
      <w:r w:rsidR="00635183" w:rsidRPr="00BB3C89">
        <w:rPr>
          <w:rFonts w:ascii="Palatino Linotype" w:eastAsia="Palatino Linotype" w:hAnsi="Palatino Linotype" w:cs="Palatino Linotype"/>
        </w:rPr>
        <w:t xml:space="preserve"> </w:t>
      </w:r>
      <w:r w:rsidRPr="00BB3C89">
        <w:rPr>
          <w:rFonts w:ascii="Palatino Linotype" w:eastAsia="Palatino Linotype" w:hAnsi="Palatino Linotype" w:cs="Palatino Linotype"/>
        </w:rPr>
        <w:t xml:space="preserve">en un acto posterior rindió su informe justificado, en el cual remitió </w:t>
      </w:r>
      <w:r w:rsidRPr="00BB3C89">
        <w:rPr>
          <w:rFonts w:ascii="Palatino Linotype" w:eastAsia="Palatino Linotype" w:hAnsi="Palatino Linotype" w:cs="Palatino Linotype"/>
        </w:rPr>
        <w:lastRenderedPageBreak/>
        <w:t xml:space="preserve">diversos archivos, mismos que se describieron de manera puntual en líneas anteriores y que se pusieron a la vista del </w:t>
      </w:r>
      <w:r w:rsidR="00635183" w:rsidRPr="00BB3C89">
        <w:rPr>
          <w:rFonts w:ascii="Palatino Linotype" w:eastAsia="Palatino Linotype" w:hAnsi="Palatino Linotype" w:cs="Palatino Linotype"/>
          <w:b/>
        </w:rPr>
        <w:t xml:space="preserve">Recurrente. </w:t>
      </w:r>
    </w:p>
    <w:p w14:paraId="4EBD8FF1" w14:textId="77777777" w:rsidR="00F250FF" w:rsidRPr="00BB3C89" w:rsidRDefault="00F250FF" w:rsidP="00F250FF">
      <w:pPr>
        <w:spacing w:before="240" w:after="240" w:line="360" w:lineRule="auto"/>
        <w:jc w:val="both"/>
        <w:rPr>
          <w:rFonts w:ascii="Palatino Linotype" w:eastAsia="Palatino Linotype" w:hAnsi="Palatino Linotype" w:cs="Palatino Linotype"/>
        </w:rPr>
      </w:pPr>
      <w:r w:rsidRPr="00BB3C89">
        <w:rPr>
          <w:rFonts w:ascii="Palatino Linotype" w:hAnsi="Palatino Linotype" w:cs="Arial"/>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w:t>
      </w:r>
      <w:r w:rsidR="00F93541" w:rsidRPr="00BB3C89">
        <w:rPr>
          <w:rFonts w:ascii="Palatino Linotype" w:hAnsi="Palatino Linotype" w:cs="Arial"/>
          <w:lang w:val="es-MX"/>
        </w:rPr>
        <w:t xml:space="preserve">narios sobre su gestión pública.  </w:t>
      </w:r>
    </w:p>
    <w:p w14:paraId="5947EE49" w14:textId="77777777" w:rsidR="00635183" w:rsidRPr="00BB3C89" w:rsidRDefault="00F250FF" w:rsidP="00193781">
      <w:pPr>
        <w:spacing w:before="240" w:after="240" w:line="360" w:lineRule="auto"/>
        <w:contextualSpacing/>
        <w:jc w:val="both"/>
        <w:rPr>
          <w:rFonts w:ascii="Palatino Linotype" w:hAnsi="Palatino Linotype" w:cs="Arial"/>
          <w:lang w:val="es-MX"/>
        </w:rPr>
      </w:pPr>
      <w:r w:rsidRPr="00BB3C89">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78D4947" w14:textId="77777777" w:rsidR="00E552D8" w:rsidRPr="00BB3C89" w:rsidRDefault="00E552D8" w:rsidP="00193781">
      <w:pPr>
        <w:spacing w:before="240" w:after="240" w:line="360" w:lineRule="auto"/>
        <w:contextualSpacing/>
        <w:jc w:val="both"/>
        <w:rPr>
          <w:rFonts w:ascii="Palatino Linotype" w:hAnsi="Palatino Linotype" w:cs="Arial"/>
          <w:lang w:val="es-MX"/>
        </w:rPr>
      </w:pPr>
    </w:p>
    <w:p w14:paraId="4240EBB4" w14:textId="77777777" w:rsidR="00635183" w:rsidRPr="00BB3C89" w:rsidRDefault="00F250FF" w:rsidP="00193781">
      <w:pPr>
        <w:spacing w:before="240" w:after="240" w:line="360" w:lineRule="auto"/>
        <w:contextualSpacing/>
        <w:jc w:val="both"/>
        <w:rPr>
          <w:rFonts w:ascii="Palatino Linotype" w:hAnsi="Palatino Linotype" w:cs="Arial"/>
          <w:lang w:val="es-MX"/>
        </w:rPr>
      </w:pPr>
      <w:r w:rsidRPr="00BB3C89">
        <w:rPr>
          <w:rFonts w:ascii="Palatino Linotype" w:hAnsi="Palatino Linotype" w:cs="Arial"/>
          <w:lang w:val="es-MX"/>
        </w:rPr>
        <w:t>En el caso concreto que nos ocupa analizar, el particular requirió del Ayuntamiento de Naucalpan de Juárez</w:t>
      </w:r>
      <w:r w:rsidRPr="00BB3C89">
        <w:rPr>
          <w:rFonts w:ascii="Palatino Linotype" w:hAnsi="Palatino Linotype"/>
          <w:b/>
        </w:rPr>
        <w:t xml:space="preserve"> </w:t>
      </w:r>
      <w:r w:rsidRPr="00BB3C89">
        <w:rPr>
          <w:rFonts w:ascii="Palatino Linotype" w:eastAsia="Palatino Linotype" w:hAnsi="Palatino Linotype" w:cs="Palatino Linotype"/>
        </w:rPr>
        <w:t>el acta final o de conclusión de gestión municipal que recibió la Directora de Administración y Finanzas</w:t>
      </w:r>
      <w:r w:rsidRPr="00BB3C89">
        <w:rPr>
          <w:rFonts w:ascii="Palatino Linotype" w:hAnsi="Palatino Linotype" w:cs="Arial"/>
          <w:lang w:val="es-MX"/>
        </w:rPr>
        <w:t xml:space="preserve">; siendo importante señalar que el </w:t>
      </w:r>
      <w:r w:rsidRPr="00BB3C89">
        <w:rPr>
          <w:rFonts w:ascii="Palatino Linotype" w:hAnsi="Palatino Linotype" w:cs="Arial"/>
          <w:b/>
          <w:lang w:val="es-MX"/>
        </w:rPr>
        <w:t>SUJETO OBLIGADO</w:t>
      </w:r>
      <w:r w:rsidRPr="00BB3C89">
        <w:rPr>
          <w:rFonts w:ascii="Palatino Linotype" w:hAnsi="Palatino Linotype" w:cs="Arial"/>
          <w:lang w:val="es-MX"/>
        </w:rPr>
        <w:t xml:space="preserve"> no respondió satisfactoriamente </w:t>
      </w:r>
      <w:r w:rsidRPr="00BB3C89">
        <w:rPr>
          <w:rFonts w:ascii="Palatino Linotype" w:hAnsi="Palatino Linotype" w:cs="Arial"/>
          <w:lang w:val="es-MX"/>
        </w:rPr>
        <w:lastRenderedPageBreak/>
        <w:t>a la solicitud presentada, pues refiere que no es posible otorgar el acceso a la información solicitada al no haberse precisado temporalidad de la información solicitada</w:t>
      </w:r>
      <w:r w:rsidR="00E552D8" w:rsidRPr="00BB3C89">
        <w:rPr>
          <w:rFonts w:ascii="Palatino Linotype" w:hAnsi="Palatino Linotype" w:cs="Arial"/>
          <w:lang w:val="es-MX"/>
        </w:rPr>
        <w:t xml:space="preserve"> y resultar incierta la solicitud</w:t>
      </w:r>
      <w:r w:rsidRPr="00BB3C89">
        <w:rPr>
          <w:rFonts w:ascii="Palatino Linotype" w:hAnsi="Palatino Linotype" w:cs="Arial"/>
          <w:lang w:val="es-MX"/>
        </w:rPr>
        <w:t xml:space="preserve">, lo que constituye una afectación indiscutible al derecho humano de acceso a la información pública. </w:t>
      </w:r>
    </w:p>
    <w:p w14:paraId="4F9F3A19" w14:textId="77777777" w:rsidR="008A28A8" w:rsidRPr="00BB3C89" w:rsidRDefault="008A28A8" w:rsidP="008A28A8">
      <w:pPr>
        <w:pStyle w:val="Prrafodelista"/>
        <w:spacing w:before="240" w:after="240" w:line="360" w:lineRule="auto"/>
        <w:ind w:left="0" w:right="49"/>
        <w:contextualSpacing/>
        <w:jc w:val="both"/>
        <w:rPr>
          <w:rFonts w:ascii="Palatino Linotype" w:hAnsi="Palatino Linotype" w:cs="Arial"/>
          <w:i/>
          <w:color w:val="000000" w:themeColor="text1"/>
          <w:sz w:val="24"/>
        </w:rPr>
      </w:pPr>
      <w:r w:rsidRPr="00BB3C89">
        <w:rPr>
          <w:rFonts w:ascii="Palatino Linotype" w:hAnsi="Palatino Linotype" w:cs="Arial"/>
          <w:sz w:val="24"/>
        </w:rPr>
        <w:t>Ahora, previo a evaluar si las razones o motivos de inconformidad resultan fundados o no</w:t>
      </w:r>
      <w:r w:rsidR="00E552D8" w:rsidRPr="00BB3C89">
        <w:rPr>
          <w:rFonts w:ascii="Palatino Linotype" w:hAnsi="Palatino Linotype" w:cs="Arial"/>
          <w:sz w:val="24"/>
        </w:rPr>
        <w:t xml:space="preserve">, </w:t>
      </w:r>
      <w:r w:rsidRPr="00BB3C89">
        <w:rPr>
          <w:rFonts w:ascii="Palatino Linotype" w:hAnsi="Palatino Linotype" w:cs="Arial"/>
          <w:sz w:val="24"/>
        </w:rPr>
        <w:t xml:space="preserve"> cabe hacer mención que si bien es cierto que </w:t>
      </w:r>
      <w:r w:rsidRPr="00BB3C89">
        <w:rPr>
          <w:rFonts w:ascii="Palatino Linotype" w:eastAsia="Arial Unicode MS" w:hAnsi="Palatino Linotype" w:cs="Arial"/>
          <w:sz w:val="24"/>
        </w:rPr>
        <w:t xml:space="preserve">en el formato mediante el cual se interpuso su solicitud de información expresó que: </w:t>
      </w:r>
      <w:r w:rsidRPr="00BB3C89">
        <w:rPr>
          <w:rFonts w:ascii="Palatino Linotype" w:hAnsi="Palatino Linotype"/>
          <w:i/>
          <w:sz w:val="24"/>
        </w:rPr>
        <w:t>“</w:t>
      </w:r>
      <w:r w:rsidRPr="00BB3C89">
        <w:rPr>
          <w:rFonts w:ascii="Palatino Linotype" w:hAnsi="Palatino Linotype"/>
          <w:b/>
          <w:i/>
          <w:sz w:val="24"/>
          <w:u w:val="single"/>
        </w:rPr>
        <w:t>QUIERO EN VERSIÓN PÚBLICA EL ACTA FINAL O DE CONCLUSIÓN DE GESTIÓN MUNICIPAL QUE RECIBIÓ LA DIRECTORA DE ADMINISTRACIÓN Y FINANZAS.</w:t>
      </w:r>
      <w:r w:rsidRPr="00BB3C89">
        <w:rPr>
          <w:rFonts w:ascii="Palatino Linotype" w:hAnsi="Palatino Linotype"/>
          <w:i/>
          <w:sz w:val="24"/>
        </w:rPr>
        <w:t>.</w:t>
      </w:r>
      <w:r w:rsidRPr="00BB3C89">
        <w:rPr>
          <w:rFonts w:ascii="Palatino Linotype" w:eastAsia="Calibri" w:hAnsi="Palatino Linotype" w:cs="Arial"/>
          <w:i/>
          <w:sz w:val="24"/>
        </w:rPr>
        <w:t xml:space="preserve">” (Sic)(Énfasis añadido), </w:t>
      </w:r>
      <w:r w:rsidRPr="00BB3C89">
        <w:rPr>
          <w:rFonts w:ascii="Palatino Linotype" w:eastAsia="Calibri" w:hAnsi="Palatino Linotype" w:cs="Arial"/>
          <w:b/>
          <w:sz w:val="24"/>
          <w:u w:val="single"/>
        </w:rPr>
        <w:t>también lo es</w:t>
      </w:r>
      <w:r w:rsidRPr="00BB3C89">
        <w:rPr>
          <w:rFonts w:ascii="Palatino Linotype" w:eastAsia="Calibri" w:hAnsi="Palatino Linotype" w:cs="Arial"/>
          <w:i/>
          <w:sz w:val="24"/>
        </w:rPr>
        <w:t xml:space="preserve"> </w:t>
      </w:r>
      <w:r w:rsidRPr="00BB3C89">
        <w:rPr>
          <w:rFonts w:ascii="Palatino Linotype" w:eastAsia="Calibri" w:hAnsi="Palatino Linotype" w:cs="Arial"/>
          <w:sz w:val="24"/>
        </w:rPr>
        <w:t xml:space="preserve">que </w:t>
      </w:r>
      <w:r w:rsidRPr="00BB3C89">
        <w:rPr>
          <w:rFonts w:ascii="Palatino Linotype" w:hAnsi="Palatino Linotype"/>
          <w:sz w:val="24"/>
          <w:lang w:eastAsia="es-MX"/>
        </w:rPr>
        <w:t xml:space="preserve">resulta procedente suplir la deficiencia de la queja en términos de la </w:t>
      </w:r>
      <w:r w:rsidRPr="00BB3C89">
        <w:rPr>
          <w:rFonts w:ascii="Palatino Linotype" w:hAnsi="Palatino Linotype"/>
          <w:b/>
          <w:sz w:val="24"/>
          <w:lang w:eastAsia="es-MX"/>
        </w:rPr>
        <w:t>Ley de Transparencia y Acceso a la Información Pública del Estado de México y Municipios</w:t>
      </w:r>
      <w:r w:rsidRPr="00BB3C89">
        <w:rPr>
          <w:rFonts w:ascii="Palatino Linotype" w:hAnsi="Palatino Linotype"/>
          <w:sz w:val="24"/>
          <w:lang w:eastAsia="es-MX"/>
        </w:rPr>
        <w:t>, concretamente en sus artículos 13 y 181, tercer párrafo, donde se señala el deber de este Instituto de suplir cualquier deficiencia para garantizar el derecho de acceso a la información a favor de los recurrentes sin cambiar los hechos expuestos; tal y como se lee a continuación:</w:t>
      </w:r>
    </w:p>
    <w:p w14:paraId="2A84A587" w14:textId="77777777" w:rsidR="008A28A8" w:rsidRPr="00BB3C89" w:rsidRDefault="008A28A8" w:rsidP="008A28A8">
      <w:pPr>
        <w:pStyle w:val="Prrafodelista"/>
        <w:shd w:val="clear" w:color="auto" w:fill="FFFFFF"/>
        <w:spacing w:line="360" w:lineRule="auto"/>
        <w:ind w:left="0"/>
        <w:jc w:val="both"/>
        <w:rPr>
          <w:rFonts w:ascii="Palatino Linotype" w:hAnsi="Palatino Linotype"/>
          <w:color w:val="000000" w:themeColor="text1"/>
        </w:rPr>
      </w:pPr>
    </w:p>
    <w:p w14:paraId="3DCEFAB8" w14:textId="77777777" w:rsidR="008A28A8" w:rsidRPr="00BB3C89" w:rsidRDefault="008A28A8" w:rsidP="008A28A8">
      <w:pPr>
        <w:shd w:val="clear" w:color="auto" w:fill="FFFFFF"/>
        <w:spacing w:before="240" w:after="240"/>
        <w:ind w:left="567" w:right="567"/>
        <w:jc w:val="both"/>
        <w:rPr>
          <w:rFonts w:ascii="Palatino Linotype" w:hAnsi="Palatino Linotype"/>
          <w:lang w:val="es-MX" w:eastAsia="es-MX"/>
        </w:rPr>
      </w:pPr>
      <w:r w:rsidRPr="00BB3C89">
        <w:rPr>
          <w:rFonts w:ascii="Palatino Linotype" w:hAnsi="Palatino Linotype"/>
          <w:b/>
          <w:bCs/>
          <w:i/>
          <w:iCs/>
          <w:sz w:val="22"/>
          <w:szCs w:val="22"/>
          <w:lang w:eastAsia="es-MX"/>
        </w:rPr>
        <w:t>Artículo 13</w:t>
      </w:r>
      <w:r w:rsidRPr="00BB3C89">
        <w:rPr>
          <w:rFonts w:ascii="Palatino Linotype" w:hAnsi="Palatino Linotype"/>
          <w:i/>
          <w:iCs/>
          <w:sz w:val="22"/>
          <w:szCs w:val="22"/>
          <w:lang w:eastAsia="es-MX"/>
        </w:rPr>
        <w:t>. El Instituto, en el ámbito de sus atribuciones, deberá suplir cualquier deficiencia para garantizar el ejercicio del derecho de acceso a la información.</w:t>
      </w:r>
    </w:p>
    <w:p w14:paraId="4875340B" w14:textId="77777777" w:rsidR="008A28A8" w:rsidRPr="00BB3C89" w:rsidRDefault="008A28A8" w:rsidP="008A28A8">
      <w:pPr>
        <w:shd w:val="clear" w:color="auto" w:fill="FFFFFF"/>
        <w:ind w:left="567" w:right="567"/>
        <w:jc w:val="both"/>
        <w:rPr>
          <w:rFonts w:ascii="Palatino Linotype" w:hAnsi="Palatino Linotype"/>
          <w:i/>
          <w:iCs/>
          <w:sz w:val="22"/>
          <w:szCs w:val="22"/>
          <w:lang w:eastAsia="es-MX"/>
        </w:rPr>
      </w:pPr>
      <w:r w:rsidRPr="00BB3C89">
        <w:rPr>
          <w:rFonts w:ascii="Palatino Linotype" w:hAnsi="Palatino Linotype"/>
          <w:b/>
          <w:bCs/>
          <w:i/>
          <w:iCs/>
          <w:sz w:val="22"/>
          <w:szCs w:val="22"/>
          <w:lang w:eastAsia="es-MX"/>
        </w:rPr>
        <w:t>Artículo 181.</w:t>
      </w:r>
      <w:r w:rsidRPr="00BB3C89">
        <w:rPr>
          <w:rFonts w:ascii="Palatino Linotype" w:hAnsi="Palatino Linotype"/>
          <w:i/>
          <w:iCs/>
          <w:sz w:val="22"/>
          <w:szCs w:val="22"/>
          <w:lang w:eastAsia="es-MX"/>
        </w:rPr>
        <w:t> </w:t>
      </w:r>
    </w:p>
    <w:p w14:paraId="535A639C" w14:textId="77777777" w:rsidR="008A28A8" w:rsidRPr="00BB3C89" w:rsidRDefault="008A28A8" w:rsidP="008A28A8">
      <w:pPr>
        <w:shd w:val="clear" w:color="auto" w:fill="FFFFFF"/>
        <w:ind w:left="567" w:right="567"/>
        <w:jc w:val="both"/>
        <w:rPr>
          <w:rFonts w:ascii="Palatino Linotype" w:hAnsi="Palatino Linotype"/>
          <w:lang w:val="es-MX" w:eastAsia="es-MX"/>
        </w:rPr>
      </w:pPr>
      <w:r w:rsidRPr="00BB3C89">
        <w:rPr>
          <w:rFonts w:ascii="Palatino Linotype" w:hAnsi="Palatino Linotype"/>
          <w:i/>
          <w:iCs/>
          <w:sz w:val="22"/>
          <w:szCs w:val="22"/>
          <w:lang w:eastAsia="es-MX"/>
        </w:rPr>
        <w:t>(…)</w:t>
      </w:r>
    </w:p>
    <w:p w14:paraId="4DAC3ACD" w14:textId="77777777" w:rsidR="008A28A8" w:rsidRPr="00BB3C89" w:rsidRDefault="008A28A8" w:rsidP="008A28A8">
      <w:pPr>
        <w:shd w:val="clear" w:color="auto" w:fill="FFFFFF"/>
        <w:ind w:left="567" w:right="567"/>
        <w:jc w:val="both"/>
        <w:rPr>
          <w:rFonts w:ascii="Palatino Linotype" w:hAnsi="Palatino Linotype"/>
          <w:i/>
          <w:iCs/>
          <w:sz w:val="22"/>
          <w:szCs w:val="22"/>
          <w:lang w:eastAsia="es-MX"/>
        </w:rPr>
      </w:pPr>
      <w:r w:rsidRPr="00BB3C89">
        <w:rPr>
          <w:rFonts w:ascii="Palatino Linotype" w:hAnsi="Palatino Linotype"/>
          <w:i/>
          <w:iCs/>
          <w:sz w:val="22"/>
          <w:szCs w:val="22"/>
          <w:lang w:eastAsia="es-MX"/>
        </w:rPr>
        <w:t xml:space="preserve">Durante el procedimiento deberá aplicarse la suplencia de la queja a favor del recurrente, sin cambiar los hechos expuestos, asegurándose de que las partes puedan </w:t>
      </w:r>
      <w:r w:rsidRPr="00BB3C89">
        <w:rPr>
          <w:rFonts w:ascii="Palatino Linotype" w:hAnsi="Palatino Linotype"/>
          <w:i/>
          <w:iCs/>
          <w:sz w:val="22"/>
          <w:szCs w:val="22"/>
          <w:lang w:eastAsia="es-MX"/>
        </w:rPr>
        <w:lastRenderedPageBreak/>
        <w:t>presentar, de manera oral o escrita, los argumentos que funden y motiven sus pretensiones.</w:t>
      </w:r>
    </w:p>
    <w:p w14:paraId="6358B039" w14:textId="77777777" w:rsidR="008A28A8" w:rsidRPr="00BB3C89" w:rsidRDefault="008A28A8" w:rsidP="008A28A8">
      <w:pPr>
        <w:shd w:val="clear" w:color="auto" w:fill="FFFFFF"/>
        <w:ind w:right="567"/>
        <w:jc w:val="both"/>
        <w:rPr>
          <w:rFonts w:ascii="Palatino Linotype" w:hAnsi="Palatino Linotype"/>
          <w:i/>
          <w:iCs/>
          <w:sz w:val="22"/>
          <w:szCs w:val="22"/>
          <w:lang w:eastAsia="es-MX"/>
        </w:rPr>
      </w:pPr>
    </w:p>
    <w:p w14:paraId="5C6D6E2C" w14:textId="77777777" w:rsidR="008A28A8" w:rsidRPr="00BB3C89" w:rsidRDefault="008A28A8" w:rsidP="008A28A8">
      <w:pPr>
        <w:shd w:val="clear" w:color="auto" w:fill="FFFFFF"/>
        <w:spacing w:line="360" w:lineRule="auto"/>
        <w:jc w:val="both"/>
        <w:rPr>
          <w:rFonts w:ascii="Palatino Linotype" w:hAnsi="Palatino Linotype"/>
          <w:i/>
          <w:iCs/>
          <w:sz w:val="22"/>
          <w:szCs w:val="22"/>
          <w:lang w:eastAsia="es-MX"/>
        </w:rPr>
      </w:pPr>
      <w:r w:rsidRPr="00BB3C89">
        <w:rPr>
          <w:rFonts w:ascii="Palatino Linotype" w:hAnsi="Palatino Linotype"/>
          <w:lang w:eastAsia="es-MX"/>
        </w:rPr>
        <w:t>Así también en armonía con lo señalado en la jurisprudencia y en la tesis aislada, emitida por la Suprema Corte de Justicia de la Nación, que llevan por rubro respectivamente; “</w:t>
      </w:r>
      <w:r w:rsidRPr="00BB3C89">
        <w:rPr>
          <w:rFonts w:ascii="Palatino Linotype" w:hAnsi="Palatino Linotype"/>
          <w:i/>
          <w:lang w:eastAsia="es-MX"/>
        </w:rPr>
        <w:t>SUPLENCIA DE LA QUEJA DEFICIENTE</w:t>
      </w:r>
      <w:r w:rsidRPr="00BB3C89">
        <w:rPr>
          <w:rFonts w:ascii="Palatino Linotype" w:hAnsi="Palatino Linotype"/>
          <w:i/>
          <w:iCs/>
          <w:lang w:eastAsia="es-MX"/>
        </w:rPr>
        <w:t xml:space="preserve"> SU PROCEDENCIA EN OTRAS MATERIAS, AUN A FALTA DE CONCEPTO DE VIOLACIÓN O AGRAVIO, CUANDO SE ADVIERTA VIOLACIÓN GRAVE Y MANIFIESTA DE LA LEY”</w:t>
      </w:r>
      <w:r w:rsidRPr="00BB3C89">
        <w:rPr>
          <w:rStyle w:val="Refdenotaalpie"/>
          <w:rFonts w:ascii="Palatino Linotype" w:hAnsi="Palatino Linotype"/>
          <w:i/>
          <w:iCs/>
          <w:lang w:eastAsia="es-MX"/>
        </w:rPr>
        <w:footnoteReference w:id="1"/>
      </w:r>
      <w:r w:rsidRPr="00BB3C89">
        <w:rPr>
          <w:rFonts w:ascii="Palatino Linotype" w:hAnsi="Palatino Linotype"/>
          <w:lang w:eastAsia="es-MX"/>
        </w:rPr>
        <w:t xml:space="preserve"> y </w:t>
      </w:r>
      <w:r w:rsidRPr="00BB3C89">
        <w:rPr>
          <w:rFonts w:ascii="Palatino Linotype" w:hAnsi="Palatino Linotype"/>
          <w:i/>
          <w:iCs/>
          <w:lang w:eastAsia="es-MX"/>
        </w:rPr>
        <w:t>“SUPLENCIA DE LA QUEJA DEFICIENTE EN MATERIAS CIVIL Y ADMINISTRATIVA (INTERPRETACIÓN DEL ARTÍCULO 79, FRACCIÓN VI, DE LA LEY DE AMPARO).”</w:t>
      </w:r>
      <w:r w:rsidRPr="00BB3C89">
        <w:rPr>
          <w:rStyle w:val="Refdenotaalpie"/>
          <w:rFonts w:ascii="Palatino Linotype" w:hAnsi="Palatino Linotype"/>
          <w:i/>
          <w:iCs/>
          <w:lang w:eastAsia="es-MX"/>
        </w:rPr>
        <w:footnoteReference w:id="2"/>
      </w:r>
      <w:r w:rsidRPr="00BB3C89">
        <w:rPr>
          <w:rFonts w:ascii="Palatino Linotype" w:hAnsi="Palatino Linotype"/>
          <w:lang w:eastAsia="es-MX"/>
        </w:rPr>
        <w:t xml:space="preserve">, que indican esencialmente que es obligación del </w:t>
      </w:r>
      <w:r w:rsidRPr="00BB3C89">
        <w:rPr>
          <w:rFonts w:ascii="Palatino Linotype" w:hAnsi="Palatino Linotype"/>
          <w:lang w:eastAsia="es-MX"/>
        </w:rPr>
        <w:lastRenderedPageBreak/>
        <w:t>juzgador suplir la queja deficiente ante una violación evidente de la ley que haya dejado sin defensa al particular, aún ante la ausencia de concepto de violación con el fin de evitar el beneficio de una de las partes a costa de la indefensión de la otra.</w:t>
      </w:r>
    </w:p>
    <w:p w14:paraId="6D28644D" w14:textId="77777777" w:rsidR="008A28A8" w:rsidRPr="00BB3C89" w:rsidRDefault="008A28A8" w:rsidP="008A28A8">
      <w:pPr>
        <w:pStyle w:val="Prrafodelista"/>
        <w:spacing w:before="240" w:after="240" w:line="360" w:lineRule="auto"/>
        <w:ind w:left="0"/>
        <w:contextualSpacing/>
        <w:jc w:val="both"/>
        <w:rPr>
          <w:rFonts w:ascii="Palatino Linotype" w:eastAsia="Palatino Linotype" w:hAnsi="Palatino Linotype" w:cs="Palatino Linotype"/>
          <w:sz w:val="24"/>
          <w:szCs w:val="24"/>
        </w:rPr>
      </w:pPr>
      <w:r w:rsidRPr="00BB3C89">
        <w:rPr>
          <w:rFonts w:ascii="Palatino Linotype" w:hAnsi="Palatino Linotype"/>
          <w:sz w:val="24"/>
          <w:szCs w:val="24"/>
          <w:shd w:val="clear" w:color="auto" w:fill="FFFFFF"/>
          <w:lang w:eastAsia="es-MX"/>
        </w:rPr>
        <w:t>Lo anterior, se estima resulta aplicable en el caso concreto, derivado de que si bien es cierto la petición</w:t>
      </w:r>
      <w:r w:rsidR="00E552D8" w:rsidRPr="00BB3C89">
        <w:rPr>
          <w:rFonts w:ascii="Palatino Linotype" w:hAnsi="Palatino Linotype"/>
          <w:sz w:val="24"/>
          <w:szCs w:val="24"/>
          <w:shd w:val="clear" w:color="auto" w:fill="FFFFFF"/>
          <w:lang w:eastAsia="es-MX"/>
        </w:rPr>
        <w:t xml:space="preserve"> del particular</w:t>
      </w:r>
      <w:r w:rsidRPr="00BB3C89">
        <w:rPr>
          <w:rFonts w:ascii="Palatino Linotype" w:hAnsi="Palatino Linotype"/>
          <w:sz w:val="24"/>
          <w:szCs w:val="24"/>
          <w:shd w:val="clear" w:color="auto" w:fill="FFFFFF"/>
          <w:lang w:eastAsia="es-MX"/>
        </w:rPr>
        <w:t xml:space="preserve"> consistió</w:t>
      </w:r>
      <w:r w:rsidR="00E552D8" w:rsidRPr="00BB3C89">
        <w:rPr>
          <w:rFonts w:ascii="Palatino Linotype" w:hAnsi="Palatino Linotype"/>
          <w:sz w:val="24"/>
          <w:szCs w:val="24"/>
          <w:shd w:val="clear" w:color="auto" w:fill="FFFFFF"/>
          <w:lang w:eastAsia="es-MX"/>
        </w:rPr>
        <w:t xml:space="preserve"> en </w:t>
      </w:r>
      <w:r w:rsidRPr="00BB3C89">
        <w:rPr>
          <w:rFonts w:ascii="Palatino Linotype" w:hAnsi="Palatino Linotype"/>
          <w:sz w:val="24"/>
          <w:szCs w:val="24"/>
          <w:shd w:val="clear" w:color="auto" w:fill="FFFFFF"/>
          <w:lang w:eastAsia="es-MX"/>
        </w:rPr>
        <w:t xml:space="preserve">acceder </w:t>
      </w:r>
      <w:proofErr w:type="gramStart"/>
      <w:r w:rsidRPr="00BB3C89">
        <w:rPr>
          <w:rFonts w:ascii="Palatino Linotype" w:hAnsi="Palatino Linotype"/>
          <w:sz w:val="24"/>
          <w:szCs w:val="24"/>
          <w:shd w:val="clear" w:color="auto" w:fill="FFFFFF"/>
          <w:lang w:eastAsia="es-MX"/>
        </w:rPr>
        <w:t xml:space="preserve">al </w:t>
      </w:r>
      <w:r w:rsidRPr="00BB3C89">
        <w:rPr>
          <w:rFonts w:ascii="Palatino Linotype" w:eastAsia="Palatino Linotype" w:hAnsi="Palatino Linotype" w:cs="Palatino Linotype"/>
          <w:sz w:val="24"/>
          <w:szCs w:val="24"/>
        </w:rPr>
        <w:t xml:space="preserve"> acta</w:t>
      </w:r>
      <w:proofErr w:type="gramEnd"/>
      <w:r w:rsidRPr="00BB3C89">
        <w:rPr>
          <w:rFonts w:ascii="Palatino Linotype" w:eastAsia="Palatino Linotype" w:hAnsi="Palatino Linotype" w:cs="Palatino Linotype"/>
          <w:sz w:val="24"/>
          <w:szCs w:val="24"/>
        </w:rPr>
        <w:t xml:space="preserve"> final o de conclusión de gestión municipal que recibió la Directora de Administración y Finanzas, bajo la óptica de esta autoridad se precisa que el particular requiere el acta de entrega recepción generada con motivo de la </w:t>
      </w:r>
      <w:r w:rsidR="00E30360" w:rsidRPr="00BB3C89">
        <w:rPr>
          <w:rFonts w:ascii="Palatino Linotype" w:eastAsia="Palatino Linotype" w:hAnsi="Palatino Linotype" w:cs="Palatino Linotype"/>
          <w:sz w:val="24"/>
          <w:szCs w:val="24"/>
        </w:rPr>
        <w:t>entrega</w:t>
      </w:r>
      <w:r w:rsidRPr="00BB3C89">
        <w:rPr>
          <w:rFonts w:ascii="Palatino Linotype" w:eastAsia="Palatino Linotype" w:hAnsi="Palatino Linotype" w:cs="Palatino Linotype"/>
          <w:sz w:val="24"/>
          <w:szCs w:val="24"/>
        </w:rPr>
        <w:t xml:space="preserve"> de la </w:t>
      </w:r>
      <w:r w:rsidR="00E30360" w:rsidRPr="00BB3C89">
        <w:rPr>
          <w:rFonts w:ascii="Palatino Linotype" w:eastAsia="Palatino Linotype" w:hAnsi="Palatino Linotype" w:cs="Palatino Linotype"/>
          <w:sz w:val="24"/>
          <w:szCs w:val="24"/>
        </w:rPr>
        <w:t xml:space="preserve">Dirección de Administración y Finanzas al actual titular. </w:t>
      </w:r>
    </w:p>
    <w:p w14:paraId="419CC167" w14:textId="77777777" w:rsidR="00815DFE" w:rsidRPr="00BB3C89" w:rsidRDefault="00815DFE" w:rsidP="008A28A8">
      <w:pPr>
        <w:pStyle w:val="Prrafodelista"/>
        <w:spacing w:before="240" w:after="240" w:line="360" w:lineRule="auto"/>
        <w:ind w:left="0"/>
        <w:contextualSpacing/>
        <w:jc w:val="both"/>
        <w:rPr>
          <w:rFonts w:ascii="Palatino Linotype" w:eastAsia="Palatino Linotype" w:hAnsi="Palatino Linotype" w:cs="Palatino Linotype"/>
          <w:sz w:val="24"/>
          <w:szCs w:val="24"/>
        </w:rPr>
      </w:pPr>
    </w:p>
    <w:p w14:paraId="35B467C2" w14:textId="77777777" w:rsidR="00815DFE" w:rsidRPr="00BB3C89" w:rsidRDefault="00815DFE" w:rsidP="008A28A8">
      <w:pPr>
        <w:pStyle w:val="Prrafodelista"/>
        <w:spacing w:before="240" w:after="240" w:line="360" w:lineRule="auto"/>
        <w:ind w:left="0"/>
        <w:contextualSpacing/>
        <w:jc w:val="both"/>
        <w:rPr>
          <w:rFonts w:ascii="Palatino Linotype" w:eastAsia="Palatino Linotype" w:hAnsi="Palatino Linotype" w:cs="Palatino Linotype"/>
          <w:sz w:val="24"/>
          <w:szCs w:val="24"/>
        </w:rPr>
      </w:pPr>
      <w:r w:rsidRPr="00BB3C89">
        <w:rPr>
          <w:rFonts w:ascii="Palatino Linotype" w:eastAsia="Palatino Linotype" w:hAnsi="Palatino Linotype" w:cs="Palatino Linotype"/>
          <w:sz w:val="24"/>
          <w:szCs w:val="24"/>
        </w:rPr>
        <w:t xml:space="preserve">Así mismo, resulta de importancia señalar que si bien el particular al referir el cargo en la solicitud de información  refirió que correspondía la documentación solicitada a la Directora de Administración y Finanzas, de la revisión al contenido del Bando municipal para el presente ejercicio fiscal del SUJETO OBLIGADO en su artículo 43 señala que </w:t>
      </w:r>
      <w:r w:rsidRPr="00BB3C89">
        <w:rPr>
          <w:rFonts w:ascii="Palatino Linotype" w:hAnsi="Palatino Linotype"/>
          <w:sz w:val="24"/>
          <w:szCs w:val="24"/>
        </w:rPr>
        <w:t xml:space="preserve">la Administración Pública Centralizada se constituyen por las dependencias que señala la Ley Orgánica Municipal del Estado de México, aquellas que determine el Reglamento Orgánico y por las que sean creadas por el Ayuntamiento, mismas que estarán jerárquicamente subordinadas al Presidente </w:t>
      </w:r>
      <w:r w:rsidR="00C63683" w:rsidRPr="00BB3C89">
        <w:rPr>
          <w:rFonts w:ascii="Palatino Linotype" w:hAnsi="Palatino Linotype"/>
          <w:sz w:val="24"/>
          <w:szCs w:val="24"/>
        </w:rPr>
        <w:lastRenderedPageBreak/>
        <w:t xml:space="preserve">Municipio, entre </w:t>
      </w:r>
      <w:r w:rsidRPr="00BB3C89">
        <w:rPr>
          <w:rFonts w:ascii="Palatino Linotype" w:hAnsi="Palatino Linotype"/>
          <w:sz w:val="24"/>
          <w:szCs w:val="24"/>
        </w:rPr>
        <w:t xml:space="preserve">las que se encuentra la  Dirección General de Administración, en este sentido la información que alude el particular lo es la citada dirección. </w:t>
      </w:r>
    </w:p>
    <w:p w14:paraId="64FD410F" w14:textId="77777777" w:rsidR="008A28A8" w:rsidRPr="00BB3C89" w:rsidRDefault="00815DFE" w:rsidP="008A28A8">
      <w:pPr>
        <w:pStyle w:val="Prrafodelista"/>
        <w:spacing w:before="240" w:after="240" w:line="360" w:lineRule="auto"/>
        <w:ind w:left="0"/>
        <w:contextualSpacing/>
        <w:jc w:val="both"/>
        <w:rPr>
          <w:rFonts w:ascii="Palatino Linotype" w:hAnsi="Palatino Linotype"/>
          <w:shd w:val="clear" w:color="auto" w:fill="FFFFFF"/>
          <w:lang w:eastAsia="es-MX"/>
        </w:rPr>
      </w:pPr>
      <w:r w:rsidRPr="00BB3C89">
        <w:rPr>
          <w:rFonts w:ascii="Palatino Linotype" w:eastAsia="Palatino Linotype" w:hAnsi="Palatino Linotype" w:cs="Palatino Linotype"/>
        </w:rPr>
        <w:t xml:space="preserve"> </w:t>
      </w:r>
    </w:p>
    <w:p w14:paraId="62B5D681" w14:textId="77777777" w:rsidR="0002301D" w:rsidRPr="00BB3C89" w:rsidRDefault="00965313" w:rsidP="00965313">
      <w:pPr>
        <w:pStyle w:val="Prrafodelista"/>
        <w:tabs>
          <w:tab w:val="left" w:pos="0"/>
          <w:tab w:val="left" w:pos="426"/>
        </w:tabs>
        <w:spacing w:line="360" w:lineRule="auto"/>
        <w:ind w:left="0"/>
        <w:contextualSpacing/>
        <w:jc w:val="both"/>
        <w:rPr>
          <w:rFonts w:ascii="Palatino Linotype" w:hAnsi="Palatino Linotype" w:cs="Arial"/>
          <w:bCs/>
          <w:sz w:val="24"/>
        </w:rPr>
      </w:pPr>
      <w:r w:rsidRPr="00BB3C89">
        <w:rPr>
          <w:rFonts w:ascii="Palatino Linotype" w:hAnsi="Palatino Linotype" w:cs="Arial"/>
          <w:sz w:val="24"/>
        </w:rPr>
        <w:t xml:space="preserve">Así, es necesario referir que </w:t>
      </w:r>
      <w:r w:rsidRPr="00BB3C89">
        <w:rPr>
          <w:rFonts w:ascii="Palatino Linotype" w:hAnsi="Palatino Linotype" w:cs="Arial"/>
          <w:bCs/>
          <w:sz w:val="24"/>
        </w:rPr>
        <w:t>el Órgano Superior de Fiscalización del Estado de México (OSFEM), con apego al artículo 19 de la Ley Orgánica Municipal, emite lineamientos, términos, instructivos, formatos, cédulas y demás documentación, con la finalidad de que los servidores públicos al concluir el periodo de su encargo, inicien con la entrega-recepción de manera ordenada, puntual, objetiva, transparente, ordenada y confiable, garantizando la continuidad en el servicio público, así como en los asuntos, proyectos y programas de los cuales se hará cargo la nueva administración. Información que es recabada por el Órgano Superior de</w:t>
      </w:r>
    </w:p>
    <w:p w14:paraId="74F30EF1" w14:textId="77777777" w:rsidR="008A28A8" w:rsidRPr="00BB3C89" w:rsidRDefault="008A28A8" w:rsidP="0002301D">
      <w:pPr>
        <w:pStyle w:val="Prrafodelista"/>
        <w:tabs>
          <w:tab w:val="left" w:pos="0"/>
          <w:tab w:val="left" w:pos="426"/>
        </w:tabs>
        <w:spacing w:line="360" w:lineRule="auto"/>
        <w:ind w:left="0"/>
        <w:contextualSpacing/>
        <w:jc w:val="both"/>
        <w:rPr>
          <w:rFonts w:ascii="Palatino Linotype" w:eastAsia="MS Mincho" w:hAnsi="Palatino Linotype" w:cs="Arial"/>
          <w:i/>
          <w:sz w:val="24"/>
        </w:rPr>
      </w:pPr>
    </w:p>
    <w:p w14:paraId="2B912BF6" w14:textId="77777777" w:rsidR="00965313" w:rsidRPr="00BB3C89" w:rsidRDefault="00965313" w:rsidP="00815DFE">
      <w:pPr>
        <w:pStyle w:val="Prrafodelista"/>
        <w:tabs>
          <w:tab w:val="left" w:pos="0"/>
          <w:tab w:val="left" w:pos="426"/>
        </w:tabs>
        <w:spacing w:line="360" w:lineRule="auto"/>
        <w:ind w:left="0"/>
        <w:contextualSpacing/>
        <w:jc w:val="both"/>
        <w:rPr>
          <w:rFonts w:ascii="Palatino Linotype" w:hAnsi="Palatino Linotype" w:cs="Arial"/>
          <w:bCs/>
          <w:sz w:val="24"/>
          <w:szCs w:val="24"/>
        </w:rPr>
      </w:pPr>
      <w:r w:rsidRPr="00BB3C89">
        <w:rPr>
          <w:rFonts w:ascii="Palatino Linotype" w:eastAsia="MS Mincho" w:hAnsi="Palatino Linotype" w:cs="Arial"/>
          <w:sz w:val="24"/>
          <w:szCs w:val="24"/>
        </w:rPr>
        <w:t xml:space="preserve">Luego entonces </w:t>
      </w:r>
      <w:r w:rsidRPr="00BB3C89">
        <w:rPr>
          <w:rFonts w:ascii="Palatino Linotype" w:hAnsi="Palatino Linotype" w:cs="Arial"/>
          <w:bCs/>
          <w:sz w:val="24"/>
          <w:szCs w:val="24"/>
        </w:rPr>
        <w:t>el Órgano Superior de Fiscalización del Estado de México emite los</w:t>
      </w:r>
      <w:r w:rsidR="0002301D" w:rsidRPr="00BB3C89">
        <w:rPr>
          <w:rFonts w:ascii="Palatino Linotype" w:hAnsi="Palatino Linotype" w:cs="Arial"/>
          <w:bCs/>
          <w:sz w:val="24"/>
          <w:szCs w:val="24"/>
        </w:rPr>
        <w:t xml:space="preserve"> </w:t>
      </w:r>
      <w:r w:rsidR="0002301D" w:rsidRPr="00BB3C89">
        <w:rPr>
          <w:rFonts w:ascii="Palatino Linotype" w:eastAsia="MS Mincho" w:hAnsi="Palatino Linotype" w:cs="Arial"/>
          <w:color w:val="000000" w:themeColor="text1"/>
          <w:sz w:val="24"/>
          <w:szCs w:val="24"/>
          <w:lang w:val="es-MX"/>
        </w:rPr>
        <w:t>LINEAMIENTOS QUE NORMAN LA ENTREGARECEPCIÓN DE LOS AYUNTAMIENTOS, SUS DEPENDENCIAS Y ORGANISMOS DESCENTRALIZADOS MUNICIPALES DEL ESTADO DE MÉXICO</w:t>
      </w:r>
      <w:r w:rsidRPr="00BB3C89">
        <w:rPr>
          <w:rFonts w:ascii="Palatino Linotype" w:hAnsi="Palatino Linotype" w:cs="Arial"/>
          <w:bCs/>
          <w:sz w:val="24"/>
          <w:szCs w:val="24"/>
        </w:rPr>
        <w:t>, en la cual se deberá asentar información de la unidad administrativa que se entrega, en temas como: información de la oficina que se entrega, información de evaluación programática, administrativa, financiera, laboral, catastral, de obras públicas, general, patrimonial, entre otra.</w:t>
      </w:r>
    </w:p>
    <w:p w14:paraId="7B50524F" w14:textId="77777777" w:rsidR="0068217E" w:rsidRPr="00BB3C89" w:rsidRDefault="0002301D" w:rsidP="0002301D">
      <w:pPr>
        <w:spacing w:before="240" w:after="240"/>
        <w:ind w:left="720" w:right="49"/>
        <w:jc w:val="both"/>
        <w:rPr>
          <w:rFonts w:ascii="Palatino Linotype" w:hAnsi="Palatino Linotype"/>
          <w:i/>
        </w:rPr>
      </w:pPr>
      <w:r w:rsidRPr="00BB3C89">
        <w:rPr>
          <w:rFonts w:ascii="Palatino Linotype" w:hAnsi="Palatino Linotype"/>
          <w:i/>
        </w:rPr>
        <w:t>Artículo 2. Para los efectos de estos lineamientos se entenderá por</w:t>
      </w:r>
    </w:p>
    <w:p w14:paraId="537287A6" w14:textId="77777777" w:rsidR="0002301D" w:rsidRPr="00BB3C89" w:rsidRDefault="0002301D" w:rsidP="0002301D">
      <w:pPr>
        <w:spacing w:before="240" w:after="240"/>
        <w:ind w:left="720" w:right="49"/>
        <w:jc w:val="both"/>
        <w:rPr>
          <w:rFonts w:ascii="Palatino Linotype" w:hAnsi="Palatino Linotype"/>
          <w:i/>
        </w:rPr>
      </w:pPr>
      <w:r w:rsidRPr="00BB3C89">
        <w:rPr>
          <w:rFonts w:ascii="Palatino Linotype" w:hAnsi="Palatino Linotype"/>
          <w:i/>
        </w:rPr>
        <w:t>…</w:t>
      </w:r>
    </w:p>
    <w:p w14:paraId="6BCADB52" w14:textId="77777777" w:rsidR="0002301D" w:rsidRPr="00BB3C89" w:rsidRDefault="0002301D" w:rsidP="0002301D">
      <w:pPr>
        <w:spacing w:before="240" w:after="240"/>
        <w:ind w:left="720" w:right="49"/>
        <w:jc w:val="both"/>
        <w:rPr>
          <w:rFonts w:ascii="Palatino Linotype" w:hAnsi="Palatino Linotype"/>
          <w:i/>
        </w:rPr>
      </w:pPr>
      <w:r w:rsidRPr="00BB3C89">
        <w:rPr>
          <w:rFonts w:ascii="Palatino Linotype" w:hAnsi="Palatino Linotype"/>
          <w:i/>
        </w:rPr>
        <w:lastRenderedPageBreak/>
        <w:t>III. Acta de entrega-recepción: Al instrumento jurídico que formaliza el acto de entrega-recepción, en el que se establecen los datos de los participantes, la relación de la información y el soporte documental de la gestión municipal, observaciones, firmas y anexos;</w:t>
      </w:r>
    </w:p>
    <w:p w14:paraId="604CC7D5" w14:textId="77777777" w:rsidR="0002301D" w:rsidRPr="00BB3C89" w:rsidRDefault="0002301D" w:rsidP="0002301D">
      <w:pPr>
        <w:spacing w:before="240" w:after="240"/>
        <w:ind w:left="720" w:right="49"/>
        <w:jc w:val="both"/>
        <w:rPr>
          <w:rFonts w:ascii="Palatino Linotype" w:hAnsi="Palatino Linotype"/>
          <w:i/>
        </w:rPr>
      </w:pPr>
      <w:r w:rsidRPr="00BB3C89">
        <w:rPr>
          <w:rFonts w:ascii="Palatino Linotype" w:hAnsi="Palatino Linotype"/>
          <w:i/>
        </w:rPr>
        <w:t>…</w:t>
      </w:r>
    </w:p>
    <w:p w14:paraId="7C9B17B5" w14:textId="77777777" w:rsidR="0002301D" w:rsidRPr="00BB3C89" w:rsidRDefault="0002301D" w:rsidP="0002301D">
      <w:pPr>
        <w:spacing w:before="240" w:after="240"/>
        <w:ind w:left="720" w:right="49"/>
        <w:jc w:val="both"/>
        <w:rPr>
          <w:rFonts w:ascii="Palatino Linotype" w:hAnsi="Palatino Linotype"/>
          <w:i/>
        </w:rPr>
      </w:pPr>
      <w:r w:rsidRPr="00BB3C89">
        <w:rPr>
          <w:rFonts w:ascii="Palatino Linotype" w:hAnsi="Palatino Linotype"/>
          <w:i/>
        </w:rPr>
        <w:t>a. Acta final o de conclusión de gestión constitucional (AER-1): Instrumento jurídico que se debe utilizar por los servidores públicos al término de un empleo, cargo o comisión, cualquiera que sea el motivo; o la que deben efectuar los servidores públicos, dentro de los términos establecidos, posterior a la culminación del periodo constitucional municipal</w:t>
      </w:r>
    </w:p>
    <w:p w14:paraId="64E97915" w14:textId="77777777" w:rsidR="00815DFE" w:rsidRPr="00BB3C89" w:rsidRDefault="00815DFE" w:rsidP="0002301D">
      <w:pPr>
        <w:spacing w:before="240" w:after="240"/>
        <w:ind w:left="720" w:right="49"/>
        <w:jc w:val="both"/>
        <w:rPr>
          <w:rFonts w:ascii="Palatino Linotype" w:eastAsia="Palatino Linotype" w:hAnsi="Palatino Linotype" w:cs="Palatino Linotype"/>
          <w:b/>
          <w:i/>
        </w:rPr>
      </w:pPr>
      <w:r w:rsidRPr="00BB3C89">
        <w:rPr>
          <w:rFonts w:ascii="Palatino Linotype" w:eastAsia="Palatino Linotype" w:hAnsi="Palatino Linotype" w:cs="Palatino Linotype"/>
          <w:b/>
          <w:i/>
        </w:rPr>
        <w:t>…</w:t>
      </w:r>
    </w:p>
    <w:p w14:paraId="6BD6FE0E" w14:textId="77777777" w:rsidR="00815DFE" w:rsidRPr="00BB3C89" w:rsidRDefault="00815DFE" w:rsidP="00815DFE">
      <w:pPr>
        <w:spacing w:before="240" w:after="240"/>
        <w:ind w:left="720" w:right="49"/>
        <w:jc w:val="both"/>
        <w:rPr>
          <w:rFonts w:ascii="Palatino Linotype" w:hAnsi="Palatino Linotype"/>
          <w:i/>
          <w:sz w:val="22"/>
        </w:rPr>
      </w:pPr>
      <w:r w:rsidRPr="00BB3C89">
        <w:rPr>
          <w:rFonts w:ascii="Palatino Linotype" w:hAnsi="Palatino Linotype"/>
          <w:i/>
          <w:sz w:val="22"/>
        </w:rPr>
        <w:t>Artículo 4. Son sujetos de estos lineamientos los servidores públicos entrantes y salientes, de la Administración Pública Municipal, desde el Presidente Municipal, Síndicos y Regidores, titulares de dependencias y unidades administrativas, hasta el nivel jerárquico correspondiente a jefes de departamento o sus equivalentes, y a los demás servidores públicos que, por la naturaleza e importancia de sus funciones, deban realizar el acto de entrega-recepción.</w:t>
      </w:r>
    </w:p>
    <w:p w14:paraId="31DD60B7" w14:textId="77777777" w:rsidR="00815DFE" w:rsidRPr="00BB3C89" w:rsidRDefault="00815DFE" w:rsidP="00815DFE">
      <w:pPr>
        <w:spacing w:before="240" w:after="240"/>
        <w:ind w:left="720" w:right="49"/>
        <w:jc w:val="both"/>
        <w:rPr>
          <w:rFonts w:ascii="Palatino Linotype" w:hAnsi="Palatino Linotype"/>
          <w:i/>
          <w:sz w:val="22"/>
        </w:rPr>
      </w:pPr>
      <w:r w:rsidRPr="00BB3C89">
        <w:rPr>
          <w:rFonts w:ascii="Palatino Linotype" w:hAnsi="Palatino Linotype"/>
          <w:i/>
          <w:sz w:val="22"/>
        </w:rPr>
        <w:t>…</w:t>
      </w:r>
    </w:p>
    <w:p w14:paraId="14D40940" w14:textId="77777777" w:rsidR="00815DFE" w:rsidRPr="00BB3C89" w:rsidRDefault="00815DFE" w:rsidP="00815DFE">
      <w:pPr>
        <w:spacing w:before="240" w:after="240"/>
        <w:ind w:left="720" w:right="49"/>
        <w:jc w:val="both"/>
        <w:rPr>
          <w:rFonts w:ascii="Palatino Linotype" w:hAnsi="Palatino Linotype"/>
          <w:i/>
          <w:sz w:val="22"/>
        </w:rPr>
      </w:pPr>
      <w:r w:rsidRPr="00BB3C89">
        <w:rPr>
          <w:rFonts w:ascii="Palatino Linotype" w:hAnsi="Palatino Linotype"/>
          <w:i/>
          <w:sz w:val="22"/>
        </w:rPr>
        <w:t xml:space="preserve">Artículo 11. Los servidores públicos que participan en el procedimiento administrativo de entrega-recepción son: </w:t>
      </w:r>
    </w:p>
    <w:p w14:paraId="25739BA4" w14:textId="77777777" w:rsidR="00815DFE" w:rsidRPr="00BB3C89" w:rsidRDefault="00815DFE" w:rsidP="00815DFE">
      <w:pPr>
        <w:spacing w:before="240" w:after="240"/>
        <w:ind w:left="720" w:right="49"/>
        <w:jc w:val="both"/>
        <w:rPr>
          <w:rFonts w:ascii="Palatino Linotype" w:hAnsi="Palatino Linotype"/>
          <w:i/>
          <w:sz w:val="22"/>
        </w:rPr>
      </w:pPr>
      <w:r w:rsidRPr="00BB3C89">
        <w:rPr>
          <w:rFonts w:ascii="Palatino Linotype" w:hAnsi="Palatino Linotype"/>
          <w:i/>
          <w:sz w:val="22"/>
        </w:rPr>
        <w:t xml:space="preserve">I. El servidor público entrante; </w:t>
      </w:r>
    </w:p>
    <w:p w14:paraId="5F26AFAE" w14:textId="77777777" w:rsidR="00815DFE" w:rsidRPr="00BB3C89" w:rsidRDefault="00815DFE" w:rsidP="00815DFE">
      <w:pPr>
        <w:spacing w:before="240" w:after="240"/>
        <w:ind w:left="720" w:right="49"/>
        <w:jc w:val="both"/>
        <w:rPr>
          <w:rFonts w:ascii="Palatino Linotype" w:hAnsi="Palatino Linotype"/>
          <w:i/>
          <w:sz w:val="22"/>
        </w:rPr>
      </w:pPr>
      <w:r w:rsidRPr="00BB3C89">
        <w:rPr>
          <w:rFonts w:ascii="Palatino Linotype" w:hAnsi="Palatino Linotype"/>
          <w:i/>
          <w:sz w:val="22"/>
        </w:rPr>
        <w:t>II. El servidor público saliente o el servidor público que presenta la información; III. La persona titular del Órgano Interno de Control o Síndico o, en su caso, Representante;</w:t>
      </w:r>
    </w:p>
    <w:p w14:paraId="6A2E7C87" w14:textId="77777777" w:rsidR="00815DFE" w:rsidRPr="00BB3C89" w:rsidRDefault="00815DFE" w:rsidP="00815DFE">
      <w:pPr>
        <w:spacing w:before="240" w:after="240"/>
        <w:ind w:left="720" w:right="49"/>
        <w:jc w:val="both"/>
        <w:rPr>
          <w:rFonts w:ascii="Palatino Linotype" w:hAnsi="Palatino Linotype"/>
          <w:i/>
          <w:sz w:val="22"/>
        </w:rPr>
      </w:pPr>
      <w:r w:rsidRPr="00BB3C89">
        <w:rPr>
          <w:rFonts w:ascii="Palatino Linotype" w:hAnsi="Palatino Linotype"/>
          <w:i/>
          <w:sz w:val="22"/>
        </w:rPr>
        <w:t xml:space="preserve"> IV. El testigo del servidor público entrante, y </w:t>
      </w:r>
    </w:p>
    <w:p w14:paraId="146C2A7A" w14:textId="77777777" w:rsidR="00815DFE" w:rsidRPr="00BB3C89" w:rsidRDefault="00815DFE" w:rsidP="00815DFE">
      <w:pPr>
        <w:spacing w:before="240" w:after="240"/>
        <w:ind w:left="720" w:right="49"/>
        <w:jc w:val="both"/>
        <w:rPr>
          <w:rFonts w:ascii="Palatino Linotype" w:eastAsia="Palatino Linotype" w:hAnsi="Palatino Linotype" w:cs="Palatino Linotype"/>
          <w:b/>
          <w:i/>
          <w:sz w:val="22"/>
        </w:rPr>
      </w:pPr>
      <w:r w:rsidRPr="00BB3C89">
        <w:rPr>
          <w:rFonts w:ascii="Palatino Linotype" w:hAnsi="Palatino Linotype"/>
          <w:i/>
          <w:sz w:val="22"/>
        </w:rPr>
        <w:t>V. El testigo del servidor público saliente o el testigo del servidor público que presenta la información.</w:t>
      </w:r>
    </w:p>
    <w:p w14:paraId="14A63F39" w14:textId="77777777" w:rsidR="00965313" w:rsidRPr="00BB3C89" w:rsidRDefault="00965313">
      <w:pPr>
        <w:spacing w:before="240" w:after="240" w:line="360" w:lineRule="auto"/>
        <w:ind w:right="49"/>
        <w:jc w:val="both"/>
        <w:rPr>
          <w:rFonts w:ascii="Palatino Linotype" w:eastAsia="Palatino Linotype" w:hAnsi="Palatino Linotype" w:cs="Palatino Linotype"/>
          <w:b/>
        </w:rPr>
      </w:pPr>
    </w:p>
    <w:p w14:paraId="48D42A53" w14:textId="77777777" w:rsidR="00815DFE" w:rsidRPr="00BB3C89" w:rsidRDefault="00815DFE" w:rsidP="00815DFE">
      <w:pPr>
        <w:spacing w:before="240" w:after="240"/>
        <w:ind w:left="720" w:right="49"/>
        <w:jc w:val="both"/>
        <w:rPr>
          <w:rFonts w:ascii="Palatino Linotype" w:hAnsi="Palatino Linotype"/>
          <w:i/>
          <w:sz w:val="22"/>
        </w:rPr>
      </w:pPr>
      <w:r w:rsidRPr="00BB3C89">
        <w:rPr>
          <w:rFonts w:ascii="Palatino Linotype" w:hAnsi="Palatino Linotype"/>
          <w:i/>
          <w:sz w:val="22"/>
        </w:rPr>
        <w:lastRenderedPageBreak/>
        <w:t xml:space="preserve">Artículo 12. Los participantes del acto de entrega-recepción deben exhibir en original y entregar en copia simple o certificada la documentación siguiente, la cual se agregará al acta de entrega-recepción correspondiente: </w:t>
      </w:r>
    </w:p>
    <w:p w14:paraId="0E6889F9" w14:textId="77777777" w:rsidR="00815DFE" w:rsidRPr="00BB3C89" w:rsidRDefault="00815DFE" w:rsidP="00815DFE">
      <w:pPr>
        <w:spacing w:before="240" w:after="240"/>
        <w:ind w:left="720" w:right="49"/>
        <w:jc w:val="both"/>
        <w:rPr>
          <w:rFonts w:ascii="Palatino Linotype" w:hAnsi="Palatino Linotype"/>
          <w:i/>
          <w:sz w:val="22"/>
        </w:rPr>
      </w:pPr>
      <w:r w:rsidRPr="00BB3C89">
        <w:rPr>
          <w:rFonts w:ascii="Palatino Linotype" w:hAnsi="Palatino Linotype"/>
          <w:i/>
          <w:sz w:val="22"/>
        </w:rPr>
        <w:t xml:space="preserve">I. Servidor público entrante: Documento que acredite el empleo, cargo o comisión indicando la fecha de inicio del mismo, que debe ser la misma o anterior al acto de entrega-recepción, pero de ninguna manera posterior; identificación oficial; comprobante de domicilio no mayor a dos meses de antigüedad; certificación de competencia laboral en los casos requeridos por las disposiciones legales aplicables, expedida por las instancias correspondientes; </w:t>
      </w:r>
    </w:p>
    <w:p w14:paraId="5B81C470" w14:textId="77777777" w:rsidR="00815DFE" w:rsidRPr="00BB3C89" w:rsidRDefault="00815DFE" w:rsidP="00815DFE">
      <w:pPr>
        <w:spacing w:before="240" w:after="240"/>
        <w:ind w:left="720" w:right="49"/>
        <w:jc w:val="both"/>
        <w:rPr>
          <w:rFonts w:ascii="Palatino Linotype" w:hAnsi="Palatino Linotype"/>
          <w:i/>
          <w:sz w:val="22"/>
        </w:rPr>
      </w:pPr>
      <w:r w:rsidRPr="00BB3C89">
        <w:rPr>
          <w:rFonts w:ascii="Palatino Linotype" w:hAnsi="Palatino Linotype"/>
          <w:i/>
          <w:sz w:val="22"/>
        </w:rPr>
        <w:t xml:space="preserve">II. Servidor público saliente: Documento que acredite el empleo, cargo o comisión, indicando la fecha de inicio del mismo; identificación oficial; comprobante de domicilio no mayor a dos meses de antigüedad; documento que avale la separación del empleo, cargo o comisión, y constancias de no adeudo; </w:t>
      </w:r>
    </w:p>
    <w:p w14:paraId="1C59D242" w14:textId="77777777" w:rsidR="00815DFE" w:rsidRPr="00BB3C89" w:rsidRDefault="00815DFE" w:rsidP="00815DFE">
      <w:pPr>
        <w:spacing w:before="240" w:after="240"/>
        <w:ind w:left="720" w:right="49"/>
        <w:jc w:val="both"/>
        <w:rPr>
          <w:rFonts w:ascii="Palatino Linotype" w:hAnsi="Palatino Linotype"/>
          <w:i/>
          <w:sz w:val="22"/>
        </w:rPr>
      </w:pPr>
      <w:r w:rsidRPr="00BB3C89">
        <w:rPr>
          <w:rFonts w:ascii="Palatino Linotype" w:hAnsi="Palatino Linotype"/>
          <w:i/>
          <w:sz w:val="22"/>
        </w:rPr>
        <w:t>III. Servidor público que presenta la información: Documento que lo faculta para recabar y presentar la información en el acto de entrega-recepción; identificación oficial, y comprobante de domicilio no mayor a dos meses de antigüedad;</w:t>
      </w:r>
    </w:p>
    <w:p w14:paraId="3CE3F216" w14:textId="77777777" w:rsidR="00815DFE" w:rsidRPr="00BB3C89" w:rsidRDefault="00815DFE" w:rsidP="00815DFE">
      <w:pPr>
        <w:spacing w:before="240" w:after="240"/>
        <w:ind w:left="720" w:right="49"/>
        <w:jc w:val="both"/>
        <w:rPr>
          <w:rFonts w:ascii="Palatino Linotype" w:hAnsi="Palatino Linotype"/>
          <w:i/>
          <w:sz w:val="22"/>
        </w:rPr>
      </w:pPr>
      <w:r w:rsidRPr="00BB3C89">
        <w:rPr>
          <w:rFonts w:ascii="Palatino Linotype" w:hAnsi="Palatino Linotype"/>
          <w:i/>
          <w:sz w:val="22"/>
        </w:rPr>
        <w:t xml:space="preserve"> IV. Persona titular del Órgano Interno de Control o Síndico o su Representante, según sea el caso: Identificación oficial y, cuando aplique, oficio de acreditación del Representante, y </w:t>
      </w:r>
    </w:p>
    <w:p w14:paraId="0FCB141B" w14:textId="77777777" w:rsidR="00635183" w:rsidRPr="00BB3C89" w:rsidRDefault="00815DFE" w:rsidP="00815DFE">
      <w:pPr>
        <w:spacing w:before="240" w:after="240"/>
        <w:ind w:left="720" w:right="49"/>
        <w:jc w:val="both"/>
        <w:rPr>
          <w:rFonts w:ascii="Palatino Linotype" w:eastAsia="Palatino Linotype" w:hAnsi="Palatino Linotype" w:cs="Palatino Linotype"/>
          <w:b/>
          <w:i/>
          <w:sz w:val="22"/>
        </w:rPr>
      </w:pPr>
      <w:r w:rsidRPr="00BB3C89">
        <w:rPr>
          <w:rFonts w:ascii="Palatino Linotype" w:hAnsi="Palatino Linotype"/>
          <w:i/>
          <w:sz w:val="22"/>
        </w:rPr>
        <w:t>V. Testigos: Identificación oficial.</w:t>
      </w:r>
    </w:p>
    <w:p w14:paraId="7CCF08AD" w14:textId="77777777" w:rsidR="002B0994" w:rsidRPr="00BB3C89" w:rsidRDefault="002B0994">
      <w:pPr>
        <w:spacing w:before="240" w:after="240" w:line="360" w:lineRule="auto"/>
        <w:ind w:right="49"/>
        <w:jc w:val="both"/>
        <w:rPr>
          <w:rFonts w:ascii="Palatino Linotype" w:hAnsi="Palatino Linotype"/>
        </w:rPr>
      </w:pPr>
      <w:r w:rsidRPr="00BB3C89">
        <w:rPr>
          <w:rFonts w:ascii="Palatino Linotype" w:eastAsia="Palatino Linotype" w:hAnsi="Palatino Linotype" w:cs="Palatino Linotype"/>
          <w:b/>
        </w:rPr>
        <w:t xml:space="preserve">De lo transcrito, </w:t>
      </w:r>
      <w:r w:rsidRPr="00BB3C89">
        <w:rPr>
          <w:rFonts w:ascii="Palatino Linotype" w:eastAsia="Palatino Linotype" w:hAnsi="Palatino Linotype" w:cs="Palatino Linotype"/>
        </w:rPr>
        <w:t xml:space="preserve">queda en evidencia que el </w:t>
      </w:r>
      <w:r w:rsidRPr="00BB3C89">
        <w:rPr>
          <w:rFonts w:ascii="Palatino Linotype" w:hAnsi="Palatino Linotype"/>
        </w:rPr>
        <w:t>acta de entrega-recepción es el instrumento jurídico que formaliza el acto de entrega-recepción, en el que se establecen los datos de los participantes, la relación de la información y el soporte documental de la gestión municipal, observaciones, firmas y anexos.</w:t>
      </w:r>
    </w:p>
    <w:p w14:paraId="2D8CCFE2" w14:textId="77777777" w:rsidR="002B0994" w:rsidRPr="00BB3C89" w:rsidRDefault="002B0994">
      <w:pPr>
        <w:spacing w:before="240" w:after="240" w:line="360" w:lineRule="auto"/>
        <w:ind w:right="49"/>
        <w:jc w:val="both"/>
        <w:rPr>
          <w:rFonts w:ascii="Palatino Linotype" w:hAnsi="Palatino Linotype"/>
        </w:rPr>
      </w:pPr>
      <w:r w:rsidRPr="00BB3C89">
        <w:rPr>
          <w:rFonts w:ascii="Palatino Linotype" w:hAnsi="Palatino Linotype"/>
        </w:rPr>
        <w:t xml:space="preserve">Además, también se precisa que </w:t>
      </w:r>
      <w:r w:rsidRPr="00BB3C89">
        <w:rPr>
          <w:rFonts w:ascii="Palatino Linotype" w:hAnsi="Palatino Linotype"/>
          <w:sz w:val="22"/>
        </w:rPr>
        <w:t xml:space="preserve">están obligados a observar esos lineamientos los servidores públicos entrantes y salientes, de la Administración Pública Municipal, desde el Presidente Municipal, Síndicos y Regidores, titulares de dependencias y unidades </w:t>
      </w:r>
      <w:r w:rsidRPr="00BB3C89">
        <w:rPr>
          <w:rFonts w:ascii="Palatino Linotype" w:hAnsi="Palatino Linotype"/>
          <w:sz w:val="22"/>
        </w:rPr>
        <w:lastRenderedPageBreak/>
        <w:t>administrativas, hasta el nivel jerárquico correspondiente a jefes de departamento o sus equivalentes, y a los demás servidores públicos que, por la naturaleza e importancia de sus funciones, deban realizar el acto de entrega-recepción.</w:t>
      </w:r>
    </w:p>
    <w:p w14:paraId="0E0FCE79" w14:textId="77777777" w:rsidR="002B0994" w:rsidRPr="00BB3C89" w:rsidRDefault="002B0994">
      <w:pPr>
        <w:spacing w:before="240" w:after="240" w:line="360" w:lineRule="auto"/>
        <w:ind w:right="49"/>
        <w:jc w:val="both"/>
        <w:rPr>
          <w:rFonts w:ascii="Palatino Linotype" w:hAnsi="Palatino Linotype"/>
        </w:rPr>
      </w:pPr>
      <w:r w:rsidRPr="00BB3C89">
        <w:rPr>
          <w:rFonts w:ascii="Palatino Linotype" w:hAnsi="Palatino Linotype"/>
        </w:rPr>
        <w:t xml:space="preserve">Por lo anterior, queda clara la obligación que le </w:t>
      </w:r>
      <w:r w:rsidR="007D5770" w:rsidRPr="00BB3C89">
        <w:rPr>
          <w:rFonts w:ascii="Palatino Linotype" w:hAnsi="Palatino Linotype"/>
        </w:rPr>
        <w:t>constriñe</w:t>
      </w:r>
      <w:r w:rsidRPr="00BB3C89">
        <w:rPr>
          <w:rFonts w:ascii="Palatino Linotype" w:hAnsi="Palatino Linotype"/>
        </w:rPr>
        <w:t xml:space="preserve"> al SUJETO OBLIGADO de conocer de las documentales que </w:t>
      </w:r>
      <w:r w:rsidR="007D5770" w:rsidRPr="00BB3C89">
        <w:rPr>
          <w:rFonts w:ascii="Palatino Linotype" w:hAnsi="Palatino Linotype"/>
        </w:rPr>
        <w:t xml:space="preserve">el particular les </w:t>
      </w:r>
      <w:proofErr w:type="spellStart"/>
      <w:r w:rsidR="007D5770" w:rsidRPr="00BB3C89">
        <w:rPr>
          <w:rFonts w:ascii="Palatino Linotype" w:hAnsi="Palatino Linotype"/>
        </w:rPr>
        <w:t>esta</w:t>
      </w:r>
      <w:proofErr w:type="spellEnd"/>
      <w:r w:rsidR="007D5770" w:rsidRPr="00BB3C89">
        <w:rPr>
          <w:rFonts w:ascii="Palatino Linotype" w:hAnsi="Palatino Linotype"/>
        </w:rPr>
        <w:t xml:space="preserve"> requiriendo; esto es, el acta de entrega recepción con motivo del cambio de administración de la Dirección General de Administración. </w:t>
      </w:r>
    </w:p>
    <w:p w14:paraId="0F70A25F" w14:textId="77777777" w:rsidR="007E76ED" w:rsidRPr="00BB3C89" w:rsidRDefault="007E76ED" w:rsidP="007E76ED">
      <w:pPr>
        <w:spacing w:before="240" w:after="240" w:line="360" w:lineRule="auto"/>
        <w:ind w:right="49"/>
        <w:jc w:val="both"/>
        <w:rPr>
          <w:rFonts w:ascii="Palatino Linotype" w:hAnsi="Palatino Linotype"/>
          <w:color w:val="000000" w:themeColor="text1"/>
        </w:rPr>
      </w:pPr>
      <w:r w:rsidRPr="00BB3C89">
        <w:rPr>
          <w:rFonts w:ascii="Palatino Linotype" w:eastAsia="Palatino Linotype" w:hAnsi="Palatino Linotype" w:cs="Palatino Linotype"/>
        </w:rPr>
        <w:t xml:space="preserve">Finalmente, no escapa de la óptica de esta autoridad que el SUJETO OBLIGADO hasta la remisión de su informe justificada requiere al particular precisar el periodo sobre del cual se solicita la información, </w:t>
      </w:r>
      <w:r w:rsidRPr="00BB3C89">
        <w:rPr>
          <w:rFonts w:ascii="Palatino Linotype" w:hAnsi="Palatino Linotype"/>
          <w:color w:val="000000" w:themeColor="text1"/>
        </w:rPr>
        <w:t>en ese sentido la Unidad de Transparencia actuó deficientemente</w:t>
      </w:r>
      <w:r w:rsidR="00592098" w:rsidRPr="00BB3C89">
        <w:rPr>
          <w:rFonts w:ascii="Palatino Linotype" w:hAnsi="Palatino Linotype"/>
          <w:color w:val="000000" w:themeColor="text1"/>
        </w:rPr>
        <w:t xml:space="preserve">, pues en caso de que fuera necesario que el particular aportara más elementos </w:t>
      </w:r>
      <w:r w:rsidRPr="00BB3C89">
        <w:rPr>
          <w:rFonts w:ascii="Palatino Linotype" w:hAnsi="Palatino Linotype"/>
          <w:color w:val="000000" w:themeColor="text1"/>
        </w:rPr>
        <w:t xml:space="preserve">debió requerir el desahogo de una aclaración, para garantizar el Derecho de Acceso a la información en términos del artículo 159 de la </w:t>
      </w:r>
      <w:r w:rsidRPr="00BB3C89">
        <w:rPr>
          <w:rFonts w:ascii="Palatino Linotype" w:hAnsi="Palatino Linotype"/>
          <w:b/>
          <w:color w:val="000000" w:themeColor="text1"/>
        </w:rPr>
        <w:t>Ley de Transparencia y Acceso a la Información Pública del Estado de México y Municipios</w:t>
      </w:r>
      <w:r w:rsidRPr="00BB3C89">
        <w:rPr>
          <w:rFonts w:ascii="Palatino Linotype" w:hAnsi="Palatino Linotype"/>
          <w:color w:val="000000" w:themeColor="text1"/>
        </w:rPr>
        <w:t xml:space="preserve"> que a la letra dispone:</w:t>
      </w:r>
    </w:p>
    <w:p w14:paraId="6F11C2A4" w14:textId="77777777" w:rsidR="007E76ED" w:rsidRPr="00BB3C89" w:rsidRDefault="007E76ED" w:rsidP="007E76ED">
      <w:pPr>
        <w:pStyle w:val="Prrafodelista"/>
        <w:autoSpaceDE w:val="0"/>
        <w:autoSpaceDN w:val="0"/>
        <w:adjustRightInd w:val="0"/>
        <w:spacing w:line="360" w:lineRule="auto"/>
        <w:ind w:left="0"/>
        <w:jc w:val="both"/>
        <w:rPr>
          <w:rFonts w:ascii="Palatino Linotype" w:hAnsi="Palatino Linotype"/>
          <w:color w:val="000000" w:themeColor="text1"/>
        </w:rPr>
      </w:pPr>
    </w:p>
    <w:p w14:paraId="17650D42" w14:textId="77777777" w:rsidR="007E76ED" w:rsidRPr="00BB3C89" w:rsidRDefault="007E76ED" w:rsidP="00592098">
      <w:pPr>
        <w:pStyle w:val="Prrafodelista"/>
        <w:autoSpaceDE w:val="0"/>
        <w:autoSpaceDN w:val="0"/>
        <w:adjustRightInd w:val="0"/>
        <w:ind w:left="567" w:right="567"/>
        <w:jc w:val="both"/>
        <w:rPr>
          <w:rFonts w:ascii="Palatino Linotype" w:hAnsi="Palatino Linotype"/>
          <w:i/>
          <w:color w:val="000000" w:themeColor="text1"/>
        </w:rPr>
      </w:pPr>
      <w:r w:rsidRPr="00BB3C89">
        <w:rPr>
          <w:rFonts w:ascii="Palatino Linotype" w:hAnsi="Palatino Linotype"/>
          <w:b/>
          <w:i/>
          <w:color w:val="000000" w:themeColor="text1"/>
        </w:rPr>
        <w:t>Artículo 159.</w:t>
      </w:r>
      <w:r w:rsidRPr="00BB3C89">
        <w:rPr>
          <w:rFonts w:ascii="Palatino Linotype" w:hAnsi="Palatino Linotype"/>
          <w:i/>
          <w:color w:val="000000" w:themeColor="text1"/>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w:t>
      </w:r>
      <w:r w:rsidRPr="00BB3C89">
        <w:rPr>
          <w:rFonts w:ascii="Palatino Linotype" w:hAnsi="Palatino Linotype"/>
          <w:b/>
          <w:i/>
          <w:color w:val="000000" w:themeColor="text1"/>
        </w:rPr>
        <w:t>indique otros elementos que complementen, corrijan o amplíen los datos proporcionados o bien, precise uno o varios requerimientos de información.</w:t>
      </w:r>
    </w:p>
    <w:p w14:paraId="1ABA643C" w14:textId="77777777" w:rsidR="007E76ED" w:rsidRPr="00BB3C89" w:rsidRDefault="007E76ED" w:rsidP="00592098">
      <w:pPr>
        <w:pStyle w:val="Prrafodelista"/>
        <w:autoSpaceDE w:val="0"/>
        <w:autoSpaceDN w:val="0"/>
        <w:adjustRightInd w:val="0"/>
        <w:ind w:left="567" w:right="567"/>
        <w:jc w:val="both"/>
        <w:rPr>
          <w:rFonts w:ascii="Palatino Linotype" w:hAnsi="Palatino Linotype"/>
          <w:i/>
          <w:color w:val="000000" w:themeColor="text1"/>
        </w:rPr>
      </w:pPr>
      <w:r w:rsidRPr="00BB3C89">
        <w:rPr>
          <w:rFonts w:ascii="Palatino Linotype" w:hAnsi="Palatino Linotype"/>
          <w:i/>
          <w:color w:val="000000" w:themeColor="text1"/>
        </w:rPr>
        <w:t xml:space="preserve">En este requerimiento interrumpirá el plazo de respuesta establecido en el artículo 163 de la presente Ley, por lo que comenzará a computarse nuevamente al día siguiente del </w:t>
      </w:r>
      <w:r w:rsidRPr="00BB3C89">
        <w:rPr>
          <w:rFonts w:ascii="Palatino Linotype" w:hAnsi="Palatino Linotype"/>
          <w:i/>
          <w:color w:val="000000" w:themeColor="text1"/>
        </w:rPr>
        <w:lastRenderedPageBreak/>
        <w:t xml:space="preserve">desahogo por parte del particular. En este caso, el sujeto obligado atenderá la solicitud en los términos en que fue desahogado el requerimiento de información adicional. </w:t>
      </w:r>
    </w:p>
    <w:p w14:paraId="7BA421AB" w14:textId="77777777" w:rsidR="007E76ED" w:rsidRPr="00BB3C89" w:rsidRDefault="007E76ED" w:rsidP="00592098">
      <w:pPr>
        <w:pStyle w:val="Prrafodelista"/>
        <w:autoSpaceDE w:val="0"/>
        <w:autoSpaceDN w:val="0"/>
        <w:adjustRightInd w:val="0"/>
        <w:ind w:left="567" w:right="567"/>
        <w:jc w:val="both"/>
        <w:rPr>
          <w:rFonts w:ascii="Palatino Linotype" w:hAnsi="Palatino Linotype"/>
          <w:i/>
          <w:color w:val="000000" w:themeColor="text1"/>
        </w:rPr>
      </w:pPr>
      <w:r w:rsidRPr="00BB3C89">
        <w:rPr>
          <w:rFonts w:ascii="Palatino Linotype" w:hAnsi="Palatino Linotype"/>
          <w:i/>
          <w:color w:val="000000" w:themeColor="text1"/>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62AC8F16" w14:textId="77777777" w:rsidR="007E76ED" w:rsidRPr="00BB3C89" w:rsidRDefault="007E76ED" w:rsidP="00592098">
      <w:pPr>
        <w:pStyle w:val="Prrafodelista"/>
        <w:autoSpaceDE w:val="0"/>
        <w:autoSpaceDN w:val="0"/>
        <w:adjustRightInd w:val="0"/>
        <w:ind w:left="567" w:right="567"/>
        <w:jc w:val="both"/>
        <w:rPr>
          <w:rFonts w:ascii="Palatino Linotype" w:hAnsi="Palatino Linotype"/>
          <w:i/>
          <w:color w:val="000000" w:themeColor="text1"/>
        </w:rPr>
      </w:pPr>
      <w:r w:rsidRPr="00BB3C89">
        <w:rPr>
          <w:rFonts w:ascii="Palatino Linotype" w:hAnsi="Palatino Linotype"/>
          <w:i/>
          <w:color w:val="000000" w:themeColor="text1"/>
        </w:rPr>
        <w:t>En el caso de requerimientos parciales no desahogados, se tendrá por presentada la solicitud por lo que respecta a los contenidos de información que no formaron parte del requerimiento.</w:t>
      </w:r>
    </w:p>
    <w:p w14:paraId="10FA2379" w14:textId="77777777" w:rsidR="007E76ED" w:rsidRPr="00BB3C89" w:rsidRDefault="007E76ED" w:rsidP="007E76ED">
      <w:pPr>
        <w:rPr>
          <w:lang w:val="es-MX" w:eastAsia="en-US"/>
        </w:rPr>
      </w:pPr>
    </w:p>
    <w:p w14:paraId="672FA2AF" w14:textId="77777777" w:rsidR="007E76ED" w:rsidRPr="00BB3C89" w:rsidRDefault="007E76ED" w:rsidP="007E76ED">
      <w:pPr>
        <w:spacing w:before="240" w:after="240" w:line="360" w:lineRule="auto"/>
        <w:ind w:right="49"/>
        <w:jc w:val="both"/>
        <w:rPr>
          <w:rFonts w:ascii="Palatino Linotype" w:eastAsia="Palatino Linotype" w:hAnsi="Palatino Linotype" w:cs="Palatino Linotype"/>
        </w:rPr>
      </w:pPr>
      <w:r w:rsidRPr="00BB3C89">
        <w:rPr>
          <w:rFonts w:ascii="Palatino Linotype" w:hAnsi="Palatino Linotype"/>
          <w:color w:val="000000" w:themeColor="text1"/>
        </w:rPr>
        <w:t>En esa tesitura, el Titular de la Unidad de Transparencia ante la duda debió requerir al solicitante dentro de un plazo de cinco días hábiles para que indicara</w:t>
      </w:r>
      <w:r w:rsidRPr="00BB3C89">
        <w:rPr>
          <w:rFonts w:ascii="Palatino Linotype" w:hAnsi="Palatino Linotype"/>
          <w:i/>
          <w:color w:val="000000" w:themeColor="text1"/>
        </w:rPr>
        <w:t xml:space="preserve"> </w:t>
      </w:r>
      <w:r w:rsidRPr="00BB3C89">
        <w:rPr>
          <w:rFonts w:ascii="Palatino Linotype" w:hAnsi="Palatino Linotype"/>
          <w:color w:val="000000" w:themeColor="text1"/>
        </w:rPr>
        <w:t xml:space="preserve">otros elementos que complementaran, corrigieran o ampliaran los datos proporcionados o bien que </w:t>
      </w:r>
      <w:r w:rsidRPr="00BB3C89">
        <w:rPr>
          <w:rFonts w:ascii="Palatino Linotype" w:hAnsi="Palatino Linotype" w:cs="Arial"/>
          <w:b/>
          <w:u w:val="single"/>
        </w:rPr>
        <w:t>requiriendo a todas las áreas competentes</w:t>
      </w:r>
      <w:r w:rsidRPr="00BB3C89">
        <w:rPr>
          <w:rFonts w:ascii="Palatino Linotype" w:hAnsi="Palatino Linotype" w:cs="Arial"/>
        </w:rPr>
        <w:t xml:space="preserve"> para integrar las respuestas respectivas</w:t>
      </w:r>
      <w:r w:rsidR="00592098" w:rsidRPr="00BB3C89">
        <w:rPr>
          <w:rFonts w:ascii="Palatino Linotype" w:hAnsi="Palatino Linotype" w:cs="Arial"/>
        </w:rPr>
        <w:t xml:space="preserve">. </w:t>
      </w:r>
    </w:p>
    <w:p w14:paraId="29810997" w14:textId="77777777" w:rsidR="00CE57A4" w:rsidRPr="00BB3C89" w:rsidRDefault="00CE57A4" w:rsidP="00D17615">
      <w:pPr>
        <w:spacing w:before="240" w:after="240" w:line="360" w:lineRule="auto"/>
        <w:ind w:right="49"/>
        <w:jc w:val="both"/>
        <w:rPr>
          <w:rFonts w:ascii="Palatino Linotype" w:hAnsi="Palatino Linotype"/>
        </w:rPr>
      </w:pPr>
      <w:r w:rsidRPr="00BB3C89">
        <w:rPr>
          <w:rFonts w:ascii="Palatino Linotype" w:hAnsi="Palatino Linotype"/>
        </w:rPr>
        <w:t>Por ende, los motivos de inconformidad plate</w:t>
      </w:r>
      <w:r w:rsidR="002D241B" w:rsidRPr="00BB3C89">
        <w:rPr>
          <w:rFonts w:ascii="Palatino Linotype" w:hAnsi="Palatino Linotype"/>
        </w:rPr>
        <w:t>ados por el</w:t>
      </w:r>
      <w:r w:rsidRPr="00BB3C89">
        <w:rPr>
          <w:rFonts w:ascii="Palatino Linotype" w:hAnsi="Palatino Linotype"/>
        </w:rPr>
        <w:t xml:space="preserve"> Recurrente devienen fundados, ante la omisión del </w:t>
      </w:r>
      <w:r w:rsidR="002D241B" w:rsidRPr="00BB3C89">
        <w:rPr>
          <w:rFonts w:ascii="Palatino Linotype" w:hAnsi="Palatino Linotype"/>
        </w:rPr>
        <w:t xml:space="preserve">SUJETO OBLIGADO </w:t>
      </w:r>
      <w:r w:rsidRPr="00BB3C89">
        <w:rPr>
          <w:rFonts w:ascii="Palatino Linotype" w:hAnsi="Palatino Linotype"/>
        </w:rPr>
        <w:t xml:space="preserve">para atender la solicitud de información, resulta procedente ordenar al Titular del Órgano de Control y Vigilancia de este Instituto, dé vista a la Contraloría Interna del </w:t>
      </w:r>
      <w:r w:rsidR="002D241B" w:rsidRPr="00BB3C89">
        <w:rPr>
          <w:rFonts w:ascii="Palatino Linotype" w:hAnsi="Palatino Linotype"/>
        </w:rPr>
        <w:t>SUJETO OBLIGADO</w:t>
      </w:r>
      <w:r w:rsidRPr="00BB3C89">
        <w:rPr>
          <w:rFonts w:ascii="Palatino Linotype" w:hAnsi="Palatino Linotype"/>
        </w:rPr>
        <w:t xml:space="preserve">, con fundamento en los artículos 190 y 223 de la Ley Adjetiva, para que en términos de la Ley de Responsabilidades de los Servidores Públicos del Estado y Municipios, determine el grado de responsabilidad del servidor público ante la falta de respuesta en el plazo señalado en la Ley de Transparencia en la entidad, lo que </w:t>
      </w:r>
      <w:r w:rsidR="00D17615" w:rsidRPr="00BB3C89">
        <w:rPr>
          <w:rFonts w:ascii="Palatino Linotype" w:hAnsi="Palatino Linotype"/>
        </w:rPr>
        <w:t>redunda</w:t>
      </w:r>
      <w:r w:rsidRPr="00BB3C89">
        <w:rPr>
          <w:rFonts w:ascii="Palatino Linotype" w:hAnsi="Palatino Linotype"/>
        </w:rPr>
        <w:t xml:space="preserve"> en falta de cumplimiento a los artículos 6 de la Constitución Federal y 5 de la Constitución Local, actualizándose lo previsto en</w:t>
      </w:r>
      <w:r w:rsidR="00D17615" w:rsidRPr="00BB3C89">
        <w:rPr>
          <w:rFonts w:ascii="Palatino Linotype" w:hAnsi="Palatino Linotype"/>
        </w:rPr>
        <w:t xml:space="preserve"> el diverso 222 fracción II de la Ley de Transparencia y Acceso a la Información </w:t>
      </w:r>
      <w:r w:rsidR="00D17615" w:rsidRPr="00BB3C89">
        <w:rPr>
          <w:rFonts w:ascii="Palatino Linotype" w:hAnsi="Palatino Linotype"/>
        </w:rPr>
        <w:lastRenderedPageBreak/>
        <w:t>Pública del Estado de México y Municipios, resultando conforme a derecho, ordenar al Ayuntamiento de Ecatepec de Morelos, atender la solicitud de acceso a la información del particular.</w:t>
      </w:r>
    </w:p>
    <w:p w14:paraId="56599C8D" w14:textId="77777777" w:rsidR="009142F1" w:rsidRPr="00BB3C89" w:rsidRDefault="00F37D93">
      <w:pPr>
        <w:spacing w:before="240" w:after="240" w:line="360" w:lineRule="auto"/>
        <w:ind w:right="49"/>
        <w:jc w:val="both"/>
        <w:rPr>
          <w:rFonts w:ascii="Palatino Linotype" w:eastAsia="Palatino Linotype" w:hAnsi="Palatino Linotype" w:cs="Palatino Linotype"/>
        </w:rPr>
      </w:pPr>
      <w:r w:rsidRPr="00BB3C89">
        <w:rPr>
          <w:rFonts w:ascii="Palatino Linotype" w:eastAsia="Palatino Linotype" w:hAnsi="Palatino Linotype" w:cs="Palatino Linotype"/>
          <w:b/>
        </w:rPr>
        <w:t xml:space="preserve">Quinto. Versión Pública. </w:t>
      </w:r>
      <w:r w:rsidRPr="00BB3C89">
        <w:rPr>
          <w:rFonts w:ascii="Palatino Linotype" w:eastAsia="Palatino Linotype" w:hAnsi="Palatino Linotype" w:cs="Palatino Linotype"/>
        </w:rPr>
        <w:t xml:space="preserve">Finalmente para la entrega de los soportes documentales que deberá proporcionar el </w:t>
      </w:r>
      <w:r w:rsidR="002D241B" w:rsidRPr="00BB3C89">
        <w:rPr>
          <w:rFonts w:ascii="Palatino Linotype" w:eastAsia="Palatino Linotype" w:hAnsi="Palatino Linotype" w:cs="Palatino Linotype"/>
        </w:rPr>
        <w:t xml:space="preserve">SUJETO OBLIGADO </w:t>
      </w:r>
      <w:r w:rsidRPr="00BB3C89">
        <w:rPr>
          <w:rFonts w:ascii="Palatino Linotype" w:eastAsia="Palatino Linotype" w:hAnsi="Palatino Linotype" w:cs="Palatino Linotype"/>
        </w:rPr>
        <w:t xml:space="preserve">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002D241B" w:rsidRPr="00BB3C89">
        <w:rPr>
          <w:rFonts w:ascii="Palatino Linotype" w:eastAsia="Palatino Linotype" w:hAnsi="Palatino Linotype" w:cs="Palatino Linotype"/>
        </w:rPr>
        <w:t xml:space="preserve">SUJETO OBLIGADO </w:t>
      </w:r>
      <w:r w:rsidRPr="00BB3C89">
        <w:rPr>
          <w:rFonts w:ascii="Palatino Linotype" w:eastAsia="Palatino Linotype" w:hAnsi="Palatino Linotype" w:cs="Palatino Linotype"/>
        </w:rPr>
        <w:t>tendrá que elaborar la versión pública de los documentos que vaya entregar para dar cumplimiento a esta resolución, a fin de satisfacer el derecho de acceso a la información pública</w:t>
      </w:r>
      <w:r w:rsidR="002D241B" w:rsidRPr="00BB3C89">
        <w:rPr>
          <w:rFonts w:ascii="Palatino Linotype" w:eastAsia="Palatino Linotype" w:hAnsi="Palatino Linotype" w:cs="Palatino Linotype"/>
        </w:rPr>
        <w:t xml:space="preserve"> del</w:t>
      </w:r>
      <w:r w:rsidRPr="00BB3C89">
        <w:rPr>
          <w:rFonts w:ascii="Palatino Linotype" w:eastAsia="Palatino Linotype" w:hAnsi="Palatino Linotype" w:cs="Palatino Linotype"/>
        </w:rPr>
        <w:t xml:space="preserve"> recurrente sin menoscabar el derecho a la protección de los datos personales de terceros.</w:t>
      </w:r>
    </w:p>
    <w:p w14:paraId="46D7BDFD" w14:textId="77777777" w:rsidR="009142F1" w:rsidRPr="00BB3C89" w:rsidRDefault="00F37D93">
      <w:pPr>
        <w:spacing w:before="240" w:after="240" w:line="360" w:lineRule="auto"/>
        <w:ind w:right="50"/>
        <w:jc w:val="both"/>
        <w:rPr>
          <w:rFonts w:ascii="Palatino Linotype" w:eastAsia="Palatino Linotype" w:hAnsi="Palatino Linotype" w:cs="Palatino Linotype"/>
        </w:rPr>
      </w:pPr>
      <w:r w:rsidRPr="00BB3C89">
        <w:rPr>
          <w:rFonts w:ascii="Palatino Linotype" w:eastAsia="Palatino Linotype" w:hAnsi="Palatino Linotype" w:cs="Palatino Linotype"/>
        </w:rPr>
        <w:t xml:space="preserve">Lo anterior, de conformidad a lo que señalan los artículos 3 fracciones IX, XX, XXI y XLV, 91, 132 fracciones II y III, y 143 </w:t>
      </w:r>
      <w:proofErr w:type="gramStart"/>
      <w:r w:rsidRPr="00BB3C89">
        <w:rPr>
          <w:rFonts w:ascii="Palatino Linotype" w:eastAsia="Palatino Linotype" w:hAnsi="Palatino Linotype" w:cs="Palatino Linotype"/>
        </w:rPr>
        <w:t>fracción</w:t>
      </w:r>
      <w:proofErr w:type="gramEnd"/>
      <w:r w:rsidRPr="00BB3C89">
        <w:rPr>
          <w:rFonts w:ascii="Palatino Linotype" w:eastAsia="Palatino Linotype" w:hAnsi="Palatino Linotype" w:cs="Palatino Linotype"/>
        </w:rPr>
        <w:t xml:space="preserve"> I de la Ley de Transparencia y Acceso a la Información Pública del Estado de México y Municipios que establecen:</w:t>
      </w:r>
    </w:p>
    <w:p w14:paraId="5DA07AE9" w14:textId="77777777" w:rsidR="009142F1" w:rsidRPr="00BB3C89" w:rsidRDefault="00F37D93">
      <w:pPr>
        <w:spacing w:before="120" w:after="120"/>
        <w:ind w:left="851"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i/>
          <w:sz w:val="22"/>
          <w:szCs w:val="22"/>
        </w:rPr>
        <w:t>“</w:t>
      </w:r>
      <w:r w:rsidRPr="00BB3C89">
        <w:rPr>
          <w:rFonts w:ascii="Palatino Linotype" w:eastAsia="Palatino Linotype" w:hAnsi="Palatino Linotype" w:cs="Palatino Linotype"/>
          <w:b/>
          <w:i/>
          <w:sz w:val="22"/>
          <w:szCs w:val="22"/>
        </w:rPr>
        <w:t>Artículo 3</w:t>
      </w:r>
      <w:r w:rsidRPr="00BB3C89">
        <w:rPr>
          <w:rFonts w:ascii="Palatino Linotype" w:eastAsia="Palatino Linotype" w:hAnsi="Palatino Linotype" w:cs="Palatino Linotype"/>
          <w:i/>
          <w:sz w:val="22"/>
          <w:szCs w:val="22"/>
        </w:rPr>
        <w:t>. Para los efectos de la presente Ley se entenderá por:</w:t>
      </w:r>
    </w:p>
    <w:p w14:paraId="70981AFA" w14:textId="77777777" w:rsidR="009142F1" w:rsidRPr="00BB3C89" w:rsidRDefault="00F37D93">
      <w:pPr>
        <w:spacing w:before="120" w:after="120"/>
        <w:ind w:left="993"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i/>
          <w:sz w:val="22"/>
          <w:szCs w:val="22"/>
        </w:rPr>
        <w:t>[…]</w:t>
      </w:r>
    </w:p>
    <w:p w14:paraId="164FDCF6" w14:textId="77777777" w:rsidR="009142F1" w:rsidRPr="00BB3C89" w:rsidRDefault="00F37D93">
      <w:pPr>
        <w:spacing w:before="120" w:after="120"/>
        <w:ind w:left="993"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IX. Datos personales:</w:t>
      </w:r>
      <w:r w:rsidRPr="00BB3C89">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0DC91D3" w14:textId="77777777" w:rsidR="009142F1" w:rsidRPr="00BB3C89" w:rsidRDefault="00F37D93">
      <w:pPr>
        <w:spacing w:before="120" w:after="120"/>
        <w:ind w:left="993"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lastRenderedPageBreak/>
        <w:t>XX. Información clasificada</w:t>
      </w:r>
      <w:r w:rsidRPr="00BB3C89">
        <w:rPr>
          <w:rFonts w:ascii="Palatino Linotype" w:eastAsia="Palatino Linotype" w:hAnsi="Palatino Linotype" w:cs="Palatino Linotype"/>
          <w:i/>
          <w:sz w:val="22"/>
          <w:szCs w:val="22"/>
        </w:rPr>
        <w:t>: Aquella considerada por la presente Ley como reservada o confidencial;</w:t>
      </w:r>
    </w:p>
    <w:p w14:paraId="78D317ED" w14:textId="77777777" w:rsidR="009142F1" w:rsidRPr="00BB3C89" w:rsidRDefault="00F37D93">
      <w:pPr>
        <w:spacing w:before="120" w:after="120"/>
        <w:ind w:left="993"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XXI. Información confidencial:</w:t>
      </w:r>
      <w:r w:rsidRPr="00BB3C89">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549DBDA" w14:textId="77777777" w:rsidR="009142F1" w:rsidRPr="00BB3C89" w:rsidRDefault="00F37D93">
      <w:pPr>
        <w:spacing w:before="120" w:after="120"/>
        <w:ind w:left="993"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XLV. Versión pública:</w:t>
      </w:r>
      <w:r w:rsidRPr="00BB3C89">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0D8424AC" w14:textId="77777777" w:rsidR="009142F1" w:rsidRPr="00BB3C89" w:rsidRDefault="00F37D93">
      <w:pPr>
        <w:spacing w:before="120" w:after="120"/>
        <w:ind w:left="993"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i/>
          <w:sz w:val="22"/>
          <w:szCs w:val="22"/>
        </w:rPr>
        <w:t>[…]</w:t>
      </w:r>
    </w:p>
    <w:p w14:paraId="217F923C" w14:textId="77777777" w:rsidR="009142F1" w:rsidRPr="00BB3C89" w:rsidRDefault="00F37D93">
      <w:pPr>
        <w:spacing w:before="120" w:after="120"/>
        <w:ind w:left="851"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 xml:space="preserve">Artículo 91. </w:t>
      </w:r>
      <w:r w:rsidRPr="00BB3C8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619C0AB" w14:textId="77777777" w:rsidR="009142F1" w:rsidRPr="00BB3C89" w:rsidRDefault="00F37D93">
      <w:pPr>
        <w:spacing w:before="120" w:after="120"/>
        <w:ind w:left="851"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 xml:space="preserve">Artículo 132. </w:t>
      </w:r>
      <w:r w:rsidRPr="00BB3C89">
        <w:rPr>
          <w:rFonts w:ascii="Palatino Linotype" w:eastAsia="Palatino Linotype" w:hAnsi="Palatino Linotype" w:cs="Palatino Linotype"/>
          <w:i/>
          <w:sz w:val="22"/>
          <w:szCs w:val="22"/>
        </w:rPr>
        <w:t>La clasificación de la información se llevará a cabo en el momento en que:</w:t>
      </w:r>
    </w:p>
    <w:p w14:paraId="150134CB" w14:textId="77777777" w:rsidR="009142F1" w:rsidRPr="00BB3C89" w:rsidRDefault="00F37D93">
      <w:pPr>
        <w:spacing w:before="120" w:after="120"/>
        <w:ind w:left="993"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I</w:t>
      </w:r>
      <w:r w:rsidRPr="00BB3C89">
        <w:rPr>
          <w:rFonts w:ascii="Palatino Linotype" w:eastAsia="Palatino Linotype" w:hAnsi="Palatino Linotype" w:cs="Palatino Linotype"/>
          <w:i/>
          <w:sz w:val="22"/>
          <w:szCs w:val="22"/>
        </w:rPr>
        <w:t>. Se reciba una solicitud de acceso a la información;</w:t>
      </w:r>
    </w:p>
    <w:p w14:paraId="6A530CF6" w14:textId="77777777" w:rsidR="009142F1" w:rsidRPr="00BB3C89" w:rsidRDefault="00F37D93">
      <w:pPr>
        <w:spacing w:before="120" w:after="120"/>
        <w:ind w:left="993"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II</w:t>
      </w:r>
      <w:r w:rsidRPr="00BB3C89">
        <w:rPr>
          <w:rFonts w:ascii="Palatino Linotype" w:eastAsia="Palatino Linotype" w:hAnsi="Palatino Linotype" w:cs="Palatino Linotype"/>
          <w:i/>
          <w:sz w:val="22"/>
          <w:szCs w:val="22"/>
        </w:rPr>
        <w:t>. Se determine mediante resolución de autoridad competente; o</w:t>
      </w:r>
    </w:p>
    <w:p w14:paraId="0F252292" w14:textId="77777777" w:rsidR="009142F1" w:rsidRPr="00BB3C89" w:rsidRDefault="00F37D93">
      <w:pPr>
        <w:spacing w:before="120" w:after="120"/>
        <w:ind w:left="993"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III</w:t>
      </w:r>
      <w:r w:rsidRPr="00BB3C89">
        <w:rPr>
          <w:rFonts w:ascii="Palatino Linotype" w:eastAsia="Palatino Linotype" w:hAnsi="Palatino Linotype" w:cs="Palatino Linotype"/>
          <w:i/>
          <w:sz w:val="22"/>
          <w:szCs w:val="22"/>
        </w:rPr>
        <w:t>. Se generen versiones públicas para dar cumplimiento a las obligaciones de transparencia previstas en esta Ley.</w:t>
      </w:r>
    </w:p>
    <w:p w14:paraId="1EABEF6B" w14:textId="77777777" w:rsidR="009142F1" w:rsidRPr="00BB3C89" w:rsidRDefault="00F37D93">
      <w:pPr>
        <w:spacing w:before="120" w:after="120"/>
        <w:ind w:left="851"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i/>
          <w:sz w:val="22"/>
          <w:szCs w:val="22"/>
        </w:rPr>
        <w:t>[…]</w:t>
      </w:r>
    </w:p>
    <w:p w14:paraId="450C8E13" w14:textId="77777777" w:rsidR="009142F1" w:rsidRPr="00BB3C89" w:rsidRDefault="00F37D93">
      <w:pPr>
        <w:spacing w:before="120" w:after="120"/>
        <w:ind w:left="851"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Artículo 143</w:t>
      </w:r>
      <w:r w:rsidRPr="00BB3C8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DB33D35" w14:textId="77777777" w:rsidR="009142F1" w:rsidRPr="00BB3C89" w:rsidRDefault="00F37D93">
      <w:pPr>
        <w:spacing w:before="120" w:after="120"/>
        <w:ind w:left="993"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I.</w:t>
      </w:r>
      <w:r w:rsidRPr="00BB3C89">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BB3C89">
        <w:rPr>
          <w:rFonts w:ascii="Palatino Linotype" w:eastAsia="Palatino Linotype" w:hAnsi="Palatino Linotype" w:cs="Palatino Linotype"/>
          <w:i/>
          <w:sz w:val="22"/>
          <w:szCs w:val="22"/>
        </w:rPr>
        <w:t>jurídico</w:t>
      </w:r>
      <w:proofErr w:type="gramEnd"/>
      <w:r w:rsidRPr="00BB3C89">
        <w:rPr>
          <w:rFonts w:ascii="Palatino Linotype" w:eastAsia="Palatino Linotype" w:hAnsi="Palatino Linotype" w:cs="Palatino Linotype"/>
          <w:i/>
          <w:sz w:val="22"/>
          <w:szCs w:val="22"/>
        </w:rPr>
        <w:t xml:space="preserve"> colectiva identificada o identificable;</w:t>
      </w:r>
    </w:p>
    <w:p w14:paraId="303FC69D" w14:textId="77777777" w:rsidR="009142F1" w:rsidRPr="00BB3C89" w:rsidRDefault="00F37D93">
      <w:pPr>
        <w:spacing w:before="120" w:after="120"/>
        <w:ind w:left="993"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II.</w:t>
      </w:r>
      <w:r w:rsidRPr="00BB3C89">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9B33CE5" w14:textId="77777777" w:rsidR="009142F1" w:rsidRPr="00BB3C89" w:rsidRDefault="00F37D93">
      <w:pPr>
        <w:spacing w:before="120" w:after="120"/>
        <w:ind w:left="993"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III</w:t>
      </w:r>
      <w:r w:rsidRPr="00BB3C89">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0C33D817" w14:textId="77777777" w:rsidR="009142F1" w:rsidRPr="00BB3C89" w:rsidRDefault="00F37D93">
      <w:pPr>
        <w:spacing w:before="120" w:after="120"/>
        <w:ind w:left="851"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3BF594FE" w14:textId="77777777" w:rsidR="009142F1" w:rsidRPr="00BB3C89" w:rsidRDefault="00F37D93">
      <w:pPr>
        <w:spacing w:before="120" w:after="120"/>
        <w:ind w:left="851"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761954F" w14:textId="77777777" w:rsidR="009142F1" w:rsidRPr="00BB3C89" w:rsidRDefault="00F37D93">
      <w:pPr>
        <w:spacing w:before="240" w:after="240"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5A9EB03" w14:textId="77777777" w:rsidR="009142F1" w:rsidRPr="00BB3C89" w:rsidRDefault="00F37D93">
      <w:pPr>
        <w:spacing w:before="240" w:after="240"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72A9C0D5" w14:textId="77777777" w:rsidR="009142F1" w:rsidRPr="00BB3C89" w:rsidRDefault="00F37D93">
      <w:pPr>
        <w:spacing w:before="120" w:after="120"/>
        <w:ind w:left="851"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i/>
          <w:sz w:val="22"/>
          <w:szCs w:val="22"/>
        </w:rPr>
        <w:t>“</w:t>
      </w:r>
      <w:r w:rsidRPr="00BB3C89">
        <w:rPr>
          <w:rFonts w:ascii="Palatino Linotype" w:eastAsia="Palatino Linotype" w:hAnsi="Palatino Linotype" w:cs="Palatino Linotype"/>
          <w:b/>
          <w:i/>
          <w:sz w:val="22"/>
          <w:szCs w:val="22"/>
        </w:rPr>
        <w:t>Quincuagésimo sexto</w:t>
      </w:r>
      <w:r w:rsidRPr="00BB3C89">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557970C" w14:textId="77777777" w:rsidR="009142F1" w:rsidRPr="00BB3C89" w:rsidRDefault="00F37D93">
      <w:pPr>
        <w:spacing w:before="120" w:after="120"/>
        <w:ind w:left="851"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Quincuagésimo séptimo</w:t>
      </w:r>
      <w:r w:rsidRPr="00BB3C8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C4AA850" w14:textId="77777777" w:rsidR="009142F1" w:rsidRPr="00BB3C89" w:rsidRDefault="00F37D93">
      <w:pPr>
        <w:spacing w:before="120" w:after="120"/>
        <w:ind w:left="993"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I</w:t>
      </w:r>
      <w:r w:rsidRPr="00BB3C89">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727CFC5" w14:textId="77777777" w:rsidR="009142F1" w:rsidRPr="00BB3C89" w:rsidRDefault="00F37D93">
      <w:pPr>
        <w:spacing w:before="120" w:after="120"/>
        <w:ind w:left="993"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lastRenderedPageBreak/>
        <w:t>II.</w:t>
      </w:r>
      <w:r w:rsidRPr="00BB3C89">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6D5A6FB6" w14:textId="77777777" w:rsidR="009142F1" w:rsidRPr="00BB3C89" w:rsidRDefault="00F37D93">
      <w:pPr>
        <w:spacing w:before="120" w:after="120"/>
        <w:ind w:left="993"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III.</w:t>
      </w:r>
      <w:r w:rsidRPr="00BB3C89">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417C8D55" w14:textId="77777777" w:rsidR="009142F1" w:rsidRPr="00BB3C89" w:rsidRDefault="00F37D93">
      <w:pPr>
        <w:spacing w:before="120" w:after="120"/>
        <w:ind w:left="851"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6246C53A" w14:textId="77777777" w:rsidR="009142F1" w:rsidRPr="00BB3C89" w:rsidRDefault="00F37D93">
      <w:pPr>
        <w:spacing w:before="120" w:after="120"/>
        <w:ind w:left="851" w:right="902"/>
        <w:jc w:val="both"/>
        <w:rPr>
          <w:rFonts w:ascii="Palatino Linotype" w:eastAsia="Palatino Linotype" w:hAnsi="Palatino Linotype" w:cs="Palatino Linotype"/>
          <w:i/>
          <w:sz w:val="22"/>
          <w:szCs w:val="22"/>
        </w:rPr>
      </w:pPr>
      <w:r w:rsidRPr="00BB3C89">
        <w:rPr>
          <w:rFonts w:ascii="Palatino Linotype" w:eastAsia="Palatino Linotype" w:hAnsi="Palatino Linotype" w:cs="Palatino Linotype"/>
          <w:b/>
          <w:i/>
          <w:sz w:val="22"/>
          <w:szCs w:val="22"/>
        </w:rPr>
        <w:t>Quincuagésimo octavo</w:t>
      </w:r>
      <w:r w:rsidRPr="00BB3C89">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5009299F" w14:textId="77777777" w:rsidR="009142F1" w:rsidRPr="00BB3C89" w:rsidRDefault="00F37D93">
      <w:pPr>
        <w:spacing w:before="240" w:after="240"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002D241B" w:rsidRPr="00BB3C89">
        <w:rPr>
          <w:rFonts w:ascii="Palatino Linotype" w:eastAsia="Palatino Linotype" w:hAnsi="Palatino Linotype" w:cs="Palatino Linotype"/>
        </w:rPr>
        <w:t xml:space="preserve">SUJETO OBLIGADO </w:t>
      </w:r>
      <w:r w:rsidRPr="00BB3C89">
        <w:rPr>
          <w:rFonts w:ascii="Palatino Linotype" w:eastAsia="Palatino Linotype" w:hAnsi="Palatino Linotype" w:cs="Palatino Linotype"/>
        </w:rPr>
        <w:t>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A8E93A7" w14:textId="77777777" w:rsidR="009142F1" w:rsidRPr="00BB3C89" w:rsidRDefault="00F37D93">
      <w:pPr>
        <w:spacing w:before="240" w:after="240"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2"/>
        <w:tblW w:w="88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1129"/>
        <w:gridCol w:w="3446"/>
      </w:tblGrid>
      <w:tr w:rsidR="009142F1" w:rsidRPr="00BB3C89" w14:paraId="2898CB73" w14:textId="77777777" w:rsidTr="004A4745">
        <w:tc>
          <w:tcPr>
            <w:tcW w:w="4253" w:type="dxa"/>
            <w:gridSpan w:val="2"/>
            <w:tcBorders>
              <w:top w:val="nil"/>
              <w:left w:val="nil"/>
              <w:right w:val="nil"/>
            </w:tcBorders>
          </w:tcPr>
          <w:p w14:paraId="1AC32DCF" w14:textId="77777777" w:rsidR="009142F1" w:rsidRPr="00BB3C89" w:rsidRDefault="00F37D93">
            <w:pPr>
              <w:jc w:val="center"/>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lastRenderedPageBreak/>
              <w:t>Parcial</w:t>
            </w:r>
          </w:p>
        </w:tc>
        <w:tc>
          <w:tcPr>
            <w:tcW w:w="4575" w:type="dxa"/>
            <w:gridSpan w:val="2"/>
            <w:tcBorders>
              <w:top w:val="nil"/>
              <w:left w:val="nil"/>
              <w:right w:val="nil"/>
            </w:tcBorders>
          </w:tcPr>
          <w:p w14:paraId="4CC12442" w14:textId="77777777" w:rsidR="009142F1" w:rsidRPr="00BB3C89" w:rsidRDefault="00F37D93">
            <w:pPr>
              <w:jc w:val="center"/>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Total</w:t>
            </w:r>
          </w:p>
        </w:tc>
      </w:tr>
      <w:tr w:rsidR="009142F1" w:rsidRPr="00BB3C89" w14:paraId="50057872" w14:textId="77777777" w:rsidTr="004A4745">
        <w:tc>
          <w:tcPr>
            <w:tcW w:w="1134" w:type="dxa"/>
          </w:tcPr>
          <w:p w14:paraId="08C1BB98" w14:textId="77777777" w:rsidR="009142F1" w:rsidRPr="00BB3C89" w:rsidRDefault="00F37D93">
            <w:pPr>
              <w:jc w:val="center"/>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Concepto</w:t>
            </w:r>
          </w:p>
        </w:tc>
        <w:tc>
          <w:tcPr>
            <w:tcW w:w="3119" w:type="dxa"/>
          </w:tcPr>
          <w:p w14:paraId="0B466E45" w14:textId="77777777" w:rsidR="009142F1" w:rsidRPr="00BB3C89" w:rsidRDefault="00F37D93">
            <w:pPr>
              <w:jc w:val="center"/>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Dónde</w:t>
            </w:r>
          </w:p>
        </w:tc>
        <w:tc>
          <w:tcPr>
            <w:tcW w:w="1129" w:type="dxa"/>
          </w:tcPr>
          <w:p w14:paraId="2800FB73" w14:textId="77777777" w:rsidR="009142F1" w:rsidRPr="00BB3C89" w:rsidRDefault="00F37D93">
            <w:pPr>
              <w:jc w:val="center"/>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Concepto</w:t>
            </w:r>
          </w:p>
        </w:tc>
        <w:tc>
          <w:tcPr>
            <w:tcW w:w="3446" w:type="dxa"/>
          </w:tcPr>
          <w:p w14:paraId="48BB2EF6" w14:textId="77777777" w:rsidR="009142F1" w:rsidRPr="00BB3C89" w:rsidRDefault="00F37D93">
            <w:pPr>
              <w:jc w:val="center"/>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Dónde</w:t>
            </w:r>
          </w:p>
        </w:tc>
      </w:tr>
      <w:tr w:rsidR="009142F1" w:rsidRPr="00BB3C89" w14:paraId="4C847816" w14:textId="77777777" w:rsidTr="004A4745">
        <w:tc>
          <w:tcPr>
            <w:tcW w:w="8828" w:type="dxa"/>
            <w:gridSpan w:val="4"/>
          </w:tcPr>
          <w:p w14:paraId="7CEA8886" w14:textId="77777777" w:rsidR="009142F1" w:rsidRPr="00BB3C89" w:rsidRDefault="00F37D93">
            <w:pPr>
              <w:jc w:val="center"/>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Sello oficial o logotipo del sujeto obligado</w:t>
            </w:r>
          </w:p>
        </w:tc>
      </w:tr>
      <w:tr w:rsidR="009142F1" w:rsidRPr="00BB3C89" w14:paraId="3065A797" w14:textId="77777777" w:rsidTr="004A4745">
        <w:tc>
          <w:tcPr>
            <w:tcW w:w="1134" w:type="dxa"/>
          </w:tcPr>
          <w:p w14:paraId="10FFC421"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Fecha de clasificación</w:t>
            </w:r>
          </w:p>
        </w:tc>
        <w:tc>
          <w:tcPr>
            <w:tcW w:w="3119" w:type="dxa"/>
          </w:tcPr>
          <w:p w14:paraId="3F13DB30"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1129" w:type="dxa"/>
          </w:tcPr>
          <w:p w14:paraId="77CC98ED"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Fecha de clasificación</w:t>
            </w:r>
          </w:p>
        </w:tc>
        <w:tc>
          <w:tcPr>
            <w:tcW w:w="3446" w:type="dxa"/>
          </w:tcPr>
          <w:p w14:paraId="7F13A9CA"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9142F1" w:rsidRPr="00BB3C89" w14:paraId="135B6CFC" w14:textId="77777777" w:rsidTr="004A4745">
        <w:tc>
          <w:tcPr>
            <w:tcW w:w="1134" w:type="dxa"/>
          </w:tcPr>
          <w:p w14:paraId="46DB1369"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Área</w:t>
            </w:r>
          </w:p>
        </w:tc>
        <w:tc>
          <w:tcPr>
            <w:tcW w:w="3119" w:type="dxa"/>
          </w:tcPr>
          <w:p w14:paraId="5D848EE4"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Se señalará el nombre del área del cual es titular quien clasifica.</w:t>
            </w:r>
          </w:p>
        </w:tc>
        <w:tc>
          <w:tcPr>
            <w:tcW w:w="1129" w:type="dxa"/>
          </w:tcPr>
          <w:p w14:paraId="416AA24F"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Área</w:t>
            </w:r>
          </w:p>
        </w:tc>
        <w:tc>
          <w:tcPr>
            <w:tcW w:w="3446" w:type="dxa"/>
          </w:tcPr>
          <w:p w14:paraId="32E1969A"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Se señalará el nombre del área de la cual es el titular quien clasifica.</w:t>
            </w:r>
          </w:p>
        </w:tc>
      </w:tr>
      <w:tr w:rsidR="009142F1" w:rsidRPr="00BB3C89" w14:paraId="3E288897" w14:textId="77777777" w:rsidTr="004A4745">
        <w:tc>
          <w:tcPr>
            <w:tcW w:w="1134" w:type="dxa"/>
          </w:tcPr>
          <w:p w14:paraId="3570CDA0"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Información reservada</w:t>
            </w:r>
          </w:p>
        </w:tc>
        <w:tc>
          <w:tcPr>
            <w:tcW w:w="3119" w:type="dxa"/>
          </w:tcPr>
          <w:p w14:paraId="438D30F1"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BB3C89">
              <w:rPr>
                <w:rFonts w:ascii="Palatino Linotype" w:eastAsia="Palatino Linotype" w:hAnsi="Palatino Linotype" w:cs="Palatino Linotype"/>
                <w:sz w:val="12"/>
                <w:szCs w:val="12"/>
              </w:rPr>
              <w:t>anotarán</w:t>
            </w:r>
            <w:proofErr w:type="gramEnd"/>
            <w:r w:rsidRPr="00BB3C89">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1129" w:type="dxa"/>
          </w:tcPr>
          <w:p w14:paraId="1A9B61C6"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Reservado</w:t>
            </w:r>
          </w:p>
        </w:tc>
        <w:tc>
          <w:tcPr>
            <w:tcW w:w="3446" w:type="dxa"/>
          </w:tcPr>
          <w:p w14:paraId="5602A2B3"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Leyenda de información RESERVADA.</w:t>
            </w:r>
          </w:p>
        </w:tc>
      </w:tr>
      <w:tr w:rsidR="009142F1" w:rsidRPr="00BB3C89" w14:paraId="3602BB3F" w14:textId="77777777" w:rsidTr="004A4745">
        <w:tc>
          <w:tcPr>
            <w:tcW w:w="1134" w:type="dxa"/>
          </w:tcPr>
          <w:p w14:paraId="340CE159"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Fundamento legal</w:t>
            </w:r>
          </w:p>
        </w:tc>
        <w:tc>
          <w:tcPr>
            <w:tcW w:w="3119" w:type="dxa"/>
          </w:tcPr>
          <w:p w14:paraId="6D2DDAA9"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1129" w:type="dxa"/>
          </w:tcPr>
          <w:p w14:paraId="132A829A"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Periodo de reserva</w:t>
            </w:r>
          </w:p>
        </w:tc>
        <w:tc>
          <w:tcPr>
            <w:tcW w:w="3446" w:type="dxa"/>
          </w:tcPr>
          <w:p w14:paraId="60E11580"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9142F1" w:rsidRPr="00BB3C89" w14:paraId="19C91531" w14:textId="77777777" w:rsidTr="004A4745">
        <w:tc>
          <w:tcPr>
            <w:tcW w:w="1134" w:type="dxa"/>
          </w:tcPr>
          <w:p w14:paraId="21D6415F"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Ampliación del periodo de reserva</w:t>
            </w:r>
          </w:p>
        </w:tc>
        <w:tc>
          <w:tcPr>
            <w:tcW w:w="3119" w:type="dxa"/>
          </w:tcPr>
          <w:p w14:paraId="3396990D"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1129" w:type="dxa"/>
          </w:tcPr>
          <w:p w14:paraId="337A62C3"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Fundamento legal</w:t>
            </w:r>
          </w:p>
        </w:tc>
        <w:tc>
          <w:tcPr>
            <w:tcW w:w="3446" w:type="dxa"/>
          </w:tcPr>
          <w:p w14:paraId="792BA0E9"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9142F1" w:rsidRPr="00BB3C89" w14:paraId="66B1445B" w14:textId="77777777" w:rsidTr="004A4745">
        <w:tc>
          <w:tcPr>
            <w:tcW w:w="1134" w:type="dxa"/>
          </w:tcPr>
          <w:p w14:paraId="523EA6BB"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Confidencial</w:t>
            </w:r>
          </w:p>
        </w:tc>
        <w:tc>
          <w:tcPr>
            <w:tcW w:w="3119" w:type="dxa"/>
          </w:tcPr>
          <w:p w14:paraId="488F3B09"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14:paraId="39D89FB6"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Ampliación del periodo de reserva</w:t>
            </w:r>
          </w:p>
        </w:tc>
        <w:tc>
          <w:tcPr>
            <w:tcW w:w="3446" w:type="dxa"/>
          </w:tcPr>
          <w:p w14:paraId="4673E1FB"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9142F1" w:rsidRPr="00BB3C89" w14:paraId="1AC6802A" w14:textId="77777777" w:rsidTr="004A4745">
        <w:tc>
          <w:tcPr>
            <w:tcW w:w="1134" w:type="dxa"/>
          </w:tcPr>
          <w:p w14:paraId="39983FA9"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Fundamento legal</w:t>
            </w:r>
          </w:p>
        </w:tc>
        <w:tc>
          <w:tcPr>
            <w:tcW w:w="3119" w:type="dxa"/>
          </w:tcPr>
          <w:p w14:paraId="20CEFFC0"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1129" w:type="dxa"/>
          </w:tcPr>
          <w:p w14:paraId="40363BEC"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Confidencial</w:t>
            </w:r>
          </w:p>
        </w:tc>
        <w:tc>
          <w:tcPr>
            <w:tcW w:w="3446" w:type="dxa"/>
          </w:tcPr>
          <w:p w14:paraId="7BA59809"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Leyenda de información CONFIDENCIAL.</w:t>
            </w:r>
          </w:p>
        </w:tc>
      </w:tr>
      <w:tr w:rsidR="009142F1" w:rsidRPr="00BB3C89" w14:paraId="3EFD1EA3" w14:textId="77777777" w:rsidTr="004A4745">
        <w:tc>
          <w:tcPr>
            <w:tcW w:w="1134" w:type="dxa"/>
          </w:tcPr>
          <w:p w14:paraId="4C2F9E81"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Rúbrica del titular del área</w:t>
            </w:r>
          </w:p>
        </w:tc>
        <w:tc>
          <w:tcPr>
            <w:tcW w:w="3119" w:type="dxa"/>
          </w:tcPr>
          <w:p w14:paraId="59E08D22"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Rúbrica autógrafa de quien clasifica.</w:t>
            </w:r>
          </w:p>
        </w:tc>
        <w:tc>
          <w:tcPr>
            <w:tcW w:w="1129" w:type="dxa"/>
          </w:tcPr>
          <w:p w14:paraId="16933C21"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Fundamento legal</w:t>
            </w:r>
          </w:p>
        </w:tc>
        <w:tc>
          <w:tcPr>
            <w:tcW w:w="3446" w:type="dxa"/>
          </w:tcPr>
          <w:p w14:paraId="29766B3F"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9142F1" w:rsidRPr="00BB3C89" w14:paraId="53AD800C" w14:textId="77777777" w:rsidTr="004A4745">
        <w:tc>
          <w:tcPr>
            <w:tcW w:w="1134" w:type="dxa"/>
          </w:tcPr>
          <w:p w14:paraId="0F8D2963"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Fecha de desclasificación</w:t>
            </w:r>
          </w:p>
        </w:tc>
        <w:tc>
          <w:tcPr>
            <w:tcW w:w="3119" w:type="dxa"/>
          </w:tcPr>
          <w:p w14:paraId="35796A19"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Se anotará la fecha en que se desclasifica el documento.</w:t>
            </w:r>
          </w:p>
        </w:tc>
        <w:tc>
          <w:tcPr>
            <w:tcW w:w="1129" w:type="dxa"/>
          </w:tcPr>
          <w:p w14:paraId="0DE7FE3A"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Rúbrica del titular del área</w:t>
            </w:r>
          </w:p>
        </w:tc>
        <w:tc>
          <w:tcPr>
            <w:tcW w:w="3446" w:type="dxa"/>
          </w:tcPr>
          <w:p w14:paraId="1810B2F1"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Rúbrica autógrafa de quien clasifica.</w:t>
            </w:r>
          </w:p>
        </w:tc>
      </w:tr>
      <w:tr w:rsidR="009142F1" w:rsidRPr="00BB3C89" w14:paraId="13D58138" w14:textId="77777777" w:rsidTr="004A4745">
        <w:tc>
          <w:tcPr>
            <w:tcW w:w="1134" w:type="dxa"/>
          </w:tcPr>
          <w:p w14:paraId="4216248D"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Rúbrica y cargo del servidor público</w:t>
            </w:r>
          </w:p>
        </w:tc>
        <w:tc>
          <w:tcPr>
            <w:tcW w:w="3119" w:type="dxa"/>
          </w:tcPr>
          <w:p w14:paraId="6685070B"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Rúbrica autógrafa de quien desclasifica.</w:t>
            </w:r>
          </w:p>
        </w:tc>
        <w:tc>
          <w:tcPr>
            <w:tcW w:w="1129" w:type="dxa"/>
          </w:tcPr>
          <w:p w14:paraId="186C1853"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Fecha de desclasificación</w:t>
            </w:r>
          </w:p>
        </w:tc>
        <w:tc>
          <w:tcPr>
            <w:tcW w:w="3446" w:type="dxa"/>
          </w:tcPr>
          <w:p w14:paraId="05EDEE24"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Se anotará la fecha en que se desclasifica.</w:t>
            </w:r>
          </w:p>
        </w:tc>
      </w:tr>
      <w:tr w:rsidR="009142F1" w:rsidRPr="00BB3C89" w14:paraId="2BE3ED62" w14:textId="77777777" w:rsidTr="004A4745">
        <w:tc>
          <w:tcPr>
            <w:tcW w:w="1134" w:type="dxa"/>
          </w:tcPr>
          <w:p w14:paraId="00CB0648" w14:textId="77777777" w:rsidR="009142F1" w:rsidRPr="00BB3C89" w:rsidRDefault="009142F1">
            <w:pPr>
              <w:jc w:val="both"/>
              <w:rPr>
                <w:rFonts w:ascii="Palatino Linotype" w:eastAsia="Palatino Linotype" w:hAnsi="Palatino Linotype" w:cs="Palatino Linotype"/>
                <w:b/>
                <w:sz w:val="12"/>
                <w:szCs w:val="12"/>
              </w:rPr>
            </w:pPr>
          </w:p>
        </w:tc>
        <w:tc>
          <w:tcPr>
            <w:tcW w:w="3119" w:type="dxa"/>
          </w:tcPr>
          <w:p w14:paraId="07BCAFD5" w14:textId="77777777" w:rsidR="009142F1" w:rsidRPr="00BB3C89" w:rsidRDefault="009142F1">
            <w:pPr>
              <w:jc w:val="both"/>
              <w:rPr>
                <w:rFonts w:ascii="Palatino Linotype" w:eastAsia="Palatino Linotype" w:hAnsi="Palatino Linotype" w:cs="Palatino Linotype"/>
                <w:sz w:val="12"/>
                <w:szCs w:val="12"/>
              </w:rPr>
            </w:pPr>
          </w:p>
        </w:tc>
        <w:tc>
          <w:tcPr>
            <w:tcW w:w="1129" w:type="dxa"/>
          </w:tcPr>
          <w:p w14:paraId="6CB23048"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Partes o secciones reservadas o confidenciales</w:t>
            </w:r>
          </w:p>
        </w:tc>
        <w:tc>
          <w:tcPr>
            <w:tcW w:w="3446" w:type="dxa"/>
          </w:tcPr>
          <w:p w14:paraId="0AF31E74"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 xml:space="preserve">En caso que una vez desclasificado el expediente, </w:t>
            </w:r>
            <w:proofErr w:type="spellStart"/>
            <w:r w:rsidRPr="00BB3C89">
              <w:rPr>
                <w:rFonts w:ascii="Palatino Linotype" w:eastAsia="Palatino Linotype" w:hAnsi="Palatino Linotype" w:cs="Palatino Linotype"/>
                <w:sz w:val="12"/>
                <w:szCs w:val="12"/>
              </w:rPr>
              <w:t>subsistanpartes</w:t>
            </w:r>
            <w:proofErr w:type="spellEnd"/>
            <w:r w:rsidRPr="00BB3C89">
              <w:rPr>
                <w:rFonts w:ascii="Palatino Linotype" w:eastAsia="Palatino Linotype" w:hAnsi="Palatino Linotype" w:cs="Palatino Linotype"/>
                <w:sz w:val="12"/>
                <w:szCs w:val="12"/>
              </w:rPr>
              <w:t xml:space="preserve"> o secciones del mismo reservadas o confidenciales, se señalará este hecho.</w:t>
            </w:r>
          </w:p>
        </w:tc>
      </w:tr>
      <w:tr w:rsidR="009142F1" w:rsidRPr="00BB3C89" w14:paraId="53B2460E" w14:textId="77777777" w:rsidTr="004A4745">
        <w:tc>
          <w:tcPr>
            <w:tcW w:w="1134" w:type="dxa"/>
          </w:tcPr>
          <w:p w14:paraId="621686A4" w14:textId="77777777" w:rsidR="009142F1" w:rsidRPr="00BB3C89" w:rsidRDefault="009142F1">
            <w:pPr>
              <w:jc w:val="both"/>
              <w:rPr>
                <w:rFonts w:ascii="Palatino Linotype" w:eastAsia="Palatino Linotype" w:hAnsi="Palatino Linotype" w:cs="Palatino Linotype"/>
                <w:b/>
                <w:sz w:val="12"/>
                <w:szCs w:val="12"/>
              </w:rPr>
            </w:pPr>
          </w:p>
        </w:tc>
        <w:tc>
          <w:tcPr>
            <w:tcW w:w="3119" w:type="dxa"/>
          </w:tcPr>
          <w:p w14:paraId="15382AB5" w14:textId="77777777" w:rsidR="009142F1" w:rsidRPr="00BB3C89" w:rsidRDefault="009142F1">
            <w:pPr>
              <w:jc w:val="both"/>
              <w:rPr>
                <w:rFonts w:ascii="Palatino Linotype" w:eastAsia="Palatino Linotype" w:hAnsi="Palatino Linotype" w:cs="Palatino Linotype"/>
                <w:sz w:val="12"/>
                <w:szCs w:val="12"/>
              </w:rPr>
            </w:pPr>
          </w:p>
        </w:tc>
        <w:tc>
          <w:tcPr>
            <w:tcW w:w="1129" w:type="dxa"/>
          </w:tcPr>
          <w:p w14:paraId="26CB0F2A" w14:textId="77777777" w:rsidR="009142F1" w:rsidRPr="00BB3C89" w:rsidRDefault="00F37D93">
            <w:pPr>
              <w:jc w:val="both"/>
              <w:rPr>
                <w:rFonts w:ascii="Palatino Linotype" w:eastAsia="Palatino Linotype" w:hAnsi="Palatino Linotype" w:cs="Palatino Linotype"/>
                <w:b/>
                <w:sz w:val="12"/>
                <w:szCs w:val="12"/>
              </w:rPr>
            </w:pPr>
            <w:r w:rsidRPr="00BB3C89">
              <w:rPr>
                <w:rFonts w:ascii="Palatino Linotype" w:eastAsia="Palatino Linotype" w:hAnsi="Palatino Linotype" w:cs="Palatino Linotype"/>
                <w:b/>
                <w:sz w:val="12"/>
                <w:szCs w:val="12"/>
              </w:rPr>
              <w:t>Rúbrica y cargo del servidor público</w:t>
            </w:r>
          </w:p>
        </w:tc>
        <w:tc>
          <w:tcPr>
            <w:tcW w:w="3446" w:type="dxa"/>
          </w:tcPr>
          <w:p w14:paraId="57117494" w14:textId="77777777" w:rsidR="009142F1" w:rsidRPr="00BB3C89" w:rsidRDefault="00F37D93">
            <w:pPr>
              <w:jc w:val="both"/>
              <w:rPr>
                <w:rFonts w:ascii="Palatino Linotype" w:eastAsia="Palatino Linotype" w:hAnsi="Palatino Linotype" w:cs="Palatino Linotype"/>
                <w:sz w:val="12"/>
                <w:szCs w:val="12"/>
              </w:rPr>
            </w:pPr>
            <w:r w:rsidRPr="00BB3C89">
              <w:rPr>
                <w:rFonts w:ascii="Palatino Linotype" w:eastAsia="Palatino Linotype" w:hAnsi="Palatino Linotype" w:cs="Palatino Linotype"/>
                <w:sz w:val="12"/>
                <w:szCs w:val="12"/>
              </w:rPr>
              <w:t>Rúbrica autógrafa de quien desclasifica.</w:t>
            </w:r>
          </w:p>
        </w:tc>
      </w:tr>
    </w:tbl>
    <w:p w14:paraId="79365D53" w14:textId="77777777" w:rsidR="004A4745" w:rsidRPr="00BB3C89" w:rsidRDefault="004A4745" w:rsidP="004A4745">
      <w:pPr>
        <w:spacing w:line="360" w:lineRule="auto"/>
        <w:ind w:right="-93"/>
        <w:contextualSpacing/>
        <w:jc w:val="both"/>
        <w:rPr>
          <w:rFonts w:ascii="Palatino Linotype" w:hAnsi="Palatino Linotype" w:cs="Tahoma"/>
          <w:b/>
          <w:bCs/>
          <w:iCs/>
        </w:rPr>
      </w:pPr>
    </w:p>
    <w:p w14:paraId="35A73BFA" w14:textId="77777777" w:rsidR="004A4745" w:rsidRPr="00BB3C89" w:rsidRDefault="004A4745" w:rsidP="004A4745">
      <w:pPr>
        <w:spacing w:line="360" w:lineRule="auto"/>
        <w:ind w:right="-93"/>
        <w:contextualSpacing/>
        <w:jc w:val="both"/>
        <w:rPr>
          <w:rFonts w:ascii="Palatino Linotype" w:hAnsi="Palatino Linotype" w:cs="Tahoma"/>
          <w:bCs/>
          <w:iCs/>
        </w:rPr>
      </w:pPr>
      <w:r w:rsidRPr="00BB3C89">
        <w:rPr>
          <w:rFonts w:ascii="Palatino Linotype" w:hAnsi="Palatino Linotype" w:cs="Tahoma"/>
          <w:b/>
          <w:bCs/>
          <w:iCs/>
        </w:rPr>
        <w:t>Respecto al Registro Federal de Contribuyentes</w:t>
      </w:r>
      <w:r w:rsidRPr="00BB3C89">
        <w:rPr>
          <w:rFonts w:ascii="Palatino Linotype" w:hAnsi="Palatino Linotype" w:cs="Tahoma"/>
          <w:bCs/>
          <w:iCs/>
        </w:rPr>
        <w:t xml:space="preserve"> (RFC)  tenemos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w:t>
      </w:r>
      <w:r w:rsidRPr="00BB3C89">
        <w:rPr>
          <w:rFonts w:ascii="Palatino Linotype" w:hAnsi="Palatino Linotype" w:cs="Tahoma"/>
          <w:bCs/>
          <w:iCs/>
        </w:rPr>
        <w:lastRenderedPageBreak/>
        <w:t>Hacienda y Crédito Público, de acuerdo al artículo 27 del Código Fiscal de la Federación.</w:t>
      </w:r>
    </w:p>
    <w:p w14:paraId="6BB4C55A" w14:textId="77777777" w:rsidR="004A4745" w:rsidRPr="00BB3C89" w:rsidRDefault="004A4745" w:rsidP="004A4745">
      <w:pPr>
        <w:spacing w:line="360" w:lineRule="auto"/>
        <w:ind w:right="-93"/>
        <w:jc w:val="both"/>
        <w:rPr>
          <w:rFonts w:ascii="Palatino Linotype" w:hAnsi="Palatino Linotype" w:cs="Tahoma"/>
          <w:bCs/>
          <w:iCs/>
        </w:rPr>
      </w:pPr>
      <w:r w:rsidRPr="00BB3C89">
        <w:rPr>
          <w:rFonts w:ascii="Palatino Linotype" w:hAnsi="Palatino Linotype" w:cs="Tahoma"/>
          <w:bCs/>
          <w:iCs/>
        </w:rPr>
        <w:t xml:space="preserve">De acuerdo a lo establecido en el artículo en comento, esta clave se compone de trece caracteres alfanuméricos, con datos obtenidos de los apellidos, nombre (s), fecha de nacimiento del titular, más una </w:t>
      </w:r>
      <w:proofErr w:type="spellStart"/>
      <w:r w:rsidRPr="00BB3C89">
        <w:rPr>
          <w:rFonts w:ascii="Palatino Linotype" w:hAnsi="Palatino Linotype" w:cs="Tahoma"/>
          <w:bCs/>
          <w:iCs/>
        </w:rPr>
        <w:t>homoclave</w:t>
      </w:r>
      <w:proofErr w:type="spellEnd"/>
      <w:r w:rsidRPr="00BB3C89">
        <w:rPr>
          <w:rFonts w:ascii="Palatino Linotype" w:hAnsi="Palatino Linotype" w:cs="Tahoma"/>
          <w:bCs/>
          <w:iCs/>
        </w:rPr>
        <w:t xml:space="preserve"> que establece el sistema automático del Servicio de Administración Tributaria.</w:t>
      </w:r>
    </w:p>
    <w:p w14:paraId="1103FE3E" w14:textId="77777777" w:rsidR="004A4745" w:rsidRPr="00BB3C89" w:rsidRDefault="004A4745" w:rsidP="004A4745">
      <w:pPr>
        <w:spacing w:line="360" w:lineRule="auto"/>
        <w:ind w:right="-93"/>
        <w:jc w:val="both"/>
        <w:rPr>
          <w:rFonts w:ascii="Palatino Linotype" w:hAnsi="Palatino Linotype" w:cs="Tahoma"/>
          <w:bCs/>
          <w:iCs/>
          <w:color w:val="FF0000"/>
        </w:rPr>
      </w:pPr>
    </w:p>
    <w:p w14:paraId="613D3D67" w14:textId="77777777" w:rsidR="004A4745" w:rsidRPr="00BB3C89" w:rsidRDefault="004A4745" w:rsidP="004A4745">
      <w:pPr>
        <w:spacing w:line="360" w:lineRule="auto"/>
        <w:ind w:right="-93"/>
        <w:jc w:val="both"/>
        <w:rPr>
          <w:rFonts w:ascii="Palatino Linotype" w:hAnsi="Palatino Linotype" w:cs="Tahoma"/>
          <w:bCs/>
          <w:iCs/>
        </w:rPr>
      </w:pPr>
      <w:r w:rsidRPr="00BB3C89">
        <w:rPr>
          <w:rFonts w:ascii="Palatino Linotype" w:hAnsi="Palatino Linotype" w:cs="Tahoma"/>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569910E" w14:textId="77777777" w:rsidR="004A4745" w:rsidRPr="00BB3C89" w:rsidRDefault="004A4745" w:rsidP="004A4745">
      <w:pPr>
        <w:spacing w:line="360" w:lineRule="auto"/>
        <w:ind w:right="-93"/>
        <w:jc w:val="both"/>
        <w:rPr>
          <w:rFonts w:ascii="Palatino Linotype" w:hAnsi="Palatino Linotype" w:cs="Tahoma"/>
          <w:bCs/>
          <w:iCs/>
        </w:rPr>
      </w:pPr>
      <w:r w:rsidRPr="00BB3C89">
        <w:rPr>
          <w:rFonts w:ascii="Palatino Linotype" w:hAnsi="Palatino Linotype" w:cs="Tahoma"/>
          <w:bCs/>
          <w:iCs/>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los involucrados, en el pago de estos, en el presente caso, del pago del Impuesto Sobre el Producto del Trabajo. </w:t>
      </w:r>
    </w:p>
    <w:p w14:paraId="3DEE8A7F" w14:textId="77777777" w:rsidR="004A4745" w:rsidRPr="00BB3C89" w:rsidRDefault="004A4745" w:rsidP="004A4745">
      <w:pPr>
        <w:spacing w:line="360" w:lineRule="auto"/>
        <w:ind w:right="-93"/>
        <w:jc w:val="both"/>
        <w:rPr>
          <w:rFonts w:ascii="Palatino Linotype" w:hAnsi="Palatino Linotype" w:cs="Tahoma"/>
          <w:bCs/>
          <w:iCs/>
        </w:rPr>
      </w:pPr>
      <w:r w:rsidRPr="00BB3C89">
        <w:rPr>
          <w:rFonts w:ascii="Palatino Linotype" w:hAnsi="Palatino Linotype" w:cs="Tahoma"/>
          <w:bCs/>
          <w:iCs/>
        </w:rPr>
        <w:t>Lo anterior, resulta congruente con el Criterio 19/17 emitido por el Instituto Nacional de Transparencia, Acceso a la Información y Protección de Datos Personales, en el cual se señala lo siguiente:</w:t>
      </w:r>
    </w:p>
    <w:p w14:paraId="0343FDC3" w14:textId="77777777" w:rsidR="004A4745" w:rsidRPr="00BB3C89" w:rsidRDefault="004A4745" w:rsidP="004A4745">
      <w:pPr>
        <w:ind w:left="720" w:right="539"/>
        <w:jc w:val="both"/>
        <w:rPr>
          <w:rFonts w:ascii="Palatino Linotype" w:hAnsi="Palatino Linotype" w:cs="Tahoma"/>
          <w:bCs/>
          <w:iCs/>
        </w:rPr>
      </w:pPr>
      <w:r w:rsidRPr="00BB3C89">
        <w:rPr>
          <w:rFonts w:ascii="Palatino Linotype" w:hAnsi="Palatino Linotype" w:cs="Tahoma"/>
          <w:bCs/>
          <w:iCs/>
        </w:rPr>
        <w:lastRenderedPageBreak/>
        <w:t>“</w:t>
      </w:r>
      <w:r w:rsidRPr="00BB3C89">
        <w:rPr>
          <w:rFonts w:ascii="Palatino Linotype" w:hAnsi="Palatino Linotype" w:cs="Tahoma"/>
          <w:b/>
          <w:bCs/>
          <w:i/>
          <w:iCs/>
        </w:rPr>
        <w:t>Registro Federal de Contribuyentes (RFC) de personas físicas</w:t>
      </w:r>
      <w:r w:rsidRPr="00BB3C89">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626ACA39" w14:textId="77777777" w:rsidR="004A4745" w:rsidRPr="00BB3C89" w:rsidRDefault="004A4745" w:rsidP="004A4745">
      <w:pPr>
        <w:spacing w:line="360" w:lineRule="auto"/>
        <w:ind w:right="-93"/>
        <w:jc w:val="both"/>
        <w:rPr>
          <w:rFonts w:ascii="Palatino Linotype" w:hAnsi="Palatino Linotype" w:cs="Tahoma"/>
          <w:bCs/>
          <w:iCs/>
          <w:color w:val="FF0000"/>
        </w:rPr>
      </w:pPr>
    </w:p>
    <w:p w14:paraId="35DCE93E" w14:textId="77777777" w:rsidR="004A4745" w:rsidRPr="00BB3C89" w:rsidRDefault="004A4745" w:rsidP="004A4745">
      <w:pPr>
        <w:spacing w:line="360" w:lineRule="auto"/>
        <w:ind w:right="-93"/>
        <w:jc w:val="both"/>
        <w:rPr>
          <w:rFonts w:ascii="Palatino Linotype" w:hAnsi="Palatino Linotype" w:cs="Tahoma"/>
          <w:bCs/>
          <w:iCs/>
        </w:rPr>
      </w:pPr>
      <w:r w:rsidRPr="00BB3C89">
        <w:rPr>
          <w:rFonts w:ascii="Palatino Linotype" w:hAnsi="Palatino Linotype" w:cs="Tahoma"/>
          <w:bCs/>
          <w:iC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76ECB5A7" w14:textId="77777777" w:rsidR="004A4745" w:rsidRPr="00BB3C89" w:rsidRDefault="004A4745" w:rsidP="004A4745">
      <w:pPr>
        <w:spacing w:line="360" w:lineRule="auto"/>
        <w:ind w:right="-93"/>
        <w:jc w:val="both"/>
        <w:rPr>
          <w:rFonts w:ascii="Palatino Linotype" w:hAnsi="Palatino Linotype" w:cs="Tahoma"/>
          <w:bCs/>
          <w:iCs/>
        </w:rPr>
      </w:pPr>
      <w:r w:rsidRPr="00BB3C89">
        <w:rPr>
          <w:rFonts w:ascii="Palatino Linotype" w:hAnsi="Palatino Linotype" w:cs="Tahoma"/>
          <w:lang w:eastAsia="es-MX"/>
        </w:rPr>
        <w:t xml:space="preserve">Ahora, en cuanto a la </w:t>
      </w:r>
      <w:r w:rsidRPr="00BB3C89">
        <w:rPr>
          <w:rFonts w:ascii="Palatino Linotype" w:hAnsi="Palatino Linotype" w:cs="Tahoma"/>
          <w:b/>
        </w:rPr>
        <w:t xml:space="preserve">Clave </w:t>
      </w:r>
      <w:r w:rsidRPr="00BB3C89">
        <w:rPr>
          <w:rFonts w:ascii="Palatino Linotype" w:hAnsi="Palatino Linotype" w:cs="Tahoma"/>
          <w:b/>
          <w:caps/>
        </w:rPr>
        <w:t>ú</w:t>
      </w:r>
      <w:r w:rsidRPr="00BB3C89">
        <w:rPr>
          <w:rFonts w:ascii="Palatino Linotype" w:hAnsi="Palatino Linotype" w:cs="Tahoma"/>
          <w:b/>
        </w:rPr>
        <w:t xml:space="preserve">nica de Registro de Población, </w:t>
      </w:r>
      <w:r w:rsidRPr="00BB3C89">
        <w:rPr>
          <w:rFonts w:ascii="Palatino Linotype" w:hAnsi="Palatino Linotype" w:cs="Tahoma"/>
          <w:lang w:eastAsia="es-MX"/>
        </w:rPr>
        <w:t xml:space="preserve">el artículo 36 de la Constitución Política de los Estados Unidos Mexicanos, dispone la obligación de los ciudadanos de inscribirse en el Registro Nacional de Ciudadanos. </w:t>
      </w:r>
    </w:p>
    <w:p w14:paraId="7201C878" w14:textId="77777777" w:rsidR="004A4745" w:rsidRPr="00BB3C89" w:rsidRDefault="004A4745" w:rsidP="004A4745">
      <w:pPr>
        <w:spacing w:line="360" w:lineRule="auto"/>
        <w:contextualSpacing/>
        <w:jc w:val="both"/>
        <w:rPr>
          <w:rFonts w:ascii="Palatino Linotype" w:hAnsi="Palatino Linotype" w:cs="Tahoma"/>
          <w:lang w:eastAsia="es-MX"/>
        </w:rPr>
      </w:pPr>
      <w:r w:rsidRPr="00BB3C89">
        <w:rPr>
          <w:rFonts w:ascii="Palatino Linotype" w:hAnsi="Palatino Linotype" w:cs="Tahoma"/>
          <w:lang w:eastAsia="es-MX"/>
        </w:rPr>
        <w:t xml:space="preserve">El artículo 85 de la Ley General de Población, prevé que corresponde a </w:t>
      </w:r>
      <w:proofErr w:type="gramStart"/>
      <w:r w:rsidRPr="00BB3C89">
        <w:rPr>
          <w:rFonts w:ascii="Palatino Linotype" w:hAnsi="Palatino Linotype" w:cs="Tahoma"/>
          <w:lang w:eastAsia="es-MX"/>
        </w:rPr>
        <w:t>la  Secretaría</w:t>
      </w:r>
      <w:proofErr w:type="gramEnd"/>
      <w:r w:rsidRPr="00BB3C89">
        <w:rPr>
          <w:rFonts w:ascii="Palatino Linotype" w:hAnsi="Palatino Linotype" w:cs="Tahoma"/>
          <w:lang w:eastAsia="es-MX"/>
        </w:rPr>
        <w:t xml:space="preserve"> de Gobernación el registro y acreditación de la identidad de todas las personas residentes en el país y de los nacionales que residan en el extranjero.</w:t>
      </w:r>
    </w:p>
    <w:p w14:paraId="497486B9" w14:textId="77777777" w:rsidR="004A4745" w:rsidRPr="00BB3C89" w:rsidRDefault="004A4745" w:rsidP="004A4745">
      <w:pPr>
        <w:spacing w:line="360" w:lineRule="auto"/>
        <w:contextualSpacing/>
        <w:jc w:val="both"/>
        <w:rPr>
          <w:rFonts w:ascii="Palatino Linotype" w:hAnsi="Palatino Linotype" w:cs="Tahoma"/>
          <w:lang w:eastAsia="es-MX"/>
        </w:rPr>
      </w:pPr>
      <w:r w:rsidRPr="00BB3C89">
        <w:rPr>
          <w:rFonts w:ascii="Palatino Linotype" w:hAnsi="Palatino Linotype" w:cs="Tahoma"/>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6614D0A" w14:textId="77777777" w:rsidR="004A4745" w:rsidRPr="00BB3C89" w:rsidRDefault="004A4745" w:rsidP="004A4745">
      <w:pPr>
        <w:spacing w:line="360" w:lineRule="auto"/>
        <w:contextualSpacing/>
        <w:jc w:val="both"/>
        <w:rPr>
          <w:rFonts w:ascii="Palatino Linotype" w:hAnsi="Palatino Linotype" w:cs="Tahoma"/>
          <w:lang w:eastAsia="es-MX"/>
        </w:rPr>
      </w:pPr>
      <w:r w:rsidRPr="00BB3C89">
        <w:rPr>
          <w:rFonts w:ascii="Palatino Linotype" w:hAnsi="Palatino Linotype" w:cs="Tahoma"/>
          <w:lang w:eastAsia="es-MX"/>
        </w:rPr>
        <w:t xml:space="preserve">De conformidad con lo precisado por la propia Secretaría de Gobernación en la dirección </w:t>
      </w:r>
      <w:hyperlink r:id="rId7" w:history="1">
        <w:r w:rsidRPr="00BB3C89">
          <w:rPr>
            <w:rStyle w:val="Hipervnculo"/>
            <w:rFonts w:ascii="Palatino Linotype" w:hAnsi="Palatino Linotype" w:cs="Tahoma"/>
            <w:lang w:eastAsia="es-MX"/>
          </w:rPr>
          <w:t>https://consultas.curp.gob.mx/CurpSP/html/informacionecurpPS.html</w:t>
        </w:r>
      </w:hyperlink>
      <w:r w:rsidRPr="00BB3C89">
        <w:rPr>
          <w:rFonts w:ascii="Palatino Linotype" w:hAnsi="Palatino Linotype" w:cs="Tahoma"/>
          <w:lang w:eastAsia="es-MX"/>
        </w:rPr>
        <w:t xml:space="preserve">, </w:t>
      </w:r>
      <w:r w:rsidRPr="00BB3C89">
        <w:rPr>
          <w:rFonts w:ascii="Palatino Linotype" w:hAnsi="Palatino Linotype" w:cs="Tahoma"/>
          <w:lang w:eastAsia="es-MX"/>
        </w:rPr>
        <w:lastRenderedPageBreak/>
        <w:t xml:space="preserve">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BB3C89">
        <w:rPr>
          <w:rFonts w:ascii="Palatino Linotype" w:hAnsi="Palatino Linotype" w:cs="Tahoma"/>
          <w:b/>
          <w:lang w:eastAsia="es-MX"/>
        </w:rPr>
        <w:t xml:space="preserve">se generan a partir de los datos contenidos en el documento probatorio de la identidad del interesado </w:t>
      </w:r>
      <w:r w:rsidRPr="00BB3C89">
        <w:rPr>
          <w:rFonts w:ascii="Palatino Linotype" w:hAnsi="Palatino Linotype" w:cs="Tahoma"/>
          <w:lang w:eastAsia="es-MX"/>
        </w:rPr>
        <w:t>(acta de nacimiento, carta de naturalización o documento migratorio) de la siguiente forma:</w:t>
      </w:r>
    </w:p>
    <w:p w14:paraId="2DD52657" w14:textId="77777777" w:rsidR="004A4745" w:rsidRPr="00BB3C89" w:rsidRDefault="004A4745" w:rsidP="004A4745">
      <w:pPr>
        <w:spacing w:line="360" w:lineRule="auto"/>
        <w:contextualSpacing/>
        <w:jc w:val="both"/>
        <w:rPr>
          <w:rFonts w:ascii="Palatino Linotype" w:hAnsi="Palatino Linotype" w:cs="Tahoma"/>
          <w:lang w:eastAsia="es-MX"/>
        </w:rPr>
      </w:pPr>
      <w:r w:rsidRPr="00BB3C89">
        <w:rPr>
          <w:rFonts w:ascii="Palatino Linotype" w:hAnsi="Palatino Linotype" w:cs="Tahoma"/>
          <w:lang w:eastAsia="es-MX"/>
        </w:rPr>
        <w:t xml:space="preserve"> • El primero y segundo apellidos, así como al nombre de pila.</w:t>
      </w:r>
    </w:p>
    <w:p w14:paraId="652CA9CD" w14:textId="77777777" w:rsidR="004A4745" w:rsidRPr="00BB3C89" w:rsidRDefault="004A4745" w:rsidP="004A4745">
      <w:pPr>
        <w:spacing w:line="360" w:lineRule="auto"/>
        <w:contextualSpacing/>
        <w:jc w:val="both"/>
        <w:rPr>
          <w:rFonts w:ascii="Palatino Linotype" w:hAnsi="Palatino Linotype" w:cs="Tahoma"/>
          <w:lang w:eastAsia="es-MX"/>
        </w:rPr>
      </w:pPr>
      <w:r w:rsidRPr="00BB3C89">
        <w:rPr>
          <w:rFonts w:ascii="Palatino Linotype" w:hAnsi="Palatino Linotype" w:cs="Tahoma"/>
          <w:lang w:eastAsia="es-MX"/>
        </w:rPr>
        <w:t xml:space="preserve"> • La fecha de nacimiento.</w:t>
      </w:r>
    </w:p>
    <w:p w14:paraId="7D7B0146" w14:textId="77777777" w:rsidR="004A4745" w:rsidRPr="00BB3C89" w:rsidRDefault="004A4745" w:rsidP="004A4745">
      <w:pPr>
        <w:spacing w:line="360" w:lineRule="auto"/>
        <w:contextualSpacing/>
        <w:jc w:val="both"/>
        <w:rPr>
          <w:rFonts w:ascii="Palatino Linotype" w:hAnsi="Palatino Linotype" w:cs="Tahoma"/>
          <w:lang w:eastAsia="es-MX"/>
        </w:rPr>
      </w:pPr>
      <w:r w:rsidRPr="00BB3C89">
        <w:rPr>
          <w:rFonts w:ascii="Palatino Linotype" w:hAnsi="Palatino Linotype" w:cs="Tahoma"/>
          <w:lang w:eastAsia="es-MX"/>
        </w:rPr>
        <w:t xml:space="preserve"> • El sexo.</w:t>
      </w:r>
    </w:p>
    <w:p w14:paraId="72ECD888" w14:textId="77777777" w:rsidR="004A4745" w:rsidRPr="00BB3C89" w:rsidRDefault="004A4745" w:rsidP="004A4745">
      <w:pPr>
        <w:spacing w:line="360" w:lineRule="auto"/>
        <w:contextualSpacing/>
        <w:jc w:val="both"/>
        <w:rPr>
          <w:rFonts w:ascii="Palatino Linotype" w:hAnsi="Palatino Linotype" w:cs="Tahoma"/>
          <w:lang w:eastAsia="es-MX"/>
        </w:rPr>
      </w:pPr>
      <w:r w:rsidRPr="00BB3C89">
        <w:rPr>
          <w:rFonts w:ascii="Palatino Linotype" w:hAnsi="Palatino Linotype" w:cs="Tahoma"/>
          <w:lang w:eastAsia="es-MX"/>
        </w:rPr>
        <w:t xml:space="preserve"> • La entidad federativa de nacimiento.</w:t>
      </w:r>
    </w:p>
    <w:p w14:paraId="033BCE39" w14:textId="77777777" w:rsidR="004A4745" w:rsidRPr="00BB3C89" w:rsidRDefault="004A4745" w:rsidP="004A4745">
      <w:pPr>
        <w:spacing w:line="360" w:lineRule="auto"/>
        <w:contextualSpacing/>
        <w:jc w:val="both"/>
        <w:rPr>
          <w:rFonts w:ascii="Palatino Linotype" w:hAnsi="Palatino Linotype" w:cs="Tahoma"/>
          <w:lang w:eastAsia="es-MX"/>
        </w:rPr>
      </w:pPr>
    </w:p>
    <w:p w14:paraId="28631B14" w14:textId="77777777" w:rsidR="004A4745" w:rsidRPr="00BB3C89" w:rsidRDefault="004A4745" w:rsidP="004A4745">
      <w:pPr>
        <w:spacing w:line="360" w:lineRule="auto"/>
        <w:contextualSpacing/>
        <w:jc w:val="both"/>
        <w:rPr>
          <w:rFonts w:ascii="Palatino Linotype" w:hAnsi="Palatino Linotype" w:cs="Tahoma"/>
          <w:lang w:eastAsia="es-MX"/>
        </w:rPr>
      </w:pPr>
      <w:r w:rsidRPr="00BB3C89">
        <w:rPr>
          <w:rFonts w:ascii="Palatino Linotype" w:hAnsi="Palatino Linotype" w:cs="Tahoma"/>
          <w:lang w:eastAsia="es-MX"/>
        </w:rPr>
        <w:t>Los dos últimos elementos de la CURP evitan la duplicidad de la Clave y garantizan su correcta integración.</w:t>
      </w:r>
    </w:p>
    <w:p w14:paraId="7D1294D9" w14:textId="77777777" w:rsidR="004A4745" w:rsidRPr="00BB3C89" w:rsidRDefault="004A4745" w:rsidP="004A4745">
      <w:pPr>
        <w:spacing w:line="360" w:lineRule="auto"/>
        <w:contextualSpacing/>
        <w:jc w:val="both"/>
        <w:rPr>
          <w:rFonts w:ascii="Palatino Linotype" w:hAnsi="Palatino Linotype" w:cs="Tahoma"/>
        </w:rPr>
      </w:pPr>
      <w:r w:rsidRPr="00BB3C89">
        <w:rPr>
          <w:rFonts w:ascii="Palatino Linotype" w:hAnsi="Palatino Linotype" w:cs="Tahoma"/>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CE53DB8" w14:textId="77777777" w:rsidR="004A4745" w:rsidRPr="00BB3C89" w:rsidRDefault="004A4745" w:rsidP="004A4745">
      <w:pPr>
        <w:spacing w:line="360" w:lineRule="auto"/>
        <w:contextualSpacing/>
        <w:jc w:val="both"/>
        <w:rPr>
          <w:rFonts w:ascii="Palatino Linotype" w:hAnsi="Palatino Linotype" w:cs="Tahoma"/>
          <w:lang w:eastAsia="es-MX"/>
        </w:rPr>
      </w:pPr>
      <w:r w:rsidRPr="00BB3C89">
        <w:rPr>
          <w:rFonts w:ascii="Palatino Linotype" w:hAnsi="Palatino Linotype" w:cs="Tahoma"/>
          <w:lang w:eastAsia="es-MX"/>
        </w:rPr>
        <w:t>Resulta aplicable en la especie, como argumento orientador, el Criterio 3/10, emitido por el INAI.</w:t>
      </w:r>
    </w:p>
    <w:p w14:paraId="117DA379" w14:textId="77777777" w:rsidR="004A4745" w:rsidRPr="00BB3C89" w:rsidRDefault="004A4745" w:rsidP="004A4745">
      <w:pPr>
        <w:spacing w:line="360" w:lineRule="auto"/>
        <w:contextualSpacing/>
        <w:jc w:val="both"/>
        <w:rPr>
          <w:rFonts w:ascii="Palatino Linotype" w:hAnsi="Palatino Linotype" w:cs="Tahoma"/>
        </w:rPr>
      </w:pPr>
    </w:p>
    <w:p w14:paraId="1BF51474" w14:textId="77777777" w:rsidR="004A4745" w:rsidRPr="00BB3C89" w:rsidRDefault="004A4745" w:rsidP="004A4745">
      <w:pPr>
        <w:autoSpaceDE w:val="0"/>
        <w:autoSpaceDN w:val="0"/>
        <w:adjustRightInd w:val="0"/>
        <w:ind w:left="567" w:right="567"/>
        <w:jc w:val="both"/>
        <w:rPr>
          <w:rFonts w:ascii="Palatino Linotype" w:eastAsia="Calibri" w:hAnsi="Palatino Linotype" w:cs="Tahoma"/>
          <w:i/>
        </w:rPr>
      </w:pPr>
      <w:r w:rsidRPr="00BB3C89">
        <w:rPr>
          <w:rFonts w:ascii="Palatino Linotype" w:eastAsia="Calibri" w:hAnsi="Palatino Linotype" w:cs="Tahoma"/>
          <w:b/>
          <w:bCs/>
          <w:i/>
        </w:rPr>
        <w:lastRenderedPageBreak/>
        <w:t xml:space="preserve">Clave Única de Registro de Población (CURP) es un dato personal confidencial. </w:t>
      </w:r>
      <w:r w:rsidRPr="00BB3C89">
        <w:rPr>
          <w:rFonts w:ascii="Palatino Linotype" w:eastAsia="Calibri" w:hAnsi="Palatino Linotype" w:cs="Tahoma"/>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241E6229" w14:textId="77777777" w:rsidR="004A4745" w:rsidRPr="00BB3C89" w:rsidRDefault="004A4745" w:rsidP="004177A5">
      <w:pPr>
        <w:spacing w:before="240" w:after="240" w:line="360" w:lineRule="auto"/>
        <w:jc w:val="both"/>
        <w:rPr>
          <w:rFonts w:ascii="Palatino Linotype" w:hAnsi="Palatino Linotype" w:cs="Tahoma"/>
        </w:rPr>
      </w:pPr>
      <w:r w:rsidRPr="00BB3C89">
        <w:rPr>
          <w:rFonts w:ascii="Palatino Linotype" w:hAnsi="Palatino Linotype" w:cs="Tahoma"/>
        </w:rPr>
        <w:t>De acuerdo con lo anterior, se la clave CURP, es un dato personal confidencial, en términos del artículo 143, fracción I de la Ley de Transparencia y Acceso a la Información Pública del Estado de México y Municipios.</w:t>
      </w:r>
    </w:p>
    <w:p w14:paraId="3CA88554" w14:textId="77777777" w:rsidR="009142F1" w:rsidRPr="00BB3C89" w:rsidRDefault="00F37D93">
      <w:pPr>
        <w:spacing w:before="240" w:after="240" w:line="360" w:lineRule="auto"/>
        <w:ind w:right="49"/>
        <w:jc w:val="both"/>
        <w:rPr>
          <w:rFonts w:ascii="Palatino Linotype" w:eastAsia="Palatino Linotype" w:hAnsi="Palatino Linotype" w:cs="Palatino Linotype"/>
        </w:rPr>
      </w:pPr>
      <w:r w:rsidRPr="00BB3C89">
        <w:rPr>
          <w:rFonts w:ascii="Palatino Linotype" w:eastAsia="Palatino Linotype" w:hAnsi="Palatino Linotype" w:cs="Palatino Linotype"/>
        </w:rPr>
        <w:t xml:space="preserve">Por lo expuesto, con fundamento en el artículo 186 </w:t>
      </w:r>
      <w:proofErr w:type="gramStart"/>
      <w:r w:rsidRPr="00BB3C89">
        <w:rPr>
          <w:rFonts w:ascii="Palatino Linotype" w:eastAsia="Palatino Linotype" w:hAnsi="Palatino Linotype" w:cs="Palatino Linotype"/>
        </w:rPr>
        <w:t>fracción</w:t>
      </w:r>
      <w:proofErr w:type="gramEnd"/>
      <w:r w:rsidRPr="00BB3C89">
        <w:rPr>
          <w:rFonts w:ascii="Palatino Linotype" w:eastAsia="Palatino Linotype" w:hAnsi="Palatino Linotype" w:cs="Palatino Linotype"/>
        </w:rPr>
        <w:t xml:space="preserve"> III de la Ley de Transparencia y Acceso a la Información Pública del Estado de México y Municipios, este Órgano Garante considera procedente</w:t>
      </w:r>
      <w:r w:rsidRPr="00BB3C89">
        <w:rPr>
          <w:rFonts w:ascii="Palatino Linotype" w:eastAsia="Palatino Linotype" w:hAnsi="Palatino Linotype" w:cs="Palatino Linotype"/>
          <w:b/>
        </w:rPr>
        <w:t xml:space="preserve"> ordenar </w:t>
      </w:r>
      <w:r w:rsidRPr="00BB3C89">
        <w:rPr>
          <w:rFonts w:ascii="Palatino Linotype" w:eastAsia="Palatino Linotype" w:hAnsi="Palatino Linotype" w:cs="Palatino Linotype"/>
        </w:rPr>
        <w:t>la entrega de la información, en versión pública.</w:t>
      </w:r>
    </w:p>
    <w:p w14:paraId="280FB777" w14:textId="77777777" w:rsidR="009142F1" w:rsidRPr="00BB3C89" w:rsidRDefault="00F37D93">
      <w:pPr>
        <w:shd w:val="clear" w:color="auto" w:fill="FFFFFF"/>
        <w:spacing w:before="240" w:after="240"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fracciones IV y V; 2, fracción II; 29, 36 fracciones I y II; 176, 178, 179, fracción I, 181, 185 de la Ley de Transparencia y Acceso a la Información Pública del Estado de México y Municipios, este Pleno:</w:t>
      </w:r>
    </w:p>
    <w:p w14:paraId="7DFE22CC" w14:textId="77777777" w:rsidR="009142F1" w:rsidRPr="00BB3C89" w:rsidRDefault="00F37D93">
      <w:pPr>
        <w:spacing w:before="240" w:after="240" w:line="360" w:lineRule="auto"/>
        <w:jc w:val="center"/>
        <w:rPr>
          <w:rFonts w:ascii="Palatino Linotype" w:eastAsia="Palatino Linotype" w:hAnsi="Palatino Linotype" w:cs="Palatino Linotype"/>
          <w:b/>
        </w:rPr>
      </w:pPr>
      <w:r w:rsidRPr="00BB3C89">
        <w:rPr>
          <w:rFonts w:ascii="Palatino Linotype" w:eastAsia="Palatino Linotype" w:hAnsi="Palatino Linotype" w:cs="Palatino Linotype"/>
          <w:b/>
        </w:rPr>
        <w:lastRenderedPageBreak/>
        <w:t>R E S U E L V E</w:t>
      </w:r>
    </w:p>
    <w:p w14:paraId="1989F2C2" w14:textId="77777777" w:rsidR="009142F1" w:rsidRPr="00BB3C89" w:rsidRDefault="00F37D93">
      <w:pPr>
        <w:spacing w:before="240" w:after="240"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b/>
        </w:rPr>
        <w:t>Primero</w:t>
      </w:r>
      <w:r w:rsidRPr="00BB3C89">
        <w:rPr>
          <w:rFonts w:ascii="Palatino Linotype" w:eastAsia="Palatino Linotype" w:hAnsi="Palatino Linotype" w:cs="Palatino Linotype"/>
        </w:rPr>
        <w:t xml:space="preserve">. Resultan </w:t>
      </w:r>
      <w:r w:rsidRPr="00BB3C89">
        <w:rPr>
          <w:rFonts w:ascii="Palatino Linotype" w:eastAsia="Palatino Linotype" w:hAnsi="Palatino Linotype" w:cs="Palatino Linotype"/>
          <w:b/>
        </w:rPr>
        <w:t xml:space="preserve">fundados </w:t>
      </w:r>
      <w:r w:rsidRPr="00BB3C89">
        <w:rPr>
          <w:rFonts w:ascii="Palatino Linotype" w:eastAsia="Palatino Linotype" w:hAnsi="Palatino Linotype" w:cs="Palatino Linotype"/>
        </w:rPr>
        <w:t xml:space="preserve">los motivos de inconformidad hechos valer por </w:t>
      </w:r>
      <w:r w:rsidRPr="00BB3C89">
        <w:rPr>
          <w:rFonts w:ascii="Palatino Linotype" w:eastAsia="Palatino Linotype" w:hAnsi="Palatino Linotype" w:cs="Palatino Linotype"/>
          <w:b/>
        </w:rPr>
        <w:t>el Recurrente</w:t>
      </w:r>
      <w:r w:rsidRPr="00BB3C89">
        <w:rPr>
          <w:rFonts w:ascii="Palatino Linotype" w:eastAsia="Palatino Linotype" w:hAnsi="Palatino Linotype" w:cs="Palatino Linotype"/>
        </w:rPr>
        <w:t xml:space="preserve"> en el Recurso de Revisión </w:t>
      </w:r>
      <w:r w:rsidR="00D17615" w:rsidRPr="00BB3C89">
        <w:rPr>
          <w:rFonts w:ascii="Palatino Linotype" w:eastAsia="Palatino Linotype" w:hAnsi="Palatino Linotype" w:cs="Palatino Linotype"/>
          <w:b/>
        </w:rPr>
        <w:t>03429/INFOEM/IP/RR/2022</w:t>
      </w:r>
      <w:r w:rsidRPr="00BB3C89">
        <w:rPr>
          <w:rFonts w:ascii="Palatino Linotype" w:eastAsia="Palatino Linotype" w:hAnsi="Palatino Linotype" w:cs="Palatino Linotype"/>
        </w:rPr>
        <w:t xml:space="preserve">, en términos del Considerando </w:t>
      </w:r>
      <w:r w:rsidRPr="00BB3C89">
        <w:rPr>
          <w:rFonts w:ascii="Palatino Linotype" w:eastAsia="Palatino Linotype" w:hAnsi="Palatino Linotype" w:cs="Palatino Linotype"/>
          <w:b/>
        </w:rPr>
        <w:t>Cuarto</w:t>
      </w:r>
      <w:r w:rsidR="00F93541" w:rsidRPr="00BB3C89">
        <w:rPr>
          <w:rFonts w:ascii="Palatino Linotype" w:eastAsia="Palatino Linotype" w:hAnsi="Palatino Linotype" w:cs="Palatino Linotype"/>
        </w:rPr>
        <w:t xml:space="preserve"> de la presente resolución. </w:t>
      </w:r>
    </w:p>
    <w:p w14:paraId="5C32BFB0" w14:textId="77777777" w:rsidR="009142F1" w:rsidRPr="00BB3C89" w:rsidRDefault="00F37D93">
      <w:pPr>
        <w:spacing w:before="240" w:after="240"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b/>
        </w:rPr>
        <w:t>Segundo</w:t>
      </w:r>
      <w:r w:rsidRPr="00BB3C89">
        <w:rPr>
          <w:rFonts w:ascii="Palatino Linotype" w:eastAsia="Palatino Linotype" w:hAnsi="Palatino Linotype" w:cs="Palatino Linotype"/>
          <w:b/>
          <w:sz w:val="28"/>
          <w:szCs w:val="28"/>
        </w:rPr>
        <w:t>.</w:t>
      </w:r>
      <w:r w:rsidRPr="00BB3C89">
        <w:rPr>
          <w:rFonts w:ascii="Palatino Linotype" w:eastAsia="Palatino Linotype" w:hAnsi="Palatino Linotype" w:cs="Palatino Linotype"/>
          <w:sz w:val="28"/>
          <w:szCs w:val="28"/>
        </w:rPr>
        <w:t xml:space="preserve"> </w:t>
      </w:r>
      <w:r w:rsidRPr="00BB3C89">
        <w:rPr>
          <w:rFonts w:ascii="Palatino Linotype" w:eastAsia="Palatino Linotype" w:hAnsi="Palatino Linotype" w:cs="Palatino Linotype"/>
        </w:rPr>
        <w:t>Se</w:t>
      </w:r>
      <w:r w:rsidRPr="00BB3C89">
        <w:rPr>
          <w:rFonts w:ascii="Palatino Linotype" w:eastAsia="Palatino Linotype" w:hAnsi="Palatino Linotype" w:cs="Palatino Linotype"/>
          <w:b/>
        </w:rPr>
        <w:t xml:space="preserve"> ORDENA </w:t>
      </w:r>
      <w:r w:rsidRPr="00BB3C89">
        <w:rPr>
          <w:rFonts w:ascii="Palatino Linotype" w:eastAsia="Palatino Linotype" w:hAnsi="Palatino Linotype" w:cs="Palatino Linotype"/>
        </w:rPr>
        <w:t>al</w:t>
      </w:r>
      <w:r w:rsidRPr="00BB3C89">
        <w:rPr>
          <w:rFonts w:ascii="Palatino Linotype" w:eastAsia="Palatino Linotype" w:hAnsi="Palatino Linotype" w:cs="Palatino Linotype"/>
          <w:b/>
        </w:rPr>
        <w:t xml:space="preserve"> </w:t>
      </w:r>
      <w:r w:rsidR="002D241B" w:rsidRPr="00BB3C89">
        <w:rPr>
          <w:rFonts w:ascii="Palatino Linotype" w:eastAsia="Palatino Linotype" w:hAnsi="Palatino Linotype" w:cs="Palatino Linotype"/>
        </w:rPr>
        <w:t xml:space="preserve">SUJETO OBLIGADO, </w:t>
      </w:r>
      <w:r w:rsidR="00D17615" w:rsidRPr="00BB3C89">
        <w:rPr>
          <w:rFonts w:ascii="Palatino Linotype" w:eastAsia="Palatino Linotype" w:hAnsi="Palatino Linotype" w:cs="Palatino Linotype"/>
          <w:b/>
        </w:rPr>
        <w:t>Ayuntamiento de Naucalpan de Juárez</w:t>
      </w:r>
      <w:r w:rsidRPr="00BB3C89">
        <w:rPr>
          <w:rFonts w:ascii="Palatino Linotype" w:eastAsia="Palatino Linotype" w:hAnsi="Palatino Linotype" w:cs="Palatino Linotype"/>
        </w:rPr>
        <w:t>, atienda la solicitud de información número</w:t>
      </w:r>
      <w:r w:rsidRPr="00BB3C89">
        <w:t xml:space="preserve"> </w:t>
      </w:r>
      <w:r w:rsidR="00D17615" w:rsidRPr="00BB3C89">
        <w:rPr>
          <w:rFonts w:ascii="Palatino Linotype" w:eastAsia="Palatino Linotype" w:hAnsi="Palatino Linotype" w:cs="Palatino Linotype"/>
          <w:b/>
          <w:color w:val="000000"/>
        </w:rPr>
        <w:t>00104/NAUCALPA/IP/2022</w:t>
      </w:r>
      <w:r w:rsidRPr="00BB3C89">
        <w:rPr>
          <w:rFonts w:ascii="Palatino Linotype" w:eastAsia="Palatino Linotype" w:hAnsi="Palatino Linotype" w:cs="Palatino Linotype"/>
        </w:rPr>
        <w:t xml:space="preserve">, en términos de los Considerandos </w:t>
      </w:r>
      <w:r w:rsidRPr="00BB3C89">
        <w:rPr>
          <w:rFonts w:ascii="Palatino Linotype" w:eastAsia="Palatino Linotype" w:hAnsi="Palatino Linotype" w:cs="Palatino Linotype"/>
          <w:b/>
        </w:rPr>
        <w:t>Cuarto y Quinto</w:t>
      </w:r>
      <w:r w:rsidRPr="00BB3C89">
        <w:rPr>
          <w:rFonts w:ascii="Palatino Linotype" w:eastAsia="Palatino Linotype" w:hAnsi="Palatino Linotype" w:cs="Palatino Linotype"/>
        </w:rPr>
        <w:t xml:space="preserve"> de esta resolución, y haga entrega vía </w:t>
      </w:r>
      <w:r w:rsidRPr="00BB3C89">
        <w:rPr>
          <w:rFonts w:ascii="Palatino Linotype" w:eastAsia="Palatino Linotype" w:hAnsi="Palatino Linotype" w:cs="Palatino Linotype"/>
          <w:b/>
        </w:rPr>
        <w:t>SAIMEX</w:t>
      </w:r>
      <w:r w:rsidRPr="00BB3C89">
        <w:rPr>
          <w:rFonts w:ascii="Palatino Linotype" w:eastAsia="Palatino Linotype" w:hAnsi="Palatino Linotype" w:cs="Palatino Linotype"/>
        </w:rPr>
        <w:t xml:space="preserve">, en </w:t>
      </w:r>
      <w:r w:rsidRPr="00BB3C89">
        <w:rPr>
          <w:rFonts w:ascii="Palatino Linotype" w:eastAsia="Palatino Linotype" w:hAnsi="Palatino Linotype" w:cs="Palatino Linotype"/>
          <w:b/>
        </w:rPr>
        <w:t>versión pública</w:t>
      </w:r>
      <w:r w:rsidRPr="00BB3C89">
        <w:rPr>
          <w:rFonts w:ascii="Palatino Linotype" w:eastAsia="Palatino Linotype" w:hAnsi="Palatino Linotype" w:cs="Palatino Linotype"/>
        </w:rPr>
        <w:t>,</w:t>
      </w:r>
      <w:r w:rsidRPr="00BB3C89">
        <w:rPr>
          <w:rFonts w:ascii="Palatino Linotype" w:eastAsia="Palatino Linotype" w:hAnsi="Palatino Linotype" w:cs="Palatino Linotype"/>
          <w:b/>
        </w:rPr>
        <w:t xml:space="preserve"> de lo siguiente</w:t>
      </w:r>
      <w:r w:rsidRPr="00BB3C89">
        <w:rPr>
          <w:rFonts w:ascii="Palatino Linotype" w:eastAsia="Palatino Linotype" w:hAnsi="Palatino Linotype" w:cs="Palatino Linotype"/>
        </w:rPr>
        <w:t>:</w:t>
      </w:r>
    </w:p>
    <w:p w14:paraId="21F09A28" w14:textId="77777777" w:rsidR="009142F1" w:rsidRPr="00BB3C89" w:rsidRDefault="00D17615">
      <w:pPr>
        <w:numPr>
          <w:ilvl w:val="0"/>
          <w:numId w:val="1"/>
        </w:numPr>
        <w:pBdr>
          <w:top w:val="nil"/>
          <w:left w:val="nil"/>
          <w:bottom w:val="nil"/>
          <w:right w:val="nil"/>
          <w:between w:val="nil"/>
        </w:pBdr>
        <w:ind w:left="567" w:right="709" w:firstLine="0"/>
        <w:jc w:val="both"/>
        <w:rPr>
          <w:b/>
          <w:i/>
          <w:color w:val="000000"/>
        </w:rPr>
      </w:pPr>
      <w:r w:rsidRPr="00BB3C89">
        <w:rPr>
          <w:rFonts w:ascii="Palatino Linotype" w:eastAsia="Palatino Linotype" w:hAnsi="Palatino Linotype" w:cs="Palatino Linotype"/>
          <w:i/>
          <w:color w:val="000000"/>
        </w:rPr>
        <w:t>El Acta de entrega recepción</w:t>
      </w:r>
      <w:r w:rsidR="00A405F4" w:rsidRPr="00BB3C89">
        <w:rPr>
          <w:rFonts w:ascii="Palatino Linotype" w:eastAsia="Palatino Linotype" w:hAnsi="Palatino Linotype" w:cs="Palatino Linotype"/>
          <w:i/>
          <w:color w:val="000000"/>
        </w:rPr>
        <w:t xml:space="preserve"> generada con motivo del nombramiento</w:t>
      </w:r>
      <w:r w:rsidR="00815DFE" w:rsidRPr="00BB3C89">
        <w:rPr>
          <w:rFonts w:ascii="Palatino Linotype" w:eastAsia="Palatino Linotype" w:hAnsi="Palatino Linotype" w:cs="Palatino Linotype"/>
          <w:i/>
          <w:color w:val="000000"/>
        </w:rPr>
        <w:t xml:space="preserve"> de la titular de la Dirección General de Administración </w:t>
      </w:r>
      <w:r w:rsidRPr="00BB3C89">
        <w:rPr>
          <w:rFonts w:ascii="Palatino Linotype" w:eastAsia="Palatino Linotype" w:hAnsi="Palatino Linotype" w:cs="Palatino Linotype"/>
          <w:i/>
          <w:color w:val="000000"/>
        </w:rPr>
        <w:t xml:space="preserve">en funciones al 01 de febrero del 2022. </w:t>
      </w:r>
    </w:p>
    <w:p w14:paraId="2656B47E" w14:textId="77777777" w:rsidR="009142F1" w:rsidRPr="00BB3C89" w:rsidRDefault="009142F1">
      <w:pPr>
        <w:pBdr>
          <w:top w:val="nil"/>
          <w:left w:val="nil"/>
          <w:bottom w:val="nil"/>
          <w:right w:val="nil"/>
          <w:between w:val="nil"/>
        </w:pBdr>
        <w:ind w:left="567" w:right="709"/>
        <w:jc w:val="both"/>
        <w:rPr>
          <w:rFonts w:ascii="Palatino Linotype" w:eastAsia="Palatino Linotype" w:hAnsi="Palatino Linotype" w:cs="Palatino Linotype"/>
          <w:b/>
          <w:i/>
          <w:color w:val="000000"/>
        </w:rPr>
      </w:pPr>
    </w:p>
    <w:p w14:paraId="675715F2" w14:textId="77777777" w:rsidR="00D17615" w:rsidRPr="00BB3C89" w:rsidRDefault="00D17615" w:rsidP="005C3557">
      <w:pPr>
        <w:pBdr>
          <w:top w:val="nil"/>
          <w:left w:val="nil"/>
          <w:bottom w:val="nil"/>
          <w:right w:val="nil"/>
          <w:between w:val="nil"/>
        </w:pBdr>
        <w:ind w:right="709"/>
        <w:jc w:val="both"/>
        <w:rPr>
          <w:rFonts w:ascii="Palatino Linotype" w:eastAsia="Palatino Linotype" w:hAnsi="Palatino Linotype" w:cs="Palatino Linotype"/>
          <w:b/>
          <w:i/>
          <w:color w:val="000000"/>
        </w:rPr>
      </w:pPr>
    </w:p>
    <w:p w14:paraId="12F1CC65" w14:textId="77777777" w:rsidR="009142F1" w:rsidRPr="00BB3C89" w:rsidRDefault="00F37D93">
      <w:pPr>
        <w:pBdr>
          <w:top w:val="nil"/>
          <w:left w:val="nil"/>
          <w:bottom w:val="nil"/>
          <w:right w:val="nil"/>
          <w:between w:val="nil"/>
        </w:pBdr>
        <w:ind w:left="567" w:right="709"/>
        <w:jc w:val="both"/>
        <w:rPr>
          <w:rFonts w:ascii="Palatino Linotype" w:eastAsia="Palatino Linotype" w:hAnsi="Palatino Linotype" w:cs="Palatino Linotype"/>
          <w:b/>
          <w:i/>
          <w:color w:val="000000"/>
          <w:sz w:val="22"/>
          <w:szCs w:val="22"/>
        </w:rPr>
      </w:pPr>
      <w:r w:rsidRPr="00BB3C89">
        <w:rPr>
          <w:rFonts w:ascii="Palatino Linotype" w:eastAsia="Palatino Linotype" w:hAnsi="Palatino Linotype" w:cs="Palatino Linotype"/>
          <w:i/>
          <w:color w:val="000000"/>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w:t>
      </w:r>
      <w:proofErr w:type="gramStart"/>
      <w:r w:rsidRPr="00BB3C89">
        <w:rPr>
          <w:rFonts w:ascii="Palatino Linotype" w:eastAsia="Palatino Linotype" w:hAnsi="Palatino Linotype" w:cs="Palatino Linotype"/>
          <w:i/>
          <w:color w:val="000000"/>
          <w:sz w:val="22"/>
          <w:szCs w:val="22"/>
        </w:rPr>
        <w:t xml:space="preserve">del  </w:t>
      </w:r>
      <w:r w:rsidRPr="00BB3C89">
        <w:rPr>
          <w:rFonts w:ascii="Palatino Linotype" w:eastAsia="Palatino Linotype" w:hAnsi="Palatino Linotype" w:cs="Palatino Linotype"/>
          <w:b/>
          <w:i/>
          <w:color w:val="000000"/>
          <w:sz w:val="22"/>
          <w:szCs w:val="22"/>
        </w:rPr>
        <w:t>Recurrente</w:t>
      </w:r>
      <w:proofErr w:type="gramEnd"/>
      <w:r w:rsidRPr="00BB3C89">
        <w:rPr>
          <w:rFonts w:ascii="Palatino Linotype" w:eastAsia="Palatino Linotype" w:hAnsi="Palatino Linotype" w:cs="Palatino Linotype"/>
          <w:i/>
          <w:color w:val="000000"/>
          <w:sz w:val="22"/>
          <w:szCs w:val="22"/>
        </w:rPr>
        <w:t>.</w:t>
      </w:r>
    </w:p>
    <w:p w14:paraId="613AEC3F" w14:textId="77777777" w:rsidR="009142F1" w:rsidRPr="00BB3C89" w:rsidRDefault="009142F1">
      <w:pPr>
        <w:pBdr>
          <w:top w:val="nil"/>
          <w:left w:val="nil"/>
          <w:bottom w:val="nil"/>
          <w:right w:val="nil"/>
          <w:between w:val="nil"/>
        </w:pBdr>
        <w:tabs>
          <w:tab w:val="left" w:pos="8080"/>
        </w:tabs>
        <w:spacing w:after="120"/>
        <w:ind w:left="785" w:right="900"/>
        <w:jc w:val="both"/>
        <w:rPr>
          <w:rFonts w:ascii="Palatino Linotype" w:eastAsia="Palatino Linotype" w:hAnsi="Palatino Linotype" w:cs="Palatino Linotype"/>
          <w:i/>
          <w:color w:val="000000"/>
          <w:sz w:val="22"/>
          <w:szCs w:val="22"/>
        </w:rPr>
      </w:pPr>
    </w:p>
    <w:p w14:paraId="2C861783" w14:textId="77777777" w:rsidR="009142F1" w:rsidRPr="00BB3C89" w:rsidRDefault="00F37D93">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BB3C89">
        <w:rPr>
          <w:rFonts w:ascii="Palatino Linotype" w:eastAsia="Palatino Linotype" w:hAnsi="Palatino Linotype" w:cs="Palatino Linotype"/>
          <w:b/>
          <w:color w:val="000000"/>
        </w:rPr>
        <w:t xml:space="preserve">Tercero. Notifíquese vía SAIMEX </w:t>
      </w:r>
      <w:r w:rsidRPr="00BB3C89">
        <w:rPr>
          <w:rFonts w:ascii="Palatino Linotype" w:eastAsia="Palatino Linotype" w:hAnsi="Palatino Linotype" w:cs="Palatino Linotype"/>
          <w:color w:val="000000"/>
        </w:rPr>
        <w:t>al Titular de la Unidad de Transparencia del</w:t>
      </w:r>
      <w:r w:rsidRPr="00BB3C89">
        <w:rPr>
          <w:rFonts w:ascii="Palatino Linotype" w:eastAsia="Palatino Linotype" w:hAnsi="Palatino Linotype" w:cs="Palatino Linotype"/>
          <w:b/>
          <w:color w:val="000000"/>
        </w:rPr>
        <w:t xml:space="preserve"> </w:t>
      </w:r>
      <w:r w:rsidR="002D241B" w:rsidRPr="00BB3C89">
        <w:rPr>
          <w:rFonts w:ascii="Palatino Linotype" w:eastAsia="Palatino Linotype" w:hAnsi="Palatino Linotype" w:cs="Palatino Linotype"/>
          <w:b/>
          <w:color w:val="000000"/>
        </w:rPr>
        <w:t>SUJETO OBLIGADO</w:t>
      </w:r>
      <w:r w:rsidR="002D241B" w:rsidRPr="00BB3C89">
        <w:rPr>
          <w:rFonts w:ascii="Palatino Linotype" w:eastAsia="Palatino Linotype" w:hAnsi="Palatino Linotype" w:cs="Palatino Linotype"/>
          <w:color w:val="000000"/>
        </w:rPr>
        <w:t xml:space="preserve">, </w:t>
      </w:r>
      <w:r w:rsidRPr="00BB3C89">
        <w:rPr>
          <w:rFonts w:ascii="Palatino Linotype" w:eastAsia="Palatino Linotype" w:hAnsi="Palatino Linotype" w:cs="Palatino Linotype"/>
          <w:color w:val="000000"/>
        </w:rPr>
        <w:t xml:space="preserve">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w:t>
      </w:r>
      <w:r w:rsidRPr="00BB3C89">
        <w:rPr>
          <w:rFonts w:ascii="Palatino Linotype" w:eastAsia="Palatino Linotype" w:hAnsi="Palatino Linotype" w:cs="Palatino Linotype"/>
          <w:color w:val="000000"/>
        </w:rPr>
        <w:lastRenderedPageBreak/>
        <w:t>en un plazo de tres días hábiles siguientes sobre el cumplimiento dado a la presente resolución.</w:t>
      </w:r>
    </w:p>
    <w:p w14:paraId="2F40C246" w14:textId="77777777" w:rsidR="009142F1" w:rsidRPr="00BB3C89" w:rsidRDefault="00F37D93">
      <w:pPr>
        <w:spacing w:before="240" w:after="240"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b/>
        </w:rPr>
        <w:t xml:space="preserve">Cuarto. Notifíquese </w:t>
      </w:r>
      <w:r w:rsidR="002D241B" w:rsidRPr="00BB3C89">
        <w:rPr>
          <w:rFonts w:ascii="Palatino Linotype" w:eastAsia="Palatino Linotype" w:hAnsi="Palatino Linotype" w:cs="Palatino Linotype"/>
        </w:rPr>
        <w:t>al</w:t>
      </w:r>
      <w:r w:rsidRPr="00BB3C89">
        <w:rPr>
          <w:rFonts w:ascii="Palatino Linotype" w:eastAsia="Palatino Linotype" w:hAnsi="Palatino Linotype" w:cs="Palatino Linotype"/>
        </w:rPr>
        <w:t xml:space="preserve"> </w:t>
      </w:r>
      <w:r w:rsidRPr="00BB3C89">
        <w:rPr>
          <w:rFonts w:ascii="Palatino Linotype" w:eastAsia="Palatino Linotype" w:hAnsi="Palatino Linotype" w:cs="Palatino Linotype"/>
          <w:b/>
        </w:rPr>
        <w:t>Recurrente</w:t>
      </w:r>
      <w:r w:rsidRPr="00BB3C89">
        <w:rPr>
          <w:rFonts w:ascii="Palatino Linotype" w:eastAsia="Palatino Linotype" w:hAnsi="Palatino Linotype" w:cs="Palatino Linotype"/>
        </w:rPr>
        <w:t xml:space="preserve"> vía SAIMEX</w:t>
      </w:r>
      <w:r w:rsidRPr="00BB3C89">
        <w:rPr>
          <w:rFonts w:ascii="Palatino Linotype" w:eastAsia="Palatino Linotype" w:hAnsi="Palatino Linotype" w:cs="Palatino Linotype"/>
          <w:b/>
        </w:rPr>
        <w:t xml:space="preserve">, </w:t>
      </w:r>
      <w:r w:rsidRPr="00BB3C89">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269CE6B" w14:textId="77777777" w:rsidR="009142F1" w:rsidRPr="00BB3C89" w:rsidRDefault="00F37D93">
      <w:pPr>
        <w:spacing w:before="240" w:after="240" w:line="360" w:lineRule="auto"/>
        <w:ind w:right="49"/>
        <w:jc w:val="both"/>
        <w:rPr>
          <w:rFonts w:ascii="Palatino Linotype" w:eastAsia="Palatino Linotype" w:hAnsi="Palatino Linotype" w:cs="Palatino Linotype"/>
          <w:b/>
        </w:rPr>
      </w:pPr>
      <w:r w:rsidRPr="00BB3C89">
        <w:rPr>
          <w:rFonts w:ascii="Palatino Linotype" w:eastAsia="Palatino Linotype" w:hAnsi="Palatino Linotype" w:cs="Palatino Linotype"/>
          <w:b/>
        </w:rPr>
        <w:t>Quinto. Notifíquese,</w:t>
      </w:r>
      <w:r w:rsidRPr="00BB3C89">
        <w:rPr>
          <w:rFonts w:ascii="Palatino Linotype" w:eastAsia="Palatino Linotype" w:hAnsi="Palatino Linotype" w:cs="Palatino Linotype"/>
        </w:rPr>
        <w:t xml:space="preserve"> vía SAIMEX</w:t>
      </w:r>
      <w:r w:rsidRPr="00BB3C89">
        <w:rPr>
          <w:rFonts w:ascii="Palatino Linotype" w:eastAsia="Palatino Linotype" w:hAnsi="Palatino Linotype" w:cs="Palatino Linotype"/>
          <w:b/>
        </w:rPr>
        <w:t xml:space="preserve">, </w:t>
      </w:r>
      <w:r w:rsidR="002D241B" w:rsidRPr="00BB3C89">
        <w:rPr>
          <w:rFonts w:ascii="Palatino Linotype" w:eastAsia="Palatino Linotype" w:hAnsi="Palatino Linotype" w:cs="Palatino Linotype"/>
        </w:rPr>
        <w:t>al</w:t>
      </w:r>
      <w:r w:rsidRPr="00BB3C89">
        <w:rPr>
          <w:rFonts w:ascii="Palatino Linotype" w:eastAsia="Palatino Linotype" w:hAnsi="Palatino Linotype" w:cs="Palatino Linotype"/>
        </w:rPr>
        <w:t xml:space="preserve"> </w:t>
      </w:r>
      <w:r w:rsidRPr="00BB3C89">
        <w:rPr>
          <w:rFonts w:ascii="Palatino Linotype" w:eastAsia="Palatino Linotype" w:hAnsi="Palatino Linotype" w:cs="Palatino Linotype"/>
          <w:b/>
        </w:rPr>
        <w:t>Recurrente</w:t>
      </w:r>
      <w:r w:rsidRPr="00BB3C89">
        <w:rPr>
          <w:rFonts w:ascii="Palatino Linotype" w:eastAsia="Palatino Linotype" w:hAnsi="Palatino Linotype" w:cs="Palatino Linotype"/>
        </w:rPr>
        <w:t xml:space="preserve"> </w:t>
      </w:r>
      <w:r w:rsidRPr="00BB3C89">
        <w:rPr>
          <w:rFonts w:ascii="Palatino Linotype" w:eastAsia="Palatino Linotype" w:hAnsi="Palatino Linotype" w:cs="Palatino Linotype"/>
          <w:color w:val="222222"/>
        </w:rPr>
        <w:t xml:space="preserve">que la respuesta que dé </w:t>
      </w:r>
      <w:r w:rsidRPr="00BB3C89">
        <w:rPr>
          <w:rFonts w:ascii="Palatino Linotype" w:eastAsia="Palatino Linotype" w:hAnsi="Palatino Linotype" w:cs="Palatino Linotype"/>
          <w:b/>
          <w:color w:val="222222"/>
        </w:rPr>
        <w:t xml:space="preserve">el </w:t>
      </w:r>
      <w:r w:rsidR="002D241B" w:rsidRPr="00BB3C89">
        <w:rPr>
          <w:rFonts w:ascii="Palatino Linotype" w:eastAsia="Palatino Linotype" w:hAnsi="Palatino Linotype" w:cs="Palatino Linotype"/>
          <w:b/>
          <w:color w:val="222222"/>
        </w:rPr>
        <w:t>SUJETO OBLIGADO</w:t>
      </w:r>
      <w:r w:rsidR="002D241B" w:rsidRPr="00BB3C89">
        <w:rPr>
          <w:rFonts w:ascii="Palatino Linotype" w:eastAsia="Palatino Linotype" w:hAnsi="Palatino Linotype" w:cs="Palatino Linotype"/>
          <w:color w:val="222222"/>
        </w:rPr>
        <w:t xml:space="preserve"> </w:t>
      </w:r>
      <w:r w:rsidRPr="00BB3C89">
        <w:rPr>
          <w:rFonts w:ascii="Palatino Linotype" w:eastAsia="Palatino Linotype" w:hAnsi="Palatino Linotype" w:cs="Palatino Linotype"/>
          <w:color w:val="222222"/>
        </w:rPr>
        <w:t>derivada de la presente resolución es susceptibles de ser impugnada nuevamente, mediante recurso de revisión, ante el Instituto, en términos del artículo 179, último párrafo de la Ley de Transparencia y Acceso a la Información Pública del Estado de México y Municipios.</w:t>
      </w:r>
    </w:p>
    <w:p w14:paraId="1020DAA8" w14:textId="77777777" w:rsidR="009142F1" w:rsidRPr="00BB3C89" w:rsidRDefault="00F37D93">
      <w:pPr>
        <w:widowControl w:val="0"/>
        <w:tabs>
          <w:tab w:val="left" w:pos="1701"/>
        </w:tabs>
        <w:spacing w:before="240" w:line="360" w:lineRule="auto"/>
        <w:ind w:right="51"/>
        <w:jc w:val="both"/>
        <w:rPr>
          <w:rFonts w:ascii="Palatino Linotype" w:eastAsia="Palatino Linotype" w:hAnsi="Palatino Linotype" w:cs="Palatino Linotype"/>
        </w:rPr>
      </w:pPr>
      <w:r w:rsidRPr="00BB3C89">
        <w:rPr>
          <w:rFonts w:ascii="Palatino Linotype" w:eastAsia="Palatino Linotype" w:hAnsi="Palatino Linotype" w:cs="Palatino Linotype"/>
          <w:b/>
        </w:rPr>
        <w:t xml:space="preserve">Sexto. </w:t>
      </w:r>
      <w:r w:rsidRPr="00BB3C89">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sidR="002D241B" w:rsidRPr="00BB3C89">
        <w:rPr>
          <w:rFonts w:ascii="Palatino Linotype" w:eastAsia="Palatino Linotype" w:hAnsi="Palatino Linotype" w:cs="Palatino Linotype"/>
          <w:b/>
        </w:rPr>
        <w:t>SUJETO OBLIGADO</w:t>
      </w:r>
      <w:r w:rsidR="002D241B" w:rsidRPr="00BB3C89">
        <w:rPr>
          <w:rFonts w:ascii="Palatino Linotype" w:eastAsia="Palatino Linotype" w:hAnsi="Palatino Linotype" w:cs="Palatino Linotype"/>
        </w:rPr>
        <w:t xml:space="preserve"> </w:t>
      </w:r>
      <w:r w:rsidRPr="00BB3C89">
        <w:rPr>
          <w:rFonts w:ascii="Palatino Linotype" w:eastAsia="Palatino Linotype" w:hAnsi="Palatino Linotype" w:cs="Palatino Linotype"/>
        </w:rPr>
        <w:t>que, en caso de negarse a cumplir la presente resolución o hacerlo de manera parcial se actuará de conformidad con lo previsto en los artículos 213, 214, 216 y 217 de dicha Ley.</w:t>
      </w:r>
    </w:p>
    <w:p w14:paraId="57711534" w14:textId="77777777" w:rsidR="009142F1" w:rsidRPr="00BB3C89" w:rsidRDefault="009142F1">
      <w:pPr>
        <w:spacing w:line="360" w:lineRule="auto"/>
        <w:jc w:val="both"/>
        <w:rPr>
          <w:rFonts w:ascii="Palatino Linotype" w:eastAsia="Palatino Linotype" w:hAnsi="Palatino Linotype" w:cs="Palatino Linotype"/>
          <w:b/>
        </w:rPr>
      </w:pPr>
    </w:p>
    <w:p w14:paraId="2847523F" w14:textId="77777777" w:rsidR="009142F1" w:rsidRPr="00BB3C89" w:rsidRDefault="00F37D93">
      <w:pPr>
        <w:spacing w:line="360" w:lineRule="auto"/>
        <w:jc w:val="both"/>
        <w:rPr>
          <w:rFonts w:ascii="Palatino Linotype" w:eastAsia="Palatino Linotype" w:hAnsi="Palatino Linotype" w:cs="Palatino Linotype"/>
        </w:rPr>
      </w:pPr>
      <w:r w:rsidRPr="00BB3C89">
        <w:rPr>
          <w:rFonts w:ascii="Palatino Linotype" w:eastAsia="Palatino Linotype" w:hAnsi="Palatino Linotype" w:cs="Palatino Linotype"/>
          <w:b/>
        </w:rPr>
        <w:t>Séptimo. Gírese</w:t>
      </w:r>
      <w:r w:rsidRPr="00BB3C89">
        <w:rPr>
          <w:rFonts w:ascii="Palatino Linotype" w:eastAsia="Palatino Linotype" w:hAnsi="Palatino Linotype" w:cs="Palatino Linotype"/>
        </w:rPr>
        <w:t xml:space="preserve"> oficio al </w:t>
      </w:r>
      <w:r w:rsidRPr="00BB3C89">
        <w:rPr>
          <w:rFonts w:ascii="Palatino Linotype" w:eastAsia="Palatino Linotype" w:hAnsi="Palatino Linotype" w:cs="Palatino Linotype"/>
          <w:b/>
        </w:rPr>
        <w:t>Contralor Interno y Órgano de Control y Vigilancia de este Instituto</w:t>
      </w:r>
      <w:r w:rsidRPr="00BB3C89">
        <w:rPr>
          <w:rFonts w:ascii="Palatino Linotype" w:eastAsia="Palatino Linotype" w:hAnsi="Palatino Linotype" w:cs="Palatino Linotype"/>
        </w:rPr>
        <w:t xml:space="preserve"> para hacer de su conocimiento la presente resolución, a fin de que en ejercicio de sus atribuciones y de conformidad al artículo 190, de la Ley de </w:t>
      </w:r>
      <w:r w:rsidRPr="00BB3C89">
        <w:rPr>
          <w:rFonts w:ascii="Palatino Linotype" w:eastAsia="Palatino Linotype" w:hAnsi="Palatino Linotype" w:cs="Palatino Linotype"/>
        </w:rPr>
        <w:lastRenderedPageBreak/>
        <w:t xml:space="preserve">Transparencia y Acceso a la Información Pública del Estado de México y Municipios, determine lo conducente, en términos de lo señalado en el </w:t>
      </w:r>
      <w:r w:rsidRPr="00BB3C89">
        <w:rPr>
          <w:rFonts w:ascii="Palatino Linotype" w:eastAsia="Palatino Linotype" w:hAnsi="Palatino Linotype" w:cs="Palatino Linotype"/>
          <w:b/>
        </w:rPr>
        <w:t>Considerando</w:t>
      </w:r>
      <w:r w:rsidRPr="00BB3C89">
        <w:rPr>
          <w:rFonts w:ascii="Palatino Linotype" w:eastAsia="Palatino Linotype" w:hAnsi="Palatino Linotype" w:cs="Palatino Linotype"/>
        </w:rPr>
        <w:t xml:space="preserve"> </w:t>
      </w:r>
      <w:r w:rsidR="00A405F4" w:rsidRPr="00BB3C89">
        <w:rPr>
          <w:rFonts w:ascii="Palatino Linotype" w:eastAsia="Palatino Linotype" w:hAnsi="Palatino Linotype" w:cs="Palatino Linotype"/>
          <w:b/>
        </w:rPr>
        <w:t>Cuarto</w:t>
      </w:r>
      <w:r w:rsidRPr="00BB3C89">
        <w:rPr>
          <w:rFonts w:ascii="Palatino Linotype" w:eastAsia="Palatino Linotype" w:hAnsi="Palatino Linotype" w:cs="Palatino Linotype"/>
        </w:rPr>
        <w:t xml:space="preserve"> de la presente resolución. </w:t>
      </w:r>
    </w:p>
    <w:p w14:paraId="532AF302" w14:textId="77777777" w:rsidR="009142F1" w:rsidRPr="00BB3C89" w:rsidRDefault="009142F1">
      <w:pPr>
        <w:spacing w:line="360" w:lineRule="auto"/>
        <w:jc w:val="both"/>
        <w:rPr>
          <w:rFonts w:ascii="Palatino Linotype" w:eastAsia="Palatino Linotype" w:hAnsi="Palatino Linotype" w:cs="Palatino Linotype"/>
        </w:rPr>
      </w:pPr>
    </w:p>
    <w:p w14:paraId="31B96F71" w14:textId="491F29FA" w:rsidR="009142F1" w:rsidRDefault="004004FC">
      <w:pPr>
        <w:spacing w:line="360" w:lineRule="auto"/>
        <w:ind w:right="49"/>
        <w:jc w:val="both"/>
        <w:rPr>
          <w:rFonts w:ascii="Palatino Linotype" w:eastAsia="Palatino Linotype" w:hAnsi="Palatino Linotype" w:cs="Palatino Linotype"/>
        </w:rPr>
      </w:pPr>
      <w:bookmarkStart w:id="2" w:name="_30j0zll" w:colFirst="0" w:colLast="0"/>
      <w:bookmarkEnd w:id="2"/>
      <w:r w:rsidRPr="00BB3C89">
        <w:rPr>
          <w:rFonts w:ascii="Palatino Linotype" w:eastAsia="Palatino Linotype" w:hAnsi="Palatino Linotype" w:cs="Palatino Linotype"/>
        </w:rPr>
        <w:t xml:space="preserve">ASÍ LO RESUELVE, POR </w:t>
      </w:r>
      <w:r w:rsidR="00BB3C89">
        <w:rPr>
          <w:rFonts w:ascii="Palatino Linotype" w:eastAsia="Palatino Linotype" w:hAnsi="Palatino Linotype" w:cs="Palatino Linotype"/>
        </w:rPr>
        <w:t>UNANIMIDAD</w:t>
      </w:r>
      <w:r w:rsidR="00F37D93" w:rsidRPr="00BB3C89">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A405F4" w:rsidRPr="00BB3C89">
        <w:rPr>
          <w:rFonts w:ascii="Palatino Linotype" w:eastAsia="Palatino Linotype" w:hAnsi="Palatino Linotype" w:cs="Palatino Linotype"/>
        </w:rPr>
        <w:t>MÍREZ PEÑA; EN LA VIGÉSIMA SEGUNDA</w:t>
      </w:r>
      <w:r w:rsidR="00F37D93" w:rsidRPr="00BB3C89">
        <w:rPr>
          <w:rFonts w:ascii="Palatino Linotype" w:eastAsia="Palatino Linotype" w:hAnsi="Palatino Linotype" w:cs="Palatino Linotype"/>
        </w:rPr>
        <w:t xml:space="preserve"> SESIÓN ORDINARIA CELEBRADA </w:t>
      </w:r>
      <w:r w:rsidR="00A405F4" w:rsidRPr="00BB3C89">
        <w:rPr>
          <w:rFonts w:ascii="Palatino Linotype" w:eastAsia="Palatino Linotype" w:hAnsi="Palatino Linotype" w:cs="Palatino Linotype"/>
        </w:rPr>
        <w:t>EL QUINCE DE JUNIO</w:t>
      </w:r>
      <w:r w:rsidR="00F37D93" w:rsidRPr="00BB3C89">
        <w:rPr>
          <w:rFonts w:ascii="Palatino Linotype" w:eastAsia="Palatino Linotype" w:hAnsi="Palatino Linotype" w:cs="Palatino Linotype"/>
        </w:rPr>
        <w:t xml:space="preserve"> DE DOS MIL VEINTIDÓS, ANTE EL SECRETARIO TÉCNICO DEL PLENO ALEXIS TAPIA RAMÍREZ.</w:t>
      </w:r>
    </w:p>
    <w:p w14:paraId="31F5021E" w14:textId="77777777" w:rsidR="009142F1" w:rsidRDefault="00F37D93">
      <w:pPr>
        <w:widowControl w:val="0"/>
        <w:pBdr>
          <w:top w:val="nil"/>
          <w:left w:val="nil"/>
          <w:bottom w:val="nil"/>
          <w:right w:val="nil"/>
          <w:between w:val="nil"/>
        </w:pBdr>
        <w:spacing w:line="276" w:lineRule="auto"/>
        <w:rPr>
          <w:rFonts w:ascii="Palatino Linotype" w:eastAsia="Palatino Linotype" w:hAnsi="Palatino Linotype" w:cs="Palatino Linotype"/>
        </w:rPr>
        <w:sectPr w:rsidR="009142F1">
          <w:headerReference w:type="default" r:id="rId8"/>
          <w:footerReference w:type="default" r:id="rId9"/>
          <w:headerReference w:type="first" r:id="rId10"/>
          <w:footerReference w:type="first" r:id="rId11"/>
          <w:pgSz w:w="12240" w:h="15840"/>
          <w:pgMar w:top="1985" w:right="1892" w:bottom="1701" w:left="1701" w:header="709" w:footer="709" w:gutter="0"/>
          <w:pgNumType w:start="1"/>
          <w:cols w:space="720"/>
          <w:titlePg/>
        </w:sectPr>
      </w:pPr>
      <w:r>
        <w:br w:type="page"/>
      </w:r>
    </w:p>
    <w:p w14:paraId="1F5EF7FE" w14:textId="77777777" w:rsidR="009142F1" w:rsidRDefault="009142F1">
      <w:pPr>
        <w:spacing w:before="240" w:after="240" w:line="360" w:lineRule="auto"/>
        <w:jc w:val="both"/>
        <w:rPr>
          <w:rFonts w:ascii="Palatino Linotype" w:eastAsia="Palatino Linotype" w:hAnsi="Palatino Linotype" w:cs="Palatino Linotype"/>
        </w:rPr>
      </w:pPr>
    </w:p>
    <w:p w14:paraId="195C7C81" w14:textId="77777777" w:rsidR="009142F1" w:rsidRDefault="009142F1">
      <w:pPr>
        <w:spacing w:before="240" w:after="240" w:line="360" w:lineRule="auto"/>
        <w:jc w:val="both"/>
        <w:rPr>
          <w:rFonts w:ascii="Palatino Linotype" w:eastAsia="Palatino Linotype" w:hAnsi="Palatino Linotype" w:cs="Palatino Linotype"/>
        </w:rPr>
      </w:pPr>
    </w:p>
    <w:sectPr w:rsidR="009142F1">
      <w:type w:val="continuous"/>
      <w:pgSz w:w="12240" w:h="15840"/>
      <w:pgMar w:top="1985" w:right="1892" w:bottom="170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BFE36" w14:textId="77777777" w:rsidR="00A16069" w:rsidRDefault="00A16069">
      <w:r>
        <w:separator/>
      </w:r>
    </w:p>
  </w:endnote>
  <w:endnote w:type="continuationSeparator" w:id="0">
    <w:p w14:paraId="661E2BFF" w14:textId="77777777" w:rsidR="00A16069" w:rsidRDefault="00A1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FD4FF" w14:textId="77777777" w:rsidR="009142F1" w:rsidRDefault="00F37D9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553B3">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553B3">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7CDADDA0" w14:textId="77777777" w:rsidR="009142F1" w:rsidRDefault="009142F1">
    <w:pPr>
      <w:pBdr>
        <w:top w:val="nil"/>
        <w:left w:val="nil"/>
        <w:bottom w:val="nil"/>
        <w:right w:val="nil"/>
        <w:between w:val="nil"/>
      </w:pBdr>
      <w:tabs>
        <w:tab w:val="center" w:pos="4252"/>
        <w:tab w:val="right" w:pos="8504"/>
      </w:tabs>
      <w:rPr>
        <w:color w:val="000000"/>
      </w:rPr>
    </w:pPr>
  </w:p>
  <w:p w14:paraId="73753CA8" w14:textId="77777777" w:rsidR="009142F1" w:rsidRDefault="009142F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2B2ED" w14:textId="77777777" w:rsidR="009142F1" w:rsidRDefault="00F37D9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553B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553B3">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44370D42" w14:textId="77777777" w:rsidR="009142F1" w:rsidRDefault="009142F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6EA53" w14:textId="77777777" w:rsidR="00A16069" w:rsidRDefault="00A16069">
      <w:r>
        <w:separator/>
      </w:r>
    </w:p>
  </w:footnote>
  <w:footnote w:type="continuationSeparator" w:id="0">
    <w:p w14:paraId="4180D11C" w14:textId="77777777" w:rsidR="00A16069" w:rsidRDefault="00A16069">
      <w:r>
        <w:continuationSeparator/>
      </w:r>
    </w:p>
  </w:footnote>
  <w:footnote w:id="1">
    <w:p w14:paraId="3AFAF577" w14:textId="77777777" w:rsidR="008A28A8" w:rsidRPr="00D20DCE" w:rsidRDefault="008A28A8" w:rsidP="008A28A8">
      <w:pPr>
        <w:pStyle w:val="Textonotapie"/>
        <w:jc w:val="both"/>
      </w:pPr>
      <w:r>
        <w:rPr>
          <w:rStyle w:val="Refdenotaalpie"/>
        </w:rPr>
        <w:footnoteRef/>
      </w:r>
      <w:r>
        <w:t xml:space="preserve"> </w:t>
      </w:r>
      <w:r w:rsidRPr="00D20DCE">
        <w:rPr>
          <w:shd w:val="clear" w:color="auto" w:fill="FFFFFF"/>
        </w:rPr>
        <w:t>Jurisprudencia publicada en el Semanario Judicial de la Federación número 2a./J.120/2015, de la Décima Época, Tomo I, Libro 22, Septiembre 2015, cuyo texto es el siguiente: “La regulación establecida en el artículo</w:t>
      </w:r>
      <w:r w:rsidRPr="00D20DCE">
        <w:rPr>
          <w:rStyle w:val="m2871584667633129156gmail-apple-converted-space"/>
          <w:shd w:val="clear" w:color="auto" w:fill="FFFFFF"/>
        </w:rPr>
        <w:t> </w:t>
      </w:r>
      <w:r w:rsidRPr="00D20DCE">
        <w:t>79, fracción VI, de la Ley de Amparo</w:t>
      </w:r>
      <w:r w:rsidRPr="00D20DCE">
        <w:rPr>
          <w:rStyle w:val="m2871584667633129156gmail-apple-converted-space"/>
          <w:shd w:val="clear" w:color="auto" w:fill="FFFFFF"/>
        </w:rPr>
        <w:t> </w:t>
      </w:r>
      <w:r w:rsidRPr="00D20DCE">
        <w:rPr>
          <w:shd w:val="clear" w:color="auto" w:fill="FFFFFF"/>
        </w:rPr>
        <w:t>faculta al juzgador de amparo para suplir la deficiencia de la queja en materias diversas a las que el propio numeral prevé, ante una irregularidad procesal grave y manifiesta en la controversia del amparo, no resuelta en el procedimiento de origen, que afecte al quejoso o recurrente, aun ante la ausencia de concepto de violación o agravio al respecto, ya que revela la intención del legislador de no permitir que una de las partes se beneficie a costa de la indefensión de su contraria, como consecuencia de una actuación ilegal de la autoridad, permitiendo al Juez ejercer un discernimiento en cada caso concreto, en atención a la materia y sujeto de que se trate, lo cual es congruente con el artículo</w:t>
      </w:r>
      <w:r w:rsidRPr="00D20DCE">
        <w:rPr>
          <w:rStyle w:val="m2871584667633129156gmail-apple-converted-space"/>
          <w:shd w:val="clear" w:color="auto" w:fill="FFFFFF"/>
        </w:rPr>
        <w:t> </w:t>
      </w:r>
      <w:r w:rsidRPr="00D20DCE">
        <w:t>107, fracción II, antepenúltimo párrafo, de la Constitución Política de los Estados Unidos Mexicanos</w:t>
      </w:r>
      <w:r w:rsidRPr="00D20DCE">
        <w:rPr>
          <w:shd w:val="clear" w:color="auto" w:fill="FFFFFF"/>
        </w:rPr>
        <w:t>.”</w:t>
      </w:r>
    </w:p>
  </w:footnote>
  <w:footnote w:id="2">
    <w:p w14:paraId="48A7B53D" w14:textId="77777777" w:rsidR="008A28A8" w:rsidRPr="00290B7F" w:rsidRDefault="008A28A8" w:rsidP="008A28A8">
      <w:pPr>
        <w:pStyle w:val="Textonotapie"/>
        <w:jc w:val="both"/>
        <w:rPr>
          <w:rFonts w:ascii="Palatino Linotype" w:hAnsi="Palatino Linotype"/>
          <w:sz w:val="16"/>
          <w:szCs w:val="16"/>
        </w:rPr>
      </w:pPr>
      <w:r w:rsidRPr="00D20DCE">
        <w:rPr>
          <w:rStyle w:val="Refdenotaalpie"/>
        </w:rPr>
        <w:footnoteRef/>
      </w:r>
      <w:r w:rsidRPr="00D20DCE">
        <w:t xml:space="preserve"> </w:t>
      </w:r>
      <w:r w:rsidRPr="00D20DCE">
        <w:rPr>
          <w:shd w:val="clear" w:color="auto" w:fill="FFFFFF"/>
          <w:lang w:val="es-ES"/>
        </w:rPr>
        <w:t>Tesis aislada publicada en el Semanario Judicial de la Federación número 1a. LXXIII/2015, de la Décima Época, Tomo II, Libro 15, Febrero 2015, cuyo texto es el siguiente: “Del precepto citado deriva que la suplencia</w:t>
      </w:r>
      <w:r w:rsidRPr="00D20DCE">
        <w:rPr>
          <w:rStyle w:val="m2871584667633129156gmail-apple-converted-space"/>
          <w:shd w:val="clear" w:color="auto" w:fill="FFFFFF"/>
          <w:lang w:val="es-ES"/>
        </w:rPr>
        <w:t> </w:t>
      </w:r>
      <w:r w:rsidRPr="00D20DCE">
        <w:rPr>
          <w:shd w:val="clear" w:color="auto" w:fill="FFFFFF"/>
          <w:lang w:val="es-ES"/>
        </w:rPr>
        <w:t>de la queja deficiente operará en las materias civil y administrativa cuando el tribunal de amparo advierta que ha habido contra el quejoso o recurrente una violación evidente de la ley que lo haya dejado sin defensa, por afectar sus derechos humanos reconocidos en la Constitución Política de los Estados Unidos Mexicanos y en los tratados internacionales de que el Estado Mexicano sea parte. Ahora bien, el Pleno de la Suprema Corte de Justicia de la Nación, al pronunciarse sobre el artículo</w:t>
      </w:r>
      <w:r w:rsidRPr="00D20DCE">
        <w:rPr>
          <w:rStyle w:val="m2871584667633129156gmail-apple-converted-space"/>
          <w:shd w:val="clear" w:color="auto" w:fill="FFFFFF"/>
          <w:lang w:val="es-ES"/>
        </w:rPr>
        <w:t> </w:t>
      </w:r>
      <w:r w:rsidRPr="00D20DCE">
        <w:rPr>
          <w:shd w:val="clear" w:color="auto" w:fill="FFFFFF"/>
          <w:lang w:val="es-ES"/>
        </w:rPr>
        <w:t>76 Bis de la Ley de Amparo</w:t>
      </w:r>
      <w:r w:rsidRPr="00D20DCE">
        <w:rPr>
          <w:rStyle w:val="m2871584667633129156gmail-apple-converted-space"/>
          <w:shd w:val="clear" w:color="auto" w:fill="FFFFFF"/>
          <w:lang w:val="es-ES"/>
        </w:rPr>
        <w:t> </w:t>
      </w:r>
      <w:r w:rsidRPr="00D20DCE">
        <w:rPr>
          <w:shd w:val="clear" w:color="auto" w:fill="FFFFFF"/>
          <w:lang w:val="es-ES"/>
        </w:rPr>
        <w:t>abrogada, de redacción similar al</w:t>
      </w:r>
      <w:r w:rsidRPr="00D20DCE">
        <w:rPr>
          <w:rStyle w:val="m2871584667633129156gmail-apple-converted-space"/>
          <w:shd w:val="clear" w:color="auto" w:fill="FFFFFF"/>
          <w:lang w:val="es-ES"/>
        </w:rPr>
        <w:t> </w:t>
      </w:r>
      <w:r w:rsidRPr="00D20DCE">
        <w:rPr>
          <w:shd w:val="clear" w:color="auto" w:fill="FFFFFF"/>
          <w:lang w:val="es-ES"/>
        </w:rPr>
        <w:t>79</w:t>
      </w:r>
      <w:r w:rsidRPr="00D20DCE">
        <w:rPr>
          <w:rStyle w:val="m2871584667633129156gmail-apple-converted-space"/>
          <w:shd w:val="clear" w:color="auto" w:fill="FFFFFF"/>
          <w:lang w:val="es-ES"/>
        </w:rPr>
        <w:t> </w:t>
      </w:r>
      <w:r w:rsidRPr="00D20DCE">
        <w:rPr>
          <w:shd w:val="clear" w:color="auto" w:fill="FFFFFF"/>
          <w:lang w:val="es-ES"/>
        </w:rPr>
        <w:t>de la vigente, estimó que la frase "lo haya dejado sin defensa" no debe interpretarse literalmente,</w:t>
      </w:r>
      <w:r w:rsidRPr="00290B7F">
        <w:rPr>
          <w:rFonts w:ascii="Palatino Linotype" w:hAnsi="Palatino Linotype"/>
          <w:sz w:val="16"/>
          <w:szCs w:val="16"/>
          <w:shd w:val="clear" w:color="auto" w:fill="FFFFFF"/>
          <w:lang w:val="es-ES"/>
        </w:rPr>
        <w:t xml:space="preserve"> </w:t>
      </w:r>
      <w:r w:rsidRPr="00D20DCE">
        <w:rPr>
          <w:shd w:val="clear" w:color="auto" w:fill="FFFFFF"/>
          <w:lang w:val="es-ES"/>
        </w:rPr>
        <w:t>sino que debe entenderse en el sentido de que la autoridad responsable infringió determinadas normas, de forma que afectó sustancialmente al quejoso en su defensa. Asimismo, sostuvo que una "violación manifiesta de la ley" es la que se advierte obvia, que es innegable e indiscutible, y cuya existencia no puede derivarse de una serie de razonamientos y planteamientos cuestionables. Por otra parte, esta Primera Sala sostuvo que por "violación manifiesta de la ley que deje sin defensa", se entiende aquella actuación que haga notoria e indiscutible la vulneración a los derechos del quejoso, ya sea en forma directa, o bien, indirecta, mediante la transgresión a las normas procedimentales y sustantivas, y que rigen el acto reclamado; de ahí que dicha interpretación es aplicable al artículo</w:t>
      </w:r>
      <w:r w:rsidRPr="00D20DCE">
        <w:rPr>
          <w:rStyle w:val="m2871584667633129156gmail-apple-converted-space"/>
          <w:shd w:val="clear" w:color="auto" w:fill="FFFFFF"/>
          <w:lang w:val="es-ES"/>
        </w:rPr>
        <w:t> </w:t>
      </w:r>
      <w:r w:rsidRPr="00D20DCE">
        <w:rPr>
          <w:shd w:val="clear" w:color="auto" w:fill="FFFFFF"/>
          <w:lang w:val="es-ES"/>
        </w:rPr>
        <w:t>79</w:t>
      </w:r>
      <w:r w:rsidRPr="00D20DCE">
        <w:rPr>
          <w:rStyle w:val="m2871584667633129156gmail-apple-converted-space"/>
          <w:shd w:val="clear" w:color="auto" w:fill="FFFFFF"/>
          <w:lang w:val="es-ES"/>
        </w:rPr>
        <w:t> </w:t>
      </w:r>
      <w:r w:rsidRPr="00D20DCE">
        <w:rPr>
          <w:shd w:val="clear" w:color="auto" w:fill="FFFFFF"/>
          <w:lang w:val="es-ES"/>
        </w:rPr>
        <w:t>de la Ley de Amparo, ya que no se le opone, sino que es concordante. Conforme a lo anterior, los tribunales de amparo sólo están obligados a suplir la queja deficiente en las materias civil y administrativa cuando adviertan una violación evidente, esto es, clara, innegable, que afecte sustancialmente al quejoso en su defensa.”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D6862" w14:textId="062B5289" w:rsidR="009142F1" w:rsidRDefault="00696633">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61312" behindDoc="1" locked="0" layoutInCell="1" hidden="0" allowOverlap="1" wp14:anchorId="4709F789" wp14:editId="0F43E443">
          <wp:simplePos x="0" y="0"/>
          <wp:positionH relativeFrom="margin">
            <wp:align>center</wp:align>
          </wp:positionH>
          <wp:positionV relativeFrom="paragraph">
            <wp:posOffset>-416271</wp:posOffset>
          </wp:positionV>
          <wp:extent cx="7809876" cy="10165823"/>
          <wp:effectExtent l="0" t="0" r="635" b="698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528" w:type="dxa"/>
      <w:tblInd w:w="3261" w:type="dxa"/>
      <w:tblLayout w:type="fixed"/>
      <w:tblLook w:val="0400" w:firstRow="0" w:lastRow="0" w:firstColumn="0" w:lastColumn="0" w:noHBand="0" w:noVBand="1"/>
    </w:tblPr>
    <w:tblGrid>
      <w:gridCol w:w="2552"/>
      <w:gridCol w:w="2976"/>
    </w:tblGrid>
    <w:tr w:rsidR="009142F1" w14:paraId="5A9C48DE" w14:textId="77777777">
      <w:tc>
        <w:tcPr>
          <w:tcW w:w="2552" w:type="dxa"/>
          <w:vAlign w:val="center"/>
        </w:tcPr>
        <w:p w14:paraId="7D4A4872" w14:textId="77777777" w:rsidR="009142F1" w:rsidRDefault="00F37D93">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25CA3D3E" w14:textId="77777777" w:rsidR="009142F1" w:rsidRDefault="00D03E1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03429</w:t>
          </w:r>
          <w:r w:rsidR="00F37D93">
            <w:rPr>
              <w:rFonts w:ascii="Palatino Linotype" w:eastAsia="Palatino Linotype" w:hAnsi="Palatino Linotype" w:cs="Palatino Linotype"/>
              <w:b/>
              <w:sz w:val="21"/>
              <w:szCs w:val="21"/>
            </w:rPr>
            <w:t>/INFOEM/IP/RR/2022</w:t>
          </w:r>
        </w:p>
      </w:tc>
    </w:tr>
    <w:tr w:rsidR="009142F1" w14:paraId="017D687D" w14:textId="77777777">
      <w:trPr>
        <w:trHeight w:val="220"/>
      </w:trPr>
      <w:tc>
        <w:tcPr>
          <w:tcW w:w="2552" w:type="dxa"/>
          <w:vAlign w:val="center"/>
        </w:tcPr>
        <w:p w14:paraId="38A44238" w14:textId="77777777" w:rsidR="009142F1" w:rsidRDefault="00F37D93">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vAlign w:val="center"/>
        </w:tcPr>
        <w:p w14:paraId="108D2275" w14:textId="77777777" w:rsidR="00D03E14" w:rsidRPr="00D03E14" w:rsidRDefault="00D03E14" w:rsidP="00D03E14">
          <w:pPr>
            <w:ind w:right="884"/>
            <w:jc w:val="both"/>
            <w:rPr>
              <w:rFonts w:ascii="Palatino Linotype" w:eastAsia="Palatino Linotype" w:hAnsi="Palatino Linotype" w:cs="Palatino Linotype"/>
              <w:b/>
              <w:sz w:val="21"/>
              <w:szCs w:val="21"/>
            </w:rPr>
          </w:pPr>
        </w:p>
        <w:p w14:paraId="116F9A41" w14:textId="77777777" w:rsidR="009142F1" w:rsidRDefault="00D03E14" w:rsidP="00D03E14">
          <w:pPr>
            <w:ind w:right="884"/>
            <w:jc w:val="both"/>
            <w:rPr>
              <w:rFonts w:ascii="Palatino Linotype" w:eastAsia="Palatino Linotype" w:hAnsi="Palatino Linotype" w:cs="Palatino Linotype"/>
              <w:b/>
              <w:sz w:val="21"/>
              <w:szCs w:val="21"/>
            </w:rPr>
          </w:pPr>
          <w:r w:rsidRPr="00D03E14">
            <w:rPr>
              <w:rFonts w:ascii="Palatino Linotype" w:eastAsia="Palatino Linotype" w:hAnsi="Palatino Linotype" w:cs="Palatino Linotype"/>
              <w:b/>
              <w:sz w:val="21"/>
              <w:szCs w:val="21"/>
            </w:rPr>
            <w:t>Ayuntamiento de Naucalpan de Juárez</w:t>
          </w:r>
        </w:p>
      </w:tc>
    </w:tr>
    <w:tr w:rsidR="009142F1" w14:paraId="0075BD1E" w14:textId="77777777">
      <w:tc>
        <w:tcPr>
          <w:tcW w:w="2552" w:type="dxa"/>
          <w:vAlign w:val="center"/>
        </w:tcPr>
        <w:p w14:paraId="431E31B7" w14:textId="77777777" w:rsidR="009142F1" w:rsidRDefault="00F37D93">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78661D0F" w14:textId="77777777" w:rsidR="009142F1" w:rsidRDefault="00F37D93">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FE4D455" w14:textId="77777777" w:rsidR="009142F1" w:rsidRDefault="00F37D93">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25D60" w14:textId="7C97BE88" w:rsidR="009142F1" w:rsidRDefault="0069663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647561EA" wp14:editId="1ECBA951">
          <wp:simplePos x="0" y="0"/>
          <wp:positionH relativeFrom="page">
            <wp:align>left</wp:align>
          </wp:positionH>
          <wp:positionV relativeFrom="paragraph">
            <wp:posOffset>-342381</wp:posOffset>
          </wp:positionV>
          <wp:extent cx="7809876" cy="10165823"/>
          <wp:effectExtent l="0" t="0" r="635" b="6985"/>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r w:rsidR="00F37D93">
      <w:rPr>
        <w:rFonts w:ascii="Calibri" w:eastAsia="Calibri" w:hAnsi="Calibri" w:cs="Calibri"/>
        <w:color w:val="000000"/>
      </w:rPr>
      <w:t xml:space="preserve">                                  </w:t>
    </w:r>
  </w:p>
  <w:tbl>
    <w:tblPr>
      <w:tblStyle w:val="a4"/>
      <w:tblW w:w="6238" w:type="dxa"/>
      <w:tblInd w:w="3119" w:type="dxa"/>
      <w:tblLayout w:type="fixed"/>
      <w:tblLook w:val="0400" w:firstRow="0" w:lastRow="0" w:firstColumn="0" w:lastColumn="0" w:noHBand="0" w:noVBand="1"/>
    </w:tblPr>
    <w:tblGrid>
      <w:gridCol w:w="2551"/>
      <w:gridCol w:w="3687"/>
    </w:tblGrid>
    <w:tr w:rsidR="009142F1" w14:paraId="48BC1FEE" w14:textId="77777777">
      <w:tc>
        <w:tcPr>
          <w:tcW w:w="2551" w:type="dxa"/>
          <w:vAlign w:val="center"/>
        </w:tcPr>
        <w:p w14:paraId="5954FDEC" w14:textId="77777777" w:rsidR="009142F1" w:rsidRDefault="00F37D93">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C9E1C9B" w14:textId="77777777" w:rsidR="009142F1" w:rsidRDefault="00D03E14">
          <w:pPr>
            <w:ind w:right="744"/>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03429</w:t>
          </w:r>
          <w:r w:rsidR="00F37D93">
            <w:rPr>
              <w:rFonts w:ascii="Palatino Linotype" w:eastAsia="Palatino Linotype" w:hAnsi="Palatino Linotype" w:cs="Palatino Linotype"/>
              <w:b/>
              <w:sz w:val="21"/>
              <w:szCs w:val="21"/>
            </w:rPr>
            <w:t xml:space="preserve">/INFOEM/IP/RR/2022 </w:t>
          </w:r>
        </w:p>
      </w:tc>
    </w:tr>
    <w:tr w:rsidR="009142F1" w14:paraId="711B753A" w14:textId="77777777">
      <w:tc>
        <w:tcPr>
          <w:tcW w:w="2551" w:type="dxa"/>
          <w:vAlign w:val="center"/>
        </w:tcPr>
        <w:p w14:paraId="7421BB15" w14:textId="77777777" w:rsidR="009142F1" w:rsidRDefault="00F37D93">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Recurrente: </w:t>
          </w:r>
        </w:p>
      </w:tc>
      <w:tc>
        <w:tcPr>
          <w:tcW w:w="3687" w:type="dxa"/>
          <w:vAlign w:val="center"/>
        </w:tcPr>
        <w:p w14:paraId="4D131BB9" w14:textId="6542FF64" w:rsidR="009142F1" w:rsidRDefault="004553B3">
          <w:pPr>
            <w:ind w:right="460"/>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XXXX XXXXX XXXX</w:t>
          </w:r>
        </w:p>
      </w:tc>
    </w:tr>
    <w:tr w:rsidR="009142F1" w14:paraId="610660BD" w14:textId="77777777">
      <w:trPr>
        <w:trHeight w:val="220"/>
      </w:trPr>
      <w:tc>
        <w:tcPr>
          <w:tcW w:w="2551" w:type="dxa"/>
          <w:vAlign w:val="center"/>
        </w:tcPr>
        <w:p w14:paraId="456D16EC" w14:textId="77777777" w:rsidR="009142F1" w:rsidRDefault="00F37D93">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05154876" w14:textId="77777777" w:rsidR="00D03E14" w:rsidRPr="00D03E14" w:rsidRDefault="00D03E14" w:rsidP="00D03E14">
          <w:pPr>
            <w:ind w:right="460"/>
            <w:jc w:val="both"/>
            <w:rPr>
              <w:rFonts w:ascii="Palatino Linotype" w:eastAsia="Palatino Linotype" w:hAnsi="Palatino Linotype" w:cs="Palatino Linotype"/>
              <w:b/>
              <w:sz w:val="21"/>
              <w:szCs w:val="21"/>
            </w:rPr>
          </w:pPr>
        </w:p>
        <w:p w14:paraId="1C89797D" w14:textId="77777777" w:rsidR="009142F1" w:rsidRDefault="00D03E14" w:rsidP="00D03E14">
          <w:pPr>
            <w:ind w:right="460"/>
            <w:jc w:val="both"/>
            <w:rPr>
              <w:rFonts w:ascii="Palatino Linotype" w:eastAsia="Palatino Linotype" w:hAnsi="Palatino Linotype" w:cs="Palatino Linotype"/>
              <w:b/>
              <w:sz w:val="21"/>
              <w:szCs w:val="21"/>
            </w:rPr>
          </w:pPr>
          <w:r w:rsidRPr="00D03E14">
            <w:rPr>
              <w:rFonts w:ascii="Palatino Linotype" w:eastAsia="Palatino Linotype" w:hAnsi="Palatino Linotype" w:cs="Palatino Linotype"/>
              <w:b/>
              <w:sz w:val="21"/>
              <w:szCs w:val="21"/>
            </w:rPr>
            <w:t>Ayuntamiento de Naucalpan de Juárez</w:t>
          </w:r>
        </w:p>
      </w:tc>
    </w:tr>
    <w:tr w:rsidR="009142F1" w14:paraId="26EA5E85" w14:textId="77777777">
      <w:tc>
        <w:tcPr>
          <w:tcW w:w="2551" w:type="dxa"/>
          <w:vAlign w:val="center"/>
        </w:tcPr>
        <w:p w14:paraId="4CBA1291" w14:textId="77777777" w:rsidR="009142F1" w:rsidRDefault="00F37D93">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196731B3" w14:textId="77777777" w:rsidR="009142F1" w:rsidRDefault="00F37D93">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838DA87" w14:textId="77777777" w:rsidR="009142F1" w:rsidRDefault="009142F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312E0"/>
    <w:multiLevelType w:val="multilevel"/>
    <w:tmpl w:val="9A3465F4"/>
    <w:lvl w:ilvl="0">
      <w:start w:val="1"/>
      <w:numFmt w:val="bullet"/>
      <w:lvlText w:val="●"/>
      <w:lvlJc w:val="left"/>
      <w:pPr>
        <w:ind w:left="1505" w:hanging="360"/>
      </w:pPr>
      <w:rPr>
        <w:rFonts w:ascii="Noto Sans Symbols" w:eastAsia="Noto Sans Symbols" w:hAnsi="Noto Sans Symbols" w:cs="Noto Sans Symbols"/>
      </w:rPr>
    </w:lvl>
    <w:lvl w:ilvl="1">
      <w:start w:val="1"/>
      <w:numFmt w:val="bullet"/>
      <w:lvlText w:val="o"/>
      <w:lvlJc w:val="left"/>
      <w:pPr>
        <w:ind w:left="2225" w:hanging="360"/>
      </w:pPr>
      <w:rPr>
        <w:rFonts w:ascii="Courier New" w:eastAsia="Courier New" w:hAnsi="Courier New" w:cs="Courier New"/>
      </w:rPr>
    </w:lvl>
    <w:lvl w:ilvl="2">
      <w:start w:val="1"/>
      <w:numFmt w:val="bullet"/>
      <w:lvlText w:val="▪"/>
      <w:lvlJc w:val="left"/>
      <w:pPr>
        <w:ind w:left="2945" w:hanging="360"/>
      </w:pPr>
      <w:rPr>
        <w:rFonts w:ascii="Noto Sans Symbols" w:eastAsia="Noto Sans Symbols" w:hAnsi="Noto Sans Symbols" w:cs="Noto Sans Symbols"/>
      </w:rPr>
    </w:lvl>
    <w:lvl w:ilvl="3">
      <w:start w:val="1"/>
      <w:numFmt w:val="bullet"/>
      <w:lvlText w:val="●"/>
      <w:lvlJc w:val="left"/>
      <w:pPr>
        <w:ind w:left="3665" w:hanging="360"/>
      </w:pPr>
      <w:rPr>
        <w:rFonts w:ascii="Noto Sans Symbols" w:eastAsia="Noto Sans Symbols" w:hAnsi="Noto Sans Symbols" w:cs="Noto Sans Symbols"/>
      </w:rPr>
    </w:lvl>
    <w:lvl w:ilvl="4">
      <w:start w:val="1"/>
      <w:numFmt w:val="bullet"/>
      <w:lvlText w:val="o"/>
      <w:lvlJc w:val="left"/>
      <w:pPr>
        <w:ind w:left="4385" w:hanging="360"/>
      </w:pPr>
      <w:rPr>
        <w:rFonts w:ascii="Courier New" w:eastAsia="Courier New" w:hAnsi="Courier New" w:cs="Courier New"/>
      </w:rPr>
    </w:lvl>
    <w:lvl w:ilvl="5">
      <w:start w:val="1"/>
      <w:numFmt w:val="bullet"/>
      <w:lvlText w:val="▪"/>
      <w:lvlJc w:val="left"/>
      <w:pPr>
        <w:ind w:left="5105" w:hanging="360"/>
      </w:pPr>
      <w:rPr>
        <w:rFonts w:ascii="Noto Sans Symbols" w:eastAsia="Noto Sans Symbols" w:hAnsi="Noto Sans Symbols" w:cs="Noto Sans Symbols"/>
      </w:rPr>
    </w:lvl>
    <w:lvl w:ilvl="6">
      <w:start w:val="1"/>
      <w:numFmt w:val="bullet"/>
      <w:lvlText w:val="●"/>
      <w:lvlJc w:val="left"/>
      <w:pPr>
        <w:ind w:left="5825" w:hanging="360"/>
      </w:pPr>
      <w:rPr>
        <w:rFonts w:ascii="Noto Sans Symbols" w:eastAsia="Noto Sans Symbols" w:hAnsi="Noto Sans Symbols" w:cs="Noto Sans Symbols"/>
      </w:rPr>
    </w:lvl>
    <w:lvl w:ilvl="7">
      <w:start w:val="1"/>
      <w:numFmt w:val="bullet"/>
      <w:lvlText w:val="o"/>
      <w:lvlJc w:val="left"/>
      <w:pPr>
        <w:ind w:left="6545" w:hanging="360"/>
      </w:pPr>
      <w:rPr>
        <w:rFonts w:ascii="Courier New" w:eastAsia="Courier New" w:hAnsi="Courier New" w:cs="Courier New"/>
      </w:rPr>
    </w:lvl>
    <w:lvl w:ilvl="8">
      <w:start w:val="1"/>
      <w:numFmt w:val="bullet"/>
      <w:lvlText w:val="▪"/>
      <w:lvlJc w:val="left"/>
      <w:pPr>
        <w:ind w:left="7265" w:hanging="360"/>
      </w:pPr>
      <w:rPr>
        <w:rFonts w:ascii="Noto Sans Symbols" w:eastAsia="Noto Sans Symbols" w:hAnsi="Noto Sans Symbols" w:cs="Noto Sans Symbols"/>
      </w:rPr>
    </w:lvl>
  </w:abstractNum>
  <w:abstractNum w:abstractNumId="1" w15:restartNumberingAfterBreak="0">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23529C3"/>
    <w:multiLevelType w:val="hybridMultilevel"/>
    <w:tmpl w:val="C93A4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70136A0"/>
    <w:multiLevelType w:val="hybridMultilevel"/>
    <w:tmpl w:val="7A5EFCF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2F1"/>
    <w:rsid w:val="00016846"/>
    <w:rsid w:val="0002301D"/>
    <w:rsid w:val="00077E04"/>
    <w:rsid w:val="000A59C3"/>
    <w:rsid w:val="000F53FE"/>
    <w:rsid w:val="00174CC0"/>
    <w:rsid w:val="00193781"/>
    <w:rsid w:val="001F0F05"/>
    <w:rsid w:val="002B0994"/>
    <w:rsid w:val="002C610C"/>
    <w:rsid w:val="002D241B"/>
    <w:rsid w:val="002F62B6"/>
    <w:rsid w:val="004004FC"/>
    <w:rsid w:val="004177A5"/>
    <w:rsid w:val="004553B3"/>
    <w:rsid w:val="004A4745"/>
    <w:rsid w:val="00592098"/>
    <w:rsid w:val="005C3557"/>
    <w:rsid w:val="00635183"/>
    <w:rsid w:val="0068217E"/>
    <w:rsid w:val="00696633"/>
    <w:rsid w:val="00730DBB"/>
    <w:rsid w:val="00753CA3"/>
    <w:rsid w:val="007D5770"/>
    <w:rsid w:val="007E76ED"/>
    <w:rsid w:val="00815DFE"/>
    <w:rsid w:val="008634FB"/>
    <w:rsid w:val="008A28A8"/>
    <w:rsid w:val="009142F1"/>
    <w:rsid w:val="00965313"/>
    <w:rsid w:val="00A16069"/>
    <w:rsid w:val="00A405F4"/>
    <w:rsid w:val="00A66C38"/>
    <w:rsid w:val="00BB3C89"/>
    <w:rsid w:val="00C403F5"/>
    <w:rsid w:val="00C63683"/>
    <w:rsid w:val="00CC260D"/>
    <w:rsid w:val="00CE57A4"/>
    <w:rsid w:val="00D03E14"/>
    <w:rsid w:val="00D17615"/>
    <w:rsid w:val="00DA4798"/>
    <w:rsid w:val="00E30360"/>
    <w:rsid w:val="00E552D8"/>
    <w:rsid w:val="00EC7988"/>
    <w:rsid w:val="00F147E4"/>
    <w:rsid w:val="00F250FF"/>
    <w:rsid w:val="00F37D93"/>
    <w:rsid w:val="00F935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59F2"/>
  <w15:docId w15:val="{C4223CEA-B96E-4FB0-BF05-0B0D07E4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C0C"/>
    <w:rPr>
      <w:lang w:eastAsia="es-ES"/>
    </w:rPr>
  </w:style>
  <w:style w:type="paragraph" w:styleId="Ttulo1">
    <w:name w:val="heading 1"/>
    <w:basedOn w:val="Normal"/>
    <w:next w:val="Normal"/>
    <w:link w:val="Ttulo1Car"/>
    <w:uiPriority w:val="9"/>
    <w:qFormat/>
    <w:rsid w:val="00303B2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D19AD"/>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B229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B2292"/>
    <w:rPr>
      <w:rFonts w:eastAsiaTheme="minorEastAsia"/>
      <w:sz w:val="24"/>
      <w:szCs w:val="24"/>
      <w:lang w:val="es-ES_tradnl" w:eastAsia="es-ES"/>
    </w:rPr>
  </w:style>
  <w:style w:type="paragraph" w:styleId="Piedepgina">
    <w:name w:val="footer"/>
    <w:basedOn w:val="Normal"/>
    <w:link w:val="PiedepginaCar"/>
    <w:uiPriority w:val="99"/>
    <w:unhideWhenUsed/>
    <w:rsid w:val="005B229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B2292"/>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B2292"/>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B2292"/>
    <w:pPr>
      <w:ind w:left="708"/>
    </w:pPr>
    <w:rPr>
      <w:sz w:val="22"/>
      <w:szCs w:val="22"/>
      <w:lang w:eastAsia="en-US"/>
    </w:rPr>
  </w:style>
  <w:style w:type="table" w:styleId="Tablaconcuadrcula">
    <w:name w:val="Table Grid"/>
    <w:basedOn w:val="Tablanormal"/>
    <w:uiPriority w:val="59"/>
    <w:rsid w:val="005B2292"/>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B2292"/>
  </w:style>
  <w:style w:type="character" w:customStyle="1" w:styleId="apple-converted-space">
    <w:name w:val="apple-converted-space"/>
    <w:basedOn w:val="Fuentedeprrafopredeter"/>
    <w:rsid w:val="005B2292"/>
  </w:style>
  <w:style w:type="character" w:styleId="Hipervnculo">
    <w:name w:val="Hyperlink"/>
    <w:basedOn w:val="Fuentedeprrafopredeter"/>
    <w:uiPriority w:val="99"/>
    <w:unhideWhenUsed/>
    <w:rsid w:val="005B2292"/>
    <w:rPr>
      <w:color w:val="0000FF"/>
      <w:u w:val="single"/>
    </w:rPr>
  </w:style>
  <w:style w:type="paragraph" w:customStyle="1" w:styleId="paragraph">
    <w:name w:val="paragraph"/>
    <w:basedOn w:val="Normal"/>
    <w:rsid w:val="005B2292"/>
    <w:pPr>
      <w:spacing w:before="100" w:beforeAutospacing="1" w:after="100" w:afterAutospacing="1"/>
    </w:pPr>
    <w:rPr>
      <w:lang w:val="es-MX" w:eastAsia="es-MX"/>
    </w:rPr>
  </w:style>
  <w:style w:type="paragraph" w:styleId="Sinespaciado">
    <w:name w:val="No Spacing"/>
    <w:aliases w:val="Francesa"/>
    <w:link w:val="SinespaciadoCar"/>
    <w:uiPriority w:val="1"/>
    <w:qFormat/>
    <w:rsid w:val="005B2292"/>
    <w:rPr>
      <w:lang w:val="es-MX" w:eastAsia="es-ES"/>
    </w:rPr>
  </w:style>
  <w:style w:type="character" w:customStyle="1" w:styleId="SinespaciadoCar">
    <w:name w:val="Sin espaciado Car"/>
    <w:aliases w:val="Francesa Car"/>
    <w:link w:val="Sinespaciado"/>
    <w:uiPriority w:val="1"/>
    <w:locked/>
    <w:rsid w:val="005B2292"/>
    <w:rPr>
      <w:rFonts w:ascii="Times New Roman" w:eastAsia="Times New Roman" w:hAnsi="Times New Roman" w:cs="Times New Roman"/>
      <w:sz w:val="24"/>
      <w:szCs w:val="24"/>
      <w:lang w:val="es-MX"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B2292"/>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B2292"/>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B2292"/>
    <w:rPr>
      <w:sz w:val="20"/>
      <w:szCs w:val="20"/>
      <w:lang w:val="es-MX"/>
    </w:rPr>
  </w:style>
  <w:style w:type="paragraph" w:styleId="z-Principiodelformulario">
    <w:name w:val="HTML Top of Form"/>
    <w:basedOn w:val="Normal"/>
    <w:next w:val="Normal"/>
    <w:link w:val="z-PrincipiodelformularioCar"/>
    <w:hidden/>
    <w:uiPriority w:val="99"/>
    <w:semiHidden/>
    <w:unhideWhenUsed/>
    <w:rsid w:val="001429B1"/>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1429B1"/>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1429B1"/>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1429B1"/>
    <w:rPr>
      <w:rFonts w:ascii="Arial" w:eastAsia="Times New Roman" w:hAnsi="Arial" w:cs="Arial"/>
      <w:vanish/>
      <w:sz w:val="16"/>
      <w:szCs w:val="16"/>
      <w:lang w:eastAsia="es-ES"/>
    </w:rPr>
  </w:style>
  <w:style w:type="character" w:styleId="nfasisintenso">
    <w:name w:val="Intense Emphasis"/>
    <w:basedOn w:val="Fuentedeprrafopredeter"/>
    <w:uiPriority w:val="21"/>
    <w:qFormat/>
    <w:rsid w:val="0005620C"/>
    <w:rPr>
      <w:i/>
      <w:iCs/>
      <w:color w:val="5B9BD5" w:themeColor="accent1"/>
    </w:rPr>
  </w:style>
  <w:style w:type="table" w:customStyle="1" w:styleId="Tablaconcuadrcula1">
    <w:name w:val="Tabla con cuadrícula1"/>
    <w:basedOn w:val="Tablanormal"/>
    <w:next w:val="Tablaconcuadrcula"/>
    <w:uiPriority w:val="39"/>
    <w:rsid w:val="002D5368"/>
    <w:rPr>
      <w:rFonts w:eastAsia="MS Mincho"/>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03B21"/>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B21"/>
    <w:rPr>
      <w:rFonts w:ascii="Tahoma" w:eastAsia="Times New Roman" w:hAnsi="Tahoma" w:cs="Tahoma"/>
      <w:sz w:val="16"/>
      <w:szCs w:val="16"/>
      <w:lang w:eastAsia="es-ES"/>
    </w:rPr>
  </w:style>
  <w:style w:type="character" w:customStyle="1" w:styleId="Ttulo1Car">
    <w:name w:val="Título 1 Car"/>
    <w:basedOn w:val="Fuentedeprrafopredeter"/>
    <w:link w:val="Ttulo1"/>
    <w:uiPriority w:val="9"/>
    <w:rsid w:val="00303B21"/>
    <w:rPr>
      <w:rFonts w:asciiTheme="majorHAnsi" w:eastAsiaTheme="majorEastAsia" w:hAnsiTheme="majorHAnsi" w:cstheme="majorBidi"/>
      <w:b/>
      <w:bCs/>
      <w:color w:val="2E74B5" w:themeColor="accent1" w:themeShade="BF"/>
      <w:sz w:val="28"/>
      <w:szCs w:val="28"/>
      <w:lang w:eastAsia="es-ES"/>
    </w:rPr>
  </w:style>
  <w:style w:type="table" w:customStyle="1" w:styleId="Tablaconcuadrcula2">
    <w:name w:val="Tabla con cuadrícula2"/>
    <w:basedOn w:val="Tablanormal"/>
    <w:next w:val="Tablaconcuadrcula"/>
    <w:uiPriority w:val="59"/>
    <w:rsid w:val="00255CC3"/>
    <w:rPr>
      <w:rFonts w:eastAsia="MS Mincho"/>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1">
    <w:name w:val="Tabla de lista 1 clara - Énfasis 11"/>
    <w:basedOn w:val="Tablanormal"/>
    <w:uiPriority w:val="46"/>
    <w:rsid w:val="00255CC3"/>
    <w:rPr>
      <w:rFonts w:eastAsia="MS Mincho"/>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3">
    <w:name w:val="Tabla con cuadrícula3"/>
    <w:basedOn w:val="Tablanormal"/>
    <w:next w:val="Tablaconcuadrcula"/>
    <w:uiPriority w:val="59"/>
    <w:rsid w:val="00F35AA6"/>
    <w:rPr>
      <w:rFonts w:eastAsia="MS Mincho"/>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2">
    <w:name w:val="Tabla de lista 1 clara - Énfasis 12"/>
    <w:basedOn w:val="Tablanormal"/>
    <w:next w:val="Tabladelista1clara-nfasis1"/>
    <w:uiPriority w:val="46"/>
    <w:rsid w:val="00F35AA6"/>
    <w:rPr>
      <w:rFonts w:eastAsia="MS Mincho"/>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F35AA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4Car">
    <w:name w:val="Título 4 Car"/>
    <w:basedOn w:val="Fuentedeprrafopredeter"/>
    <w:link w:val="Ttulo4"/>
    <w:uiPriority w:val="9"/>
    <w:semiHidden/>
    <w:rsid w:val="008D19AD"/>
    <w:rPr>
      <w:rFonts w:asciiTheme="majorHAnsi" w:eastAsiaTheme="majorEastAsia" w:hAnsiTheme="majorHAnsi" w:cstheme="majorBidi"/>
      <w:i/>
      <w:iCs/>
      <w:color w:val="2E74B5" w:themeColor="accent1" w:themeShade="BF"/>
      <w:sz w:val="24"/>
      <w:szCs w:val="24"/>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character" w:customStyle="1" w:styleId="m2871584667633129156gmail-apple-converted-space">
    <w:name w:val="m_2871584667633129156gmail-apple-converted-space"/>
    <w:basedOn w:val="Fuentedeprrafopredeter"/>
    <w:rsid w:val="008A2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sultas.curp.gob.mx/CurpSP/html/informacionecurpP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7209</Words>
  <Characters>39651</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Matus</dc:creator>
  <cp:lastModifiedBy>Cuenta Microsoft</cp:lastModifiedBy>
  <cp:revision>6</cp:revision>
  <cp:lastPrinted>2022-06-16T16:56:00Z</cp:lastPrinted>
  <dcterms:created xsi:type="dcterms:W3CDTF">2022-06-15T00:24:00Z</dcterms:created>
  <dcterms:modified xsi:type="dcterms:W3CDTF">2022-07-07T17:41:00Z</dcterms:modified>
</cp:coreProperties>
</file>