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3C84" w14:textId="374A4805" w:rsidR="00066B31" w:rsidRPr="00446963" w:rsidRDefault="00066B31" w:rsidP="00844830">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Pr>
          <w:rFonts w:cs="Tahoma"/>
        </w:rPr>
        <w:t>veinte de abril</w:t>
      </w:r>
      <w:r w:rsidRPr="00446963">
        <w:rPr>
          <w:rFonts w:cs="Tahoma"/>
        </w:rPr>
        <w:t xml:space="preserve"> de dos mil veintidós.</w:t>
      </w:r>
    </w:p>
    <w:p w14:paraId="53783A9E" w14:textId="77777777" w:rsidR="00066B31" w:rsidRPr="00446963" w:rsidRDefault="00066B31" w:rsidP="00844830">
      <w:pPr>
        <w:spacing w:after="0" w:line="360" w:lineRule="auto"/>
        <w:rPr>
          <w:rFonts w:cs="Tahoma"/>
          <w:bCs/>
        </w:rPr>
      </w:pPr>
    </w:p>
    <w:p w14:paraId="466D8EC0" w14:textId="533120BC" w:rsidR="00066B31" w:rsidRPr="00446963" w:rsidRDefault="00066B31" w:rsidP="00844830">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Pr="00446963">
        <w:t>0</w:t>
      </w:r>
      <w:r>
        <w:t>1551</w:t>
      </w:r>
      <w:r w:rsidRPr="00446963">
        <w:t>/INFOEM/IP/RR/2022</w:t>
      </w:r>
      <w:r w:rsidRPr="00446963">
        <w:rPr>
          <w:rFonts w:cs="Tahoma"/>
        </w:rPr>
        <w:t xml:space="preserve">, interpuesto por </w:t>
      </w:r>
      <w:r>
        <w:t xml:space="preserve">el </w:t>
      </w:r>
      <w:r w:rsidRPr="00446963">
        <w:rPr>
          <w:rFonts w:cs="Tahoma"/>
        </w:rPr>
        <w:t xml:space="preserve">Recurrente o Particular, en contra de la falta de respuesta del Sujeto Obligado, Ayuntamiento de Metepec, a la solicitud de información con número </w:t>
      </w:r>
      <w:r w:rsidRPr="00446963">
        <w:t>00</w:t>
      </w:r>
      <w:r>
        <w:t>738</w:t>
      </w:r>
      <w:r w:rsidRPr="00446963">
        <w:t>/METEPEC/IP/202</w:t>
      </w:r>
      <w:r>
        <w:t>2</w:t>
      </w:r>
      <w:r w:rsidRPr="00446963">
        <w:rPr>
          <w:rFonts w:cs="Tahoma"/>
        </w:rPr>
        <w:t>, se emite la presente Resolución, con base en los Antecedentes y Considerandos que</w:t>
      </w:r>
      <w:r w:rsidRPr="00446963">
        <w:rPr>
          <w:rFonts w:cs="Tahoma"/>
          <w:bCs/>
        </w:rPr>
        <w:t xml:space="preserve"> se exponen a continuación:</w:t>
      </w:r>
    </w:p>
    <w:p w14:paraId="740A33F0" w14:textId="77777777" w:rsidR="00066B31" w:rsidRPr="00446963" w:rsidRDefault="00066B31" w:rsidP="00844830">
      <w:pPr>
        <w:tabs>
          <w:tab w:val="left" w:pos="6735"/>
        </w:tabs>
        <w:spacing w:after="0" w:line="360" w:lineRule="auto"/>
        <w:rPr>
          <w:rFonts w:cs="Tahoma"/>
        </w:rPr>
      </w:pPr>
    </w:p>
    <w:p w14:paraId="4677765F" w14:textId="77777777" w:rsidR="00066B31" w:rsidRPr="00446963" w:rsidRDefault="00066B31" w:rsidP="00844830">
      <w:pPr>
        <w:tabs>
          <w:tab w:val="center" w:pos="4522"/>
          <w:tab w:val="left" w:pos="7245"/>
        </w:tabs>
        <w:spacing w:after="0" w:line="360" w:lineRule="auto"/>
        <w:jc w:val="center"/>
        <w:rPr>
          <w:rFonts w:cs="Tahoma"/>
          <w:b/>
        </w:rPr>
      </w:pPr>
      <w:r w:rsidRPr="00446963">
        <w:rPr>
          <w:rFonts w:cs="Tahoma"/>
          <w:b/>
        </w:rPr>
        <w:t>A N T E C E D E N T E S:</w:t>
      </w:r>
    </w:p>
    <w:p w14:paraId="700501D6" w14:textId="77777777" w:rsidR="00066B31" w:rsidRPr="00446963" w:rsidRDefault="00066B31" w:rsidP="00844830">
      <w:pPr>
        <w:spacing w:after="0" w:line="360" w:lineRule="auto"/>
      </w:pPr>
    </w:p>
    <w:p w14:paraId="0B245B18" w14:textId="77777777" w:rsidR="00066B31" w:rsidRPr="00446963" w:rsidRDefault="00066B31" w:rsidP="00844830">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14:paraId="0CC74E03" w14:textId="77777777" w:rsidR="00066B31" w:rsidRPr="00446963" w:rsidRDefault="00066B31" w:rsidP="00844830">
      <w:pPr>
        <w:pStyle w:val="Prrafodelista"/>
        <w:tabs>
          <w:tab w:val="left" w:pos="567"/>
        </w:tabs>
        <w:spacing w:line="360" w:lineRule="auto"/>
        <w:ind w:left="0"/>
        <w:jc w:val="both"/>
        <w:rPr>
          <w:rFonts w:ascii="Palatino Linotype" w:hAnsi="Palatino Linotype" w:cs="Tahoma"/>
          <w:color w:val="000000" w:themeColor="text1"/>
          <w:szCs w:val="22"/>
        </w:rPr>
      </w:pPr>
    </w:p>
    <w:p w14:paraId="55087599" w14:textId="3A54E17F" w:rsidR="00066B31" w:rsidRPr="005D7D5D" w:rsidRDefault="00066B31" w:rsidP="00844830">
      <w:pPr>
        <w:tabs>
          <w:tab w:val="left" w:pos="567"/>
        </w:tabs>
        <w:spacing w:after="0" w:line="360" w:lineRule="auto"/>
        <w:ind w:right="-28"/>
        <w:rPr>
          <w:rFonts w:cs="Tahoma"/>
        </w:rPr>
      </w:pPr>
      <w:r w:rsidRPr="00446963">
        <w:rPr>
          <w:rFonts w:cs="Tahoma"/>
        </w:rPr>
        <w:t xml:space="preserve">Con fecha </w:t>
      </w:r>
      <w:r>
        <w:rPr>
          <w:rFonts w:cs="Tahoma"/>
        </w:rPr>
        <w:t>once de enero de dos mil veintidós</w:t>
      </w:r>
      <w:r w:rsidRPr="00446963">
        <w:rPr>
          <w:rFonts w:cs="Tahoma"/>
        </w:rPr>
        <w:t xml:space="preserve">, el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Pr="00446963">
        <w:t>00</w:t>
      </w:r>
      <w:r>
        <w:t>738/METEPEC/IP/202</w:t>
      </w:r>
      <w:r w:rsidRPr="005D7D5D">
        <w:rPr>
          <w:rFonts w:cs="Tahoma"/>
        </w:rPr>
        <w:t>,</w:t>
      </w:r>
      <w:r>
        <w:rPr>
          <w:rFonts w:cs="Tahoma"/>
        </w:rPr>
        <w:t xml:space="preserve"> ante el Ayuntamiento de Metepec,</w:t>
      </w:r>
      <w:r w:rsidRPr="005D7D5D">
        <w:rPr>
          <w:rFonts w:cs="Tahoma"/>
        </w:rPr>
        <w:t xml:space="preserve"> en los siguientes términos:</w:t>
      </w:r>
    </w:p>
    <w:p w14:paraId="067CC026" w14:textId="77777777" w:rsidR="00FB4AE8" w:rsidRPr="00446963" w:rsidRDefault="00FB4AE8" w:rsidP="00844830">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130FEFE5" w14:textId="77777777" w:rsidR="00066B31" w:rsidRPr="00DF6F08" w:rsidRDefault="00066B31" w:rsidP="00844830">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14:paraId="6572CF93" w14:textId="4392A1FC" w:rsidR="00066B31" w:rsidRPr="00DF6F08" w:rsidRDefault="00066B31" w:rsidP="00844830">
      <w:pPr>
        <w:tabs>
          <w:tab w:val="left" w:pos="4667"/>
        </w:tabs>
        <w:spacing w:after="0" w:line="360" w:lineRule="auto"/>
        <w:ind w:left="567" w:right="567"/>
        <w:rPr>
          <w:rFonts w:cs="Tahoma"/>
          <w:bCs/>
          <w:i/>
          <w:iCs/>
          <w:sz w:val="20"/>
          <w:szCs w:val="20"/>
        </w:rPr>
      </w:pPr>
      <w:r w:rsidRPr="00DF6F08">
        <w:rPr>
          <w:i/>
          <w:iCs/>
          <w:color w:val="000000"/>
          <w:sz w:val="20"/>
          <w:szCs w:val="20"/>
        </w:rPr>
        <w:t>Se solicita copia de las listas de asistencia de todas las áreas del 11 de enero de 2022</w:t>
      </w:r>
      <w:r w:rsidRPr="00DF6F08">
        <w:rPr>
          <w:rFonts w:cs="Tahoma"/>
          <w:bCs/>
          <w:i/>
          <w:iCs/>
          <w:sz w:val="20"/>
          <w:szCs w:val="20"/>
        </w:rPr>
        <w:t xml:space="preserve">.” </w:t>
      </w:r>
      <w:r w:rsidRPr="00DF6F08">
        <w:rPr>
          <w:rFonts w:eastAsia="Times New Roman" w:cs="Arial"/>
          <w:bCs/>
          <w:i/>
          <w:iCs/>
          <w:sz w:val="20"/>
          <w:szCs w:val="20"/>
          <w:lang w:eastAsia="es-ES"/>
        </w:rPr>
        <w:t>(Sic)</w:t>
      </w:r>
    </w:p>
    <w:p w14:paraId="190C62D5" w14:textId="77777777" w:rsidR="00FB4AE8" w:rsidRPr="00DF6F08" w:rsidRDefault="00FB4AE8" w:rsidP="00844830">
      <w:pPr>
        <w:tabs>
          <w:tab w:val="left" w:pos="4667"/>
        </w:tabs>
        <w:spacing w:after="0" w:line="360" w:lineRule="auto"/>
        <w:ind w:left="567" w:right="567"/>
        <w:rPr>
          <w:rFonts w:cs="Tahoma"/>
          <w:bCs/>
          <w:i/>
          <w:sz w:val="20"/>
          <w:szCs w:val="20"/>
        </w:rPr>
      </w:pPr>
    </w:p>
    <w:p w14:paraId="001974F3" w14:textId="77777777" w:rsidR="00066B31" w:rsidRPr="00DF6F08" w:rsidRDefault="00066B31" w:rsidP="00844830">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14:paraId="6BA8340A" w14:textId="77777777" w:rsidR="00066B31" w:rsidRPr="00DF6F08" w:rsidRDefault="00066B31" w:rsidP="00844830">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14:paraId="2EE15DF4" w14:textId="77777777" w:rsidR="00066B31" w:rsidRPr="00446963" w:rsidRDefault="00066B31" w:rsidP="00844830">
      <w:pPr>
        <w:tabs>
          <w:tab w:val="left" w:pos="567"/>
        </w:tabs>
        <w:spacing w:after="0" w:line="360" w:lineRule="auto"/>
        <w:rPr>
          <w:rFonts w:eastAsia="Calibri" w:cs="Tahoma"/>
          <w:b/>
          <w:bCs/>
          <w:i/>
          <w:iCs/>
        </w:rPr>
      </w:pPr>
    </w:p>
    <w:p w14:paraId="0C3CE6CA" w14:textId="77777777" w:rsidR="00730A1A" w:rsidRPr="00730A1A" w:rsidRDefault="00730A1A" w:rsidP="00844830">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Prórroga para atender su solicitud de información. </w:t>
      </w:r>
    </w:p>
    <w:p w14:paraId="176E7CE5" w14:textId="77777777" w:rsidR="00730A1A" w:rsidRPr="00730A1A" w:rsidRDefault="00730A1A" w:rsidP="00844830">
      <w:pPr>
        <w:tabs>
          <w:tab w:val="left" w:pos="4667"/>
        </w:tabs>
        <w:spacing w:after="0" w:line="360" w:lineRule="auto"/>
        <w:ind w:right="567"/>
        <w:rPr>
          <w:rFonts w:eastAsia="Times New Roman" w:cs="Tahoma"/>
          <w:b/>
          <w:bCs/>
          <w:color w:val="auto"/>
          <w:szCs w:val="24"/>
          <w:lang w:eastAsia="es-ES"/>
        </w:rPr>
      </w:pPr>
    </w:p>
    <w:p w14:paraId="04BA28CC" w14:textId="77777777" w:rsidR="00730A1A" w:rsidRPr="00730A1A" w:rsidRDefault="00730A1A" w:rsidP="00844830">
      <w:pPr>
        <w:tabs>
          <w:tab w:val="left" w:pos="4667"/>
        </w:tabs>
        <w:spacing w:after="0" w:line="360" w:lineRule="auto"/>
        <w:ind w:right="567"/>
        <w:rPr>
          <w:rFonts w:eastAsia="Times New Roman" w:cs="Tahoma"/>
          <w:color w:val="auto"/>
          <w:szCs w:val="24"/>
          <w:lang w:eastAsia="es-ES"/>
        </w:rPr>
      </w:pPr>
      <w:r w:rsidRPr="00730A1A">
        <w:rPr>
          <w:rFonts w:eastAsia="Times New Roman" w:cs="Tahoma"/>
          <w:color w:val="auto"/>
          <w:szCs w:val="24"/>
          <w:lang w:eastAsia="es-ES"/>
        </w:rPr>
        <w:lastRenderedPageBreak/>
        <w:t>Con fecha veintinueve de enero de dos mil veintidós, el Sujeto Obligado, a través del Sistema de Acceso a la Información Mexiquense (SAIMEX) notificó el Acta de la Primera Sesión Extraordinaria con número CT/MET/1RASE/2022, del veintiuno del mismo mes y año, suscrita por el Comité de Transparencia del Ayuntamiento de Metepec, mediante la cual aprueba la ampliación de término para atender las solicitudes de información.</w:t>
      </w:r>
    </w:p>
    <w:p w14:paraId="74BBD826" w14:textId="77777777" w:rsidR="00730A1A" w:rsidRPr="00730A1A" w:rsidRDefault="00730A1A" w:rsidP="00844830">
      <w:pPr>
        <w:tabs>
          <w:tab w:val="left" w:pos="4667"/>
        </w:tabs>
        <w:spacing w:after="0" w:line="360" w:lineRule="auto"/>
        <w:ind w:right="567"/>
        <w:rPr>
          <w:rFonts w:eastAsia="Times New Roman" w:cs="Tahoma"/>
          <w:b/>
          <w:bCs/>
          <w:color w:val="auto"/>
          <w:szCs w:val="24"/>
          <w:lang w:eastAsia="es-ES"/>
        </w:rPr>
      </w:pPr>
    </w:p>
    <w:p w14:paraId="656012ED" w14:textId="77777777" w:rsidR="00730A1A" w:rsidRPr="00730A1A" w:rsidRDefault="00730A1A" w:rsidP="00844830">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14:paraId="31C3084F" w14:textId="77777777" w:rsidR="00730A1A" w:rsidRPr="00730A1A" w:rsidRDefault="00730A1A" w:rsidP="00844830">
      <w:pPr>
        <w:tabs>
          <w:tab w:val="left" w:pos="4667"/>
        </w:tabs>
        <w:spacing w:after="0" w:line="360" w:lineRule="auto"/>
        <w:ind w:right="567"/>
        <w:rPr>
          <w:rFonts w:eastAsia="Times New Roman" w:cs="Tahoma"/>
          <w:b/>
          <w:bCs/>
          <w:color w:val="auto"/>
          <w:szCs w:val="24"/>
          <w:lang w:eastAsia="es-ES"/>
        </w:rPr>
      </w:pPr>
    </w:p>
    <w:p w14:paraId="22227BFE" w14:textId="77777777" w:rsidR="00730A1A" w:rsidRPr="00730A1A" w:rsidRDefault="00730A1A" w:rsidP="00844830">
      <w:pPr>
        <w:tabs>
          <w:tab w:val="left" w:pos="4667"/>
        </w:tabs>
        <w:spacing w:after="0" w:line="360" w:lineRule="auto"/>
        <w:ind w:right="567"/>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Pr="00730A1A">
        <w:rPr>
          <w:rFonts w:eastAsia="Times New Roman" w:cs="Tahoma"/>
          <w:b/>
          <w:bCs/>
          <w:color w:val="auto"/>
          <w:szCs w:val="24"/>
          <w:lang w:eastAsia="es-ES"/>
        </w:rPr>
        <w:t>Ayuntamiento de Metepec</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446963" w:rsidRDefault="00066B31" w:rsidP="00844830">
      <w:pPr>
        <w:autoSpaceDE w:val="0"/>
        <w:autoSpaceDN w:val="0"/>
        <w:adjustRightInd w:val="0"/>
        <w:spacing w:after="0" w:line="360" w:lineRule="auto"/>
        <w:rPr>
          <w:rFonts w:cs="Tahoma"/>
          <w:b/>
        </w:rPr>
      </w:pPr>
    </w:p>
    <w:p w14:paraId="1EB66871" w14:textId="6E55E65B" w:rsidR="00066B31" w:rsidRPr="00446963" w:rsidRDefault="00066B31" w:rsidP="00844830">
      <w:pPr>
        <w:autoSpaceDE w:val="0"/>
        <w:autoSpaceDN w:val="0"/>
        <w:adjustRightInd w:val="0"/>
        <w:spacing w:after="0" w:line="360" w:lineRule="auto"/>
        <w:rPr>
          <w:rFonts w:cs="Tahoma"/>
          <w:b/>
        </w:rPr>
      </w:pPr>
      <w:r w:rsidRPr="00446963">
        <w:rPr>
          <w:rFonts w:cs="Tahoma"/>
          <w:b/>
        </w:rPr>
        <w:t>I</w:t>
      </w:r>
      <w:r w:rsidR="00730A1A">
        <w:rPr>
          <w:rFonts w:cs="Tahoma"/>
          <w:b/>
        </w:rPr>
        <w:t>V</w:t>
      </w:r>
      <w:r w:rsidRPr="00446963">
        <w:rPr>
          <w:rFonts w:cs="Tahoma"/>
          <w:b/>
        </w:rPr>
        <w:t xml:space="preserve">. Interposición del Recurso de Revisión. </w:t>
      </w:r>
    </w:p>
    <w:p w14:paraId="56D17863" w14:textId="77777777" w:rsidR="00066B31" w:rsidRPr="00446963" w:rsidRDefault="00066B31" w:rsidP="00844830">
      <w:pPr>
        <w:autoSpaceDE w:val="0"/>
        <w:autoSpaceDN w:val="0"/>
        <w:adjustRightInd w:val="0"/>
        <w:spacing w:after="0" w:line="360" w:lineRule="auto"/>
        <w:rPr>
          <w:rFonts w:cs="Tahoma"/>
          <w:b/>
        </w:rPr>
      </w:pPr>
    </w:p>
    <w:p w14:paraId="3D0456CA" w14:textId="77777777" w:rsidR="00066B31" w:rsidRPr="00446963" w:rsidRDefault="00066B31" w:rsidP="00844830">
      <w:pPr>
        <w:autoSpaceDE w:val="0"/>
        <w:autoSpaceDN w:val="0"/>
        <w:adjustRightInd w:val="0"/>
        <w:spacing w:after="0" w:line="360" w:lineRule="auto"/>
        <w:rPr>
          <w:rFonts w:cs="Tahoma"/>
        </w:rPr>
      </w:pPr>
      <w:r w:rsidRPr="00446963">
        <w:rPr>
          <w:rFonts w:cs="Tahoma"/>
        </w:rPr>
        <w:t xml:space="preserve">Con fecha </w:t>
      </w:r>
      <w:r>
        <w:rPr>
          <w:rFonts w:cs="Tahoma"/>
        </w:rPr>
        <w:t>veintitrés</w:t>
      </w:r>
      <w:r w:rsidRPr="00446963">
        <w:rPr>
          <w:rFonts w:cs="Tahoma"/>
        </w:rPr>
        <w:t xml:space="preserve"> de febrero de dos mil veintidós, se recibió en este Instituto, a través del </w:t>
      </w:r>
      <w:r w:rsidRPr="00446963">
        <w:rPr>
          <w:rFonts w:cs="Tahoma"/>
          <w:lang w:val="es-ES"/>
        </w:rPr>
        <w:t>Sistema de Acceso a la Información Mexiquense (SAIMEX)</w:t>
      </w:r>
      <w:r w:rsidRPr="00446963">
        <w:rPr>
          <w:rFonts w:cs="Tahoma"/>
        </w:rPr>
        <w:t>, Recurso de Revisión interpuesto por la parte Recurrente, en contra de la falta de respuesta por el Sujeto Obligado a la solicitud de información, en los mismos términos:</w:t>
      </w:r>
    </w:p>
    <w:p w14:paraId="6A8261A4" w14:textId="77777777" w:rsidR="00066B31" w:rsidRPr="00446963" w:rsidRDefault="00066B31" w:rsidP="00844830">
      <w:pPr>
        <w:autoSpaceDE w:val="0"/>
        <w:autoSpaceDN w:val="0"/>
        <w:adjustRightInd w:val="0"/>
        <w:spacing w:after="0" w:line="360" w:lineRule="auto"/>
        <w:rPr>
          <w:rFonts w:cs="Tahoma"/>
        </w:rPr>
      </w:pPr>
    </w:p>
    <w:p w14:paraId="26E8BDC0" w14:textId="77777777" w:rsidR="00066B31" w:rsidRPr="005A6E3B" w:rsidRDefault="00066B31" w:rsidP="00844830">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14:paraId="49C43B2D" w14:textId="77777777" w:rsidR="00066B31" w:rsidRPr="005A6E3B" w:rsidRDefault="00066B31" w:rsidP="00844830">
      <w:pPr>
        <w:autoSpaceDE w:val="0"/>
        <w:autoSpaceDN w:val="0"/>
        <w:adjustRightInd w:val="0"/>
        <w:spacing w:after="0" w:line="360" w:lineRule="auto"/>
        <w:ind w:left="567" w:right="567"/>
        <w:rPr>
          <w:rFonts w:cs="Tahoma"/>
          <w:i/>
          <w:sz w:val="20"/>
          <w:szCs w:val="20"/>
        </w:rPr>
      </w:pPr>
      <w:r w:rsidRPr="00185E16">
        <w:rPr>
          <w:i/>
          <w:iCs/>
          <w:sz w:val="20"/>
          <w:szCs w:val="20"/>
        </w:rPr>
        <w:t>La falta de respuesta del sujeto obligado.</w:t>
      </w:r>
      <w:r w:rsidRPr="005A6E3B">
        <w:rPr>
          <w:i/>
          <w:sz w:val="20"/>
          <w:szCs w:val="20"/>
        </w:rPr>
        <w:t>”</w:t>
      </w:r>
      <w:r w:rsidRPr="005A6E3B">
        <w:rPr>
          <w:rFonts w:cs="Tahoma"/>
          <w:i/>
          <w:sz w:val="20"/>
          <w:szCs w:val="20"/>
        </w:rPr>
        <w:t xml:space="preserve"> (Sic.)</w:t>
      </w:r>
    </w:p>
    <w:p w14:paraId="2AF5FC01" w14:textId="77777777" w:rsidR="00066B31" w:rsidRPr="005A6E3B" w:rsidRDefault="00066B31" w:rsidP="00844830">
      <w:pPr>
        <w:autoSpaceDE w:val="0"/>
        <w:autoSpaceDN w:val="0"/>
        <w:adjustRightInd w:val="0"/>
        <w:spacing w:after="0" w:line="360" w:lineRule="auto"/>
        <w:ind w:left="567" w:right="567"/>
        <w:rPr>
          <w:rFonts w:cs="Tahoma"/>
          <w:b/>
          <w:i/>
          <w:sz w:val="20"/>
          <w:szCs w:val="20"/>
        </w:rPr>
      </w:pPr>
      <w:r w:rsidRPr="005A6E3B">
        <w:rPr>
          <w:rFonts w:cs="Tahoma"/>
          <w:b/>
          <w:i/>
          <w:sz w:val="20"/>
          <w:szCs w:val="20"/>
        </w:rPr>
        <w:lastRenderedPageBreak/>
        <w:t>“RAZONES O MOTIVOS DE LA INCONFORMIDAD</w:t>
      </w:r>
    </w:p>
    <w:p w14:paraId="39D18A41" w14:textId="77777777" w:rsidR="00066B31" w:rsidRPr="005A6E3B" w:rsidRDefault="00066B31" w:rsidP="00844830">
      <w:pPr>
        <w:autoSpaceDE w:val="0"/>
        <w:autoSpaceDN w:val="0"/>
        <w:adjustRightInd w:val="0"/>
        <w:spacing w:after="0" w:line="360" w:lineRule="auto"/>
        <w:ind w:left="567" w:right="567"/>
        <w:rPr>
          <w:rFonts w:cs="Tahoma"/>
          <w:i/>
          <w:sz w:val="20"/>
          <w:szCs w:val="20"/>
        </w:rPr>
      </w:pPr>
      <w:r w:rsidRPr="00185E16">
        <w:rPr>
          <w:i/>
          <w:iCs/>
          <w:sz w:val="20"/>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w:t>
      </w:r>
      <w:r w:rsidRPr="00185E16">
        <w:rPr>
          <w:i/>
          <w:iCs/>
          <w:sz w:val="20"/>
          <w:szCs w:val="20"/>
        </w:rPr>
        <w:lastRenderedPageBreak/>
        <w:t>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5A6E3B">
        <w:rPr>
          <w:rFonts w:cs="Tahoma"/>
          <w:i/>
          <w:sz w:val="20"/>
          <w:szCs w:val="20"/>
        </w:rPr>
        <w:t>” (Sic.)</w:t>
      </w:r>
    </w:p>
    <w:p w14:paraId="025E20EB" w14:textId="77777777" w:rsidR="00FC6C9A" w:rsidRPr="00446963" w:rsidRDefault="00FC6C9A" w:rsidP="00844830">
      <w:pPr>
        <w:spacing w:after="0" w:line="360" w:lineRule="auto"/>
        <w:rPr>
          <w:rFonts w:cs="Tahoma"/>
          <w:bCs/>
        </w:rPr>
      </w:pPr>
    </w:p>
    <w:p w14:paraId="5B83448B" w14:textId="70732678" w:rsidR="00066B31" w:rsidRPr="00446963" w:rsidRDefault="00066B31" w:rsidP="00844830">
      <w:pPr>
        <w:spacing w:after="0" w:line="360" w:lineRule="auto"/>
        <w:rPr>
          <w:rFonts w:eastAsia="Batang" w:cs="Tahoma"/>
          <w:b/>
          <w:bCs/>
        </w:rPr>
      </w:pPr>
      <w:r w:rsidRPr="00446963">
        <w:rPr>
          <w:rFonts w:cs="Tahoma"/>
          <w:b/>
        </w:rPr>
        <w:t xml:space="preserve">V. </w:t>
      </w:r>
      <w:r w:rsidRPr="00446963">
        <w:rPr>
          <w:rFonts w:eastAsia="Batang" w:cs="Tahoma"/>
          <w:b/>
          <w:bCs/>
        </w:rPr>
        <w:t xml:space="preserve">Trámite del </w:t>
      </w:r>
      <w:r w:rsidRPr="00446963">
        <w:rPr>
          <w:rFonts w:cs="Tahoma"/>
          <w:b/>
        </w:rPr>
        <w:t xml:space="preserve">Recurso de Revisión </w:t>
      </w:r>
      <w:r w:rsidRPr="00446963">
        <w:rPr>
          <w:rFonts w:eastAsia="Batang" w:cs="Tahoma"/>
          <w:b/>
          <w:bCs/>
        </w:rPr>
        <w:t>ante este Instituto.</w:t>
      </w:r>
    </w:p>
    <w:p w14:paraId="55E97358" w14:textId="77777777" w:rsidR="00066B31" w:rsidRPr="00446963" w:rsidRDefault="00066B31" w:rsidP="00844830">
      <w:pPr>
        <w:spacing w:after="0" w:line="360" w:lineRule="auto"/>
        <w:rPr>
          <w:rFonts w:eastAsia="Batang" w:cs="Tahoma"/>
          <w:b/>
          <w:bCs/>
        </w:rPr>
      </w:pPr>
    </w:p>
    <w:p w14:paraId="77FAD18E" w14:textId="56917985" w:rsidR="00066B31" w:rsidRPr="00446963" w:rsidRDefault="00066B31" w:rsidP="00844830">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Pr>
          <w:rFonts w:eastAsia="Batang" w:cs="Tahoma"/>
          <w:bCs/>
        </w:rPr>
        <w:t xml:space="preserve">veintitrés </w:t>
      </w:r>
      <w:r w:rsidRPr="00446963">
        <w:rPr>
          <w:rFonts w:eastAsia="Batang" w:cs="Tahoma"/>
          <w:bCs/>
        </w:rPr>
        <w:t xml:space="preserve">de febrero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Pr>
          <w:b/>
          <w:bCs/>
        </w:rPr>
        <w:t>1</w:t>
      </w:r>
      <w:r w:rsidR="00FC6C9A">
        <w:rPr>
          <w:b/>
          <w:bCs/>
        </w:rPr>
        <w:t>551</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446963" w:rsidRDefault="00066B31" w:rsidP="00844830">
      <w:pPr>
        <w:spacing w:after="0" w:line="360" w:lineRule="auto"/>
        <w:rPr>
          <w:rFonts w:eastAsia="Batang" w:cs="Tahoma"/>
          <w:bCs/>
        </w:rPr>
      </w:pPr>
    </w:p>
    <w:p w14:paraId="5A1C754E" w14:textId="77777777" w:rsidR="00066B31" w:rsidRPr="00446963" w:rsidRDefault="00066B31" w:rsidP="00844830">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Pr>
          <w:rFonts w:eastAsia="Batang" w:cs="Tahoma"/>
          <w:bCs/>
          <w:lang w:val="es-ES_tradnl"/>
        </w:rPr>
        <w:t xml:space="preserve">veintiocho </w:t>
      </w:r>
      <w:r w:rsidRPr="00446963">
        <w:rPr>
          <w:rFonts w:eastAsia="Batang" w:cs="Tahoma"/>
          <w:bCs/>
          <w:lang w:val="es-ES_tradnl"/>
        </w:rPr>
        <w:t xml:space="preserve">de febrero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446963" w:rsidRDefault="00066B31" w:rsidP="00844830">
      <w:pPr>
        <w:spacing w:after="0" w:line="360" w:lineRule="auto"/>
        <w:rPr>
          <w:rFonts w:cs="Tahoma"/>
          <w:bCs/>
        </w:rPr>
      </w:pPr>
    </w:p>
    <w:p w14:paraId="29C75A42" w14:textId="77777777" w:rsidR="00066B31" w:rsidRPr="00446963" w:rsidRDefault="00066B31" w:rsidP="00844830">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14:paraId="5FDE4F98" w14:textId="77777777" w:rsidR="00066B31" w:rsidRPr="00446963" w:rsidRDefault="00066B31" w:rsidP="00844830">
      <w:pPr>
        <w:spacing w:after="0" w:line="360" w:lineRule="auto"/>
        <w:rPr>
          <w:rFonts w:cs="Tahoma"/>
          <w:b/>
        </w:rPr>
      </w:pPr>
    </w:p>
    <w:p w14:paraId="6EA06E35" w14:textId="70B3F67B" w:rsidR="00066B31" w:rsidRPr="00446963" w:rsidRDefault="00066B31" w:rsidP="00844830">
      <w:pPr>
        <w:spacing w:after="0" w:line="360" w:lineRule="auto"/>
        <w:rPr>
          <w:rFonts w:cs="Tahoma"/>
        </w:rPr>
      </w:pPr>
      <w:r w:rsidRPr="00446963">
        <w:rPr>
          <w:rFonts w:cs="Tahoma"/>
          <w:b/>
          <w:bCs/>
        </w:rPr>
        <w:t>d) Cierre de instrucción.</w:t>
      </w:r>
      <w:r w:rsidRPr="00446963">
        <w:rPr>
          <w:rFonts w:cs="Tahoma"/>
        </w:rPr>
        <w:t xml:space="preserve">  El </w:t>
      </w:r>
      <w:r>
        <w:rPr>
          <w:rFonts w:cs="Tahoma"/>
        </w:rPr>
        <w:t>veinti</w:t>
      </w:r>
      <w:r w:rsidR="00514645">
        <w:rPr>
          <w:rFonts w:cs="Tahoma"/>
        </w:rPr>
        <w:t>nueve</w:t>
      </w:r>
      <w:r w:rsidRPr="00446963">
        <w:rPr>
          <w:rFonts w:cs="Tahoma"/>
        </w:rPr>
        <w:t xml:space="preserve"> de marzo de dos mil veintidós, al no existir diligencias pendientes por desahogar, se emitió el acuerdo por medio del cual se declaró cerrada la </w:t>
      </w:r>
      <w:r w:rsidRPr="00446963">
        <w:rPr>
          <w:rFonts w:cs="Tahoma"/>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el </w:t>
      </w:r>
      <w:r w:rsidR="00514645">
        <w:rPr>
          <w:rFonts w:cs="Tahoma"/>
          <w:lang w:val="es-ES"/>
        </w:rPr>
        <w:t>treinta</w:t>
      </w:r>
      <w:r w:rsidRPr="00446963">
        <w:rPr>
          <w:rFonts w:cs="Tahoma"/>
          <w:lang w:val="es-ES"/>
        </w:rPr>
        <w:t xml:space="preserve"> de dicho mes y año</w:t>
      </w:r>
      <w:r w:rsidRPr="00446963">
        <w:rPr>
          <w:rFonts w:cs="Tahoma"/>
        </w:rPr>
        <w:t xml:space="preserve">. </w:t>
      </w:r>
    </w:p>
    <w:p w14:paraId="1BB0C7FD" w14:textId="77777777" w:rsidR="00066B31" w:rsidRPr="00446963" w:rsidRDefault="00066B31" w:rsidP="00844830">
      <w:pPr>
        <w:spacing w:after="0" w:line="360" w:lineRule="auto"/>
        <w:rPr>
          <w:rFonts w:cs="Tahoma"/>
          <w:b/>
          <w:bCs/>
          <w:lang w:val="es-ES"/>
        </w:rPr>
      </w:pPr>
    </w:p>
    <w:p w14:paraId="67F4FB91" w14:textId="77777777" w:rsidR="00066B31" w:rsidRPr="00446963" w:rsidRDefault="00066B31" w:rsidP="00844830">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446963" w:rsidRDefault="00066B31" w:rsidP="00844830">
      <w:pPr>
        <w:spacing w:after="0" w:line="360" w:lineRule="auto"/>
        <w:rPr>
          <w:rFonts w:cs="Tahoma"/>
        </w:rPr>
      </w:pPr>
    </w:p>
    <w:p w14:paraId="5BF6FD9D" w14:textId="77777777" w:rsidR="00066B31" w:rsidRPr="00446963" w:rsidRDefault="00066B31" w:rsidP="00844830">
      <w:pPr>
        <w:spacing w:after="0" w:line="360" w:lineRule="auto"/>
        <w:jc w:val="center"/>
        <w:rPr>
          <w:rFonts w:cs="Tahoma"/>
          <w:b/>
          <w:lang w:val="es-ES"/>
        </w:rPr>
      </w:pPr>
      <w:r w:rsidRPr="00446963">
        <w:rPr>
          <w:rFonts w:cs="Tahoma"/>
          <w:b/>
          <w:lang w:val="es-ES"/>
        </w:rPr>
        <w:t>CONSIDERANDOS:</w:t>
      </w:r>
    </w:p>
    <w:p w14:paraId="2D6C5172" w14:textId="77777777" w:rsidR="00066B31" w:rsidRPr="00446963" w:rsidRDefault="00066B31" w:rsidP="00844830">
      <w:pPr>
        <w:spacing w:after="0" w:line="360" w:lineRule="auto"/>
        <w:rPr>
          <w:rFonts w:cs="Tahoma"/>
          <w:b/>
          <w:lang w:val="es-ES"/>
        </w:rPr>
      </w:pPr>
    </w:p>
    <w:p w14:paraId="2F7D3AFC" w14:textId="77777777" w:rsidR="00066B31" w:rsidRPr="00446963" w:rsidRDefault="00066B31" w:rsidP="00844830">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14:paraId="724CB4B4" w14:textId="77777777" w:rsidR="00066B31" w:rsidRPr="00446963" w:rsidRDefault="00066B31" w:rsidP="00844830">
      <w:pPr>
        <w:autoSpaceDE w:val="0"/>
        <w:autoSpaceDN w:val="0"/>
        <w:adjustRightInd w:val="0"/>
        <w:spacing w:after="0" w:line="360" w:lineRule="auto"/>
        <w:rPr>
          <w:rFonts w:cs="Tahoma"/>
          <w:b/>
          <w:lang w:val="es-ES"/>
        </w:rPr>
      </w:pPr>
    </w:p>
    <w:p w14:paraId="03BD5175" w14:textId="77777777" w:rsidR="00066B31" w:rsidRPr="00446963" w:rsidRDefault="00066B31" w:rsidP="00844830">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446963" w:rsidRDefault="00514645" w:rsidP="00844830">
      <w:pPr>
        <w:autoSpaceDE w:val="0"/>
        <w:autoSpaceDN w:val="0"/>
        <w:adjustRightInd w:val="0"/>
        <w:spacing w:after="0" w:line="360" w:lineRule="auto"/>
        <w:rPr>
          <w:rFonts w:eastAsia="Calibri" w:cs="Tahoma"/>
          <w:b/>
          <w:lang w:val="es-ES" w:eastAsia="es-MX"/>
        </w:rPr>
      </w:pPr>
    </w:p>
    <w:p w14:paraId="17781ECE" w14:textId="77777777" w:rsidR="00066B31" w:rsidRDefault="00066B31" w:rsidP="00844830">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14:paraId="6F19E637" w14:textId="77777777" w:rsidR="00066B31" w:rsidRPr="00446963" w:rsidRDefault="00066B31" w:rsidP="00844830">
      <w:pPr>
        <w:autoSpaceDE w:val="0"/>
        <w:autoSpaceDN w:val="0"/>
        <w:adjustRightInd w:val="0"/>
        <w:spacing w:after="0" w:line="360" w:lineRule="auto"/>
        <w:rPr>
          <w:rFonts w:cs="Tahoma"/>
          <w:b/>
          <w:lang w:val="es-ES"/>
        </w:rPr>
      </w:pPr>
    </w:p>
    <w:p w14:paraId="4FA1BB66" w14:textId="77777777" w:rsidR="00066B31" w:rsidRPr="00446963" w:rsidRDefault="00066B31" w:rsidP="00844830">
      <w:pPr>
        <w:autoSpaceDE w:val="0"/>
        <w:autoSpaceDN w:val="0"/>
        <w:adjustRightInd w:val="0"/>
        <w:spacing w:after="0" w:line="360" w:lineRule="auto"/>
        <w:rPr>
          <w:rFonts w:cs="Tahoma"/>
          <w:lang w:val="es-ES"/>
        </w:rPr>
      </w:pPr>
      <w:r w:rsidRPr="00446963">
        <w:rPr>
          <w:rFonts w:cs="Tahoma"/>
          <w:lang w:val="es-ES"/>
        </w:rPr>
        <w:lastRenderedPageBreak/>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14:paraId="0A9F15CB" w14:textId="77777777" w:rsidR="00066B31" w:rsidRPr="00446963" w:rsidRDefault="00066B31" w:rsidP="00844830">
      <w:pPr>
        <w:autoSpaceDE w:val="0"/>
        <w:autoSpaceDN w:val="0"/>
        <w:adjustRightInd w:val="0"/>
        <w:spacing w:after="0" w:line="360" w:lineRule="auto"/>
        <w:rPr>
          <w:rFonts w:cs="Tahoma"/>
          <w:lang w:val="es-ES"/>
        </w:rPr>
      </w:pPr>
    </w:p>
    <w:p w14:paraId="1413C924" w14:textId="77777777" w:rsidR="00066B31" w:rsidRPr="00446963" w:rsidRDefault="00066B31" w:rsidP="00844830">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14:paraId="56182CFD" w14:textId="77777777" w:rsidR="00066B31" w:rsidRPr="00446963" w:rsidRDefault="00066B31" w:rsidP="00844830">
      <w:pPr>
        <w:autoSpaceDE w:val="0"/>
        <w:autoSpaceDN w:val="0"/>
        <w:adjustRightInd w:val="0"/>
        <w:spacing w:after="0" w:line="360" w:lineRule="auto"/>
        <w:rPr>
          <w:rFonts w:eastAsia="Calibri" w:cs="Tahoma"/>
          <w:lang w:val="es-ES" w:eastAsia="es-MX"/>
        </w:rPr>
      </w:pPr>
    </w:p>
    <w:p w14:paraId="7882C79D" w14:textId="77777777" w:rsidR="00066B31" w:rsidRPr="00446963" w:rsidRDefault="00066B31" w:rsidP="00844830">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446963" w:rsidRDefault="00066B31" w:rsidP="00844830">
      <w:pPr>
        <w:spacing w:after="0" w:line="360" w:lineRule="auto"/>
        <w:rPr>
          <w:rFonts w:cs="Tahoma"/>
        </w:rPr>
      </w:pPr>
      <w:r w:rsidRPr="00446963">
        <w:rPr>
          <w:rFonts w:cs="Tahoma"/>
        </w:rPr>
        <w:t xml:space="preserve">  </w:t>
      </w:r>
    </w:p>
    <w:p w14:paraId="072F4939" w14:textId="77777777" w:rsidR="00066B31" w:rsidRPr="00446963" w:rsidRDefault="00066B31" w:rsidP="00844830">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446963" w:rsidRDefault="00066B31" w:rsidP="00844830">
      <w:pPr>
        <w:spacing w:after="0" w:line="360" w:lineRule="auto"/>
        <w:rPr>
          <w:rFonts w:cs="Tahoma"/>
        </w:rPr>
      </w:pPr>
    </w:p>
    <w:p w14:paraId="1C77DA16" w14:textId="77777777" w:rsidR="00066B31" w:rsidRPr="00446963" w:rsidRDefault="00066B31" w:rsidP="00844830">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xml:space="preserve">; por lo que, no es necesario determinar una temporalidad respecto del momento de presentación, conforme a lo establecido en los artículos 166 y 178, párrafo segundo </w:t>
      </w:r>
      <w:r w:rsidRPr="00446963">
        <w:rPr>
          <w:rFonts w:cs="Tahoma"/>
          <w:lang w:val="es-ES"/>
        </w:rPr>
        <w:lastRenderedPageBreak/>
        <w:t>de la Ley de Transparencia y Acceso a la Información Pública del Estado de México y los Municipios.</w:t>
      </w:r>
    </w:p>
    <w:p w14:paraId="3CF63B22" w14:textId="77777777" w:rsidR="00066B31" w:rsidRPr="00446963" w:rsidRDefault="00066B31" w:rsidP="00844830">
      <w:pPr>
        <w:spacing w:after="0" w:line="360" w:lineRule="auto"/>
        <w:rPr>
          <w:rFonts w:cs="Tahoma"/>
          <w:lang w:val="es-ES"/>
        </w:rPr>
      </w:pPr>
    </w:p>
    <w:p w14:paraId="4D476995" w14:textId="77777777" w:rsidR="00066B31" w:rsidRPr="00446963" w:rsidRDefault="00066B31" w:rsidP="00844830">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14:paraId="47AA57FD" w14:textId="77777777" w:rsidR="00066B31" w:rsidRPr="00446963" w:rsidRDefault="00066B31" w:rsidP="00844830">
      <w:pPr>
        <w:spacing w:after="0" w:line="360" w:lineRule="auto"/>
        <w:rPr>
          <w:rFonts w:cs="Tahoma"/>
          <w:lang w:val="es-ES"/>
        </w:rPr>
      </w:pPr>
    </w:p>
    <w:p w14:paraId="6CFE5D19" w14:textId="77777777" w:rsidR="00066B31" w:rsidRPr="00446963" w:rsidRDefault="00066B31" w:rsidP="00844830">
      <w:pPr>
        <w:spacing w:after="0" w:line="360" w:lineRule="auto"/>
        <w:rPr>
          <w:rFonts w:cs="Tahoma"/>
        </w:rPr>
      </w:pPr>
      <w:r w:rsidRPr="00446963">
        <w:rPr>
          <w:rFonts w:cs="Tahoma"/>
          <w:b/>
          <w:bCs/>
        </w:rPr>
        <w:t>Causales de sobreseimiento.</w:t>
      </w:r>
    </w:p>
    <w:p w14:paraId="75468044" w14:textId="77777777" w:rsidR="00066B31" w:rsidRPr="00446963" w:rsidRDefault="00066B31" w:rsidP="00844830">
      <w:pPr>
        <w:spacing w:after="0" w:line="360" w:lineRule="auto"/>
        <w:rPr>
          <w:rFonts w:cs="Tahoma"/>
        </w:rPr>
      </w:pPr>
    </w:p>
    <w:p w14:paraId="2CB39808" w14:textId="77777777" w:rsidR="00066B31" w:rsidRPr="00446963" w:rsidRDefault="00066B31" w:rsidP="00844830">
      <w:pPr>
        <w:spacing w:after="0" w:line="360" w:lineRule="auto"/>
        <w:rPr>
          <w:rFonts w:cs="Tahoma"/>
        </w:rPr>
      </w:pPr>
      <w:r w:rsidRPr="00446963">
        <w:rPr>
          <w:rFonts w:cs="Tahoma"/>
        </w:rPr>
        <w:t>Por ser de previo y especial pronunciamiento, este Instituto analiza si se actualiza alguna causal de sobreseimiento.</w:t>
      </w:r>
    </w:p>
    <w:p w14:paraId="00DC30F8" w14:textId="77777777" w:rsidR="00066B31" w:rsidRPr="00446963" w:rsidRDefault="00066B31" w:rsidP="00844830">
      <w:pPr>
        <w:spacing w:after="0" w:line="360" w:lineRule="auto"/>
        <w:rPr>
          <w:rFonts w:cs="Tahoma"/>
        </w:rPr>
      </w:pPr>
    </w:p>
    <w:p w14:paraId="1A4F4734" w14:textId="77777777" w:rsidR="00066B31" w:rsidRPr="00446963" w:rsidRDefault="00066B31" w:rsidP="00844830">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446963" w:rsidRDefault="00066B31" w:rsidP="00844830">
      <w:pPr>
        <w:spacing w:after="0" w:line="360" w:lineRule="auto"/>
        <w:rPr>
          <w:rFonts w:cs="Tahoma"/>
        </w:rPr>
      </w:pPr>
    </w:p>
    <w:p w14:paraId="26EA214E" w14:textId="77777777" w:rsidR="00066B31" w:rsidRPr="00446963" w:rsidRDefault="00066B31" w:rsidP="00844830">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14:paraId="7F0C6A66" w14:textId="77777777" w:rsidR="00066B31" w:rsidRPr="00446963" w:rsidRDefault="00066B31" w:rsidP="00844830">
      <w:pPr>
        <w:tabs>
          <w:tab w:val="left" w:pos="4962"/>
        </w:tabs>
        <w:spacing w:after="0" w:line="360" w:lineRule="auto"/>
        <w:rPr>
          <w:rFonts w:cs="Tahoma"/>
          <w:lang w:val="es-ES"/>
        </w:rPr>
      </w:pPr>
    </w:p>
    <w:p w14:paraId="1A5ACCAF" w14:textId="77777777" w:rsidR="00066B31" w:rsidRPr="00446963" w:rsidRDefault="00066B31" w:rsidP="00844830">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14:paraId="286B1258" w14:textId="77777777" w:rsidR="00066B31" w:rsidRPr="00446963" w:rsidRDefault="00066B31" w:rsidP="00844830">
      <w:pPr>
        <w:spacing w:after="0" w:line="360" w:lineRule="auto"/>
      </w:pPr>
    </w:p>
    <w:p w14:paraId="2EAB795C" w14:textId="5021E6C3" w:rsidR="00066B31" w:rsidRPr="00446963" w:rsidRDefault="00066B31" w:rsidP="00844830">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w:t>
      </w:r>
      <w:r w:rsidRPr="00446963">
        <w:rPr>
          <w:rFonts w:eastAsia="Calibri" w:cs="Tahoma"/>
          <w:iCs/>
          <w:lang w:val="es-ES" w:eastAsia="es-ES_tradnl"/>
        </w:rPr>
        <w:lastRenderedPageBreak/>
        <w:t>que el Recurrente requirió</w:t>
      </w:r>
      <w:r w:rsidR="00730A1A">
        <w:rPr>
          <w:rFonts w:eastAsia="Calibri" w:cs="Tahoma"/>
          <w:iCs/>
          <w:lang w:val="es-ES" w:eastAsia="es-ES_tradnl"/>
        </w:rPr>
        <w:t xml:space="preserve"> </w:t>
      </w:r>
      <w:r w:rsidR="00514645">
        <w:rPr>
          <w:rFonts w:eastAsia="Calibri" w:cs="Tahoma"/>
          <w:iCs/>
          <w:lang w:val="es-ES" w:eastAsia="es-ES_tradnl"/>
        </w:rPr>
        <w:t xml:space="preserve">las listas de asistencia de todas las </w:t>
      </w:r>
      <w:r w:rsidR="00730A1A">
        <w:rPr>
          <w:rFonts w:eastAsia="Calibri" w:cs="Tahoma"/>
          <w:iCs/>
          <w:lang w:val="es-ES" w:eastAsia="es-ES_tradnl"/>
        </w:rPr>
        <w:t>unidades administrativas del Ayuntamiento,</w:t>
      </w:r>
      <w:r w:rsidR="00514645">
        <w:rPr>
          <w:rFonts w:eastAsia="Calibri" w:cs="Tahoma"/>
          <w:iCs/>
          <w:lang w:val="es-ES" w:eastAsia="es-ES_tradnl"/>
        </w:rPr>
        <w:t xml:space="preserve"> del once de enero de dos mil veintidós</w:t>
      </w:r>
      <w:r>
        <w:rPr>
          <w:rFonts w:eastAsia="Calibri" w:cs="Tahoma"/>
          <w:iCs/>
          <w:lang w:val="es-ES" w:eastAsia="es-ES_tradnl"/>
        </w:rPr>
        <w:t>.</w:t>
      </w:r>
    </w:p>
    <w:p w14:paraId="035B8B87" w14:textId="77777777" w:rsidR="00066B31" w:rsidRPr="00446963" w:rsidRDefault="00066B31" w:rsidP="00844830">
      <w:pPr>
        <w:tabs>
          <w:tab w:val="left" w:pos="4962"/>
        </w:tabs>
        <w:spacing w:after="0" w:line="360" w:lineRule="auto"/>
        <w:rPr>
          <w:rFonts w:eastAsia="Calibri" w:cs="Tahoma"/>
          <w:iCs/>
          <w:lang w:val="es-ES" w:eastAsia="es-ES_tradnl"/>
        </w:rPr>
      </w:pPr>
    </w:p>
    <w:p w14:paraId="6A0469FF" w14:textId="77777777" w:rsidR="00066B31" w:rsidRPr="00F50917" w:rsidRDefault="00066B31" w:rsidP="00844830">
      <w:pPr>
        <w:tabs>
          <w:tab w:val="left" w:pos="4962"/>
        </w:tabs>
        <w:spacing w:after="0" w:line="360" w:lineRule="auto"/>
        <w:ind w:right="-28"/>
        <w:rPr>
          <w:rFonts w:cs="Tahoma"/>
          <w:bCs/>
          <w:iCs/>
          <w:lang w:val="es-ES"/>
        </w:rPr>
      </w:pPr>
      <w:r w:rsidRPr="00F50917">
        <w:rPr>
          <w:rFonts w:cs="Tahoma"/>
          <w:bCs/>
          <w:iCs/>
          <w:lang w:val="es-ES"/>
        </w:rPr>
        <w:t xml:space="preserve">Ante la falta de respuesta del Ente Recurrido, el Particular, justamente se inconformó de dicha circunstancia, ya que si bien, los motivos de inconformidad, van tendientes a realizar diversas manifestaciones sobre una supuesta respuesta, en el acto reclamado, si fue claro en agraviarse de la falta de contestación </w:t>
      </w:r>
      <w:r>
        <w:rPr>
          <w:rFonts w:cs="Tahoma"/>
          <w:bCs/>
          <w:iCs/>
          <w:lang w:val="es-ES"/>
        </w:rPr>
        <w:t>a la solicitud</w:t>
      </w:r>
      <w:r w:rsidRPr="00F50917">
        <w:rPr>
          <w:rFonts w:cs="Tahoma"/>
          <w:bCs/>
          <w:iCs/>
          <w:lang w:val="es-ES"/>
        </w:rPr>
        <w:t xml:space="preserve"> de información, lo cual actualiza el supuesto previsto en el artículo 179, fracción VII, de la Ley de Transparencia y Acceso a la Información Pública del Estado de México y Municipios</w:t>
      </w:r>
      <w:r w:rsidRPr="00F50917">
        <w:rPr>
          <w:rFonts w:cs="Tahoma"/>
          <w:bCs/>
          <w:iCs/>
          <w:shd w:val="clear" w:color="auto" w:fill="FFFFFF"/>
        </w:rPr>
        <w:t>;</w:t>
      </w:r>
      <w:r w:rsidRPr="00F50917">
        <w:rPr>
          <w:rFonts w:eastAsia="Calibri" w:cs="Tahoma"/>
          <w:color w:val="000000"/>
        </w:rPr>
        <w:t xml:space="preserve"> </w:t>
      </w:r>
      <w:r w:rsidRPr="00F50917">
        <w:rPr>
          <w:rFonts w:eastAsia="Calibri" w:cs="Tahoma"/>
          <w:bCs/>
          <w:iCs/>
          <w:color w:val="000000"/>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F50917">
        <w:rPr>
          <w:rFonts w:cs="Tahoma"/>
          <w:lang w:val="es-ES"/>
        </w:rPr>
        <w:t>Así las cosas, una vez admitido y notificado los Recursos de Revisión a las partes, estas</w:t>
      </w:r>
      <w:r w:rsidRPr="00F50917">
        <w:rPr>
          <w:rFonts w:cs="Tahoma"/>
          <w:bCs/>
          <w:iCs/>
          <w:lang w:val="es-ES" w:eastAsia="es-ES"/>
        </w:rPr>
        <w:t xml:space="preserve"> fueron omisas en realizar manifestaciones o alegatos.</w:t>
      </w:r>
    </w:p>
    <w:p w14:paraId="46633F11" w14:textId="77777777" w:rsidR="00066B31" w:rsidRPr="00446963" w:rsidRDefault="00066B31" w:rsidP="00844830">
      <w:pPr>
        <w:tabs>
          <w:tab w:val="left" w:pos="4962"/>
        </w:tabs>
        <w:spacing w:after="0" w:line="360" w:lineRule="auto"/>
        <w:rPr>
          <w:rFonts w:eastAsia="Calibri" w:cs="Tahoma"/>
          <w:iCs/>
          <w:lang w:val="es-ES" w:eastAsia="es-ES_tradnl"/>
        </w:rPr>
      </w:pPr>
    </w:p>
    <w:p w14:paraId="68774A70" w14:textId="77777777" w:rsidR="00066B31" w:rsidRPr="00446963" w:rsidRDefault="00066B31" w:rsidP="00844830">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36F8DAB" w14:textId="77777777" w:rsidR="00066B31" w:rsidRPr="00446963" w:rsidRDefault="00066B31" w:rsidP="00844830">
      <w:pPr>
        <w:tabs>
          <w:tab w:val="left" w:pos="4962"/>
        </w:tabs>
        <w:spacing w:after="0" w:line="360" w:lineRule="auto"/>
        <w:rPr>
          <w:rFonts w:eastAsia="Calibri" w:cs="Tahoma"/>
          <w:bCs/>
        </w:rPr>
      </w:pPr>
    </w:p>
    <w:p w14:paraId="299AB0F0" w14:textId="77777777" w:rsidR="00066B31" w:rsidRPr="00446963" w:rsidRDefault="00066B31" w:rsidP="00844830">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14:paraId="2E82BC88" w14:textId="77777777" w:rsidR="00066B31" w:rsidRPr="00446963" w:rsidRDefault="00066B31" w:rsidP="00844830">
      <w:pPr>
        <w:spacing w:after="0" w:line="360" w:lineRule="auto"/>
        <w:rPr>
          <w:rFonts w:cs="Tahoma"/>
          <w:b/>
        </w:rPr>
      </w:pPr>
    </w:p>
    <w:p w14:paraId="688782F9"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446963" w:rsidRDefault="00066B31" w:rsidP="00844830">
      <w:pPr>
        <w:widowControl w:val="0"/>
        <w:spacing w:after="0" w:line="360" w:lineRule="auto"/>
        <w:rPr>
          <w:rFonts w:eastAsia="Times New Roman" w:cs="Tahoma"/>
          <w:lang w:eastAsia="es-MX"/>
        </w:rPr>
      </w:pPr>
    </w:p>
    <w:p w14:paraId="0C6AAC93"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446963" w:rsidRDefault="00066B31" w:rsidP="00844830">
      <w:pPr>
        <w:widowControl w:val="0"/>
        <w:spacing w:after="0" w:line="360" w:lineRule="auto"/>
        <w:rPr>
          <w:rFonts w:eastAsia="Times New Roman" w:cs="Tahoma"/>
          <w:lang w:eastAsia="es-MX"/>
        </w:rPr>
      </w:pPr>
    </w:p>
    <w:p w14:paraId="73F41E19"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446963" w:rsidRDefault="00066B31" w:rsidP="00844830">
      <w:pPr>
        <w:widowControl w:val="0"/>
        <w:spacing w:after="0" w:line="360" w:lineRule="auto"/>
        <w:rPr>
          <w:rFonts w:eastAsia="Times New Roman" w:cs="Tahoma"/>
          <w:lang w:eastAsia="es-MX"/>
        </w:rPr>
      </w:pPr>
    </w:p>
    <w:p w14:paraId="0F14646A"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7777777" w:rsidR="00066B31" w:rsidRPr="00446963" w:rsidRDefault="00066B31" w:rsidP="00844830">
      <w:pPr>
        <w:widowControl w:val="0"/>
        <w:spacing w:after="0" w:line="360" w:lineRule="auto"/>
        <w:rPr>
          <w:rFonts w:eastAsia="Times New Roman" w:cs="Tahoma"/>
          <w:lang w:eastAsia="es-MX"/>
        </w:rPr>
      </w:pPr>
    </w:p>
    <w:p w14:paraId="337DBABD"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Default="00066B31" w:rsidP="00844830">
      <w:pPr>
        <w:widowControl w:val="0"/>
        <w:spacing w:after="0" w:line="360" w:lineRule="auto"/>
        <w:rPr>
          <w:rFonts w:eastAsia="Times New Roman" w:cs="Tahoma"/>
          <w:lang w:eastAsia="es-MX"/>
        </w:rPr>
      </w:pPr>
    </w:p>
    <w:p w14:paraId="184D6CB7"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446963" w:rsidRDefault="00066B31" w:rsidP="00844830">
      <w:pPr>
        <w:widowControl w:val="0"/>
        <w:spacing w:after="0" w:line="360" w:lineRule="auto"/>
        <w:rPr>
          <w:rFonts w:eastAsia="Times New Roman" w:cs="Tahoma"/>
          <w:lang w:eastAsia="es-MX"/>
        </w:rPr>
      </w:pPr>
    </w:p>
    <w:p w14:paraId="3EE497AD"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29BA163" w14:textId="77777777" w:rsidR="00066B31" w:rsidRPr="00446963" w:rsidRDefault="00066B31" w:rsidP="00844830">
      <w:pPr>
        <w:widowControl w:val="0"/>
        <w:spacing w:after="0" w:line="360" w:lineRule="auto"/>
        <w:rPr>
          <w:rFonts w:eastAsia="Times New Roman" w:cs="Tahoma"/>
          <w:lang w:eastAsia="es-MX"/>
        </w:rPr>
      </w:pPr>
    </w:p>
    <w:p w14:paraId="078B2F21" w14:textId="77777777" w:rsidR="00066B31" w:rsidRPr="00446963" w:rsidRDefault="00066B31" w:rsidP="00844830">
      <w:pPr>
        <w:spacing w:after="0" w:line="360" w:lineRule="auto"/>
        <w:rPr>
          <w:rFonts w:eastAsia="Times New Roman" w:cs="Tahoma"/>
          <w:b/>
          <w:lang w:val="es-ES" w:eastAsia="es-ES"/>
        </w:rPr>
      </w:pPr>
      <w:r w:rsidRPr="00446963">
        <w:rPr>
          <w:rFonts w:eastAsia="Times New Roman" w:cs="Tahoma"/>
          <w:b/>
          <w:lang w:val="es-ES" w:eastAsia="es-ES"/>
        </w:rPr>
        <w:t>QUINTO. Estudio de Fondo.</w:t>
      </w:r>
    </w:p>
    <w:p w14:paraId="019BC881" w14:textId="77777777" w:rsidR="00066B31" w:rsidRPr="00446963" w:rsidRDefault="00066B31" w:rsidP="00844830">
      <w:pPr>
        <w:spacing w:after="0" w:line="360" w:lineRule="auto"/>
        <w:rPr>
          <w:rFonts w:eastAsia="Times New Roman" w:cs="Tahoma"/>
          <w:b/>
          <w:lang w:val="es-ES" w:eastAsia="es-ES"/>
        </w:rPr>
      </w:pPr>
    </w:p>
    <w:p w14:paraId="5067A33A"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lastRenderedPageBreak/>
        <w:t>Expuestas las posturas de las partes, se procede al análisis del agravio hecho valer por el ahora Recurrente, concerniente a la falta de respuesta del Ayuntamiento de Metepec a la solicitud de información.</w:t>
      </w:r>
    </w:p>
    <w:p w14:paraId="32EDC1E9" w14:textId="77777777" w:rsidR="00066B31" w:rsidRPr="00446963" w:rsidRDefault="00066B31" w:rsidP="00844830">
      <w:pPr>
        <w:spacing w:after="0" w:line="360" w:lineRule="auto"/>
        <w:rPr>
          <w:rFonts w:cs="Tahoma"/>
        </w:rPr>
      </w:pPr>
    </w:p>
    <w:p w14:paraId="6634E4C7" w14:textId="77777777" w:rsidR="00066B31" w:rsidRPr="00446963" w:rsidRDefault="00066B31" w:rsidP="00844830">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446963" w:rsidRDefault="00066B31" w:rsidP="00844830">
      <w:pPr>
        <w:spacing w:after="0" w:line="360" w:lineRule="auto"/>
        <w:rPr>
          <w:rFonts w:eastAsia="Calibri" w:cs="Tahoma"/>
          <w:bCs/>
        </w:rPr>
      </w:pPr>
    </w:p>
    <w:p w14:paraId="3B70566C"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14:paraId="5FB04BF1" w14:textId="77777777" w:rsidR="00066B31" w:rsidRDefault="00066B31" w:rsidP="00844830">
      <w:pPr>
        <w:spacing w:after="0" w:line="360" w:lineRule="auto"/>
        <w:ind w:left="720"/>
        <w:contextualSpacing/>
        <w:rPr>
          <w:rFonts w:eastAsia="Calibri" w:cs="Tahoma"/>
          <w:bCs/>
        </w:rPr>
      </w:pPr>
    </w:p>
    <w:p w14:paraId="095E4D2C"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14:paraId="01C344B0" w14:textId="77777777" w:rsidR="00066B31" w:rsidRPr="00446963" w:rsidRDefault="00066B31" w:rsidP="00844830">
      <w:pPr>
        <w:spacing w:after="0" w:line="360" w:lineRule="auto"/>
        <w:ind w:left="720"/>
        <w:contextualSpacing/>
        <w:rPr>
          <w:rFonts w:eastAsia="Calibri" w:cs="Tahoma"/>
          <w:bCs/>
        </w:rPr>
      </w:pPr>
    </w:p>
    <w:p w14:paraId="3B2ED427"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14:paraId="0E8DA933" w14:textId="77777777" w:rsidR="00066B31" w:rsidRPr="00446963" w:rsidRDefault="00066B31" w:rsidP="00844830">
      <w:pPr>
        <w:spacing w:after="0" w:line="360" w:lineRule="auto"/>
        <w:rPr>
          <w:rFonts w:eastAsia="Calibri" w:cs="Tahoma"/>
          <w:bCs/>
        </w:rPr>
      </w:pPr>
    </w:p>
    <w:p w14:paraId="6BA0C984" w14:textId="77777777" w:rsidR="00066B31" w:rsidRPr="00446963" w:rsidRDefault="00066B31" w:rsidP="00844830">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77777777" w:rsidR="00066B31" w:rsidRPr="00446963" w:rsidRDefault="00066B31" w:rsidP="00844830">
      <w:pPr>
        <w:spacing w:after="0" w:line="360" w:lineRule="auto"/>
        <w:rPr>
          <w:rFonts w:eastAsia="Calibri" w:cs="Tahoma"/>
          <w:bCs/>
        </w:rPr>
      </w:pPr>
    </w:p>
    <w:p w14:paraId="7B40C379" w14:textId="77777777" w:rsidR="00066B31" w:rsidRPr="00446963" w:rsidRDefault="00066B31" w:rsidP="00844830">
      <w:pPr>
        <w:spacing w:after="0" w:line="360" w:lineRule="auto"/>
        <w:rPr>
          <w:rFonts w:eastAsia="Calibri" w:cs="Tahoma"/>
          <w:bCs/>
        </w:rPr>
      </w:pPr>
      <w:r w:rsidRPr="00446963">
        <w:rPr>
          <w:rFonts w:eastAsia="Calibri" w:cs="Tahoma"/>
          <w:bCs/>
        </w:rPr>
        <w:lastRenderedPageBreak/>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97E659" w14:textId="77777777" w:rsidR="00066B31" w:rsidRPr="00446963" w:rsidRDefault="00066B31" w:rsidP="00844830">
      <w:pPr>
        <w:spacing w:after="0" w:line="360" w:lineRule="auto"/>
        <w:rPr>
          <w:rFonts w:eastAsia="Calibri" w:cs="Tahoma"/>
          <w:bCs/>
        </w:rPr>
      </w:pPr>
    </w:p>
    <w:p w14:paraId="246CEC07" w14:textId="77777777" w:rsidR="00066B31" w:rsidRPr="00446963" w:rsidRDefault="00066B31" w:rsidP="00844830">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1A7A096" w14:textId="77777777" w:rsidR="00066B31" w:rsidRDefault="00066B31" w:rsidP="00844830">
      <w:pPr>
        <w:spacing w:after="0" w:line="360" w:lineRule="auto"/>
        <w:rPr>
          <w:rFonts w:eastAsia="Calibri" w:cs="Tahoma"/>
          <w:bCs/>
        </w:rPr>
      </w:pPr>
    </w:p>
    <w:p w14:paraId="16C85E61" w14:textId="77777777" w:rsidR="00066B31" w:rsidRPr="00446963" w:rsidRDefault="00066B31" w:rsidP="00844830">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FD97872" w14:textId="77777777" w:rsidR="00066B31" w:rsidRPr="00446963" w:rsidRDefault="00066B31" w:rsidP="00844830">
      <w:pPr>
        <w:spacing w:after="0" w:line="360" w:lineRule="auto"/>
        <w:ind w:left="720"/>
        <w:contextualSpacing/>
        <w:rPr>
          <w:rFonts w:eastAsia="Calibri" w:cs="Tahoma"/>
          <w:bCs/>
        </w:rPr>
      </w:pPr>
    </w:p>
    <w:p w14:paraId="74EE7E25" w14:textId="77777777" w:rsidR="00066B31" w:rsidRPr="00446963" w:rsidRDefault="00066B31" w:rsidP="00844830">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14:paraId="7C6A59FF" w14:textId="77777777" w:rsidR="00066B31" w:rsidRPr="00446963" w:rsidRDefault="00066B31" w:rsidP="00844830">
      <w:pPr>
        <w:spacing w:after="0" w:line="360" w:lineRule="auto"/>
        <w:ind w:left="720"/>
        <w:contextualSpacing/>
        <w:rPr>
          <w:rFonts w:eastAsia="Calibri" w:cs="Tahoma"/>
          <w:bCs/>
        </w:rPr>
      </w:pPr>
    </w:p>
    <w:p w14:paraId="170B7A4F"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446963">
        <w:rPr>
          <w:rFonts w:eastAsia="Calibri" w:cs="Tahoma"/>
          <w:bCs/>
        </w:rPr>
        <w:lastRenderedPageBreak/>
        <w:t xml:space="preserve">expresiones documentales </w:t>
      </w:r>
      <w:r w:rsidRPr="00446963">
        <w:rPr>
          <w:rFonts w:eastAsia="Calibri" w:cs="Tahoma"/>
          <w:b/>
          <w:bCs/>
        </w:rPr>
        <w:t>que se encuentren en sus archivos o que estén constreñidos a elaborar;</w:t>
      </w:r>
    </w:p>
    <w:p w14:paraId="2E5FE71E" w14:textId="77777777" w:rsidR="00066B31" w:rsidRPr="00446963" w:rsidRDefault="00066B31" w:rsidP="00844830">
      <w:pPr>
        <w:spacing w:after="0" w:line="360" w:lineRule="auto"/>
        <w:ind w:left="720"/>
        <w:contextualSpacing/>
        <w:rPr>
          <w:rFonts w:eastAsia="Calibri" w:cs="Tahoma"/>
          <w:b/>
          <w:bCs/>
        </w:rPr>
      </w:pPr>
    </w:p>
    <w:p w14:paraId="30322924"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446963" w:rsidRDefault="00066B31" w:rsidP="00844830">
      <w:pPr>
        <w:spacing w:after="0" w:line="360" w:lineRule="auto"/>
        <w:ind w:left="720"/>
        <w:contextualSpacing/>
        <w:rPr>
          <w:rFonts w:eastAsia="Calibri" w:cs="Tahoma"/>
          <w:b/>
          <w:bCs/>
        </w:rPr>
      </w:pPr>
    </w:p>
    <w:p w14:paraId="18AC6E16"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E13748" w14:textId="77777777" w:rsidR="006710D3" w:rsidRDefault="006710D3" w:rsidP="00844830">
      <w:pPr>
        <w:spacing w:after="0" w:line="360" w:lineRule="auto"/>
        <w:rPr>
          <w:rFonts w:cs="Tahoma"/>
        </w:rPr>
      </w:pPr>
    </w:p>
    <w:p w14:paraId="0FB3FF02" w14:textId="72167DB3" w:rsidR="00066B31" w:rsidRPr="00446963" w:rsidRDefault="00066B31" w:rsidP="00844830">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el Ayuntamiento de Metepec</w:t>
      </w:r>
      <w:r w:rsidRPr="00446963">
        <w:rPr>
          <w:rFonts w:cs="Tahoma"/>
        </w:rPr>
        <w:t xml:space="preserve">, no había registrado respuesta al requerimiento de acceso a la información, el cual se tuvo por presentado, </w:t>
      </w:r>
      <w:r w:rsidRPr="00446963">
        <w:rPr>
          <w:rFonts w:cs="Tahoma"/>
          <w:b/>
        </w:rPr>
        <w:t xml:space="preserve">el </w:t>
      </w:r>
      <w:r w:rsidR="00085698">
        <w:rPr>
          <w:rFonts w:cs="Tahoma"/>
          <w:b/>
        </w:rPr>
        <w:t>once</w:t>
      </w:r>
      <w:r>
        <w:rPr>
          <w:rFonts w:cs="Tahoma"/>
          <w:b/>
        </w:rPr>
        <w:t xml:space="preserve"> de enero de dos mil veintidós</w:t>
      </w:r>
      <w:r w:rsidRPr="00446963">
        <w:rPr>
          <w:rFonts w:cs="Tahoma"/>
          <w:b/>
        </w:rPr>
        <w:t>.</w:t>
      </w:r>
    </w:p>
    <w:p w14:paraId="074AAF32" w14:textId="77777777" w:rsidR="00066B31" w:rsidRPr="00446963" w:rsidRDefault="00066B31" w:rsidP="00844830">
      <w:pPr>
        <w:spacing w:after="0" w:line="360" w:lineRule="auto"/>
        <w:rPr>
          <w:rFonts w:cs="Tahoma"/>
        </w:rPr>
      </w:pPr>
    </w:p>
    <w:p w14:paraId="572FBEDF" w14:textId="3FA0258A" w:rsidR="00066B31" w:rsidRPr="00446963" w:rsidRDefault="00066B31" w:rsidP="00844830">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085698">
        <w:rPr>
          <w:rFonts w:eastAsia="Calibri" w:cs="Tahoma"/>
        </w:rPr>
        <w:t>do</w:t>
      </w:r>
      <w:r>
        <w:rPr>
          <w:rFonts w:eastAsia="Calibri" w:cs="Tahoma"/>
        </w:rPr>
        <w:t>ce</w:t>
      </w:r>
      <w:r w:rsidR="00085698">
        <w:rPr>
          <w:rFonts w:eastAsia="Calibri" w:cs="Tahoma"/>
        </w:rPr>
        <w:t xml:space="preserve"> de enero y feneció el </w:t>
      </w:r>
      <w:r w:rsidR="00407871">
        <w:rPr>
          <w:rFonts w:eastAsia="Calibri" w:cs="Tahoma"/>
        </w:rPr>
        <w:t>once</w:t>
      </w:r>
      <w:r w:rsidR="00085698">
        <w:rPr>
          <w:rFonts w:eastAsia="Calibri" w:cs="Tahoma"/>
        </w:rPr>
        <w:t xml:space="preserve"> de febrero</w:t>
      </w:r>
      <w:r>
        <w:rPr>
          <w:rFonts w:eastAsia="Calibri" w:cs="Tahoma"/>
        </w:rPr>
        <w:t>,</w:t>
      </w:r>
      <w:r w:rsidRPr="00446963">
        <w:rPr>
          <w:rFonts w:eastAsia="Calibri" w:cs="Tahoma"/>
        </w:rPr>
        <w:t xml:space="preserve"> de la presente anualidad,</w:t>
      </w:r>
      <w:r w:rsidR="00407871">
        <w:rPr>
          <w:rFonts w:eastAsia="Calibri" w:cs="Tahoma"/>
        </w:rPr>
        <w:t xml:space="preserve"> considerando la ampliación de término de siete días que aprobó </w:t>
      </w:r>
      <w:r w:rsidR="006710D3">
        <w:rPr>
          <w:rFonts w:eastAsia="Calibri" w:cs="Tahoma"/>
        </w:rPr>
        <w:t>el</w:t>
      </w:r>
      <w:r w:rsidR="00407871">
        <w:rPr>
          <w:rFonts w:eastAsia="Calibri" w:cs="Tahoma"/>
        </w:rPr>
        <w:t xml:space="preserve"> Comité de Transparencia de</w:t>
      </w:r>
      <w:r w:rsidR="006710D3">
        <w:rPr>
          <w:rFonts w:eastAsia="Calibri" w:cs="Tahoma"/>
        </w:rPr>
        <w:t xml:space="preserve">l Ayuntamiento de Metepec adicionales para contestar la solicitud de información, </w:t>
      </w:r>
      <w:r w:rsidRPr="00446963">
        <w:rPr>
          <w:rFonts w:eastAsia="Calibri" w:cs="Tahoma"/>
        </w:rPr>
        <w:t xml:space="preserve">lo anterior, sin contar los </w:t>
      </w:r>
      <w:r>
        <w:rPr>
          <w:rFonts w:eastAsia="Calibri" w:cs="Tahoma"/>
        </w:rPr>
        <w:t>días, quince, dieciséis, veintidós, veintitrés, veintinueve</w:t>
      </w:r>
      <w:r w:rsidR="001B6ECC">
        <w:rPr>
          <w:rFonts w:eastAsia="Calibri" w:cs="Tahoma"/>
        </w:rPr>
        <w:t xml:space="preserve"> y </w:t>
      </w:r>
      <w:r>
        <w:rPr>
          <w:rFonts w:eastAsia="Calibri" w:cs="Tahoma"/>
        </w:rPr>
        <w:t>treinta de enero</w:t>
      </w:r>
      <w:r w:rsidR="001B6ECC">
        <w:rPr>
          <w:rFonts w:eastAsia="Calibri" w:cs="Tahoma"/>
        </w:rPr>
        <w:t>, así como,</w:t>
      </w:r>
      <w:r w:rsidR="006710D3">
        <w:rPr>
          <w:rFonts w:eastAsia="Calibri" w:cs="Tahoma"/>
        </w:rPr>
        <w:t xml:space="preserve"> </w:t>
      </w:r>
      <w:r w:rsidR="001B6ECC">
        <w:rPr>
          <w:rFonts w:eastAsia="Calibri" w:cs="Tahoma"/>
        </w:rPr>
        <w:t>del cinco al siete</w:t>
      </w:r>
      <w:r w:rsidR="006710D3">
        <w:rPr>
          <w:rFonts w:eastAsia="Calibri" w:cs="Tahoma"/>
        </w:rPr>
        <w:t xml:space="preserve"> de febrero</w:t>
      </w:r>
      <w:r w:rsidR="001B6ECC">
        <w:rPr>
          <w:rFonts w:eastAsia="Calibri" w:cs="Tahoma"/>
        </w:rPr>
        <w:t>, todos</w:t>
      </w:r>
      <w:r w:rsidR="006710D3">
        <w:rPr>
          <w:rFonts w:eastAsia="Calibri" w:cs="Tahoma"/>
        </w:rPr>
        <w:t xml:space="preserve"> </w:t>
      </w:r>
      <w:r>
        <w:rPr>
          <w:rFonts w:eastAsia="Calibri" w:cs="Tahoma"/>
        </w:rPr>
        <w:t>del dos mil veintidós</w:t>
      </w:r>
      <w:r w:rsidRPr="00446963">
        <w:rPr>
          <w:rFonts w:eastAsia="Calibri" w:cs="Tahoma"/>
        </w:rPr>
        <w:t xml:space="preserve">, al ser inhábiles, </w:t>
      </w:r>
      <w:r w:rsidRPr="00446963">
        <w:rPr>
          <w:rFonts w:eastAsia="Batang" w:cs="Tahoma"/>
          <w:bCs/>
        </w:rPr>
        <w:t xml:space="preserve">de conformidad con los artículos 3°, fracción X, de la Ley de </w:t>
      </w:r>
      <w:r w:rsidRPr="00446963">
        <w:rPr>
          <w:rFonts w:eastAsia="Batang" w:cs="Tahoma"/>
          <w:bCs/>
        </w:rPr>
        <w:lastRenderedPageBreak/>
        <w:t>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14:paraId="5DBA4335" w14:textId="77777777" w:rsidR="00066B31" w:rsidRDefault="00066B31" w:rsidP="00844830">
      <w:pPr>
        <w:spacing w:after="0" w:line="360" w:lineRule="auto"/>
        <w:rPr>
          <w:rFonts w:eastAsia="Calibri" w:cs="Tahoma"/>
        </w:rPr>
      </w:pPr>
    </w:p>
    <w:p w14:paraId="4DB12C0F" w14:textId="77777777" w:rsidR="00066B31" w:rsidRPr="00446963" w:rsidRDefault="00066B31" w:rsidP="00844830">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Sistema de Acceso a la Información Mexiquense (SAIMEX), sistema utilizado para presentar los requerimientos informativos, tal como se observa a continuación:</w:t>
      </w:r>
    </w:p>
    <w:p w14:paraId="20F41331" w14:textId="77777777" w:rsidR="00066B31" w:rsidRPr="00446963" w:rsidRDefault="00066B31" w:rsidP="00844830">
      <w:pPr>
        <w:spacing w:after="0" w:line="360" w:lineRule="auto"/>
        <w:rPr>
          <w:rFonts w:eastAsia="Calibri" w:cs="Tahoma"/>
          <w:bCs/>
        </w:rPr>
      </w:pPr>
    </w:p>
    <w:p w14:paraId="4E910D2D" w14:textId="7FF76216" w:rsidR="00066B31" w:rsidRPr="00446963" w:rsidRDefault="00E17462" w:rsidP="00844830">
      <w:pPr>
        <w:spacing w:after="0" w:line="360" w:lineRule="auto"/>
        <w:jc w:val="center"/>
        <w:rPr>
          <w:rFonts w:cs="Tahoma"/>
        </w:rPr>
      </w:pPr>
      <w:r>
        <w:rPr>
          <w:noProof/>
        </w:rPr>
        <w:drawing>
          <wp:inline distT="0" distB="0" distL="0" distR="0" wp14:anchorId="507AEF69" wp14:editId="1F29378E">
            <wp:extent cx="3438525" cy="29969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801" t="14832" r="61237" b="35622"/>
                    <a:stretch/>
                  </pic:blipFill>
                  <pic:spPr bwMode="auto">
                    <a:xfrm>
                      <a:off x="0" y="0"/>
                      <a:ext cx="3474173" cy="3028021"/>
                    </a:xfrm>
                    <a:prstGeom prst="rect">
                      <a:avLst/>
                    </a:prstGeom>
                    <a:ln>
                      <a:noFill/>
                    </a:ln>
                    <a:extLst>
                      <a:ext uri="{53640926-AAD7-44D8-BBD7-CCE9431645EC}">
                        <a14:shadowObscured xmlns:a14="http://schemas.microsoft.com/office/drawing/2010/main"/>
                      </a:ext>
                    </a:extLst>
                  </pic:spPr>
                </pic:pic>
              </a:graphicData>
            </a:graphic>
          </wp:inline>
        </w:drawing>
      </w:r>
    </w:p>
    <w:p w14:paraId="2DB3510A" w14:textId="77777777" w:rsidR="00066B31" w:rsidRPr="00446963" w:rsidRDefault="00066B31" w:rsidP="00844830">
      <w:pPr>
        <w:spacing w:after="0" w:line="360" w:lineRule="auto"/>
        <w:jc w:val="center"/>
        <w:rPr>
          <w:rFonts w:cs="Tahoma"/>
        </w:rPr>
      </w:pPr>
    </w:p>
    <w:p w14:paraId="5338B05E" w14:textId="090E940B" w:rsidR="00066B31" w:rsidRPr="00446963" w:rsidRDefault="001B6ECC" w:rsidP="00844830">
      <w:pPr>
        <w:spacing w:after="0" w:line="360" w:lineRule="auto"/>
        <w:rPr>
          <w:rFonts w:eastAsia="Calibri" w:cs="Tahoma"/>
          <w:bCs/>
        </w:rPr>
      </w:pPr>
      <w:r>
        <w:rPr>
          <w:rFonts w:eastAsia="Calibri" w:cs="Tahoma"/>
          <w:bCs/>
        </w:rPr>
        <w:t>Así</w:t>
      </w:r>
      <w:r w:rsidR="00066B31" w:rsidRPr="00446963">
        <w:rPr>
          <w:rFonts w:eastAsia="Calibri" w:cs="Tahoma"/>
          <w:bCs/>
        </w:rPr>
        <w:t xml:space="preserve">, se colige que, tal como lo precisó el Particular, </w:t>
      </w:r>
      <w:r w:rsidR="00066B31" w:rsidRPr="00446963">
        <w:rPr>
          <w:rFonts w:eastAsia="Calibri" w:cs="Tahoma"/>
          <w:b/>
          <w:bCs/>
        </w:rPr>
        <w:t xml:space="preserve">el </w:t>
      </w:r>
      <w:r w:rsidR="00066B31" w:rsidRPr="00446963">
        <w:rPr>
          <w:rFonts w:cs="Tahoma"/>
          <w:b/>
        </w:rPr>
        <w:t>Ayuntamiento de Metepec</w:t>
      </w:r>
      <w:r w:rsidR="00066B31" w:rsidRPr="00446963">
        <w:rPr>
          <w:rFonts w:eastAsia="Calibri" w:cs="Tahoma"/>
          <w:bCs/>
        </w:rPr>
        <w:t xml:space="preserve">, no emitió respuesta para dar contestación a la solicitud de información, dentro de los plazos establecidos en el artículo 163, de la Ley de la materia, pues </w:t>
      </w:r>
      <w:r w:rsidR="00066B31" w:rsidRPr="00446963">
        <w:rPr>
          <w:rFonts w:eastAsia="Calibri" w:cs="Tahoma"/>
          <w:b/>
          <w:bCs/>
        </w:rPr>
        <w:t xml:space="preserve">tenía hasta el </w:t>
      </w:r>
      <w:r w:rsidR="006710D3">
        <w:rPr>
          <w:rFonts w:eastAsia="Calibri" w:cs="Tahoma"/>
          <w:b/>
          <w:bCs/>
        </w:rPr>
        <w:t>once</w:t>
      </w:r>
      <w:r w:rsidR="00E17462">
        <w:rPr>
          <w:rFonts w:eastAsia="Calibri" w:cs="Tahoma"/>
          <w:b/>
          <w:bCs/>
        </w:rPr>
        <w:t xml:space="preserve"> de </w:t>
      </w:r>
      <w:r w:rsidR="006710D3">
        <w:rPr>
          <w:rFonts w:eastAsia="Calibri" w:cs="Tahoma"/>
          <w:b/>
          <w:bCs/>
        </w:rPr>
        <w:t xml:space="preserve">febrero de </w:t>
      </w:r>
      <w:r w:rsidR="00066B31" w:rsidRPr="00446963">
        <w:rPr>
          <w:rFonts w:eastAsia="Calibri" w:cs="Tahoma"/>
          <w:b/>
          <w:bCs/>
        </w:rPr>
        <w:t>dos mil veintidós</w:t>
      </w:r>
      <w:r w:rsidR="00066B31" w:rsidRPr="00446963">
        <w:rPr>
          <w:rFonts w:eastAsia="Calibri" w:cs="Tahoma"/>
          <w:bCs/>
        </w:rPr>
        <w:t xml:space="preserve">, para realizar dicha situación, inclusive a la presente fecha, dicho ente no ha emitido </w:t>
      </w:r>
      <w:r w:rsidR="00066B31" w:rsidRPr="00446963">
        <w:rPr>
          <w:rFonts w:eastAsia="Calibri" w:cs="Tahoma"/>
          <w:bCs/>
        </w:rPr>
        <w:lastRenderedPageBreak/>
        <w:t xml:space="preserve">contestación alguna; por lo que, resulta evidente que </w:t>
      </w:r>
      <w:r w:rsidR="00066B31" w:rsidRPr="00446963">
        <w:rPr>
          <w:rFonts w:eastAsia="Calibri" w:cs="Tahoma"/>
          <w:b/>
          <w:bCs/>
        </w:rPr>
        <w:t>el agravio hecho valer por el Recurrente resulta FUNDADO.</w:t>
      </w:r>
    </w:p>
    <w:p w14:paraId="46223826" w14:textId="77777777" w:rsidR="00066B31" w:rsidRPr="00446963" w:rsidRDefault="00066B31" w:rsidP="00844830">
      <w:pPr>
        <w:spacing w:after="0" w:line="360" w:lineRule="auto"/>
        <w:rPr>
          <w:rFonts w:eastAsia="Calibri" w:cs="Tahoma"/>
          <w:bCs/>
        </w:rPr>
      </w:pPr>
    </w:p>
    <w:p w14:paraId="29D0D8B5" w14:textId="528E558F" w:rsidR="00066B31" w:rsidRDefault="00066B31" w:rsidP="00844830">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referente a las listas de asistencia.</w:t>
      </w:r>
    </w:p>
    <w:p w14:paraId="4C16557F" w14:textId="77777777" w:rsidR="00066B31" w:rsidRDefault="00066B31" w:rsidP="00844830">
      <w:pPr>
        <w:spacing w:after="0" w:line="360" w:lineRule="auto"/>
        <w:rPr>
          <w:rFonts w:eastAsia="Calibri" w:cs="Tahoma"/>
          <w:bCs/>
        </w:rPr>
      </w:pPr>
    </w:p>
    <w:p w14:paraId="24C787BB" w14:textId="37692C93" w:rsidR="001B6ECC" w:rsidRDefault="001B6ECC" w:rsidP="00844830">
      <w:pPr>
        <w:spacing w:after="0" w:line="360" w:lineRule="auto"/>
        <w:rPr>
          <w:rFonts w:eastAsia="Calibri" w:cs="Tahoma"/>
          <w:bCs/>
        </w:rPr>
      </w:pPr>
      <w:r>
        <w:rPr>
          <w:rFonts w:eastAsia="Calibri" w:cs="Tahoma"/>
          <w:bCs/>
        </w:rPr>
        <w:t xml:space="preserve">Sobre el tema, la Guía Técnica 9 “La Administración del Personal Municipal” (consultado el siete de abril de dos mil veintidós, a las doce horas, en </w:t>
      </w:r>
      <w:hyperlink r:id="rId8" w:history="1">
        <w:r>
          <w:rPr>
            <w:rStyle w:val="Hipervnculo"/>
            <w:rFonts w:eastAsia="Calibri" w:cs="Tahoma"/>
            <w:bCs/>
          </w:rPr>
          <w:t>http://www.inafed.gob.mx/work/models/inafed/Resource/335/1/images/guia09_la_administracion_del_personal_municipal.pdf</w:t>
        </w:r>
      </w:hyperlink>
      <w:r>
        <w:rPr>
          <w:rFonts w:eastAsia="Calibri" w:cs="Tahoma"/>
          <w:bCs/>
        </w:rPr>
        <w:t>), establece que para tener un buen control de personal, la unidad responsable (Departamento de Recursos Humanos), deberá llevar un control de asistencias, ya sea a través de un reloj marcado o mediante listas, conforme al personal que se trate, ya sea de oficina o de servicios generales.</w:t>
      </w:r>
    </w:p>
    <w:p w14:paraId="58DFD2AD" w14:textId="77777777" w:rsidR="001B6ECC" w:rsidRPr="001B6ECC" w:rsidRDefault="001B6ECC" w:rsidP="00844830">
      <w:pPr>
        <w:spacing w:after="0" w:line="360" w:lineRule="auto"/>
        <w:rPr>
          <w:rFonts w:eastAsia="Calibri" w:cs="Tahoma"/>
          <w:bCs/>
        </w:rPr>
      </w:pPr>
    </w:p>
    <w:p w14:paraId="6FA9A894" w14:textId="36962B28" w:rsidR="00576074" w:rsidRDefault="008D5408" w:rsidP="00844830">
      <w:pPr>
        <w:tabs>
          <w:tab w:val="left" w:pos="4962"/>
        </w:tabs>
        <w:spacing w:after="0" w:line="360" w:lineRule="auto"/>
        <w:rPr>
          <w:rFonts w:eastAsia="Calibri"/>
        </w:rPr>
      </w:pPr>
      <w:r>
        <w:rPr>
          <w:rFonts w:eastAsia="Calibri" w:cs="Times New Roman"/>
        </w:rPr>
        <w:t>En ese orden de ideas, los artículos 5.52 y 5.54 del Código de Reglamentación Municipal de Metepec, precisan los horarios que regirán al Ayuntamiento y unidades administrativas; para cumplir estos, los servidores públicos deberán llevar un control de asistencia, que</w:t>
      </w:r>
      <w:r w:rsidRPr="008D5408">
        <w:rPr>
          <w:rFonts w:eastAsia="Calibri"/>
        </w:rPr>
        <w:t xml:space="preserve"> </w:t>
      </w:r>
      <w:r>
        <w:rPr>
          <w:rFonts w:eastAsia="Calibri"/>
        </w:rPr>
        <w:t xml:space="preserve">se llevará a cabo </w:t>
      </w:r>
      <w:r w:rsidRPr="008D5408">
        <w:rPr>
          <w:rFonts w:eastAsia="Calibri"/>
        </w:rPr>
        <w:t>mediante lectores ópticos, tarjetas, listas de asistencia</w:t>
      </w:r>
      <w:r>
        <w:rPr>
          <w:rFonts w:eastAsia="Calibri"/>
        </w:rPr>
        <w:t>, entre otros.</w:t>
      </w:r>
    </w:p>
    <w:p w14:paraId="3A026BFB" w14:textId="77777777" w:rsidR="008D5408" w:rsidRPr="008D5408" w:rsidRDefault="008D5408" w:rsidP="00844830">
      <w:pPr>
        <w:tabs>
          <w:tab w:val="left" w:pos="4962"/>
        </w:tabs>
        <w:spacing w:after="0" w:line="360" w:lineRule="auto"/>
        <w:rPr>
          <w:rFonts w:eastAsia="Calibri"/>
        </w:rPr>
      </w:pPr>
    </w:p>
    <w:p w14:paraId="7157E5B4" w14:textId="648DFEFB" w:rsidR="00576074" w:rsidRDefault="00844830" w:rsidP="00844830">
      <w:pPr>
        <w:tabs>
          <w:tab w:val="left" w:pos="4962"/>
        </w:tabs>
        <w:spacing w:after="0" w:line="360" w:lineRule="auto"/>
        <w:rPr>
          <w:rFonts w:eastAsia="Calibri" w:cs="Times New Roman"/>
        </w:rPr>
      </w:pPr>
      <w:r>
        <w:rPr>
          <w:rFonts w:eastAsia="Calibri" w:cs="Times New Roman"/>
        </w:rPr>
        <w:t>En ese contexto,</w:t>
      </w:r>
      <w:r w:rsidR="00880564">
        <w:rPr>
          <w:rFonts w:eastAsia="Calibri" w:cs="Times New Roman"/>
        </w:rPr>
        <w:t xml:space="preserve"> l</w:t>
      </w:r>
      <w:r w:rsidR="002128C8">
        <w:rPr>
          <w:rFonts w:eastAsia="Calibri" w:cs="Times New Roman"/>
        </w:rPr>
        <w:t>os</w:t>
      </w:r>
      <w:r w:rsidR="00880564">
        <w:rPr>
          <w:rFonts w:eastAsia="Calibri" w:cs="Times New Roman"/>
        </w:rPr>
        <w:t xml:space="preserve"> artículo</w:t>
      </w:r>
      <w:r w:rsidR="002128C8">
        <w:rPr>
          <w:rFonts w:eastAsia="Calibri" w:cs="Times New Roman"/>
        </w:rPr>
        <w:t>s</w:t>
      </w:r>
      <w:r w:rsidR="00880564">
        <w:rPr>
          <w:rFonts w:eastAsia="Calibri" w:cs="Times New Roman"/>
        </w:rPr>
        <w:t xml:space="preserve"> 3.8</w:t>
      </w:r>
      <w:r w:rsidR="0048610B">
        <w:rPr>
          <w:rFonts w:eastAsia="Calibri" w:cs="Times New Roman"/>
        </w:rPr>
        <w:t>1</w:t>
      </w:r>
      <w:r>
        <w:rPr>
          <w:rFonts w:eastAsia="Calibri" w:cs="Times New Roman"/>
        </w:rPr>
        <w:t>,</w:t>
      </w:r>
      <w:r w:rsidR="00F54281">
        <w:rPr>
          <w:rFonts w:eastAsia="Calibri" w:cs="Times New Roman"/>
        </w:rPr>
        <w:t xml:space="preserve"> fracción I</w:t>
      </w:r>
      <w:r>
        <w:rPr>
          <w:rFonts w:eastAsia="Calibri" w:cs="Times New Roman"/>
        </w:rPr>
        <w:t>,</w:t>
      </w:r>
      <w:r w:rsidR="002128C8">
        <w:rPr>
          <w:rFonts w:eastAsia="Calibri" w:cs="Times New Roman"/>
        </w:rPr>
        <w:t xml:space="preserve"> y 3.82</w:t>
      </w:r>
      <w:r>
        <w:rPr>
          <w:rFonts w:eastAsia="Calibri" w:cs="Times New Roman"/>
        </w:rPr>
        <w:t>,</w:t>
      </w:r>
      <w:r w:rsidR="002128C8">
        <w:rPr>
          <w:rFonts w:eastAsia="Calibri" w:cs="Times New Roman"/>
        </w:rPr>
        <w:t xml:space="preserve"> fracción III</w:t>
      </w:r>
      <w:r>
        <w:rPr>
          <w:rFonts w:eastAsia="Calibri" w:cs="Times New Roman"/>
        </w:rPr>
        <w:t>,</w:t>
      </w:r>
      <w:r w:rsidR="00676D85">
        <w:rPr>
          <w:rFonts w:eastAsia="Calibri" w:cs="Times New Roman"/>
        </w:rPr>
        <w:t xml:space="preserve"> del Código de Reglamentación Municipal de Metepec</w:t>
      </w:r>
      <w:r w:rsidR="00446BCA">
        <w:rPr>
          <w:rFonts w:eastAsia="Calibri" w:cs="Times New Roman"/>
        </w:rPr>
        <w:t xml:space="preserve"> </w:t>
      </w:r>
      <w:r>
        <w:rPr>
          <w:rFonts w:eastAsia="Calibri" w:cs="Times New Roman"/>
        </w:rPr>
        <w:t>precisa que la Subdirección de Recursos Humanos, adscrita a la Dirección de Administración, será el área encargada de controlar y registrar la asistencia de los servidores públicos del Ayuntamiento.</w:t>
      </w:r>
    </w:p>
    <w:p w14:paraId="220FBBD9" w14:textId="50A6461A" w:rsidR="006A635A" w:rsidRDefault="006A635A" w:rsidP="00844830">
      <w:pPr>
        <w:tabs>
          <w:tab w:val="left" w:pos="4962"/>
        </w:tabs>
        <w:spacing w:after="0" w:line="360" w:lineRule="auto"/>
        <w:rPr>
          <w:rFonts w:eastAsia="Calibri" w:cs="Times New Roman"/>
        </w:rPr>
      </w:pPr>
    </w:p>
    <w:p w14:paraId="45310837" w14:textId="08B1A155" w:rsidR="00066B31" w:rsidRPr="00446963" w:rsidRDefault="00066B31" w:rsidP="00844830">
      <w:pPr>
        <w:tabs>
          <w:tab w:val="left" w:pos="4962"/>
        </w:tabs>
        <w:spacing w:after="0" w:line="360" w:lineRule="auto"/>
        <w:rPr>
          <w:rFonts w:eastAsia="Times New Roman" w:cs="Tahoma"/>
          <w:bCs/>
          <w:lang w:val="es-ES_tradnl" w:eastAsia="es-ES"/>
        </w:rPr>
      </w:pPr>
      <w:r w:rsidRPr="00446963">
        <w:rPr>
          <w:rFonts w:cs="Tahoma"/>
        </w:rPr>
        <w:lastRenderedPageBreak/>
        <w:t xml:space="preserve">Conforme a lo anterior, se logra vislumbrar que </w:t>
      </w:r>
      <w:bookmarkStart w:id="0" w:name="_Hlk76480431"/>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Pr>
          <w:rFonts w:eastAsia="Times New Roman" w:cs="Tahoma"/>
          <w:b/>
          <w:bCs/>
          <w:lang w:val="es-ES_tradnl" w:eastAsia="es-ES"/>
        </w:rPr>
        <w:t xml:space="preserve">, </w:t>
      </w:r>
      <w:r w:rsidR="00844830">
        <w:rPr>
          <w:rFonts w:eastAsia="Times New Roman" w:cs="Tahoma"/>
          <w:bCs/>
          <w:lang w:val="es-ES_tradnl" w:eastAsia="es-ES"/>
        </w:rPr>
        <w:t>pues cuenta con la Subdirección de Recursos Humanos, que ve todas las cuestiones relacionadas con el control de asistencia del personal que labora para el Ayuntamiento, por lo que</w:t>
      </w:r>
      <w:r w:rsidRPr="00446963">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14:paraId="0514FC14" w14:textId="77777777" w:rsidR="00066B31" w:rsidRPr="00446963" w:rsidRDefault="00066B31" w:rsidP="00844830">
      <w:pPr>
        <w:tabs>
          <w:tab w:val="left" w:pos="4962"/>
        </w:tabs>
        <w:spacing w:after="0" w:line="360" w:lineRule="auto"/>
        <w:rPr>
          <w:rFonts w:eastAsia="Times New Roman" w:cs="Times New Roman"/>
          <w:lang w:val="es-ES_tradnl" w:eastAsia="es-MX"/>
        </w:rPr>
      </w:pPr>
    </w:p>
    <w:p w14:paraId="1117336E" w14:textId="77777777" w:rsidR="00066B31" w:rsidRPr="00446963" w:rsidRDefault="00066B31" w:rsidP="00844830">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21CC439" w14:textId="77777777" w:rsidR="00066B31" w:rsidRPr="00446963" w:rsidRDefault="00066B31" w:rsidP="00844830">
      <w:pPr>
        <w:spacing w:after="0" w:line="360" w:lineRule="auto"/>
        <w:rPr>
          <w:rFonts w:eastAsia="Times New Roman" w:cs="Tahoma"/>
          <w:bCs/>
          <w:iCs/>
          <w:lang w:val="es-ES" w:eastAsia="es-ES"/>
        </w:rPr>
      </w:pPr>
    </w:p>
    <w:p w14:paraId="64A0A090" w14:textId="77777777" w:rsidR="00066B31" w:rsidRPr="00446963" w:rsidRDefault="00066B31" w:rsidP="00844830">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14:paraId="013C96B3" w14:textId="77777777" w:rsidR="00066B31" w:rsidRDefault="00066B31" w:rsidP="00844830">
      <w:pPr>
        <w:spacing w:after="0" w:line="360" w:lineRule="auto"/>
        <w:rPr>
          <w:rFonts w:eastAsia="Calibri" w:cs="Tahoma"/>
          <w:bCs/>
        </w:rPr>
      </w:pPr>
    </w:p>
    <w:p w14:paraId="0C6DF11A" w14:textId="77777777" w:rsidR="00066B31" w:rsidRPr="00446963" w:rsidRDefault="00066B31" w:rsidP="00844830">
      <w:pPr>
        <w:spacing w:after="0" w:line="360" w:lineRule="auto"/>
        <w:rPr>
          <w:rFonts w:eastAsia="Times New Roman" w:cs="Tahoma"/>
          <w:b/>
          <w:lang w:eastAsia="es-ES"/>
        </w:rPr>
      </w:pPr>
      <w:r w:rsidRPr="00446963">
        <w:rPr>
          <w:rFonts w:eastAsia="Times New Roman" w:cs="Tahoma"/>
          <w:b/>
          <w:lang w:eastAsia="es-ES"/>
        </w:rPr>
        <w:t xml:space="preserve">SEXTO. Decisión. </w:t>
      </w:r>
    </w:p>
    <w:p w14:paraId="70C71C07" w14:textId="77777777" w:rsidR="00066B31" w:rsidRPr="00446963" w:rsidRDefault="00066B31" w:rsidP="00844830">
      <w:pPr>
        <w:spacing w:after="0" w:line="360" w:lineRule="auto"/>
        <w:rPr>
          <w:rFonts w:eastAsia="Times New Roman" w:cs="Tahoma"/>
          <w:lang w:eastAsia="es-ES"/>
        </w:rPr>
      </w:pPr>
    </w:p>
    <w:p w14:paraId="218B3CFB" w14:textId="3C7D6744" w:rsidR="00066B31" w:rsidRPr="00446963" w:rsidRDefault="00066B31" w:rsidP="00844830">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lastRenderedPageBreak/>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Pr="00446963">
        <w:rPr>
          <w:rFonts w:cs="Arial"/>
        </w:rPr>
        <w:t>00</w:t>
      </w:r>
      <w:r w:rsidR="00ED7E78">
        <w:rPr>
          <w:rFonts w:cs="Arial"/>
        </w:rPr>
        <w:t>738</w:t>
      </w:r>
      <w:r>
        <w:rPr>
          <w:rFonts w:cs="Arial"/>
        </w:rPr>
        <w:t>/METEPEC/IP/2022</w:t>
      </w:r>
      <w:r w:rsidRPr="00446963">
        <w:rPr>
          <w:rFonts w:eastAsia="Times New Roman" w:cs="Tahoma"/>
          <w:lang w:eastAsia="es-ES"/>
        </w:rPr>
        <w:t>.</w:t>
      </w:r>
    </w:p>
    <w:p w14:paraId="75AF31C9" w14:textId="77777777" w:rsidR="00066B31" w:rsidRPr="00446963" w:rsidRDefault="00066B31" w:rsidP="00844830">
      <w:pPr>
        <w:spacing w:after="0" w:line="360" w:lineRule="auto"/>
        <w:rPr>
          <w:rFonts w:eastAsia="Times New Roman" w:cs="Tahoma"/>
          <w:lang w:eastAsia="es-ES"/>
        </w:rPr>
      </w:pPr>
    </w:p>
    <w:p w14:paraId="5D15EC98" w14:textId="77777777" w:rsidR="00066B31" w:rsidRPr="00446963" w:rsidRDefault="00066B31" w:rsidP="00844830">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14:paraId="2D2277BC" w14:textId="77777777" w:rsidR="00066B31" w:rsidRPr="00446963" w:rsidRDefault="00066B31" w:rsidP="00844830">
      <w:pPr>
        <w:autoSpaceDE w:val="0"/>
        <w:autoSpaceDN w:val="0"/>
        <w:adjustRightInd w:val="0"/>
        <w:spacing w:after="0" w:line="360" w:lineRule="auto"/>
        <w:rPr>
          <w:rFonts w:eastAsia="Calibri" w:cs="Tahoma"/>
          <w:b/>
          <w:bCs/>
          <w:iCs/>
          <w:lang w:val="es-ES"/>
        </w:rPr>
      </w:pPr>
    </w:p>
    <w:p w14:paraId="1E582C15" w14:textId="77777777" w:rsidR="00066B31" w:rsidRPr="00446963" w:rsidRDefault="00066B31" w:rsidP="00844830">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Se le hace del conocimiento al Particular, que, en el presente caso, se le da la razón, pues el Ayuntamiento de Metepec no emitió contestación alguna, por lo que, deberá dar trámite al requerimiento de información y en su caso, entregarle la documentación solicitada.</w:t>
      </w:r>
    </w:p>
    <w:p w14:paraId="379FF1BA" w14:textId="77777777" w:rsidR="00066B31" w:rsidRPr="00446963" w:rsidRDefault="00066B31" w:rsidP="00844830">
      <w:pPr>
        <w:widowControl w:val="0"/>
        <w:autoSpaceDE w:val="0"/>
        <w:autoSpaceDN w:val="0"/>
        <w:adjustRightInd w:val="0"/>
        <w:spacing w:after="0" w:line="360" w:lineRule="auto"/>
        <w:rPr>
          <w:rFonts w:eastAsia="Calibri" w:cs="Tahoma"/>
          <w:bCs/>
          <w:iCs/>
          <w:lang w:val="es-ES"/>
        </w:rPr>
      </w:pPr>
    </w:p>
    <w:p w14:paraId="0E094D15" w14:textId="77777777" w:rsidR="00066B31" w:rsidRPr="00446963" w:rsidRDefault="00066B31" w:rsidP="00844830">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5DED04F" w14:textId="77777777" w:rsidR="00066B31" w:rsidRDefault="00066B31" w:rsidP="00844830">
      <w:pPr>
        <w:spacing w:after="0" w:line="360" w:lineRule="auto"/>
        <w:rPr>
          <w:rFonts w:eastAsia="Calibri" w:cs="Tahoma"/>
          <w:bCs/>
          <w:iCs/>
          <w:lang w:val="es-ES" w:eastAsia="es-ES_tradnl"/>
        </w:rPr>
      </w:pPr>
    </w:p>
    <w:p w14:paraId="1FEA2A96" w14:textId="77777777" w:rsidR="00066B31" w:rsidRPr="00446963" w:rsidRDefault="00066B31" w:rsidP="00844830">
      <w:pPr>
        <w:spacing w:after="0" w:line="360" w:lineRule="auto"/>
        <w:rPr>
          <w:rFonts w:eastAsia="Calibri" w:cs="Tahoma"/>
          <w:bCs/>
          <w:iCs/>
        </w:rPr>
      </w:pPr>
      <w:r w:rsidRPr="00446963">
        <w:rPr>
          <w:rFonts w:eastAsia="Calibri" w:cs="Tahoma"/>
          <w:bCs/>
          <w:iCs/>
        </w:rPr>
        <w:t xml:space="preserve">La labor </w:t>
      </w:r>
      <w:r>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14:paraId="757085B2" w14:textId="77777777" w:rsidR="00066B31" w:rsidRDefault="00066B31" w:rsidP="00844830">
      <w:pPr>
        <w:spacing w:after="0" w:line="360" w:lineRule="auto"/>
        <w:rPr>
          <w:rFonts w:eastAsia="Calibri" w:cs="Tahoma"/>
          <w:bCs/>
          <w:iCs/>
          <w:lang w:val="es-ES" w:eastAsia="es-ES_tradnl"/>
        </w:rPr>
      </w:pPr>
    </w:p>
    <w:p w14:paraId="78C5E942" w14:textId="77777777" w:rsidR="00066B31" w:rsidRPr="00446963" w:rsidRDefault="00066B31" w:rsidP="00844830">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14:paraId="5B9282E2" w14:textId="77777777" w:rsidR="00066B31" w:rsidRDefault="00066B31" w:rsidP="00844830">
      <w:pPr>
        <w:spacing w:after="0" w:line="360" w:lineRule="auto"/>
        <w:ind w:right="-93"/>
        <w:rPr>
          <w:rFonts w:eastAsia="Times New Roman" w:cs="Tahoma"/>
          <w:b/>
          <w:lang w:eastAsia="es-ES"/>
        </w:rPr>
      </w:pPr>
    </w:p>
    <w:p w14:paraId="1EB40653" w14:textId="77777777" w:rsidR="00066B31" w:rsidRDefault="00066B31" w:rsidP="00844830">
      <w:pPr>
        <w:spacing w:after="0" w:line="360" w:lineRule="auto"/>
        <w:ind w:right="-93"/>
        <w:rPr>
          <w:rFonts w:eastAsia="Times New Roman" w:cs="Tahoma"/>
          <w:lang w:eastAsia="es-ES"/>
        </w:rPr>
      </w:pPr>
      <w:r w:rsidRPr="00446963">
        <w:rPr>
          <w:rFonts w:eastAsia="Times New Roman" w:cs="Tahoma"/>
          <w:lang w:eastAsia="es-ES"/>
        </w:rPr>
        <w:t>En el caso en estudio, como ha quedado señalado que el Ayuntamiento de Metepec omitió dar respuesta en el plazo señalado en el artículo 163 de la Ley de Transparencia y Acceso a la Información Pública del Estado de México y Municipios.</w:t>
      </w:r>
    </w:p>
    <w:p w14:paraId="7B63590B" w14:textId="77777777" w:rsidR="00066B31" w:rsidRPr="00446963" w:rsidRDefault="00066B31" w:rsidP="00844830">
      <w:pPr>
        <w:spacing w:after="0" w:line="360" w:lineRule="auto"/>
        <w:ind w:right="-93"/>
        <w:rPr>
          <w:rFonts w:eastAsia="Times New Roman" w:cs="Tahoma"/>
          <w:lang w:eastAsia="es-ES"/>
        </w:rPr>
      </w:pPr>
    </w:p>
    <w:p w14:paraId="2D5BF25C" w14:textId="77777777" w:rsidR="00066B31" w:rsidRPr="00446963" w:rsidRDefault="00066B31" w:rsidP="00844830">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En ese sentido, de conformidad con lo </w:t>
      </w:r>
      <w:r w:rsidRPr="00446963">
        <w:rPr>
          <w:rFonts w:eastAsia="Calibri" w:cs="Tahoma"/>
          <w:bCs/>
        </w:rPr>
        <w:lastRenderedPageBreak/>
        <w:t>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446963" w:rsidRDefault="00066B31" w:rsidP="00844830">
      <w:pPr>
        <w:spacing w:after="0" w:line="360" w:lineRule="auto"/>
        <w:ind w:right="-93"/>
        <w:rPr>
          <w:rFonts w:eastAsia="Calibri" w:cs="Tahoma"/>
          <w:bCs/>
        </w:rPr>
      </w:pPr>
    </w:p>
    <w:p w14:paraId="711C7FB0" w14:textId="77777777" w:rsidR="00066B31" w:rsidRPr="00446963" w:rsidRDefault="00066B31" w:rsidP="00844830">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D5B6D8F" w14:textId="77777777" w:rsidR="00066B31" w:rsidRPr="00446963" w:rsidRDefault="00066B31" w:rsidP="00844830">
      <w:pPr>
        <w:spacing w:after="0" w:line="360" w:lineRule="auto"/>
        <w:ind w:right="-93"/>
        <w:rPr>
          <w:rFonts w:eastAsia="Calibri" w:cs="Tahoma"/>
          <w:bCs/>
        </w:rPr>
      </w:pPr>
    </w:p>
    <w:p w14:paraId="6786F312" w14:textId="77777777" w:rsidR="00066B31" w:rsidRPr="00446963" w:rsidRDefault="00066B31" w:rsidP="00844830">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14:paraId="3F27D793" w14:textId="77777777" w:rsidR="00066B31" w:rsidRDefault="00066B31" w:rsidP="00844830">
      <w:pPr>
        <w:spacing w:after="0" w:line="360" w:lineRule="auto"/>
        <w:ind w:right="-93"/>
        <w:rPr>
          <w:rFonts w:eastAsia="Calibri" w:cs="Tahoma"/>
          <w:bCs/>
        </w:rPr>
      </w:pPr>
    </w:p>
    <w:p w14:paraId="7685FAAA" w14:textId="77777777" w:rsidR="00066B31" w:rsidRPr="00446963" w:rsidRDefault="00066B31" w:rsidP="00844830">
      <w:pPr>
        <w:spacing w:after="0" w:line="360" w:lineRule="auto"/>
        <w:rPr>
          <w:rFonts w:eastAsia="Calibri" w:cs="Tahoma"/>
          <w:bCs/>
        </w:rPr>
      </w:pPr>
      <w:r w:rsidRPr="00446963">
        <w:rPr>
          <w:rFonts w:eastAsia="Calibri" w:cs="Tahoma"/>
          <w:bCs/>
        </w:rPr>
        <w:t>Por lo expuesto y fundado, este Pleno:</w:t>
      </w:r>
    </w:p>
    <w:p w14:paraId="4C1274EF" w14:textId="77777777" w:rsidR="00ED7E78" w:rsidRDefault="00ED7E78" w:rsidP="00844830">
      <w:pPr>
        <w:spacing w:after="0" w:line="360" w:lineRule="auto"/>
        <w:jc w:val="center"/>
        <w:rPr>
          <w:rFonts w:eastAsia="Calibri" w:cs="Tahoma"/>
          <w:b/>
          <w:bCs/>
        </w:rPr>
      </w:pPr>
    </w:p>
    <w:p w14:paraId="2CBCAFED" w14:textId="31EF801C" w:rsidR="00066B31" w:rsidRPr="00446963" w:rsidRDefault="00066B31" w:rsidP="00844830">
      <w:pPr>
        <w:spacing w:after="0" w:line="360" w:lineRule="auto"/>
        <w:jc w:val="center"/>
        <w:rPr>
          <w:rFonts w:eastAsia="Calibri" w:cs="Tahoma"/>
          <w:b/>
          <w:bCs/>
        </w:rPr>
      </w:pPr>
      <w:r w:rsidRPr="00446963">
        <w:rPr>
          <w:rFonts w:eastAsia="Calibri" w:cs="Tahoma"/>
          <w:b/>
          <w:bCs/>
        </w:rPr>
        <w:t>R E S U E L V E:</w:t>
      </w:r>
    </w:p>
    <w:p w14:paraId="5DB5E46C" w14:textId="77777777" w:rsidR="00066B31" w:rsidRPr="00446963" w:rsidRDefault="00066B31" w:rsidP="00844830">
      <w:pPr>
        <w:spacing w:after="0" w:line="360" w:lineRule="auto"/>
        <w:jc w:val="left"/>
        <w:rPr>
          <w:rFonts w:eastAsia="Calibri" w:cs="Tahoma"/>
          <w:b/>
          <w:bCs/>
        </w:rPr>
      </w:pPr>
    </w:p>
    <w:p w14:paraId="2608EE75" w14:textId="3B49452C" w:rsidR="00066B31" w:rsidRPr="00446963" w:rsidRDefault="00066B31" w:rsidP="00844830">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Pr>
          <w:b/>
          <w:bCs/>
        </w:rPr>
        <w:t>1</w:t>
      </w:r>
      <w:r w:rsidR="00ED7E78">
        <w:rPr>
          <w:b/>
          <w:bCs/>
        </w:rPr>
        <w:t>551</w:t>
      </w:r>
      <w:r w:rsidRPr="00446963">
        <w:rPr>
          <w:b/>
          <w:bCs/>
        </w:rPr>
        <w:t>/INFOEM/IP/RR/2022</w:t>
      </w:r>
      <w:r w:rsidRPr="00446963">
        <w:rPr>
          <w:rFonts w:eastAsia="Calibri" w:cs="Tahoma"/>
          <w:bCs/>
        </w:rPr>
        <w:t xml:space="preserve">, en términos de los Considerando </w:t>
      </w:r>
      <w:r w:rsidRPr="00FB3F51">
        <w:rPr>
          <w:rFonts w:eastAsia="Calibri" w:cs="Tahoma"/>
        </w:rPr>
        <w:t>QUINTO y SEXTO</w:t>
      </w:r>
      <w:r w:rsidRPr="00446963">
        <w:rPr>
          <w:rFonts w:eastAsia="Calibri" w:cs="Tahoma"/>
          <w:b/>
          <w:bCs/>
        </w:rPr>
        <w:t xml:space="preserve"> </w:t>
      </w:r>
      <w:r w:rsidRPr="00446963">
        <w:rPr>
          <w:rFonts w:eastAsia="Calibri" w:cs="Tahoma"/>
          <w:bCs/>
        </w:rPr>
        <w:t>de la presente Resolución.</w:t>
      </w:r>
    </w:p>
    <w:p w14:paraId="3FB0D592" w14:textId="77777777" w:rsidR="00066B31" w:rsidRPr="00446963" w:rsidRDefault="00066B31" w:rsidP="00844830">
      <w:pPr>
        <w:spacing w:after="0" w:line="360" w:lineRule="auto"/>
        <w:rPr>
          <w:rFonts w:eastAsia="Calibri" w:cs="Tahoma"/>
          <w:bCs/>
        </w:rPr>
      </w:pPr>
    </w:p>
    <w:p w14:paraId="7DFE1E6C" w14:textId="147AF0E0" w:rsidR="00066B31" w:rsidRPr="00446963" w:rsidRDefault="00066B31" w:rsidP="00844830">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Pr="00446963">
        <w:rPr>
          <w:rFonts w:cs="Arial"/>
        </w:rPr>
        <w:t>00</w:t>
      </w:r>
      <w:r w:rsidR="00ED7E78">
        <w:rPr>
          <w:rFonts w:cs="Arial"/>
        </w:rPr>
        <w:t>738</w:t>
      </w:r>
      <w:r>
        <w:rPr>
          <w:rFonts w:cs="Arial"/>
        </w:rPr>
        <w:t>/METEPEC/IP/2022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14:paraId="18E21404" w14:textId="77777777" w:rsidR="00066B31" w:rsidRPr="00446963" w:rsidRDefault="00066B31" w:rsidP="00844830">
      <w:pPr>
        <w:spacing w:after="0" w:line="360" w:lineRule="auto"/>
        <w:rPr>
          <w:rFonts w:eastAsia="Calibri" w:cs="Tahoma"/>
          <w:iCs/>
          <w:lang w:eastAsia="es-ES_tradnl"/>
        </w:rPr>
      </w:pPr>
    </w:p>
    <w:p w14:paraId="34269DD1" w14:textId="77777777" w:rsidR="00066B31" w:rsidRPr="00446963" w:rsidRDefault="00066B31" w:rsidP="00844830">
      <w:pPr>
        <w:spacing w:after="0" w:line="360" w:lineRule="auto"/>
        <w:rPr>
          <w:rFonts w:eastAsia="Times New Roman" w:cs="Tahoma"/>
          <w:bCs/>
          <w:lang w:eastAsia="es-ES"/>
        </w:rPr>
      </w:pPr>
      <w:r w:rsidRPr="00446963">
        <w:rPr>
          <w:rFonts w:eastAsia="Calibri" w:cs="Tahoma"/>
          <w:b/>
          <w:bCs/>
        </w:rPr>
        <w:lastRenderedPageBreak/>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446963" w:rsidRDefault="00066B31" w:rsidP="00844830">
      <w:pPr>
        <w:spacing w:after="0" w:line="360" w:lineRule="auto"/>
        <w:rPr>
          <w:rFonts w:eastAsia="Calibri" w:cs="Tahoma"/>
          <w:lang w:eastAsia="es-MX"/>
        </w:rPr>
      </w:pPr>
    </w:p>
    <w:p w14:paraId="1FFD32F0" w14:textId="77777777" w:rsidR="00066B31" w:rsidRPr="00446963" w:rsidRDefault="00066B31" w:rsidP="00844830">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F97E320" w14:textId="77777777" w:rsidR="00066B31" w:rsidRDefault="00066B31" w:rsidP="00844830">
      <w:pPr>
        <w:spacing w:after="0" w:line="360" w:lineRule="auto"/>
        <w:rPr>
          <w:rFonts w:eastAsia="Times New Roman" w:cs="Tahoma"/>
          <w:lang w:eastAsia="es-ES"/>
        </w:rPr>
      </w:pPr>
    </w:p>
    <w:p w14:paraId="10F11679" w14:textId="77777777" w:rsidR="00066B31" w:rsidRPr="00446963" w:rsidRDefault="00066B31" w:rsidP="00844830">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F7DD40" w14:textId="77777777" w:rsidR="00066B31" w:rsidRPr="00446963" w:rsidRDefault="00066B31" w:rsidP="00844830">
      <w:pPr>
        <w:spacing w:after="0" w:line="360" w:lineRule="auto"/>
        <w:rPr>
          <w:rFonts w:eastAsia="Calibri" w:cs="Tahoma"/>
          <w:bCs/>
          <w:lang w:val="es-ES_tradnl"/>
        </w:rPr>
      </w:pPr>
    </w:p>
    <w:p w14:paraId="3EEFAA0E" w14:textId="77777777" w:rsidR="00066B31" w:rsidRPr="00446963" w:rsidRDefault="00066B31" w:rsidP="00844830">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77777777" w:rsidR="00066B31" w:rsidRPr="00446963" w:rsidRDefault="00066B31" w:rsidP="00844830">
      <w:pPr>
        <w:spacing w:after="0" w:line="360" w:lineRule="auto"/>
        <w:rPr>
          <w:rFonts w:eastAsia="Calibri" w:cs="Tahoma"/>
          <w:bCs/>
          <w:lang w:val="es-ES_tradnl"/>
        </w:rPr>
      </w:pPr>
    </w:p>
    <w:p w14:paraId="57BD1F54" w14:textId="77777777" w:rsidR="00066B31" w:rsidRPr="00446963" w:rsidRDefault="00066B31" w:rsidP="00844830">
      <w:pPr>
        <w:spacing w:after="0" w:line="360" w:lineRule="auto"/>
        <w:rPr>
          <w:rFonts w:eastAsia="Calibri" w:cs="Tahoma"/>
          <w:bCs/>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14:paraId="61D67382" w14:textId="09EDC703" w:rsidR="00066B31" w:rsidRPr="00446963" w:rsidRDefault="00066B31" w:rsidP="00844830">
      <w:pPr>
        <w:spacing w:after="0" w:line="360" w:lineRule="auto"/>
        <w:rPr>
          <w:rFonts w:cs="Arial"/>
        </w:rPr>
      </w:pPr>
      <w:r w:rsidRPr="00446963">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ED7E78">
        <w:t>CUARTA</w:t>
      </w:r>
      <w:r w:rsidRPr="00446963">
        <w:t xml:space="preserve"> SESIÓN ORDINARIA CELEBRADA EL </w:t>
      </w:r>
      <w:r w:rsidR="00ED7E78">
        <w:t>VEIN</w:t>
      </w:r>
      <w:r>
        <w:t>TE DE ABRIL</w:t>
      </w:r>
      <w:r w:rsidRPr="00446963">
        <w:t xml:space="preserve"> DE DOS MIL VEINTIDÓS, ANTE EL SECRETARIO TÉCNICO DEL PLENO, ALEXIS TAPIA RAMÍREZ.</w:t>
      </w:r>
    </w:p>
    <w:p w14:paraId="427DAFB5" w14:textId="38682B1F" w:rsidR="004E053F" w:rsidRDefault="004E053F">
      <w:pPr>
        <w:jc w:val="left"/>
        <w:rPr>
          <w:rFonts w:eastAsia="Times New Roman" w:cs="Tahoma"/>
          <w:lang w:eastAsia="es-MX"/>
        </w:rPr>
      </w:pPr>
      <w:r>
        <w:rPr>
          <w:rFonts w:eastAsia="Times New Roman" w:cs="Tahoma"/>
          <w:lang w:eastAsia="es-MX"/>
        </w:rPr>
        <w:br w:type="page"/>
      </w:r>
    </w:p>
    <w:p w14:paraId="0F4B28BE" w14:textId="77777777" w:rsidR="00E439ED" w:rsidRDefault="00E439ED" w:rsidP="00844830">
      <w:pPr>
        <w:spacing w:after="0" w:line="360" w:lineRule="auto"/>
      </w:pPr>
    </w:p>
    <w:sectPr w:rsidR="00E439ED" w:rsidSect="008C644E">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6C5E" w14:textId="77777777" w:rsidR="001B5905" w:rsidRDefault="001B5905" w:rsidP="00066B31">
      <w:pPr>
        <w:spacing w:after="0" w:line="240" w:lineRule="auto"/>
      </w:pPr>
      <w:r>
        <w:separator/>
      </w:r>
    </w:p>
  </w:endnote>
  <w:endnote w:type="continuationSeparator" w:id="0">
    <w:p w14:paraId="619C4B10" w14:textId="77777777" w:rsidR="001B5905" w:rsidRDefault="001B5905"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4E05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42C147CB" w14:textId="77777777" w:rsidR="008C644E" w:rsidRDefault="004E053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A00D" w14:textId="77777777" w:rsidR="001B5905" w:rsidRDefault="001B5905" w:rsidP="00066B31">
      <w:pPr>
        <w:spacing w:after="0" w:line="240" w:lineRule="auto"/>
      </w:pPr>
      <w:r>
        <w:separator/>
      </w:r>
    </w:p>
  </w:footnote>
  <w:footnote w:type="continuationSeparator" w:id="0">
    <w:p w14:paraId="7621422B" w14:textId="77777777" w:rsidR="001B5905" w:rsidRDefault="001B5905"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4E053F"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4E053F"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77777777"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14:paraId="13DD28B6" w14:textId="77777777" w:rsidR="008C644E" w:rsidRPr="008C644E" w:rsidRDefault="004E053F"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4E053F" w:rsidP="008C644E">
                <w:pPr>
                  <w:pStyle w:val="Encabezado"/>
                </w:pPr>
              </w:p>
            </w:tc>
          </w:tr>
        </w:tbl>
        <w:p w14:paraId="1FBF3105" w14:textId="77777777" w:rsidR="008C644E" w:rsidRPr="008C644E" w:rsidRDefault="004E053F" w:rsidP="008C644E">
          <w:pPr>
            <w:pStyle w:val="Encabezado"/>
            <w:rPr>
              <w:b/>
            </w:rPr>
          </w:pPr>
        </w:p>
      </w:tc>
    </w:tr>
  </w:tbl>
  <w:p w14:paraId="14486D0A" w14:textId="77777777" w:rsidR="008C644E" w:rsidRDefault="004E053F">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4EA32E14" w14:textId="77777777" w:rsidTr="00D36646">
      <w:trPr>
        <w:trHeight w:val="1435"/>
      </w:trPr>
      <w:tc>
        <w:tcPr>
          <w:tcW w:w="3402" w:type="dxa"/>
        </w:tcPr>
        <w:p w14:paraId="423C2A31" w14:textId="77777777" w:rsidR="008C644E" w:rsidRDefault="004E053F"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4E053F"/>
        <w:tbl>
          <w:tblPr>
            <w:tblStyle w:val="Tablaconcuadrcula"/>
            <w:tblW w:w="922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4460AAC6" w14:textId="77777777" w:rsidTr="00DF6F08">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1" w:name="_Hlk12526980"/>
                <w:r>
                  <w:rPr>
                    <w:rFonts w:eastAsia="Calibri" w:cs="Tahoma"/>
                    <w:b/>
                  </w:rPr>
                  <w:t>Recurso de Revisión:</w:t>
                </w:r>
              </w:p>
            </w:tc>
            <w:tc>
              <w:tcPr>
                <w:tcW w:w="3259" w:type="dxa"/>
                <w:hideMark/>
              </w:tcPr>
              <w:p w14:paraId="79D1E809" w14:textId="06C3B6C0" w:rsidR="008C644E" w:rsidRDefault="001D2F08" w:rsidP="008C644E">
                <w:pPr>
                  <w:tabs>
                    <w:tab w:val="right" w:pos="8838"/>
                  </w:tabs>
                  <w:ind w:left="-74" w:right="-105"/>
                  <w:rPr>
                    <w:rFonts w:eastAsia="Calibri" w:cs="Tahoma"/>
                    <w:bCs/>
                  </w:rPr>
                </w:pPr>
                <w:r>
                  <w:t>01</w:t>
                </w:r>
                <w:r w:rsidR="00FC6C9A">
                  <w:t>551</w:t>
                </w:r>
                <w:r>
                  <w:t>/INFOEM/IP/RR/2022</w:t>
                </w:r>
              </w:p>
            </w:tc>
            <w:tc>
              <w:tcPr>
                <w:tcW w:w="3402" w:type="dxa"/>
              </w:tcPr>
              <w:p w14:paraId="04BF926A" w14:textId="77777777" w:rsidR="008C644E" w:rsidRDefault="004E053F" w:rsidP="008C644E">
                <w:pPr>
                  <w:tabs>
                    <w:tab w:val="right" w:pos="8838"/>
                  </w:tabs>
                  <w:ind w:left="-74" w:right="-105"/>
                  <w:rPr>
                    <w:rFonts w:eastAsia="Calibri" w:cs="Tahoma"/>
                    <w:bCs/>
                  </w:rPr>
                </w:pPr>
              </w:p>
            </w:tc>
            <w:bookmarkEnd w:id="1"/>
          </w:tr>
          <w:tr w:rsidR="008C644E" w14:paraId="2B8E7492" w14:textId="77777777" w:rsidTr="00DF6F08">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259" w:type="dxa"/>
                <w:hideMark/>
              </w:tcPr>
              <w:p w14:paraId="2C6EC5FD" w14:textId="77777777" w:rsidR="008C644E" w:rsidRPr="008C644E" w:rsidRDefault="001D2F08" w:rsidP="00412BE1">
                <w:pPr>
                  <w:tabs>
                    <w:tab w:val="left" w:pos="2834"/>
                    <w:tab w:val="right" w:pos="8838"/>
                  </w:tabs>
                  <w:ind w:left="-74" w:right="-105"/>
                  <w:rPr>
                    <w:rFonts w:eastAsia="Calibri" w:cs="Tahoma"/>
                  </w:rPr>
                </w:pPr>
                <w:r w:rsidRPr="008C644E">
                  <w:rPr>
                    <w:rFonts w:eastAsia="Calibri" w:cs="Tahoma"/>
                    <w:lang w:val="es-MX"/>
                  </w:rPr>
                  <w:t xml:space="preserve">Ayuntamiento de </w:t>
                </w:r>
                <w:r>
                  <w:rPr>
                    <w:rFonts w:eastAsia="Calibri" w:cs="Tahoma"/>
                    <w:lang w:val="es-MX"/>
                  </w:rPr>
                  <w:t>Metepec</w:t>
                </w:r>
              </w:p>
            </w:tc>
            <w:tc>
              <w:tcPr>
                <w:tcW w:w="3402" w:type="dxa"/>
              </w:tcPr>
              <w:p w14:paraId="30AE58B9" w14:textId="77777777" w:rsidR="008C644E" w:rsidRDefault="004E053F" w:rsidP="008C644E">
                <w:pPr>
                  <w:tabs>
                    <w:tab w:val="left" w:pos="2834"/>
                    <w:tab w:val="right" w:pos="8838"/>
                  </w:tabs>
                  <w:ind w:left="-74" w:right="-105"/>
                  <w:rPr>
                    <w:rFonts w:eastAsia="Calibri" w:cs="Tahoma"/>
                  </w:rPr>
                </w:pPr>
              </w:p>
            </w:tc>
          </w:tr>
          <w:tr w:rsidR="008C644E" w14:paraId="4CA944CC" w14:textId="77777777" w:rsidTr="00DF6F08">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4E053F" w:rsidP="008C644E">
                <w:pPr>
                  <w:tabs>
                    <w:tab w:val="right" w:pos="8838"/>
                  </w:tabs>
                  <w:ind w:left="-74" w:right="-105"/>
                  <w:rPr>
                    <w:rFonts w:eastAsia="Calibri" w:cs="Tahoma"/>
                  </w:rPr>
                </w:pPr>
              </w:p>
            </w:tc>
          </w:tr>
        </w:tbl>
        <w:p w14:paraId="14C1172F" w14:textId="77777777" w:rsidR="008C644E" w:rsidRDefault="004E053F" w:rsidP="008C644E">
          <w:pPr>
            <w:tabs>
              <w:tab w:val="right" w:pos="8838"/>
            </w:tabs>
            <w:spacing w:line="256" w:lineRule="auto"/>
            <w:ind w:left="-28"/>
            <w:rPr>
              <w:rFonts w:ascii="Arial" w:eastAsia="Calibri" w:hAnsi="Arial" w:cs="Arial"/>
              <w:b/>
            </w:rPr>
          </w:pPr>
        </w:p>
      </w:tc>
    </w:tr>
  </w:tbl>
  <w:p w14:paraId="652BA475" w14:textId="77777777" w:rsidR="008C644E" w:rsidRDefault="004E053F">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77777777" w:rsidR="008C644E" w:rsidRPr="008C644E" w:rsidRDefault="004E053F" w:rsidP="008C644E">
          <w:pPr>
            <w:pStyle w:val="Encabezado"/>
          </w:pPr>
        </w:p>
      </w:tc>
      <w:tc>
        <w:tcPr>
          <w:tcW w:w="7512" w:type="dxa"/>
          <w:hideMark/>
        </w:tcPr>
        <w:p w14:paraId="22DD2343" w14:textId="77777777" w:rsidR="002D708F" w:rsidRPr="002D708F" w:rsidRDefault="004E053F">
          <w:pPr>
            <w:rPr>
              <w:sz w:val="8"/>
              <w:szCs w:val="8"/>
            </w:rPr>
          </w:pPr>
        </w:p>
        <w:tbl>
          <w:tblPr>
            <w:tblStyle w:val="Tablaconcuadrcula"/>
            <w:tblW w:w="13614" w:type="dxa"/>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4251"/>
            <w:gridCol w:w="3402"/>
            <w:gridCol w:w="3402"/>
          </w:tblGrid>
          <w:tr w:rsidR="003F2F0B" w:rsidRPr="008C644E" w14:paraId="1551C454" w14:textId="77777777" w:rsidTr="002D708F">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4251" w:type="dxa"/>
                <w:hideMark/>
              </w:tcPr>
              <w:p w14:paraId="11F4479A" w14:textId="3D253E9D" w:rsidR="003F2F0B" w:rsidRPr="00AC018A" w:rsidRDefault="001D2F08" w:rsidP="008C644E">
                <w:pPr>
                  <w:pStyle w:val="Encabezado"/>
                </w:pPr>
                <w:r w:rsidRPr="00AC018A">
                  <w:rPr>
                    <w:color w:val="000000"/>
                  </w:rPr>
                  <w:t>0</w:t>
                </w:r>
                <w:r>
                  <w:rPr>
                    <w:color w:val="000000"/>
                  </w:rPr>
                  <w:t>1</w:t>
                </w:r>
                <w:r w:rsidR="00066B31">
                  <w:rPr>
                    <w:color w:val="000000"/>
                  </w:rPr>
                  <w:t>551</w:t>
                </w:r>
                <w:r w:rsidRPr="00AC018A">
                  <w:rPr>
                    <w:color w:val="000000"/>
                  </w:rPr>
                  <w:t>/INFOEM/IP/RR/2022</w:t>
                </w:r>
              </w:p>
            </w:tc>
            <w:tc>
              <w:tcPr>
                <w:tcW w:w="3402" w:type="dxa"/>
              </w:tcPr>
              <w:p w14:paraId="636B91F8" w14:textId="77777777" w:rsidR="003F2F0B" w:rsidRPr="008C644E" w:rsidRDefault="004E053F" w:rsidP="008C644E">
                <w:pPr>
                  <w:pStyle w:val="Encabezado"/>
                  <w:rPr>
                    <w:bCs/>
                  </w:rPr>
                </w:pPr>
              </w:p>
            </w:tc>
            <w:tc>
              <w:tcPr>
                <w:tcW w:w="3402" w:type="dxa"/>
              </w:tcPr>
              <w:p w14:paraId="30CBCBAF" w14:textId="77777777" w:rsidR="003F2F0B" w:rsidRPr="008C644E" w:rsidRDefault="004E053F" w:rsidP="008C644E">
                <w:pPr>
                  <w:pStyle w:val="Encabezado"/>
                  <w:rPr>
                    <w:bCs/>
                  </w:rPr>
                </w:pPr>
              </w:p>
            </w:tc>
          </w:tr>
          <w:tr w:rsidR="003F2F0B" w:rsidRPr="008C644E" w14:paraId="61DAE09E" w14:textId="77777777" w:rsidTr="002D708F">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4251" w:type="dxa"/>
              </w:tcPr>
              <w:p w14:paraId="0ECB40A9" w14:textId="77777777" w:rsidR="003F2F0B" w:rsidRPr="008C644E" w:rsidRDefault="004E053F" w:rsidP="008C644E">
                <w:pPr>
                  <w:pStyle w:val="Encabezado"/>
                </w:pPr>
              </w:p>
            </w:tc>
            <w:tc>
              <w:tcPr>
                <w:tcW w:w="3402" w:type="dxa"/>
              </w:tcPr>
              <w:p w14:paraId="267C41A1" w14:textId="77777777" w:rsidR="003F2F0B" w:rsidRPr="008C644E" w:rsidRDefault="004E053F" w:rsidP="008C644E">
                <w:pPr>
                  <w:pStyle w:val="Encabezado"/>
                </w:pPr>
              </w:p>
            </w:tc>
            <w:tc>
              <w:tcPr>
                <w:tcW w:w="3402" w:type="dxa"/>
              </w:tcPr>
              <w:p w14:paraId="07EE73BD" w14:textId="77777777" w:rsidR="003F2F0B" w:rsidRPr="008C644E" w:rsidRDefault="004E053F" w:rsidP="008C644E">
                <w:pPr>
                  <w:pStyle w:val="Encabezado"/>
                </w:pPr>
              </w:p>
            </w:tc>
          </w:tr>
          <w:tr w:rsidR="003F2F0B" w:rsidRPr="008C644E" w14:paraId="7C378614" w14:textId="77777777" w:rsidTr="002D708F">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4251" w:type="dxa"/>
                <w:hideMark/>
              </w:tcPr>
              <w:p w14:paraId="6FB2FFED" w14:textId="77777777" w:rsidR="003F2F0B" w:rsidRPr="008C644E" w:rsidRDefault="001D2F08" w:rsidP="008C644E">
                <w:pPr>
                  <w:pStyle w:val="Encabezado"/>
                </w:pPr>
                <w:r w:rsidRPr="008C644E">
                  <w:rPr>
                    <w:lang w:val="es-MX"/>
                  </w:rPr>
                  <w:t>Ayuntamient</w:t>
                </w:r>
                <w:r>
                  <w:rPr>
                    <w:lang w:val="es-MX"/>
                  </w:rPr>
                  <w:t>o de Metepec</w:t>
                </w:r>
              </w:p>
            </w:tc>
            <w:tc>
              <w:tcPr>
                <w:tcW w:w="3402" w:type="dxa"/>
              </w:tcPr>
              <w:p w14:paraId="41110A01" w14:textId="77777777" w:rsidR="003F2F0B" w:rsidRPr="008C644E" w:rsidRDefault="004E053F" w:rsidP="008C644E">
                <w:pPr>
                  <w:pStyle w:val="Encabezado"/>
                </w:pPr>
              </w:p>
            </w:tc>
            <w:tc>
              <w:tcPr>
                <w:tcW w:w="3402" w:type="dxa"/>
              </w:tcPr>
              <w:p w14:paraId="45B99936" w14:textId="77777777" w:rsidR="003F2F0B" w:rsidRPr="008C644E" w:rsidRDefault="004E053F" w:rsidP="008C644E">
                <w:pPr>
                  <w:pStyle w:val="Encabezado"/>
                </w:pPr>
              </w:p>
            </w:tc>
          </w:tr>
          <w:tr w:rsidR="003F2F0B" w:rsidRPr="008C644E" w14:paraId="439AC6E2" w14:textId="77777777" w:rsidTr="002D708F">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4251"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4E053F" w:rsidP="008C644E">
                <w:pPr>
                  <w:pStyle w:val="Encabezado"/>
                </w:pPr>
              </w:p>
            </w:tc>
            <w:tc>
              <w:tcPr>
                <w:tcW w:w="3402" w:type="dxa"/>
              </w:tcPr>
              <w:p w14:paraId="2F073C23" w14:textId="77777777" w:rsidR="003F2F0B" w:rsidRPr="008C644E" w:rsidRDefault="004E053F" w:rsidP="008C644E">
                <w:pPr>
                  <w:pStyle w:val="Encabezado"/>
                </w:pPr>
              </w:p>
            </w:tc>
          </w:tr>
        </w:tbl>
        <w:p w14:paraId="23CCA079" w14:textId="77777777" w:rsidR="008C644E" w:rsidRPr="008C644E" w:rsidRDefault="004E053F" w:rsidP="008C644E">
          <w:pPr>
            <w:pStyle w:val="Encabezado"/>
            <w:rPr>
              <w:b/>
            </w:rPr>
          </w:pPr>
        </w:p>
      </w:tc>
    </w:tr>
  </w:tbl>
  <w:p w14:paraId="19C09215" w14:textId="77777777" w:rsidR="008C644E" w:rsidRDefault="004E053F">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26.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452332301">
    <w:abstractNumId w:val="1"/>
  </w:num>
  <w:num w:numId="2" w16cid:durableId="822046089">
    <w:abstractNumId w:val="2"/>
  </w:num>
  <w:num w:numId="3" w16cid:durableId="144167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66B31"/>
    <w:rsid w:val="00085698"/>
    <w:rsid w:val="00117E3C"/>
    <w:rsid w:val="001443E6"/>
    <w:rsid w:val="001B5905"/>
    <w:rsid w:val="001B6ECC"/>
    <w:rsid w:val="001D2F08"/>
    <w:rsid w:val="002128C8"/>
    <w:rsid w:val="002F321B"/>
    <w:rsid w:val="003B1418"/>
    <w:rsid w:val="00407871"/>
    <w:rsid w:val="00446BCA"/>
    <w:rsid w:val="0048610B"/>
    <w:rsid w:val="004E053F"/>
    <w:rsid w:val="005027D8"/>
    <w:rsid w:val="00514645"/>
    <w:rsid w:val="00544546"/>
    <w:rsid w:val="00576074"/>
    <w:rsid w:val="006710D3"/>
    <w:rsid w:val="00676D85"/>
    <w:rsid w:val="00684F08"/>
    <w:rsid w:val="006A635A"/>
    <w:rsid w:val="00730A1A"/>
    <w:rsid w:val="00844830"/>
    <w:rsid w:val="00880564"/>
    <w:rsid w:val="008D5408"/>
    <w:rsid w:val="00957133"/>
    <w:rsid w:val="00970BAD"/>
    <w:rsid w:val="00A0672F"/>
    <w:rsid w:val="00B44AA0"/>
    <w:rsid w:val="00B5786A"/>
    <w:rsid w:val="00C97744"/>
    <w:rsid w:val="00D56577"/>
    <w:rsid w:val="00DF6F08"/>
    <w:rsid w:val="00E11DED"/>
    <w:rsid w:val="00E17462"/>
    <w:rsid w:val="00E27D8C"/>
    <w:rsid w:val="00E439ED"/>
    <w:rsid w:val="00ED7E78"/>
    <w:rsid w:val="00F54281"/>
    <w:rsid w:val="00FB3F51"/>
    <w:rsid w:val="00FB4AE8"/>
    <w:rsid w:val="00FC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3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fed.gob.mx/work/models/inafed/Resource/335/1/images/guia09_la_administracion_del_personal_municipa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4879</Words>
  <Characters>26838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2022-04-07T16:17:00Z</dcterms:created>
  <dcterms:modified xsi:type="dcterms:W3CDTF">2022-04-21T19:57:00Z</dcterms:modified>
</cp:coreProperties>
</file>