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CCD" w:rsidRPr="0072535F" w:rsidRDefault="00860E18">
      <w:pPr>
        <w:spacing w:before="240" w:after="240" w:line="360" w:lineRule="auto"/>
        <w:jc w:val="both"/>
        <w:rPr>
          <w:rFonts w:ascii="Palatino Linotype" w:eastAsia="Palatino Linotype" w:hAnsi="Palatino Linotype" w:cs="Palatino Linotype"/>
        </w:rPr>
      </w:pPr>
      <w:bookmarkStart w:id="0" w:name="_heading=h.tyjcwt" w:colFirst="0" w:colLast="0"/>
      <w:bookmarkEnd w:id="0"/>
      <w:r w:rsidRPr="0072535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veintiocho de septiembre de dos mil veintidós. </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b/>
        </w:rPr>
        <w:t>VISTO</w:t>
      </w:r>
      <w:r w:rsidRPr="0072535F">
        <w:rPr>
          <w:rFonts w:ascii="Palatino Linotype" w:eastAsia="Palatino Linotype" w:hAnsi="Palatino Linotype" w:cs="Palatino Linotype"/>
        </w:rPr>
        <w:t xml:space="preserve"> el expediente formado con motivo del recurso de revisión </w:t>
      </w:r>
      <w:r w:rsidRPr="0072535F">
        <w:rPr>
          <w:rFonts w:ascii="Palatino Linotype" w:eastAsia="Palatino Linotype" w:hAnsi="Palatino Linotype" w:cs="Palatino Linotype"/>
          <w:b/>
        </w:rPr>
        <w:t>09099/INFOEM/IP/RR/2022</w:t>
      </w:r>
      <w:r w:rsidRPr="0072535F">
        <w:rPr>
          <w:rFonts w:ascii="Palatino Linotype" w:eastAsia="Palatino Linotype" w:hAnsi="Palatino Linotype" w:cs="Palatino Linotype"/>
        </w:rPr>
        <w:t xml:space="preserve">, interpuesto </w:t>
      </w:r>
      <w:r w:rsidR="000361CE">
        <w:rPr>
          <w:rFonts w:ascii="Palatino Linotype" w:eastAsia="Palatino Linotype" w:hAnsi="Palatino Linotype" w:cs="Palatino Linotype"/>
          <w:b/>
        </w:rPr>
        <w:t>XXXXX XXXXXXX XXXXX XXXXXXXXX</w:t>
      </w:r>
      <w:bookmarkStart w:id="1" w:name="_GoBack"/>
      <w:bookmarkEnd w:id="1"/>
      <w:r w:rsidRPr="0072535F">
        <w:rPr>
          <w:rFonts w:ascii="Palatino Linotype" w:eastAsia="Palatino Linotype" w:hAnsi="Palatino Linotype" w:cs="Palatino Linotype"/>
          <w:b/>
        </w:rPr>
        <w:t xml:space="preserve"> </w:t>
      </w:r>
      <w:r w:rsidRPr="0072535F">
        <w:rPr>
          <w:rFonts w:ascii="Palatino Linotype" w:eastAsia="Palatino Linotype" w:hAnsi="Palatino Linotype" w:cs="Palatino Linotype"/>
        </w:rPr>
        <w:t>quien en lo sucesivo</w:t>
      </w:r>
      <w:r w:rsidRPr="0072535F">
        <w:rPr>
          <w:rFonts w:ascii="Palatino Linotype" w:eastAsia="Palatino Linotype" w:hAnsi="Palatino Linotype" w:cs="Palatino Linotype"/>
          <w:b/>
        </w:rPr>
        <w:t xml:space="preserve"> </w:t>
      </w:r>
      <w:r w:rsidRPr="0072535F">
        <w:rPr>
          <w:rFonts w:ascii="Palatino Linotype" w:eastAsia="Palatino Linotype" w:hAnsi="Palatino Linotype" w:cs="Palatino Linotype"/>
        </w:rPr>
        <w:t xml:space="preserve">será identificado en su calidad de </w:t>
      </w:r>
      <w:r w:rsidRPr="0072535F">
        <w:rPr>
          <w:rFonts w:ascii="Palatino Linotype" w:eastAsia="Palatino Linotype" w:hAnsi="Palatino Linotype" w:cs="Palatino Linotype"/>
          <w:b/>
        </w:rPr>
        <w:t>RECURRENTE,</w:t>
      </w:r>
      <w:r w:rsidRPr="0072535F">
        <w:rPr>
          <w:rFonts w:ascii="Palatino Linotype" w:eastAsia="Palatino Linotype" w:hAnsi="Palatino Linotype" w:cs="Palatino Linotype"/>
        </w:rPr>
        <w:t xml:space="preserve"> en contra de la respuesta de la </w:t>
      </w:r>
      <w:r w:rsidRPr="0072535F">
        <w:rPr>
          <w:rFonts w:ascii="Palatino Linotype" w:eastAsia="Palatino Linotype" w:hAnsi="Palatino Linotype" w:cs="Palatino Linotype"/>
          <w:b/>
        </w:rPr>
        <w:t xml:space="preserve">Fiscalía General de Justicia del Estado de México, </w:t>
      </w:r>
      <w:r w:rsidRPr="0072535F">
        <w:rPr>
          <w:rFonts w:ascii="Palatino Linotype" w:eastAsia="Palatino Linotype" w:hAnsi="Palatino Linotype" w:cs="Palatino Linotype"/>
        </w:rPr>
        <w:t xml:space="preserve">en lo sucesivo el </w:t>
      </w:r>
      <w:r w:rsidRPr="0072535F">
        <w:rPr>
          <w:rFonts w:ascii="Palatino Linotype" w:eastAsia="Palatino Linotype" w:hAnsi="Palatino Linotype" w:cs="Palatino Linotype"/>
          <w:b/>
        </w:rPr>
        <w:t xml:space="preserve">SUJETO OBLIGADO, </w:t>
      </w:r>
      <w:r w:rsidRPr="0072535F">
        <w:rPr>
          <w:rFonts w:ascii="Palatino Linotype" w:eastAsia="Palatino Linotype" w:hAnsi="Palatino Linotype" w:cs="Palatino Linotype"/>
        </w:rPr>
        <w:t xml:space="preserve">se procede a dictar la presente resolución con base en los siguientes: </w:t>
      </w:r>
    </w:p>
    <w:p w:rsidR="009A2CCD" w:rsidRPr="0072535F" w:rsidRDefault="00860E18">
      <w:pPr>
        <w:spacing w:before="240" w:after="240" w:line="360" w:lineRule="auto"/>
        <w:jc w:val="center"/>
        <w:rPr>
          <w:rFonts w:ascii="Palatino Linotype" w:eastAsia="Palatino Linotype" w:hAnsi="Palatino Linotype" w:cs="Palatino Linotype"/>
          <w:b/>
          <w:sz w:val="28"/>
          <w:szCs w:val="28"/>
        </w:rPr>
      </w:pPr>
      <w:bookmarkStart w:id="2" w:name="_heading=h.3znysh7" w:colFirst="0" w:colLast="0"/>
      <w:bookmarkEnd w:id="2"/>
      <w:r w:rsidRPr="0072535F">
        <w:rPr>
          <w:rFonts w:ascii="Palatino Linotype" w:eastAsia="Palatino Linotype" w:hAnsi="Palatino Linotype" w:cs="Palatino Linotype"/>
          <w:b/>
        </w:rPr>
        <w:t>I. A N T E C E D E N T E S</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b/>
        </w:rPr>
        <w:t>1. Solicitud de acceso a la información.</w:t>
      </w:r>
      <w:r w:rsidRPr="0072535F">
        <w:rPr>
          <w:rFonts w:ascii="Palatino Linotype" w:eastAsia="Palatino Linotype" w:hAnsi="Palatino Linotype" w:cs="Palatino Linotype"/>
        </w:rPr>
        <w:t xml:space="preserve"> El </w:t>
      </w:r>
      <w:r w:rsidRPr="0072535F">
        <w:rPr>
          <w:rFonts w:ascii="Palatino Linotype" w:eastAsia="Palatino Linotype" w:hAnsi="Palatino Linotype" w:cs="Palatino Linotype"/>
          <w:b/>
        </w:rPr>
        <w:t>veintiuno de abril de dos mil veintidós,</w:t>
      </w:r>
      <w:r w:rsidRPr="0072535F">
        <w:rPr>
          <w:rFonts w:ascii="Palatino Linotype" w:eastAsia="Palatino Linotype" w:hAnsi="Palatino Linotype" w:cs="Palatino Linotype"/>
        </w:rPr>
        <w:t xml:space="preserve"> el </w:t>
      </w:r>
      <w:r w:rsidRPr="0072535F">
        <w:rPr>
          <w:rFonts w:ascii="Palatino Linotype" w:eastAsia="Palatino Linotype" w:hAnsi="Palatino Linotype" w:cs="Palatino Linotype"/>
          <w:b/>
        </w:rPr>
        <w:t xml:space="preserve">RECURRENTE </w:t>
      </w:r>
      <w:r w:rsidRPr="0072535F">
        <w:rPr>
          <w:rFonts w:ascii="Palatino Linotype" w:eastAsia="Palatino Linotype" w:hAnsi="Palatino Linotype" w:cs="Palatino Linotype"/>
        </w:rPr>
        <w:t>presentó a través del Sistema de Acceso a la Información Mexiquense (</w:t>
      </w:r>
      <w:r w:rsidRPr="0072535F">
        <w:rPr>
          <w:rFonts w:ascii="Palatino Linotype" w:eastAsia="Palatino Linotype" w:hAnsi="Palatino Linotype" w:cs="Palatino Linotype"/>
          <w:b/>
        </w:rPr>
        <w:t>SAIMEX),</w:t>
      </w:r>
      <w:r w:rsidRPr="0072535F">
        <w:rPr>
          <w:rFonts w:ascii="Palatino Linotype" w:eastAsia="Palatino Linotype" w:hAnsi="Palatino Linotype" w:cs="Palatino Linotype"/>
        </w:rPr>
        <w:t xml:space="preserve"> la solicitud de acceso a la información pública registrada con el número </w:t>
      </w:r>
      <w:r w:rsidRPr="0072535F">
        <w:rPr>
          <w:rFonts w:ascii="Palatino Linotype" w:eastAsia="Palatino Linotype" w:hAnsi="Palatino Linotype" w:cs="Palatino Linotype"/>
          <w:b/>
        </w:rPr>
        <w:t xml:space="preserve">00277/FGJ/IP/2022, </w:t>
      </w:r>
      <w:r w:rsidRPr="0072535F">
        <w:rPr>
          <w:rFonts w:ascii="Palatino Linotype" w:eastAsia="Palatino Linotype" w:hAnsi="Palatino Linotype" w:cs="Palatino Linotype"/>
        </w:rPr>
        <w:t xml:space="preserve">mediante la cual requirió la información siguiente: </w:t>
      </w:r>
    </w:p>
    <w:p w:rsidR="009A2CCD" w:rsidRPr="0072535F" w:rsidRDefault="00860E18">
      <w:pPr>
        <w:spacing w:before="240" w:after="240" w:line="276" w:lineRule="auto"/>
        <w:ind w:left="851" w:right="616"/>
        <w:jc w:val="both"/>
        <w:rPr>
          <w:rFonts w:ascii="Palatino Linotype" w:eastAsia="Palatino Linotype" w:hAnsi="Palatino Linotype" w:cs="Palatino Linotype"/>
          <w:i/>
          <w:sz w:val="22"/>
          <w:szCs w:val="22"/>
        </w:rPr>
      </w:pPr>
      <w:bookmarkStart w:id="3" w:name="_heading=h.gjdgxs" w:colFirst="0" w:colLast="0"/>
      <w:bookmarkEnd w:id="3"/>
      <w:r w:rsidRPr="0072535F">
        <w:rPr>
          <w:rFonts w:ascii="Palatino Linotype" w:eastAsia="Palatino Linotype" w:hAnsi="Palatino Linotype" w:cs="Palatino Linotype"/>
          <w:i/>
          <w:sz w:val="22"/>
          <w:szCs w:val="22"/>
        </w:rPr>
        <w:t>“Solicito la información con la lista de Nombres, Cargos Y Sueldos de Todo el Personal del os diferentes Turnos que se encuentren laborando actualmente en la AGENCIA DEL MINISTERIO PUBLICO DE HUEHUETOCA.” (Sic)</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b/>
        </w:rPr>
        <w:t>Modalidad de Entrega:</w:t>
      </w:r>
      <w:r w:rsidRPr="0072535F">
        <w:rPr>
          <w:rFonts w:ascii="Palatino Linotype" w:eastAsia="Palatino Linotype" w:hAnsi="Palatino Linotype" w:cs="Palatino Linotype"/>
        </w:rPr>
        <w:t xml:space="preserve"> A través del Sistema de Acceso a la Información Mexiquense (SAIMEX).</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b/>
        </w:rPr>
        <w:lastRenderedPageBreak/>
        <w:t>2</w:t>
      </w:r>
      <w:r w:rsidRPr="0072535F">
        <w:rPr>
          <w:rFonts w:ascii="Palatino Linotype" w:eastAsia="Palatino Linotype" w:hAnsi="Palatino Linotype" w:cs="Palatino Linotype"/>
          <w:i/>
          <w:sz w:val="22"/>
          <w:szCs w:val="22"/>
        </w:rPr>
        <w:t xml:space="preserve">. </w:t>
      </w:r>
      <w:r w:rsidRPr="0072535F">
        <w:rPr>
          <w:rFonts w:ascii="Palatino Linotype" w:eastAsia="Palatino Linotype" w:hAnsi="Palatino Linotype" w:cs="Palatino Linotype"/>
          <w:b/>
        </w:rPr>
        <w:t xml:space="preserve">Prórroga. </w:t>
      </w:r>
      <w:r w:rsidRPr="0072535F">
        <w:rPr>
          <w:rFonts w:ascii="Palatino Linotype" w:eastAsia="Palatino Linotype" w:hAnsi="Palatino Linotype" w:cs="Palatino Linotype"/>
        </w:rPr>
        <w:t>El</w:t>
      </w:r>
      <w:r w:rsidRPr="0072535F">
        <w:rPr>
          <w:rFonts w:ascii="Palatino Linotype" w:eastAsia="Palatino Linotype" w:hAnsi="Palatino Linotype" w:cs="Palatino Linotype"/>
          <w:b/>
        </w:rPr>
        <w:t xml:space="preserve"> trece de mayo de do mil veintidós </w:t>
      </w:r>
      <w:r w:rsidRPr="0072535F">
        <w:rPr>
          <w:rFonts w:ascii="Palatino Linotype" w:eastAsia="Palatino Linotype" w:hAnsi="Palatino Linotype" w:cs="Palatino Linotype"/>
        </w:rPr>
        <w:t xml:space="preserve">el </w:t>
      </w:r>
      <w:r w:rsidRPr="0072535F">
        <w:rPr>
          <w:rFonts w:ascii="Palatino Linotype" w:eastAsia="Palatino Linotype" w:hAnsi="Palatino Linotype" w:cs="Palatino Linotype"/>
          <w:b/>
        </w:rPr>
        <w:t xml:space="preserve">SUJETO OBLIGADO </w:t>
      </w:r>
      <w:r w:rsidRPr="0072535F">
        <w:rPr>
          <w:rFonts w:ascii="Palatino Linotype" w:eastAsia="Palatino Linotype" w:hAnsi="Palatino Linotype" w:cs="Palatino Linotype"/>
        </w:rPr>
        <w:t xml:space="preserve">informó al entonces solicitante que el plazo de quince días hábiles para atender la solicitud de información se prorrogó por siete días en virtud de las siguientes razones: </w:t>
      </w:r>
    </w:p>
    <w:p w:rsidR="009A2CCD" w:rsidRPr="0072535F" w:rsidRDefault="00860E18">
      <w:pPr>
        <w:spacing w:before="240" w:after="240" w:line="276" w:lineRule="auto"/>
        <w:ind w:left="851" w:right="616"/>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 xml:space="preserve">“RESOLUCIÓN DE LA AMPLIACIÓN DE PLAZO PARA LA ENTREGA DE INFORMACIÓN DE LA SOLICITUD 00277/FGJ/IP/2022. El Comité de Transparencia de la Fiscalía General de Justicia del Estado de México, integrado por el Lic. Emmanuel Valdés Romero, suplente de la Titular de la Unidad de Transparencia de la Fiscalía General de Justicia del Estado de México; la Mtra. Claudia Romero Landázuri, Titular del Órgano Interno de Control; y el Lic. Delfino Rodríguez Manzanares, Coordinador de Archivos; tuvieron a bien reunirse siendo las 13:00 horas del día trece de mayo del año 2022, en la sala de juntas de la Oficialía Mayor de la Fiscalía antes citada, ubicada en Avenida José María Morelos y Pavón, número 1300 Oriente, Cuarto Piso, Colonia San Sebastián, C.P. 50090, Toluca de Lerdo, Estado de México. CONSIDERANDO I. El Comité de Transparencia de esta Fiscalía General de Justicia del Estado de México, es competente para conocer y resolver respecto de la solicitud y autorización de ampliación de plazo de entrega de información, con fundamento en el artículo 49, fracción II de la Ley de Transparencia y Acceso a la Información Pública del Estado de México y Municipios. La presente resolución, tiene sustento en lo dispuesto por el artículo 163, párrafo segundo de la Ley de Transparencia y Acceso a la Información Pública del Estado de México y Municipios, el cual señala lo siguiente: “Artículo 163. 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II. Con fecha veintiuno de abril del año 2022, se recibió las solicitud de información registrada con el número 00277/FGJ/IP/2022. III. Con fundamento en lo dispuesto en el artículo 163, párrafo segundo de la Ley de </w:t>
      </w:r>
      <w:r w:rsidRPr="0072535F">
        <w:rPr>
          <w:rFonts w:ascii="Palatino Linotype" w:eastAsia="Palatino Linotype" w:hAnsi="Palatino Linotype" w:cs="Palatino Linotype"/>
          <w:i/>
          <w:sz w:val="22"/>
          <w:szCs w:val="22"/>
        </w:rPr>
        <w:lastRenderedPageBreak/>
        <w:t>la materia, la solicitud de mérito fue turnada al Servidor Público Habilitado correspondiente, mismo que refiere que se está validando la información que obra en los archivos de la unidad administrativa, a efecto de que no sea errónea y en aras de privilegiar el principio de máxima publicidad, solicita una prórroga de siete días hábiles para la entrega de la información. Por lo antes expuesto, este Comité: RESUELVE PRIMERO. Aprobar la ampliación del plazo para la entrega de la información solicitada, por un periodo de siete días hábiles, los cuales correrán del 16 al 24 de mayo del año 2022. SEGUNDO. Notifíquese al C. SOLICITANTE la aprobación de la ampliación del plazo para dar contestación a su solitud de información. L. EN D. EMMANUEL VALDÉS ROMERO SUPLENTE DE LA TITULAR DE LA UNIDAD DE TRANSPARENCIA MTRA. CLAUDIA ROMERO LANDÁZURI TITULAR DEL ÓRGANO INTERNO DE CONTROL LIC. DELFINO RODRÍGUEZ MANZANARES COORDINADOR DE ARCHIVOS EVR.” (Sic)</w:t>
      </w:r>
    </w:p>
    <w:p w:rsidR="009A2CCD" w:rsidRPr="0072535F" w:rsidRDefault="00860E18">
      <w:pPr>
        <w:spacing w:before="240" w:after="240" w:line="360" w:lineRule="auto"/>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rPr>
        <w:t xml:space="preserve">3. Respuesta. </w:t>
      </w:r>
      <w:r w:rsidRPr="0072535F">
        <w:rPr>
          <w:rFonts w:ascii="Palatino Linotype" w:eastAsia="Palatino Linotype" w:hAnsi="Palatino Linotype" w:cs="Palatino Linotype"/>
        </w:rPr>
        <w:t xml:space="preserve"> El </w:t>
      </w:r>
      <w:r w:rsidRPr="0072535F">
        <w:rPr>
          <w:rFonts w:ascii="Palatino Linotype" w:eastAsia="Palatino Linotype" w:hAnsi="Palatino Linotype" w:cs="Palatino Linotype"/>
          <w:b/>
        </w:rPr>
        <w:t>veinticuatro de mayo de dos mil veintidós</w:t>
      </w:r>
      <w:r w:rsidRPr="0072535F">
        <w:rPr>
          <w:rFonts w:ascii="Palatino Linotype" w:eastAsia="Palatino Linotype" w:hAnsi="Palatino Linotype" w:cs="Palatino Linotype"/>
        </w:rPr>
        <w:t xml:space="preserve">, el </w:t>
      </w:r>
      <w:r w:rsidRPr="0072535F">
        <w:rPr>
          <w:rFonts w:ascii="Palatino Linotype" w:eastAsia="Palatino Linotype" w:hAnsi="Palatino Linotype" w:cs="Palatino Linotype"/>
          <w:b/>
        </w:rPr>
        <w:t>SUJETO OBLIGADO</w:t>
      </w:r>
      <w:r w:rsidRPr="0072535F">
        <w:rPr>
          <w:rFonts w:ascii="Palatino Linotype" w:eastAsia="Palatino Linotype" w:hAnsi="Palatino Linotype" w:cs="Palatino Linotype"/>
        </w:rPr>
        <w:t xml:space="preserve"> respondió a la solicitud de información en los términos siguientes:</w:t>
      </w:r>
    </w:p>
    <w:p w:rsidR="009A2CCD" w:rsidRPr="0072535F" w:rsidRDefault="00860E18">
      <w:pPr>
        <w:spacing w:before="240" w:after="240" w:line="276" w:lineRule="auto"/>
        <w:ind w:left="851" w:right="616"/>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“SE ANEXA RESPUESTA</w:t>
      </w:r>
      <w:r w:rsidRPr="0072535F">
        <w:rPr>
          <w:rFonts w:ascii="Palatino Linotype" w:eastAsia="Palatino Linotype" w:hAnsi="Palatino Linotype" w:cs="Palatino Linotype"/>
          <w:b/>
          <w:i/>
          <w:sz w:val="22"/>
          <w:szCs w:val="22"/>
        </w:rPr>
        <w:t>.” (</w:t>
      </w:r>
      <w:r w:rsidRPr="0072535F">
        <w:rPr>
          <w:rFonts w:ascii="Palatino Linotype" w:eastAsia="Palatino Linotype" w:hAnsi="Palatino Linotype" w:cs="Palatino Linotype"/>
          <w:i/>
          <w:sz w:val="22"/>
          <w:szCs w:val="22"/>
        </w:rPr>
        <w:t>Sic)</w:t>
      </w:r>
    </w:p>
    <w:p w:rsidR="009A2CCD" w:rsidRPr="0072535F" w:rsidRDefault="00860E18">
      <w:pPr>
        <w:spacing w:before="240" w:after="240" w:line="276" w:lineRule="auto"/>
        <w:ind w:right="49"/>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Manifestación a la que adjuntó los archivos electrónicos descritos en el siguiente orden: </w:t>
      </w:r>
    </w:p>
    <w:p w:rsidR="009A2CCD" w:rsidRPr="0072535F" w:rsidRDefault="00860E18">
      <w:pPr>
        <w:numPr>
          <w:ilvl w:val="0"/>
          <w:numId w:val="3"/>
        </w:numPr>
        <w:pBdr>
          <w:top w:val="nil"/>
          <w:left w:val="nil"/>
          <w:bottom w:val="nil"/>
          <w:right w:val="nil"/>
          <w:between w:val="nil"/>
        </w:pBdr>
        <w:spacing w:before="240" w:line="360" w:lineRule="auto"/>
        <w:ind w:right="49"/>
        <w:jc w:val="both"/>
        <w:rPr>
          <w:rFonts w:ascii="Palatino Linotype" w:eastAsia="Palatino Linotype" w:hAnsi="Palatino Linotype" w:cs="Palatino Linotype"/>
          <w:b/>
          <w:i/>
        </w:rPr>
      </w:pPr>
      <w:r w:rsidRPr="0072535F">
        <w:rPr>
          <w:rFonts w:ascii="Palatino Linotype" w:eastAsia="Palatino Linotype" w:hAnsi="Palatino Linotype" w:cs="Palatino Linotype"/>
          <w:b/>
          <w:i/>
        </w:rPr>
        <w:t xml:space="preserve">“ACUERDO 3822 (1).pdf”: </w:t>
      </w:r>
      <w:r w:rsidRPr="0072535F">
        <w:rPr>
          <w:rFonts w:ascii="Palatino Linotype" w:eastAsia="Palatino Linotype" w:hAnsi="Palatino Linotype" w:cs="Palatino Linotype"/>
        </w:rPr>
        <w:t xml:space="preserve">Contiene el Acuerdo 38/2022 que tiene por objeto clasificar como información reservada los nombres de los servidores públicos con funciones de personal operativo que actualmente laboran en la Agencia del Ministerio Público de Huehuetoca. </w:t>
      </w:r>
    </w:p>
    <w:p w:rsidR="009A2CCD" w:rsidRPr="0072535F" w:rsidRDefault="00860E18">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i/>
        </w:rPr>
      </w:pPr>
      <w:r w:rsidRPr="0072535F">
        <w:rPr>
          <w:rFonts w:ascii="Palatino Linotype" w:eastAsia="Palatino Linotype" w:hAnsi="Palatino Linotype" w:cs="Palatino Linotype"/>
          <w:b/>
          <w:i/>
        </w:rPr>
        <w:t xml:space="preserve">“277_2022_05_24_16_37_15_603.pdf”: </w:t>
      </w:r>
      <w:r w:rsidRPr="0072535F">
        <w:rPr>
          <w:rFonts w:ascii="Palatino Linotype" w:eastAsia="Palatino Linotype" w:hAnsi="Palatino Linotype" w:cs="Palatino Linotype"/>
        </w:rPr>
        <w:t xml:space="preserve">Se trata del oficio número 0789/MAIP/FGJ/2022 del veinte de mayo de dos mil veintidós, suscrito y signado por el Lider “A” de Proyecto Adscrito a la Unidad de Transparencia por medio del cual además de referir el Acuerdo 38/2022, manifestó que en </w:t>
      </w:r>
      <w:r w:rsidRPr="0072535F">
        <w:rPr>
          <w:rFonts w:ascii="Palatino Linotype" w:eastAsia="Palatino Linotype" w:hAnsi="Palatino Linotype" w:cs="Palatino Linotype"/>
        </w:rPr>
        <w:lastRenderedPageBreak/>
        <w:t xml:space="preserve">aras de privilegiar el principio de máxima publicidad por medio del oficio número 400LK2100/895/2022, la Dirección General de Administración de Personal y Nómina informó que en atención a que dicha Agencia del Ministerio depende de la Fiscalía Regional de Cuautitlán, remitió la relación de las diferentes categorías del personal administrativo y operativo que pertenece a la misma. </w:t>
      </w:r>
    </w:p>
    <w:p w:rsidR="009A2CCD" w:rsidRPr="0072535F" w:rsidRDefault="00860E18">
      <w:pPr>
        <w:pBdr>
          <w:top w:val="nil"/>
          <w:left w:val="nil"/>
          <w:bottom w:val="nil"/>
          <w:right w:val="nil"/>
          <w:between w:val="nil"/>
        </w:pBdr>
        <w:spacing w:line="360" w:lineRule="auto"/>
        <w:ind w:left="720" w:right="49"/>
        <w:jc w:val="center"/>
        <w:rPr>
          <w:rFonts w:ascii="Palatino Linotype" w:eastAsia="Palatino Linotype" w:hAnsi="Palatino Linotype" w:cs="Palatino Linotype"/>
          <w:b/>
          <w:i/>
        </w:rPr>
      </w:pPr>
      <w:r w:rsidRPr="0072535F">
        <w:rPr>
          <w:rFonts w:ascii="Palatino Linotype" w:eastAsia="Palatino Linotype" w:hAnsi="Palatino Linotype" w:cs="Palatino Linotype"/>
          <w:b/>
          <w:i/>
          <w:noProof/>
          <w:lang w:val="es-MX"/>
        </w:rPr>
        <w:drawing>
          <wp:inline distT="0" distB="0" distL="0" distR="0">
            <wp:extent cx="5163168" cy="3880954"/>
            <wp:effectExtent l="0" t="0" r="0" b="0"/>
            <wp:docPr id="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163168" cy="3880954"/>
                    </a:xfrm>
                    <a:prstGeom prst="rect">
                      <a:avLst/>
                    </a:prstGeom>
                    <a:ln/>
                  </pic:spPr>
                </pic:pic>
              </a:graphicData>
            </a:graphic>
          </wp:inline>
        </w:drawing>
      </w:r>
    </w:p>
    <w:p w:rsidR="009A2CCD" w:rsidRPr="0072535F" w:rsidRDefault="009A2CCD">
      <w:pPr>
        <w:pBdr>
          <w:top w:val="nil"/>
          <w:left w:val="nil"/>
          <w:bottom w:val="nil"/>
          <w:right w:val="nil"/>
          <w:between w:val="nil"/>
        </w:pBdr>
        <w:spacing w:after="240" w:line="360" w:lineRule="auto"/>
        <w:ind w:left="720" w:right="49"/>
        <w:jc w:val="both"/>
        <w:rPr>
          <w:rFonts w:ascii="Palatino Linotype" w:eastAsia="Palatino Linotype" w:hAnsi="Palatino Linotype" w:cs="Palatino Linotype"/>
          <w:b/>
          <w:i/>
        </w:rPr>
      </w:pPr>
    </w:p>
    <w:p w:rsidR="009A2CCD" w:rsidRPr="0072535F" w:rsidRDefault="009A2CCD">
      <w:pPr>
        <w:spacing w:before="240" w:after="240" w:line="276" w:lineRule="auto"/>
        <w:ind w:left="851" w:right="616"/>
        <w:jc w:val="both"/>
        <w:rPr>
          <w:rFonts w:ascii="Palatino Linotype" w:eastAsia="Palatino Linotype" w:hAnsi="Palatino Linotype" w:cs="Palatino Linotype"/>
        </w:rPr>
      </w:pPr>
    </w:p>
    <w:p w:rsidR="009A2CCD" w:rsidRPr="0072535F" w:rsidRDefault="00860E18">
      <w:pPr>
        <w:spacing w:before="240" w:after="240" w:line="360" w:lineRule="auto"/>
        <w:ind w:right="49"/>
        <w:jc w:val="both"/>
        <w:rPr>
          <w:rFonts w:ascii="Palatino Linotype" w:eastAsia="Palatino Linotype" w:hAnsi="Palatino Linotype" w:cs="Palatino Linotype"/>
        </w:rPr>
      </w:pPr>
      <w:r w:rsidRPr="0072535F">
        <w:rPr>
          <w:rFonts w:ascii="Palatino Linotype" w:eastAsia="Palatino Linotype" w:hAnsi="Palatino Linotype" w:cs="Palatino Linotype"/>
          <w:b/>
        </w:rPr>
        <w:lastRenderedPageBreak/>
        <w:t xml:space="preserve">4. Interposición del recurso de revisión.  </w:t>
      </w:r>
      <w:r w:rsidRPr="0072535F">
        <w:rPr>
          <w:rFonts w:ascii="Palatino Linotype" w:eastAsia="Palatino Linotype" w:hAnsi="Palatino Linotype" w:cs="Palatino Linotype"/>
        </w:rPr>
        <w:t xml:space="preserve">El </w:t>
      </w:r>
      <w:r w:rsidRPr="0072535F">
        <w:rPr>
          <w:rFonts w:ascii="Palatino Linotype" w:eastAsia="Palatino Linotype" w:hAnsi="Palatino Linotype" w:cs="Palatino Linotype"/>
          <w:b/>
        </w:rPr>
        <w:t xml:space="preserve">veinticinco de mayo de dos mil veintidós </w:t>
      </w:r>
      <w:r w:rsidRPr="0072535F">
        <w:rPr>
          <w:rFonts w:ascii="Palatino Linotype" w:eastAsia="Palatino Linotype" w:hAnsi="Palatino Linotype" w:cs="Palatino Linotype"/>
        </w:rPr>
        <w:t xml:space="preserve">el </w:t>
      </w:r>
      <w:r w:rsidRPr="0072535F">
        <w:rPr>
          <w:rFonts w:ascii="Palatino Linotype" w:eastAsia="Palatino Linotype" w:hAnsi="Palatino Linotype" w:cs="Palatino Linotype"/>
          <w:b/>
        </w:rPr>
        <w:t xml:space="preserve">RECURRENTE </w:t>
      </w:r>
      <w:r w:rsidRPr="0072535F">
        <w:rPr>
          <w:rFonts w:ascii="Palatino Linotype" w:eastAsia="Palatino Linotype" w:hAnsi="Palatino Linotype" w:cs="Palatino Linotype"/>
        </w:rPr>
        <w:t>inconforme con la respuesta, interpuso el recurso de revisión en el que expresó lo siguiente:</w:t>
      </w:r>
    </w:p>
    <w:p w:rsidR="009A2CCD" w:rsidRPr="0072535F" w:rsidRDefault="00860E18">
      <w:pPr>
        <w:spacing w:before="240" w:after="240" w:line="360" w:lineRule="auto"/>
        <w:ind w:right="49"/>
        <w:jc w:val="both"/>
        <w:rPr>
          <w:rFonts w:ascii="Palatino Linotype" w:eastAsia="Palatino Linotype" w:hAnsi="Palatino Linotype" w:cs="Palatino Linotype"/>
          <w:i/>
          <w:sz w:val="2"/>
          <w:szCs w:val="2"/>
        </w:rPr>
      </w:pPr>
      <w:r w:rsidRPr="0072535F">
        <w:rPr>
          <w:rFonts w:ascii="Palatino Linotype" w:eastAsia="Palatino Linotype" w:hAnsi="Palatino Linotype" w:cs="Palatino Linotype"/>
          <w:b/>
        </w:rPr>
        <w:t xml:space="preserve">Acto impugnado: </w:t>
      </w:r>
    </w:p>
    <w:p w:rsidR="009A2CCD" w:rsidRPr="0072535F" w:rsidRDefault="00860E18">
      <w:pPr>
        <w:spacing w:before="240" w:after="240" w:line="276" w:lineRule="auto"/>
        <w:ind w:left="851" w:right="616"/>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“LA CONTESTACIÓN QUE SE DA A LA PRESENTE SOLICITUD DE INFORMACIÓN." (Sic)</w:t>
      </w:r>
    </w:p>
    <w:p w:rsidR="009A2CCD" w:rsidRPr="0072535F" w:rsidRDefault="00860E18">
      <w:pPr>
        <w:spacing w:before="240" w:after="240" w:line="360" w:lineRule="auto"/>
        <w:ind w:right="616"/>
        <w:jc w:val="both"/>
        <w:rPr>
          <w:rFonts w:ascii="Palatino Linotype" w:eastAsia="Palatino Linotype" w:hAnsi="Palatino Linotype" w:cs="Palatino Linotype"/>
          <w:b/>
          <w:sz w:val="22"/>
          <w:szCs w:val="22"/>
        </w:rPr>
      </w:pPr>
      <w:r w:rsidRPr="0072535F">
        <w:rPr>
          <w:rFonts w:ascii="Palatino Linotype" w:eastAsia="Palatino Linotype" w:hAnsi="Palatino Linotype" w:cs="Palatino Linotype"/>
          <w:b/>
        </w:rPr>
        <w:t>Razones o motivos de inconformidad</w:t>
      </w:r>
      <w:r w:rsidRPr="0072535F">
        <w:rPr>
          <w:rFonts w:ascii="Palatino Linotype" w:eastAsia="Palatino Linotype" w:hAnsi="Palatino Linotype" w:cs="Palatino Linotype"/>
          <w:b/>
          <w:sz w:val="22"/>
          <w:szCs w:val="22"/>
        </w:rPr>
        <w:t xml:space="preserve">: </w:t>
      </w:r>
    </w:p>
    <w:p w:rsidR="009A2CCD" w:rsidRPr="0072535F" w:rsidRDefault="00860E18">
      <w:pPr>
        <w:spacing w:before="240" w:after="240" w:line="276" w:lineRule="auto"/>
        <w:ind w:left="851" w:right="616"/>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 xml:space="preserve">“EN LA SOLICITUD PEDI QUE SE ME INFORMARA LOS NOMBRES, CARGOS Y SUELDOS DE TODO EL PERSONAL QUE LABORA EN LA AGENCIA DEL MINISTERIO PUBLICO DE HUEHUETOCA SE ME NIEGA EL ACCESO A DICHA INFORMACION MANIFESTANDO DE QUE SE TRATA DE PERSONAL OPERATIVO, </w:t>
      </w:r>
      <w:r w:rsidRPr="0072535F">
        <w:rPr>
          <w:rFonts w:ascii="Palatino Linotype" w:eastAsia="Palatino Linotype" w:hAnsi="Palatino Linotype" w:cs="Palatino Linotype"/>
          <w:b/>
          <w:i/>
          <w:sz w:val="22"/>
          <w:szCs w:val="22"/>
          <w:u w:val="single"/>
        </w:rPr>
        <w:t>GENERALIZANDO A TODO EL PERSONAL COMO PERSONAL OPERATIVO</w:t>
      </w:r>
      <w:r w:rsidRPr="0072535F">
        <w:rPr>
          <w:rFonts w:ascii="Palatino Linotype" w:eastAsia="Palatino Linotype" w:hAnsi="Palatino Linotype" w:cs="Palatino Linotype"/>
          <w:i/>
          <w:sz w:val="22"/>
          <w:szCs w:val="22"/>
        </w:rPr>
        <w:t>, CUANDO LA SOLICITAD SE EFECTUO DE MANERA EXTENSIVA AL PERSONAL ADMINISTRATIVO Y DEMAS AREAS, NO PUEDE SER QUE TODO EL PERSONAL SEA OPERATIVO ADEMAS NO ES LA PRIMERA VEZ QUE SOLICITO ESTA INFORMACION Y NO LA SOLICITO CON FINES ILICITOS QUIERO SABER QUE PUESTO Y CARGO OCUPA UNA PERSONA QUE RESPONDE AL NOMBRE DE LUIS ENRIQUE AGUILAR ROQUE O LUIS EDUARDO AGUILAR ROQUE YA QUE ESTA PERSONA PRESUNTAMENTE DICE SER AGENTE DEL MINISTERIO PUBLICO DE HUEHUETOCA Y ME SURGE LA INQUIETUD PORQUE NO ES UNA PERSONA TITULADA, ESE ES EL MOTIVO PRINCIPAL." (Sic)</w:t>
      </w:r>
    </w:p>
    <w:p w:rsidR="009A2CCD" w:rsidRPr="0072535F" w:rsidRDefault="009A2CCD">
      <w:pPr>
        <w:spacing w:before="240" w:after="240" w:line="360" w:lineRule="auto"/>
        <w:jc w:val="both"/>
        <w:rPr>
          <w:rFonts w:ascii="Palatino Linotype" w:eastAsia="Palatino Linotype" w:hAnsi="Palatino Linotype" w:cs="Palatino Linotype"/>
          <w:sz w:val="2"/>
          <w:szCs w:val="2"/>
        </w:rPr>
      </w:pPr>
    </w:p>
    <w:p w:rsidR="009A2CCD" w:rsidRPr="0072535F" w:rsidRDefault="009A2CCD">
      <w:pPr>
        <w:spacing w:before="240" w:after="240" w:line="360" w:lineRule="auto"/>
        <w:jc w:val="both"/>
        <w:rPr>
          <w:rFonts w:ascii="Palatino Linotype" w:eastAsia="Palatino Linotype" w:hAnsi="Palatino Linotype" w:cs="Palatino Linotype"/>
          <w:sz w:val="2"/>
          <w:szCs w:val="2"/>
        </w:rPr>
      </w:pP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b/>
        </w:rPr>
        <w:t>5. Turno.</w:t>
      </w:r>
      <w:r w:rsidRPr="0072535F">
        <w:rPr>
          <w:rFonts w:ascii="Palatino Linotype" w:eastAsia="Palatino Linotype" w:hAnsi="Palatino Linotype" w:cs="Palatino Linotype"/>
          <w:b/>
          <w:sz w:val="28"/>
          <w:szCs w:val="28"/>
        </w:rPr>
        <w:t xml:space="preserve"> </w:t>
      </w:r>
      <w:r w:rsidRPr="0072535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w:t>
      </w:r>
      <w:r w:rsidRPr="0072535F">
        <w:rPr>
          <w:rFonts w:ascii="Palatino Linotype" w:eastAsia="Palatino Linotype" w:hAnsi="Palatino Linotype" w:cs="Palatino Linotype"/>
        </w:rPr>
        <w:lastRenderedPageBreak/>
        <w:t xml:space="preserve">Transparencia, Acceso a la Información Pública y Protección de Datos Personales del Estado de México y Municipios, a la Comisionada </w:t>
      </w:r>
      <w:r w:rsidRPr="0072535F">
        <w:rPr>
          <w:rFonts w:ascii="Palatino Linotype" w:eastAsia="Palatino Linotype" w:hAnsi="Palatino Linotype" w:cs="Palatino Linotype"/>
          <w:b/>
        </w:rPr>
        <w:t xml:space="preserve">Guadalupe Ramírez Peña, </w:t>
      </w:r>
      <w:r w:rsidRPr="0072535F">
        <w:rPr>
          <w:rFonts w:ascii="Palatino Linotype" w:eastAsia="Palatino Linotype" w:hAnsi="Palatino Linotype" w:cs="Palatino Linotype"/>
        </w:rPr>
        <w:t>a efecto de que analizara sobre su admisión o su desechamiento.</w:t>
      </w:r>
    </w:p>
    <w:p w:rsidR="009A2CCD" w:rsidRPr="0072535F" w:rsidRDefault="00860E18">
      <w:pPr>
        <w:spacing w:before="240" w:after="240" w:line="360" w:lineRule="auto"/>
        <w:jc w:val="both"/>
        <w:rPr>
          <w:rFonts w:ascii="Palatino Linotype" w:eastAsia="Palatino Linotype" w:hAnsi="Palatino Linotype" w:cs="Palatino Linotype"/>
          <w:b/>
        </w:rPr>
      </w:pPr>
      <w:r w:rsidRPr="0072535F">
        <w:rPr>
          <w:rFonts w:ascii="Palatino Linotype" w:eastAsia="Palatino Linotype" w:hAnsi="Palatino Linotype" w:cs="Palatino Linotype"/>
          <w:b/>
        </w:rPr>
        <w:t>6.</w:t>
      </w:r>
      <w:r w:rsidRPr="0072535F">
        <w:rPr>
          <w:rFonts w:ascii="Palatino Linotype" w:eastAsia="Palatino Linotype" w:hAnsi="Palatino Linotype" w:cs="Palatino Linotype"/>
          <w:b/>
          <w:i/>
        </w:rPr>
        <w:t xml:space="preserve"> </w:t>
      </w:r>
      <w:r w:rsidRPr="0072535F">
        <w:rPr>
          <w:rFonts w:ascii="Palatino Linotype" w:eastAsia="Palatino Linotype" w:hAnsi="Palatino Linotype" w:cs="Palatino Linotype"/>
          <w:b/>
        </w:rPr>
        <w:t>Admisión del Recurso de revisión.</w:t>
      </w:r>
      <w:r w:rsidRPr="0072535F">
        <w:rPr>
          <w:rFonts w:ascii="Palatino Linotype" w:eastAsia="Palatino Linotype" w:hAnsi="Palatino Linotype" w:cs="Palatino Linotype"/>
          <w:sz w:val="28"/>
          <w:szCs w:val="28"/>
        </w:rPr>
        <w:t xml:space="preserve"> El</w:t>
      </w:r>
      <w:r w:rsidRPr="0072535F">
        <w:rPr>
          <w:rFonts w:ascii="Palatino Linotype" w:eastAsia="Palatino Linotype" w:hAnsi="Palatino Linotype" w:cs="Palatino Linotype"/>
          <w:b/>
        </w:rPr>
        <w:t xml:space="preserve"> treinta y uno de mayo de dos mil veintidós, </w:t>
      </w:r>
      <w:r w:rsidRPr="0072535F">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72535F">
        <w:rPr>
          <w:rFonts w:ascii="Palatino Linotype" w:eastAsia="Palatino Linotype" w:hAnsi="Palatino Linotype" w:cs="Palatino Linotype"/>
          <w:b/>
        </w:rPr>
        <w:t>SUJETO OBLIGADO</w:t>
      </w:r>
      <w:r w:rsidRPr="0072535F">
        <w:rPr>
          <w:rFonts w:ascii="Palatino Linotype" w:eastAsia="Palatino Linotype" w:hAnsi="Palatino Linotype" w:cs="Palatino Linotype"/>
        </w:rPr>
        <w:t xml:space="preserve"> presentara su informe justificado.</w:t>
      </w:r>
    </w:p>
    <w:p w:rsidR="009A2CCD" w:rsidRPr="0072535F" w:rsidRDefault="00860E18">
      <w:pPr>
        <w:widowControl w:val="0"/>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b/>
        </w:rPr>
        <w:t>7. Manifestaciones</w:t>
      </w:r>
      <w:r w:rsidRPr="0072535F">
        <w:rPr>
          <w:rFonts w:ascii="Palatino Linotype" w:eastAsia="Palatino Linotype" w:hAnsi="Palatino Linotype" w:cs="Palatino Linotype"/>
        </w:rPr>
        <w:t xml:space="preserve">. El </w:t>
      </w:r>
      <w:r w:rsidRPr="0072535F">
        <w:rPr>
          <w:rFonts w:ascii="Palatino Linotype" w:eastAsia="Palatino Linotype" w:hAnsi="Palatino Linotype" w:cs="Palatino Linotype"/>
          <w:b/>
        </w:rPr>
        <w:t xml:space="preserve">diez de junio de dos mil veintidós </w:t>
      </w:r>
      <w:r w:rsidRPr="0072535F">
        <w:rPr>
          <w:rFonts w:ascii="Palatino Linotype" w:eastAsia="Palatino Linotype" w:hAnsi="Palatino Linotype" w:cs="Palatino Linotype"/>
        </w:rPr>
        <w:t xml:space="preserve">el </w:t>
      </w:r>
      <w:r w:rsidRPr="0072535F">
        <w:rPr>
          <w:rFonts w:ascii="Palatino Linotype" w:eastAsia="Palatino Linotype" w:hAnsi="Palatino Linotype" w:cs="Palatino Linotype"/>
          <w:b/>
        </w:rPr>
        <w:t xml:space="preserve">SUJETO OBLIGADO </w:t>
      </w:r>
      <w:r w:rsidRPr="0072535F">
        <w:rPr>
          <w:rFonts w:ascii="Palatino Linotype" w:eastAsia="Palatino Linotype" w:hAnsi="Palatino Linotype" w:cs="Palatino Linotype"/>
        </w:rPr>
        <w:t xml:space="preserve">rindió su informe justificado para manifestar lo que a su derecho asistiera y conviniera, adjuntando los siguientes archivos electrónicos: </w:t>
      </w:r>
    </w:p>
    <w:p w:rsidR="009A2CCD" w:rsidRPr="0072535F" w:rsidRDefault="00860E18">
      <w:pPr>
        <w:widowControl w:val="0"/>
        <w:numPr>
          <w:ilvl w:val="0"/>
          <w:numId w:val="2"/>
        </w:numPr>
        <w:pBdr>
          <w:top w:val="nil"/>
          <w:left w:val="nil"/>
          <w:bottom w:val="nil"/>
          <w:right w:val="nil"/>
          <w:between w:val="nil"/>
        </w:pBdr>
        <w:spacing w:before="240" w:line="360" w:lineRule="auto"/>
        <w:ind w:left="851" w:hanging="284"/>
        <w:jc w:val="both"/>
        <w:rPr>
          <w:rFonts w:ascii="Palatino Linotype" w:eastAsia="Palatino Linotype" w:hAnsi="Palatino Linotype" w:cs="Palatino Linotype"/>
          <w:b/>
          <w:i/>
        </w:rPr>
      </w:pPr>
      <w:r w:rsidRPr="0072535F">
        <w:rPr>
          <w:rFonts w:ascii="Palatino Linotype" w:eastAsia="Palatino Linotype" w:hAnsi="Palatino Linotype" w:cs="Palatino Linotype"/>
          <w:b/>
          <w:i/>
        </w:rPr>
        <w:t xml:space="preserve">“informe 9099_2022_06_10_11_38_00_727.pdf”: </w:t>
      </w:r>
      <w:r w:rsidRPr="0072535F">
        <w:rPr>
          <w:rFonts w:ascii="Palatino Linotype" w:eastAsia="Palatino Linotype" w:hAnsi="Palatino Linotype" w:cs="Palatino Linotype"/>
        </w:rPr>
        <w:t xml:space="preserve">Oficio 0970/MAIP/FGJ/2022 de fecha ocho de junio de dos mil veintidós, suscrito y signado por la Encargada de Despacho de la Unidad de Transparencia, por medio del cual confirmó la respuesta emitida en la solicitud de acceso a la información pública número 00277/FGJ/IP/2022. </w:t>
      </w:r>
    </w:p>
    <w:p w:rsidR="009A2CCD" w:rsidRPr="0072535F" w:rsidRDefault="009A2CCD">
      <w:pPr>
        <w:widowControl w:val="0"/>
        <w:pBdr>
          <w:top w:val="nil"/>
          <w:left w:val="nil"/>
          <w:bottom w:val="nil"/>
          <w:right w:val="nil"/>
          <w:between w:val="nil"/>
        </w:pBdr>
        <w:spacing w:line="360" w:lineRule="auto"/>
        <w:ind w:left="851"/>
        <w:jc w:val="both"/>
        <w:rPr>
          <w:rFonts w:ascii="Palatino Linotype" w:eastAsia="Palatino Linotype" w:hAnsi="Palatino Linotype" w:cs="Palatino Linotype"/>
          <w:b/>
          <w:i/>
        </w:rPr>
      </w:pPr>
    </w:p>
    <w:p w:rsidR="009A2CCD" w:rsidRPr="0072535F" w:rsidRDefault="00860E18">
      <w:pPr>
        <w:widowControl w:val="0"/>
        <w:numPr>
          <w:ilvl w:val="0"/>
          <w:numId w:val="2"/>
        </w:numPr>
        <w:pBdr>
          <w:top w:val="nil"/>
          <w:left w:val="nil"/>
          <w:bottom w:val="nil"/>
          <w:right w:val="nil"/>
          <w:between w:val="nil"/>
        </w:pBdr>
        <w:spacing w:after="240" w:line="360" w:lineRule="auto"/>
        <w:ind w:left="851" w:hanging="284"/>
        <w:jc w:val="both"/>
        <w:rPr>
          <w:rFonts w:ascii="Palatino Linotype" w:eastAsia="Palatino Linotype" w:hAnsi="Palatino Linotype" w:cs="Palatino Linotype"/>
          <w:b/>
          <w:i/>
        </w:rPr>
      </w:pPr>
      <w:r w:rsidRPr="0072535F">
        <w:rPr>
          <w:rFonts w:ascii="Palatino Linotype" w:eastAsia="Palatino Linotype" w:hAnsi="Palatino Linotype" w:cs="Palatino Linotype"/>
          <w:b/>
          <w:i/>
        </w:rPr>
        <w:t xml:space="preserve">“informe 9099oficio_2022_06_10_11_38_45_569.pdf”: </w:t>
      </w:r>
      <w:r w:rsidRPr="0072535F">
        <w:rPr>
          <w:rFonts w:ascii="Palatino Linotype" w:eastAsia="Palatino Linotype" w:hAnsi="Palatino Linotype" w:cs="Palatino Linotype"/>
        </w:rPr>
        <w:t xml:space="preserve">Oficio 0971/MAIP/FGJ/2022 de fecha ocho de junio de dos mil veintidós, suscrito y signado par la Encargada de Despacho de la Unidad de Transparencia, a </w:t>
      </w:r>
      <w:r w:rsidRPr="0072535F">
        <w:rPr>
          <w:rFonts w:ascii="Palatino Linotype" w:eastAsia="Palatino Linotype" w:hAnsi="Palatino Linotype" w:cs="Palatino Linotype"/>
        </w:rPr>
        <w:lastRenderedPageBreak/>
        <w:t xml:space="preserve">través del cual adjuntó el Informe Justificado correspondiente. </w:t>
      </w:r>
    </w:p>
    <w:p w:rsidR="009A2CCD" w:rsidRPr="0072535F" w:rsidRDefault="00860E18">
      <w:pPr>
        <w:widowControl w:val="0"/>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Documentos que en fecha diecinueve de septiembre de dos mil veintidós se pusieron a la vista del </w:t>
      </w:r>
      <w:r w:rsidRPr="0072535F">
        <w:rPr>
          <w:rFonts w:ascii="Palatino Linotype" w:eastAsia="Palatino Linotype" w:hAnsi="Palatino Linotype" w:cs="Palatino Linotype"/>
          <w:b/>
        </w:rPr>
        <w:t xml:space="preserve">RECURRENTE </w:t>
      </w:r>
      <w:r w:rsidRPr="0072535F">
        <w:rPr>
          <w:rFonts w:ascii="Palatino Linotype" w:eastAsia="Palatino Linotype" w:hAnsi="Palatino Linotype" w:cs="Palatino Linotype"/>
        </w:rPr>
        <w:t>quien</w:t>
      </w:r>
      <w:r w:rsidRPr="0072535F">
        <w:rPr>
          <w:rFonts w:ascii="Palatino Linotype" w:eastAsia="Palatino Linotype" w:hAnsi="Palatino Linotype" w:cs="Palatino Linotype"/>
          <w:b/>
        </w:rPr>
        <w:t xml:space="preserve"> </w:t>
      </w:r>
      <w:r w:rsidRPr="0072535F">
        <w:rPr>
          <w:rFonts w:ascii="Palatino Linotype" w:eastAsia="Palatino Linotype" w:hAnsi="Palatino Linotype" w:cs="Palatino Linotype"/>
        </w:rPr>
        <w:t xml:space="preserve">no realizó manifestaciones, no formuló alegatos ni ofreció ningún medio de prueba. </w:t>
      </w:r>
    </w:p>
    <w:p w:rsidR="009A2CCD" w:rsidRPr="0072535F" w:rsidRDefault="00860E18">
      <w:pPr>
        <w:widowControl w:val="0"/>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b/>
        </w:rPr>
        <w:t>8.</w:t>
      </w:r>
      <w:r w:rsidRPr="0072535F">
        <w:rPr>
          <w:rFonts w:ascii="Palatino Linotype" w:eastAsia="Palatino Linotype" w:hAnsi="Palatino Linotype" w:cs="Palatino Linotype"/>
        </w:rPr>
        <w:t xml:space="preserve"> </w:t>
      </w:r>
      <w:r w:rsidRPr="0072535F">
        <w:rPr>
          <w:rFonts w:ascii="Palatino Linotype" w:eastAsia="Palatino Linotype" w:hAnsi="Palatino Linotype" w:cs="Palatino Linotype"/>
          <w:b/>
        </w:rPr>
        <w:t xml:space="preserve">Ampliación del plazo para emitir resolución. </w:t>
      </w:r>
      <w:r w:rsidRPr="0072535F">
        <w:rPr>
          <w:rFonts w:ascii="Palatino Linotype" w:eastAsia="Palatino Linotype" w:hAnsi="Palatino Linotype" w:cs="Palatino Linotype"/>
        </w:rPr>
        <w:t xml:space="preserve">El </w:t>
      </w:r>
      <w:r w:rsidRPr="0072535F">
        <w:rPr>
          <w:rFonts w:ascii="Palatino Linotype" w:eastAsia="Palatino Linotype" w:hAnsi="Palatino Linotype" w:cs="Palatino Linotype"/>
          <w:b/>
        </w:rPr>
        <w:t>veinte de septiembre de dos mil veintidós</w:t>
      </w:r>
      <w:r w:rsidRPr="0072535F">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9A2CCD" w:rsidRPr="0072535F" w:rsidRDefault="00860E18">
      <w:pPr>
        <w:spacing w:before="240" w:after="240" w:line="360" w:lineRule="auto"/>
        <w:jc w:val="both"/>
        <w:rPr>
          <w:rFonts w:ascii="Palatino Linotype" w:eastAsia="Palatino Linotype" w:hAnsi="Palatino Linotype" w:cs="Palatino Linotype"/>
          <w:strike/>
        </w:rPr>
      </w:pPr>
      <w:r w:rsidRPr="0072535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9A2CCD" w:rsidRPr="0072535F" w:rsidRDefault="00860E18">
      <w:pPr>
        <w:numPr>
          <w:ilvl w:val="0"/>
          <w:numId w:val="1"/>
        </w:num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9A2CCD" w:rsidRPr="0072535F" w:rsidRDefault="00860E18">
      <w:pPr>
        <w:numPr>
          <w:ilvl w:val="0"/>
          <w:numId w:val="1"/>
        </w:num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Actividad Procesal del interesado. Acciones u omisiones del interesado.</w:t>
      </w:r>
    </w:p>
    <w:p w:rsidR="009A2CCD" w:rsidRPr="0072535F" w:rsidRDefault="00860E18">
      <w:pPr>
        <w:numPr>
          <w:ilvl w:val="0"/>
          <w:numId w:val="1"/>
        </w:num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Conducta de la Autoridad: Las Acciones u omisiones realizadas en el procedimiento. Así como si la autoridad actuó con la debida diligencia.</w:t>
      </w:r>
    </w:p>
    <w:p w:rsidR="009A2CCD" w:rsidRPr="0072535F" w:rsidRDefault="00860E18">
      <w:pPr>
        <w:numPr>
          <w:ilvl w:val="0"/>
          <w:numId w:val="1"/>
        </w:num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La afectación generada en la situación jurídica de la persona involucrada en el proceso: Violación a sus derechos humanos.</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9A2CCD" w:rsidRPr="0072535F" w:rsidRDefault="00860E18">
      <w:pPr>
        <w:spacing w:before="240" w:after="240" w:line="360" w:lineRule="auto"/>
        <w:jc w:val="both"/>
        <w:rPr>
          <w:rFonts w:ascii="Palatino Linotype" w:eastAsia="Palatino Linotype" w:hAnsi="Palatino Linotype" w:cs="Palatino Linotype"/>
          <w:b/>
        </w:rPr>
      </w:pPr>
      <w:r w:rsidRPr="0072535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2535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2535F">
        <w:rPr>
          <w:rFonts w:ascii="Palatino Linotype" w:eastAsia="Palatino Linotype" w:hAnsi="Palatino Linotype" w:cs="Palatino Linotype"/>
        </w:rPr>
        <w:t>, visible en la Gaceta del Seminario Judicial de la Federación con el registro digital 205635.</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 </w:t>
      </w:r>
      <w:r w:rsidRPr="0072535F">
        <w:rPr>
          <w:rFonts w:ascii="Palatino Linotype" w:eastAsia="Palatino Linotype" w:hAnsi="Palatino Linotype" w:cs="Palatino Linotype"/>
          <w:i/>
        </w:rPr>
        <w:t>“PLAZO RAZONABLE PARA RESOLVER. DIMENSIÓN Y EFECTOS DE ESTE CONCEPTO CUANDO SE ADUCE EXCESIVA CARGA DE TRABAJO.”</w:t>
      </w:r>
      <w:r w:rsidRPr="0072535F">
        <w:rPr>
          <w:rFonts w:ascii="Palatino Linotype" w:eastAsia="Palatino Linotype" w:hAnsi="Palatino Linotype" w:cs="Palatino Linotype"/>
        </w:rPr>
        <w:t xml:space="preserve"> consultable en el Seminario Judicial de la Federación y su gaceta, con el registro digital 2002351.</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i/>
        </w:rPr>
        <w:t>“PLAZO RAZONABLE PARA RESOLVER. CONCEPTO Y ELEMENTOS QUE LO INTEGRAN A LA LUZ DEL DERECHO INTERNACIONAL DE LOS DERECHOS HUMANOS.”</w:t>
      </w:r>
      <w:r w:rsidRPr="0072535F">
        <w:rPr>
          <w:rFonts w:ascii="Palatino Linotype" w:eastAsia="Palatino Linotype" w:hAnsi="Palatino Linotype" w:cs="Palatino Linotype"/>
        </w:rPr>
        <w:t>, visible en el Seminario Judicial de la Federación y su gaceta, con el registro digital 2002350.</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b/>
        </w:rPr>
        <w:t xml:space="preserve">8. Cierre de instrucción. </w:t>
      </w:r>
      <w:r w:rsidRPr="0072535F">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72535F">
        <w:rPr>
          <w:rFonts w:ascii="Palatino Linotype" w:eastAsia="Palatino Linotype" w:hAnsi="Palatino Linotype" w:cs="Palatino Linotype"/>
          <w:b/>
        </w:rPr>
        <w:t>veintitrés de septiembre de dos mil veintidós</w:t>
      </w:r>
      <w:r w:rsidRPr="0072535F">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9A2CCD" w:rsidRPr="0072535F" w:rsidRDefault="00860E18">
      <w:pPr>
        <w:widowControl w:val="0"/>
        <w:spacing w:before="240" w:after="240" w:line="360" w:lineRule="auto"/>
        <w:jc w:val="both"/>
        <w:rPr>
          <w:rFonts w:ascii="Palatino Linotype" w:eastAsia="Palatino Linotype" w:hAnsi="Palatino Linotype" w:cs="Palatino Linotype"/>
          <w:b/>
        </w:rPr>
      </w:pPr>
      <w:r w:rsidRPr="0072535F">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w:t>
      </w:r>
      <w:r w:rsidRPr="0072535F">
        <w:rPr>
          <w:rFonts w:ascii="Palatino Linotype" w:eastAsia="Palatino Linotype" w:hAnsi="Palatino Linotype" w:cs="Palatino Linotype"/>
        </w:rPr>
        <w:lastRenderedPageBreak/>
        <w:t>proceda, de acuerdo con los siguientes:</w:t>
      </w:r>
      <w:r w:rsidRPr="0072535F">
        <w:rPr>
          <w:rFonts w:ascii="Palatino Linotype" w:eastAsia="Palatino Linotype" w:hAnsi="Palatino Linotype" w:cs="Palatino Linotype"/>
          <w:b/>
        </w:rPr>
        <w:t xml:space="preserve"> </w:t>
      </w:r>
    </w:p>
    <w:p w:rsidR="009A2CCD" w:rsidRPr="0072535F" w:rsidRDefault="00860E18">
      <w:pPr>
        <w:widowControl w:val="0"/>
        <w:spacing w:before="240" w:after="240" w:line="360" w:lineRule="auto"/>
        <w:jc w:val="center"/>
        <w:rPr>
          <w:rFonts w:ascii="Palatino Linotype" w:eastAsia="Palatino Linotype" w:hAnsi="Palatino Linotype" w:cs="Palatino Linotype"/>
          <w:b/>
        </w:rPr>
      </w:pPr>
      <w:r w:rsidRPr="0072535F">
        <w:rPr>
          <w:rFonts w:ascii="Palatino Linotype" w:eastAsia="Palatino Linotype" w:hAnsi="Palatino Linotype" w:cs="Palatino Linotype"/>
          <w:b/>
        </w:rPr>
        <w:t>II. C O N S I D E R A N D O S</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b/>
        </w:rPr>
        <w:t>Primero. Competencia.</w:t>
      </w:r>
      <w:r w:rsidRPr="0072535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9A2CCD" w:rsidRPr="0072535F" w:rsidRDefault="00860E18">
      <w:pPr>
        <w:spacing w:before="240" w:after="240" w:line="360" w:lineRule="auto"/>
        <w:jc w:val="both"/>
        <w:rPr>
          <w:rFonts w:ascii="Palatino Linotype" w:eastAsia="Palatino Linotype" w:hAnsi="Palatino Linotype" w:cs="Palatino Linotype"/>
        </w:rPr>
      </w:pPr>
      <w:bookmarkStart w:id="4" w:name="_heading=h.1fob9te" w:colFirst="0" w:colLast="0"/>
      <w:bookmarkEnd w:id="4"/>
      <w:r w:rsidRPr="0072535F">
        <w:rPr>
          <w:rFonts w:ascii="Palatino Linotype" w:eastAsia="Palatino Linotype" w:hAnsi="Palatino Linotype" w:cs="Palatino Linotype"/>
          <w:b/>
        </w:rPr>
        <w:t>Segundo. Oportunidad y Procedibilidad del Recurso de Revisión</w:t>
      </w:r>
      <w:r w:rsidRPr="0072535F">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9A2CCD" w:rsidRPr="0072535F" w:rsidRDefault="00860E18">
      <w:pPr>
        <w:spacing w:before="240" w:after="240" w:line="360" w:lineRule="auto"/>
        <w:ind w:right="49"/>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72535F">
        <w:rPr>
          <w:rFonts w:ascii="Palatino Linotype" w:eastAsia="Palatino Linotype" w:hAnsi="Palatino Linotype" w:cs="Palatino Linotype"/>
          <w:b/>
        </w:rPr>
        <w:t>SUJETO OBLIGADO</w:t>
      </w:r>
      <w:r w:rsidRPr="0072535F">
        <w:rPr>
          <w:rFonts w:ascii="Palatino Linotype" w:eastAsia="Palatino Linotype" w:hAnsi="Palatino Linotype" w:cs="Palatino Linotype"/>
        </w:rPr>
        <w:t xml:space="preserve"> respondió a la solicitud de información el </w:t>
      </w:r>
      <w:r w:rsidRPr="0072535F">
        <w:rPr>
          <w:rFonts w:ascii="Palatino Linotype" w:eastAsia="Palatino Linotype" w:hAnsi="Palatino Linotype" w:cs="Palatino Linotype"/>
          <w:b/>
        </w:rPr>
        <w:t xml:space="preserve">veinticuatro de mayo de dos mil </w:t>
      </w:r>
      <w:r w:rsidRPr="0072535F">
        <w:rPr>
          <w:rFonts w:ascii="Palatino Linotype" w:eastAsia="Palatino Linotype" w:hAnsi="Palatino Linotype" w:cs="Palatino Linotype"/>
          <w:b/>
        </w:rPr>
        <w:lastRenderedPageBreak/>
        <w:t xml:space="preserve">veintidós, </w:t>
      </w:r>
      <w:r w:rsidRPr="0072535F">
        <w:rPr>
          <w:rFonts w:ascii="Palatino Linotype" w:eastAsia="Palatino Linotype" w:hAnsi="Palatino Linotype" w:cs="Palatino Linotype"/>
        </w:rPr>
        <w:t xml:space="preserve">mientras que el recurso de revisión se interpuso el </w:t>
      </w:r>
      <w:r w:rsidRPr="0072535F">
        <w:rPr>
          <w:rFonts w:ascii="Palatino Linotype" w:eastAsia="Palatino Linotype" w:hAnsi="Palatino Linotype" w:cs="Palatino Linotype"/>
          <w:b/>
        </w:rPr>
        <w:t>veinticinco de mayo de dos mil veintidós</w:t>
      </w:r>
      <w:r w:rsidRPr="0072535F">
        <w:rPr>
          <w:rFonts w:ascii="Palatino Linotype" w:eastAsia="Palatino Linotype" w:hAnsi="Palatino Linotype" w:cs="Palatino Linotype"/>
        </w:rPr>
        <w:t>, esto es, el primer día hábil posterior en que tuvo conocimiento de la respuesta impugnada.</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En este sentido, al considerar la fecha en que se formuló la solicitud y la fecha en que respondió a esta el </w:t>
      </w:r>
      <w:r w:rsidRPr="0072535F">
        <w:rPr>
          <w:rFonts w:ascii="Palatino Linotype" w:eastAsia="Palatino Linotype" w:hAnsi="Palatino Linotype" w:cs="Palatino Linotype"/>
          <w:b/>
        </w:rPr>
        <w:t>SUJETO OBLIGADO</w:t>
      </w:r>
      <w:r w:rsidRPr="0072535F">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9A2CCD" w:rsidRPr="0072535F" w:rsidRDefault="00860E18">
      <w:pPr>
        <w:spacing w:before="240" w:after="240" w:line="360" w:lineRule="auto"/>
        <w:jc w:val="both"/>
        <w:rPr>
          <w:rFonts w:ascii="Palatino Linotype" w:eastAsia="Palatino Linotype" w:hAnsi="Palatino Linotype" w:cs="Palatino Linotype"/>
          <w:b/>
        </w:rPr>
      </w:pPr>
      <w:r w:rsidRPr="0072535F">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sidRPr="0072535F">
        <w:rPr>
          <w:rFonts w:ascii="Palatino Linotype" w:eastAsia="Palatino Linotype" w:hAnsi="Palatino Linotype" w:cs="Palatino Linotype"/>
          <w:b/>
        </w:rPr>
        <w:t xml:space="preserve"> SAIMEX. </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Finalmente, se advierte que resulta procedente la interposición del recurso, según lo manifestado por el </w:t>
      </w:r>
      <w:r w:rsidRPr="0072535F">
        <w:rPr>
          <w:rFonts w:ascii="Palatino Linotype" w:eastAsia="Palatino Linotype" w:hAnsi="Palatino Linotype" w:cs="Palatino Linotype"/>
          <w:b/>
        </w:rPr>
        <w:t>RECURRENTE</w:t>
      </w:r>
      <w:r w:rsidRPr="0072535F">
        <w:rPr>
          <w:rFonts w:ascii="Palatino Linotype" w:eastAsia="Palatino Linotype" w:hAnsi="Palatino Linotype" w:cs="Palatino Linotype"/>
        </w:rPr>
        <w:t xml:space="preserve"> en sus motivos de inconformidad, de acuerdo al artículo 179, fracción I del ordenamiento legal citado, que a la letra dice: </w:t>
      </w:r>
    </w:p>
    <w:p w:rsidR="009A2CCD" w:rsidRPr="0072535F" w:rsidRDefault="00860E18">
      <w:pPr>
        <w:tabs>
          <w:tab w:val="left" w:pos="7088"/>
        </w:tabs>
        <w:spacing w:before="240" w:after="240"/>
        <w:ind w:left="851" w:right="616"/>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w:t>
      </w:r>
      <w:r w:rsidRPr="0072535F">
        <w:rPr>
          <w:rFonts w:ascii="Palatino Linotype" w:eastAsia="Palatino Linotype" w:hAnsi="Palatino Linotype" w:cs="Palatino Linotype"/>
          <w:b/>
          <w:i/>
          <w:sz w:val="22"/>
          <w:szCs w:val="22"/>
        </w:rPr>
        <w:t>Artículo 179.</w:t>
      </w:r>
      <w:r w:rsidRPr="0072535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9A2CCD" w:rsidRPr="0072535F" w:rsidRDefault="00860E18">
      <w:pPr>
        <w:tabs>
          <w:tab w:val="left" w:pos="7088"/>
        </w:tabs>
        <w:spacing w:before="240" w:after="240"/>
        <w:ind w:left="993" w:right="616"/>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w:t>
      </w:r>
    </w:p>
    <w:p w:rsidR="009A2CCD" w:rsidRPr="0072535F" w:rsidRDefault="00860E18">
      <w:pPr>
        <w:tabs>
          <w:tab w:val="left" w:pos="7088"/>
        </w:tabs>
        <w:spacing w:before="240" w:after="240"/>
        <w:ind w:left="993" w:right="616"/>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I. La negativa a la información solicitada</w:t>
      </w:r>
      <w:r w:rsidRPr="0072535F">
        <w:rPr>
          <w:rFonts w:ascii="Palatino Linotype" w:eastAsia="Palatino Linotype" w:hAnsi="Palatino Linotype" w:cs="Palatino Linotype"/>
          <w:i/>
          <w:sz w:val="22"/>
          <w:szCs w:val="22"/>
        </w:rPr>
        <w:t xml:space="preserve">;  </w:t>
      </w:r>
    </w:p>
    <w:p w:rsidR="009A2CCD" w:rsidRPr="0072535F" w:rsidRDefault="00860E18">
      <w:pPr>
        <w:tabs>
          <w:tab w:val="left" w:pos="7088"/>
        </w:tabs>
        <w:spacing w:before="240" w:after="240"/>
        <w:ind w:left="993" w:right="616"/>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w:t>
      </w:r>
      <w:r w:rsidRPr="0072535F">
        <w:rPr>
          <w:rFonts w:ascii="Palatino Linotype" w:eastAsia="Palatino Linotype" w:hAnsi="Palatino Linotype" w:cs="Palatino Linotype"/>
          <w:i/>
          <w:sz w:val="22"/>
          <w:szCs w:val="22"/>
        </w:rPr>
        <w:t>”</w:t>
      </w:r>
    </w:p>
    <w:p w:rsidR="009A2CCD" w:rsidRPr="0072535F" w:rsidRDefault="009A2CCD">
      <w:pPr>
        <w:tabs>
          <w:tab w:val="left" w:pos="7088"/>
        </w:tabs>
        <w:spacing w:before="240" w:after="240"/>
        <w:ind w:left="993" w:right="616"/>
        <w:jc w:val="both"/>
        <w:rPr>
          <w:rFonts w:ascii="Palatino Linotype" w:eastAsia="Palatino Linotype" w:hAnsi="Palatino Linotype" w:cs="Palatino Linotype"/>
          <w:i/>
          <w:sz w:val="22"/>
          <w:szCs w:val="22"/>
        </w:rPr>
      </w:pP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b/>
        </w:rPr>
        <w:lastRenderedPageBreak/>
        <w:t xml:space="preserve">TERCERO. Materia de la revisión. </w:t>
      </w:r>
      <w:r w:rsidRPr="0072535F">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72535F">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72535F">
        <w:rPr>
          <w:rFonts w:ascii="Palatino Linotype" w:eastAsia="Palatino Linotype" w:hAnsi="Palatino Linotype" w:cs="Palatino Linotype"/>
        </w:rPr>
        <w:t xml:space="preserve">de la </w:t>
      </w:r>
      <w:r w:rsidRPr="0072535F">
        <w:rPr>
          <w:rFonts w:ascii="Palatino Linotype" w:eastAsia="Palatino Linotype" w:hAnsi="Palatino Linotype" w:cs="Palatino Linotype"/>
          <w:b/>
        </w:rPr>
        <w:t>RECURRENTE</w:t>
      </w:r>
      <w:r w:rsidRPr="0072535F">
        <w:rPr>
          <w:rFonts w:ascii="Palatino Linotype" w:eastAsia="Palatino Linotype" w:hAnsi="Palatino Linotype" w:cs="Palatino Linotype"/>
        </w:rPr>
        <w:t>, o en su defecto, en caso de ser procedente, ordenar la entrega de información.</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b/>
        </w:rPr>
        <w:t xml:space="preserve">CUARTO. Estudio del asunto. </w:t>
      </w:r>
      <w:r w:rsidRPr="0072535F">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9A2CCD" w:rsidRPr="0072535F" w:rsidRDefault="00860E18">
      <w:pPr>
        <w:tabs>
          <w:tab w:val="left" w:pos="709"/>
        </w:tabs>
        <w:ind w:left="851" w:right="850"/>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72535F">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9A2CCD" w:rsidRPr="0072535F" w:rsidRDefault="00860E18">
      <w:pPr>
        <w:tabs>
          <w:tab w:val="left" w:pos="709"/>
        </w:tabs>
        <w:ind w:left="851" w:right="850"/>
        <w:jc w:val="both"/>
        <w:rPr>
          <w:rFonts w:ascii="Palatino Linotype" w:eastAsia="Palatino Linotype" w:hAnsi="Palatino Linotype" w:cs="Palatino Linotype"/>
          <w:b/>
          <w:i/>
          <w:sz w:val="22"/>
          <w:szCs w:val="22"/>
        </w:rPr>
      </w:pPr>
      <w:r w:rsidRPr="0072535F">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9A2CCD" w:rsidRPr="0072535F" w:rsidRDefault="00860E18">
      <w:pPr>
        <w:tabs>
          <w:tab w:val="left" w:pos="709"/>
        </w:tabs>
        <w:ind w:left="851" w:right="850"/>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2535F">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9A2CCD" w:rsidRPr="0072535F" w:rsidRDefault="00860E18">
      <w:pPr>
        <w:tabs>
          <w:tab w:val="left" w:pos="709"/>
        </w:tabs>
        <w:ind w:left="851" w:right="850"/>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lastRenderedPageBreak/>
        <w:t>[…]</w:t>
      </w:r>
    </w:p>
    <w:p w:rsidR="009A2CCD" w:rsidRPr="0072535F" w:rsidRDefault="00860E18">
      <w:pPr>
        <w:ind w:left="851" w:right="90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“Artículo 6o.</w:t>
      </w:r>
    </w:p>
    <w:p w:rsidR="009A2CCD" w:rsidRPr="0072535F" w:rsidRDefault="00860E18">
      <w:pPr>
        <w:ind w:left="851" w:right="90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w:t>
      </w:r>
    </w:p>
    <w:p w:rsidR="009A2CCD" w:rsidRPr="0072535F" w:rsidRDefault="00860E18">
      <w:pPr>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 xml:space="preserve">A. Para el ejercicio del derecho de acceso a la información, la Federación y </w:t>
      </w:r>
      <w:r w:rsidRPr="0072535F">
        <w:rPr>
          <w:rFonts w:ascii="Palatino Linotype" w:eastAsia="Palatino Linotype" w:hAnsi="Palatino Linotype" w:cs="Palatino Linotype"/>
          <w:b/>
          <w:i/>
          <w:sz w:val="22"/>
          <w:szCs w:val="22"/>
          <w:u w:val="single"/>
        </w:rPr>
        <w:t>las entidades federativas</w:t>
      </w:r>
      <w:r w:rsidRPr="0072535F">
        <w:rPr>
          <w:rFonts w:ascii="Palatino Linotype" w:eastAsia="Palatino Linotype" w:hAnsi="Palatino Linotype" w:cs="Palatino Linotype"/>
          <w:b/>
          <w:i/>
          <w:sz w:val="22"/>
          <w:szCs w:val="22"/>
        </w:rPr>
        <w:t>,</w:t>
      </w:r>
      <w:r w:rsidRPr="0072535F">
        <w:rPr>
          <w:rFonts w:ascii="Palatino Linotype" w:eastAsia="Palatino Linotype" w:hAnsi="Palatino Linotype" w:cs="Palatino Linotype"/>
          <w:i/>
          <w:sz w:val="22"/>
          <w:szCs w:val="22"/>
        </w:rPr>
        <w:t xml:space="preserve"> en el ámbito de sus respectivas competencias, se regirán por los siguientes principios y bases:</w:t>
      </w:r>
    </w:p>
    <w:p w:rsidR="009A2CCD" w:rsidRPr="0072535F" w:rsidRDefault="00860E18">
      <w:pPr>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 </w:t>
      </w:r>
    </w:p>
    <w:p w:rsidR="009A2CCD" w:rsidRPr="0072535F" w:rsidRDefault="00860E18">
      <w:pPr>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 xml:space="preserve">I. </w:t>
      </w:r>
      <w:r w:rsidRPr="0072535F">
        <w:rPr>
          <w:rFonts w:ascii="Palatino Linotype" w:eastAsia="Palatino Linotype" w:hAnsi="Palatino Linotype" w:cs="Palatino Linotype"/>
          <w:b/>
          <w:i/>
          <w:sz w:val="22"/>
          <w:szCs w:val="22"/>
          <w:u w:val="single"/>
        </w:rPr>
        <w:t>Toda la información en posesión de cualquier autoridad, entidad, órgano y organismo de los Poderes</w:t>
      </w:r>
      <w:r w:rsidRPr="0072535F">
        <w:rPr>
          <w:rFonts w:ascii="Palatino Linotype" w:eastAsia="Palatino Linotype" w:hAnsi="Palatino Linotype" w:cs="Palatino Linotype"/>
          <w:i/>
          <w:sz w:val="22"/>
          <w:szCs w:val="22"/>
        </w:rPr>
        <w:t xml:space="preserve"> Ejecutivo, Legislativo </w:t>
      </w:r>
      <w:r w:rsidRPr="0072535F">
        <w:rPr>
          <w:rFonts w:ascii="Palatino Linotype" w:eastAsia="Palatino Linotype" w:hAnsi="Palatino Linotype" w:cs="Palatino Linotype"/>
          <w:b/>
          <w:i/>
          <w:sz w:val="22"/>
          <w:szCs w:val="22"/>
          <w:u w:val="single"/>
        </w:rPr>
        <w:t>y Judicial</w:t>
      </w:r>
      <w:r w:rsidRPr="0072535F">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2535F">
        <w:rPr>
          <w:rFonts w:ascii="Palatino Linotype" w:eastAsia="Palatino Linotype" w:hAnsi="Palatino Linotype" w:cs="Palatino Linotype"/>
          <w:b/>
          <w:i/>
          <w:sz w:val="22"/>
          <w:szCs w:val="22"/>
        </w:rPr>
        <w:t>es pública y sólo podrá ser reservada temporalmente por razones de interés público y seguridad nacional,</w:t>
      </w:r>
      <w:r w:rsidRPr="0072535F">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A2CCD" w:rsidRPr="0072535F" w:rsidRDefault="00860E18">
      <w:pPr>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 </w:t>
      </w:r>
    </w:p>
    <w:p w:rsidR="009A2CCD" w:rsidRPr="0072535F" w:rsidRDefault="00860E18">
      <w:pPr>
        <w:ind w:left="851" w:right="851"/>
        <w:jc w:val="both"/>
        <w:rPr>
          <w:rFonts w:ascii="Palatino Linotype" w:eastAsia="Palatino Linotype" w:hAnsi="Palatino Linotype" w:cs="Palatino Linotype"/>
          <w:b/>
          <w:i/>
          <w:sz w:val="22"/>
          <w:szCs w:val="22"/>
        </w:rPr>
      </w:pPr>
      <w:r w:rsidRPr="0072535F">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9A2CCD" w:rsidRPr="0072535F" w:rsidRDefault="00860E18">
      <w:pPr>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 </w:t>
      </w:r>
    </w:p>
    <w:p w:rsidR="009A2CCD" w:rsidRPr="0072535F" w:rsidRDefault="00860E18">
      <w:pPr>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 xml:space="preserve">III. </w:t>
      </w:r>
      <w:r w:rsidRPr="0072535F">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72535F">
        <w:rPr>
          <w:rFonts w:ascii="Palatino Linotype" w:eastAsia="Palatino Linotype" w:hAnsi="Palatino Linotype" w:cs="Palatino Linotype"/>
          <w:i/>
          <w:sz w:val="22"/>
          <w:szCs w:val="22"/>
        </w:rPr>
        <w:t xml:space="preserve"> a sus datos personales o a la rectificación de éstos.</w:t>
      </w:r>
    </w:p>
    <w:p w:rsidR="009A2CCD" w:rsidRPr="0072535F" w:rsidRDefault="00860E18">
      <w:pPr>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 </w:t>
      </w:r>
    </w:p>
    <w:p w:rsidR="009A2CCD" w:rsidRPr="0072535F" w:rsidRDefault="00860E18">
      <w:pPr>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 xml:space="preserve">IV. </w:t>
      </w:r>
      <w:r w:rsidRPr="0072535F">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9A2CCD" w:rsidRPr="0072535F" w:rsidRDefault="009A2CCD">
      <w:pPr>
        <w:ind w:left="851" w:right="851"/>
        <w:jc w:val="both"/>
        <w:rPr>
          <w:rFonts w:ascii="Palatino Linotype" w:eastAsia="Palatino Linotype" w:hAnsi="Palatino Linotype" w:cs="Palatino Linotype"/>
          <w:i/>
          <w:sz w:val="22"/>
          <w:szCs w:val="22"/>
        </w:rPr>
      </w:pPr>
    </w:p>
    <w:p w:rsidR="009A2CCD" w:rsidRPr="0072535F" w:rsidRDefault="00860E18">
      <w:pPr>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 xml:space="preserve">V. </w:t>
      </w:r>
      <w:r w:rsidRPr="0072535F">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A2CCD" w:rsidRPr="0072535F" w:rsidRDefault="00860E18">
      <w:pPr>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 </w:t>
      </w:r>
    </w:p>
    <w:p w:rsidR="009A2CCD" w:rsidRPr="0072535F" w:rsidRDefault="00860E18">
      <w:pPr>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 xml:space="preserve">VI. </w:t>
      </w:r>
      <w:r w:rsidRPr="0072535F">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9A2CCD" w:rsidRPr="0072535F" w:rsidRDefault="00860E18">
      <w:pPr>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lastRenderedPageBreak/>
        <w:t> </w:t>
      </w:r>
    </w:p>
    <w:p w:rsidR="009A2CCD" w:rsidRPr="0072535F" w:rsidRDefault="00860E18">
      <w:pPr>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 xml:space="preserve">VII. </w:t>
      </w:r>
      <w:r w:rsidRPr="0072535F">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9A2CCD" w:rsidRPr="0072535F" w:rsidRDefault="009A2CCD">
      <w:pPr>
        <w:ind w:right="851"/>
        <w:jc w:val="both"/>
        <w:rPr>
          <w:rFonts w:ascii="Palatino Linotype" w:eastAsia="Palatino Linotype" w:hAnsi="Palatino Linotype" w:cs="Palatino Linotype"/>
          <w:i/>
          <w:sz w:val="22"/>
          <w:szCs w:val="22"/>
        </w:rPr>
      </w:pPr>
    </w:p>
    <w:p w:rsidR="009A2CCD" w:rsidRPr="0072535F" w:rsidRDefault="00860E18">
      <w:pPr>
        <w:tabs>
          <w:tab w:val="left" w:pos="709"/>
        </w:tabs>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9A2CCD" w:rsidRPr="0072535F" w:rsidRDefault="00860E18">
      <w:pPr>
        <w:spacing w:before="12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En primer lugar, es conveniente analizar si la respuesta del </w:t>
      </w:r>
      <w:r w:rsidRPr="0072535F">
        <w:rPr>
          <w:rFonts w:ascii="Palatino Linotype" w:eastAsia="Palatino Linotype" w:hAnsi="Palatino Linotype" w:cs="Palatino Linotype"/>
          <w:b/>
        </w:rPr>
        <w:t>SUJETO OBLIGADO</w:t>
      </w:r>
      <w:r w:rsidRPr="0072535F">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9A2CCD" w:rsidRPr="0072535F" w:rsidRDefault="00860E18">
      <w:pPr>
        <w:spacing w:before="240"/>
        <w:ind w:left="709" w:right="760"/>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w:t>
      </w:r>
      <w:r w:rsidRPr="0072535F">
        <w:rPr>
          <w:rFonts w:ascii="Palatino Linotype" w:eastAsia="Palatino Linotype" w:hAnsi="Palatino Linotype" w:cs="Palatino Linotype"/>
          <w:b/>
          <w:i/>
          <w:sz w:val="22"/>
          <w:szCs w:val="22"/>
        </w:rPr>
        <w:t>Artículo 4.</w:t>
      </w:r>
      <w:r w:rsidRPr="0072535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9A2CCD" w:rsidRPr="0072535F" w:rsidRDefault="00860E18">
      <w:pPr>
        <w:ind w:left="709" w:right="760"/>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2535F">
        <w:rPr>
          <w:rFonts w:ascii="Palatino Linotype" w:eastAsia="Palatino Linotype" w:hAnsi="Palatino Linotype" w:cs="Palatino Linotype"/>
          <w:i/>
          <w:sz w:val="22"/>
          <w:szCs w:val="22"/>
        </w:rPr>
        <w:t xml:space="preserve">, en los términos y condiciones que </w:t>
      </w:r>
      <w:r w:rsidRPr="0072535F">
        <w:rPr>
          <w:rFonts w:ascii="Palatino Linotype" w:eastAsia="Palatino Linotype" w:hAnsi="Palatino Linotype" w:cs="Palatino Linotype"/>
          <w:i/>
          <w:sz w:val="22"/>
          <w:szCs w:val="22"/>
        </w:rPr>
        <w:lastRenderedPageBreak/>
        <w:t>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9A2CCD" w:rsidRPr="0072535F" w:rsidRDefault="00860E18">
      <w:pPr>
        <w:ind w:left="709" w:right="760"/>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2535F">
        <w:rPr>
          <w:rFonts w:ascii="Palatino Linotype" w:eastAsia="Palatino Linotype" w:hAnsi="Palatino Linotype" w:cs="Palatino Linotype"/>
          <w:i/>
          <w:sz w:val="22"/>
          <w:szCs w:val="22"/>
        </w:rPr>
        <w:t>.”(Sic)</w:t>
      </w:r>
    </w:p>
    <w:p w:rsidR="009A2CCD" w:rsidRPr="0072535F" w:rsidRDefault="009A2CCD">
      <w:pPr>
        <w:ind w:left="709" w:right="760"/>
        <w:jc w:val="both"/>
        <w:rPr>
          <w:rFonts w:ascii="Palatino Linotype" w:eastAsia="Palatino Linotype" w:hAnsi="Palatino Linotype" w:cs="Palatino Linotype"/>
          <w:i/>
        </w:rPr>
      </w:pP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9A2CCD" w:rsidRPr="0072535F" w:rsidRDefault="00860E18">
      <w:pPr>
        <w:ind w:left="567" w:right="758"/>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w:t>
      </w:r>
      <w:r w:rsidRPr="0072535F">
        <w:rPr>
          <w:rFonts w:ascii="Palatino Linotype" w:eastAsia="Palatino Linotype" w:hAnsi="Palatino Linotype" w:cs="Palatino Linotype"/>
          <w:b/>
          <w:i/>
          <w:sz w:val="22"/>
          <w:szCs w:val="22"/>
        </w:rPr>
        <w:t>Artículo 12.-</w:t>
      </w:r>
      <w:r w:rsidRPr="0072535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9A2CCD" w:rsidRPr="0072535F" w:rsidRDefault="00860E18">
      <w:pPr>
        <w:ind w:left="567" w:right="758"/>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2535F">
        <w:rPr>
          <w:rFonts w:ascii="Palatino Linotype" w:eastAsia="Palatino Linotype" w:hAnsi="Palatino Linotype" w:cs="Palatino Linotype"/>
          <w:i/>
          <w:sz w:val="22"/>
          <w:szCs w:val="22"/>
        </w:rPr>
        <w:t xml:space="preserve">. </w:t>
      </w:r>
      <w:r w:rsidRPr="0072535F">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9A2CCD" w:rsidRPr="0072535F" w:rsidRDefault="009A2CCD">
      <w:pPr>
        <w:spacing w:line="360" w:lineRule="auto"/>
        <w:ind w:right="-93"/>
        <w:jc w:val="both"/>
        <w:rPr>
          <w:rFonts w:ascii="Palatino Linotype" w:eastAsia="Palatino Linotype" w:hAnsi="Palatino Linotype" w:cs="Palatino Linotype"/>
        </w:rPr>
      </w:pPr>
    </w:p>
    <w:p w:rsidR="009A2CCD" w:rsidRPr="0072535F" w:rsidRDefault="00860E18">
      <w:pP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w:t>
      </w:r>
      <w:r w:rsidRPr="0072535F">
        <w:rPr>
          <w:rFonts w:ascii="Palatino Linotype" w:eastAsia="Palatino Linotype" w:hAnsi="Palatino Linotype" w:cs="Palatino Linotype"/>
        </w:rPr>
        <w:lastRenderedPageBreak/>
        <w:t>información pública se encuentra a disposición de cualquier persona, lo que implica que es deber de los Sujetos Obligados, garantizar el Derecho de Acceso a la Información Pública, lo que no sucedió en el presente caso.</w:t>
      </w:r>
    </w:p>
    <w:p w:rsidR="009A2CCD" w:rsidRPr="0072535F" w:rsidRDefault="009A2CCD">
      <w:pPr>
        <w:spacing w:line="360" w:lineRule="auto"/>
        <w:jc w:val="both"/>
        <w:rPr>
          <w:rFonts w:ascii="Palatino Linotype" w:eastAsia="Palatino Linotype" w:hAnsi="Palatino Linotype" w:cs="Palatino Linotype"/>
        </w:rPr>
      </w:pPr>
    </w:p>
    <w:p w:rsidR="009A2CCD" w:rsidRPr="0072535F" w:rsidRDefault="00860E18">
      <w:pPr>
        <w:spacing w:line="360" w:lineRule="auto"/>
        <w:ind w:right="49"/>
        <w:jc w:val="both"/>
        <w:rPr>
          <w:rFonts w:ascii="Palatino Linotype" w:eastAsia="Palatino Linotype" w:hAnsi="Palatino Linotype" w:cs="Palatino Linotype"/>
        </w:rPr>
      </w:pPr>
      <w:r w:rsidRPr="0072535F">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9A2CCD" w:rsidRPr="0072535F" w:rsidRDefault="009A2CCD">
      <w:pPr>
        <w:spacing w:line="360" w:lineRule="auto"/>
        <w:ind w:right="49"/>
        <w:jc w:val="both"/>
        <w:rPr>
          <w:rFonts w:ascii="Palatino Linotype" w:eastAsia="Palatino Linotype" w:hAnsi="Palatino Linotype" w:cs="Palatino Linotype"/>
        </w:rPr>
      </w:pPr>
    </w:p>
    <w:p w:rsidR="009A2CCD" w:rsidRPr="0072535F" w:rsidRDefault="00860E18">
      <w:pP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Por otra parte, conviene mencionar que la Ley de Transparencia vigente en el Estado de México refiere: </w:t>
      </w:r>
    </w:p>
    <w:p w:rsidR="009A2CCD" w:rsidRPr="0072535F" w:rsidRDefault="009A2CCD">
      <w:pPr>
        <w:spacing w:line="360" w:lineRule="auto"/>
        <w:jc w:val="both"/>
        <w:rPr>
          <w:rFonts w:ascii="Palatino Linotype" w:eastAsia="Palatino Linotype" w:hAnsi="Palatino Linotype" w:cs="Palatino Linotype"/>
        </w:rPr>
      </w:pPr>
    </w:p>
    <w:p w:rsidR="009A2CCD" w:rsidRPr="0072535F" w:rsidRDefault="00860E18">
      <w:pPr>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Artículo 18.</w:t>
      </w:r>
      <w:r w:rsidRPr="0072535F">
        <w:rPr>
          <w:rFonts w:ascii="Palatino Linotype" w:eastAsia="Palatino Linotype" w:hAnsi="Palatino Linotype" w:cs="Palatino Linotype"/>
          <w:i/>
          <w:sz w:val="22"/>
          <w:szCs w:val="22"/>
        </w:rPr>
        <w:t xml:space="preserve"> </w:t>
      </w:r>
      <w:r w:rsidRPr="0072535F">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72535F">
        <w:rPr>
          <w:rFonts w:ascii="Palatino Linotype" w:eastAsia="Palatino Linotype" w:hAnsi="Palatino Linotype" w:cs="Palatino Linotype"/>
          <w:i/>
          <w:sz w:val="22"/>
          <w:szCs w:val="22"/>
        </w:rPr>
        <w:t xml:space="preserve"> y reutilización de la información que generen.</w:t>
      </w:r>
    </w:p>
    <w:p w:rsidR="009A2CCD" w:rsidRPr="0072535F" w:rsidRDefault="009A2CCD">
      <w:pPr>
        <w:ind w:left="851" w:right="851"/>
        <w:jc w:val="both"/>
        <w:rPr>
          <w:rFonts w:ascii="Palatino Linotype" w:eastAsia="Palatino Linotype" w:hAnsi="Palatino Linotype" w:cs="Palatino Linotype"/>
          <w:b/>
          <w:i/>
          <w:sz w:val="22"/>
          <w:szCs w:val="22"/>
        </w:rPr>
      </w:pPr>
    </w:p>
    <w:p w:rsidR="009A2CCD" w:rsidRPr="0072535F" w:rsidRDefault="00860E18">
      <w:pPr>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 xml:space="preserve">Artículo 19. </w:t>
      </w:r>
      <w:r w:rsidRPr="0072535F">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72535F">
        <w:rPr>
          <w:rFonts w:ascii="Palatino Linotype" w:eastAsia="Palatino Linotype" w:hAnsi="Palatino Linotype" w:cs="Palatino Linotype"/>
          <w:i/>
          <w:sz w:val="22"/>
          <w:szCs w:val="22"/>
        </w:rPr>
        <w:t>.</w:t>
      </w:r>
    </w:p>
    <w:p w:rsidR="009A2CCD" w:rsidRPr="0072535F" w:rsidRDefault="009A2CCD">
      <w:pPr>
        <w:ind w:left="851" w:right="851"/>
        <w:jc w:val="both"/>
        <w:rPr>
          <w:rFonts w:ascii="Palatino Linotype" w:eastAsia="Palatino Linotype" w:hAnsi="Palatino Linotype" w:cs="Palatino Linotype"/>
          <w:i/>
          <w:sz w:val="22"/>
          <w:szCs w:val="22"/>
        </w:rPr>
      </w:pPr>
    </w:p>
    <w:p w:rsidR="009A2CCD" w:rsidRPr="0072535F" w:rsidRDefault="00860E18">
      <w:pPr>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9A2CCD" w:rsidRPr="0072535F" w:rsidRDefault="009A2CCD">
      <w:pPr>
        <w:ind w:left="851" w:right="851"/>
        <w:jc w:val="both"/>
        <w:rPr>
          <w:rFonts w:ascii="Palatino Linotype" w:eastAsia="Palatino Linotype" w:hAnsi="Palatino Linotype" w:cs="Palatino Linotype"/>
          <w:i/>
          <w:sz w:val="22"/>
          <w:szCs w:val="22"/>
        </w:rPr>
      </w:pPr>
    </w:p>
    <w:p w:rsidR="009A2CCD" w:rsidRPr="0072535F" w:rsidRDefault="00860E18">
      <w:pPr>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9A2CCD" w:rsidRPr="0072535F" w:rsidRDefault="009A2CCD">
      <w:pPr>
        <w:ind w:left="851" w:right="851"/>
        <w:jc w:val="both"/>
        <w:rPr>
          <w:rFonts w:ascii="Palatino Linotype" w:eastAsia="Palatino Linotype" w:hAnsi="Palatino Linotype" w:cs="Palatino Linotype"/>
          <w:i/>
          <w:sz w:val="22"/>
          <w:szCs w:val="22"/>
        </w:rPr>
      </w:pPr>
    </w:p>
    <w:p w:rsidR="009A2CCD" w:rsidRPr="0072535F" w:rsidRDefault="00860E18">
      <w:pPr>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Énfasis añadido.</w:t>
      </w:r>
    </w:p>
    <w:p w:rsidR="009A2CCD" w:rsidRPr="0072535F" w:rsidRDefault="009A2CCD">
      <w:pPr>
        <w:spacing w:line="360" w:lineRule="auto"/>
        <w:jc w:val="both"/>
        <w:rPr>
          <w:rFonts w:ascii="Palatino Linotype" w:eastAsia="Palatino Linotype" w:hAnsi="Palatino Linotype" w:cs="Palatino Linotype"/>
        </w:rPr>
      </w:pPr>
    </w:p>
    <w:p w:rsidR="009A2CCD" w:rsidRPr="0072535F" w:rsidRDefault="00860E18">
      <w:pP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9A2CCD" w:rsidRPr="0072535F" w:rsidRDefault="009A2CCD">
      <w:pPr>
        <w:spacing w:line="360" w:lineRule="auto"/>
        <w:jc w:val="both"/>
        <w:rPr>
          <w:rFonts w:ascii="Palatino Linotype" w:eastAsia="Palatino Linotype" w:hAnsi="Palatino Linotype" w:cs="Palatino Linotype"/>
        </w:rPr>
      </w:pPr>
    </w:p>
    <w:p w:rsidR="009A2CCD" w:rsidRPr="0072535F" w:rsidRDefault="00860E18">
      <w:pP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9A2CCD" w:rsidRPr="0072535F" w:rsidRDefault="009A2CCD">
      <w:pPr>
        <w:ind w:left="851" w:right="899"/>
        <w:jc w:val="both"/>
        <w:rPr>
          <w:rFonts w:ascii="Palatino Linotype" w:eastAsia="Palatino Linotype" w:hAnsi="Palatino Linotype" w:cs="Palatino Linotype"/>
          <w:i/>
          <w:sz w:val="22"/>
          <w:szCs w:val="22"/>
        </w:rPr>
      </w:pPr>
    </w:p>
    <w:p w:rsidR="009A2CCD" w:rsidRPr="0072535F" w:rsidRDefault="00860E18">
      <w:pPr>
        <w:ind w:left="851" w:right="899"/>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w:t>
      </w:r>
      <w:r w:rsidRPr="0072535F">
        <w:rPr>
          <w:rFonts w:ascii="Palatino Linotype" w:eastAsia="Palatino Linotype" w:hAnsi="Palatino Linotype" w:cs="Palatino Linotype"/>
          <w:b/>
          <w:i/>
          <w:sz w:val="22"/>
          <w:szCs w:val="22"/>
        </w:rPr>
        <w:t xml:space="preserve">Artículo 3. </w:t>
      </w:r>
      <w:r w:rsidRPr="0072535F">
        <w:rPr>
          <w:rFonts w:ascii="Palatino Linotype" w:eastAsia="Palatino Linotype" w:hAnsi="Palatino Linotype" w:cs="Palatino Linotype"/>
          <w:i/>
          <w:sz w:val="22"/>
          <w:szCs w:val="22"/>
        </w:rPr>
        <w:t>Para los efectos de la presente Ley se entenderá por:</w:t>
      </w:r>
    </w:p>
    <w:p w:rsidR="009A2CCD" w:rsidRPr="0072535F" w:rsidRDefault="00860E18">
      <w:pPr>
        <w:ind w:left="851" w:right="899"/>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w:t>
      </w:r>
    </w:p>
    <w:p w:rsidR="009A2CCD" w:rsidRPr="0072535F" w:rsidRDefault="00860E18">
      <w:pPr>
        <w:ind w:left="851" w:right="899"/>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XI. Documento:</w:t>
      </w:r>
      <w:r w:rsidRPr="0072535F">
        <w:rPr>
          <w:rFonts w:ascii="Palatino Linotype" w:eastAsia="Palatino Linotype" w:hAnsi="Palatino Linotype" w:cs="Palatino Linotype"/>
          <w:i/>
          <w:sz w:val="22"/>
          <w:szCs w:val="22"/>
        </w:rPr>
        <w:t xml:space="preserve"> Los expedientes, reportes, estudios, actas</w:t>
      </w:r>
      <w:r w:rsidRPr="0072535F">
        <w:rPr>
          <w:rFonts w:ascii="Palatino Linotype" w:eastAsia="Palatino Linotype" w:hAnsi="Palatino Linotype" w:cs="Palatino Linotype"/>
          <w:b/>
          <w:i/>
          <w:sz w:val="22"/>
          <w:szCs w:val="22"/>
        </w:rPr>
        <w:t>,</w:t>
      </w:r>
      <w:r w:rsidRPr="0072535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72535F">
        <w:rPr>
          <w:rFonts w:ascii="Palatino Linotype" w:eastAsia="Palatino Linotype" w:hAnsi="Palatino Linotype" w:cs="Palatino Linotype"/>
          <w:b/>
          <w:i/>
          <w:sz w:val="22"/>
          <w:szCs w:val="22"/>
          <w:u w:val="single"/>
        </w:rPr>
        <w:t>registro que documente el ejercicio de las facultades, funciones y competencias de los sujetos obligados</w:t>
      </w:r>
      <w:r w:rsidRPr="0072535F">
        <w:rPr>
          <w:rFonts w:ascii="Palatino Linotype" w:eastAsia="Palatino Linotype" w:hAnsi="Palatino Linotype" w:cs="Palatino Linotype"/>
          <w:i/>
          <w:sz w:val="22"/>
          <w:szCs w:val="22"/>
        </w:rPr>
        <w:t xml:space="preserve">, sus servidores públicos e integrantes, sin importar su fuente o fecha de elaboración. Los documentos podrán estar en cualquier medio, sea escrito, impreso, sonoro, visual, </w:t>
      </w:r>
      <w:r w:rsidRPr="0072535F">
        <w:rPr>
          <w:rFonts w:ascii="Palatino Linotype" w:eastAsia="Palatino Linotype" w:hAnsi="Palatino Linotype" w:cs="Palatino Linotype"/>
          <w:b/>
          <w:i/>
          <w:sz w:val="22"/>
          <w:szCs w:val="22"/>
          <w:u w:val="single"/>
        </w:rPr>
        <w:t>electrónico, informático</w:t>
      </w:r>
      <w:r w:rsidRPr="0072535F">
        <w:rPr>
          <w:rFonts w:ascii="Palatino Linotype" w:eastAsia="Palatino Linotype" w:hAnsi="Palatino Linotype" w:cs="Palatino Linotype"/>
          <w:i/>
          <w:sz w:val="22"/>
          <w:szCs w:val="22"/>
        </w:rPr>
        <w:t xml:space="preserve"> u holográfico…” (Sic)</w:t>
      </w:r>
    </w:p>
    <w:p w:rsidR="009A2CCD" w:rsidRPr="0072535F" w:rsidRDefault="009A2CCD">
      <w:pPr>
        <w:ind w:left="851" w:right="899"/>
        <w:jc w:val="both"/>
        <w:rPr>
          <w:rFonts w:ascii="Palatino Linotype" w:eastAsia="Palatino Linotype" w:hAnsi="Palatino Linotype" w:cs="Palatino Linotype"/>
          <w:sz w:val="22"/>
          <w:szCs w:val="22"/>
        </w:rPr>
      </w:pPr>
    </w:p>
    <w:p w:rsidR="009A2CCD" w:rsidRPr="0072535F" w:rsidRDefault="00860E18">
      <w:pP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9A2CCD" w:rsidRPr="0072535F" w:rsidRDefault="009A2CCD">
      <w:pPr>
        <w:ind w:left="851" w:right="899"/>
        <w:jc w:val="both"/>
        <w:rPr>
          <w:rFonts w:ascii="Palatino Linotype" w:eastAsia="Palatino Linotype" w:hAnsi="Palatino Linotype" w:cs="Palatino Linotype"/>
        </w:rPr>
      </w:pPr>
    </w:p>
    <w:p w:rsidR="009A2CCD" w:rsidRPr="0072535F" w:rsidRDefault="00860E18">
      <w:pPr>
        <w:ind w:left="851" w:right="899"/>
        <w:jc w:val="both"/>
        <w:rPr>
          <w:rFonts w:ascii="Palatino Linotype" w:eastAsia="Palatino Linotype" w:hAnsi="Palatino Linotype" w:cs="Palatino Linotype"/>
          <w:b/>
          <w:i/>
          <w:sz w:val="22"/>
          <w:szCs w:val="22"/>
        </w:rPr>
      </w:pPr>
      <w:r w:rsidRPr="0072535F">
        <w:rPr>
          <w:rFonts w:ascii="Palatino Linotype" w:eastAsia="Palatino Linotype" w:hAnsi="Palatino Linotype" w:cs="Palatino Linotype"/>
          <w:b/>
          <w:sz w:val="22"/>
          <w:szCs w:val="22"/>
        </w:rPr>
        <w:t>“</w:t>
      </w:r>
      <w:r w:rsidRPr="0072535F">
        <w:rPr>
          <w:rFonts w:ascii="Palatino Linotype" w:eastAsia="Palatino Linotype" w:hAnsi="Palatino Linotype" w:cs="Palatino Linotype"/>
          <w:b/>
          <w:i/>
          <w:sz w:val="22"/>
          <w:szCs w:val="22"/>
        </w:rPr>
        <w:t>CRITERIO 0002-11</w:t>
      </w:r>
    </w:p>
    <w:p w:rsidR="009A2CCD" w:rsidRPr="0072535F" w:rsidRDefault="00860E18">
      <w:pPr>
        <w:ind w:left="851" w:right="899"/>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2535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A2CCD" w:rsidRPr="0072535F" w:rsidRDefault="00860E18">
      <w:pPr>
        <w:ind w:left="851" w:right="899"/>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En consecuencia el acceso a la información se refiere a que se cumplan cualquiera de los siguientes tres supuestos:</w:t>
      </w:r>
    </w:p>
    <w:p w:rsidR="009A2CCD" w:rsidRPr="0072535F" w:rsidRDefault="00860E18">
      <w:pPr>
        <w:ind w:left="851" w:right="899"/>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9A2CCD" w:rsidRPr="0072535F" w:rsidRDefault="00860E18">
      <w:pPr>
        <w:ind w:left="851" w:right="899"/>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9A2CCD" w:rsidRPr="0072535F" w:rsidRDefault="00860E18">
      <w:pPr>
        <w:ind w:left="851" w:right="899"/>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lastRenderedPageBreak/>
        <w:t xml:space="preserve">3) Que se trate de información registrada en cualquier soporte documental, que en ejercicio de las atribuciones conferidas, se encuentre en posesión de los Sujetos Obligados.” </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De ahí que el </w:t>
      </w:r>
      <w:r w:rsidRPr="0072535F">
        <w:rPr>
          <w:rFonts w:ascii="Palatino Linotype" w:eastAsia="Palatino Linotype" w:hAnsi="Palatino Linotype" w:cs="Palatino Linotype"/>
          <w:b/>
        </w:rPr>
        <w:t>SUJETO OBLIGADO</w:t>
      </w:r>
      <w:r w:rsidRPr="0072535F">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72535F">
        <w:rPr>
          <w:rFonts w:ascii="Palatino Linotype" w:eastAsia="Palatino Linotype" w:hAnsi="Palatino Linotype" w:cs="Palatino Linotype"/>
          <w:vertAlign w:val="superscript"/>
        </w:rPr>
        <w:footnoteReference w:id="1"/>
      </w:r>
      <w:r w:rsidRPr="0072535F">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72535F">
        <w:rPr>
          <w:rFonts w:ascii="Palatino Linotype" w:eastAsia="Palatino Linotype" w:hAnsi="Palatino Linotype" w:cs="Palatino Linotype"/>
          <w:vertAlign w:val="superscript"/>
        </w:rPr>
        <w:footnoteReference w:id="2"/>
      </w:r>
      <w:r w:rsidRPr="0072535F">
        <w:rPr>
          <w:rFonts w:ascii="Palatino Linotype" w:eastAsia="Palatino Linotype" w:hAnsi="Palatino Linotype" w:cs="Palatino Linotype"/>
        </w:rPr>
        <w:t>, como pudiera tratarse de aquella relacionada con las obligaciones de transparencia señaladas en los artículos 92 y 100 de la Ley de la Materia.</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Precisado lo anterior se tiene que en el recurso de revisión que ahora se resuelve  el </w:t>
      </w:r>
      <w:r w:rsidRPr="0072535F">
        <w:rPr>
          <w:rFonts w:ascii="Palatino Linotype" w:eastAsia="Palatino Linotype" w:hAnsi="Palatino Linotype" w:cs="Palatino Linotype"/>
          <w:b/>
        </w:rPr>
        <w:t>RECURRENTE</w:t>
      </w:r>
      <w:r w:rsidRPr="0072535F">
        <w:rPr>
          <w:rFonts w:ascii="Palatino Linotype" w:eastAsia="Palatino Linotype" w:hAnsi="Palatino Linotype" w:cs="Palatino Linotype"/>
        </w:rPr>
        <w:t xml:space="preserve"> solicitó al </w:t>
      </w:r>
      <w:r w:rsidRPr="0072535F">
        <w:rPr>
          <w:rFonts w:ascii="Palatino Linotype" w:eastAsia="Palatino Linotype" w:hAnsi="Palatino Linotype" w:cs="Palatino Linotype"/>
          <w:b/>
        </w:rPr>
        <w:t xml:space="preserve">SUJETO OBLIGADO </w:t>
      </w:r>
      <w:r w:rsidRPr="0072535F">
        <w:rPr>
          <w:rFonts w:ascii="Palatino Linotype" w:eastAsia="Palatino Linotype" w:hAnsi="Palatino Linotype" w:cs="Palatino Linotype"/>
        </w:rPr>
        <w:t xml:space="preserve">le proporcione la lista con los nombres, cargos y sueldos de todo el personal adscrito a los diferentes turnos que se encuentran laborando en la Agencia del Ministerio Público de Huehuetoca. </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lastRenderedPageBreak/>
        <w:t xml:space="preserve">En su respuesta, el </w:t>
      </w:r>
      <w:r w:rsidRPr="0072535F">
        <w:rPr>
          <w:rFonts w:ascii="Palatino Linotype" w:eastAsia="Palatino Linotype" w:hAnsi="Palatino Linotype" w:cs="Palatino Linotype"/>
          <w:b/>
        </w:rPr>
        <w:t xml:space="preserve">SUJETO OBLIGADO </w:t>
      </w:r>
      <w:r w:rsidRPr="0072535F">
        <w:rPr>
          <w:rFonts w:ascii="Palatino Linotype" w:eastAsia="Palatino Linotype" w:hAnsi="Palatino Linotype" w:cs="Palatino Linotype"/>
        </w:rPr>
        <w:t xml:space="preserve">remitió el Acuerdo 38/2022 mediante el cual el Comité de Transparencia clasificó como información reservada el </w:t>
      </w:r>
      <w:r w:rsidRPr="0072535F">
        <w:rPr>
          <w:rFonts w:ascii="Palatino Linotype" w:eastAsia="Palatino Linotype" w:hAnsi="Palatino Linotype" w:cs="Palatino Linotype"/>
          <w:u w:val="single"/>
        </w:rPr>
        <w:t>nombre de los servidores públicos con funciones de personal operativo</w:t>
      </w:r>
      <w:r w:rsidRPr="0072535F">
        <w:rPr>
          <w:rFonts w:ascii="Palatino Linotype" w:eastAsia="Palatino Linotype" w:hAnsi="Palatino Linotype" w:cs="Palatino Linotype"/>
        </w:rPr>
        <w:t xml:space="preserve"> que actualmente laboran en la Agencia del Ministerio Público de Huehuetoca; asimismo, se advierte el pronunciamiento del Director General de Administración de Personal y Nómina, quien informó que en atención a que dicha Agencia del Ministerio Público depende de la Fiscalía Regional de Cuautitlán remite la relación de las diferentes categorías del personal administrativo y operativo que pertenece a la misma. </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El </w:t>
      </w:r>
      <w:r w:rsidRPr="0072535F">
        <w:rPr>
          <w:rFonts w:ascii="Palatino Linotype" w:eastAsia="Palatino Linotype" w:hAnsi="Palatino Linotype" w:cs="Palatino Linotype"/>
          <w:b/>
        </w:rPr>
        <w:t xml:space="preserve">RECURRENTE </w:t>
      </w:r>
      <w:r w:rsidRPr="0072535F">
        <w:rPr>
          <w:rFonts w:ascii="Palatino Linotype" w:eastAsia="Palatino Linotype" w:hAnsi="Palatino Linotype" w:cs="Palatino Linotype"/>
        </w:rPr>
        <w:t xml:space="preserve">inconforme con la respuesta a la solicitud de información, interpuso el presente Medio de Impugnación en el que señaló como razones o motivos de inconformidad la negativa a la entrega de la información. </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En este contexto, se procede al análisis de cada uno de los requerimientos del </w:t>
      </w:r>
      <w:r w:rsidRPr="0072535F">
        <w:rPr>
          <w:rFonts w:ascii="Palatino Linotype" w:eastAsia="Palatino Linotype" w:hAnsi="Palatino Linotype" w:cs="Palatino Linotype"/>
          <w:b/>
        </w:rPr>
        <w:t xml:space="preserve">RECURRETE, </w:t>
      </w:r>
      <w:r w:rsidRPr="0072535F">
        <w:rPr>
          <w:rFonts w:ascii="Palatino Linotype" w:eastAsia="Palatino Linotype" w:hAnsi="Palatino Linotype" w:cs="Palatino Linotype"/>
        </w:rPr>
        <w:t xml:space="preserve">así como, de los pronunciamientos y elementos proporcionados por el </w:t>
      </w:r>
      <w:r w:rsidRPr="0072535F">
        <w:rPr>
          <w:rFonts w:ascii="Palatino Linotype" w:eastAsia="Palatino Linotype" w:hAnsi="Palatino Linotype" w:cs="Palatino Linotype"/>
          <w:b/>
        </w:rPr>
        <w:t xml:space="preserve">SUJETO OBLIGADO </w:t>
      </w:r>
      <w:r w:rsidRPr="0072535F">
        <w:rPr>
          <w:rFonts w:ascii="Palatino Linotype" w:eastAsia="Palatino Linotype" w:hAnsi="Palatino Linotype" w:cs="Palatino Linotype"/>
        </w:rPr>
        <w:t xml:space="preserve">con el objeto de determinar si la restricción al derecho de acceso a la información pública, cumple con las formalidades establecidas por la Ley en la materia y si con la información entregada se colman cada una de las pretensiones del entonces solicitante, de acuerdo  a las siguientes consideraciones de derecho. </w:t>
      </w:r>
    </w:p>
    <w:p w:rsidR="009A2CCD" w:rsidRPr="0072535F" w:rsidRDefault="00860E18">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b/>
        </w:rPr>
        <w:t>Nombre del personal adscrito a la Agencia del Ministerio Público de Huehuetoca</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Es conveniente reiterar que uno de los requerimientos del </w:t>
      </w:r>
      <w:r w:rsidRPr="0072535F">
        <w:rPr>
          <w:rFonts w:ascii="Palatino Linotype" w:eastAsia="Palatino Linotype" w:hAnsi="Palatino Linotype" w:cs="Palatino Linotype"/>
          <w:b/>
        </w:rPr>
        <w:t xml:space="preserve">RECURRENTE </w:t>
      </w:r>
      <w:r w:rsidRPr="0072535F">
        <w:rPr>
          <w:rFonts w:ascii="Palatino Linotype" w:eastAsia="Palatino Linotype" w:hAnsi="Palatino Linotype" w:cs="Palatino Linotype"/>
        </w:rPr>
        <w:t xml:space="preserve">es conocer el nombre de todo el personal adscrito a la Agencia del Ministerio Público </w:t>
      </w:r>
      <w:r w:rsidRPr="0072535F">
        <w:rPr>
          <w:rFonts w:ascii="Palatino Linotype" w:eastAsia="Palatino Linotype" w:hAnsi="Palatino Linotype" w:cs="Palatino Linotype"/>
        </w:rPr>
        <w:lastRenderedPageBreak/>
        <w:t xml:space="preserve">de Huehuetoca; sin embargo, de la respuesta a la solicitud de información se advierte que el </w:t>
      </w:r>
      <w:r w:rsidRPr="0072535F">
        <w:rPr>
          <w:rFonts w:ascii="Palatino Linotype" w:eastAsia="Palatino Linotype" w:hAnsi="Palatino Linotype" w:cs="Palatino Linotype"/>
          <w:b/>
        </w:rPr>
        <w:t xml:space="preserve">SUJETO OBLIGADO </w:t>
      </w:r>
      <w:r w:rsidRPr="0072535F">
        <w:rPr>
          <w:rFonts w:ascii="Palatino Linotype" w:eastAsia="Palatino Linotype" w:hAnsi="Palatino Linotype" w:cs="Palatino Linotype"/>
        </w:rPr>
        <w:t xml:space="preserve">fue muy preciso en  clasificar únicamente como información reservada el nombre de los servidores públicos con funciones de personal operativo. </w:t>
      </w:r>
    </w:p>
    <w:p w:rsidR="009A2CCD" w:rsidRPr="0072535F" w:rsidRDefault="00860E18">
      <w:pPr>
        <w:pBdr>
          <w:top w:val="nil"/>
          <w:left w:val="nil"/>
          <w:bottom w:val="nil"/>
          <w:right w:val="nil"/>
          <w:between w:val="nil"/>
        </w:pBd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En este sentido, es importante citar lo dispuesto en los artículos 91 y 140, fracciones I, IV, VI, IX y X,  de la Ley de Transparencia Estatal, que a la letra establecen lo siguiente:</w:t>
      </w:r>
    </w:p>
    <w:p w:rsidR="009A2CCD" w:rsidRPr="0072535F" w:rsidRDefault="009A2CCD">
      <w:pPr>
        <w:pBdr>
          <w:top w:val="nil"/>
          <w:left w:val="nil"/>
          <w:bottom w:val="nil"/>
          <w:right w:val="nil"/>
          <w:between w:val="nil"/>
        </w:pBdr>
        <w:spacing w:line="360" w:lineRule="auto"/>
        <w:jc w:val="both"/>
        <w:rPr>
          <w:rFonts w:ascii="Palatino Linotype" w:eastAsia="Palatino Linotype" w:hAnsi="Palatino Linotype" w:cs="Palatino Linotype"/>
        </w:rPr>
      </w:pPr>
    </w:p>
    <w:p w:rsidR="009A2CCD" w:rsidRPr="0072535F" w:rsidRDefault="00860E18">
      <w:pPr>
        <w:pBdr>
          <w:top w:val="nil"/>
          <w:left w:val="nil"/>
          <w:bottom w:val="nil"/>
          <w:right w:val="nil"/>
          <w:between w:val="nil"/>
        </w:pBdr>
        <w:ind w:left="567" w:right="567"/>
        <w:jc w:val="both"/>
        <w:rPr>
          <w:rFonts w:ascii="Palatino Linotype" w:eastAsia="Palatino Linotype" w:hAnsi="Palatino Linotype" w:cs="Palatino Linotype"/>
          <w:i/>
        </w:rPr>
      </w:pPr>
      <w:r w:rsidRPr="0072535F">
        <w:rPr>
          <w:rFonts w:ascii="Palatino Linotype" w:eastAsia="Palatino Linotype" w:hAnsi="Palatino Linotype" w:cs="Palatino Linotype"/>
          <w:b/>
          <w:i/>
        </w:rPr>
        <w:t>Artículo 91.</w:t>
      </w:r>
      <w:r w:rsidRPr="0072535F">
        <w:rPr>
          <w:rFonts w:ascii="Palatino Linotype" w:eastAsia="Palatino Linotype" w:hAnsi="Palatino Linotype" w:cs="Palatino Linotype"/>
          <w:i/>
        </w:rPr>
        <w:t xml:space="preserve"> </w:t>
      </w:r>
      <w:r w:rsidRPr="0072535F">
        <w:rPr>
          <w:rFonts w:ascii="Palatino Linotype" w:eastAsia="Palatino Linotype" w:hAnsi="Palatino Linotype" w:cs="Palatino Linotype"/>
          <w:i/>
          <w:u w:val="single"/>
        </w:rPr>
        <w:t>El acceso a la información pública será restringido excepcionalmente, cuando ésta sea clasificada como reservada</w:t>
      </w:r>
      <w:r w:rsidRPr="0072535F">
        <w:rPr>
          <w:rFonts w:ascii="Palatino Linotype" w:eastAsia="Palatino Linotype" w:hAnsi="Palatino Linotype" w:cs="Palatino Linotype"/>
          <w:i/>
        </w:rPr>
        <w:t xml:space="preserve"> o confidencial.</w:t>
      </w:r>
    </w:p>
    <w:p w:rsidR="009A2CCD" w:rsidRPr="0072535F" w:rsidRDefault="009A2CCD">
      <w:pPr>
        <w:pBdr>
          <w:top w:val="nil"/>
          <w:left w:val="nil"/>
          <w:bottom w:val="nil"/>
          <w:right w:val="nil"/>
          <w:between w:val="nil"/>
        </w:pBdr>
        <w:ind w:left="567" w:right="567"/>
        <w:jc w:val="both"/>
        <w:rPr>
          <w:rFonts w:ascii="Palatino Linotype" w:eastAsia="Palatino Linotype" w:hAnsi="Palatino Linotype" w:cs="Palatino Linotype"/>
          <w:i/>
        </w:rPr>
      </w:pPr>
    </w:p>
    <w:p w:rsidR="009A2CCD" w:rsidRPr="0072535F" w:rsidRDefault="00860E18">
      <w:pPr>
        <w:pBdr>
          <w:top w:val="nil"/>
          <w:left w:val="nil"/>
          <w:bottom w:val="nil"/>
          <w:right w:val="nil"/>
          <w:between w:val="nil"/>
        </w:pBdr>
        <w:ind w:left="567" w:right="567"/>
        <w:jc w:val="both"/>
        <w:rPr>
          <w:rFonts w:ascii="Palatino Linotype" w:eastAsia="Palatino Linotype" w:hAnsi="Palatino Linotype" w:cs="Palatino Linotype"/>
          <w:i/>
        </w:rPr>
      </w:pPr>
      <w:r w:rsidRPr="0072535F">
        <w:rPr>
          <w:rFonts w:ascii="Palatino Linotype" w:eastAsia="Palatino Linotype" w:hAnsi="Palatino Linotype" w:cs="Palatino Linotype"/>
          <w:b/>
          <w:i/>
        </w:rPr>
        <w:t>Artículo 140.</w:t>
      </w:r>
      <w:r w:rsidRPr="0072535F">
        <w:rPr>
          <w:rFonts w:ascii="Palatino Linotype" w:eastAsia="Palatino Linotype" w:hAnsi="Palatino Linotype" w:cs="Palatino Linotype"/>
          <w:i/>
        </w:rPr>
        <w:t xml:space="preserve"> </w:t>
      </w:r>
      <w:r w:rsidRPr="0072535F">
        <w:rPr>
          <w:rFonts w:ascii="Palatino Linotype" w:eastAsia="Palatino Linotype" w:hAnsi="Palatino Linotype" w:cs="Palatino Linotype"/>
          <w:i/>
          <w:u w:val="single"/>
        </w:rPr>
        <w:t>El acceso a la información pública será restringido excepcionalmente, cuando por razones de interés público, ésta sea clasificada como reservada, conforme a los criterios siguientes:</w:t>
      </w:r>
    </w:p>
    <w:p w:rsidR="009A2CCD" w:rsidRPr="0072535F" w:rsidRDefault="00860E18">
      <w:pPr>
        <w:pBdr>
          <w:top w:val="nil"/>
          <w:left w:val="nil"/>
          <w:bottom w:val="nil"/>
          <w:right w:val="nil"/>
          <w:between w:val="nil"/>
        </w:pBdr>
        <w:ind w:left="567" w:right="567"/>
        <w:jc w:val="both"/>
        <w:rPr>
          <w:rFonts w:ascii="Palatino Linotype" w:eastAsia="Palatino Linotype" w:hAnsi="Palatino Linotype" w:cs="Palatino Linotype"/>
          <w:i/>
        </w:rPr>
      </w:pPr>
      <w:r w:rsidRPr="0072535F">
        <w:rPr>
          <w:rFonts w:ascii="Palatino Linotype" w:eastAsia="Palatino Linotype" w:hAnsi="Palatino Linotype" w:cs="Palatino Linotype"/>
          <w:i/>
        </w:rPr>
        <w:t xml:space="preserve">(…) </w:t>
      </w:r>
    </w:p>
    <w:p w:rsidR="009A2CCD" w:rsidRPr="0072535F" w:rsidRDefault="009A2CCD">
      <w:pPr>
        <w:pBdr>
          <w:top w:val="nil"/>
          <w:left w:val="nil"/>
          <w:bottom w:val="nil"/>
          <w:right w:val="nil"/>
          <w:between w:val="nil"/>
        </w:pBdr>
        <w:ind w:left="567" w:right="567"/>
        <w:jc w:val="both"/>
        <w:rPr>
          <w:rFonts w:ascii="Palatino Linotype" w:eastAsia="Palatino Linotype" w:hAnsi="Palatino Linotype" w:cs="Palatino Linotype"/>
          <w:i/>
        </w:rPr>
      </w:pPr>
    </w:p>
    <w:p w:rsidR="009A2CCD" w:rsidRPr="0072535F" w:rsidRDefault="00860E18">
      <w:pPr>
        <w:pBdr>
          <w:top w:val="nil"/>
          <w:left w:val="nil"/>
          <w:bottom w:val="nil"/>
          <w:right w:val="nil"/>
          <w:between w:val="nil"/>
        </w:pBdr>
        <w:ind w:left="567" w:right="567"/>
        <w:jc w:val="both"/>
        <w:rPr>
          <w:rFonts w:ascii="Palatino Linotype" w:eastAsia="Palatino Linotype" w:hAnsi="Palatino Linotype" w:cs="Palatino Linotype"/>
          <w:i/>
          <w:u w:val="single"/>
        </w:rPr>
      </w:pPr>
      <w:r w:rsidRPr="0072535F">
        <w:rPr>
          <w:rFonts w:ascii="Palatino Linotype" w:eastAsia="Palatino Linotype" w:hAnsi="Palatino Linotype" w:cs="Palatino Linotype"/>
          <w:i/>
          <w:u w:val="single"/>
        </w:rPr>
        <w:t>IV. Ponga en riesgo la vida, la seguridad o la salud de una persona física;</w:t>
      </w:r>
    </w:p>
    <w:p w:rsidR="009A2CCD" w:rsidRPr="0072535F" w:rsidRDefault="00860E18">
      <w:pPr>
        <w:pBdr>
          <w:top w:val="nil"/>
          <w:left w:val="nil"/>
          <w:bottom w:val="nil"/>
          <w:right w:val="nil"/>
          <w:between w:val="nil"/>
        </w:pBdr>
        <w:ind w:left="567" w:right="567"/>
        <w:jc w:val="both"/>
        <w:rPr>
          <w:rFonts w:ascii="Palatino Linotype" w:eastAsia="Palatino Linotype" w:hAnsi="Palatino Linotype" w:cs="Palatino Linotype"/>
          <w:i/>
        </w:rPr>
      </w:pPr>
      <w:r w:rsidRPr="0072535F">
        <w:rPr>
          <w:rFonts w:ascii="Palatino Linotype" w:eastAsia="Palatino Linotype" w:hAnsi="Palatino Linotype" w:cs="Palatino Linotype"/>
          <w:i/>
        </w:rPr>
        <w:t>(…)</w:t>
      </w:r>
    </w:p>
    <w:p w:rsidR="009A2CCD" w:rsidRPr="0072535F" w:rsidRDefault="00860E18">
      <w:pPr>
        <w:pBdr>
          <w:top w:val="nil"/>
          <w:left w:val="nil"/>
          <w:bottom w:val="nil"/>
          <w:right w:val="nil"/>
          <w:between w:val="nil"/>
        </w:pBdr>
        <w:ind w:left="567" w:right="567"/>
        <w:jc w:val="both"/>
        <w:rPr>
          <w:rFonts w:ascii="Palatino Linotype" w:eastAsia="Palatino Linotype" w:hAnsi="Palatino Linotype" w:cs="Palatino Linotype"/>
          <w:i/>
        </w:rPr>
      </w:pPr>
      <w:r w:rsidRPr="0072535F">
        <w:rPr>
          <w:rFonts w:ascii="Palatino Linotype" w:eastAsia="Palatino Linotype" w:hAnsi="Palatino Linotype" w:cs="Palatino Linotype"/>
          <w:b/>
          <w:i/>
        </w:rPr>
        <w:t>XI.</w:t>
      </w:r>
      <w:r w:rsidRPr="0072535F">
        <w:rPr>
          <w:rFonts w:ascii="Palatino Linotype" w:eastAsia="Palatino Linotype" w:hAnsi="Palatino Linotype" w:cs="Palatino Linotype"/>
          <w:i/>
        </w:rPr>
        <w:t xml:space="preserve"> Las que por disposición expresa de una ley tengan tal carácter, siempre que sean acordes con las bases, principios y disposiciones establecidos en esta Ley y no la contravengan; así como las previstas en tratados internacionales.”</w:t>
      </w:r>
    </w:p>
    <w:p w:rsidR="009A2CCD" w:rsidRPr="0072535F" w:rsidRDefault="009A2CCD">
      <w:pPr>
        <w:pBdr>
          <w:top w:val="nil"/>
          <w:left w:val="nil"/>
          <w:bottom w:val="nil"/>
          <w:right w:val="nil"/>
          <w:between w:val="nil"/>
        </w:pBdr>
        <w:ind w:left="567" w:right="567"/>
        <w:jc w:val="both"/>
        <w:rPr>
          <w:rFonts w:ascii="Palatino Linotype" w:eastAsia="Palatino Linotype" w:hAnsi="Palatino Linotype" w:cs="Palatino Linotype"/>
          <w:i/>
        </w:rPr>
      </w:pPr>
    </w:p>
    <w:p w:rsidR="009A2CCD" w:rsidRPr="0072535F" w:rsidRDefault="009A2CCD">
      <w:pPr>
        <w:pBdr>
          <w:top w:val="nil"/>
          <w:left w:val="nil"/>
          <w:bottom w:val="nil"/>
          <w:right w:val="nil"/>
          <w:between w:val="nil"/>
        </w:pBdr>
        <w:ind w:left="567" w:right="567"/>
        <w:jc w:val="both"/>
        <w:rPr>
          <w:rFonts w:ascii="Palatino Linotype" w:eastAsia="Palatino Linotype" w:hAnsi="Palatino Linotype" w:cs="Palatino Linotype"/>
          <w:i/>
          <w:sz w:val="2"/>
          <w:szCs w:val="2"/>
        </w:rPr>
      </w:pPr>
    </w:p>
    <w:p w:rsidR="009A2CCD" w:rsidRPr="0072535F" w:rsidRDefault="00860E18">
      <w:pP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72535F">
        <w:rPr>
          <w:rFonts w:ascii="Palatino Linotype" w:eastAsia="Palatino Linotype" w:hAnsi="Palatino Linotype" w:cs="Palatino Linotype"/>
          <w:b/>
        </w:rPr>
        <w:t>RESERVADA</w:t>
      </w:r>
      <w:r w:rsidRPr="0072535F">
        <w:rPr>
          <w:rFonts w:ascii="Palatino Linotype" w:eastAsia="Palatino Linotype" w:hAnsi="Palatino Linotype" w:cs="Palatino Linotype"/>
        </w:rPr>
        <w:t xml:space="preserve">, delimitando una serie de hipótesis de hecho en las cuales descansa la posibilidad de reserva de información, por lo que dentro la información que </w:t>
      </w:r>
      <w:r w:rsidRPr="0072535F">
        <w:rPr>
          <w:rFonts w:ascii="Palatino Linotype" w:eastAsia="Palatino Linotype" w:hAnsi="Palatino Linotype" w:cs="Palatino Linotype"/>
        </w:rPr>
        <w:lastRenderedPageBreak/>
        <w:t xml:space="preserve">generen, posean o administren los Sujetos Obligados, se considerará reservada cuando </w:t>
      </w:r>
      <w:r w:rsidRPr="0072535F">
        <w:rPr>
          <w:rFonts w:ascii="Palatino Linotype" w:eastAsia="Palatino Linotype" w:hAnsi="Palatino Linotype" w:cs="Palatino Linotype"/>
          <w:b/>
          <w:u w:val="single"/>
        </w:rPr>
        <w:t>pueda causar daño u obstruya la prevención o persecución de los delitos, altere el proceso de investigación de las carpetas de investigación, afecte o vulnere la conducción o los derechos del debido proceso en los procedimientos judiciales</w:t>
      </w:r>
      <w:r w:rsidRPr="0072535F">
        <w:rPr>
          <w:rFonts w:ascii="Palatino Linotype" w:eastAsia="Palatino Linotype" w:hAnsi="Palatino Linotype" w:cs="Palatino Linotype"/>
        </w:rPr>
        <w:t xml:space="preserve"> o administrativos, incluidos los de quejas, denuncias, inconformidades, responsabilidades administrativas y resarcitorias en tanto no hayan quedado firmes o </w:t>
      </w:r>
      <w:r w:rsidRPr="0072535F">
        <w:rPr>
          <w:rFonts w:ascii="Palatino Linotype" w:eastAsia="Palatino Linotype" w:hAnsi="Palatino Linotype" w:cs="Palatino Linotype"/>
          <w:u w:val="single"/>
        </w:rPr>
        <w:t>afecte la administración de justicia o la seguridad de un denunciante, querellante o testigo, así como sus familias</w:t>
      </w:r>
      <w:r w:rsidRPr="0072535F">
        <w:rPr>
          <w:rFonts w:ascii="Palatino Linotype" w:eastAsia="Palatino Linotype" w:hAnsi="Palatino Linotype" w:cs="Palatino Linotype"/>
        </w:rPr>
        <w:t>, en los términos de las disposiciones jurídicas aplicables.</w:t>
      </w:r>
    </w:p>
    <w:p w:rsidR="009A2CCD" w:rsidRPr="0072535F" w:rsidRDefault="009A2CCD">
      <w:pPr>
        <w:spacing w:line="360" w:lineRule="auto"/>
        <w:jc w:val="both"/>
        <w:rPr>
          <w:rFonts w:ascii="Palatino Linotype" w:eastAsia="Palatino Linotype" w:hAnsi="Palatino Linotype" w:cs="Palatino Linotype"/>
        </w:rPr>
      </w:pPr>
    </w:p>
    <w:p w:rsidR="009A2CCD" w:rsidRPr="0072535F" w:rsidRDefault="00860E18">
      <w:pP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En el caso en particular, es necesario limitar la publicación de la información solicitada, ya que podría poner en riesgo la seguridad pública, sin soslayar que la misma tiene el carácter de </w:t>
      </w:r>
      <w:r w:rsidRPr="0072535F">
        <w:rPr>
          <w:rFonts w:ascii="Palatino Linotype" w:eastAsia="Palatino Linotype" w:hAnsi="Palatino Linotype" w:cs="Palatino Linotype"/>
          <w:b/>
        </w:rPr>
        <w:t>RESERVADA</w:t>
      </w:r>
      <w:r w:rsidRPr="0072535F">
        <w:rPr>
          <w:rFonts w:ascii="Palatino Linotype" w:eastAsia="Palatino Linotype" w:hAnsi="Palatino Linotype" w:cs="Palatino Linotype"/>
        </w:rPr>
        <w:t xml:space="preserve"> por disposición expresa del artículo 110, en relación directa con la fracción II, del artículo 5, de la Ley General del Sistema Nacional de Seguridad Pública, debido a que su difusión, facilitaría a células delictivas el neutralizar las acciones, implementadas o por implementar, en materia de seguridad pública para la preservación del orden y la paz pública.</w:t>
      </w:r>
    </w:p>
    <w:p w:rsidR="009A2CCD" w:rsidRPr="0072535F" w:rsidRDefault="009A2CCD">
      <w:pPr>
        <w:spacing w:line="360" w:lineRule="auto"/>
        <w:jc w:val="both"/>
        <w:rPr>
          <w:rFonts w:ascii="Palatino Linotype" w:eastAsia="Palatino Linotype" w:hAnsi="Palatino Linotype" w:cs="Palatino Linotype"/>
        </w:rPr>
      </w:pPr>
    </w:p>
    <w:p w:rsidR="009A2CCD" w:rsidRPr="0072535F" w:rsidRDefault="00860E18">
      <w:pP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En el asunto que nos ocupa analizar, el</w:t>
      </w:r>
      <w:r w:rsidRPr="0072535F">
        <w:rPr>
          <w:rFonts w:ascii="Palatino Linotype" w:eastAsia="Palatino Linotype" w:hAnsi="Palatino Linotype" w:cs="Palatino Linotype"/>
          <w:b/>
        </w:rPr>
        <w:t xml:space="preserve"> SUJETO OBLIGADO</w:t>
      </w:r>
      <w:r w:rsidRPr="0072535F">
        <w:rPr>
          <w:rFonts w:ascii="Palatino Linotype" w:eastAsia="Palatino Linotype" w:hAnsi="Palatino Linotype" w:cs="Palatino Linotype"/>
        </w:rPr>
        <w:t xml:space="preserve">, determinó que la información requerida encuadra en los supuestos del artículo 140, fracciones IV y XI, de la Ley de Transparencia y Acceso a la Información Pública del Estado de México y Municipios. </w:t>
      </w:r>
    </w:p>
    <w:p w:rsidR="009A2CCD" w:rsidRPr="0072535F" w:rsidRDefault="009A2CCD">
      <w:pPr>
        <w:spacing w:line="360" w:lineRule="auto"/>
        <w:jc w:val="both"/>
        <w:rPr>
          <w:rFonts w:ascii="Palatino Linotype" w:eastAsia="Palatino Linotype" w:hAnsi="Palatino Linotype" w:cs="Palatino Linotype"/>
        </w:rPr>
      </w:pPr>
    </w:p>
    <w:p w:rsidR="009A2CCD" w:rsidRPr="0072535F" w:rsidRDefault="00860E18">
      <w:pP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lastRenderedPageBreak/>
        <w:t xml:space="preserve">Por lo que resulta necesario, analizar dicho Acuerdo de Reserva de la información antes referida, entregado por el </w:t>
      </w:r>
      <w:r w:rsidRPr="0072535F">
        <w:rPr>
          <w:rFonts w:ascii="Palatino Linotype" w:eastAsia="Palatino Linotype" w:hAnsi="Palatino Linotype" w:cs="Palatino Linotype"/>
          <w:b/>
        </w:rPr>
        <w:t>SUJETO OBLIGADO</w:t>
      </w:r>
      <w:r w:rsidRPr="0072535F">
        <w:rPr>
          <w:rFonts w:ascii="Palatino Linotype" w:eastAsia="Palatino Linotype" w:hAnsi="Palatino Linotype" w:cs="Palatino Linotype"/>
        </w:rPr>
        <w:t xml:space="preserve">, en su respuesta e informe justificado, a fin de establecer si el Comité de Transparencia cumplió cabalmente con las formalidades exigidas por con el artículo 113, fracción VI, de la Ley General de Transparencia y Acceso a la Información Pública, numeral vigésimo cuarto, fracción II, de los Lineamientos Generales en Materia de Clasificación y Desclasificación de la Información, así como para la Elaboración de Versiones Públicas, así como los artículos 91, 128, 129, 140, fracción V, numeral I y 141, de la Ley de Transparencia y Acceso a la Información Pública del Estado de México y Municipios: </w:t>
      </w:r>
    </w:p>
    <w:tbl>
      <w:tblPr>
        <w:tblStyle w:val="a6"/>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17"/>
        <w:gridCol w:w="6095"/>
      </w:tblGrid>
      <w:tr w:rsidR="0072535F" w:rsidRPr="0072535F">
        <w:tc>
          <w:tcPr>
            <w:tcW w:w="1560" w:type="dxa"/>
            <w:tcBorders>
              <w:top w:val="nil"/>
              <w:left w:val="nil"/>
            </w:tcBorders>
          </w:tcPr>
          <w:p w:rsidR="009A2CCD" w:rsidRPr="0072535F" w:rsidRDefault="009A2CCD">
            <w:pPr>
              <w:pBdr>
                <w:top w:val="nil"/>
                <w:left w:val="nil"/>
                <w:bottom w:val="nil"/>
                <w:right w:val="nil"/>
                <w:between w:val="nil"/>
              </w:pBdr>
              <w:spacing w:after="120"/>
              <w:ind w:left="47"/>
              <w:jc w:val="both"/>
              <w:rPr>
                <w:rFonts w:ascii="Palatino Linotype" w:eastAsia="Palatino Linotype" w:hAnsi="Palatino Linotype" w:cs="Palatino Linotype"/>
                <w:b/>
                <w:sz w:val="20"/>
                <w:szCs w:val="20"/>
              </w:rPr>
            </w:pPr>
          </w:p>
        </w:tc>
        <w:tc>
          <w:tcPr>
            <w:tcW w:w="1417" w:type="dxa"/>
            <w:tcBorders>
              <w:bottom w:val="single" w:sz="4" w:space="0" w:color="000000"/>
            </w:tcBorders>
            <w:shd w:val="clear" w:color="auto" w:fill="BFBFBF"/>
            <w:vAlign w:val="bottom"/>
          </w:tcPr>
          <w:p w:rsidR="009A2CCD" w:rsidRPr="0072535F" w:rsidRDefault="00860E18">
            <w:pPr>
              <w:pBdr>
                <w:top w:val="nil"/>
                <w:left w:val="nil"/>
                <w:bottom w:val="nil"/>
                <w:right w:val="nil"/>
                <w:between w:val="nil"/>
              </w:pBdr>
              <w:spacing w:after="120"/>
              <w:ind w:left="47"/>
              <w:jc w:val="center"/>
              <w:rPr>
                <w:rFonts w:ascii="Palatino Linotype" w:eastAsia="Palatino Linotype" w:hAnsi="Palatino Linotype" w:cs="Palatino Linotype"/>
                <w:b/>
                <w:sz w:val="20"/>
                <w:szCs w:val="20"/>
              </w:rPr>
            </w:pPr>
            <w:r w:rsidRPr="0072535F">
              <w:rPr>
                <w:rFonts w:ascii="Palatino Linotype" w:eastAsia="Palatino Linotype" w:hAnsi="Palatino Linotype" w:cs="Palatino Linotype"/>
                <w:b/>
                <w:sz w:val="24"/>
                <w:szCs w:val="24"/>
              </w:rPr>
              <w:t>Cumplió:</w:t>
            </w:r>
          </w:p>
        </w:tc>
        <w:tc>
          <w:tcPr>
            <w:tcW w:w="6095" w:type="dxa"/>
            <w:tcBorders>
              <w:bottom w:val="single" w:sz="4" w:space="0" w:color="000000"/>
            </w:tcBorders>
            <w:shd w:val="clear" w:color="auto" w:fill="BFBFBF"/>
            <w:vAlign w:val="bottom"/>
          </w:tcPr>
          <w:p w:rsidR="009A2CCD" w:rsidRPr="0072535F" w:rsidRDefault="00860E18">
            <w:pPr>
              <w:pBdr>
                <w:top w:val="nil"/>
                <w:left w:val="nil"/>
                <w:bottom w:val="nil"/>
                <w:right w:val="nil"/>
                <w:between w:val="nil"/>
              </w:pBdr>
              <w:spacing w:after="120"/>
              <w:ind w:left="47"/>
              <w:jc w:val="center"/>
              <w:rPr>
                <w:rFonts w:ascii="Palatino Linotype" w:eastAsia="Palatino Linotype" w:hAnsi="Palatino Linotype" w:cs="Palatino Linotype"/>
                <w:b/>
                <w:sz w:val="24"/>
                <w:szCs w:val="24"/>
              </w:rPr>
            </w:pPr>
            <w:r w:rsidRPr="0072535F">
              <w:rPr>
                <w:rFonts w:ascii="Palatino Linotype" w:eastAsia="Palatino Linotype" w:hAnsi="Palatino Linotype" w:cs="Palatino Linotype"/>
                <w:b/>
                <w:sz w:val="24"/>
                <w:szCs w:val="24"/>
              </w:rPr>
              <w:t>Contenido</w:t>
            </w:r>
          </w:p>
        </w:tc>
      </w:tr>
      <w:tr w:rsidR="0072535F" w:rsidRPr="0072535F">
        <w:tc>
          <w:tcPr>
            <w:tcW w:w="1560" w:type="dxa"/>
            <w:vAlign w:val="center"/>
          </w:tcPr>
          <w:p w:rsidR="009A2CCD" w:rsidRPr="0072535F" w:rsidRDefault="00860E18">
            <w:pPr>
              <w:spacing w:after="120"/>
              <w:jc w:val="center"/>
              <w:rPr>
                <w:rFonts w:ascii="Palatino Linotype" w:eastAsia="Palatino Linotype" w:hAnsi="Palatino Linotype" w:cs="Palatino Linotype"/>
                <w:b/>
                <w:sz w:val="16"/>
                <w:szCs w:val="16"/>
              </w:rPr>
            </w:pPr>
            <w:r w:rsidRPr="0072535F">
              <w:rPr>
                <w:rFonts w:ascii="Palatino Linotype" w:eastAsia="Palatino Linotype" w:hAnsi="Palatino Linotype" w:cs="Palatino Linotype"/>
                <w:b/>
                <w:sz w:val="16"/>
                <w:szCs w:val="16"/>
              </w:rPr>
              <w:t>Número de folio de la solicitud</w:t>
            </w:r>
          </w:p>
        </w:tc>
        <w:tc>
          <w:tcPr>
            <w:tcW w:w="1417" w:type="dxa"/>
            <w:tcBorders>
              <w:top w:val="single" w:sz="4" w:space="0" w:color="000000"/>
            </w:tcBorders>
            <w:vAlign w:val="center"/>
          </w:tcPr>
          <w:p w:rsidR="009A2CCD" w:rsidRPr="0072535F" w:rsidRDefault="00860E18">
            <w:pPr>
              <w:spacing w:after="120"/>
              <w:ind w:left="47"/>
              <w:jc w:val="center"/>
              <w:rPr>
                <w:rFonts w:ascii="Palatino Linotype" w:eastAsia="Palatino Linotype" w:hAnsi="Palatino Linotype" w:cs="Palatino Linotype"/>
                <w:b/>
              </w:rPr>
            </w:pPr>
            <w:r w:rsidRPr="0072535F">
              <w:rPr>
                <w:rFonts w:ascii="Palatino Linotype" w:eastAsia="Palatino Linotype" w:hAnsi="Palatino Linotype" w:cs="Palatino Linotype"/>
                <w:b/>
              </w:rPr>
              <w:t>Sí</w:t>
            </w:r>
          </w:p>
        </w:tc>
        <w:tc>
          <w:tcPr>
            <w:tcW w:w="6095" w:type="dxa"/>
            <w:tcBorders>
              <w:top w:val="single" w:sz="4" w:space="0" w:color="000000"/>
            </w:tcBorders>
            <w:vAlign w:val="center"/>
          </w:tcPr>
          <w:p w:rsidR="009A2CCD" w:rsidRPr="0072535F" w:rsidRDefault="009A2CCD">
            <w:pPr>
              <w:spacing w:after="120"/>
              <w:ind w:left="-115"/>
              <w:jc w:val="center"/>
              <w:rPr>
                <w:rFonts w:ascii="Palatino Linotype" w:eastAsia="Palatino Linotype" w:hAnsi="Palatino Linotype" w:cs="Palatino Linotype"/>
                <w:sz w:val="2"/>
                <w:szCs w:val="2"/>
              </w:rPr>
            </w:pPr>
          </w:p>
          <w:p w:rsidR="009A2CCD" w:rsidRPr="0072535F" w:rsidRDefault="00860E18">
            <w:pPr>
              <w:spacing w:after="120"/>
              <w:ind w:left="-115"/>
              <w:jc w:val="center"/>
              <w:rPr>
                <w:rFonts w:ascii="Palatino Linotype" w:eastAsia="Palatino Linotype" w:hAnsi="Palatino Linotype" w:cs="Palatino Linotype"/>
              </w:rPr>
            </w:pPr>
            <w:r w:rsidRPr="0072535F">
              <w:rPr>
                <w:noProof/>
                <w:lang w:val="es-MX"/>
              </w:rPr>
              <w:drawing>
                <wp:inline distT="0" distB="0" distL="0" distR="0">
                  <wp:extent cx="3733165" cy="561975"/>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733165" cy="561975"/>
                          </a:xfrm>
                          <a:prstGeom prst="rect">
                            <a:avLst/>
                          </a:prstGeom>
                          <a:ln/>
                        </pic:spPr>
                      </pic:pic>
                    </a:graphicData>
                  </a:graphic>
                </wp:inline>
              </w:drawing>
            </w:r>
          </w:p>
        </w:tc>
      </w:tr>
      <w:tr w:rsidR="0072535F" w:rsidRPr="0072535F">
        <w:tc>
          <w:tcPr>
            <w:tcW w:w="1560" w:type="dxa"/>
            <w:vAlign w:val="center"/>
          </w:tcPr>
          <w:p w:rsidR="009A2CCD" w:rsidRPr="0072535F" w:rsidRDefault="00860E18">
            <w:pPr>
              <w:spacing w:after="120"/>
              <w:jc w:val="center"/>
              <w:rPr>
                <w:rFonts w:ascii="Palatino Linotype" w:eastAsia="Palatino Linotype" w:hAnsi="Palatino Linotype" w:cs="Palatino Linotype"/>
                <w:b/>
                <w:sz w:val="16"/>
                <w:szCs w:val="16"/>
              </w:rPr>
            </w:pPr>
            <w:r w:rsidRPr="0072535F">
              <w:rPr>
                <w:rFonts w:ascii="Palatino Linotype" w:eastAsia="Palatino Linotype" w:hAnsi="Palatino Linotype" w:cs="Palatino Linotype"/>
                <w:b/>
                <w:sz w:val="16"/>
                <w:szCs w:val="16"/>
              </w:rPr>
              <w:t>Referencia de la información solicitada</w:t>
            </w:r>
          </w:p>
        </w:tc>
        <w:tc>
          <w:tcPr>
            <w:tcW w:w="1417" w:type="dxa"/>
            <w:vAlign w:val="center"/>
          </w:tcPr>
          <w:p w:rsidR="009A2CCD" w:rsidRPr="0072535F" w:rsidRDefault="00860E18">
            <w:pPr>
              <w:spacing w:after="120"/>
              <w:ind w:left="47"/>
              <w:jc w:val="center"/>
              <w:rPr>
                <w:rFonts w:ascii="Palatino Linotype" w:eastAsia="Palatino Linotype" w:hAnsi="Palatino Linotype" w:cs="Palatino Linotype"/>
                <w:b/>
              </w:rPr>
            </w:pPr>
            <w:r w:rsidRPr="0072535F">
              <w:rPr>
                <w:rFonts w:ascii="Palatino Linotype" w:eastAsia="Palatino Linotype" w:hAnsi="Palatino Linotype" w:cs="Palatino Linotype"/>
                <w:b/>
              </w:rPr>
              <w:t>Sí</w:t>
            </w:r>
          </w:p>
        </w:tc>
        <w:tc>
          <w:tcPr>
            <w:tcW w:w="6095" w:type="dxa"/>
            <w:vAlign w:val="center"/>
          </w:tcPr>
          <w:p w:rsidR="009A2CCD" w:rsidRPr="0072535F" w:rsidRDefault="00860E18">
            <w:pPr>
              <w:spacing w:after="120"/>
              <w:jc w:val="center"/>
              <w:rPr>
                <w:rFonts w:ascii="Palatino Linotype" w:eastAsia="Palatino Linotype" w:hAnsi="Palatino Linotype" w:cs="Palatino Linotype"/>
                <w:b/>
              </w:rPr>
            </w:pPr>
            <w:r w:rsidRPr="0072535F">
              <w:rPr>
                <w:rFonts w:ascii="Palatino Linotype" w:eastAsia="Palatino Linotype" w:hAnsi="Palatino Linotype" w:cs="Palatino Linotype"/>
                <w:b/>
                <w:noProof/>
                <w:lang w:val="es-MX"/>
              </w:rPr>
              <w:drawing>
                <wp:inline distT="0" distB="0" distL="0" distR="0">
                  <wp:extent cx="3733165" cy="1209675"/>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733165" cy="1209675"/>
                          </a:xfrm>
                          <a:prstGeom prst="rect">
                            <a:avLst/>
                          </a:prstGeom>
                          <a:ln/>
                        </pic:spPr>
                      </pic:pic>
                    </a:graphicData>
                  </a:graphic>
                </wp:inline>
              </w:drawing>
            </w:r>
            <w:r w:rsidRPr="0072535F">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114300</wp:posOffset>
                      </wp:positionH>
                      <wp:positionV relativeFrom="paragraph">
                        <wp:posOffset>774700</wp:posOffset>
                      </wp:positionV>
                      <wp:extent cx="3448050" cy="419100"/>
                      <wp:effectExtent l="0" t="0" r="0" b="0"/>
                      <wp:wrapNone/>
                      <wp:docPr id="31" name="Rectángulo 31"/>
                      <wp:cNvGraphicFramePr/>
                      <a:graphic xmlns:a="http://schemas.openxmlformats.org/drawingml/2006/main">
                        <a:graphicData uri="http://schemas.microsoft.com/office/word/2010/wordprocessingShape">
                          <wps:wsp>
                            <wps:cNvSpPr/>
                            <wps:spPr>
                              <a:xfrm>
                                <a:off x="3626738" y="3575213"/>
                                <a:ext cx="3438525" cy="409575"/>
                              </a:xfrm>
                              <a:prstGeom prst="rect">
                                <a:avLst/>
                              </a:prstGeom>
                              <a:noFill/>
                              <a:ln w="9525" cap="flat" cmpd="sng">
                                <a:solidFill>
                                  <a:srgbClr val="FF0000"/>
                                </a:solidFill>
                                <a:prstDash val="solid"/>
                                <a:round/>
                                <a:headEnd type="none" w="sm" len="sm"/>
                                <a:tailEnd type="none" w="sm" len="sm"/>
                              </a:ln>
                            </wps:spPr>
                            <wps:txbx>
                              <w:txbxContent>
                                <w:p w:rsidR="009A2CCD" w:rsidRDefault="009A2CCD">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774700</wp:posOffset>
                      </wp:positionV>
                      <wp:extent cx="3448050" cy="419100"/>
                      <wp:effectExtent b="0" l="0" r="0" t="0"/>
                      <wp:wrapNone/>
                      <wp:docPr id="31"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3448050" cy="419100"/>
                              </a:xfrm>
                              <a:prstGeom prst="rect"/>
                              <a:ln/>
                            </pic:spPr>
                          </pic:pic>
                        </a:graphicData>
                      </a:graphic>
                    </wp:anchor>
                  </w:drawing>
                </mc:Fallback>
              </mc:AlternateContent>
            </w:r>
          </w:p>
        </w:tc>
      </w:tr>
      <w:tr w:rsidR="0072535F" w:rsidRPr="0072535F">
        <w:tc>
          <w:tcPr>
            <w:tcW w:w="1560" w:type="dxa"/>
            <w:vAlign w:val="center"/>
          </w:tcPr>
          <w:p w:rsidR="009A2CCD" w:rsidRPr="0072535F" w:rsidRDefault="00860E18">
            <w:pPr>
              <w:spacing w:after="120"/>
              <w:jc w:val="center"/>
              <w:rPr>
                <w:rFonts w:ascii="Palatino Linotype" w:eastAsia="Palatino Linotype" w:hAnsi="Palatino Linotype" w:cs="Palatino Linotype"/>
                <w:b/>
                <w:sz w:val="16"/>
                <w:szCs w:val="16"/>
              </w:rPr>
            </w:pPr>
            <w:r w:rsidRPr="0072535F">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rsidR="009A2CCD" w:rsidRPr="0072535F" w:rsidRDefault="00860E18">
            <w:pPr>
              <w:spacing w:after="120"/>
              <w:ind w:left="47"/>
              <w:jc w:val="center"/>
              <w:rPr>
                <w:rFonts w:ascii="Palatino Linotype" w:eastAsia="Palatino Linotype" w:hAnsi="Palatino Linotype" w:cs="Palatino Linotype"/>
                <w:b/>
                <w:sz w:val="16"/>
                <w:szCs w:val="16"/>
              </w:rPr>
            </w:pPr>
            <w:r w:rsidRPr="0072535F">
              <w:rPr>
                <w:rFonts w:ascii="Palatino Linotype" w:eastAsia="Palatino Linotype" w:hAnsi="Palatino Linotype" w:cs="Palatino Linotype"/>
                <w:b/>
              </w:rPr>
              <w:t>Sí</w:t>
            </w:r>
          </w:p>
        </w:tc>
        <w:tc>
          <w:tcPr>
            <w:tcW w:w="6095" w:type="dxa"/>
            <w:vAlign w:val="center"/>
          </w:tcPr>
          <w:p w:rsidR="009A2CCD" w:rsidRPr="0072535F" w:rsidRDefault="00860E18">
            <w:pPr>
              <w:spacing w:after="120"/>
              <w:jc w:val="center"/>
              <w:rPr>
                <w:rFonts w:ascii="Palatino Linotype" w:eastAsia="Palatino Linotype" w:hAnsi="Palatino Linotype" w:cs="Palatino Linotype"/>
                <w:b/>
              </w:rPr>
            </w:pPr>
            <w:r w:rsidRPr="0072535F">
              <w:rPr>
                <w:rFonts w:ascii="Palatino Linotype" w:eastAsia="Palatino Linotype" w:hAnsi="Palatino Linotype" w:cs="Palatino Linotype"/>
                <w:b/>
                <w:noProof/>
                <w:lang w:val="es-MX"/>
              </w:rPr>
              <w:drawing>
                <wp:inline distT="0" distB="0" distL="0" distR="0">
                  <wp:extent cx="3733165" cy="1902460"/>
                  <wp:effectExtent l="0" t="0" r="0" b="0"/>
                  <wp:docPr id="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3733165" cy="1902460"/>
                          </a:xfrm>
                          <a:prstGeom prst="rect">
                            <a:avLst/>
                          </a:prstGeom>
                          <a:ln/>
                        </pic:spPr>
                      </pic:pic>
                    </a:graphicData>
                  </a:graphic>
                </wp:inline>
              </w:drawing>
            </w:r>
          </w:p>
        </w:tc>
      </w:tr>
      <w:tr w:rsidR="0072535F" w:rsidRPr="0072535F">
        <w:tc>
          <w:tcPr>
            <w:tcW w:w="1560" w:type="dxa"/>
            <w:vAlign w:val="center"/>
          </w:tcPr>
          <w:p w:rsidR="009A2CCD" w:rsidRPr="0072535F" w:rsidRDefault="00860E18">
            <w:pPr>
              <w:tabs>
                <w:tab w:val="left" w:pos="317"/>
              </w:tabs>
              <w:spacing w:after="120"/>
              <w:jc w:val="center"/>
              <w:rPr>
                <w:rFonts w:ascii="Palatino Linotype" w:eastAsia="Palatino Linotype" w:hAnsi="Palatino Linotype" w:cs="Palatino Linotype"/>
                <w:b/>
                <w:sz w:val="16"/>
                <w:szCs w:val="16"/>
              </w:rPr>
            </w:pPr>
            <w:r w:rsidRPr="0072535F">
              <w:rPr>
                <w:rFonts w:ascii="Palatino Linotype" w:eastAsia="Palatino Linotype" w:hAnsi="Palatino Linotype" w:cs="Palatino Linotype"/>
                <w:b/>
                <w:sz w:val="16"/>
                <w:szCs w:val="16"/>
              </w:rPr>
              <w:lastRenderedPageBreak/>
              <w:t>Fundamento y Motivación Legal</w:t>
            </w:r>
          </w:p>
        </w:tc>
        <w:tc>
          <w:tcPr>
            <w:tcW w:w="1417" w:type="dxa"/>
            <w:vAlign w:val="center"/>
          </w:tcPr>
          <w:p w:rsidR="009A2CCD" w:rsidRPr="0072535F" w:rsidRDefault="00860E18">
            <w:pPr>
              <w:spacing w:after="120"/>
              <w:ind w:left="47"/>
              <w:jc w:val="center"/>
              <w:rPr>
                <w:rFonts w:ascii="Palatino Linotype" w:eastAsia="Palatino Linotype" w:hAnsi="Palatino Linotype" w:cs="Palatino Linotype"/>
                <w:b/>
                <w:sz w:val="18"/>
                <w:szCs w:val="18"/>
              </w:rPr>
            </w:pPr>
            <w:r w:rsidRPr="0072535F">
              <w:rPr>
                <w:rFonts w:ascii="Palatino Linotype" w:eastAsia="Palatino Linotype" w:hAnsi="Palatino Linotype" w:cs="Palatino Linotype"/>
                <w:b/>
              </w:rPr>
              <w:t>Sí</w:t>
            </w:r>
          </w:p>
        </w:tc>
        <w:tc>
          <w:tcPr>
            <w:tcW w:w="6095" w:type="dxa"/>
            <w:vAlign w:val="center"/>
          </w:tcPr>
          <w:p w:rsidR="009A2CCD" w:rsidRPr="0072535F" w:rsidRDefault="009A2CCD">
            <w:pPr>
              <w:spacing w:after="120"/>
              <w:jc w:val="center"/>
              <w:rPr>
                <w:rFonts w:ascii="Palatino Linotype" w:eastAsia="Palatino Linotype" w:hAnsi="Palatino Linotype" w:cs="Palatino Linotype"/>
                <w:b/>
                <w:sz w:val="2"/>
                <w:szCs w:val="2"/>
              </w:rPr>
            </w:pPr>
          </w:p>
          <w:p w:rsidR="009A2CCD" w:rsidRPr="0072535F" w:rsidRDefault="00860E18">
            <w:pPr>
              <w:spacing w:after="120"/>
              <w:ind w:left="47"/>
              <w:jc w:val="center"/>
              <w:rPr>
                <w:rFonts w:ascii="Palatino Linotype" w:eastAsia="Palatino Linotype" w:hAnsi="Palatino Linotype" w:cs="Palatino Linotype"/>
                <w:b/>
              </w:rPr>
            </w:pPr>
            <w:r w:rsidRPr="0072535F">
              <w:rPr>
                <w:noProof/>
                <w:lang w:val="es-MX"/>
              </w:rPr>
              <w:drawing>
                <wp:inline distT="0" distB="0" distL="0" distR="0">
                  <wp:extent cx="3733165" cy="1333500"/>
                  <wp:effectExtent l="0" t="0" r="0" b="0"/>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733165" cy="1333500"/>
                          </a:xfrm>
                          <a:prstGeom prst="rect">
                            <a:avLst/>
                          </a:prstGeom>
                          <a:ln/>
                        </pic:spPr>
                      </pic:pic>
                    </a:graphicData>
                  </a:graphic>
                </wp:inline>
              </w:drawing>
            </w:r>
            <w:r w:rsidRPr="0072535F">
              <w:t xml:space="preserve">  </w:t>
            </w:r>
            <w:r w:rsidRPr="0072535F">
              <w:rPr>
                <w:noProof/>
                <w:lang w:val="es-MX"/>
              </w:rPr>
              <w:drawing>
                <wp:inline distT="0" distB="0" distL="0" distR="0">
                  <wp:extent cx="3733165" cy="2295525"/>
                  <wp:effectExtent l="0" t="0" r="0" b="0"/>
                  <wp:docPr id="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733165" cy="2295525"/>
                          </a:xfrm>
                          <a:prstGeom prst="rect">
                            <a:avLst/>
                          </a:prstGeom>
                          <a:ln/>
                        </pic:spPr>
                      </pic:pic>
                    </a:graphicData>
                  </a:graphic>
                </wp:inline>
              </w:drawing>
            </w:r>
          </w:p>
        </w:tc>
      </w:tr>
      <w:tr w:rsidR="0072535F" w:rsidRPr="0072535F">
        <w:trPr>
          <w:trHeight w:val="3253"/>
        </w:trPr>
        <w:tc>
          <w:tcPr>
            <w:tcW w:w="1560" w:type="dxa"/>
            <w:vAlign w:val="center"/>
          </w:tcPr>
          <w:p w:rsidR="009A2CCD" w:rsidRPr="0072535F" w:rsidRDefault="00860E18">
            <w:pPr>
              <w:spacing w:after="120"/>
              <w:jc w:val="center"/>
              <w:rPr>
                <w:rFonts w:ascii="Palatino Linotype" w:eastAsia="Palatino Linotype" w:hAnsi="Palatino Linotype" w:cs="Palatino Linotype"/>
                <w:b/>
                <w:sz w:val="16"/>
                <w:szCs w:val="16"/>
              </w:rPr>
            </w:pPr>
            <w:r w:rsidRPr="0072535F">
              <w:rPr>
                <w:rFonts w:ascii="Palatino Linotype" w:eastAsia="Palatino Linotype" w:hAnsi="Palatino Linotype" w:cs="Palatino Linotype"/>
                <w:b/>
                <w:sz w:val="16"/>
                <w:szCs w:val="16"/>
              </w:rPr>
              <w:lastRenderedPageBreak/>
              <w:t>Conexión entre los fundamentos y motivos que dieron origen a la Reserva de la información</w:t>
            </w:r>
          </w:p>
        </w:tc>
        <w:tc>
          <w:tcPr>
            <w:tcW w:w="1417" w:type="dxa"/>
            <w:vAlign w:val="center"/>
          </w:tcPr>
          <w:p w:rsidR="009A2CCD" w:rsidRPr="0072535F" w:rsidRDefault="00860E18">
            <w:pPr>
              <w:pBdr>
                <w:top w:val="nil"/>
                <w:left w:val="nil"/>
                <w:bottom w:val="nil"/>
                <w:right w:val="nil"/>
                <w:between w:val="nil"/>
              </w:pBdr>
              <w:spacing w:after="120"/>
              <w:ind w:left="29" w:firstLine="18"/>
              <w:jc w:val="both"/>
              <w:rPr>
                <w:rFonts w:ascii="Palatino Linotype" w:eastAsia="Palatino Linotype" w:hAnsi="Palatino Linotype" w:cs="Palatino Linotype"/>
                <w:b/>
                <w:sz w:val="18"/>
                <w:szCs w:val="18"/>
              </w:rPr>
            </w:pPr>
            <w:r w:rsidRPr="0072535F">
              <w:rPr>
                <w:rFonts w:ascii="Palatino Linotype" w:eastAsia="Palatino Linotype" w:hAnsi="Palatino Linotype" w:cs="Palatino Linotype"/>
                <w:b/>
                <w:sz w:val="18"/>
                <w:szCs w:val="18"/>
              </w:rPr>
              <w:t>Parcialmente, toda vez que la fundamentación y motivación es una cuestión accesoria que parte de identificar las causales correctas, en este caso como no lo hicieron, asimismo, la argumentación también es deficiente</w:t>
            </w:r>
          </w:p>
        </w:tc>
        <w:tc>
          <w:tcPr>
            <w:tcW w:w="6095" w:type="dxa"/>
            <w:vAlign w:val="center"/>
          </w:tcPr>
          <w:p w:rsidR="009A2CCD" w:rsidRPr="0072535F" w:rsidRDefault="00860E18">
            <w:pPr>
              <w:pBdr>
                <w:top w:val="nil"/>
                <w:left w:val="nil"/>
                <w:bottom w:val="nil"/>
                <w:right w:val="nil"/>
                <w:between w:val="nil"/>
              </w:pBdr>
              <w:ind w:firstLine="18"/>
              <w:jc w:val="center"/>
              <w:rPr>
                <w:rFonts w:ascii="Times New Roman" w:eastAsia="Times New Roman" w:hAnsi="Times New Roman" w:cs="Times New Roman"/>
                <w:sz w:val="24"/>
                <w:szCs w:val="24"/>
              </w:rPr>
            </w:pPr>
            <w:r w:rsidRPr="0072535F">
              <w:rPr>
                <w:noProof/>
                <w:lang w:val="es-MX"/>
              </w:rPr>
              <w:drawing>
                <wp:inline distT="0" distB="0" distL="0" distR="0">
                  <wp:extent cx="3733165" cy="2724150"/>
                  <wp:effectExtent l="0" t="0" r="0" b="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733165" cy="2724150"/>
                          </a:xfrm>
                          <a:prstGeom prst="rect">
                            <a:avLst/>
                          </a:prstGeom>
                          <a:ln/>
                        </pic:spPr>
                      </pic:pic>
                    </a:graphicData>
                  </a:graphic>
                </wp:inline>
              </w:drawing>
            </w:r>
            <w:r w:rsidRPr="0072535F">
              <w:rPr>
                <w:rFonts w:ascii="Times New Roman" w:eastAsia="Times New Roman" w:hAnsi="Times New Roman" w:cs="Times New Roman"/>
                <w:sz w:val="24"/>
                <w:szCs w:val="24"/>
              </w:rPr>
              <w:t xml:space="preserve"> </w:t>
            </w:r>
            <w:r w:rsidRPr="0072535F">
              <w:rPr>
                <w:noProof/>
                <w:lang w:val="es-MX"/>
              </w:rPr>
              <w:drawing>
                <wp:inline distT="0" distB="0" distL="0" distR="0">
                  <wp:extent cx="3733165" cy="1050290"/>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733165" cy="1050290"/>
                          </a:xfrm>
                          <a:prstGeom prst="rect">
                            <a:avLst/>
                          </a:prstGeom>
                          <a:ln/>
                        </pic:spPr>
                      </pic:pic>
                    </a:graphicData>
                  </a:graphic>
                </wp:inline>
              </w:drawing>
            </w:r>
          </w:p>
          <w:p w:rsidR="009A2CCD" w:rsidRPr="0072535F" w:rsidRDefault="009A2CCD">
            <w:pPr>
              <w:pBdr>
                <w:top w:val="nil"/>
                <w:left w:val="nil"/>
                <w:bottom w:val="nil"/>
                <w:right w:val="nil"/>
                <w:between w:val="nil"/>
              </w:pBdr>
              <w:ind w:firstLine="18"/>
              <w:jc w:val="center"/>
              <w:rPr>
                <w:rFonts w:ascii="Times New Roman" w:eastAsia="Times New Roman" w:hAnsi="Times New Roman" w:cs="Times New Roman"/>
                <w:sz w:val="24"/>
                <w:szCs w:val="24"/>
              </w:rPr>
            </w:pPr>
          </w:p>
          <w:p w:rsidR="009A2CCD" w:rsidRPr="0072535F" w:rsidRDefault="00860E18">
            <w:pPr>
              <w:pBdr>
                <w:top w:val="nil"/>
                <w:left w:val="nil"/>
                <w:bottom w:val="nil"/>
                <w:right w:val="nil"/>
                <w:between w:val="nil"/>
              </w:pBdr>
              <w:ind w:firstLine="18"/>
              <w:jc w:val="center"/>
              <w:rPr>
                <w:rFonts w:ascii="Times New Roman" w:eastAsia="Times New Roman" w:hAnsi="Times New Roman" w:cs="Times New Roman"/>
                <w:sz w:val="24"/>
                <w:szCs w:val="24"/>
              </w:rPr>
            </w:pPr>
            <w:r w:rsidRPr="0072535F">
              <w:rPr>
                <w:noProof/>
                <w:lang w:val="es-MX"/>
              </w:rPr>
              <w:drawing>
                <wp:inline distT="0" distB="0" distL="0" distR="0">
                  <wp:extent cx="3798001" cy="3092538"/>
                  <wp:effectExtent l="0" t="0" r="0" b="0"/>
                  <wp:docPr id="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3798001" cy="3092538"/>
                          </a:xfrm>
                          <a:prstGeom prst="rect">
                            <a:avLst/>
                          </a:prstGeom>
                          <a:ln/>
                        </pic:spPr>
                      </pic:pic>
                    </a:graphicData>
                  </a:graphic>
                </wp:inline>
              </w:drawing>
            </w:r>
          </w:p>
          <w:p w:rsidR="009A2CCD" w:rsidRPr="0072535F" w:rsidRDefault="009A2CCD">
            <w:pPr>
              <w:pBdr>
                <w:top w:val="nil"/>
                <w:left w:val="nil"/>
                <w:bottom w:val="nil"/>
                <w:right w:val="nil"/>
                <w:between w:val="nil"/>
              </w:pBdr>
              <w:spacing w:after="120"/>
              <w:ind w:firstLine="18"/>
              <w:jc w:val="center"/>
              <w:rPr>
                <w:rFonts w:ascii="Times New Roman" w:eastAsia="Times New Roman" w:hAnsi="Times New Roman" w:cs="Times New Roman"/>
                <w:sz w:val="2"/>
                <w:szCs w:val="2"/>
              </w:rPr>
            </w:pPr>
          </w:p>
        </w:tc>
      </w:tr>
      <w:tr w:rsidR="0072535F" w:rsidRPr="0072535F">
        <w:tc>
          <w:tcPr>
            <w:tcW w:w="9072" w:type="dxa"/>
            <w:gridSpan w:val="3"/>
            <w:shd w:val="clear" w:color="auto" w:fill="D9D9D9"/>
            <w:vAlign w:val="center"/>
          </w:tcPr>
          <w:p w:rsidR="009A2CCD" w:rsidRPr="0072535F" w:rsidRDefault="00860E18">
            <w:pPr>
              <w:pBdr>
                <w:top w:val="nil"/>
                <w:left w:val="nil"/>
                <w:bottom w:val="nil"/>
                <w:right w:val="nil"/>
                <w:between w:val="nil"/>
              </w:pBdr>
              <w:spacing w:after="120"/>
              <w:ind w:left="29" w:firstLine="18"/>
              <w:jc w:val="center"/>
              <w:rPr>
                <w:rFonts w:ascii="Palatino Linotype" w:eastAsia="Palatino Linotype" w:hAnsi="Palatino Linotype" w:cs="Palatino Linotype"/>
                <w:sz w:val="24"/>
                <w:szCs w:val="24"/>
              </w:rPr>
            </w:pPr>
            <w:r w:rsidRPr="0072535F">
              <w:rPr>
                <w:rFonts w:ascii="Palatino Linotype" w:eastAsia="Palatino Linotype" w:hAnsi="Palatino Linotype" w:cs="Palatino Linotype"/>
                <w:b/>
                <w:sz w:val="24"/>
                <w:szCs w:val="24"/>
              </w:rPr>
              <w:lastRenderedPageBreak/>
              <w:t>Prueba de Daño</w:t>
            </w:r>
          </w:p>
        </w:tc>
      </w:tr>
      <w:tr w:rsidR="0072535F" w:rsidRPr="0072535F">
        <w:tc>
          <w:tcPr>
            <w:tcW w:w="1560" w:type="dxa"/>
            <w:vAlign w:val="center"/>
          </w:tcPr>
          <w:p w:rsidR="009A2CCD" w:rsidRPr="0072535F" w:rsidRDefault="00860E18">
            <w:pPr>
              <w:spacing w:after="120"/>
              <w:jc w:val="center"/>
              <w:rPr>
                <w:rFonts w:ascii="Palatino Linotype" w:eastAsia="Palatino Linotype" w:hAnsi="Palatino Linotype" w:cs="Palatino Linotype"/>
                <w:b/>
                <w:sz w:val="16"/>
                <w:szCs w:val="16"/>
              </w:rPr>
            </w:pPr>
            <w:r w:rsidRPr="0072535F">
              <w:rPr>
                <w:rFonts w:ascii="Palatino Linotype" w:eastAsia="Palatino Linotype" w:hAnsi="Palatino Linotype" w:cs="Palatino Linotype"/>
                <w:b/>
                <w:sz w:val="16"/>
                <w:szCs w:val="16"/>
              </w:rPr>
              <w:t>Riesgo Real, Demostrable e Identificable</w:t>
            </w:r>
          </w:p>
          <w:p w:rsidR="009A2CCD" w:rsidRPr="0072535F" w:rsidRDefault="00860E18">
            <w:pPr>
              <w:spacing w:after="120"/>
              <w:jc w:val="center"/>
              <w:rPr>
                <w:rFonts w:ascii="Palatino Linotype" w:eastAsia="Palatino Linotype" w:hAnsi="Palatino Linotype" w:cs="Palatino Linotype"/>
                <w:b/>
                <w:sz w:val="16"/>
                <w:szCs w:val="16"/>
              </w:rPr>
            </w:pPr>
            <w:r w:rsidRPr="0072535F">
              <w:rPr>
                <w:rFonts w:ascii="Palatino Linotype" w:eastAsia="Palatino Linotype" w:hAnsi="Palatino Linotype" w:cs="Palatino Linotype"/>
                <w:b/>
                <w:sz w:val="16"/>
                <w:szCs w:val="16"/>
              </w:rPr>
              <w:t>(Modo, Tiempo y Lugar)</w:t>
            </w:r>
          </w:p>
        </w:tc>
        <w:tc>
          <w:tcPr>
            <w:tcW w:w="1417" w:type="dxa"/>
            <w:vAlign w:val="center"/>
          </w:tcPr>
          <w:p w:rsidR="009A2CCD" w:rsidRPr="0072535F" w:rsidRDefault="00860E18">
            <w:pPr>
              <w:pBdr>
                <w:top w:val="nil"/>
                <w:left w:val="nil"/>
                <w:bottom w:val="nil"/>
                <w:right w:val="nil"/>
                <w:between w:val="nil"/>
              </w:pBdr>
              <w:spacing w:after="120"/>
              <w:ind w:left="29" w:firstLine="18"/>
              <w:jc w:val="center"/>
              <w:rPr>
                <w:rFonts w:ascii="Palatino Linotype" w:eastAsia="Palatino Linotype" w:hAnsi="Palatino Linotype" w:cs="Palatino Linotype"/>
                <w:b/>
                <w:sz w:val="18"/>
                <w:szCs w:val="18"/>
              </w:rPr>
            </w:pPr>
            <w:r w:rsidRPr="0072535F">
              <w:rPr>
                <w:rFonts w:ascii="Palatino Linotype" w:eastAsia="Palatino Linotype" w:hAnsi="Palatino Linotype" w:cs="Palatino Linotype"/>
                <w:b/>
                <w:sz w:val="18"/>
                <w:szCs w:val="18"/>
              </w:rPr>
              <w:t>No</w:t>
            </w:r>
          </w:p>
        </w:tc>
        <w:tc>
          <w:tcPr>
            <w:tcW w:w="6095" w:type="dxa"/>
            <w:vAlign w:val="center"/>
          </w:tcPr>
          <w:p w:rsidR="009A2CCD" w:rsidRPr="0072535F" w:rsidRDefault="00860E18">
            <w:pPr>
              <w:pBdr>
                <w:top w:val="nil"/>
                <w:left w:val="nil"/>
                <w:bottom w:val="nil"/>
                <w:right w:val="nil"/>
                <w:between w:val="nil"/>
              </w:pBdr>
              <w:ind w:left="29" w:firstLine="18"/>
              <w:jc w:val="center"/>
              <w:rPr>
                <w:rFonts w:ascii="Times New Roman" w:eastAsia="Times New Roman" w:hAnsi="Times New Roman" w:cs="Times New Roman"/>
                <w:sz w:val="24"/>
                <w:szCs w:val="24"/>
              </w:rPr>
            </w:pPr>
            <w:r w:rsidRPr="0072535F">
              <w:rPr>
                <w:noProof/>
                <w:lang w:val="es-MX"/>
              </w:rPr>
              <w:drawing>
                <wp:inline distT="0" distB="0" distL="0" distR="0">
                  <wp:extent cx="3733165" cy="1552575"/>
                  <wp:effectExtent l="0" t="0" r="0" b="0"/>
                  <wp:docPr id="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3733165" cy="1552575"/>
                          </a:xfrm>
                          <a:prstGeom prst="rect">
                            <a:avLst/>
                          </a:prstGeom>
                          <a:ln/>
                        </pic:spPr>
                      </pic:pic>
                    </a:graphicData>
                  </a:graphic>
                </wp:inline>
              </w:drawing>
            </w:r>
            <w:r w:rsidRPr="0072535F">
              <w:rPr>
                <w:rFonts w:ascii="Times New Roman" w:eastAsia="Times New Roman" w:hAnsi="Times New Roman" w:cs="Times New Roman"/>
                <w:sz w:val="24"/>
                <w:szCs w:val="24"/>
              </w:rPr>
              <w:t xml:space="preserve">  </w:t>
            </w:r>
          </w:p>
          <w:p w:rsidR="009A2CCD" w:rsidRPr="0072535F" w:rsidRDefault="00860E18">
            <w:pPr>
              <w:pBdr>
                <w:top w:val="nil"/>
                <w:left w:val="nil"/>
                <w:bottom w:val="nil"/>
                <w:right w:val="nil"/>
                <w:between w:val="nil"/>
              </w:pBdr>
              <w:spacing w:after="120"/>
              <w:ind w:left="29" w:firstLine="18"/>
              <w:jc w:val="center"/>
              <w:rPr>
                <w:rFonts w:ascii="Palatino Linotype" w:eastAsia="Palatino Linotype" w:hAnsi="Palatino Linotype" w:cs="Palatino Linotype"/>
                <w:sz w:val="2"/>
                <w:szCs w:val="2"/>
              </w:rPr>
            </w:pPr>
            <w:r w:rsidRPr="0072535F">
              <w:rPr>
                <w:noProof/>
                <w:lang w:val="es-MX"/>
              </w:rPr>
              <w:drawing>
                <wp:inline distT="0" distB="0" distL="0" distR="0">
                  <wp:extent cx="3733165" cy="1524635"/>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3733165" cy="1524635"/>
                          </a:xfrm>
                          <a:prstGeom prst="rect">
                            <a:avLst/>
                          </a:prstGeom>
                          <a:ln/>
                        </pic:spPr>
                      </pic:pic>
                    </a:graphicData>
                  </a:graphic>
                </wp:inline>
              </w:drawing>
            </w:r>
          </w:p>
        </w:tc>
      </w:tr>
      <w:tr w:rsidR="0072535F" w:rsidRPr="0072535F">
        <w:tc>
          <w:tcPr>
            <w:tcW w:w="1560" w:type="dxa"/>
            <w:vAlign w:val="center"/>
          </w:tcPr>
          <w:p w:rsidR="009A2CCD" w:rsidRPr="0072535F" w:rsidRDefault="00860E18">
            <w:pPr>
              <w:spacing w:after="120"/>
              <w:jc w:val="center"/>
              <w:rPr>
                <w:rFonts w:ascii="Palatino Linotype" w:eastAsia="Palatino Linotype" w:hAnsi="Palatino Linotype" w:cs="Palatino Linotype"/>
                <w:b/>
                <w:sz w:val="16"/>
                <w:szCs w:val="16"/>
              </w:rPr>
            </w:pPr>
            <w:r w:rsidRPr="0072535F">
              <w:rPr>
                <w:rFonts w:ascii="Palatino Linotype" w:eastAsia="Palatino Linotype" w:hAnsi="Palatino Linotype" w:cs="Palatino Linotype"/>
                <w:b/>
                <w:sz w:val="16"/>
                <w:szCs w:val="16"/>
              </w:rPr>
              <w:t>Temporalidad de la Reserva de la información</w:t>
            </w:r>
          </w:p>
        </w:tc>
        <w:tc>
          <w:tcPr>
            <w:tcW w:w="1417" w:type="dxa"/>
            <w:vAlign w:val="center"/>
          </w:tcPr>
          <w:p w:rsidR="009A2CCD" w:rsidRPr="0072535F" w:rsidRDefault="00860E18">
            <w:pPr>
              <w:pBdr>
                <w:top w:val="nil"/>
                <w:left w:val="nil"/>
                <w:bottom w:val="nil"/>
                <w:right w:val="nil"/>
                <w:between w:val="nil"/>
              </w:pBdr>
              <w:spacing w:after="120"/>
              <w:ind w:left="29" w:firstLine="18"/>
              <w:jc w:val="center"/>
              <w:rPr>
                <w:rFonts w:ascii="Palatino Linotype" w:eastAsia="Palatino Linotype" w:hAnsi="Palatino Linotype" w:cs="Palatino Linotype"/>
                <w:b/>
                <w:sz w:val="24"/>
                <w:szCs w:val="24"/>
              </w:rPr>
            </w:pPr>
            <w:r w:rsidRPr="0072535F">
              <w:rPr>
                <w:rFonts w:ascii="Palatino Linotype" w:eastAsia="Palatino Linotype" w:hAnsi="Palatino Linotype" w:cs="Palatino Linotype"/>
                <w:b/>
                <w:sz w:val="24"/>
                <w:szCs w:val="24"/>
              </w:rPr>
              <w:t>Sí</w:t>
            </w:r>
          </w:p>
        </w:tc>
        <w:tc>
          <w:tcPr>
            <w:tcW w:w="6095" w:type="dxa"/>
            <w:vAlign w:val="center"/>
          </w:tcPr>
          <w:p w:rsidR="009A2CCD" w:rsidRPr="0072535F" w:rsidRDefault="009A2CCD">
            <w:pPr>
              <w:pBdr>
                <w:top w:val="nil"/>
                <w:left w:val="nil"/>
                <w:bottom w:val="nil"/>
                <w:right w:val="nil"/>
                <w:between w:val="nil"/>
              </w:pBdr>
              <w:ind w:left="29" w:firstLine="18"/>
              <w:jc w:val="center"/>
              <w:rPr>
                <w:rFonts w:ascii="Times New Roman" w:eastAsia="Times New Roman" w:hAnsi="Times New Roman" w:cs="Times New Roman"/>
                <w:sz w:val="2"/>
                <w:szCs w:val="2"/>
              </w:rPr>
            </w:pPr>
          </w:p>
          <w:p w:rsidR="009A2CCD" w:rsidRPr="0072535F" w:rsidRDefault="00860E18">
            <w:pPr>
              <w:pBdr>
                <w:top w:val="nil"/>
                <w:left w:val="nil"/>
                <w:bottom w:val="nil"/>
                <w:right w:val="nil"/>
                <w:between w:val="nil"/>
              </w:pBdr>
              <w:spacing w:after="120"/>
              <w:ind w:left="29" w:firstLine="18"/>
              <w:jc w:val="center"/>
              <w:rPr>
                <w:rFonts w:ascii="Palatino Linotype" w:eastAsia="Palatino Linotype" w:hAnsi="Palatino Linotype" w:cs="Palatino Linotype"/>
                <w:sz w:val="24"/>
                <w:szCs w:val="24"/>
              </w:rPr>
            </w:pPr>
            <w:r w:rsidRPr="0072535F">
              <w:rPr>
                <w:noProof/>
                <w:lang w:val="es-MX"/>
              </w:rPr>
              <w:drawing>
                <wp:inline distT="0" distB="0" distL="0" distR="0">
                  <wp:extent cx="3733165" cy="685800"/>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3733165" cy="685800"/>
                          </a:xfrm>
                          <a:prstGeom prst="rect">
                            <a:avLst/>
                          </a:prstGeom>
                          <a:ln/>
                        </pic:spPr>
                      </pic:pic>
                    </a:graphicData>
                  </a:graphic>
                </wp:inline>
              </w:drawing>
            </w:r>
          </w:p>
        </w:tc>
      </w:tr>
      <w:tr w:rsidR="009A2CCD" w:rsidRPr="0072535F">
        <w:trPr>
          <w:trHeight w:val="3517"/>
        </w:trPr>
        <w:tc>
          <w:tcPr>
            <w:tcW w:w="1560" w:type="dxa"/>
            <w:vAlign w:val="center"/>
          </w:tcPr>
          <w:p w:rsidR="009A2CCD" w:rsidRPr="0072535F" w:rsidRDefault="00860E18">
            <w:pPr>
              <w:tabs>
                <w:tab w:val="left" w:pos="317"/>
              </w:tabs>
              <w:spacing w:after="120"/>
              <w:jc w:val="center"/>
              <w:rPr>
                <w:rFonts w:ascii="Palatino Linotype" w:eastAsia="Palatino Linotype" w:hAnsi="Palatino Linotype" w:cs="Palatino Linotype"/>
                <w:b/>
                <w:sz w:val="16"/>
                <w:szCs w:val="16"/>
              </w:rPr>
            </w:pPr>
            <w:r w:rsidRPr="0072535F">
              <w:rPr>
                <w:rFonts w:ascii="Palatino Linotype" w:eastAsia="Palatino Linotype" w:hAnsi="Palatino Linotype" w:cs="Palatino Linotype"/>
                <w:b/>
                <w:sz w:val="16"/>
                <w:szCs w:val="16"/>
              </w:rPr>
              <w:t>Autoridades competentes.</w:t>
            </w:r>
          </w:p>
        </w:tc>
        <w:tc>
          <w:tcPr>
            <w:tcW w:w="1417" w:type="dxa"/>
            <w:vAlign w:val="center"/>
          </w:tcPr>
          <w:p w:rsidR="009A2CCD" w:rsidRPr="0072535F" w:rsidRDefault="00860E18">
            <w:pPr>
              <w:pBdr>
                <w:top w:val="nil"/>
                <w:left w:val="nil"/>
                <w:bottom w:val="nil"/>
                <w:right w:val="nil"/>
                <w:between w:val="nil"/>
              </w:pBdr>
              <w:spacing w:after="120"/>
              <w:ind w:left="29" w:firstLine="18"/>
              <w:jc w:val="center"/>
              <w:rPr>
                <w:rFonts w:ascii="Palatino Linotype" w:eastAsia="Palatino Linotype" w:hAnsi="Palatino Linotype" w:cs="Palatino Linotype"/>
                <w:b/>
                <w:sz w:val="24"/>
                <w:szCs w:val="24"/>
              </w:rPr>
            </w:pPr>
            <w:r w:rsidRPr="0072535F">
              <w:rPr>
                <w:rFonts w:ascii="Palatino Linotype" w:eastAsia="Palatino Linotype" w:hAnsi="Palatino Linotype" w:cs="Palatino Linotype"/>
                <w:b/>
                <w:sz w:val="24"/>
                <w:szCs w:val="24"/>
              </w:rPr>
              <w:t>Sí</w:t>
            </w:r>
          </w:p>
        </w:tc>
        <w:tc>
          <w:tcPr>
            <w:tcW w:w="6095" w:type="dxa"/>
          </w:tcPr>
          <w:p w:rsidR="009A2CCD" w:rsidRPr="0072535F" w:rsidRDefault="009A2CCD">
            <w:pPr>
              <w:rPr>
                <w:sz w:val="8"/>
                <w:szCs w:val="8"/>
              </w:rPr>
            </w:pPr>
          </w:p>
          <w:p w:rsidR="009A2CCD" w:rsidRPr="0072535F" w:rsidRDefault="00860E18">
            <w:r w:rsidRPr="0072535F">
              <w:rPr>
                <w:noProof/>
                <w:lang w:val="es-MX"/>
              </w:rPr>
              <w:drawing>
                <wp:inline distT="0" distB="0" distL="0" distR="0">
                  <wp:extent cx="3733165" cy="2359660"/>
                  <wp:effectExtent l="0" t="0" r="0" b="0"/>
                  <wp:docPr id="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3733165" cy="2359660"/>
                          </a:xfrm>
                          <a:prstGeom prst="rect">
                            <a:avLst/>
                          </a:prstGeom>
                          <a:ln/>
                        </pic:spPr>
                      </pic:pic>
                    </a:graphicData>
                  </a:graphic>
                </wp:inline>
              </w:drawing>
            </w:r>
          </w:p>
        </w:tc>
      </w:tr>
    </w:tbl>
    <w:p w:rsidR="009A2CCD" w:rsidRPr="0072535F" w:rsidRDefault="009A2CCD">
      <w:pPr>
        <w:spacing w:line="360" w:lineRule="auto"/>
        <w:jc w:val="both"/>
        <w:rPr>
          <w:rFonts w:ascii="Palatino Linotype" w:eastAsia="Palatino Linotype" w:hAnsi="Palatino Linotype" w:cs="Palatino Linotype"/>
        </w:rPr>
      </w:pPr>
    </w:p>
    <w:p w:rsidR="009A2CCD" w:rsidRPr="0072535F" w:rsidRDefault="00860E18">
      <w:pP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lastRenderedPageBreak/>
        <w:t xml:space="preserve">Atento a lo anterior, el </w:t>
      </w:r>
      <w:r w:rsidRPr="0072535F">
        <w:rPr>
          <w:rFonts w:ascii="Palatino Linotype" w:eastAsia="Palatino Linotype" w:hAnsi="Palatino Linotype" w:cs="Palatino Linotype"/>
          <w:b/>
        </w:rPr>
        <w:t>Sujeto Obligado</w:t>
      </w:r>
      <w:r w:rsidRPr="0072535F">
        <w:rPr>
          <w:rFonts w:ascii="Palatino Linotype" w:eastAsia="Palatino Linotype" w:hAnsi="Palatino Linotype" w:cs="Palatino Linotype"/>
        </w:rPr>
        <w:t>, no acreditó debidamente la prueba de daño, ni las razones por las cuales la apertura de la información generaría una afectación, al no motivar porque la divulgación representa un riesgo real, demostrable e identificable que podría en riesgo la vida, la seguridad o la salud de una persona física.</w:t>
      </w:r>
    </w:p>
    <w:p w:rsidR="009A2CCD" w:rsidRPr="0072535F" w:rsidRDefault="009A2CCD">
      <w:pPr>
        <w:spacing w:line="360" w:lineRule="auto"/>
        <w:jc w:val="both"/>
        <w:rPr>
          <w:rFonts w:ascii="Palatino Linotype" w:eastAsia="Palatino Linotype" w:hAnsi="Palatino Linotype" w:cs="Palatino Linotype"/>
        </w:rPr>
      </w:pPr>
    </w:p>
    <w:p w:rsidR="009A2CCD" w:rsidRPr="0072535F" w:rsidRDefault="00860E18">
      <w:pP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Ahora bien, respecto a la </w:t>
      </w:r>
      <w:r w:rsidRPr="0072535F">
        <w:rPr>
          <w:rFonts w:ascii="Palatino Linotype" w:eastAsia="Palatino Linotype" w:hAnsi="Palatino Linotype" w:cs="Palatino Linotype"/>
          <w:b/>
          <w:i/>
        </w:rPr>
        <w:t xml:space="preserve">TEMPORALIDAD </w:t>
      </w:r>
      <w:r w:rsidRPr="0072535F">
        <w:rPr>
          <w:rFonts w:ascii="Palatino Linotype" w:eastAsia="Palatino Linotype" w:hAnsi="Palatino Linotype" w:cs="Palatino Linotype"/>
        </w:rPr>
        <w:t xml:space="preserve">de </w:t>
      </w:r>
      <w:r w:rsidRPr="0072535F">
        <w:rPr>
          <w:rFonts w:ascii="Palatino Linotype" w:eastAsia="Palatino Linotype" w:hAnsi="Palatino Linotype" w:cs="Palatino Linotype"/>
          <w:b/>
          <w:i/>
        </w:rPr>
        <w:t xml:space="preserve">RESERVA </w:t>
      </w:r>
      <w:r w:rsidRPr="0072535F">
        <w:rPr>
          <w:rFonts w:ascii="Palatino Linotype" w:eastAsia="Palatino Linotype" w:hAnsi="Palatino Linotype" w:cs="Palatino Linotype"/>
        </w:rPr>
        <w:t xml:space="preserve">de la información, es de señalar que el artículo 125, de la Ley de Transparencia y Acceso a la Información Pública del Estado de México y Municipios y en el artículo 101, de la Ley General de Transparencia y Acceso a la Información Pública, contemplan que la información clasificada como reservada, podrá permanecer con tal carácter </w:t>
      </w:r>
      <w:r w:rsidRPr="0072535F">
        <w:rPr>
          <w:rFonts w:ascii="Palatino Linotype" w:eastAsia="Palatino Linotype" w:hAnsi="Palatino Linotype" w:cs="Palatino Linotype"/>
          <w:b/>
          <w:u w:val="single"/>
        </w:rPr>
        <w:t>hasta por un periodo de cinco años, contados a partir de su clasificación</w:t>
      </w:r>
      <w:r w:rsidRPr="0072535F">
        <w:rPr>
          <w:rFonts w:ascii="Palatino Linotype" w:eastAsia="Palatino Linotype" w:hAnsi="Palatino Linotype" w:cs="Palatino Linotype"/>
        </w:rPr>
        <w:t>, salvo que antes del cumplimiento del periodo de restricción, dejaran de existir los motivos de su reserva.</w:t>
      </w:r>
    </w:p>
    <w:p w:rsidR="009A2CCD" w:rsidRPr="0072535F" w:rsidRDefault="009A2CCD">
      <w:pPr>
        <w:spacing w:line="360" w:lineRule="auto"/>
        <w:jc w:val="both"/>
        <w:rPr>
          <w:rFonts w:ascii="Palatino Linotype" w:eastAsia="Palatino Linotype" w:hAnsi="Palatino Linotype" w:cs="Palatino Linotype"/>
          <w:sz w:val="28"/>
          <w:szCs w:val="28"/>
        </w:rPr>
      </w:pPr>
    </w:p>
    <w:p w:rsidR="009A2CCD" w:rsidRPr="0072535F" w:rsidRDefault="00860E18">
      <w:pP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De este modo, el Sujeto Obligado invocó lo dispuesto en los artículos 113, fracciones V y XIII, de la Ley general de Transparencia y Acceso a la Información Pública y  140, fracciones IV y XI, de la Ley de Transparencia y Acceso a la Información Pública del estado de México y Municipios, que establecen:</w:t>
      </w:r>
    </w:p>
    <w:p w:rsidR="009A2CCD" w:rsidRPr="0072535F" w:rsidRDefault="009A2CCD">
      <w:pPr>
        <w:spacing w:line="360" w:lineRule="auto"/>
        <w:jc w:val="both"/>
        <w:rPr>
          <w:rFonts w:ascii="Palatino Linotype" w:eastAsia="Palatino Linotype" w:hAnsi="Palatino Linotype" w:cs="Palatino Linotype"/>
        </w:rPr>
      </w:pPr>
    </w:p>
    <w:p w:rsidR="009A2CCD" w:rsidRPr="0072535F" w:rsidRDefault="00860E18">
      <w:pPr>
        <w:ind w:left="567" w:right="567"/>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rPr>
        <w:t xml:space="preserve">Artículo 113. </w:t>
      </w:r>
      <w:r w:rsidRPr="0072535F">
        <w:rPr>
          <w:rFonts w:ascii="Palatino Linotype" w:eastAsia="Palatino Linotype" w:hAnsi="Palatino Linotype" w:cs="Palatino Linotype"/>
          <w:i/>
        </w:rPr>
        <w:t xml:space="preserve">Como información reservada podrá clasificarse aquella cuya </w:t>
      </w:r>
      <w:r w:rsidRPr="0072535F">
        <w:rPr>
          <w:rFonts w:ascii="Palatino Linotype" w:eastAsia="Palatino Linotype" w:hAnsi="Palatino Linotype" w:cs="Palatino Linotype"/>
          <w:i/>
          <w:sz w:val="22"/>
          <w:szCs w:val="22"/>
        </w:rPr>
        <w:t>publicación:</w:t>
      </w:r>
    </w:p>
    <w:p w:rsidR="009A2CCD" w:rsidRPr="0072535F" w:rsidRDefault="00860E18">
      <w:pPr>
        <w:ind w:left="567" w:right="567"/>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w:t>
      </w:r>
    </w:p>
    <w:p w:rsidR="009A2CCD" w:rsidRPr="0072535F" w:rsidRDefault="00860E18">
      <w:pPr>
        <w:ind w:left="567" w:right="567"/>
        <w:jc w:val="both"/>
        <w:rPr>
          <w:rFonts w:ascii="Palatino Linotype" w:eastAsia="Palatino Linotype" w:hAnsi="Palatino Linotype" w:cs="Palatino Linotype"/>
          <w:b/>
          <w:i/>
          <w:sz w:val="22"/>
          <w:szCs w:val="22"/>
        </w:rPr>
      </w:pPr>
      <w:r w:rsidRPr="0072535F">
        <w:rPr>
          <w:rFonts w:ascii="Palatino Linotype" w:eastAsia="Palatino Linotype" w:hAnsi="Palatino Linotype" w:cs="Palatino Linotype"/>
          <w:b/>
          <w:i/>
          <w:sz w:val="22"/>
          <w:szCs w:val="22"/>
        </w:rPr>
        <w:t xml:space="preserve">V. </w:t>
      </w:r>
      <w:r w:rsidRPr="0072535F">
        <w:rPr>
          <w:rFonts w:ascii="Palatino Linotype" w:eastAsia="Palatino Linotype" w:hAnsi="Palatino Linotype" w:cs="Palatino Linotype"/>
          <w:i/>
          <w:sz w:val="22"/>
          <w:szCs w:val="22"/>
        </w:rPr>
        <w:t>Pueda poner en riesgo la vida, seguridad o salud de una persona física</w:t>
      </w:r>
      <w:r w:rsidRPr="0072535F">
        <w:rPr>
          <w:rFonts w:ascii="Palatino Linotype" w:eastAsia="Palatino Linotype" w:hAnsi="Palatino Linotype" w:cs="Palatino Linotype"/>
          <w:b/>
          <w:i/>
          <w:sz w:val="22"/>
          <w:szCs w:val="22"/>
        </w:rPr>
        <w:t>;</w:t>
      </w:r>
    </w:p>
    <w:p w:rsidR="009A2CCD" w:rsidRPr="0072535F" w:rsidRDefault="00860E18">
      <w:pPr>
        <w:ind w:left="567" w:right="567"/>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lastRenderedPageBreak/>
        <w:t xml:space="preserve"> </w:t>
      </w:r>
      <w:r w:rsidRPr="0072535F">
        <w:rPr>
          <w:rFonts w:ascii="Palatino Linotype" w:eastAsia="Palatino Linotype" w:hAnsi="Palatino Linotype" w:cs="Palatino Linotype"/>
          <w:i/>
          <w:sz w:val="22"/>
          <w:szCs w:val="22"/>
        </w:rPr>
        <w:t>XIII. Las que por disposición expresa de una ley tenga tal carácter, siempre que sean acordes con las bases, principios y disposiciones establecidos en esta Ley y no la contravengan; así como las previstas en tratados internacionales (…)</w:t>
      </w:r>
    </w:p>
    <w:p w:rsidR="009A2CCD" w:rsidRPr="0072535F" w:rsidRDefault="009A2CCD">
      <w:pPr>
        <w:ind w:left="567" w:right="567"/>
        <w:jc w:val="center"/>
        <w:rPr>
          <w:rFonts w:ascii="Palatino Linotype" w:eastAsia="Palatino Linotype" w:hAnsi="Palatino Linotype" w:cs="Palatino Linotype"/>
          <w:b/>
          <w:i/>
          <w:sz w:val="22"/>
          <w:szCs w:val="22"/>
        </w:rPr>
      </w:pPr>
    </w:p>
    <w:p w:rsidR="009A2CCD" w:rsidRPr="0072535F" w:rsidRDefault="00860E18">
      <w:pPr>
        <w:ind w:left="567" w:right="567"/>
        <w:jc w:val="center"/>
        <w:rPr>
          <w:rFonts w:ascii="Palatino Linotype" w:eastAsia="Palatino Linotype" w:hAnsi="Palatino Linotype" w:cs="Palatino Linotype"/>
          <w:b/>
          <w:i/>
          <w:sz w:val="22"/>
          <w:szCs w:val="22"/>
        </w:rPr>
      </w:pPr>
      <w:r w:rsidRPr="0072535F">
        <w:rPr>
          <w:rFonts w:ascii="Palatino Linotype" w:eastAsia="Palatino Linotype" w:hAnsi="Palatino Linotype" w:cs="Palatino Linotype"/>
          <w:b/>
          <w:i/>
          <w:sz w:val="22"/>
          <w:szCs w:val="22"/>
        </w:rPr>
        <w:t>Capítulo II</w:t>
      </w:r>
    </w:p>
    <w:p w:rsidR="009A2CCD" w:rsidRPr="0072535F" w:rsidRDefault="00860E18">
      <w:pPr>
        <w:ind w:left="567" w:right="567"/>
        <w:jc w:val="center"/>
        <w:rPr>
          <w:rFonts w:ascii="Palatino Linotype" w:eastAsia="Palatino Linotype" w:hAnsi="Palatino Linotype" w:cs="Palatino Linotype"/>
          <w:b/>
          <w:i/>
          <w:sz w:val="22"/>
          <w:szCs w:val="22"/>
        </w:rPr>
      </w:pPr>
      <w:r w:rsidRPr="0072535F">
        <w:rPr>
          <w:rFonts w:ascii="Palatino Linotype" w:eastAsia="Palatino Linotype" w:hAnsi="Palatino Linotype" w:cs="Palatino Linotype"/>
          <w:b/>
          <w:i/>
          <w:sz w:val="22"/>
          <w:szCs w:val="22"/>
        </w:rPr>
        <w:t>De la Información Reservada</w:t>
      </w:r>
    </w:p>
    <w:p w:rsidR="009A2CCD" w:rsidRPr="0072535F" w:rsidRDefault="009A2CCD">
      <w:pPr>
        <w:ind w:left="567" w:right="567"/>
        <w:jc w:val="center"/>
        <w:rPr>
          <w:rFonts w:ascii="Palatino Linotype" w:eastAsia="Palatino Linotype" w:hAnsi="Palatino Linotype" w:cs="Palatino Linotype"/>
          <w:b/>
          <w:i/>
          <w:sz w:val="22"/>
          <w:szCs w:val="22"/>
        </w:rPr>
      </w:pPr>
    </w:p>
    <w:p w:rsidR="009A2CCD" w:rsidRPr="0072535F" w:rsidRDefault="00860E18">
      <w:pPr>
        <w:ind w:left="567" w:right="567"/>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Artículo 140.</w:t>
      </w:r>
      <w:r w:rsidRPr="0072535F">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w:t>
      </w:r>
    </w:p>
    <w:p w:rsidR="009A2CCD" w:rsidRPr="0072535F" w:rsidRDefault="00860E18">
      <w:pPr>
        <w:ind w:left="567" w:right="567"/>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w:t>
      </w:r>
    </w:p>
    <w:p w:rsidR="009A2CCD" w:rsidRPr="0072535F" w:rsidRDefault="00860E18">
      <w:pPr>
        <w:ind w:left="567" w:right="567"/>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 xml:space="preserve">IV. </w:t>
      </w:r>
      <w:r w:rsidRPr="0072535F">
        <w:rPr>
          <w:rFonts w:ascii="Palatino Linotype" w:eastAsia="Palatino Linotype" w:hAnsi="Palatino Linotype" w:cs="Palatino Linotype"/>
          <w:i/>
          <w:sz w:val="22"/>
          <w:szCs w:val="22"/>
        </w:rPr>
        <w:t>Ponga en riesgo la vida, la seguridad o la salud de una persona física;</w:t>
      </w:r>
    </w:p>
    <w:p w:rsidR="009A2CCD" w:rsidRPr="0072535F" w:rsidRDefault="00860E18">
      <w:pPr>
        <w:ind w:left="567" w:right="567"/>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w:t>
      </w:r>
    </w:p>
    <w:p w:rsidR="009A2CCD" w:rsidRPr="0072535F" w:rsidRDefault="00860E18">
      <w:pPr>
        <w:ind w:left="567" w:right="567"/>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XI. Las que por disposición expresa de una ley tenga tal carácter, siempre que sean acordes con las bases, principios y disposiciones establecidos en esta Ley y no la contravengan; así como las previstas en tratados internacionales.</w:t>
      </w:r>
    </w:p>
    <w:p w:rsidR="009A2CCD" w:rsidRPr="0072535F" w:rsidRDefault="009A2CCD">
      <w:pPr>
        <w:spacing w:line="360" w:lineRule="auto"/>
        <w:jc w:val="both"/>
        <w:rPr>
          <w:rFonts w:ascii="Palatino Linotype" w:eastAsia="Palatino Linotype" w:hAnsi="Palatino Linotype" w:cs="Palatino Linotype"/>
          <w:sz w:val="22"/>
          <w:szCs w:val="22"/>
        </w:rPr>
      </w:pPr>
    </w:p>
    <w:p w:rsidR="009A2CCD" w:rsidRPr="0072535F" w:rsidRDefault="00860E18">
      <w:pPr>
        <w:spacing w:before="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Bajo este contexto, para delimitar las fronteras conceptuales entre falta e indebida fundamentación y motivación, cobra particular relevancia la corriente que emana del Tercer Tribunal Colegiado en Materia Civil del Primer Circuito, a través de la jurisprudencia con número de registro digital </w:t>
      </w:r>
      <w:r w:rsidRPr="0072535F">
        <w:rPr>
          <w:rFonts w:ascii="Palatino Linotype" w:eastAsia="Palatino Linotype" w:hAnsi="Palatino Linotype" w:cs="Palatino Linotype"/>
          <w:b/>
        </w:rPr>
        <w:t xml:space="preserve">170307 </w:t>
      </w:r>
      <w:r w:rsidRPr="0072535F">
        <w:rPr>
          <w:rFonts w:ascii="Palatino Linotype" w:eastAsia="Palatino Linotype" w:hAnsi="Palatino Linotype" w:cs="Palatino Linotype"/>
        </w:rPr>
        <w:t>de la Novena Época, visible en el Semanario Judicial de la Federación y su Gaceta, Tomo XXVII, de febrero de 2008, tesis I.3o.C. J/47 en materia común, en la que establece lo siguiente:</w:t>
      </w:r>
    </w:p>
    <w:p w:rsidR="009A2CCD" w:rsidRPr="0072535F" w:rsidRDefault="00860E18">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b/>
          <w:i/>
          <w:sz w:val="22"/>
          <w:szCs w:val="22"/>
        </w:rPr>
      </w:pPr>
      <w:r w:rsidRPr="0072535F">
        <w:rPr>
          <w:rFonts w:ascii="Palatino Linotype" w:eastAsia="Palatino Linotype" w:hAnsi="Palatino Linotype" w:cs="Palatino Linotype"/>
          <w:b/>
          <w:i/>
          <w:sz w:val="22"/>
          <w:szCs w:val="22"/>
        </w:rPr>
        <w:t>“FUNDAMENTACIÓN Y MOTIVACIÓN. LA DIFERENCIA ENTRE LA FALTA Y LA INDEBIDA SATISFACCIÓN DE AMBOS REQUISITOS CONSTITUCIONALES TRASCIENDE AL ORDEN EN QUE DEBEN ESTUDIARSE LOS CONCEPTOS DE VIOLACIÓN Y A LOS EFECTOS DEL FALLO PROTECTOR.</w:t>
      </w:r>
    </w:p>
    <w:p w:rsidR="009A2CCD" w:rsidRPr="0072535F" w:rsidRDefault="00860E18">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 xml:space="preserve">La falta de fundamentación y motivación es una violación formal diversa a la indebida o incorrecta fundamentación y motivación, que es una violación material o de fondo, siendo distintos los efectos que genera la existencia de una u </w:t>
      </w:r>
      <w:r w:rsidRPr="0072535F">
        <w:rPr>
          <w:rFonts w:ascii="Palatino Linotype" w:eastAsia="Palatino Linotype" w:hAnsi="Palatino Linotype" w:cs="Palatino Linotype"/>
          <w:i/>
          <w:sz w:val="22"/>
          <w:szCs w:val="22"/>
        </w:rPr>
        <w:lastRenderedPageBreak/>
        <w:t>otra, por lo que el estudio de aquella omisión debe hacerse de manera previa. En efecto, el artículo </w:t>
      </w:r>
      <w:hyperlink r:id="rId22">
        <w:r w:rsidRPr="0072535F">
          <w:rPr>
            <w:rFonts w:ascii="Palatino Linotype" w:eastAsia="Palatino Linotype" w:hAnsi="Palatino Linotype" w:cs="Palatino Linotype"/>
            <w:i/>
            <w:sz w:val="22"/>
            <w:szCs w:val="22"/>
          </w:rPr>
          <w:t>16 constitucional</w:t>
        </w:r>
      </w:hyperlink>
      <w:r w:rsidRPr="0072535F">
        <w:rPr>
          <w:rFonts w:ascii="Palatino Linotype" w:eastAsia="Palatino Linotype" w:hAnsi="Palatino Linotype" w:cs="Palatino Linotype"/>
          <w:i/>
          <w:sz w:val="22"/>
          <w:szCs w:val="22"/>
        </w:rPr>
        <w:t xml:space="preserve">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w:t>
      </w:r>
      <w:r w:rsidRPr="0072535F">
        <w:rPr>
          <w:rFonts w:ascii="Palatino Linotype" w:eastAsia="Palatino Linotype" w:hAnsi="Palatino Linotype" w:cs="Palatino Linotype"/>
          <w:i/>
          <w:sz w:val="22"/>
          <w:szCs w:val="22"/>
        </w:rPr>
        <w:lastRenderedPageBreak/>
        <w:t>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rsidR="009A2CCD" w:rsidRPr="0072535F" w:rsidRDefault="00860E18">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TERCER TRIBUNAL COLEGIADO EN MATERIA CIVIL DEL PRIMER CIRCUITO.</w:t>
      </w:r>
    </w:p>
    <w:p w:rsidR="009A2CCD" w:rsidRPr="0072535F" w:rsidRDefault="00860E18">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Amparo directo 551/2005. Jorge Luis Almaral Mendívil. 20 de octubre de 2005. De Unanimidad de votos. Ponente: Neófito López Ramos. Secretario: Raúl Alfaro Telpalo.</w:t>
      </w:r>
    </w:p>
    <w:p w:rsidR="009A2CCD" w:rsidRPr="0072535F" w:rsidRDefault="00860E18">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Amparo directo 66/2007. Juan Ramón Jaime Alcántara. 15 de febrero de 2007. Unanimidad de votos. Ponente: Neófito López Ramos. Secretario: Raúl Alfaro Telpalo.</w:t>
      </w:r>
    </w:p>
    <w:p w:rsidR="009A2CCD" w:rsidRPr="0072535F" w:rsidRDefault="00860E18">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Amparo directo 364/2007. Guadalupe Rodríguez Daniel. 6 de julio de 2007. Unanimidad de votos. Ponente: Neófito López Ramos. Secretaria: Greta Lozada Amezcua.</w:t>
      </w:r>
    </w:p>
    <w:p w:rsidR="009A2CCD" w:rsidRPr="0072535F" w:rsidRDefault="00860E18">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Amparo directo 513/2007. Autofinanciamiento México, S.A. de C.V. 4 de octubre de 2007. Unanimidad de votos. Ponente: Neófito López Ramos. Secretario: Raúl Alfaro Telpalo.</w:t>
      </w:r>
    </w:p>
    <w:p w:rsidR="009A2CCD" w:rsidRPr="0072535F" w:rsidRDefault="00860E18">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b/>
          <w:i/>
          <w:sz w:val="22"/>
          <w:szCs w:val="22"/>
        </w:rPr>
      </w:pPr>
      <w:r w:rsidRPr="0072535F">
        <w:rPr>
          <w:rFonts w:ascii="Palatino Linotype" w:eastAsia="Palatino Linotype" w:hAnsi="Palatino Linotype" w:cs="Palatino Linotype"/>
          <w:i/>
          <w:sz w:val="22"/>
          <w:szCs w:val="22"/>
        </w:rPr>
        <w:t xml:space="preserve">Amparo directo 562/2007. Arenas y Gravas Xaltepec, S.A. 11 de octubre de 2007. Unanimidad de votos. Ponente: Neófito López Ramos. Secretario: Raúl Alfaro Telpalo.” </w:t>
      </w:r>
      <w:r w:rsidRPr="0072535F">
        <w:rPr>
          <w:rFonts w:ascii="Palatino Linotype" w:eastAsia="Palatino Linotype" w:hAnsi="Palatino Linotype" w:cs="Palatino Linotype"/>
          <w:b/>
          <w:i/>
          <w:sz w:val="22"/>
          <w:szCs w:val="22"/>
        </w:rPr>
        <w:t>(Sic)</w:t>
      </w:r>
    </w:p>
    <w:p w:rsidR="009A2CCD" w:rsidRPr="0072535F" w:rsidRDefault="009A2CCD">
      <w:pPr>
        <w:spacing w:line="360" w:lineRule="auto"/>
        <w:jc w:val="both"/>
        <w:rPr>
          <w:rFonts w:ascii="Palatino Linotype" w:eastAsia="Palatino Linotype" w:hAnsi="Palatino Linotype" w:cs="Palatino Linotype"/>
        </w:rPr>
      </w:pPr>
    </w:p>
    <w:p w:rsidR="009A2CCD" w:rsidRPr="0072535F" w:rsidRDefault="00860E18">
      <w:pP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lastRenderedPageBreak/>
        <w:t xml:space="preserve">Con base en lo anteriormente expuesto, se arriba a la conclusión de que el acuerdo de clasificación remitido no cumple con la pauta metodológica prevista en los Lineamientos Generales en Materia de Clasificación y Desclasificación de la Información, así como para la Elaboración de Versiones Públicas, y demás normatividad aplicable, lo anterior al tomar en consideración que el acuerdo remitido refleja falta de fundamentación y motivación. </w:t>
      </w:r>
    </w:p>
    <w:p w:rsidR="009A2CCD" w:rsidRPr="0072535F" w:rsidRDefault="009A2CCD">
      <w:pPr>
        <w:spacing w:line="360" w:lineRule="auto"/>
        <w:jc w:val="both"/>
        <w:rPr>
          <w:rFonts w:ascii="Palatino Linotype" w:eastAsia="Palatino Linotype" w:hAnsi="Palatino Linotype" w:cs="Palatino Linotype"/>
        </w:rPr>
      </w:pPr>
    </w:p>
    <w:p w:rsidR="009A2CCD" w:rsidRPr="0072535F" w:rsidRDefault="00860E18">
      <w:pP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De manera complementaria, dicho acuerdo se limitó a clasificar de forma </w:t>
      </w:r>
      <w:r w:rsidRPr="0072535F">
        <w:rPr>
          <w:rFonts w:ascii="Palatino Linotype" w:eastAsia="Palatino Linotype" w:hAnsi="Palatino Linotype" w:cs="Palatino Linotype"/>
          <w:b/>
        </w:rPr>
        <w:t>genérica</w:t>
      </w:r>
      <w:r w:rsidRPr="0072535F">
        <w:rPr>
          <w:rFonts w:ascii="Palatino Linotype" w:eastAsia="Palatino Linotype" w:hAnsi="Palatino Linotype" w:cs="Palatino Linotype"/>
        </w:rPr>
        <w:t xml:space="preserve"> el nombre de </w:t>
      </w:r>
      <w:r w:rsidRPr="0072535F">
        <w:rPr>
          <w:rFonts w:ascii="Palatino Linotype" w:eastAsia="Palatino Linotype" w:hAnsi="Palatino Linotype" w:cs="Palatino Linotype"/>
          <w:b/>
        </w:rPr>
        <w:t>TODOS</w:t>
      </w:r>
      <w:r w:rsidRPr="0072535F">
        <w:rPr>
          <w:rFonts w:ascii="Palatino Linotype" w:eastAsia="Palatino Linotype" w:hAnsi="Palatino Linotype" w:cs="Palatino Linotype"/>
        </w:rPr>
        <w:t xml:space="preserve"> los servidores públicos adscritos a la Agencia del Ministerio Público ubicada en Huehuetoca, considerando que realizan funciones operativas, no obstante, de la misma respuesta a la solicitud de información se advierte que cuenta con personal administrativo, toda vez que la Dirección General de Administración de Personal y Nómina remitió la relación de las diferentes categorías del personal administrativo y operativo. </w:t>
      </w:r>
    </w:p>
    <w:p w:rsidR="009A2CCD" w:rsidRPr="0072535F" w:rsidRDefault="009A2CCD">
      <w:pPr>
        <w:spacing w:line="360" w:lineRule="auto"/>
        <w:jc w:val="both"/>
        <w:rPr>
          <w:rFonts w:ascii="Palatino Linotype" w:eastAsia="Palatino Linotype" w:hAnsi="Palatino Linotype" w:cs="Palatino Linotype"/>
        </w:rPr>
      </w:pPr>
    </w:p>
    <w:p w:rsidR="009A2CCD" w:rsidRPr="0072535F" w:rsidRDefault="00860E18">
      <w:pPr>
        <w:spacing w:line="360" w:lineRule="auto"/>
        <w:jc w:val="both"/>
        <w:rPr>
          <w:rFonts w:ascii="Palatino Linotype" w:eastAsia="Palatino Linotype" w:hAnsi="Palatino Linotype" w:cs="Palatino Linotype"/>
          <w:b/>
        </w:rPr>
      </w:pPr>
      <w:r w:rsidRPr="0072535F">
        <w:rPr>
          <w:rFonts w:ascii="Palatino Linotype" w:eastAsia="Palatino Linotype" w:hAnsi="Palatino Linotype" w:cs="Palatino Linotype"/>
        </w:rPr>
        <w:t xml:space="preserve">Al respecto se destaca que tomando como parámetro las atribuciones y competencias reservadas, el personal de Seguridad ha sido clasificado en dos rubros, aludiendo al personal operativo y al personal administrativo, destacando que el personal operativo combate directamente a la delincuencia, mientras que el personal administrativo desempeña actividades diversas a las realizadas por el personal operativo. </w:t>
      </w:r>
    </w:p>
    <w:p w:rsidR="009A2CCD" w:rsidRPr="0072535F" w:rsidRDefault="009A2CCD">
      <w:pPr>
        <w:spacing w:line="360" w:lineRule="auto"/>
        <w:jc w:val="both"/>
        <w:rPr>
          <w:rFonts w:ascii="Palatino Linotype" w:eastAsia="Palatino Linotype" w:hAnsi="Palatino Linotype" w:cs="Palatino Linotype"/>
        </w:rPr>
      </w:pPr>
    </w:p>
    <w:p w:rsidR="009A2CCD" w:rsidRPr="0072535F" w:rsidRDefault="00860E18">
      <w:pP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Bajo este contexto, es menester puntualizar que por regla general existe un interés público por conocer quién es el responsable de ejercer actos de autoridad, recibir </w:t>
      </w:r>
      <w:r w:rsidRPr="0072535F">
        <w:rPr>
          <w:rFonts w:ascii="Palatino Linotype" w:eastAsia="Palatino Linotype" w:hAnsi="Palatino Linotype" w:cs="Palatino Linotype"/>
        </w:rPr>
        <w:lastRenderedPageBreak/>
        <w:t xml:space="preserve">recursos públicos o incluso generar actos de molestia. Ciertamente tan claro e indiscutible es dicho interés público que dicha información figura dentro de las obligaciones de transparencia común de los Sujetos Obligados, lo anterior con fundamento en el numeral 92, fracción VII de la Ley de Transparencia local “Directorio de servidores públicos”. </w:t>
      </w:r>
    </w:p>
    <w:p w:rsidR="009A2CCD" w:rsidRPr="0072535F" w:rsidRDefault="009A2CCD">
      <w:pPr>
        <w:spacing w:line="360" w:lineRule="auto"/>
        <w:jc w:val="both"/>
        <w:rPr>
          <w:rFonts w:ascii="Palatino Linotype" w:eastAsia="Palatino Linotype" w:hAnsi="Palatino Linotype" w:cs="Palatino Linotype"/>
        </w:rPr>
      </w:pPr>
    </w:p>
    <w:p w:rsidR="009A2CCD" w:rsidRPr="0072535F" w:rsidRDefault="00860E18">
      <w:pP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No obstante, se insiste en que la información relativa a servidores públicos cuyas atribuciones se encuentran encauzadas a la prevención o persecución de los delitos y combate directo de la delincuencia, su nombre requiere de un tratamiento diverso en comparación al resto de los servidores públicos, ya que su divulgación puede comprometer el ejercicio de sus facultades y poner en riesgo la vida, seguridad y salud de la persona física.</w:t>
      </w:r>
    </w:p>
    <w:p w:rsidR="009A2CCD" w:rsidRPr="0072535F" w:rsidRDefault="009A2CCD">
      <w:pPr>
        <w:spacing w:line="360" w:lineRule="auto"/>
        <w:jc w:val="both"/>
        <w:rPr>
          <w:rFonts w:ascii="Palatino Linotype" w:eastAsia="Palatino Linotype" w:hAnsi="Palatino Linotype" w:cs="Palatino Linotype"/>
        </w:rPr>
      </w:pPr>
    </w:p>
    <w:p w:rsidR="009A2CCD" w:rsidRPr="0072535F" w:rsidRDefault="00860E18">
      <w:pP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Al respecto, el Pleno del Órgano Garante Nacional ha sostenido el criterio número </w:t>
      </w:r>
      <w:r w:rsidRPr="0072535F">
        <w:rPr>
          <w:rFonts w:ascii="Palatino Linotype" w:eastAsia="Palatino Linotype" w:hAnsi="Palatino Linotype" w:cs="Palatino Linotype"/>
          <w:b/>
        </w:rPr>
        <w:t xml:space="preserve">006/2009 </w:t>
      </w:r>
      <w:r w:rsidRPr="0072535F">
        <w:rPr>
          <w:rFonts w:ascii="Palatino Linotype" w:eastAsia="Palatino Linotype" w:hAnsi="Palatino Linotype" w:cs="Palatino Linotype"/>
        </w:rPr>
        <w:t xml:space="preserve">cuyo rubro y texto disponen a la literalidad lo siguiente: </w:t>
      </w:r>
    </w:p>
    <w:p w:rsidR="009A2CCD" w:rsidRPr="0072535F" w:rsidRDefault="00860E18">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b/>
          <w:i/>
          <w:sz w:val="22"/>
          <w:szCs w:val="22"/>
        </w:rPr>
      </w:pPr>
      <w:r w:rsidRPr="0072535F">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p>
    <w:p w:rsidR="009A2CCD" w:rsidRPr="0072535F" w:rsidRDefault="00860E18">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w:t>
      </w:r>
      <w:r w:rsidRPr="0072535F">
        <w:rPr>
          <w:rFonts w:ascii="Palatino Linotype" w:eastAsia="Palatino Linotype" w:hAnsi="Palatino Linotype" w:cs="Palatino Linotype"/>
          <w:i/>
          <w:sz w:val="22"/>
          <w:szCs w:val="22"/>
        </w:rPr>
        <w:lastRenderedPageBreak/>
        <w:t>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9A2CCD" w:rsidRPr="0072535F" w:rsidRDefault="00860E18">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Precedentes:</w:t>
      </w:r>
    </w:p>
    <w:p w:rsidR="009A2CCD" w:rsidRPr="0072535F" w:rsidRDefault="00860E18">
      <w:pPr>
        <w:numPr>
          <w:ilvl w:val="0"/>
          <w:numId w:val="8"/>
        </w:numPr>
        <w:pBdr>
          <w:top w:val="nil"/>
          <w:left w:val="nil"/>
          <w:bottom w:val="nil"/>
          <w:right w:val="nil"/>
          <w:between w:val="nil"/>
        </w:pBdr>
        <w:spacing w:before="240" w:after="160" w:line="276" w:lineRule="auto"/>
        <w:ind w:right="851"/>
        <w:jc w:val="both"/>
      </w:pPr>
      <w:r w:rsidRPr="0072535F">
        <w:rPr>
          <w:rFonts w:ascii="Palatino Linotype" w:eastAsia="Palatino Linotype" w:hAnsi="Palatino Linotype" w:cs="Palatino Linotype"/>
          <w:i/>
          <w:sz w:val="22"/>
          <w:szCs w:val="22"/>
        </w:rPr>
        <w:t>Acceso a la información pública. 4548/07. Sesión del 13 de febrero de 2008. Votación por unanimidad. Sin votos disidentes o particulares. Centro de Investigación y Seguridad Nacional. Comisionado Ponente Alonso Gómez-Robledo V.</w:t>
      </w:r>
    </w:p>
    <w:p w:rsidR="009A2CCD" w:rsidRPr="0072535F" w:rsidRDefault="00860E18">
      <w:pPr>
        <w:numPr>
          <w:ilvl w:val="0"/>
          <w:numId w:val="8"/>
        </w:numPr>
        <w:pBdr>
          <w:top w:val="nil"/>
          <w:left w:val="nil"/>
          <w:bottom w:val="nil"/>
          <w:right w:val="nil"/>
          <w:between w:val="nil"/>
        </w:pBdr>
        <w:spacing w:before="240" w:after="160" w:line="276" w:lineRule="auto"/>
        <w:ind w:right="851"/>
        <w:jc w:val="both"/>
      </w:pPr>
      <w:r w:rsidRPr="0072535F">
        <w:rPr>
          <w:rFonts w:ascii="Palatino Linotype" w:eastAsia="Palatino Linotype" w:hAnsi="Palatino Linotype" w:cs="Palatino Linotype"/>
          <w:i/>
          <w:sz w:val="22"/>
          <w:szCs w:val="22"/>
        </w:rPr>
        <w:t>Acceso a la información pública. 4130/08. Sesión del 17 de diciembre de 2008. Votación por unanimidad. Sin votos disidentes o particulares. Policía Federal Preventiva. Comisionada Ponente Jacqueline Peschard Mariscal.</w:t>
      </w:r>
    </w:p>
    <w:p w:rsidR="009A2CCD" w:rsidRPr="0072535F" w:rsidRDefault="00860E18">
      <w:pPr>
        <w:numPr>
          <w:ilvl w:val="0"/>
          <w:numId w:val="8"/>
        </w:numPr>
        <w:pBdr>
          <w:top w:val="nil"/>
          <w:left w:val="nil"/>
          <w:bottom w:val="nil"/>
          <w:right w:val="nil"/>
          <w:between w:val="nil"/>
        </w:pBdr>
        <w:spacing w:before="240" w:after="160" w:line="276" w:lineRule="auto"/>
        <w:ind w:right="851"/>
        <w:jc w:val="both"/>
      </w:pPr>
      <w:r w:rsidRPr="0072535F">
        <w:rPr>
          <w:rFonts w:ascii="Palatino Linotype" w:eastAsia="Palatino Linotype" w:hAnsi="Palatino Linotype" w:cs="Palatino Linotype"/>
          <w:i/>
          <w:sz w:val="22"/>
          <w:szCs w:val="22"/>
        </w:rPr>
        <w:t>Acceso a la información pública. 4441/08. Sesión del 14 de enero de 2009. Votación por unanimidad. Sin votos disidentes o particulares. Policía Federal Preventiva. Comisionado Ponente Alonso Gómez-Robledo V.</w:t>
      </w:r>
    </w:p>
    <w:p w:rsidR="009A2CCD" w:rsidRPr="0072535F" w:rsidRDefault="00860E18">
      <w:pPr>
        <w:numPr>
          <w:ilvl w:val="0"/>
          <w:numId w:val="8"/>
        </w:numPr>
        <w:pBdr>
          <w:top w:val="nil"/>
          <w:left w:val="nil"/>
          <w:bottom w:val="nil"/>
          <w:right w:val="nil"/>
          <w:between w:val="nil"/>
        </w:pBdr>
        <w:spacing w:before="240" w:after="160" w:line="276" w:lineRule="auto"/>
        <w:ind w:right="851"/>
        <w:jc w:val="both"/>
      </w:pPr>
      <w:r w:rsidRPr="0072535F">
        <w:rPr>
          <w:rFonts w:ascii="Palatino Linotype" w:eastAsia="Palatino Linotype" w:hAnsi="Palatino Linotype" w:cs="Palatino Linotype"/>
          <w:i/>
          <w:sz w:val="22"/>
          <w:szCs w:val="22"/>
        </w:rPr>
        <w:t>Acceso a la información pública. 5235/08. Sesión del 11 de febrero de 2009. Votación por unanimidad. Sin votos disidentes o particulares. Secretaría de la Defensa Nacional. Comisionada Ponente Jacqueline Peschard Mariscal.</w:t>
      </w:r>
    </w:p>
    <w:p w:rsidR="009A2CCD" w:rsidRPr="0072535F" w:rsidRDefault="00860E18">
      <w:pPr>
        <w:numPr>
          <w:ilvl w:val="0"/>
          <w:numId w:val="8"/>
        </w:numPr>
        <w:pBdr>
          <w:top w:val="nil"/>
          <w:left w:val="nil"/>
          <w:bottom w:val="nil"/>
          <w:right w:val="nil"/>
          <w:between w:val="nil"/>
        </w:pBdr>
        <w:spacing w:before="240" w:after="160" w:line="276" w:lineRule="auto"/>
        <w:ind w:right="851"/>
        <w:jc w:val="both"/>
        <w:rPr>
          <w:rFonts w:ascii="Palatino Linotype" w:eastAsia="Palatino Linotype" w:hAnsi="Palatino Linotype" w:cs="Palatino Linotype"/>
          <w:b/>
          <w:i/>
          <w:sz w:val="22"/>
          <w:szCs w:val="22"/>
        </w:rPr>
      </w:pPr>
      <w:r w:rsidRPr="0072535F">
        <w:rPr>
          <w:rFonts w:ascii="Palatino Linotype" w:eastAsia="Palatino Linotype" w:hAnsi="Palatino Linotype" w:cs="Palatino Linotype"/>
          <w:i/>
          <w:sz w:val="22"/>
          <w:szCs w:val="22"/>
        </w:rPr>
        <w:lastRenderedPageBreak/>
        <w:t xml:space="preserve">Acceso a la información pública. 2166/09. Sesión del 19 de agosto de 2009. Votación por unanimidad. Sin votos disidentes o particulares. Secretaría de Seguridad Pública. Comisionado Ponente Juan Pablo Guerrero Amparán.” </w:t>
      </w:r>
      <w:r w:rsidRPr="0072535F">
        <w:rPr>
          <w:rFonts w:ascii="Palatino Linotype" w:eastAsia="Palatino Linotype" w:hAnsi="Palatino Linotype" w:cs="Palatino Linotype"/>
          <w:b/>
          <w:i/>
          <w:sz w:val="22"/>
          <w:szCs w:val="22"/>
        </w:rPr>
        <w:t>(Sic)</w:t>
      </w:r>
    </w:p>
    <w:p w:rsidR="009A2CCD" w:rsidRPr="0072535F" w:rsidRDefault="009A2CCD">
      <w:pPr>
        <w:spacing w:line="360" w:lineRule="auto"/>
        <w:jc w:val="both"/>
        <w:rPr>
          <w:rFonts w:ascii="Palatino Linotype" w:eastAsia="Palatino Linotype" w:hAnsi="Palatino Linotype" w:cs="Palatino Linotype"/>
        </w:rPr>
      </w:pPr>
    </w:p>
    <w:p w:rsidR="009A2CCD" w:rsidRPr="0072535F" w:rsidRDefault="00860E18">
      <w:pP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Así, el personal operativo se ocupa de garantizar la seguridad pública, a través de acciones preventivas y correctivas, encaminadas a la prevención o persecución de los delitos y combate a la delincuencia en sus diversas manifestaciones, y en ese sentido, una de las formas en que la delincuencia puede llegar a poner en riesgo la seguridad es precisamente anulando, impidiendo, obstaculizando la actuación de los servidores públicos que realizan funciones de carácter operativo.  </w:t>
      </w:r>
    </w:p>
    <w:p w:rsidR="009A2CCD" w:rsidRPr="0072535F" w:rsidRDefault="009A2CCD">
      <w:pPr>
        <w:spacing w:line="360" w:lineRule="auto"/>
        <w:jc w:val="both"/>
        <w:rPr>
          <w:rFonts w:ascii="Palatino Linotype" w:eastAsia="Palatino Linotype" w:hAnsi="Palatino Linotype" w:cs="Palatino Linotype"/>
        </w:rPr>
      </w:pPr>
    </w:p>
    <w:p w:rsidR="009A2CCD" w:rsidRPr="0072535F" w:rsidRDefault="00860E18">
      <w:pP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De tal forma que revelar la información de personal operativo  atenta de forma directa contra sus funciones de independencia y autonomía, a su libertad de actuación libre de coacción o interferencia, incluso, los inhibe a actuar bajo el criterio de objetividad.</w:t>
      </w:r>
    </w:p>
    <w:p w:rsidR="009A2CCD" w:rsidRPr="0072535F" w:rsidRDefault="00860E18">
      <w:pPr>
        <w:spacing w:before="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Bajo este contexto, con relación al personal operativo para realizar la reserva de la información no basta con exponer alguna de las causales previstas en la Ley de Transparencia local, en sentido contrario dicha valoración debe de realizarse a través de la </w:t>
      </w:r>
      <w:r w:rsidRPr="0072535F">
        <w:rPr>
          <w:rFonts w:ascii="Palatino Linotype" w:eastAsia="Palatino Linotype" w:hAnsi="Palatino Linotype" w:cs="Palatino Linotype"/>
          <w:b/>
          <w:i/>
        </w:rPr>
        <w:t xml:space="preserve">“prueba de daño” </w:t>
      </w:r>
      <w:r w:rsidRPr="0072535F">
        <w:rPr>
          <w:rFonts w:ascii="Palatino Linotype" w:eastAsia="Palatino Linotype" w:hAnsi="Palatino Linotype" w:cs="Palatino Linotype"/>
        </w:rPr>
        <w:t xml:space="preserve">que consiste en exponer los argumentos y razones, basados en elementos objetivos o verificables, a partir de los cuales se derive que la divulgación de información, en particular, puede afectar, poner en riesgo o dañar el interés protegido. </w:t>
      </w:r>
    </w:p>
    <w:p w:rsidR="009A2CCD" w:rsidRPr="0072535F" w:rsidRDefault="00860E18">
      <w:pPr>
        <w:spacing w:before="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lastRenderedPageBreak/>
        <w:t xml:space="preserve">Para aplicar la prueba de daño, se deberán de precisar las razones objetivas por las que la apertura genera una afectación, acreditando que: </w:t>
      </w:r>
    </w:p>
    <w:p w:rsidR="009A2CCD" w:rsidRPr="0072535F" w:rsidRDefault="00860E18">
      <w:pPr>
        <w:widowControl w:val="0"/>
        <w:numPr>
          <w:ilvl w:val="0"/>
          <w:numId w:val="7"/>
        </w:numPr>
        <w:pBdr>
          <w:top w:val="nil"/>
          <w:left w:val="nil"/>
          <w:bottom w:val="nil"/>
          <w:right w:val="nil"/>
          <w:between w:val="nil"/>
        </w:pBdr>
        <w:spacing w:before="240" w:after="240" w:line="360" w:lineRule="auto"/>
        <w:ind w:right="333"/>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La divulgación de la información representa un riesgo real, demostrable e identificable del perjuicio significativo al interés público o a la seguridad pública; </w:t>
      </w:r>
    </w:p>
    <w:p w:rsidR="009A2CCD" w:rsidRPr="0072535F" w:rsidRDefault="00860E18">
      <w:pPr>
        <w:widowControl w:val="0"/>
        <w:numPr>
          <w:ilvl w:val="0"/>
          <w:numId w:val="7"/>
        </w:numPr>
        <w:pBdr>
          <w:top w:val="nil"/>
          <w:left w:val="nil"/>
          <w:bottom w:val="nil"/>
          <w:right w:val="nil"/>
          <w:between w:val="nil"/>
        </w:pBdr>
        <w:spacing w:after="240" w:line="360" w:lineRule="auto"/>
        <w:ind w:right="333"/>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El riesgo de perjuicio que supondría la divulgación supera el interés público general de que se difunda; y </w:t>
      </w:r>
    </w:p>
    <w:p w:rsidR="009A2CCD" w:rsidRPr="0072535F" w:rsidRDefault="00860E18">
      <w:pPr>
        <w:widowControl w:val="0"/>
        <w:numPr>
          <w:ilvl w:val="0"/>
          <w:numId w:val="7"/>
        </w:numPr>
        <w:pBdr>
          <w:top w:val="nil"/>
          <w:left w:val="nil"/>
          <w:bottom w:val="nil"/>
          <w:right w:val="nil"/>
          <w:between w:val="nil"/>
        </w:pBdr>
        <w:spacing w:after="240" w:line="360" w:lineRule="auto"/>
        <w:ind w:right="333"/>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La limitación se adecua al principio de proporcionalidad y representa el medio menos restrictivo disponible para evitar el perjuicio. </w:t>
      </w:r>
    </w:p>
    <w:p w:rsidR="009A2CCD" w:rsidRPr="0072535F" w:rsidRDefault="00860E18">
      <w:pPr>
        <w:spacing w:before="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Los acuerdos de reserva deberán de cumplir con los siguientes parámetros de forma y fondo: </w:t>
      </w:r>
    </w:p>
    <w:p w:rsidR="009A2CCD" w:rsidRPr="0072535F" w:rsidRDefault="00860E18">
      <w:pPr>
        <w:numPr>
          <w:ilvl w:val="0"/>
          <w:numId w:val="6"/>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Número de folio de la solicitud</w:t>
      </w:r>
    </w:p>
    <w:p w:rsidR="009A2CCD" w:rsidRPr="0072535F" w:rsidRDefault="00860E18">
      <w:pPr>
        <w:numPr>
          <w:ilvl w:val="0"/>
          <w:numId w:val="6"/>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Referencia de la información solicitada</w:t>
      </w:r>
    </w:p>
    <w:p w:rsidR="009A2CCD" w:rsidRPr="0072535F" w:rsidRDefault="00860E18">
      <w:pPr>
        <w:numPr>
          <w:ilvl w:val="0"/>
          <w:numId w:val="6"/>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Causal aplicable del artículo 113 de la Ley General, vinculándola con el Lineamiento especifico del presente ordenamiento y, cuando corresponda, el supuesto normativo que expresamente le otorga el carácter de información reservada. </w:t>
      </w:r>
    </w:p>
    <w:p w:rsidR="009A2CCD" w:rsidRPr="0072535F" w:rsidRDefault="00860E18">
      <w:pPr>
        <w:numPr>
          <w:ilvl w:val="0"/>
          <w:numId w:val="6"/>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Fundamento y Motivación Legal. </w:t>
      </w:r>
    </w:p>
    <w:p w:rsidR="009A2CCD" w:rsidRPr="0072535F" w:rsidRDefault="00860E18">
      <w:pPr>
        <w:numPr>
          <w:ilvl w:val="0"/>
          <w:numId w:val="6"/>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lastRenderedPageBreak/>
        <w:t xml:space="preserve">Conexión entre los fundamentos y motivos que dieron origen a la Reserva de la información. </w:t>
      </w:r>
    </w:p>
    <w:p w:rsidR="009A2CCD" w:rsidRPr="0072535F" w:rsidRDefault="00860E18">
      <w:pPr>
        <w:spacing w:before="240" w:line="360" w:lineRule="auto"/>
        <w:ind w:left="360"/>
        <w:jc w:val="both"/>
        <w:rPr>
          <w:rFonts w:ascii="Palatino Linotype" w:eastAsia="Palatino Linotype" w:hAnsi="Palatino Linotype" w:cs="Palatino Linotype"/>
          <w:b/>
        </w:rPr>
      </w:pPr>
      <w:r w:rsidRPr="0072535F">
        <w:rPr>
          <w:rFonts w:ascii="Palatino Linotype" w:eastAsia="Palatino Linotype" w:hAnsi="Palatino Linotype" w:cs="Palatino Linotype"/>
          <w:b/>
        </w:rPr>
        <w:t>Prueba de Daño</w:t>
      </w:r>
    </w:p>
    <w:p w:rsidR="009A2CCD" w:rsidRPr="0072535F" w:rsidRDefault="00860E18">
      <w:pPr>
        <w:numPr>
          <w:ilvl w:val="0"/>
          <w:numId w:val="6"/>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Riesgo real, demostrable e identificable (Modo, Tiempo y lugar)</w:t>
      </w:r>
    </w:p>
    <w:p w:rsidR="009A2CCD" w:rsidRPr="0072535F" w:rsidRDefault="00860E18">
      <w:pPr>
        <w:numPr>
          <w:ilvl w:val="0"/>
          <w:numId w:val="6"/>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Temporalidad de la Reserva de la Información</w:t>
      </w:r>
    </w:p>
    <w:p w:rsidR="009A2CCD" w:rsidRPr="0072535F" w:rsidRDefault="00860E18">
      <w:pPr>
        <w:numPr>
          <w:ilvl w:val="0"/>
          <w:numId w:val="6"/>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Autoridades competentes. </w:t>
      </w:r>
    </w:p>
    <w:p w:rsidR="009A2CCD" w:rsidRPr="0072535F" w:rsidRDefault="009A2CCD">
      <w:pPr>
        <w:pBdr>
          <w:top w:val="nil"/>
          <w:left w:val="nil"/>
          <w:bottom w:val="nil"/>
          <w:right w:val="nil"/>
          <w:between w:val="nil"/>
        </w:pBdr>
        <w:spacing w:line="360" w:lineRule="auto"/>
        <w:jc w:val="both"/>
        <w:rPr>
          <w:rFonts w:ascii="Palatino Linotype" w:eastAsia="Palatino Linotype" w:hAnsi="Palatino Linotype" w:cs="Palatino Linotype"/>
        </w:rPr>
      </w:pPr>
    </w:p>
    <w:p w:rsidR="009A2CCD" w:rsidRPr="0072535F" w:rsidRDefault="00860E18">
      <w:pPr>
        <w:pBdr>
          <w:top w:val="nil"/>
          <w:left w:val="nil"/>
          <w:bottom w:val="nil"/>
          <w:right w:val="nil"/>
          <w:between w:val="nil"/>
        </w:pBd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En sentido contrario, el personal de seguridad que desempeña funciones administrativas invariablemente deberá de recibir un tratamiento menos riguroso, puesto que sus funciones no involucran riesgo a la vida, seguridad o salud, sino que se limitan a coadyuvar de manera indirecta respecto de la persecución de ilícitos; por lo que conocer el nombre de los servidores públicos con funciones administrativas adscritos a la Agencia del Ministerio Público referida en la solicitud  es de interés general y alcance público, toda vez que al servicio a la sociedad a través de un empleo, cargo o comisión, al que le corresponden determinadas obligaciones a las que quedan constreñidos, y sujetos de que se les exijan determinadas responsabilidades, todo lo cual corresponde a cualquier persona física que preste sus servicios </w:t>
      </w:r>
      <w:r w:rsidRPr="0072535F">
        <w:rPr>
          <w:rFonts w:ascii="Palatino Linotype" w:eastAsia="Palatino Linotype" w:hAnsi="Palatino Linotype" w:cs="Palatino Linotype"/>
          <w:b/>
          <w:u w:val="single"/>
        </w:rPr>
        <w:t>bajo cualquier forma en que se sirva al interés público y a cualquier nivel de gobierno</w:t>
      </w:r>
      <w:r w:rsidRPr="0072535F">
        <w:rPr>
          <w:rFonts w:ascii="Palatino Linotype" w:eastAsia="Palatino Linotype" w:hAnsi="Palatino Linotype" w:cs="Palatino Linotype"/>
        </w:rPr>
        <w:t xml:space="preserve">, razón por la que es de explorado derecho que su nombre, sin duda alguna, debe ser público ya que es la condición esencial de todo el sistema de una efectiva rendición de cuentas, al que la transparencia y el derecho de acceso a la información contribuyen. </w:t>
      </w:r>
    </w:p>
    <w:p w:rsidR="009A2CCD" w:rsidRPr="0072535F" w:rsidRDefault="00860E18">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72535F">
        <w:rPr>
          <w:rFonts w:ascii="Palatino Linotype" w:eastAsia="Palatino Linotype" w:hAnsi="Palatino Linotype" w:cs="Palatino Linotype"/>
        </w:rPr>
        <w:lastRenderedPageBreak/>
        <w:t xml:space="preserve">Por lo tanto los nombres de los servidores públicos con funciones administrativas,  son información a la que le reviste el carácter de pública y la misma no actualiza los supuestos establecidos en los artículos 140 de la </w:t>
      </w:r>
      <w:r w:rsidRPr="0072535F">
        <w:rPr>
          <w:rFonts w:ascii="Palatino Linotype" w:eastAsia="Palatino Linotype" w:hAnsi="Palatino Linotype" w:cs="Palatino Linotype"/>
          <w:b/>
        </w:rPr>
        <w:t>Ley de Transparencia y Acceso a la Información Pública del Estado de México y Municipios</w:t>
      </w:r>
      <w:r w:rsidRPr="0072535F">
        <w:rPr>
          <w:rFonts w:ascii="Palatino Linotype" w:eastAsia="Palatino Linotype" w:hAnsi="Palatino Linotype" w:cs="Palatino Linotype"/>
        </w:rPr>
        <w:t xml:space="preserve"> y 113 de la Ley General para ser clasificada como información reservada.</w:t>
      </w:r>
    </w:p>
    <w:p w:rsidR="009A2CCD" w:rsidRPr="0072535F" w:rsidRDefault="009A2CCD">
      <w:pPr>
        <w:pBdr>
          <w:top w:val="nil"/>
          <w:left w:val="nil"/>
          <w:bottom w:val="nil"/>
          <w:right w:val="nil"/>
          <w:between w:val="nil"/>
        </w:pBdr>
        <w:spacing w:line="360" w:lineRule="auto"/>
        <w:jc w:val="both"/>
        <w:rPr>
          <w:rFonts w:ascii="Palatino Linotype" w:eastAsia="Palatino Linotype" w:hAnsi="Palatino Linotype" w:cs="Palatino Linotype"/>
        </w:rPr>
      </w:pPr>
    </w:p>
    <w:p w:rsidR="009A2CCD" w:rsidRPr="0072535F" w:rsidRDefault="00860E18">
      <w:pP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 Con base en lo anteriormente expuesto, resulta procedente ordenar la entrega de la siguiente información:</w:t>
      </w:r>
    </w:p>
    <w:p w:rsidR="009A2CCD" w:rsidRPr="0072535F" w:rsidRDefault="009A2CCD">
      <w:pPr>
        <w:spacing w:line="360" w:lineRule="auto"/>
        <w:jc w:val="both"/>
        <w:rPr>
          <w:rFonts w:ascii="Palatino Linotype" w:eastAsia="Palatino Linotype" w:hAnsi="Palatino Linotype" w:cs="Palatino Linotype"/>
        </w:rPr>
      </w:pPr>
    </w:p>
    <w:p w:rsidR="009A2CCD" w:rsidRPr="0072535F" w:rsidRDefault="00860E18">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Acuerdo que emita el Comité de Transparencia por el cual se clasifique como reservado el nombre de personal operativo,</w:t>
      </w:r>
      <w:r w:rsidRPr="0072535F">
        <w:rPr>
          <w:rFonts w:ascii="Palatino Linotype" w:eastAsia="Palatino Linotype" w:hAnsi="Palatino Linotype" w:cs="Palatino Linotype"/>
          <w:b/>
        </w:rPr>
        <w:t xml:space="preserve"> </w:t>
      </w:r>
      <w:r w:rsidRPr="0072535F">
        <w:rPr>
          <w:rFonts w:ascii="Palatino Linotype" w:eastAsia="Palatino Linotype" w:hAnsi="Palatino Linotype" w:cs="Palatino Linotype"/>
        </w:rPr>
        <w:t xml:space="preserve">adscrito a la Agencia del Ministerio Público referida en la solicitud de información </w:t>
      </w:r>
      <w:r w:rsidRPr="0072535F">
        <w:rPr>
          <w:rFonts w:ascii="Palatino Linotype" w:eastAsia="Palatino Linotype" w:hAnsi="Palatino Linotype" w:cs="Palatino Linotype"/>
          <w:b/>
        </w:rPr>
        <w:t xml:space="preserve">00227/FGJ/IP/2022 </w:t>
      </w:r>
      <w:r w:rsidRPr="0072535F">
        <w:rPr>
          <w:rFonts w:ascii="Palatino Linotype" w:eastAsia="Palatino Linotype" w:hAnsi="Palatino Linotype" w:cs="Palatino Linotype"/>
        </w:rPr>
        <w:t xml:space="preserve">debidamente fundamentado y motivado. </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El o los documentos donde conste el nombre del personal administrativo adscrito a la Agencia del Ministerio Público referida en la solicitud de información </w:t>
      </w:r>
      <w:r w:rsidRPr="0072535F">
        <w:rPr>
          <w:rFonts w:ascii="Palatino Linotype" w:eastAsia="Palatino Linotype" w:hAnsi="Palatino Linotype" w:cs="Palatino Linotype"/>
          <w:b/>
        </w:rPr>
        <w:t xml:space="preserve">00228/FGJ/IP/2022, </w:t>
      </w:r>
      <w:r w:rsidRPr="0072535F">
        <w:rPr>
          <w:rFonts w:ascii="Palatino Linotype" w:eastAsia="Palatino Linotype" w:hAnsi="Palatino Linotype" w:cs="Palatino Linotype"/>
        </w:rPr>
        <w:t>al veintiuno de abril de dos mil veintidos,</w:t>
      </w:r>
      <w:r w:rsidRPr="0072535F">
        <w:rPr>
          <w:rFonts w:ascii="Palatino Linotype" w:eastAsia="Palatino Linotype" w:hAnsi="Palatino Linotype" w:cs="Palatino Linotype"/>
          <w:b/>
          <w:u w:val="single"/>
        </w:rPr>
        <w:t xml:space="preserve"> en versión pública </w:t>
      </w:r>
      <w:r w:rsidRPr="0072535F">
        <w:rPr>
          <w:rFonts w:ascii="Palatino Linotype" w:eastAsia="Palatino Linotype" w:hAnsi="Palatino Linotype" w:cs="Palatino Linotype"/>
        </w:rPr>
        <w:t xml:space="preserve">en terminos del considerando siguiente. </w:t>
      </w:r>
    </w:p>
    <w:p w:rsidR="009A2CCD" w:rsidRPr="0072535F" w:rsidRDefault="00860E18">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rPr>
      </w:pPr>
      <w:r w:rsidRPr="0072535F">
        <w:rPr>
          <w:rFonts w:ascii="Palatino Linotype" w:eastAsia="Palatino Linotype" w:hAnsi="Palatino Linotype" w:cs="Palatino Linotype"/>
          <w:b/>
        </w:rPr>
        <w:t xml:space="preserve">Cargos y sueldos del personal adscrito a la Agencia del Ministerio Público de Huehuetoca. </w:t>
      </w:r>
    </w:p>
    <w:p w:rsidR="009A2CCD" w:rsidRPr="0072535F" w:rsidRDefault="009A2CCD">
      <w:pPr>
        <w:pBdr>
          <w:top w:val="nil"/>
          <w:left w:val="nil"/>
          <w:bottom w:val="nil"/>
          <w:right w:val="nil"/>
          <w:between w:val="nil"/>
        </w:pBdr>
        <w:spacing w:line="360" w:lineRule="auto"/>
        <w:jc w:val="both"/>
        <w:rPr>
          <w:rFonts w:ascii="Palatino Linotype" w:eastAsia="Palatino Linotype" w:hAnsi="Palatino Linotype" w:cs="Palatino Linotype"/>
          <w:b/>
        </w:rPr>
      </w:pPr>
    </w:p>
    <w:p w:rsidR="009A2CCD" w:rsidRPr="0072535F" w:rsidRDefault="00860E18">
      <w:pP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En relación a este requerimiento, es de insistir que la Dirección General de Administración de Personal y Nómina remitió la relación de las diferentes categorías </w:t>
      </w:r>
      <w:r w:rsidRPr="0072535F">
        <w:rPr>
          <w:rFonts w:ascii="Palatino Linotype" w:eastAsia="Palatino Linotype" w:hAnsi="Palatino Linotype" w:cs="Palatino Linotype"/>
        </w:rPr>
        <w:lastRenderedPageBreak/>
        <w:t xml:space="preserve">del personal administrativo y operativo, tal como se visualiza en la siguiente imagen. </w:t>
      </w:r>
    </w:p>
    <w:p w:rsidR="009A2CCD" w:rsidRPr="0072535F" w:rsidRDefault="009A2CCD">
      <w:pPr>
        <w:spacing w:line="360" w:lineRule="auto"/>
        <w:jc w:val="both"/>
        <w:rPr>
          <w:rFonts w:ascii="Palatino Linotype" w:eastAsia="Palatino Linotype" w:hAnsi="Palatino Linotype" w:cs="Palatino Linotype"/>
        </w:rPr>
      </w:pPr>
    </w:p>
    <w:p w:rsidR="009A2CCD" w:rsidRPr="0072535F" w:rsidRDefault="00860E18">
      <w:pPr>
        <w:spacing w:line="360" w:lineRule="auto"/>
        <w:jc w:val="both"/>
        <w:rPr>
          <w:rFonts w:ascii="Palatino Linotype" w:eastAsia="Palatino Linotype" w:hAnsi="Palatino Linotype" w:cs="Palatino Linotype"/>
          <w:b/>
          <w:u w:val="single"/>
        </w:rPr>
      </w:pPr>
      <w:r w:rsidRPr="0072535F">
        <w:rPr>
          <w:rFonts w:ascii="Palatino Linotype" w:eastAsia="Palatino Linotype" w:hAnsi="Palatino Linotype" w:cs="Palatino Linotype"/>
          <w:b/>
          <w:noProof/>
          <w:u w:val="single"/>
          <w:lang w:val="es-MX"/>
        </w:rPr>
        <w:drawing>
          <wp:inline distT="0" distB="0" distL="0" distR="0">
            <wp:extent cx="5620546" cy="2514956"/>
            <wp:effectExtent l="0" t="0" r="0" b="0"/>
            <wp:docPr id="4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620546" cy="2514956"/>
                    </a:xfrm>
                    <a:prstGeom prst="rect">
                      <a:avLst/>
                    </a:prstGeom>
                    <a:ln/>
                  </pic:spPr>
                </pic:pic>
              </a:graphicData>
            </a:graphic>
          </wp:inline>
        </w:drawing>
      </w:r>
    </w:p>
    <w:p w:rsidR="009A2CCD" w:rsidRPr="0072535F" w:rsidRDefault="009A2CCD">
      <w:pPr>
        <w:spacing w:line="360" w:lineRule="auto"/>
        <w:jc w:val="both"/>
        <w:rPr>
          <w:rFonts w:ascii="Palatino Linotype" w:eastAsia="Palatino Linotype" w:hAnsi="Palatino Linotype" w:cs="Palatino Linotype"/>
          <w:b/>
          <w:u w:val="single"/>
        </w:rPr>
      </w:pPr>
    </w:p>
    <w:p w:rsidR="009A2CCD" w:rsidRPr="0072535F" w:rsidRDefault="00860E18">
      <w:pPr>
        <w:pBdr>
          <w:top w:val="nil"/>
          <w:left w:val="nil"/>
          <w:bottom w:val="nil"/>
          <w:right w:val="nil"/>
          <w:between w:val="nil"/>
        </w:pBd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Documento del que se desprende que la Agencia del Ministerio Publico referida en la solicitud de información cuenta con personal administrativo, ministerios públicos y policías de investigación; asimismo, informa sobre el número de servidores por categoría y el sueldo. </w:t>
      </w:r>
    </w:p>
    <w:p w:rsidR="009A2CCD" w:rsidRPr="0072535F" w:rsidRDefault="009A2CCD">
      <w:pPr>
        <w:spacing w:line="360" w:lineRule="auto"/>
        <w:jc w:val="both"/>
        <w:rPr>
          <w:rFonts w:ascii="Palatino Linotype" w:eastAsia="Palatino Linotype" w:hAnsi="Palatino Linotype" w:cs="Palatino Linotype"/>
        </w:rPr>
      </w:pPr>
    </w:p>
    <w:p w:rsidR="009A2CCD" w:rsidRPr="0072535F" w:rsidRDefault="00860E18">
      <w:pP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Atento a lo anterior, cabe precisar que se obvia el análisis de la competencia por parte del</w:t>
      </w:r>
      <w:r w:rsidRPr="0072535F">
        <w:rPr>
          <w:rFonts w:ascii="Palatino Linotype" w:eastAsia="Palatino Linotype" w:hAnsi="Palatino Linotype" w:cs="Palatino Linotype"/>
          <w:b/>
        </w:rPr>
        <w:t xml:space="preserve"> SUJETO OBLIGADO</w:t>
      </w:r>
      <w:r w:rsidRPr="0072535F">
        <w:rPr>
          <w:rFonts w:ascii="Palatino Linotype" w:eastAsia="Palatino Linotype" w:hAnsi="Palatino Linotype" w:cs="Palatino Linotype"/>
        </w:rPr>
        <w:t xml:space="preserve">, dado que éste ha asumido la misma, en razón de que de los argumentos vertidos en su respuesta,  se advierte que genera, administra y posee la información solicitada, ya que remitió las categorías y sueldos del personal adscrito a la Agencia del Ministerio Público de Huehuetoca. </w:t>
      </w:r>
    </w:p>
    <w:p w:rsidR="009A2CCD" w:rsidRPr="0072535F" w:rsidRDefault="00860E18">
      <w:pPr>
        <w:spacing w:before="240" w:after="240" w:line="360" w:lineRule="auto"/>
        <w:ind w:right="49"/>
        <w:jc w:val="both"/>
        <w:rPr>
          <w:rFonts w:ascii="Palatino Linotype" w:eastAsia="Palatino Linotype" w:hAnsi="Palatino Linotype" w:cs="Palatino Linotype"/>
        </w:rPr>
      </w:pPr>
      <w:r w:rsidRPr="0072535F">
        <w:rPr>
          <w:rFonts w:ascii="Palatino Linotype" w:eastAsia="Palatino Linotype" w:hAnsi="Palatino Linotype" w:cs="Palatino Linotype"/>
        </w:rPr>
        <w:lastRenderedPageBreak/>
        <w:t xml:space="preserve">De hecho, el estudio del ámbito competencial de la información pública solicitada, tiene por objeto determinar si ésta la genera, posee o administra </w:t>
      </w:r>
      <w:r w:rsidRPr="0072535F">
        <w:rPr>
          <w:rFonts w:ascii="Palatino Linotype" w:eastAsia="Palatino Linotype" w:hAnsi="Palatino Linotype" w:cs="Palatino Linotype"/>
          <w:b/>
        </w:rPr>
        <w:t>EL SUJETO OBLIGADO</w:t>
      </w:r>
      <w:r w:rsidRPr="0072535F">
        <w:rPr>
          <w:rFonts w:ascii="Palatino Linotype" w:eastAsia="Palatino Linotype" w:hAnsi="Palatino Linotype" w:cs="Palatino Linotype"/>
        </w:rPr>
        <w:t xml:space="preserve">; sin embargo, en aquellos casos en que éste la asume, implica en automático que la genera, posee o administra; por consiguiente, a nada práctico nos conduciría su estudio, ya que se insiste la información pública solicitada, ya fue asumida por </w:t>
      </w:r>
      <w:r w:rsidRPr="0072535F">
        <w:rPr>
          <w:rFonts w:ascii="Palatino Linotype" w:eastAsia="Palatino Linotype" w:hAnsi="Palatino Linotype" w:cs="Palatino Linotype"/>
          <w:b/>
        </w:rPr>
        <w:t>EL SUJETO OBLIGADO</w:t>
      </w:r>
      <w:r w:rsidRPr="0072535F">
        <w:rPr>
          <w:rFonts w:ascii="Palatino Linotype" w:eastAsia="Palatino Linotype" w:hAnsi="Palatino Linotype" w:cs="Palatino Linotype"/>
        </w:rPr>
        <w:t>.</w:t>
      </w:r>
    </w:p>
    <w:p w:rsidR="009A2CCD" w:rsidRPr="0072535F" w:rsidRDefault="00860E18">
      <w:pPr>
        <w:spacing w:before="240" w:after="240" w:line="360" w:lineRule="auto"/>
        <w:ind w:right="49"/>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En este sentido, es importante enfatizar que si bien la información se encuentra relacionada con personal que tiene como responsabilidad conducir la investigación coordinar a los policías y a los servicios periciales durante la investigación, y resolver sobre el ejercicio de la acción penal, también lo es que, el cargo y las remuneraciones que perciben se trata de información que transparenta la gestión pública, favorece la rendición de cuentas  y por lo tanto, sin que medio algún tipo de excepción, es de naturaleza pública. </w:t>
      </w:r>
    </w:p>
    <w:p w:rsidR="009A2CCD" w:rsidRPr="0072535F" w:rsidRDefault="00860E18">
      <w:pP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9A2CCD" w:rsidRPr="0072535F" w:rsidRDefault="009A2CCD">
      <w:pPr>
        <w:spacing w:line="360" w:lineRule="auto"/>
        <w:jc w:val="both"/>
        <w:rPr>
          <w:rFonts w:ascii="Palatino Linotype" w:eastAsia="Palatino Linotype" w:hAnsi="Palatino Linotype" w:cs="Palatino Linotype"/>
        </w:rPr>
      </w:pPr>
    </w:p>
    <w:p w:rsidR="009A2CCD" w:rsidRPr="0072535F" w:rsidRDefault="00860E18">
      <w:pPr>
        <w:ind w:left="567" w:right="616"/>
        <w:jc w:val="both"/>
        <w:rPr>
          <w:rFonts w:ascii="Palatino Linotype" w:eastAsia="Palatino Linotype" w:hAnsi="Palatino Linotype" w:cs="Palatino Linotype"/>
          <w:b/>
          <w:i/>
        </w:rPr>
      </w:pPr>
      <w:r w:rsidRPr="0072535F">
        <w:rPr>
          <w:rFonts w:ascii="Palatino Linotype" w:eastAsia="Palatino Linotype" w:hAnsi="Palatino Linotype" w:cs="Palatino Linotype"/>
          <w:i/>
        </w:rPr>
        <w:t>“</w:t>
      </w:r>
      <w:r w:rsidRPr="0072535F">
        <w:rPr>
          <w:rFonts w:ascii="Palatino Linotype" w:eastAsia="Palatino Linotype" w:hAnsi="Palatino Linotype" w:cs="Palatino Linotype"/>
          <w:b/>
          <w:i/>
        </w:rPr>
        <w:t>Criterio 01/2003.</w:t>
      </w:r>
    </w:p>
    <w:p w:rsidR="009A2CCD" w:rsidRPr="0072535F" w:rsidRDefault="00860E18">
      <w:pPr>
        <w:ind w:left="567" w:right="616"/>
        <w:jc w:val="both"/>
        <w:rPr>
          <w:rFonts w:ascii="Palatino Linotype" w:eastAsia="Palatino Linotype" w:hAnsi="Palatino Linotype" w:cs="Palatino Linotype"/>
          <w:i/>
        </w:rPr>
      </w:pPr>
      <w:r w:rsidRPr="0072535F">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72535F">
        <w:rPr>
          <w:rFonts w:ascii="Palatino Linotype" w:eastAsia="Palatino Linotype" w:hAnsi="Palatino Linotype" w:cs="Palatino Linotype"/>
          <w:b/>
          <w:i/>
          <w:u w:val="single"/>
        </w:rPr>
        <w:t>.</w:t>
      </w:r>
      <w:r w:rsidRPr="0072535F">
        <w:rPr>
          <w:rFonts w:ascii="Palatino Linotype" w:eastAsia="Palatino Linotype" w:hAnsi="Palatino Linotype" w:cs="Palatino Linotype"/>
          <w:i/>
          <w:u w:val="single"/>
        </w:rPr>
        <w:t xml:space="preserve"> Si </w:t>
      </w:r>
      <w:r w:rsidRPr="0072535F">
        <w:rPr>
          <w:rFonts w:ascii="Palatino Linotype" w:eastAsia="Palatino Linotype" w:hAnsi="Palatino Linotype" w:cs="Palatino Linotype"/>
          <w:b/>
          <w:i/>
          <w:u w:val="single"/>
        </w:rPr>
        <w:t xml:space="preserve">bien el artículo 13, fracción IV, de la Ley Federal de Transparencia y Acceso  a la información Pública Gubernamental establece que debe clasificarse </w:t>
      </w:r>
      <w:r w:rsidRPr="0072535F">
        <w:rPr>
          <w:rFonts w:ascii="Palatino Linotype" w:eastAsia="Palatino Linotype" w:hAnsi="Palatino Linotype" w:cs="Palatino Linotype"/>
          <w:b/>
          <w:i/>
          <w:u w:val="single"/>
        </w:rPr>
        <w:lastRenderedPageBreak/>
        <w:t>como información confidencial la que conste en expedientes administrativos cuya difusión  pueda poner en riesgo la vida, la seguridad o la salud de cualquier persona</w:t>
      </w:r>
      <w:r w:rsidRPr="0072535F">
        <w:rPr>
          <w:rFonts w:ascii="Palatino Linotype" w:eastAsia="Palatino Linotype" w:hAnsi="Palatino Linotype" w:cs="Palatino Linotype"/>
          <w:b/>
          <w:i/>
        </w:rPr>
        <w:t xml:space="preserve">, </w:t>
      </w:r>
      <w:r w:rsidRPr="0072535F">
        <w:rPr>
          <w:rFonts w:ascii="Palatino Linotype" w:eastAsia="Palatino Linotype" w:hAnsi="Palatino Linotype" w:cs="Palatino Linotype"/>
          <w:b/>
          <w:i/>
          <w:u w:val="single"/>
        </w:rPr>
        <w:t>debe reconocerse que aun y  cuando en ese supuesto podría encuadrar la relativa a las percepciones ordinarias y extraordinaria de los servidores públicos</w:t>
      </w:r>
      <w:r w:rsidRPr="0072535F">
        <w:rPr>
          <w:rFonts w:ascii="Palatino Linotype" w:eastAsia="Palatino Linotype" w:hAnsi="Palatino Linotype" w:cs="Palatino Linotype"/>
          <w:b/>
          <w:i/>
        </w:rPr>
        <w:t>,</w:t>
      </w:r>
      <w:r w:rsidRPr="0072535F">
        <w:rPr>
          <w:rFonts w:ascii="Palatino Linotype" w:eastAsia="Palatino Linotype" w:hAnsi="Palatino Linotype" w:cs="Palatino Linotype"/>
          <w:i/>
        </w:rPr>
        <w:t xml:space="preserve"> ello no obsta para reconocer que el legislador estableció en el artículo 7 de ese mismo ordenamiento que la referida información, como una obligación de trasparencia, </w:t>
      </w:r>
      <w:r w:rsidRPr="0072535F">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72535F">
        <w:rPr>
          <w:rFonts w:ascii="Palatino Linotype" w:eastAsia="Palatino Linotype" w:hAnsi="Palatino Linotype" w:cs="Palatino Linotype"/>
          <w:i/>
        </w:rPr>
        <w:t>…”</w:t>
      </w:r>
    </w:p>
    <w:p w:rsidR="009A2CCD" w:rsidRPr="0072535F" w:rsidRDefault="009A2CCD">
      <w:pPr>
        <w:ind w:left="567" w:right="616"/>
        <w:jc w:val="both"/>
        <w:rPr>
          <w:rFonts w:ascii="Palatino Linotype" w:eastAsia="Palatino Linotype" w:hAnsi="Palatino Linotype" w:cs="Palatino Linotype"/>
          <w:i/>
          <w:sz w:val="2"/>
          <w:szCs w:val="2"/>
        </w:rPr>
      </w:pPr>
    </w:p>
    <w:p w:rsidR="009A2CCD" w:rsidRPr="0072535F" w:rsidRDefault="009A2CCD">
      <w:pPr>
        <w:ind w:left="567" w:right="616"/>
        <w:jc w:val="both"/>
        <w:rPr>
          <w:rFonts w:ascii="Palatino Linotype" w:eastAsia="Palatino Linotype" w:hAnsi="Palatino Linotype" w:cs="Palatino Linotype"/>
          <w:b/>
          <w:i/>
        </w:rPr>
      </w:pPr>
    </w:p>
    <w:p w:rsidR="009A2CCD" w:rsidRPr="0072535F" w:rsidRDefault="009A2CCD">
      <w:pPr>
        <w:ind w:left="567" w:right="616"/>
        <w:jc w:val="both"/>
        <w:rPr>
          <w:rFonts w:ascii="Palatino Linotype" w:eastAsia="Palatino Linotype" w:hAnsi="Palatino Linotype" w:cs="Palatino Linotype"/>
          <w:b/>
          <w:i/>
        </w:rPr>
      </w:pPr>
    </w:p>
    <w:p w:rsidR="009A2CCD" w:rsidRPr="0072535F" w:rsidRDefault="00860E18">
      <w:pPr>
        <w:ind w:left="567" w:right="616"/>
        <w:jc w:val="both"/>
        <w:rPr>
          <w:rFonts w:ascii="Palatino Linotype" w:eastAsia="Palatino Linotype" w:hAnsi="Palatino Linotype" w:cs="Palatino Linotype"/>
          <w:b/>
          <w:i/>
        </w:rPr>
      </w:pPr>
      <w:r w:rsidRPr="0072535F">
        <w:rPr>
          <w:rFonts w:ascii="Palatino Linotype" w:eastAsia="Palatino Linotype" w:hAnsi="Palatino Linotype" w:cs="Palatino Linotype"/>
          <w:b/>
          <w:i/>
        </w:rPr>
        <w:t>“Criterio 02/2003.</w:t>
      </w:r>
    </w:p>
    <w:p w:rsidR="009A2CCD" w:rsidRPr="0072535F" w:rsidRDefault="00860E18">
      <w:pPr>
        <w:ind w:left="567" w:right="616"/>
        <w:jc w:val="both"/>
        <w:rPr>
          <w:rFonts w:ascii="Palatino Linotype" w:eastAsia="Palatino Linotype" w:hAnsi="Palatino Linotype" w:cs="Palatino Linotype"/>
          <w:i/>
        </w:rPr>
      </w:pPr>
      <w:r w:rsidRPr="0072535F">
        <w:rPr>
          <w:rFonts w:ascii="Palatino Linotype" w:eastAsia="Palatino Linotype" w:hAnsi="Palatino Linotype" w:cs="Palatino Linotype"/>
          <w:b/>
          <w:i/>
          <w:u w:val="single"/>
        </w:rPr>
        <w:t>INGRESOS DE LOS SERVIDORES PÚBLICOS, SON INFORMACIÓN PÚBLICA AÚN Y CUANDO CONSTITUYEN DATOS PERSONALES</w:t>
      </w:r>
      <w:r w:rsidRPr="0072535F">
        <w:rPr>
          <w:rFonts w:ascii="Palatino Linotype" w:eastAsia="Palatino Linotype" w:hAnsi="Palatino Linotype" w:cs="Palatino Linotype"/>
          <w:b/>
          <w:i/>
        </w:rPr>
        <w:t xml:space="preserve"> QUE SE REFIEREN AL PATRIMONIO DE AQUÉLLOS.</w:t>
      </w:r>
      <w:r w:rsidRPr="0072535F">
        <w:rPr>
          <w:rFonts w:ascii="Palatino Linotype" w:eastAsia="Palatino Linotype" w:hAnsi="Palatino Linotype" w:cs="Palatino Linotype"/>
          <w:i/>
        </w:rPr>
        <w:t xml:space="preserve"> De la interpretación sistemática de lo previsto en los artículos 3º, fracción II; 7º, 9º y 18, fracción II, de la Ley Federal de Transparencia y Acceso a la Información Pública Gubernamental </w:t>
      </w:r>
      <w:r w:rsidRPr="0072535F">
        <w:rPr>
          <w:rFonts w:ascii="Palatino Linotype" w:eastAsia="Palatino Linotype" w:hAnsi="Palatino Linotype" w:cs="Palatino Linotype"/>
          <w:i/>
          <w:u w:val="single"/>
        </w:rPr>
        <w:t>se advierte que no constituye información confidencial la relativa a los ingresos que reciben los servidores públicos, ya que aun y cuando se trata de datos personales relativos a su patrimonio</w:t>
      </w:r>
      <w:r w:rsidRPr="0072535F">
        <w:rPr>
          <w:rFonts w:ascii="Palatino Linotype" w:eastAsia="Palatino Linotype" w:hAnsi="Palatino Linotype" w:cs="Palatino Linotype"/>
          <w:i/>
        </w:rPr>
        <w:t xml:space="preserve">, para su difusión no se requiere consentimiento de aquellos, </w:t>
      </w:r>
      <w:r w:rsidRPr="0072535F">
        <w:rPr>
          <w:rFonts w:ascii="Palatino Linotype" w:eastAsia="Palatino Linotype" w:hAnsi="Palatino Linotype" w:cs="Palatino Linotype"/>
          <w:b/>
          <w:i/>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72535F">
        <w:rPr>
          <w:rFonts w:ascii="Palatino Linotype" w:eastAsia="Palatino Linotype" w:hAnsi="Palatino Linotype" w:cs="Palatino Linotype"/>
          <w:i/>
        </w:rPr>
        <w:t xml:space="preserve"> el sistema de compensación…” (sic)</w:t>
      </w:r>
    </w:p>
    <w:p w:rsidR="009A2CCD" w:rsidRPr="0072535F" w:rsidRDefault="009A2CCD">
      <w:pPr>
        <w:pBdr>
          <w:top w:val="nil"/>
          <w:left w:val="nil"/>
          <w:bottom w:val="nil"/>
          <w:right w:val="nil"/>
          <w:between w:val="nil"/>
        </w:pBdr>
        <w:spacing w:line="360" w:lineRule="auto"/>
        <w:jc w:val="both"/>
        <w:rPr>
          <w:rFonts w:ascii="Palatino Linotype" w:eastAsia="Palatino Linotype" w:hAnsi="Palatino Linotype" w:cs="Palatino Linotype"/>
        </w:rPr>
      </w:pPr>
    </w:p>
    <w:p w:rsidR="009A2CCD" w:rsidRPr="0072535F" w:rsidRDefault="00860E18">
      <w:pPr>
        <w:spacing w:line="360" w:lineRule="auto"/>
        <w:ind w:right="-93"/>
        <w:jc w:val="both"/>
        <w:rPr>
          <w:rFonts w:ascii="Palatino Linotype" w:eastAsia="Palatino Linotype" w:hAnsi="Palatino Linotype" w:cs="Palatino Linotype"/>
        </w:rPr>
      </w:pPr>
      <w:r w:rsidRPr="0072535F">
        <w:rPr>
          <w:rFonts w:ascii="Palatino Linotype" w:eastAsia="Palatino Linotype" w:hAnsi="Palatino Linotype" w:cs="Palatino Linotype"/>
        </w:rPr>
        <w:lastRenderedPageBreak/>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9A2CCD" w:rsidRPr="0072535F" w:rsidRDefault="009A2CCD">
      <w:pPr>
        <w:spacing w:line="360" w:lineRule="auto"/>
        <w:ind w:right="-93"/>
        <w:jc w:val="both"/>
        <w:rPr>
          <w:rFonts w:ascii="Palatino Linotype" w:eastAsia="Palatino Linotype" w:hAnsi="Palatino Linotype" w:cs="Palatino Linotype"/>
        </w:rPr>
      </w:pPr>
    </w:p>
    <w:p w:rsidR="009A2CCD" w:rsidRPr="0072535F" w:rsidRDefault="00860E18">
      <w:pPr>
        <w:pBdr>
          <w:top w:val="nil"/>
          <w:left w:val="nil"/>
          <w:bottom w:val="nil"/>
          <w:right w:val="nil"/>
          <w:between w:val="nil"/>
        </w:pBdr>
        <w:spacing w:line="360" w:lineRule="auto"/>
        <w:ind w:right="-93"/>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 A mayor abundamiento, cabe señalar que el artículo 92 de la Ley en la materia dispone en las fracciones VII y VIII, lo siguiente: </w:t>
      </w:r>
    </w:p>
    <w:p w:rsidR="009A2CCD" w:rsidRPr="0072535F" w:rsidRDefault="009A2CCD">
      <w:pPr>
        <w:pBdr>
          <w:top w:val="nil"/>
          <w:left w:val="nil"/>
          <w:bottom w:val="nil"/>
          <w:right w:val="nil"/>
          <w:between w:val="nil"/>
        </w:pBdr>
        <w:spacing w:line="360" w:lineRule="auto"/>
        <w:ind w:right="-93"/>
        <w:jc w:val="both"/>
        <w:rPr>
          <w:rFonts w:ascii="Palatino Linotype" w:eastAsia="Palatino Linotype" w:hAnsi="Palatino Linotype" w:cs="Palatino Linotype"/>
        </w:rPr>
      </w:pPr>
    </w:p>
    <w:p w:rsidR="009A2CCD" w:rsidRPr="0072535F" w:rsidRDefault="00860E1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“Artículo 92.</w:t>
      </w:r>
      <w:r w:rsidRPr="0072535F">
        <w:rPr>
          <w:rFonts w:ascii="Palatino Linotype" w:eastAsia="Palatino Linotype" w:hAnsi="Palatino Linotype" w:cs="Palatino Linotype"/>
          <w:i/>
          <w:sz w:val="22"/>
          <w:szCs w:val="22"/>
        </w:rPr>
        <w:t xml:space="preserve"> Los sujetos obligados deberán poner a disposición del público de </w:t>
      </w:r>
      <w:r w:rsidRPr="0072535F">
        <w:rPr>
          <w:rFonts w:ascii="Palatino Linotype" w:eastAsia="Palatino Linotype" w:hAnsi="Palatino Linotype" w:cs="Palatino Linotype"/>
          <w:b/>
          <w:i/>
          <w:sz w:val="22"/>
          <w:szCs w:val="22"/>
          <w:u w:val="single"/>
        </w:rPr>
        <w:t>manera permanente y actualizada</w:t>
      </w:r>
      <w:r w:rsidRPr="0072535F">
        <w:rPr>
          <w:rFonts w:ascii="Palatino Linotype" w:eastAsia="Palatino Linotype" w:hAnsi="Palatino Linotype" w:cs="Palatino Linotype"/>
          <w:i/>
          <w:sz w:val="22"/>
          <w:szCs w:val="22"/>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A2CCD" w:rsidRPr="0072535F" w:rsidRDefault="00860E1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w:t>
      </w:r>
    </w:p>
    <w:p w:rsidR="009A2CCD" w:rsidRPr="0072535F" w:rsidRDefault="00860E1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 xml:space="preserve">VII. </w:t>
      </w:r>
      <w:r w:rsidRPr="0072535F">
        <w:rPr>
          <w:rFonts w:ascii="Palatino Linotype" w:eastAsia="Palatino Linotype" w:hAnsi="Palatino Linotype" w:cs="Palatino Linotype"/>
          <w:b/>
          <w:i/>
          <w:sz w:val="22"/>
          <w:szCs w:val="22"/>
          <w:u w:val="single"/>
        </w:rPr>
        <w:t>El directorio de todos los servidores públicos</w:t>
      </w:r>
      <w:r w:rsidRPr="0072535F">
        <w:rPr>
          <w:rFonts w:ascii="Palatino Linotype" w:eastAsia="Palatino Linotype" w:hAnsi="Palatino Linotype" w:cs="Palatino Linotype"/>
          <w:i/>
          <w:sz w:val="22"/>
          <w:szCs w:val="22"/>
        </w:rPr>
        <w:t>,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rsidR="009A2CCD" w:rsidRPr="0072535F" w:rsidRDefault="009A2CC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rsidR="009A2CCD" w:rsidRPr="0072535F" w:rsidRDefault="00860E1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lastRenderedPageBreak/>
        <w:t xml:space="preserve">El directorio deberá incluir, al menos el nombre, </w:t>
      </w:r>
      <w:r w:rsidRPr="0072535F">
        <w:rPr>
          <w:rFonts w:ascii="Palatino Linotype" w:eastAsia="Palatino Linotype" w:hAnsi="Palatino Linotype" w:cs="Palatino Linotype"/>
          <w:b/>
          <w:i/>
          <w:sz w:val="22"/>
          <w:szCs w:val="22"/>
          <w:u w:val="single"/>
        </w:rPr>
        <w:t>cargo o nombramiento oficial asignado</w:t>
      </w:r>
      <w:r w:rsidRPr="0072535F">
        <w:rPr>
          <w:rFonts w:ascii="Palatino Linotype" w:eastAsia="Palatino Linotype" w:hAnsi="Palatino Linotype" w:cs="Palatino Linotype"/>
          <w:i/>
          <w:sz w:val="22"/>
          <w:szCs w:val="22"/>
        </w:rPr>
        <w:t>,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rsidR="009A2CCD" w:rsidRPr="0072535F" w:rsidRDefault="009A2CC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rsidR="009A2CCD" w:rsidRPr="0072535F" w:rsidRDefault="00860E1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VIII</w:t>
      </w:r>
      <w:r w:rsidRPr="0072535F">
        <w:rPr>
          <w:rFonts w:ascii="Palatino Linotype" w:eastAsia="Palatino Linotype" w:hAnsi="Palatino Linotype" w:cs="Palatino Linotype"/>
          <w:b/>
          <w:i/>
          <w:sz w:val="22"/>
          <w:szCs w:val="22"/>
          <w:u w:val="single"/>
        </w:rPr>
        <w:t>. La remuneración bruta y neta de todos los servidores públicos</w:t>
      </w:r>
      <w:r w:rsidRPr="0072535F">
        <w:rPr>
          <w:rFonts w:ascii="Palatino Linotype" w:eastAsia="Palatino Linotype" w:hAnsi="Palatino Linotype" w:cs="Palatino Linotype"/>
          <w:i/>
          <w:sz w:val="22"/>
          <w:szCs w:val="22"/>
        </w:rPr>
        <w:t xml:space="preserve"> de base o de confianza, de todas las percepciones, incluyendo sueldos, prestaciones, gratificaciones, primas, comisiones, dietas, bonos, estímulos, ingresos y sistemas de compensación, señalando la periodicidad de dicha remuneración;</w:t>
      </w:r>
    </w:p>
    <w:p w:rsidR="009A2CCD" w:rsidRPr="0072535F" w:rsidRDefault="00860E18">
      <w:pPr>
        <w:spacing w:before="240" w:after="240" w:line="360" w:lineRule="auto"/>
        <w:ind w:right="49"/>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Es así que, en atención a las consideraciones señaladas tanto el cargo como las remuneraciones de los servidores públicos, constituyen una obligación de transparencia común y; por lo tanto, es deber del </w:t>
      </w:r>
      <w:r w:rsidRPr="0072535F">
        <w:rPr>
          <w:rFonts w:ascii="Palatino Linotype" w:eastAsia="Palatino Linotype" w:hAnsi="Palatino Linotype" w:cs="Palatino Linotype"/>
          <w:b/>
        </w:rPr>
        <w:t xml:space="preserve">SUJETO OBLIGADO </w:t>
      </w:r>
      <w:r w:rsidRPr="0072535F">
        <w:rPr>
          <w:rFonts w:ascii="Palatino Linotype" w:eastAsia="Palatino Linotype" w:hAnsi="Palatino Linotype" w:cs="Palatino Linotype"/>
        </w:rPr>
        <w:t xml:space="preserve">poner a disposición del público de manera permanente y actualizada la información solicitada. </w:t>
      </w:r>
    </w:p>
    <w:p w:rsidR="009A2CCD" w:rsidRPr="0072535F" w:rsidRDefault="00860E18">
      <w:pPr>
        <w:spacing w:before="240" w:after="240" w:line="360" w:lineRule="auto"/>
        <w:ind w:right="49"/>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Cabe precisar que por cuanto hace a la entrega del cargo y remuneraciones de los servidores públicos con funciones operativas adscritos a la Agencia del Ministerio Público de Huehuetoca, no es susceptible de clasificar como información reservada, ya que al ordenar la clasificación del nombre, no haría identificable al servidor público y por  lo tanto no se actualizaría la causal de reserva prevista en la fracción IV del artículo 140 de la Ley de Transparencia de la entidad. </w:t>
      </w:r>
    </w:p>
    <w:p w:rsidR="009A2CCD" w:rsidRPr="0072535F" w:rsidRDefault="00860E18">
      <w:pPr>
        <w:spacing w:before="240" w:after="240" w:line="360" w:lineRule="auto"/>
        <w:ind w:right="49"/>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Ahora por lo que se refiere al personal administrativo deberá hacer entrega del nombre, cargo y sueldo solicitados. </w:t>
      </w:r>
    </w:p>
    <w:p w:rsidR="009A2CCD" w:rsidRPr="0072535F" w:rsidRDefault="00860E18">
      <w:pPr>
        <w:spacing w:before="240" w:after="240" w:line="360" w:lineRule="auto"/>
        <w:ind w:right="49"/>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En este entendido, el Pleno de este Instituto determina dable ordenar la entrega, del  el cargo y sueldo del personal adscrito a la Agencia del Ministerio Público de </w:t>
      </w:r>
      <w:r w:rsidRPr="0072535F">
        <w:rPr>
          <w:rFonts w:ascii="Palatino Linotype" w:eastAsia="Palatino Linotype" w:hAnsi="Palatino Linotype" w:cs="Palatino Linotype"/>
        </w:rPr>
        <w:lastRenderedPageBreak/>
        <w:t xml:space="preserve">Huehuetoca, en versión pública en términos del Considerando Quinto de la presente resolución. </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Finalmente, por cuanto hace a la manifestación realizada por el particular en las razones o motivos de inconformidad relativas a:</w:t>
      </w:r>
      <w:r w:rsidRPr="0072535F">
        <w:t xml:space="preserve"> “…</w:t>
      </w:r>
      <w:r w:rsidRPr="0072535F">
        <w:rPr>
          <w:rFonts w:ascii="Palatino Linotype" w:eastAsia="Palatino Linotype" w:hAnsi="Palatino Linotype" w:cs="Palatino Linotype"/>
          <w:i/>
        </w:rPr>
        <w:t>QUIERO SABER QUE PUESTO Y CARGO OCUPA UNA PERSONA QUE RESPONDE AL NOMBRE DE LUIS ENRIQUE AGUILAR ROQUE O LUIS EDUARDO AGUILAR ROQUE YA QUE ESTA PERSONA PRESUNTAMENTE DICE SER AGENTE DEL MINISTERIO PUBLICO DE HUEHUETOCA Y ME SURGE LA INQUIETUD PORQUE NO ES UNA PERSONA TITULADA, ESE ES EL MOTIVO PRINCIPAL</w:t>
      </w:r>
      <w:r w:rsidRPr="0072535F">
        <w:rPr>
          <w:rFonts w:ascii="Palatino Linotype" w:eastAsia="Palatino Linotype" w:hAnsi="Palatino Linotype" w:cs="Palatino Linotype"/>
        </w:rPr>
        <w:t xml:space="preserve">.” cabe señalar que de la confronta a la solicitud de información y el acto impugnado y las razones o motivos de inconformidad, dichos documentos no fueron solicitados, como se desprende del antecedente marcado con el numeral 1 de la presente resolución, por lo que constituyen en su totalidad nuevos requerimientos de información, configurándose así lo que se conoce como </w:t>
      </w:r>
      <w:r w:rsidRPr="0072535F">
        <w:rPr>
          <w:rFonts w:ascii="Palatino Linotype" w:eastAsia="Palatino Linotype" w:hAnsi="Palatino Linotype" w:cs="Palatino Linotype"/>
          <w:i/>
        </w:rPr>
        <w:t>plus petitio</w:t>
      </w:r>
      <w:r w:rsidRPr="0072535F">
        <w:rPr>
          <w:rFonts w:ascii="Palatino Linotype" w:eastAsia="Palatino Linotype" w:hAnsi="Palatino Linotype" w:cs="Palatino Linotype"/>
          <w:b/>
          <w:i/>
        </w:rPr>
        <w:t xml:space="preserve">, </w:t>
      </w:r>
      <w:r w:rsidRPr="0072535F">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Recurrente amplíe su solicitud en el Recurso de Revisión, </w:t>
      </w:r>
      <w:r w:rsidRPr="0072535F">
        <w:rPr>
          <w:rFonts w:ascii="Palatino Linotype" w:eastAsia="Palatino Linotype" w:hAnsi="Palatino Linotype" w:cs="Palatino Linotype"/>
          <w:b/>
          <w:u w:val="single"/>
        </w:rPr>
        <w:t xml:space="preserve">únicamente respecto de los nuevos contenidos; </w:t>
      </w:r>
      <w:r w:rsidRPr="0072535F">
        <w:rPr>
          <w:rFonts w:ascii="Palatino Linotype" w:eastAsia="Palatino Linotype" w:hAnsi="Palatino Linotype" w:cs="Palatino Linotype"/>
        </w:rPr>
        <w:t xml:space="preserve">cuestión que tuvo lugar en el presente caso, pues la parte </w:t>
      </w:r>
      <w:r w:rsidRPr="0072535F">
        <w:rPr>
          <w:rFonts w:ascii="Palatino Linotype" w:eastAsia="Palatino Linotype" w:hAnsi="Palatino Linotype" w:cs="Palatino Linotype"/>
          <w:b/>
        </w:rPr>
        <w:t>RECURRENTE</w:t>
      </w:r>
      <w:r w:rsidRPr="0072535F">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lastRenderedPageBreak/>
        <w:t>En este tenor, es posible determinar que para el caso que nos ocupa, el puesto y cargo de una persona en específico, es una ampliación a la solicitud inicial y corresponden a nuevos requerimientos de información; por lo que, una vez formulada su solicitud inicial,</w:t>
      </w:r>
      <w:r w:rsidRPr="0072535F">
        <w:rPr>
          <w:rFonts w:ascii="Palatino Linotype" w:eastAsia="Palatino Linotype" w:hAnsi="Palatino Linotype" w:cs="Palatino Linotype"/>
          <w:i/>
        </w:rPr>
        <w:t xml:space="preserve"> </w:t>
      </w:r>
      <w:r w:rsidRPr="0072535F">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rsidR="009A2CCD" w:rsidRPr="0072535F" w:rsidRDefault="00860E1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rsidR="009A2CCD" w:rsidRPr="0072535F" w:rsidRDefault="00860E18">
      <w:pPr>
        <w:spacing w:before="240" w:after="240"/>
        <w:ind w:left="851" w:right="900"/>
        <w:jc w:val="both"/>
        <w:rPr>
          <w:rFonts w:ascii="Palatino Linotype" w:eastAsia="Palatino Linotype" w:hAnsi="Palatino Linotype" w:cs="Palatino Linotype"/>
        </w:rPr>
      </w:pPr>
      <w:r w:rsidRPr="0072535F">
        <w:rPr>
          <w:rFonts w:ascii="Palatino Linotype" w:eastAsia="Palatino Linotype" w:hAnsi="Palatino Linotype" w:cs="Palatino Linotype"/>
          <w:i/>
          <w:sz w:val="22"/>
          <w:szCs w:val="22"/>
        </w:rPr>
        <w:t>“</w:t>
      </w:r>
      <w:r w:rsidRPr="0072535F">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72535F">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72535F">
        <w:rPr>
          <w:rFonts w:ascii="Palatino Linotype" w:eastAsia="Palatino Linotype" w:hAnsi="Palatino Linotype" w:cs="Palatino Linotype"/>
          <w:b/>
          <w:i/>
          <w:sz w:val="22"/>
          <w:szCs w:val="22"/>
        </w:rPr>
        <w:t>.</w:t>
      </w:r>
      <w:r w:rsidRPr="0072535F">
        <w:rPr>
          <w:rFonts w:ascii="Palatino Linotype" w:eastAsia="Palatino Linotype" w:hAnsi="Palatino Linotype" w:cs="Palatino Linotype"/>
          <w:i/>
          <w:sz w:val="22"/>
          <w:szCs w:val="22"/>
        </w:rPr>
        <w:t>”</w:t>
      </w:r>
    </w:p>
    <w:p w:rsidR="009A2CCD" w:rsidRPr="0072535F" w:rsidRDefault="009A2CCD">
      <w:pPr>
        <w:spacing w:before="240" w:after="240" w:line="360" w:lineRule="auto"/>
        <w:jc w:val="both"/>
        <w:rPr>
          <w:rFonts w:ascii="Palatino Linotype" w:eastAsia="Palatino Linotype" w:hAnsi="Palatino Linotype" w:cs="Palatino Linotype"/>
          <w:b/>
        </w:rPr>
      </w:pP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b/>
        </w:rPr>
        <w:t xml:space="preserve">QUINTO. Versión Pública. </w:t>
      </w:r>
      <w:r w:rsidRPr="0072535F">
        <w:rPr>
          <w:rFonts w:ascii="Palatino Linotype" w:eastAsia="Palatino Linotype" w:hAnsi="Palatino Linotype" w:cs="Palatino Linotype"/>
        </w:rPr>
        <w:t>Cómo fue debidamente apuntado, el Sujeto Obligado debe satisfacer la solicitud de acceso a la información; sin embargo, en caso de que la misma contenga datos personales, deberá clasificarlos, observando las formalidades siguientes:</w:t>
      </w:r>
    </w:p>
    <w:p w:rsidR="009A2CCD" w:rsidRPr="0072535F" w:rsidRDefault="00860E18">
      <w:pPr>
        <w:spacing w:before="240" w:after="240" w:line="360" w:lineRule="auto"/>
        <w:ind w:right="49"/>
        <w:jc w:val="both"/>
        <w:rPr>
          <w:rFonts w:ascii="Palatino Linotype" w:eastAsia="Palatino Linotype" w:hAnsi="Palatino Linotype" w:cs="Palatino Linotype"/>
        </w:rPr>
      </w:pPr>
      <w:r w:rsidRPr="0072535F">
        <w:rPr>
          <w:rFonts w:ascii="Palatino Linotype" w:eastAsia="Palatino Linotype" w:hAnsi="Palatino Linotype" w:cs="Palatino Linotype"/>
        </w:rPr>
        <w:lastRenderedPageBreak/>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9A2CCD" w:rsidRPr="0072535F" w:rsidRDefault="00860E18">
      <w:pPr>
        <w:spacing w:before="240" w:after="240" w:line="360" w:lineRule="auto"/>
        <w:ind w:right="51"/>
        <w:jc w:val="both"/>
        <w:rPr>
          <w:rFonts w:ascii="Palatino Linotype" w:eastAsia="Palatino Linotype" w:hAnsi="Palatino Linotype" w:cs="Palatino Linotype"/>
        </w:rPr>
      </w:pPr>
      <w:r w:rsidRPr="0072535F">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9A2CCD" w:rsidRPr="0072535F" w:rsidRDefault="00860E18">
      <w:pPr>
        <w:spacing w:before="240" w:after="240" w:line="360" w:lineRule="auto"/>
        <w:ind w:right="51"/>
        <w:jc w:val="both"/>
        <w:rPr>
          <w:rFonts w:ascii="Palatino Linotype" w:eastAsia="Palatino Linotype" w:hAnsi="Palatino Linotype" w:cs="Palatino Linotype"/>
        </w:rPr>
      </w:pPr>
      <w:r w:rsidRPr="0072535F">
        <w:rPr>
          <w:rFonts w:ascii="Palatino Linotype" w:eastAsia="Palatino Linotype" w:hAnsi="Palatino Linotype" w:cs="Palatino Linotype"/>
        </w:rPr>
        <w:t>Al respecto, los artículos 3 fracciones IX, XX, XXI, XXXII y XLV; 6, 49 fracción VIII, 91, 137, 143 Fracción I, de la Ley de Transparencia y Acceso a la Información Pública del Estado de México y Municipios vigente establecen:</w:t>
      </w:r>
    </w:p>
    <w:p w:rsidR="009A2CCD" w:rsidRPr="0072535F" w:rsidRDefault="00860E18">
      <w:pPr>
        <w:spacing w:before="240" w:after="240"/>
        <w:ind w:left="851" w:right="851"/>
        <w:jc w:val="both"/>
        <w:rPr>
          <w:rFonts w:ascii="Palatino Linotype" w:eastAsia="Palatino Linotype" w:hAnsi="Palatino Linotype" w:cs="Palatino Linotype"/>
          <w:sz w:val="22"/>
          <w:szCs w:val="22"/>
        </w:rPr>
      </w:pPr>
      <w:r w:rsidRPr="0072535F">
        <w:rPr>
          <w:rFonts w:ascii="Palatino Linotype" w:eastAsia="Palatino Linotype" w:hAnsi="Palatino Linotype" w:cs="Palatino Linotype"/>
          <w:b/>
          <w:i/>
          <w:sz w:val="22"/>
          <w:szCs w:val="22"/>
        </w:rPr>
        <w:t> “Artículo 3. Para los efectos de la presente Ley se entenderá por:</w:t>
      </w:r>
    </w:p>
    <w:p w:rsidR="009A2CCD" w:rsidRPr="0072535F" w:rsidRDefault="00860E18">
      <w:pPr>
        <w:spacing w:before="240" w:after="240"/>
        <w:ind w:left="851" w:right="851"/>
        <w:jc w:val="both"/>
        <w:rPr>
          <w:rFonts w:ascii="Palatino Linotype" w:eastAsia="Palatino Linotype" w:hAnsi="Palatino Linotype" w:cs="Palatino Linotype"/>
          <w:sz w:val="22"/>
          <w:szCs w:val="22"/>
        </w:rPr>
      </w:pPr>
      <w:r w:rsidRPr="0072535F">
        <w:rPr>
          <w:rFonts w:ascii="Palatino Linotype" w:eastAsia="Palatino Linotype" w:hAnsi="Palatino Linotype" w:cs="Palatino Linotype"/>
          <w:i/>
          <w:sz w:val="22"/>
          <w:szCs w:val="22"/>
        </w:rPr>
        <w:t>(…)</w:t>
      </w:r>
    </w:p>
    <w:p w:rsidR="009A2CCD" w:rsidRPr="0072535F" w:rsidRDefault="00860E18">
      <w:pPr>
        <w:spacing w:before="240" w:after="240"/>
        <w:ind w:left="851" w:right="851"/>
        <w:jc w:val="both"/>
        <w:rPr>
          <w:rFonts w:ascii="Palatino Linotype" w:eastAsia="Palatino Linotype" w:hAnsi="Palatino Linotype" w:cs="Palatino Linotype"/>
          <w:sz w:val="22"/>
          <w:szCs w:val="22"/>
        </w:rPr>
      </w:pPr>
      <w:r w:rsidRPr="0072535F">
        <w:rPr>
          <w:rFonts w:ascii="Palatino Linotype" w:eastAsia="Palatino Linotype" w:hAnsi="Palatino Linotype" w:cs="Palatino Linotype"/>
          <w:b/>
          <w:i/>
          <w:sz w:val="22"/>
          <w:szCs w:val="22"/>
        </w:rPr>
        <w:t>IX. Datos personales:</w:t>
      </w:r>
      <w:r w:rsidRPr="0072535F">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rsidR="009A2CCD" w:rsidRPr="0072535F" w:rsidRDefault="00860E18">
      <w:pPr>
        <w:spacing w:before="240" w:after="240"/>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w:t>
      </w:r>
    </w:p>
    <w:p w:rsidR="009A2CCD" w:rsidRPr="0072535F" w:rsidRDefault="00860E18">
      <w:pPr>
        <w:spacing w:before="240" w:after="240"/>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XX. Información clasificada:</w:t>
      </w:r>
      <w:r w:rsidRPr="0072535F">
        <w:rPr>
          <w:rFonts w:ascii="Palatino Linotype" w:eastAsia="Palatino Linotype" w:hAnsi="Palatino Linotype" w:cs="Palatino Linotype"/>
          <w:i/>
          <w:sz w:val="22"/>
          <w:szCs w:val="22"/>
        </w:rPr>
        <w:t> Aquella considerada por la presente Ley como reservada o confidencial;</w:t>
      </w:r>
    </w:p>
    <w:p w:rsidR="009A2CCD" w:rsidRPr="0072535F" w:rsidRDefault="00860E18">
      <w:pPr>
        <w:spacing w:before="240" w:after="240"/>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XXI. Información confidencial:</w:t>
      </w:r>
      <w:r w:rsidRPr="0072535F">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9A2CCD" w:rsidRPr="0072535F" w:rsidRDefault="00860E18">
      <w:pPr>
        <w:spacing w:before="240" w:after="240"/>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lastRenderedPageBreak/>
        <w:t>(…)</w:t>
      </w:r>
    </w:p>
    <w:p w:rsidR="009A2CCD" w:rsidRPr="0072535F" w:rsidRDefault="00860E18">
      <w:pPr>
        <w:spacing w:before="240" w:after="240"/>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XXXII. Protección de Datos Personales:</w:t>
      </w:r>
      <w:r w:rsidRPr="0072535F">
        <w:rPr>
          <w:rFonts w:ascii="Palatino Linotype" w:eastAsia="Palatino Linotype" w:hAnsi="Palatino Linotype" w:cs="Palatino Linotype"/>
          <w:i/>
          <w:sz w:val="22"/>
          <w:szCs w:val="22"/>
        </w:rPr>
        <w:t> Derecho humano que tutela la privacidad de datos personales en poder de los sujetos obligados y sujetos particulares;</w:t>
      </w:r>
    </w:p>
    <w:p w:rsidR="009A2CCD" w:rsidRPr="0072535F" w:rsidRDefault="00860E18">
      <w:pPr>
        <w:spacing w:before="240" w:after="240"/>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w:t>
      </w:r>
    </w:p>
    <w:p w:rsidR="009A2CCD" w:rsidRPr="0072535F" w:rsidRDefault="00860E18">
      <w:pPr>
        <w:spacing w:before="240" w:after="240"/>
        <w:ind w:left="851" w:right="851"/>
        <w:jc w:val="both"/>
        <w:rPr>
          <w:rFonts w:ascii="Palatino Linotype" w:eastAsia="Palatino Linotype" w:hAnsi="Palatino Linotype" w:cs="Palatino Linotype"/>
          <w:sz w:val="22"/>
          <w:szCs w:val="22"/>
        </w:rPr>
      </w:pPr>
      <w:r w:rsidRPr="0072535F">
        <w:rPr>
          <w:rFonts w:ascii="Palatino Linotype" w:eastAsia="Palatino Linotype" w:hAnsi="Palatino Linotype" w:cs="Palatino Linotype"/>
          <w:b/>
          <w:i/>
          <w:sz w:val="22"/>
          <w:szCs w:val="22"/>
        </w:rPr>
        <w:t>XLV. Versión pública</w:t>
      </w:r>
      <w:r w:rsidRPr="0072535F">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9A2CCD" w:rsidRPr="0072535F" w:rsidRDefault="00860E18">
      <w:pPr>
        <w:spacing w:before="240" w:after="240"/>
        <w:ind w:left="851" w:right="851"/>
        <w:jc w:val="both"/>
        <w:rPr>
          <w:rFonts w:ascii="Palatino Linotype" w:eastAsia="Palatino Linotype" w:hAnsi="Palatino Linotype" w:cs="Palatino Linotype"/>
          <w:sz w:val="22"/>
          <w:szCs w:val="22"/>
        </w:rPr>
      </w:pPr>
      <w:r w:rsidRPr="0072535F">
        <w:rPr>
          <w:rFonts w:ascii="Palatino Linotype" w:eastAsia="Palatino Linotype" w:hAnsi="Palatino Linotype" w:cs="Palatino Linotype"/>
          <w:b/>
          <w:i/>
          <w:sz w:val="22"/>
          <w:szCs w:val="22"/>
        </w:rPr>
        <w:t> Artículo 6.</w:t>
      </w:r>
      <w:r w:rsidRPr="0072535F">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9A2CCD" w:rsidRPr="0072535F" w:rsidRDefault="00860E18">
      <w:pPr>
        <w:spacing w:before="240" w:after="240"/>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 </w:t>
      </w:r>
      <w:r w:rsidRPr="0072535F">
        <w:rPr>
          <w:rFonts w:ascii="Palatino Linotype" w:eastAsia="Palatino Linotype" w:hAnsi="Palatino Linotype" w:cs="Palatino Linotype"/>
          <w:b/>
          <w:i/>
          <w:sz w:val="22"/>
          <w:szCs w:val="22"/>
        </w:rPr>
        <w:t>Artículo 49.</w:t>
      </w:r>
      <w:r w:rsidRPr="0072535F">
        <w:rPr>
          <w:rFonts w:ascii="Palatino Linotype" w:eastAsia="Palatino Linotype" w:hAnsi="Palatino Linotype" w:cs="Palatino Linotype"/>
          <w:i/>
          <w:sz w:val="22"/>
          <w:szCs w:val="22"/>
        </w:rPr>
        <w:t> Los Comités de Transparencia tendrán las siguientes atribuciones:</w:t>
      </w:r>
    </w:p>
    <w:p w:rsidR="009A2CCD" w:rsidRPr="0072535F" w:rsidRDefault="00860E18">
      <w:pPr>
        <w:spacing w:before="240" w:after="240"/>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w:t>
      </w:r>
    </w:p>
    <w:p w:rsidR="009A2CCD" w:rsidRPr="0072535F" w:rsidRDefault="00860E18">
      <w:pPr>
        <w:spacing w:before="240" w:after="240"/>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VIII</w:t>
      </w:r>
      <w:r w:rsidRPr="0072535F">
        <w:rPr>
          <w:rFonts w:ascii="Palatino Linotype" w:eastAsia="Palatino Linotype" w:hAnsi="Palatino Linotype" w:cs="Palatino Linotype"/>
          <w:i/>
          <w:sz w:val="22"/>
          <w:szCs w:val="22"/>
        </w:rPr>
        <w:t>. Aprobar, modificar o revocar la clasificación de la información;</w:t>
      </w:r>
    </w:p>
    <w:p w:rsidR="009A2CCD" w:rsidRPr="0072535F" w:rsidRDefault="00860E18">
      <w:pPr>
        <w:spacing w:before="240" w:after="240"/>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w:t>
      </w:r>
    </w:p>
    <w:p w:rsidR="009A2CCD" w:rsidRPr="0072535F" w:rsidRDefault="00860E18">
      <w:pPr>
        <w:spacing w:before="240" w:after="240"/>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 xml:space="preserve">Artículo 91. </w:t>
      </w:r>
      <w:r w:rsidRPr="0072535F">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9A2CCD" w:rsidRPr="0072535F" w:rsidRDefault="00860E18">
      <w:pPr>
        <w:spacing w:before="240" w:after="240"/>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w:t>
      </w:r>
    </w:p>
    <w:p w:rsidR="009A2CCD" w:rsidRPr="0072535F" w:rsidRDefault="00860E18">
      <w:pPr>
        <w:spacing w:before="240" w:after="240"/>
        <w:ind w:left="851" w:right="851"/>
        <w:jc w:val="both"/>
        <w:rPr>
          <w:rFonts w:ascii="Palatino Linotype" w:eastAsia="Palatino Linotype" w:hAnsi="Palatino Linotype" w:cs="Palatino Linotype"/>
          <w:sz w:val="22"/>
          <w:szCs w:val="22"/>
        </w:rPr>
      </w:pPr>
      <w:r w:rsidRPr="0072535F">
        <w:rPr>
          <w:rFonts w:ascii="Palatino Linotype" w:eastAsia="Palatino Linotype" w:hAnsi="Palatino Linotype" w:cs="Palatino Linotype"/>
          <w:b/>
          <w:i/>
          <w:sz w:val="22"/>
          <w:szCs w:val="22"/>
        </w:rPr>
        <w:t>Artículo 137</w:t>
      </w:r>
      <w:r w:rsidRPr="0072535F">
        <w:rPr>
          <w:rFonts w:ascii="Palatino Linotype" w:eastAsia="Palatino Linotype" w:hAnsi="Palatino Linotype" w:cs="Palatino Linotype"/>
          <w:i/>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9A2CCD" w:rsidRPr="0072535F" w:rsidRDefault="009A2CCD">
      <w:pPr>
        <w:spacing w:before="240" w:after="240"/>
        <w:ind w:left="851" w:right="851"/>
        <w:jc w:val="both"/>
        <w:rPr>
          <w:rFonts w:ascii="Palatino Linotype" w:eastAsia="Palatino Linotype" w:hAnsi="Palatino Linotype" w:cs="Palatino Linotype"/>
          <w:b/>
          <w:i/>
          <w:sz w:val="22"/>
          <w:szCs w:val="22"/>
        </w:rPr>
      </w:pPr>
    </w:p>
    <w:p w:rsidR="009A2CCD" w:rsidRPr="0072535F" w:rsidRDefault="00860E18">
      <w:pPr>
        <w:spacing w:before="240" w:after="240"/>
        <w:ind w:left="851" w:right="851"/>
        <w:jc w:val="both"/>
        <w:rPr>
          <w:rFonts w:ascii="Palatino Linotype" w:eastAsia="Palatino Linotype" w:hAnsi="Palatino Linotype" w:cs="Palatino Linotype"/>
          <w:sz w:val="22"/>
          <w:szCs w:val="22"/>
        </w:rPr>
      </w:pPr>
      <w:r w:rsidRPr="0072535F">
        <w:rPr>
          <w:rFonts w:ascii="Palatino Linotype" w:eastAsia="Palatino Linotype" w:hAnsi="Palatino Linotype" w:cs="Palatino Linotype"/>
          <w:b/>
          <w:i/>
          <w:sz w:val="22"/>
          <w:szCs w:val="22"/>
        </w:rPr>
        <w:lastRenderedPageBreak/>
        <w:t>Artículo 143</w:t>
      </w:r>
      <w:r w:rsidRPr="0072535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9A2CCD" w:rsidRPr="0072535F" w:rsidRDefault="00860E18">
      <w:pPr>
        <w:spacing w:before="240" w:after="240"/>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rsidR="009A2CCD" w:rsidRPr="0072535F" w:rsidRDefault="009A2CCD">
      <w:pPr>
        <w:spacing w:before="240" w:after="240"/>
        <w:ind w:left="851" w:right="851"/>
        <w:jc w:val="both"/>
        <w:rPr>
          <w:rFonts w:ascii="Palatino Linotype" w:eastAsia="Palatino Linotype" w:hAnsi="Palatino Linotype" w:cs="Palatino Linotype"/>
          <w:sz w:val="22"/>
          <w:szCs w:val="22"/>
        </w:rPr>
      </w:pPr>
    </w:p>
    <w:p w:rsidR="009A2CCD" w:rsidRPr="0072535F" w:rsidRDefault="00860E18">
      <w:pPr>
        <w:spacing w:before="240" w:after="240" w:line="360" w:lineRule="auto"/>
        <w:ind w:right="50"/>
        <w:jc w:val="both"/>
        <w:rPr>
          <w:rFonts w:ascii="Palatino Linotype" w:eastAsia="Palatino Linotype" w:hAnsi="Palatino Linotype" w:cs="Palatino Linotype"/>
        </w:rPr>
      </w:pPr>
      <w:r w:rsidRPr="0072535F">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9A2CCD" w:rsidRPr="0072535F" w:rsidRDefault="00860E18">
      <w:pPr>
        <w:spacing w:before="240" w:after="240" w:line="360" w:lineRule="auto"/>
        <w:ind w:right="50"/>
        <w:jc w:val="both"/>
        <w:rPr>
          <w:rFonts w:ascii="Palatino Linotype" w:eastAsia="Palatino Linotype" w:hAnsi="Palatino Linotype" w:cs="Palatino Linotype"/>
        </w:rPr>
      </w:pPr>
      <w:r w:rsidRPr="0072535F">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9A2CCD" w:rsidRPr="0072535F" w:rsidRDefault="00860E18">
      <w:pPr>
        <w:spacing w:before="240" w:after="240" w:line="360" w:lineRule="auto"/>
        <w:ind w:right="50"/>
        <w:jc w:val="both"/>
        <w:rPr>
          <w:rFonts w:ascii="Palatino Linotype" w:eastAsia="Palatino Linotype" w:hAnsi="Palatino Linotype" w:cs="Palatino Linotype"/>
        </w:rPr>
      </w:pPr>
      <w:r w:rsidRPr="0072535F">
        <w:rPr>
          <w:rFonts w:ascii="Palatino Linotype" w:eastAsia="Palatino Linotype" w:hAnsi="Palatino Linotype" w:cs="Palatino Linotype"/>
        </w:rPr>
        <w:lastRenderedPageBreak/>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9A2CCD" w:rsidRPr="0072535F" w:rsidRDefault="00860E18">
      <w:pPr>
        <w:spacing w:before="240" w:after="240"/>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“Artículo 49.</w:t>
      </w:r>
      <w:r w:rsidRPr="0072535F">
        <w:rPr>
          <w:rFonts w:ascii="Palatino Linotype" w:eastAsia="Palatino Linotype" w:hAnsi="Palatino Linotype" w:cs="Palatino Linotype"/>
          <w:i/>
          <w:sz w:val="22"/>
          <w:szCs w:val="22"/>
        </w:rPr>
        <w:t xml:space="preserve"> </w:t>
      </w:r>
      <w:r w:rsidRPr="0072535F">
        <w:rPr>
          <w:rFonts w:ascii="Palatino Linotype" w:eastAsia="Palatino Linotype" w:hAnsi="Palatino Linotype" w:cs="Palatino Linotype"/>
          <w:b/>
          <w:i/>
          <w:sz w:val="22"/>
          <w:szCs w:val="22"/>
        </w:rPr>
        <w:t>Los Comités de Transparencia</w:t>
      </w:r>
      <w:r w:rsidRPr="0072535F">
        <w:rPr>
          <w:rFonts w:ascii="Palatino Linotype" w:eastAsia="Palatino Linotype" w:hAnsi="Palatino Linotype" w:cs="Palatino Linotype"/>
          <w:i/>
          <w:sz w:val="22"/>
          <w:szCs w:val="22"/>
        </w:rPr>
        <w:t xml:space="preserve"> tendrán las siguientes atribuciones:</w:t>
      </w:r>
    </w:p>
    <w:p w:rsidR="009A2CCD" w:rsidRPr="0072535F" w:rsidRDefault="00860E18">
      <w:pPr>
        <w:spacing w:before="240" w:after="240"/>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VIII. Aprobar, modificar o revocar la clasificación de la información</w:t>
      </w:r>
      <w:r w:rsidRPr="0072535F">
        <w:rPr>
          <w:rFonts w:ascii="Palatino Linotype" w:eastAsia="Palatino Linotype" w:hAnsi="Palatino Linotype" w:cs="Palatino Linotype"/>
          <w:i/>
          <w:sz w:val="22"/>
          <w:szCs w:val="22"/>
        </w:rPr>
        <w:t>…”</w:t>
      </w:r>
    </w:p>
    <w:p w:rsidR="009A2CCD" w:rsidRPr="0072535F" w:rsidRDefault="00860E18">
      <w:pPr>
        <w:spacing w:before="240" w:after="240"/>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w:t>
      </w:r>
      <w:r w:rsidRPr="0072535F">
        <w:rPr>
          <w:rFonts w:ascii="Palatino Linotype" w:eastAsia="Palatino Linotype" w:hAnsi="Palatino Linotype" w:cs="Palatino Linotype"/>
          <w:b/>
          <w:i/>
          <w:sz w:val="22"/>
          <w:szCs w:val="22"/>
        </w:rPr>
        <w:t>Artículo 53.</w:t>
      </w:r>
      <w:r w:rsidRPr="0072535F">
        <w:rPr>
          <w:rFonts w:ascii="Palatino Linotype" w:eastAsia="Palatino Linotype" w:hAnsi="Palatino Linotype" w:cs="Palatino Linotype"/>
          <w:i/>
          <w:sz w:val="22"/>
          <w:szCs w:val="22"/>
        </w:rPr>
        <w:t xml:space="preserve"> Las </w:t>
      </w:r>
      <w:r w:rsidRPr="0072535F">
        <w:rPr>
          <w:rFonts w:ascii="Palatino Linotype" w:eastAsia="Palatino Linotype" w:hAnsi="Palatino Linotype" w:cs="Palatino Linotype"/>
          <w:b/>
          <w:i/>
          <w:sz w:val="22"/>
          <w:szCs w:val="22"/>
        </w:rPr>
        <w:t>Unidades de Transparencia</w:t>
      </w:r>
      <w:r w:rsidRPr="0072535F">
        <w:rPr>
          <w:rFonts w:ascii="Palatino Linotype" w:eastAsia="Palatino Linotype" w:hAnsi="Palatino Linotype" w:cs="Palatino Linotype"/>
          <w:i/>
          <w:sz w:val="22"/>
          <w:szCs w:val="22"/>
        </w:rPr>
        <w:t xml:space="preserve"> tendrán las siguientes </w:t>
      </w:r>
      <w:r w:rsidRPr="0072535F">
        <w:rPr>
          <w:rFonts w:ascii="Palatino Linotype" w:eastAsia="Palatino Linotype" w:hAnsi="Palatino Linotype" w:cs="Palatino Linotype"/>
          <w:b/>
          <w:i/>
          <w:sz w:val="22"/>
          <w:szCs w:val="22"/>
        </w:rPr>
        <w:t>funciones</w:t>
      </w:r>
      <w:r w:rsidRPr="0072535F">
        <w:rPr>
          <w:rFonts w:ascii="Palatino Linotype" w:eastAsia="Palatino Linotype" w:hAnsi="Palatino Linotype" w:cs="Palatino Linotype"/>
          <w:i/>
          <w:sz w:val="22"/>
          <w:szCs w:val="22"/>
        </w:rPr>
        <w:t>:</w:t>
      </w:r>
    </w:p>
    <w:p w:rsidR="009A2CCD" w:rsidRPr="0072535F" w:rsidRDefault="00860E18">
      <w:pPr>
        <w:spacing w:before="240" w:after="240"/>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X. Presentar ante el Comité, el proyecto de clasificación de información</w:t>
      </w:r>
      <w:r w:rsidRPr="0072535F">
        <w:rPr>
          <w:rFonts w:ascii="Palatino Linotype" w:eastAsia="Palatino Linotype" w:hAnsi="Palatino Linotype" w:cs="Palatino Linotype"/>
          <w:i/>
          <w:sz w:val="22"/>
          <w:szCs w:val="22"/>
        </w:rPr>
        <w:t xml:space="preserve">…” </w:t>
      </w:r>
    </w:p>
    <w:p w:rsidR="009A2CCD" w:rsidRPr="0072535F" w:rsidRDefault="00860E18">
      <w:pPr>
        <w:spacing w:before="240" w:after="240"/>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“Artículo 59.</w:t>
      </w:r>
      <w:r w:rsidRPr="0072535F">
        <w:rPr>
          <w:rFonts w:ascii="Palatino Linotype" w:eastAsia="Palatino Linotype" w:hAnsi="Palatino Linotype" w:cs="Palatino Linotype"/>
          <w:i/>
          <w:sz w:val="22"/>
          <w:szCs w:val="22"/>
        </w:rPr>
        <w:t xml:space="preserve"> Los </w:t>
      </w:r>
      <w:r w:rsidRPr="0072535F">
        <w:rPr>
          <w:rFonts w:ascii="Palatino Linotype" w:eastAsia="Palatino Linotype" w:hAnsi="Palatino Linotype" w:cs="Palatino Linotype"/>
          <w:b/>
          <w:i/>
          <w:sz w:val="22"/>
          <w:szCs w:val="22"/>
        </w:rPr>
        <w:t>servidores públicos habilitados</w:t>
      </w:r>
      <w:r w:rsidRPr="0072535F">
        <w:rPr>
          <w:rFonts w:ascii="Palatino Linotype" w:eastAsia="Palatino Linotype" w:hAnsi="Palatino Linotype" w:cs="Palatino Linotype"/>
          <w:i/>
          <w:sz w:val="22"/>
          <w:szCs w:val="22"/>
        </w:rPr>
        <w:t xml:space="preserve"> tendrán las </w:t>
      </w:r>
      <w:r w:rsidRPr="0072535F">
        <w:rPr>
          <w:rFonts w:ascii="Palatino Linotype" w:eastAsia="Palatino Linotype" w:hAnsi="Palatino Linotype" w:cs="Palatino Linotype"/>
          <w:b/>
          <w:i/>
          <w:sz w:val="22"/>
          <w:szCs w:val="22"/>
        </w:rPr>
        <w:t>funciones</w:t>
      </w:r>
      <w:r w:rsidRPr="0072535F">
        <w:rPr>
          <w:rFonts w:ascii="Palatino Linotype" w:eastAsia="Palatino Linotype" w:hAnsi="Palatino Linotype" w:cs="Palatino Linotype"/>
          <w:i/>
          <w:sz w:val="22"/>
          <w:szCs w:val="22"/>
        </w:rPr>
        <w:t xml:space="preserve"> siguientes:</w:t>
      </w:r>
    </w:p>
    <w:p w:rsidR="009A2CCD" w:rsidRPr="0072535F" w:rsidRDefault="00860E18">
      <w:pPr>
        <w:spacing w:before="240" w:after="240"/>
        <w:ind w:left="851" w:right="85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72535F">
        <w:rPr>
          <w:rFonts w:ascii="Palatino Linotype" w:eastAsia="Palatino Linotype" w:hAnsi="Palatino Linotype" w:cs="Palatino Linotype"/>
          <w:i/>
          <w:sz w:val="22"/>
          <w:szCs w:val="22"/>
        </w:rPr>
        <w:t>, la cual tendrá los fundamentos y argumentos en que se basa dicha propuesta…”</w:t>
      </w:r>
    </w:p>
    <w:p w:rsidR="009A2CCD" w:rsidRPr="0072535F" w:rsidRDefault="009A2CCD">
      <w:pPr>
        <w:spacing w:before="240" w:after="240"/>
        <w:ind w:left="851" w:right="851"/>
        <w:jc w:val="both"/>
        <w:rPr>
          <w:rFonts w:ascii="Palatino Linotype" w:eastAsia="Palatino Linotype" w:hAnsi="Palatino Linotype" w:cs="Palatino Linotype"/>
          <w:i/>
          <w:sz w:val="22"/>
          <w:szCs w:val="22"/>
        </w:rPr>
      </w:pP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w:t>
      </w:r>
      <w:r w:rsidRPr="0072535F">
        <w:rPr>
          <w:rFonts w:ascii="Palatino Linotype" w:eastAsia="Palatino Linotype" w:hAnsi="Palatino Linotype" w:cs="Palatino Linotype"/>
        </w:rPr>
        <w:lastRenderedPageBreak/>
        <w:t>de clasificación de la información y finalmente sea éste último quien apruebe, modifique o revoque la clasificación de la información solicitada.</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cuyo contenido es de la literalidad siguiente:</w:t>
      </w:r>
    </w:p>
    <w:p w:rsidR="009A2CCD" w:rsidRPr="0072535F" w:rsidRDefault="00860E18">
      <w:pPr>
        <w:spacing w:before="240" w:after="240"/>
        <w:ind w:left="993" w:right="1041"/>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w:t>
      </w:r>
      <w:r w:rsidRPr="0072535F">
        <w:rPr>
          <w:rFonts w:ascii="Palatino Linotype" w:eastAsia="Palatino Linotype" w:hAnsi="Palatino Linotype" w:cs="Palatino Linotype"/>
          <w:b/>
          <w:i/>
          <w:sz w:val="22"/>
          <w:szCs w:val="22"/>
        </w:rPr>
        <w:t>Artículo 149.</w:t>
      </w:r>
      <w:r w:rsidRPr="0072535F">
        <w:rPr>
          <w:rFonts w:ascii="Palatino Linotype" w:eastAsia="Palatino Linotype" w:hAnsi="Palatino Linotype" w:cs="Palatino Linotype"/>
          <w:i/>
          <w:sz w:val="22"/>
          <w:szCs w:val="22"/>
        </w:rPr>
        <w:t xml:space="preserve"> El </w:t>
      </w:r>
      <w:r w:rsidRPr="0072535F">
        <w:rPr>
          <w:rFonts w:ascii="Palatino Linotype" w:eastAsia="Palatino Linotype" w:hAnsi="Palatino Linotype" w:cs="Palatino Linotype"/>
          <w:b/>
          <w:i/>
          <w:sz w:val="22"/>
          <w:szCs w:val="22"/>
        </w:rPr>
        <w:t>acuerdo que clasifique la información como confidencial</w:t>
      </w:r>
      <w:r w:rsidRPr="0072535F">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rsidR="009A2CCD" w:rsidRPr="0072535F" w:rsidRDefault="00860E18">
      <w:pPr>
        <w:spacing w:before="240" w:after="240" w:line="360" w:lineRule="auto"/>
        <w:ind w:right="49"/>
        <w:jc w:val="both"/>
        <w:rPr>
          <w:rFonts w:ascii="Palatino Linotype" w:eastAsia="Palatino Linotype" w:hAnsi="Palatino Linotype" w:cs="Palatino Linotype"/>
        </w:rPr>
      </w:pPr>
      <w:r w:rsidRPr="0072535F">
        <w:rPr>
          <w:rFonts w:ascii="Palatino Linotype" w:eastAsia="Palatino Linotype" w:hAnsi="Palatino Linotype" w:cs="Palatino Linotype"/>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El artículo 143, fracción I, de la Ley de Transparencia y Acceso a la Información Pública del Estado de México y Municipios, establece que deberá omitirse, eliminarse o suprimirse la información </w:t>
      </w:r>
      <w:r w:rsidRPr="0072535F">
        <w:rPr>
          <w:rFonts w:ascii="Palatino Linotype" w:eastAsia="Palatino Linotype" w:hAnsi="Palatino Linotype" w:cs="Palatino Linotype"/>
          <w:b/>
        </w:rPr>
        <w:t>confidencial</w:t>
      </w:r>
      <w:r w:rsidRPr="0072535F">
        <w:rPr>
          <w:rFonts w:ascii="Palatino Linotype" w:eastAsia="Palatino Linotype" w:hAnsi="Palatino Linotype" w:cs="Palatino Linotype"/>
        </w:rPr>
        <w:t xml:space="preserve">. </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w:t>
      </w:r>
      <w:r w:rsidRPr="0072535F">
        <w:rPr>
          <w:rFonts w:ascii="Palatino Linotype" w:eastAsia="Palatino Linotype" w:hAnsi="Palatino Linotype" w:cs="Palatino Linotype"/>
        </w:rPr>
        <w:lastRenderedPageBreak/>
        <w:t xml:space="preserve">mediante las formalidades de Ley; es decir, que el Comité de Transparencia del </w:t>
      </w:r>
      <w:r w:rsidRPr="0072535F">
        <w:rPr>
          <w:rFonts w:ascii="Palatino Linotype" w:eastAsia="Palatino Linotype" w:hAnsi="Palatino Linotype" w:cs="Palatino Linotype"/>
          <w:b/>
        </w:rPr>
        <w:t>SUJETO OBLIGADO</w:t>
      </w:r>
      <w:r w:rsidRPr="0072535F">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Así, respecto de los documentos que </w:t>
      </w:r>
      <w:r w:rsidRPr="0072535F">
        <w:rPr>
          <w:rFonts w:ascii="Palatino Linotype" w:eastAsia="Palatino Linotype" w:hAnsi="Palatino Linotype" w:cs="Palatino Linotype"/>
          <w:b/>
        </w:rPr>
        <w:t xml:space="preserve">EL SUJETO OBLIGADO </w:t>
      </w:r>
      <w:r w:rsidRPr="0072535F">
        <w:rPr>
          <w:rFonts w:ascii="Palatino Linotype" w:eastAsia="Palatino Linotype" w:hAnsi="Palatino Linotype" w:cs="Palatino Linotype"/>
        </w:rPr>
        <w:t xml:space="preserve">ha de entregar en </w:t>
      </w:r>
      <w:r w:rsidRPr="0072535F">
        <w:rPr>
          <w:rFonts w:ascii="Palatino Linotype" w:eastAsia="Palatino Linotype" w:hAnsi="Palatino Linotype" w:cs="Palatino Linotype"/>
          <w:b/>
        </w:rPr>
        <w:t>versión pública</w:t>
      </w:r>
      <w:r w:rsidRPr="0072535F">
        <w:rPr>
          <w:rFonts w:ascii="Palatino Linotype" w:eastAsia="Palatino Linotype" w:hAnsi="Palatino Linotype" w:cs="Palatino Linotype"/>
        </w:rPr>
        <w:t xml:space="preserve">, se deberá omitir, eliminar o suprimir la información personal de los servidores públicos, como Registro Federal de Contribuyentes (RFC), Clave única de Registro de Población (CURP), clave del Instituto de Seguridad Social del Estado de México y Municipios (ISSEMyM), </w:t>
      </w:r>
      <w:r w:rsidRPr="0072535F">
        <w:rPr>
          <w:rFonts w:ascii="Palatino Linotype" w:eastAsia="Palatino Linotype" w:hAnsi="Palatino Linotype" w:cs="Palatino Linotype"/>
          <w:b/>
        </w:rPr>
        <w:t>los descuentos que se realicen por pensión alimenticia o deducciones estrictamente personales o de cualquier índole siempre que, no se encuentren relacionados con los impuestos o las cuotas por seguridad social</w:t>
      </w:r>
      <w:r w:rsidRPr="0072535F">
        <w:rPr>
          <w:rFonts w:ascii="Palatino Linotype" w:eastAsia="Palatino Linotype" w:hAnsi="Palatino Linotype" w:cs="Palatino Linotype"/>
        </w:rPr>
        <w:t>, número de cuenta o cualquier otro dato que ponga en riesgo la vida, seguridad y salud de dichas personas.</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w:t>
      </w:r>
      <w:r w:rsidRPr="0072535F">
        <w:rPr>
          <w:rFonts w:ascii="Palatino Linotype" w:eastAsia="Palatino Linotype" w:hAnsi="Palatino Linotype" w:cs="Palatino Linotype"/>
        </w:rPr>
        <w:lastRenderedPageBreak/>
        <w:t>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rsidR="009A2CCD" w:rsidRPr="0072535F" w:rsidRDefault="00860E18">
      <w:pPr>
        <w:spacing w:before="240" w:after="240" w:line="360" w:lineRule="auto"/>
        <w:jc w:val="both"/>
        <w:rPr>
          <w:rFonts w:ascii="Palatino Linotype" w:eastAsia="Palatino Linotype" w:hAnsi="Palatino Linotype" w:cs="Palatino Linotype"/>
          <w:b/>
        </w:rPr>
      </w:pPr>
      <w:r w:rsidRPr="0072535F">
        <w:rPr>
          <w:rFonts w:ascii="Palatino Linotype" w:eastAsia="Palatino Linotype" w:hAnsi="Palatino Linotype" w:cs="Palatino Linotype"/>
        </w:rPr>
        <w:t>Al respecto, es aplicable el Criterio 19/17 de la Segunda Época, emitido por el INAI, que dice:</w:t>
      </w:r>
      <w:r w:rsidRPr="0072535F">
        <w:rPr>
          <w:rFonts w:ascii="Palatino Linotype" w:eastAsia="Palatino Linotype" w:hAnsi="Palatino Linotype" w:cs="Palatino Linotype"/>
          <w:b/>
        </w:rPr>
        <w:t xml:space="preserve"> </w:t>
      </w:r>
    </w:p>
    <w:p w:rsidR="009A2CCD" w:rsidRPr="0072535F" w:rsidRDefault="00860E18">
      <w:pPr>
        <w:tabs>
          <w:tab w:val="left" w:pos="7655"/>
        </w:tabs>
        <w:spacing w:before="240" w:after="240"/>
        <w:ind w:left="851" w:right="902"/>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w:t>
      </w:r>
      <w:r w:rsidRPr="0072535F">
        <w:rPr>
          <w:rFonts w:ascii="Palatino Linotype" w:eastAsia="Palatino Linotype" w:hAnsi="Palatino Linotype" w:cs="Palatino Linotype"/>
          <w:b/>
          <w:i/>
          <w:sz w:val="22"/>
          <w:szCs w:val="22"/>
        </w:rPr>
        <w:t>Registro Federal de Contribuyentes (RFC) de personas físicas. El RFC es una clave</w:t>
      </w:r>
      <w:r w:rsidRPr="0072535F">
        <w:rPr>
          <w:rFonts w:ascii="Palatino Linotype" w:eastAsia="Palatino Linotype" w:hAnsi="Palatino Linotype" w:cs="Palatino Linotype"/>
          <w:i/>
          <w:sz w:val="22"/>
          <w:szCs w:val="22"/>
        </w:rPr>
        <w:t xml:space="preserve"> de carácter fiscal, única e irrepetible, </w:t>
      </w:r>
      <w:r w:rsidRPr="0072535F">
        <w:rPr>
          <w:rFonts w:ascii="Palatino Linotype" w:eastAsia="Palatino Linotype" w:hAnsi="Palatino Linotype" w:cs="Palatino Linotype"/>
          <w:b/>
          <w:i/>
          <w:sz w:val="22"/>
          <w:szCs w:val="22"/>
        </w:rPr>
        <w:t>que permite identificar al titular, su edad y fecha de nacimiento</w:t>
      </w:r>
      <w:r w:rsidRPr="0072535F">
        <w:rPr>
          <w:rFonts w:ascii="Palatino Linotype" w:eastAsia="Palatino Linotype" w:hAnsi="Palatino Linotype" w:cs="Palatino Linotype"/>
          <w:i/>
          <w:sz w:val="22"/>
          <w:szCs w:val="22"/>
        </w:rPr>
        <w:t xml:space="preserve">, por lo que </w:t>
      </w:r>
      <w:r w:rsidRPr="0072535F">
        <w:rPr>
          <w:rFonts w:ascii="Palatino Linotype" w:eastAsia="Palatino Linotype" w:hAnsi="Palatino Linotype" w:cs="Palatino Linotype"/>
          <w:b/>
          <w:i/>
          <w:sz w:val="22"/>
          <w:szCs w:val="22"/>
        </w:rPr>
        <w:t>es un dato personal de carácter confidencial</w:t>
      </w:r>
      <w:r w:rsidRPr="0072535F">
        <w:rPr>
          <w:rFonts w:ascii="Palatino Linotype" w:eastAsia="Palatino Linotype" w:hAnsi="Palatino Linotype" w:cs="Palatino Linotype"/>
          <w:i/>
          <w:sz w:val="22"/>
          <w:szCs w:val="22"/>
        </w:rPr>
        <w:t>.</w:t>
      </w:r>
    </w:p>
    <w:p w:rsidR="009A2CCD" w:rsidRPr="0072535F" w:rsidRDefault="00860E18">
      <w:pPr>
        <w:tabs>
          <w:tab w:val="left" w:pos="7655"/>
        </w:tabs>
        <w:spacing w:before="240" w:after="240"/>
        <w:ind w:left="851" w:right="902"/>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Resoluciones:</w:t>
      </w:r>
    </w:p>
    <w:p w:rsidR="009A2CCD" w:rsidRPr="0072535F" w:rsidRDefault="00860E18">
      <w:pPr>
        <w:tabs>
          <w:tab w:val="left" w:pos="7655"/>
        </w:tabs>
        <w:spacing w:before="240" w:after="240"/>
        <w:ind w:left="851" w:right="902"/>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 RRA 0189/17. Morena. 08 de febrero de 2017. Por unanimidad. Comisionado Ponente Joel Salas Suárez.</w:t>
      </w:r>
    </w:p>
    <w:p w:rsidR="009A2CCD" w:rsidRPr="0072535F" w:rsidRDefault="00860E18">
      <w:pPr>
        <w:tabs>
          <w:tab w:val="left" w:pos="7655"/>
        </w:tabs>
        <w:spacing w:before="240" w:after="240"/>
        <w:ind w:left="851" w:right="902"/>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 xml:space="preserve">• RRA 0677/17. Universidad Nacional Autónoma de México. 08 de marzo de 2017. Por unanimidad. Comisionado Ponente Rosendoevgueni Monterrey Chepov. </w:t>
      </w:r>
    </w:p>
    <w:p w:rsidR="009A2CCD" w:rsidRPr="0072535F" w:rsidRDefault="00860E18">
      <w:pPr>
        <w:tabs>
          <w:tab w:val="left" w:pos="7655"/>
        </w:tabs>
        <w:spacing w:before="240" w:after="240"/>
        <w:ind w:left="851" w:right="902"/>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 RRA 1564/17. Tribunal Electoral del Poder Judicial de la Federación. 26 de abril de 2017. Por unanimidad. Comisionado Ponente Oscar Mauricio Guerra Ford.” (Sic)</w:t>
      </w:r>
    </w:p>
    <w:p w:rsidR="009A2CCD" w:rsidRPr="0072535F" w:rsidRDefault="00860E18">
      <w:pPr>
        <w:tabs>
          <w:tab w:val="left" w:pos="7655"/>
        </w:tabs>
        <w:spacing w:before="240" w:after="240"/>
        <w:ind w:left="851" w:right="902"/>
        <w:jc w:val="both"/>
        <w:rPr>
          <w:rFonts w:ascii="Palatino Linotype" w:eastAsia="Palatino Linotype" w:hAnsi="Palatino Linotype" w:cs="Palatino Linotype"/>
          <w:sz w:val="22"/>
          <w:szCs w:val="22"/>
        </w:rPr>
      </w:pPr>
      <w:r w:rsidRPr="0072535F">
        <w:rPr>
          <w:rFonts w:ascii="Palatino Linotype" w:eastAsia="Palatino Linotype" w:hAnsi="Palatino Linotype" w:cs="Palatino Linotype"/>
          <w:sz w:val="22"/>
          <w:szCs w:val="22"/>
        </w:rPr>
        <w:t>(Énfasis añadido)</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De lo anterior, se desprende que el RFC se vincula al nombre de su titular, lo que permite identificar la edad de la persona y fecha de nacimiento, en consecuencia determinar la identificación de dicha persona para efectos fiscales; por lo que, constituye un dato personal que concierne a una persona física identificada e identificable en términos de los artículos 3°, fracción IX, de la Ley de Transparencia </w:t>
      </w:r>
      <w:r w:rsidRPr="0072535F">
        <w:rPr>
          <w:rFonts w:ascii="Palatino Linotype" w:eastAsia="Palatino Linotype" w:hAnsi="Palatino Linotype" w:cs="Palatino Linotype"/>
        </w:rPr>
        <w:lastRenderedPageBreak/>
        <w:t>y Acceso a la Información Pública del Estado de México y Municipios y 4°, fracción XI de la Ley de Protección de Datos Personales en Posesión de Sujetos Obligados del Estado de México y Municipios.</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Por cuanto hace a la CURP</w:t>
      </w:r>
      <w:r w:rsidRPr="0072535F">
        <w:rPr>
          <w:rFonts w:ascii="Palatino Linotype" w:eastAsia="Palatino Linotype" w:hAnsi="Palatino Linotype" w:cs="Palatino Linotype"/>
          <w:b/>
        </w:rPr>
        <w:t xml:space="preserve">, </w:t>
      </w:r>
      <w:r w:rsidRPr="0072535F">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Lo anterior, tiene sustento en los artículos 86 y 91 de la Ley General de Población, la cual señala lo siguiente:</w:t>
      </w:r>
    </w:p>
    <w:p w:rsidR="009A2CCD" w:rsidRPr="0072535F" w:rsidRDefault="00860E18">
      <w:pPr>
        <w:spacing w:before="240" w:after="240"/>
        <w:ind w:left="851" w:right="902"/>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w:t>
      </w:r>
      <w:r w:rsidRPr="0072535F">
        <w:rPr>
          <w:rFonts w:ascii="Palatino Linotype" w:eastAsia="Palatino Linotype" w:hAnsi="Palatino Linotype" w:cs="Palatino Linotype"/>
          <w:b/>
          <w:i/>
          <w:sz w:val="22"/>
          <w:szCs w:val="22"/>
        </w:rPr>
        <w:t xml:space="preserve">Artículo 86. </w:t>
      </w:r>
      <w:r w:rsidRPr="0072535F">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rsidR="009A2CCD" w:rsidRPr="0072535F" w:rsidRDefault="00860E18">
      <w:pPr>
        <w:spacing w:before="240" w:after="240"/>
        <w:ind w:left="851" w:right="902"/>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Artículo 91. Al incorporar a una persona en el Registro Nacional de Población</w:t>
      </w:r>
      <w:r w:rsidRPr="0072535F">
        <w:rPr>
          <w:rFonts w:ascii="Palatino Linotype" w:eastAsia="Palatino Linotype" w:hAnsi="Palatino Linotype" w:cs="Palatino Linotype"/>
          <w:i/>
          <w:sz w:val="22"/>
          <w:szCs w:val="22"/>
        </w:rPr>
        <w:t xml:space="preserve">, se le asignará una clave </w:t>
      </w:r>
      <w:r w:rsidRPr="0072535F">
        <w:rPr>
          <w:rFonts w:ascii="Palatino Linotype" w:eastAsia="Palatino Linotype" w:hAnsi="Palatino Linotype" w:cs="Palatino Linotype"/>
          <w:b/>
          <w:i/>
          <w:sz w:val="22"/>
          <w:szCs w:val="22"/>
        </w:rPr>
        <w:t>que se denominará Clave Única de Registro de Población</w:t>
      </w:r>
      <w:r w:rsidRPr="0072535F">
        <w:rPr>
          <w:rFonts w:ascii="Palatino Linotype" w:eastAsia="Palatino Linotype" w:hAnsi="Palatino Linotype" w:cs="Palatino Linotype"/>
          <w:i/>
          <w:sz w:val="22"/>
          <w:szCs w:val="22"/>
        </w:rPr>
        <w:t xml:space="preserve">. </w:t>
      </w:r>
      <w:r w:rsidRPr="0072535F">
        <w:rPr>
          <w:rFonts w:ascii="Palatino Linotype" w:eastAsia="Palatino Linotype" w:hAnsi="Palatino Linotype" w:cs="Palatino Linotype"/>
          <w:b/>
          <w:i/>
          <w:sz w:val="22"/>
          <w:szCs w:val="22"/>
        </w:rPr>
        <w:t>Esta servirá para</w:t>
      </w:r>
      <w:r w:rsidRPr="0072535F">
        <w:rPr>
          <w:rFonts w:ascii="Palatino Linotype" w:eastAsia="Palatino Linotype" w:hAnsi="Palatino Linotype" w:cs="Palatino Linotype"/>
          <w:i/>
          <w:sz w:val="22"/>
          <w:szCs w:val="22"/>
        </w:rPr>
        <w:t xml:space="preserve"> registrarla e </w:t>
      </w:r>
      <w:r w:rsidRPr="0072535F">
        <w:rPr>
          <w:rFonts w:ascii="Palatino Linotype" w:eastAsia="Palatino Linotype" w:hAnsi="Palatino Linotype" w:cs="Palatino Linotype"/>
          <w:b/>
          <w:i/>
          <w:sz w:val="22"/>
          <w:szCs w:val="22"/>
        </w:rPr>
        <w:t>identificarla en forma individual</w:t>
      </w:r>
      <w:r w:rsidRPr="0072535F">
        <w:rPr>
          <w:rFonts w:ascii="Palatino Linotype" w:eastAsia="Palatino Linotype" w:hAnsi="Palatino Linotype" w:cs="Palatino Linotype"/>
          <w:i/>
          <w:sz w:val="22"/>
          <w:szCs w:val="22"/>
        </w:rPr>
        <w:t xml:space="preserve">.” </w:t>
      </w:r>
    </w:p>
    <w:p w:rsidR="009A2CCD" w:rsidRPr="0072535F" w:rsidRDefault="00860E18">
      <w:pPr>
        <w:spacing w:before="240" w:after="240"/>
        <w:ind w:left="851" w:right="902"/>
        <w:jc w:val="both"/>
        <w:rPr>
          <w:rFonts w:ascii="Palatino Linotype" w:eastAsia="Palatino Linotype" w:hAnsi="Palatino Linotype" w:cs="Palatino Linotype"/>
          <w:sz w:val="22"/>
          <w:szCs w:val="22"/>
        </w:rPr>
      </w:pPr>
      <w:r w:rsidRPr="0072535F">
        <w:rPr>
          <w:rFonts w:ascii="Palatino Linotype" w:eastAsia="Palatino Linotype" w:hAnsi="Palatino Linotype" w:cs="Palatino Linotype"/>
          <w:sz w:val="22"/>
          <w:szCs w:val="22"/>
        </w:rPr>
        <w:t>(Énfasis añadido)</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w:t>
      </w:r>
      <w:r w:rsidRPr="0072535F">
        <w:rPr>
          <w:rFonts w:ascii="Palatino Linotype" w:eastAsia="Palatino Linotype" w:hAnsi="Palatino Linotype" w:cs="Palatino Linotype"/>
        </w:rPr>
        <w:lastRenderedPageBreak/>
        <w:t xml:space="preserve">apellidos; un diferenciador de homonimia y siglo; y un digito verificador, que garantizan la correcta integración. </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Al respecto, el INAI, a través del Criterio 18/17 de la Segunda Época, señala literalmente lo siguiente:</w:t>
      </w:r>
    </w:p>
    <w:p w:rsidR="009A2CCD" w:rsidRPr="0072535F" w:rsidRDefault="00860E18">
      <w:pPr>
        <w:spacing w:before="240" w:after="240"/>
        <w:ind w:left="851" w:right="902"/>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w:t>
      </w:r>
      <w:r w:rsidRPr="0072535F">
        <w:rPr>
          <w:rFonts w:ascii="Palatino Linotype" w:eastAsia="Palatino Linotype" w:hAnsi="Palatino Linotype" w:cs="Palatino Linotype"/>
          <w:b/>
          <w:i/>
          <w:sz w:val="22"/>
          <w:szCs w:val="22"/>
        </w:rPr>
        <w:t>Clave Única de Registro de Población (CURP).</w:t>
      </w:r>
      <w:r w:rsidRPr="0072535F">
        <w:rPr>
          <w:rFonts w:ascii="Palatino Linotype" w:eastAsia="Palatino Linotype" w:hAnsi="Palatino Linotype" w:cs="Palatino Linotype"/>
          <w:i/>
          <w:sz w:val="22"/>
          <w:szCs w:val="22"/>
        </w:rPr>
        <w:t xml:space="preserve"> </w:t>
      </w:r>
      <w:r w:rsidRPr="0072535F">
        <w:rPr>
          <w:rFonts w:ascii="Palatino Linotype" w:eastAsia="Palatino Linotype" w:hAnsi="Palatino Linotype" w:cs="Palatino Linotype"/>
          <w:b/>
          <w:i/>
          <w:sz w:val="22"/>
          <w:szCs w:val="22"/>
        </w:rPr>
        <w:t>La Clave Única de Registro de Población se integra por datos personales que sólo conciernen al particular titular</w:t>
      </w:r>
      <w:r w:rsidRPr="0072535F">
        <w:rPr>
          <w:rFonts w:ascii="Palatino Linotype" w:eastAsia="Palatino Linotype" w:hAnsi="Palatino Linotype" w:cs="Palatino Linotype"/>
          <w:i/>
          <w:sz w:val="22"/>
          <w:szCs w:val="22"/>
        </w:rPr>
        <w:t xml:space="preserve"> de la misma, </w:t>
      </w:r>
      <w:r w:rsidRPr="0072535F">
        <w:rPr>
          <w:rFonts w:ascii="Palatino Linotype" w:eastAsia="Palatino Linotype" w:hAnsi="Palatino Linotype" w:cs="Palatino Linotype"/>
          <w:b/>
          <w:i/>
          <w:sz w:val="22"/>
          <w:szCs w:val="22"/>
        </w:rPr>
        <w:t>como lo son su nombre, apellidos, fecha de nacimiento, lugar de nacimiento y sexo</w:t>
      </w:r>
      <w:r w:rsidRPr="0072535F">
        <w:rPr>
          <w:rFonts w:ascii="Palatino Linotype" w:eastAsia="Palatino Linotype" w:hAnsi="Palatino Linotype" w:cs="Palatino Linotype"/>
          <w:i/>
          <w:sz w:val="22"/>
          <w:szCs w:val="22"/>
        </w:rPr>
        <w:t xml:space="preserve">. Dichos datos, constituyen información que distingue plenamente a una persona física del resto de los habitantes del país, </w:t>
      </w:r>
      <w:r w:rsidRPr="0072535F">
        <w:rPr>
          <w:rFonts w:ascii="Palatino Linotype" w:eastAsia="Palatino Linotype" w:hAnsi="Palatino Linotype" w:cs="Palatino Linotype"/>
          <w:b/>
          <w:i/>
          <w:sz w:val="22"/>
          <w:szCs w:val="22"/>
        </w:rPr>
        <w:t>por lo que la CURP está considerada como información confidencial</w:t>
      </w:r>
      <w:r w:rsidRPr="0072535F">
        <w:rPr>
          <w:rFonts w:ascii="Palatino Linotype" w:eastAsia="Palatino Linotype" w:hAnsi="Palatino Linotype" w:cs="Palatino Linotype"/>
          <w:i/>
          <w:sz w:val="22"/>
          <w:szCs w:val="22"/>
        </w:rPr>
        <w:t xml:space="preserve">. </w:t>
      </w:r>
    </w:p>
    <w:p w:rsidR="009A2CCD" w:rsidRPr="0072535F" w:rsidRDefault="00860E18">
      <w:pPr>
        <w:spacing w:before="240" w:after="240"/>
        <w:ind w:left="851" w:right="902"/>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Resoluciones:</w:t>
      </w:r>
    </w:p>
    <w:p w:rsidR="009A2CCD" w:rsidRPr="0072535F" w:rsidRDefault="00860E18">
      <w:pPr>
        <w:spacing w:before="240" w:after="240"/>
        <w:ind w:left="851" w:right="902"/>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 RRA 3995/16. Secretaría de la Defensa Nacional. 1 de febrero de 2017. Por unanimidad. Comisionado Ponente Rosendoevgueni Monterrey Chepov.</w:t>
      </w:r>
    </w:p>
    <w:p w:rsidR="009A2CCD" w:rsidRPr="0072535F" w:rsidRDefault="00860E18">
      <w:pPr>
        <w:spacing w:before="240" w:after="240"/>
        <w:ind w:left="851" w:right="902"/>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 xml:space="preserve">• RRA 0937/17. Senado de la República. 15 de marzo de 2017. Por unanimidad. Comisionada Ponente Ximena Puente de la Mora. </w:t>
      </w:r>
    </w:p>
    <w:p w:rsidR="009A2CCD" w:rsidRPr="0072535F" w:rsidRDefault="00860E18">
      <w:pPr>
        <w:spacing w:before="240" w:after="240"/>
        <w:ind w:left="851" w:right="902"/>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 RRA 0478/17. Secretaría de Relaciones Exteriores. 26 de abril de 2017. Por unanimidad. Comisionada Ponente Areli Cano Guadiana.” (Sic)</w:t>
      </w:r>
    </w:p>
    <w:p w:rsidR="009A2CCD" w:rsidRPr="0072535F" w:rsidRDefault="00860E18">
      <w:pPr>
        <w:spacing w:before="240" w:after="240"/>
        <w:ind w:left="851" w:right="902"/>
        <w:jc w:val="both"/>
        <w:rPr>
          <w:rFonts w:ascii="Palatino Linotype" w:eastAsia="Palatino Linotype" w:hAnsi="Palatino Linotype" w:cs="Palatino Linotype"/>
          <w:sz w:val="22"/>
          <w:szCs w:val="22"/>
        </w:rPr>
      </w:pPr>
      <w:r w:rsidRPr="0072535F">
        <w:rPr>
          <w:rFonts w:ascii="Palatino Linotype" w:eastAsia="Palatino Linotype" w:hAnsi="Palatino Linotype" w:cs="Palatino Linotype"/>
          <w:sz w:val="22"/>
          <w:szCs w:val="22"/>
        </w:rPr>
        <w:t>(Énfasis añadido)</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De lo anterior, se desprende que la CURP se encuentra vinculada al nombre y apellidos de la persona, lo que permite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w:t>
      </w:r>
      <w:r w:rsidRPr="0072535F">
        <w:rPr>
          <w:rFonts w:ascii="Palatino Linotype" w:eastAsia="Palatino Linotype" w:hAnsi="Palatino Linotype" w:cs="Palatino Linotype"/>
        </w:rPr>
        <w:lastRenderedPageBreak/>
        <w:t>Protección de Datos Personales en Posesión de Sujetos Obligados del Estado de México y Municipios.</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Por cuanto hace a la Clave de cualquier tipo de seguridad social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Respecto de los </w:t>
      </w:r>
      <w:r w:rsidRPr="0072535F">
        <w:rPr>
          <w:rFonts w:ascii="Palatino Linotype" w:eastAsia="Palatino Linotype" w:hAnsi="Palatino Linotype" w:cs="Palatino Linotype"/>
          <w:b/>
        </w:rPr>
        <w:t>préstamos o descuentos</w:t>
      </w:r>
      <w:r w:rsidRPr="0072535F">
        <w:rPr>
          <w:rFonts w:ascii="Palatino Linotype" w:eastAsia="Palatino Linotype" w:hAnsi="Palatino Linotype" w:cs="Palatino Linotype"/>
        </w:rPr>
        <w:t xml:space="preserve"> </w:t>
      </w:r>
      <w:r w:rsidRPr="0072535F">
        <w:rPr>
          <w:rFonts w:ascii="Palatino Linotype" w:eastAsia="Palatino Linotype" w:hAnsi="Palatino Linotype" w:cs="Palatino Linotype"/>
          <w:b/>
        </w:rPr>
        <w:t>de carácter personal</w:t>
      </w:r>
      <w:r w:rsidRPr="0072535F">
        <w:rPr>
          <w:rFonts w:ascii="Palatino Linotype" w:eastAsia="Palatino Linotype" w:hAnsi="Palatino Linotype" w:cs="Palatino Linotype"/>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Por su parte, el artículo 84 de la Ley del Trabajo de los Servidores Públicos del Estado y Municipios, señala:</w:t>
      </w:r>
    </w:p>
    <w:p w:rsidR="009A2CCD" w:rsidRPr="0072535F" w:rsidRDefault="00860E18">
      <w:pPr>
        <w:spacing w:before="240" w:after="240"/>
        <w:ind w:left="851" w:right="902"/>
        <w:jc w:val="both"/>
        <w:rPr>
          <w:rFonts w:ascii="Palatino Linotype" w:eastAsia="Palatino Linotype" w:hAnsi="Palatino Linotype" w:cs="Palatino Linotype"/>
          <w:b/>
          <w:i/>
          <w:sz w:val="22"/>
          <w:szCs w:val="22"/>
        </w:rPr>
      </w:pPr>
      <w:r w:rsidRPr="0072535F">
        <w:rPr>
          <w:rFonts w:ascii="Palatino Linotype" w:eastAsia="Palatino Linotype" w:hAnsi="Palatino Linotype" w:cs="Palatino Linotype"/>
          <w:i/>
          <w:sz w:val="22"/>
          <w:szCs w:val="22"/>
        </w:rPr>
        <w:t>“</w:t>
      </w:r>
      <w:r w:rsidRPr="0072535F">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rsidR="009A2CCD" w:rsidRPr="0072535F" w:rsidRDefault="00860E18">
      <w:pPr>
        <w:spacing w:before="240" w:after="240"/>
        <w:ind w:left="851" w:right="902"/>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lastRenderedPageBreak/>
        <w:t>I. Gravámenes fiscales relacionados con el sueldo;</w:t>
      </w:r>
    </w:p>
    <w:p w:rsidR="009A2CCD" w:rsidRPr="0072535F" w:rsidRDefault="00860E18">
      <w:pPr>
        <w:spacing w:before="240" w:after="240"/>
        <w:ind w:left="851" w:right="902"/>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II. Deudas contraídas con las instituciones públicas o dependencias</w:t>
      </w:r>
      <w:r w:rsidRPr="0072535F">
        <w:rPr>
          <w:rFonts w:ascii="Palatino Linotype" w:eastAsia="Palatino Linotype" w:hAnsi="Palatino Linotype" w:cs="Palatino Linotype"/>
          <w:i/>
          <w:sz w:val="22"/>
          <w:szCs w:val="22"/>
        </w:rPr>
        <w:t xml:space="preserve"> por concepto de anticipos de sueldo, pagos hechos con exceso, errores o pérdidas debidamente comprobados;</w:t>
      </w:r>
    </w:p>
    <w:p w:rsidR="009A2CCD" w:rsidRPr="0072535F" w:rsidRDefault="00860E18">
      <w:pPr>
        <w:spacing w:before="240" w:after="240"/>
        <w:ind w:left="851" w:right="902"/>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III. Cuotas sindicales</w:t>
      </w:r>
      <w:r w:rsidRPr="0072535F">
        <w:rPr>
          <w:rFonts w:ascii="Palatino Linotype" w:eastAsia="Palatino Linotype" w:hAnsi="Palatino Linotype" w:cs="Palatino Linotype"/>
          <w:i/>
          <w:sz w:val="22"/>
          <w:szCs w:val="22"/>
        </w:rPr>
        <w:t>;</w:t>
      </w:r>
    </w:p>
    <w:p w:rsidR="009A2CCD" w:rsidRPr="0072535F" w:rsidRDefault="00860E18">
      <w:pPr>
        <w:spacing w:before="240" w:after="240"/>
        <w:ind w:left="851" w:right="902"/>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9A2CCD" w:rsidRPr="0072535F" w:rsidRDefault="00860E18">
      <w:pPr>
        <w:spacing w:before="240" w:after="240"/>
        <w:ind w:left="851" w:right="902"/>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9A2CCD" w:rsidRPr="0072535F" w:rsidRDefault="00860E18">
      <w:pPr>
        <w:spacing w:before="240" w:after="240"/>
        <w:ind w:left="851" w:right="902"/>
        <w:jc w:val="both"/>
        <w:rPr>
          <w:rFonts w:ascii="Palatino Linotype" w:eastAsia="Palatino Linotype" w:hAnsi="Palatino Linotype" w:cs="Palatino Linotype"/>
          <w:b/>
          <w:i/>
          <w:sz w:val="22"/>
          <w:szCs w:val="22"/>
        </w:rPr>
      </w:pPr>
      <w:r w:rsidRPr="0072535F">
        <w:rPr>
          <w:rFonts w:ascii="Palatino Linotype" w:eastAsia="Palatino Linotype" w:hAnsi="Palatino Linotype" w:cs="Palatino Linotype"/>
          <w:b/>
          <w:i/>
          <w:sz w:val="22"/>
          <w:szCs w:val="22"/>
        </w:rPr>
        <w:t>VI. Obligaciones a cargo del servidor público con las que haya consentido</w:t>
      </w:r>
      <w:r w:rsidRPr="0072535F">
        <w:rPr>
          <w:rFonts w:ascii="Palatino Linotype" w:eastAsia="Palatino Linotype" w:hAnsi="Palatino Linotype" w:cs="Palatino Linotype"/>
          <w:i/>
          <w:sz w:val="22"/>
          <w:szCs w:val="22"/>
        </w:rPr>
        <w:t>, derivadas de la adquisición o del uso de habitaciones consideradas como de interés social;</w:t>
      </w:r>
    </w:p>
    <w:p w:rsidR="009A2CCD" w:rsidRPr="0072535F" w:rsidRDefault="00860E18">
      <w:pPr>
        <w:spacing w:before="240" w:after="240"/>
        <w:ind w:left="851" w:right="902"/>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i/>
          <w:sz w:val="22"/>
          <w:szCs w:val="22"/>
        </w:rPr>
        <w:t>VII. Faltas de puntualidad o de asistencia injustificadas;</w:t>
      </w:r>
    </w:p>
    <w:p w:rsidR="009A2CCD" w:rsidRPr="0072535F" w:rsidRDefault="00860E18">
      <w:pPr>
        <w:spacing w:before="240" w:after="240"/>
        <w:ind w:left="851" w:right="902"/>
        <w:jc w:val="both"/>
        <w:rPr>
          <w:rFonts w:ascii="Palatino Linotype" w:eastAsia="Palatino Linotype" w:hAnsi="Palatino Linotype" w:cs="Palatino Linotype"/>
          <w:i/>
          <w:sz w:val="22"/>
          <w:szCs w:val="22"/>
        </w:rPr>
      </w:pPr>
      <w:r w:rsidRPr="0072535F">
        <w:rPr>
          <w:rFonts w:ascii="Palatino Linotype" w:eastAsia="Palatino Linotype" w:hAnsi="Palatino Linotype" w:cs="Palatino Linotype"/>
          <w:b/>
          <w:i/>
          <w:sz w:val="22"/>
          <w:szCs w:val="22"/>
        </w:rPr>
        <w:t>VIII. Pensiones alimenticias ordenadas por la autoridad judicial;</w:t>
      </w:r>
      <w:r w:rsidRPr="0072535F">
        <w:rPr>
          <w:rFonts w:ascii="Palatino Linotype" w:eastAsia="Palatino Linotype" w:hAnsi="Palatino Linotype" w:cs="Palatino Linotype"/>
          <w:i/>
          <w:sz w:val="22"/>
          <w:szCs w:val="22"/>
        </w:rPr>
        <w:t xml:space="preserve"> o</w:t>
      </w:r>
    </w:p>
    <w:p w:rsidR="009A2CCD" w:rsidRPr="0072535F" w:rsidRDefault="00860E18">
      <w:pPr>
        <w:spacing w:before="240" w:after="240"/>
        <w:ind w:left="851" w:right="902"/>
        <w:jc w:val="both"/>
        <w:rPr>
          <w:rFonts w:ascii="Palatino Linotype" w:eastAsia="Palatino Linotype" w:hAnsi="Palatino Linotype" w:cs="Palatino Linotype"/>
          <w:b/>
          <w:i/>
          <w:sz w:val="22"/>
          <w:szCs w:val="22"/>
        </w:rPr>
      </w:pPr>
      <w:r w:rsidRPr="0072535F">
        <w:rPr>
          <w:rFonts w:ascii="Palatino Linotype" w:eastAsia="Palatino Linotype" w:hAnsi="Palatino Linotype" w:cs="Palatino Linotype"/>
          <w:b/>
          <w:i/>
          <w:sz w:val="22"/>
          <w:szCs w:val="22"/>
        </w:rPr>
        <w:t>IX. Cualquier otro convenido con instituciones de servicios y aceptado por el servidor público.</w:t>
      </w:r>
    </w:p>
    <w:p w:rsidR="009A2CCD" w:rsidRPr="0072535F" w:rsidRDefault="00860E18">
      <w:pPr>
        <w:spacing w:before="240" w:after="240"/>
        <w:ind w:left="851" w:right="902"/>
        <w:jc w:val="both"/>
        <w:rPr>
          <w:rFonts w:ascii="Palatino Linotype" w:eastAsia="Palatino Linotype" w:hAnsi="Palatino Linotype" w:cs="Palatino Linotype"/>
          <w:sz w:val="22"/>
          <w:szCs w:val="22"/>
        </w:rPr>
      </w:pPr>
      <w:r w:rsidRPr="0072535F">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9A2CCD" w:rsidRPr="0072535F" w:rsidRDefault="00860E18">
      <w:pPr>
        <w:spacing w:before="240" w:after="240"/>
        <w:ind w:left="851" w:right="902"/>
        <w:jc w:val="both"/>
        <w:rPr>
          <w:rFonts w:ascii="Palatino Linotype" w:eastAsia="Palatino Linotype" w:hAnsi="Palatino Linotype" w:cs="Palatino Linotype"/>
          <w:sz w:val="22"/>
          <w:szCs w:val="22"/>
        </w:rPr>
      </w:pPr>
      <w:r w:rsidRPr="0072535F">
        <w:rPr>
          <w:rFonts w:ascii="Palatino Linotype" w:eastAsia="Palatino Linotype" w:hAnsi="Palatino Linotype" w:cs="Palatino Linotype"/>
          <w:sz w:val="22"/>
          <w:szCs w:val="22"/>
        </w:rPr>
        <w:t>(Énfasis añadido)</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sidRPr="0072535F">
        <w:rPr>
          <w:rFonts w:ascii="Palatino Linotype" w:eastAsia="Palatino Linotype" w:hAnsi="Palatino Linotype" w:cs="Palatino Linotype"/>
          <w:b/>
        </w:rPr>
        <w:t>únicamente inciden en su vida privada</w:t>
      </w:r>
      <w:r w:rsidRPr="0072535F">
        <w:rPr>
          <w:rFonts w:ascii="Palatino Linotype" w:eastAsia="Palatino Linotype" w:hAnsi="Palatino Linotype" w:cs="Palatino Linotype"/>
        </w:rPr>
        <w:t xml:space="preserve">. De este </w:t>
      </w:r>
      <w:r w:rsidRPr="0072535F">
        <w:rPr>
          <w:rFonts w:ascii="Palatino Linotype" w:eastAsia="Palatino Linotype" w:hAnsi="Palatino Linotype" w:cs="Palatino Linotype"/>
        </w:rPr>
        <w:lastRenderedPageBreak/>
        <w:t>modo, descuentos por pensiones alimenticias o créditos adquiridos con instituciones privadas o públicas pero que fueron contraídas en forma individual, son información que debe clasificarse como confidencial.</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Por lo tanto, es importante insistir que </w:t>
      </w:r>
      <w:r w:rsidRPr="0072535F">
        <w:rPr>
          <w:rFonts w:ascii="Palatino Linotype" w:eastAsia="Palatino Linotype" w:hAnsi="Palatino Linotype" w:cs="Palatino Linotype"/>
          <w:b/>
        </w:rPr>
        <w:t>EL SUJETO OBLIGADO</w:t>
      </w:r>
      <w:r w:rsidRPr="0072535F">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72535F">
        <w:rPr>
          <w:rFonts w:ascii="Palatino Linotype" w:eastAsia="Palatino Linotype" w:hAnsi="Palatino Linotype" w:cs="Palatino Linotype"/>
          <w:b/>
        </w:rPr>
        <w:t xml:space="preserve"> </w:t>
      </w:r>
      <w:r w:rsidRPr="0072535F">
        <w:rPr>
          <w:rFonts w:ascii="Palatino Linotype" w:eastAsia="Palatino Linotype" w:hAnsi="Palatino Linotype" w:cs="Palatino Linotype"/>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A2CCD" w:rsidRPr="0072535F" w:rsidRDefault="00860E18">
      <w:pPr>
        <w:spacing w:before="240" w:after="240" w:line="360" w:lineRule="auto"/>
        <w:jc w:val="both"/>
        <w:rPr>
          <w:rFonts w:ascii="Palatino Linotype" w:eastAsia="Palatino Linotype" w:hAnsi="Palatino Linotype" w:cs="Palatino Linotype"/>
          <w:b/>
          <w:i/>
          <w:sz w:val="22"/>
          <w:szCs w:val="22"/>
        </w:rPr>
      </w:pPr>
      <w:r w:rsidRPr="0072535F">
        <w:rPr>
          <w:rFonts w:ascii="Palatino Linotype" w:eastAsia="Palatino Linotype" w:hAnsi="Palatino Linotype" w:cs="Palatino Linotype"/>
        </w:rPr>
        <w:t xml:space="preserve">En mérito de lo expuesto en líneas anteriores, resultan parcialmente fundadas las razones o motivos de inconformidad hechos valer por la </w:t>
      </w:r>
      <w:r w:rsidRPr="0072535F">
        <w:rPr>
          <w:rFonts w:ascii="Palatino Linotype" w:eastAsia="Palatino Linotype" w:hAnsi="Palatino Linotype" w:cs="Palatino Linotype"/>
          <w:b/>
        </w:rPr>
        <w:t>RECURRENTE</w:t>
      </w:r>
      <w:r w:rsidRPr="0072535F">
        <w:rPr>
          <w:rFonts w:ascii="Palatino Linotype" w:eastAsia="Palatino Linotype" w:hAnsi="Palatino Linotype" w:cs="Palatino Linotype"/>
        </w:rPr>
        <w:t xml:space="preserve"> en el recurso de revisión </w:t>
      </w:r>
      <w:r w:rsidRPr="0072535F">
        <w:rPr>
          <w:rFonts w:ascii="Palatino Linotype" w:eastAsia="Palatino Linotype" w:hAnsi="Palatino Linotype" w:cs="Palatino Linotype"/>
          <w:b/>
        </w:rPr>
        <w:t>09099/INFOEM/IP/RR/2022</w:t>
      </w:r>
      <w:r w:rsidRPr="0072535F">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Pr="0072535F">
        <w:rPr>
          <w:rFonts w:ascii="Palatino Linotype" w:eastAsia="Palatino Linotype" w:hAnsi="Palatino Linotype" w:cs="Palatino Linotype"/>
          <w:b/>
        </w:rPr>
        <w:t xml:space="preserve">REVOCA </w:t>
      </w:r>
      <w:r w:rsidRPr="0072535F">
        <w:rPr>
          <w:rFonts w:ascii="Palatino Linotype" w:eastAsia="Palatino Linotype" w:hAnsi="Palatino Linotype" w:cs="Palatino Linotype"/>
        </w:rPr>
        <w:t xml:space="preserve">la respuesta del </w:t>
      </w:r>
      <w:r w:rsidRPr="0072535F">
        <w:rPr>
          <w:rFonts w:ascii="Palatino Linotype" w:eastAsia="Palatino Linotype" w:hAnsi="Palatino Linotype" w:cs="Palatino Linotype"/>
          <w:b/>
        </w:rPr>
        <w:t xml:space="preserve">SUJETO OBLIGADO </w:t>
      </w:r>
      <w:r w:rsidRPr="0072535F">
        <w:rPr>
          <w:rFonts w:ascii="Palatino Linotype" w:eastAsia="Palatino Linotype" w:hAnsi="Palatino Linotype" w:cs="Palatino Linotype"/>
        </w:rPr>
        <w:t xml:space="preserve">a la solicitud de información </w:t>
      </w:r>
      <w:r w:rsidRPr="0072535F">
        <w:rPr>
          <w:rFonts w:ascii="Palatino Linotype" w:eastAsia="Palatino Linotype" w:hAnsi="Palatino Linotype" w:cs="Palatino Linotype"/>
          <w:b/>
        </w:rPr>
        <w:t xml:space="preserve">00277/FGJ/IP/2022. </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lastRenderedPageBreak/>
        <w:t>Así, con fundamento en lo prescrito en los</w:t>
      </w:r>
      <w:r w:rsidRPr="0072535F">
        <w:t xml:space="preserve"> </w:t>
      </w:r>
      <w:r w:rsidRPr="0072535F">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9A2CCD" w:rsidRPr="0072535F" w:rsidRDefault="00860E18">
      <w:pPr>
        <w:numPr>
          <w:ilvl w:val="0"/>
          <w:numId w:val="10"/>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72535F">
        <w:rPr>
          <w:rFonts w:ascii="Palatino Linotype" w:eastAsia="Palatino Linotype" w:hAnsi="Palatino Linotype" w:cs="Palatino Linotype"/>
          <w:b/>
        </w:rPr>
        <w:t>R E S U E L V E:</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b/>
        </w:rPr>
        <w:t xml:space="preserve">PRIMERO. PRIMERO. </w:t>
      </w:r>
      <w:r w:rsidRPr="0072535F">
        <w:rPr>
          <w:rFonts w:ascii="Palatino Linotype" w:eastAsia="Palatino Linotype" w:hAnsi="Palatino Linotype" w:cs="Palatino Linotype"/>
        </w:rPr>
        <w:t xml:space="preserve">Resultan parcialmente fundados los motivos de inconformidad hechos valer por el </w:t>
      </w:r>
      <w:r w:rsidRPr="0072535F">
        <w:rPr>
          <w:rFonts w:ascii="Palatino Linotype" w:eastAsia="Palatino Linotype" w:hAnsi="Palatino Linotype" w:cs="Palatino Linotype"/>
          <w:b/>
        </w:rPr>
        <w:t xml:space="preserve">RECURRENTE </w:t>
      </w:r>
      <w:r w:rsidRPr="0072535F">
        <w:rPr>
          <w:rFonts w:ascii="Palatino Linotype" w:eastAsia="Palatino Linotype" w:hAnsi="Palatino Linotype" w:cs="Palatino Linotype"/>
        </w:rPr>
        <w:t xml:space="preserve">en el recurso de revisión </w:t>
      </w:r>
      <w:r w:rsidRPr="0072535F">
        <w:rPr>
          <w:rFonts w:ascii="Palatino Linotype" w:eastAsia="Palatino Linotype" w:hAnsi="Palatino Linotype" w:cs="Palatino Linotype"/>
          <w:b/>
        </w:rPr>
        <w:t xml:space="preserve">09099/INFOEM/IP/RR/2022, </w:t>
      </w:r>
      <w:r w:rsidRPr="0072535F">
        <w:rPr>
          <w:rFonts w:ascii="Palatino Linotype" w:eastAsia="Palatino Linotype" w:hAnsi="Palatino Linotype" w:cs="Palatino Linotype"/>
        </w:rPr>
        <w:t xml:space="preserve">en términos del Considerando Cuarto de la presente resolución. </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b/>
        </w:rPr>
        <w:t>SEGUNDO. S</w:t>
      </w:r>
      <w:r w:rsidRPr="0072535F">
        <w:rPr>
          <w:rFonts w:ascii="Palatino Linotype" w:eastAsia="Palatino Linotype" w:hAnsi="Palatino Linotype" w:cs="Palatino Linotype"/>
        </w:rPr>
        <w:t xml:space="preserve">e </w:t>
      </w:r>
      <w:r w:rsidRPr="0072535F">
        <w:rPr>
          <w:rFonts w:ascii="Palatino Linotype" w:eastAsia="Palatino Linotype" w:hAnsi="Palatino Linotype" w:cs="Palatino Linotype"/>
          <w:b/>
        </w:rPr>
        <w:t>REVOCA</w:t>
      </w:r>
      <w:r w:rsidRPr="0072535F">
        <w:rPr>
          <w:rFonts w:ascii="Palatino Linotype" w:eastAsia="Palatino Linotype" w:hAnsi="Palatino Linotype" w:cs="Palatino Linotype"/>
        </w:rPr>
        <w:t xml:space="preserve"> la respuesta emitida por el </w:t>
      </w:r>
      <w:r w:rsidRPr="0072535F">
        <w:rPr>
          <w:rFonts w:ascii="Palatino Linotype" w:eastAsia="Palatino Linotype" w:hAnsi="Palatino Linotype" w:cs="Palatino Linotype"/>
          <w:b/>
        </w:rPr>
        <w:t xml:space="preserve">SUJETO OBLIGADO </w:t>
      </w:r>
      <w:r w:rsidRPr="0072535F">
        <w:rPr>
          <w:rFonts w:ascii="Palatino Linotype" w:eastAsia="Palatino Linotype" w:hAnsi="Palatino Linotype" w:cs="Palatino Linotype"/>
        </w:rPr>
        <w:t>y se ordena, haga entrega vía Sistema de Acceso a la Información Mexiquense (SAIMEX), de ser procedente, en versión pública, la siguiente información:</w:t>
      </w:r>
    </w:p>
    <w:p w:rsidR="009A2CCD" w:rsidRPr="0072535F" w:rsidRDefault="009A2CCD">
      <w:pPr>
        <w:pBdr>
          <w:top w:val="nil"/>
          <w:left w:val="nil"/>
          <w:bottom w:val="nil"/>
          <w:right w:val="nil"/>
          <w:between w:val="nil"/>
        </w:pBdr>
      </w:pPr>
    </w:p>
    <w:p w:rsidR="009A2CCD" w:rsidRPr="0072535F" w:rsidRDefault="00860E18">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rPr>
        <w:t xml:space="preserve">Acuerdo que emita el Comité de Transparencia por el cual se clasifique como reservado el nombre de personal operativo adscrito a la Agencia del Ministerio Público de Huhuetoca, al veintiuno de abril de dos mil veintidós;  </w:t>
      </w:r>
    </w:p>
    <w:p w:rsidR="009A2CCD" w:rsidRPr="0072535F" w:rsidRDefault="00860E18">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i/>
        </w:rPr>
      </w:pPr>
      <w:r w:rsidRPr="0072535F">
        <w:rPr>
          <w:rFonts w:ascii="Palatino Linotype" w:eastAsia="Palatino Linotype" w:hAnsi="Palatino Linotype" w:cs="Palatino Linotype"/>
        </w:rPr>
        <w:t xml:space="preserve">El o  los documento donde conste el </w:t>
      </w:r>
      <w:r w:rsidRPr="0072535F">
        <w:rPr>
          <w:rFonts w:ascii="Palatino Linotype" w:eastAsia="Palatino Linotype" w:hAnsi="Palatino Linotype" w:cs="Palatino Linotype"/>
          <w:b/>
        </w:rPr>
        <w:t>cargo y sueldo</w:t>
      </w:r>
      <w:r w:rsidRPr="0072535F">
        <w:rPr>
          <w:rFonts w:ascii="Palatino Linotype" w:eastAsia="Palatino Linotype" w:hAnsi="Palatino Linotype" w:cs="Palatino Linotype"/>
        </w:rPr>
        <w:t xml:space="preserve"> del personal operativo adscrito a la Agencia del Ministerio Público de Huhuetoca, al veintiuno de abril de dos mil veintidós;</w:t>
      </w:r>
    </w:p>
    <w:p w:rsidR="009A2CCD" w:rsidRPr="0072535F" w:rsidRDefault="00860E18">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i/>
        </w:rPr>
      </w:pPr>
      <w:r w:rsidRPr="0072535F">
        <w:rPr>
          <w:rFonts w:ascii="Palatino Linotype" w:eastAsia="Palatino Linotype" w:hAnsi="Palatino Linotype" w:cs="Palatino Linotype"/>
        </w:rPr>
        <w:lastRenderedPageBreak/>
        <w:t xml:space="preserve">El o los documentos donde conste el nombre, cargo y sueldo del personal administrativo adscrito a la Agencia del Ministerio Público de Huhuetoca, al veintiuno de abril de dos mil veintidós.  </w:t>
      </w:r>
    </w:p>
    <w:p w:rsidR="009A2CCD" w:rsidRPr="0072535F" w:rsidRDefault="009A2CCD">
      <w:pPr>
        <w:pBdr>
          <w:top w:val="nil"/>
          <w:left w:val="nil"/>
          <w:bottom w:val="nil"/>
          <w:right w:val="nil"/>
          <w:between w:val="nil"/>
        </w:pBdr>
        <w:spacing w:line="360" w:lineRule="auto"/>
        <w:ind w:left="782"/>
        <w:jc w:val="both"/>
        <w:rPr>
          <w:rFonts w:ascii="Palatino Linotype" w:eastAsia="Palatino Linotype" w:hAnsi="Palatino Linotype" w:cs="Palatino Linotype"/>
          <w:i/>
        </w:rPr>
      </w:pPr>
    </w:p>
    <w:p w:rsidR="009A2CCD" w:rsidRPr="0072535F" w:rsidRDefault="00860E18">
      <w:pPr>
        <w:pBdr>
          <w:top w:val="nil"/>
          <w:left w:val="nil"/>
          <w:bottom w:val="nil"/>
          <w:right w:val="nil"/>
          <w:between w:val="nil"/>
        </w:pBdr>
        <w:spacing w:line="276" w:lineRule="auto"/>
        <w:ind w:left="782"/>
        <w:jc w:val="both"/>
        <w:rPr>
          <w:rFonts w:ascii="Palatino Linotype" w:eastAsia="Palatino Linotype" w:hAnsi="Palatino Linotype" w:cs="Palatino Linotype"/>
          <w:i/>
        </w:rPr>
      </w:pPr>
      <w:r w:rsidRPr="0072535F">
        <w:rPr>
          <w:rFonts w:ascii="Palatino Linotype" w:eastAsia="Palatino Linotype" w:hAnsi="Palatino Linotype" w:cs="Palatino Linotype"/>
          <w:i/>
        </w:rPr>
        <w:t>En el caso de los numerales  2 y 3, 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Recurrente.</w:t>
      </w:r>
    </w:p>
    <w:p w:rsidR="009A2CCD" w:rsidRPr="0072535F" w:rsidRDefault="009A2CCD">
      <w:pPr>
        <w:pBdr>
          <w:top w:val="nil"/>
          <w:left w:val="nil"/>
          <w:bottom w:val="nil"/>
          <w:right w:val="nil"/>
          <w:between w:val="nil"/>
        </w:pBdr>
        <w:spacing w:line="360" w:lineRule="auto"/>
        <w:ind w:left="782"/>
        <w:jc w:val="both"/>
        <w:rPr>
          <w:rFonts w:ascii="Palatino Linotype" w:eastAsia="Palatino Linotype" w:hAnsi="Palatino Linotype" w:cs="Palatino Linotype"/>
          <w:i/>
        </w:rPr>
      </w:pP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b/>
        </w:rPr>
        <w:t>TERCERO.</w:t>
      </w:r>
      <w:r w:rsidRPr="0072535F">
        <w:rPr>
          <w:rFonts w:ascii="Palatino Linotype" w:eastAsia="Palatino Linotype" w:hAnsi="Palatino Linotype" w:cs="Palatino Linotype"/>
          <w:b/>
          <w:sz w:val="28"/>
          <w:szCs w:val="28"/>
        </w:rPr>
        <w:t xml:space="preserve"> </w:t>
      </w:r>
      <w:r w:rsidRPr="0072535F">
        <w:rPr>
          <w:rFonts w:ascii="Palatino Linotype" w:eastAsia="Palatino Linotype" w:hAnsi="Palatino Linotype" w:cs="Palatino Linotype"/>
          <w:b/>
        </w:rPr>
        <w:t xml:space="preserve">Notifíquese, vía SAIMEX </w:t>
      </w:r>
      <w:r w:rsidRPr="0072535F">
        <w:rPr>
          <w:rFonts w:ascii="Palatino Linotype" w:eastAsia="Palatino Linotype" w:hAnsi="Palatino Linotype" w:cs="Palatino Linotype"/>
        </w:rPr>
        <w:t>al Responsable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p>
    <w:p w:rsidR="009A2CCD" w:rsidRPr="0072535F" w:rsidRDefault="00860E18">
      <w:pPr>
        <w:spacing w:before="240" w:after="24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b/>
        </w:rPr>
        <w:t xml:space="preserve">CUARTO. </w:t>
      </w:r>
      <w:r w:rsidRPr="0072535F">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9A2CCD" w:rsidRPr="0072535F" w:rsidRDefault="00860E18">
      <w:pPr>
        <w:pBdr>
          <w:top w:val="nil"/>
          <w:left w:val="nil"/>
          <w:bottom w:val="nil"/>
          <w:right w:val="nil"/>
          <w:between w:val="nil"/>
        </w:pBdr>
        <w:spacing w:after="120" w:line="360" w:lineRule="auto"/>
        <w:jc w:val="both"/>
        <w:rPr>
          <w:rFonts w:ascii="Palatino Linotype" w:eastAsia="Palatino Linotype" w:hAnsi="Palatino Linotype" w:cs="Palatino Linotype"/>
        </w:rPr>
      </w:pPr>
      <w:r w:rsidRPr="0072535F">
        <w:rPr>
          <w:rFonts w:ascii="Palatino Linotype" w:eastAsia="Palatino Linotype" w:hAnsi="Palatino Linotype" w:cs="Palatino Linotype"/>
          <w:b/>
        </w:rPr>
        <w:t xml:space="preserve">QUINTO. Notifíquese </w:t>
      </w:r>
      <w:r w:rsidRPr="0072535F">
        <w:rPr>
          <w:rFonts w:ascii="Palatino Linotype" w:eastAsia="Palatino Linotype" w:hAnsi="Palatino Linotype" w:cs="Palatino Linotype"/>
        </w:rPr>
        <w:t>vía Sistema de Acceso a la Información Mexiquense (SAIMEX),</w:t>
      </w:r>
      <w:r w:rsidRPr="0072535F">
        <w:rPr>
          <w:rFonts w:ascii="Palatino Linotype" w:eastAsia="Palatino Linotype" w:hAnsi="Palatino Linotype" w:cs="Palatino Linotype"/>
          <w:b/>
        </w:rPr>
        <w:t xml:space="preserve"> </w:t>
      </w:r>
      <w:r w:rsidRPr="0072535F">
        <w:rPr>
          <w:rFonts w:ascii="Palatino Linotype" w:eastAsia="Palatino Linotype" w:hAnsi="Palatino Linotype" w:cs="Palatino Linotype"/>
        </w:rPr>
        <w:t xml:space="preserve">la presente resolución a la parte recurrente, así como, que de conformidad con lo establecido en el artículo 196 de la Ley de Transparencia y </w:t>
      </w:r>
      <w:r w:rsidRPr="0072535F">
        <w:rPr>
          <w:rFonts w:ascii="Palatino Linotype" w:eastAsia="Palatino Linotype" w:hAnsi="Palatino Linotype" w:cs="Palatino Linotype"/>
        </w:rPr>
        <w:lastRenderedPageBreak/>
        <w:t>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9A2CCD" w:rsidRPr="0072535F" w:rsidRDefault="00860E18">
      <w:pPr>
        <w:spacing w:before="240" w:after="240" w:line="360" w:lineRule="auto"/>
        <w:jc w:val="both"/>
        <w:rPr>
          <w:rFonts w:ascii="Palatino Linotype" w:eastAsia="Palatino Linotype" w:hAnsi="Palatino Linotype" w:cs="Palatino Linotype"/>
          <w:sz w:val="20"/>
          <w:szCs w:val="20"/>
        </w:rPr>
      </w:pPr>
      <w:r w:rsidRPr="0072535F">
        <w:rPr>
          <w:rFonts w:ascii="Palatino Linotype" w:eastAsia="Palatino Linotype" w:hAnsi="Palatino Linotype" w:cs="Palatino Linotype"/>
        </w:rPr>
        <w:t xml:space="preserve"> ASÍ LO RESUELVE, POR </w:t>
      </w:r>
      <w:r w:rsidR="008A6AD8" w:rsidRPr="0072535F">
        <w:rPr>
          <w:rFonts w:ascii="Palatino Linotype" w:eastAsia="Palatino Linotype" w:hAnsi="Palatino Linotype" w:cs="Palatino Linotype"/>
        </w:rPr>
        <w:t>MAYORIA</w:t>
      </w:r>
      <w:r w:rsidRPr="0072535F">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w:t>
      </w:r>
      <w:r w:rsidR="008A6AD8" w:rsidRPr="0072535F">
        <w:rPr>
          <w:rFonts w:ascii="Palatino Linotype" w:eastAsia="Palatino Linotype" w:hAnsi="Palatino Linotype" w:cs="Palatino Linotype"/>
        </w:rPr>
        <w:t xml:space="preserve"> EMITIENDO VOTO PARTICULAR</w:t>
      </w:r>
      <w:r w:rsidRPr="0072535F">
        <w:rPr>
          <w:rFonts w:ascii="Palatino Linotype" w:eastAsia="Palatino Linotype" w:hAnsi="Palatino Linotype" w:cs="Palatino Linotype"/>
        </w:rPr>
        <w:t>; MARÍA DEL ROSARIO MEJÍA AYALA, SHARON CRISTINA MORALES MARTÍNEZ</w:t>
      </w:r>
      <w:r w:rsidR="008A6AD8" w:rsidRPr="0072535F">
        <w:rPr>
          <w:rFonts w:ascii="Palatino Linotype" w:eastAsia="Palatino Linotype" w:hAnsi="Palatino Linotype" w:cs="Palatino Linotype"/>
        </w:rPr>
        <w:t xml:space="preserve"> EMITIENDO VOTO DISIDENTE</w:t>
      </w:r>
      <w:r w:rsidRPr="0072535F">
        <w:rPr>
          <w:rFonts w:ascii="Palatino Linotype" w:eastAsia="Palatino Linotype" w:hAnsi="Palatino Linotype" w:cs="Palatino Linotype"/>
        </w:rPr>
        <w:t>; LUIS GUSTAVO PARRA NORIEGA</w:t>
      </w:r>
      <w:r w:rsidR="008A6AD8" w:rsidRPr="0072535F">
        <w:rPr>
          <w:rFonts w:ascii="Palatino Linotype" w:eastAsia="Palatino Linotype" w:hAnsi="Palatino Linotype" w:cs="Palatino Linotype"/>
        </w:rPr>
        <w:t xml:space="preserve"> EMITIENDO VOTO PARTICULAR</w:t>
      </w:r>
      <w:r w:rsidRPr="0072535F">
        <w:rPr>
          <w:rFonts w:ascii="Palatino Linotype" w:eastAsia="Palatino Linotype" w:hAnsi="Palatino Linotype" w:cs="Palatino Linotype"/>
        </w:rPr>
        <w:t xml:space="preserve"> Y GUADALUPE RAMÍREZ PEÑA; EN LA TRIGÉSIMA QUINTA SESIÓN ORDINARIA CELEBRADA EL VEINTIOCHO DE SEPTIEMBRE DE DOS MIL VEINTIDÓS, ANTE EL SECRETARIO TÉCNICO DEL PLENO, ALEXIS TAPIA RAMÍREZ.</w:t>
      </w:r>
    </w:p>
    <w:p w:rsidR="009A2CCD" w:rsidRPr="0072535F" w:rsidRDefault="009A2CCD">
      <w:pPr>
        <w:spacing w:before="240" w:after="240"/>
        <w:jc w:val="both"/>
        <w:rPr>
          <w:rFonts w:ascii="Palatino Linotype" w:eastAsia="Palatino Linotype" w:hAnsi="Palatino Linotype" w:cs="Palatino Linotype"/>
          <w:sz w:val="20"/>
          <w:szCs w:val="20"/>
        </w:rPr>
      </w:pPr>
    </w:p>
    <w:p w:rsidR="009A2CCD" w:rsidRPr="0072535F" w:rsidRDefault="009A2CCD">
      <w:pPr>
        <w:spacing w:before="240" w:after="240"/>
        <w:jc w:val="both"/>
        <w:rPr>
          <w:rFonts w:ascii="Palatino Linotype" w:eastAsia="Palatino Linotype" w:hAnsi="Palatino Linotype" w:cs="Palatino Linotype"/>
          <w:sz w:val="20"/>
          <w:szCs w:val="20"/>
        </w:rPr>
      </w:pPr>
    </w:p>
    <w:p w:rsidR="009A2CCD" w:rsidRPr="0072535F" w:rsidRDefault="009A2CCD">
      <w:pPr>
        <w:spacing w:before="240" w:after="240"/>
        <w:jc w:val="both"/>
        <w:rPr>
          <w:rFonts w:ascii="Palatino Linotype" w:eastAsia="Palatino Linotype" w:hAnsi="Palatino Linotype" w:cs="Palatino Linotype"/>
          <w:sz w:val="20"/>
          <w:szCs w:val="20"/>
        </w:rPr>
      </w:pPr>
    </w:p>
    <w:p w:rsidR="009A2CCD" w:rsidRPr="0072535F" w:rsidRDefault="009A2CCD">
      <w:pPr>
        <w:spacing w:before="240" w:after="240"/>
        <w:jc w:val="both"/>
        <w:rPr>
          <w:rFonts w:ascii="Palatino Linotype" w:eastAsia="Palatino Linotype" w:hAnsi="Palatino Linotype" w:cs="Palatino Linotype"/>
          <w:sz w:val="20"/>
          <w:szCs w:val="20"/>
        </w:rPr>
      </w:pPr>
    </w:p>
    <w:p w:rsidR="009A2CCD" w:rsidRPr="0072535F" w:rsidRDefault="009A2CCD">
      <w:pPr>
        <w:spacing w:before="240" w:after="240"/>
        <w:jc w:val="both"/>
        <w:rPr>
          <w:rFonts w:ascii="Palatino Linotype" w:eastAsia="Palatino Linotype" w:hAnsi="Palatino Linotype" w:cs="Palatino Linotype"/>
          <w:sz w:val="20"/>
          <w:szCs w:val="20"/>
        </w:rPr>
      </w:pPr>
    </w:p>
    <w:p w:rsidR="009A2CCD" w:rsidRPr="0072535F" w:rsidRDefault="009A2CCD">
      <w:pPr>
        <w:spacing w:before="240" w:after="240"/>
        <w:jc w:val="both"/>
        <w:rPr>
          <w:rFonts w:ascii="Palatino Linotype" w:eastAsia="Palatino Linotype" w:hAnsi="Palatino Linotype" w:cs="Palatino Linotype"/>
          <w:sz w:val="20"/>
          <w:szCs w:val="20"/>
        </w:rPr>
      </w:pPr>
    </w:p>
    <w:p w:rsidR="009A2CCD" w:rsidRPr="0072535F" w:rsidRDefault="009A2CCD">
      <w:pPr>
        <w:spacing w:before="240" w:after="240"/>
        <w:jc w:val="both"/>
        <w:rPr>
          <w:rFonts w:ascii="Palatino Linotype" w:eastAsia="Palatino Linotype" w:hAnsi="Palatino Linotype" w:cs="Palatino Linotype"/>
          <w:sz w:val="20"/>
          <w:szCs w:val="20"/>
        </w:rPr>
      </w:pPr>
    </w:p>
    <w:p w:rsidR="009A2CCD" w:rsidRPr="0072535F" w:rsidRDefault="009A2CCD">
      <w:pPr>
        <w:spacing w:before="240" w:after="240"/>
        <w:jc w:val="both"/>
        <w:rPr>
          <w:rFonts w:ascii="Palatino Linotype" w:eastAsia="Palatino Linotype" w:hAnsi="Palatino Linotype" w:cs="Palatino Linotype"/>
          <w:sz w:val="20"/>
          <w:szCs w:val="20"/>
        </w:rPr>
      </w:pPr>
    </w:p>
    <w:p w:rsidR="009A2CCD" w:rsidRPr="0072535F" w:rsidRDefault="009A2CCD">
      <w:pPr>
        <w:spacing w:before="240" w:after="240"/>
        <w:jc w:val="both"/>
        <w:rPr>
          <w:rFonts w:ascii="Palatino Linotype" w:eastAsia="Palatino Linotype" w:hAnsi="Palatino Linotype" w:cs="Palatino Linotype"/>
          <w:sz w:val="20"/>
          <w:szCs w:val="20"/>
        </w:rPr>
      </w:pPr>
    </w:p>
    <w:p w:rsidR="009A2CCD" w:rsidRPr="0072535F" w:rsidRDefault="009A2CCD">
      <w:pPr>
        <w:spacing w:before="240" w:after="240"/>
        <w:jc w:val="both"/>
        <w:rPr>
          <w:rFonts w:ascii="Palatino Linotype" w:eastAsia="Palatino Linotype" w:hAnsi="Palatino Linotype" w:cs="Palatino Linotype"/>
          <w:sz w:val="20"/>
          <w:szCs w:val="20"/>
        </w:rPr>
      </w:pPr>
    </w:p>
    <w:p w:rsidR="009A2CCD" w:rsidRPr="0072535F" w:rsidRDefault="009A2CCD">
      <w:pPr>
        <w:spacing w:before="240" w:after="240"/>
        <w:jc w:val="both"/>
        <w:rPr>
          <w:rFonts w:ascii="Palatino Linotype" w:eastAsia="Palatino Linotype" w:hAnsi="Palatino Linotype" w:cs="Palatino Linotype"/>
          <w:sz w:val="20"/>
          <w:szCs w:val="20"/>
        </w:rPr>
      </w:pPr>
    </w:p>
    <w:p w:rsidR="009A2CCD" w:rsidRPr="0072535F" w:rsidRDefault="009A2CCD">
      <w:pPr>
        <w:spacing w:before="240" w:after="240"/>
        <w:jc w:val="both"/>
        <w:rPr>
          <w:rFonts w:ascii="Palatino Linotype" w:eastAsia="Palatino Linotype" w:hAnsi="Palatino Linotype" w:cs="Palatino Linotype"/>
          <w:sz w:val="20"/>
          <w:szCs w:val="20"/>
        </w:rPr>
      </w:pPr>
    </w:p>
    <w:p w:rsidR="009A2CCD" w:rsidRPr="0072535F" w:rsidRDefault="009A2CCD">
      <w:pPr>
        <w:spacing w:before="240" w:after="240"/>
        <w:jc w:val="both"/>
        <w:rPr>
          <w:rFonts w:ascii="Palatino Linotype" w:eastAsia="Palatino Linotype" w:hAnsi="Palatino Linotype" w:cs="Palatino Linotype"/>
          <w:sz w:val="20"/>
          <w:szCs w:val="20"/>
        </w:rPr>
      </w:pPr>
    </w:p>
    <w:p w:rsidR="009A2CCD" w:rsidRPr="0072535F" w:rsidRDefault="009A2CCD">
      <w:pPr>
        <w:spacing w:before="240" w:after="240"/>
        <w:jc w:val="both"/>
        <w:rPr>
          <w:rFonts w:ascii="Palatino Linotype" w:eastAsia="Palatino Linotype" w:hAnsi="Palatino Linotype" w:cs="Palatino Linotype"/>
          <w:sz w:val="20"/>
          <w:szCs w:val="20"/>
        </w:rPr>
      </w:pPr>
    </w:p>
    <w:p w:rsidR="009A2CCD" w:rsidRPr="0072535F" w:rsidRDefault="009A2CCD">
      <w:pPr>
        <w:spacing w:before="240" w:after="240"/>
        <w:jc w:val="both"/>
        <w:rPr>
          <w:rFonts w:ascii="Palatino Linotype" w:eastAsia="Palatino Linotype" w:hAnsi="Palatino Linotype" w:cs="Palatino Linotype"/>
          <w:sz w:val="20"/>
          <w:szCs w:val="20"/>
        </w:rPr>
      </w:pPr>
    </w:p>
    <w:p w:rsidR="009A2CCD" w:rsidRPr="0072535F" w:rsidRDefault="009A2CCD">
      <w:pPr>
        <w:spacing w:before="240" w:after="240"/>
        <w:jc w:val="both"/>
        <w:rPr>
          <w:rFonts w:ascii="Palatino Linotype" w:eastAsia="Palatino Linotype" w:hAnsi="Palatino Linotype" w:cs="Palatino Linotype"/>
          <w:sz w:val="20"/>
          <w:szCs w:val="20"/>
        </w:rPr>
      </w:pPr>
    </w:p>
    <w:p w:rsidR="009A2CCD" w:rsidRPr="0072535F" w:rsidRDefault="009A2CCD">
      <w:pPr>
        <w:spacing w:before="240" w:after="240"/>
        <w:jc w:val="both"/>
        <w:rPr>
          <w:rFonts w:ascii="Palatino Linotype" w:eastAsia="Palatino Linotype" w:hAnsi="Palatino Linotype" w:cs="Palatino Linotype"/>
          <w:sz w:val="20"/>
          <w:szCs w:val="20"/>
        </w:rPr>
      </w:pPr>
    </w:p>
    <w:p w:rsidR="009A2CCD" w:rsidRPr="0072535F" w:rsidRDefault="009A2CCD">
      <w:pPr>
        <w:spacing w:before="240" w:after="240"/>
        <w:jc w:val="both"/>
        <w:rPr>
          <w:rFonts w:ascii="Palatino Linotype" w:eastAsia="Palatino Linotype" w:hAnsi="Palatino Linotype" w:cs="Palatino Linotype"/>
          <w:sz w:val="20"/>
          <w:szCs w:val="20"/>
        </w:rPr>
      </w:pPr>
    </w:p>
    <w:p w:rsidR="009A2CCD" w:rsidRPr="0072535F" w:rsidRDefault="009A2CCD">
      <w:pPr>
        <w:spacing w:before="240" w:after="240"/>
        <w:jc w:val="both"/>
        <w:rPr>
          <w:rFonts w:ascii="Palatino Linotype" w:eastAsia="Palatino Linotype" w:hAnsi="Palatino Linotype" w:cs="Palatino Linotype"/>
          <w:sz w:val="20"/>
          <w:szCs w:val="20"/>
        </w:rPr>
      </w:pPr>
    </w:p>
    <w:p w:rsidR="009A2CCD" w:rsidRPr="0072535F" w:rsidRDefault="009A2CCD">
      <w:pPr>
        <w:spacing w:before="240" w:after="240"/>
        <w:jc w:val="both"/>
        <w:rPr>
          <w:rFonts w:ascii="Palatino Linotype" w:eastAsia="Palatino Linotype" w:hAnsi="Palatino Linotype" w:cs="Palatino Linotype"/>
          <w:sz w:val="20"/>
          <w:szCs w:val="20"/>
        </w:rPr>
      </w:pPr>
    </w:p>
    <w:p w:rsidR="009A2CCD" w:rsidRPr="0072535F" w:rsidRDefault="009A2CCD">
      <w:pPr>
        <w:spacing w:before="240" w:after="240"/>
        <w:jc w:val="both"/>
        <w:rPr>
          <w:rFonts w:ascii="Palatino Linotype" w:eastAsia="Palatino Linotype" w:hAnsi="Palatino Linotype" w:cs="Palatino Linotype"/>
          <w:sz w:val="20"/>
          <w:szCs w:val="20"/>
        </w:rPr>
      </w:pPr>
    </w:p>
    <w:p w:rsidR="009A2CCD" w:rsidRPr="0072535F" w:rsidRDefault="009A2CCD">
      <w:pPr>
        <w:spacing w:before="240" w:after="240"/>
        <w:jc w:val="both"/>
        <w:rPr>
          <w:rFonts w:ascii="Palatino Linotype" w:eastAsia="Palatino Linotype" w:hAnsi="Palatino Linotype" w:cs="Palatino Linotype"/>
          <w:sz w:val="20"/>
          <w:szCs w:val="20"/>
        </w:rPr>
      </w:pPr>
    </w:p>
    <w:p w:rsidR="009A2CCD" w:rsidRPr="0072535F" w:rsidRDefault="009A2CCD">
      <w:pPr>
        <w:spacing w:before="240" w:after="240"/>
        <w:jc w:val="both"/>
        <w:rPr>
          <w:rFonts w:ascii="Palatino Linotype" w:eastAsia="Palatino Linotype" w:hAnsi="Palatino Linotype" w:cs="Palatino Linotype"/>
          <w:sz w:val="20"/>
          <w:szCs w:val="20"/>
        </w:rPr>
      </w:pPr>
    </w:p>
    <w:sectPr w:rsidR="009A2CCD" w:rsidRPr="0072535F">
      <w:headerReference w:type="default" r:id="rId24"/>
      <w:footerReference w:type="default" r:id="rId25"/>
      <w:headerReference w:type="first" r:id="rId26"/>
      <w:footerReference w:type="first" r:id="rId2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AB3" w:rsidRDefault="00593AB3">
      <w:r>
        <w:separator/>
      </w:r>
    </w:p>
  </w:endnote>
  <w:endnote w:type="continuationSeparator" w:id="0">
    <w:p w:rsidR="00593AB3" w:rsidRDefault="0059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CCD" w:rsidRDefault="00860E1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361CE">
      <w:rPr>
        <w:rFonts w:ascii="Palatino Linotype" w:eastAsia="Palatino Linotype" w:hAnsi="Palatino Linotype" w:cs="Palatino Linotype"/>
        <w:b/>
        <w:noProof/>
        <w:color w:val="000000"/>
        <w:sz w:val="20"/>
        <w:szCs w:val="20"/>
      </w:rPr>
      <w:t>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361CE">
      <w:rPr>
        <w:rFonts w:ascii="Palatino Linotype" w:eastAsia="Palatino Linotype" w:hAnsi="Palatino Linotype" w:cs="Palatino Linotype"/>
        <w:b/>
        <w:noProof/>
        <w:color w:val="000000"/>
        <w:sz w:val="20"/>
        <w:szCs w:val="20"/>
      </w:rPr>
      <w:t>61</w:t>
    </w:r>
    <w:r>
      <w:rPr>
        <w:rFonts w:ascii="Palatino Linotype" w:eastAsia="Palatino Linotype" w:hAnsi="Palatino Linotype" w:cs="Palatino Linotype"/>
        <w:b/>
        <w:color w:val="000000"/>
        <w:sz w:val="20"/>
        <w:szCs w:val="20"/>
      </w:rPr>
      <w:fldChar w:fldCharType="end"/>
    </w:r>
  </w:p>
  <w:p w:rsidR="009A2CCD" w:rsidRDefault="009A2CC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CCD" w:rsidRDefault="00860E1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361C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361CE">
      <w:rPr>
        <w:rFonts w:ascii="Palatino Linotype" w:eastAsia="Palatino Linotype" w:hAnsi="Palatino Linotype" w:cs="Palatino Linotype"/>
        <w:b/>
        <w:noProof/>
        <w:color w:val="000000"/>
        <w:sz w:val="20"/>
        <w:szCs w:val="20"/>
      </w:rPr>
      <w:t>61</w:t>
    </w:r>
    <w:r>
      <w:rPr>
        <w:rFonts w:ascii="Palatino Linotype" w:eastAsia="Palatino Linotype" w:hAnsi="Palatino Linotype" w:cs="Palatino Linotype"/>
        <w:b/>
        <w:color w:val="000000"/>
        <w:sz w:val="20"/>
        <w:szCs w:val="20"/>
      </w:rPr>
      <w:fldChar w:fldCharType="end"/>
    </w:r>
  </w:p>
  <w:p w:rsidR="009A2CCD" w:rsidRDefault="009A2CC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AB3" w:rsidRDefault="00593AB3">
      <w:r>
        <w:separator/>
      </w:r>
    </w:p>
  </w:footnote>
  <w:footnote w:type="continuationSeparator" w:id="0">
    <w:p w:rsidR="00593AB3" w:rsidRDefault="00593AB3">
      <w:r>
        <w:continuationSeparator/>
      </w:r>
    </w:p>
  </w:footnote>
  <w:footnote w:id="1">
    <w:p w:rsidR="009A2CCD" w:rsidRDefault="00860E18">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9A2CCD" w:rsidRDefault="00860E1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CCD" w:rsidRDefault="00860E18">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-1080128</wp:posOffset>
          </wp:positionH>
          <wp:positionV relativeFrom="paragraph">
            <wp:posOffset>-396395</wp:posOffset>
          </wp:positionV>
          <wp:extent cx="7809865" cy="10165715"/>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9A2CCD">
      <w:tc>
        <w:tcPr>
          <w:tcW w:w="2489" w:type="dxa"/>
          <w:shd w:val="clear" w:color="auto" w:fill="auto"/>
        </w:tcPr>
        <w:p w:rsidR="009A2CCD" w:rsidRDefault="00860E18">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9A2CCD" w:rsidRDefault="00860E18">
          <w:pPr>
            <w:ind w:right="175"/>
            <w:jc w:val="both"/>
            <w:rPr>
              <w:rFonts w:ascii="Palatino Linotype" w:eastAsia="Palatino Linotype" w:hAnsi="Palatino Linotype" w:cs="Palatino Linotype"/>
              <w:b/>
            </w:rPr>
          </w:pPr>
          <w:r>
            <w:rPr>
              <w:rFonts w:ascii="Palatino Linotype" w:eastAsia="Palatino Linotype" w:hAnsi="Palatino Linotype" w:cs="Palatino Linotype"/>
              <w:b/>
            </w:rPr>
            <w:t>09099/INFOEM/IP/RR/2022</w:t>
          </w:r>
        </w:p>
      </w:tc>
    </w:tr>
    <w:tr w:rsidR="009A2CCD">
      <w:trPr>
        <w:trHeight w:val="228"/>
      </w:trPr>
      <w:tc>
        <w:tcPr>
          <w:tcW w:w="2489" w:type="dxa"/>
          <w:shd w:val="clear" w:color="auto" w:fill="auto"/>
          <w:vAlign w:val="center"/>
        </w:tcPr>
        <w:p w:rsidR="009A2CCD" w:rsidRDefault="00860E18">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9A2CCD" w:rsidRDefault="00860E18">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Fiscalía General de Justicia del Estado de México</w:t>
          </w:r>
        </w:p>
      </w:tc>
    </w:tr>
    <w:tr w:rsidR="009A2CCD">
      <w:trPr>
        <w:trHeight w:val="311"/>
      </w:trPr>
      <w:tc>
        <w:tcPr>
          <w:tcW w:w="2489" w:type="dxa"/>
          <w:shd w:val="clear" w:color="auto" w:fill="auto"/>
          <w:vAlign w:val="center"/>
        </w:tcPr>
        <w:p w:rsidR="009A2CCD" w:rsidRDefault="00860E18">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9A2CCD" w:rsidRDefault="00860E18">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9A2CCD" w:rsidRDefault="00860E18">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CCD" w:rsidRDefault="00860E1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-1062354</wp:posOffset>
          </wp:positionH>
          <wp:positionV relativeFrom="paragraph">
            <wp:posOffset>-421004</wp:posOffset>
          </wp:positionV>
          <wp:extent cx="7809865" cy="10165715"/>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6095" w:type="dxa"/>
      <w:tblInd w:w="3261" w:type="dxa"/>
      <w:tblLayout w:type="fixed"/>
      <w:tblLook w:val="0400" w:firstRow="0" w:lastRow="0" w:firstColumn="0" w:lastColumn="0" w:noHBand="0" w:noVBand="1"/>
    </w:tblPr>
    <w:tblGrid>
      <w:gridCol w:w="2551"/>
      <w:gridCol w:w="3544"/>
    </w:tblGrid>
    <w:tr w:rsidR="009A2CCD">
      <w:tc>
        <w:tcPr>
          <w:tcW w:w="2551" w:type="dxa"/>
          <w:shd w:val="clear" w:color="auto" w:fill="auto"/>
          <w:vAlign w:val="center"/>
        </w:tcPr>
        <w:p w:rsidR="009A2CCD" w:rsidRDefault="00860E18">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rsidR="009A2CCD" w:rsidRDefault="00860E18">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09099/INFOEM/IP/RR/2022</w:t>
          </w:r>
        </w:p>
      </w:tc>
    </w:tr>
    <w:tr w:rsidR="009A2CCD">
      <w:trPr>
        <w:trHeight w:val="130"/>
      </w:trPr>
      <w:tc>
        <w:tcPr>
          <w:tcW w:w="2551" w:type="dxa"/>
          <w:shd w:val="clear" w:color="auto" w:fill="auto"/>
          <w:vAlign w:val="center"/>
        </w:tcPr>
        <w:p w:rsidR="009A2CCD" w:rsidRDefault="00860E18">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rsidR="009A2CCD" w:rsidRDefault="000361CE" w:rsidP="000361CE">
          <w:pPr>
            <w:jc w:val="both"/>
            <w:rPr>
              <w:rFonts w:ascii="Palatino Linotype" w:eastAsia="Palatino Linotype" w:hAnsi="Palatino Linotype" w:cs="Palatino Linotype"/>
              <w:b/>
            </w:rPr>
          </w:pPr>
          <w:r>
            <w:rPr>
              <w:rFonts w:ascii="Palatino Linotype" w:eastAsia="Palatino Linotype" w:hAnsi="Palatino Linotype" w:cs="Palatino Linotype"/>
              <w:b/>
            </w:rPr>
            <w:t>XXXXX XXXXXXX XXXXX XXXXXXXXX</w:t>
          </w:r>
        </w:p>
      </w:tc>
    </w:tr>
    <w:tr w:rsidR="009A2CCD">
      <w:trPr>
        <w:trHeight w:val="228"/>
      </w:trPr>
      <w:tc>
        <w:tcPr>
          <w:tcW w:w="2551" w:type="dxa"/>
          <w:shd w:val="clear" w:color="auto" w:fill="auto"/>
          <w:vAlign w:val="center"/>
        </w:tcPr>
        <w:p w:rsidR="009A2CCD" w:rsidRDefault="00860E18">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rsidR="009A2CCD" w:rsidRDefault="00860E18">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Fiscalía General de Justicia del Estado de México</w:t>
          </w:r>
        </w:p>
      </w:tc>
    </w:tr>
    <w:tr w:rsidR="009A2CCD">
      <w:tc>
        <w:tcPr>
          <w:tcW w:w="2551" w:type="dxa"/>
          <w:shd w:val="clear" w:color="auto" w:fill="auto"/>
          <w:vAlign w:val="center"/>
        </w:tcPr>
        <w:p w:rsidR="009A2CCD" w:rsidRDefault="00860E18">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rsidR="009A2CCD" w:rsidRDefault="00860E18">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9A2CCD" w:rsidRDefault="009A2CCD">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16690"/>
    <w:multiLevelType w:val="multilevel"/>
    <w:tmpl w:val="C3E48FD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9EF25BE"/>
    <w:multiLevelType w:val="multilevel"/>
    <w:tmpl w:val="3D9ACA3C"/>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 w15:restartNumberingAfterBreak="0">
    <w:nsid w:val="1B177700"/>
    <w:multiLevelType w:val="multilevel"/>
    <w:tmpl w:val="38EAC502"/>
    <w:lvl w:ilvl="0">
      <w:start w:val="1"/>
      <w:numFmt w:val="bullet"/>
      <w:pStyle w:val="Listaconvietas3"/>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BC169FF"/>
    <w:multiLevelType w:val="multilevel"/>
    <w:tmpl w:val="4CE45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D02FF2"/>
    <w:multiLevelType w:val="multilevel"/>
    <w:tmpl w:val="32C8714E"/>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36D425E9"/>
    <w:multiLevelType w:val="multilevel"/>
    <w:tmpl w:val="49883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A21B7A"/>
    <w:multiLevelType w:val="multilevel"/>
    <w:tmpl w:val="AD2AAA5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34B4B8D"/>
    <w:multiLevelType w:val="multilevel"/>
    <w:tmpl w:val="47EE046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12A1FD5"/>
    <w:multiLevelType w:val="multilevel"/>
    <w:tmpl w:val="C85C255C"/>
    <w:lvl w:ilvl="0">
      <w:start w:val="1"/>
      <w:numFmt w:val="decimal"/>
      <w:lvlText w:val="%1."/>
      <w:lvlJc w:val="left"/>
      <w:pPr>
        <w:ind w:left="782" w:hanging="360"/>
      </w:pPr>
      <w:rPr>
        <w:i w:val="0"/>
      </w:rPr>
    </w:lvl>
    <w:lvl w:ilvl="1">
      <w:start w:val="1"/>
      <w:numFmt w:val="lowerLetter"/>
      <w:lvlText w:val="%2."/>
      <w:lvlJc w:val="left"/>
      <w:pPr>
        <w:ind w:left="1502" w:hanging="360"/>
      </w:pPr>
    </w:lvl>
    <w:lvl w:ilvl="2">
      <w:start w:val="1"/>
      <w:numFmt w:val="lowerRoman"/>
      <w:lvlText w:val="%3."/>
      <w:lvlJc w:val="right"/>
      <w:pPr>
        <w:ind w:left="2222" w:hanging="180"/>
      </w:pPr>
    </w:lvl>
    <w:lvl w:ilvl="3">
      <w:start w:val="1"/>
      <w:numFmt w:val="decimal"/>
      <w:lvlText w:val="%4."/>
      <w:lvlJc w:val="left"/>
      <w:pPr>
        <w:ind w:left="2942" w:hanging="360"/>
      </w:pPr>
    </w:lvl>
    <w:lvl w:ilvl="4">
      <w:start w:val="1"/>
      <w:numFmt w:val="lowerLetter"/>
      <w:lvlText w:val="%5."/>
      <w:lvlJc w:val="left"/>
      <w:pPr>
        <w:ind w:left="3662" w:hanging="360"/>
      </w:pPr>
    </w:lvl>
    <w:lvl w:ilvl="5">
      <w:start w:val="1"/>
      <w:numFmt w:val="lowerRoman"/>
      <w:lvlText w:val="%6."/>
      <w:lvlJc w:val="right"/>
      <w:pPr>
        <w:ind w:left="4382" w:hanging="180"/>
      </w:pPr>
    </w:lvl>
    <w:lvl w:ilvl="6">
      <w:start w:val="1"/>
      <w:numFmt w:val="decimal"/>
      <w:lvlText w:val="%7."/>
      <w:lvlJc w:val="left"/>
      <w:pPr>
        <w:ind w:left="5102" w:hanging="360"/>
      </w:pPr>
    </w:lvl>
    <w:lvl w:ilvl="7">
      <w:start w:val="1"/>
      <w:numFmt w:val="lowerLetter"/>
      <w:lvlText w:val="%8."/>
      <w:lvlJc w:val="left"/>
      <w:pPr>
        <w:ind w:left="5822" w:hanging="360"/>
      </w:pPr>
    </w:lvl>
    <w:lvl w:ilvl="8">
      <w:start w:val="1"/>
      <w:numFmt w:val="lowerRoman"/>
      <w:lvlText w:val="%9."/>
      <w:lvlJc w:val="right"/>
      <w:pPr>
        <w:ind w:left="6542" w:hanging="180"/>
      </w:pPr>
    </w:lvl>
  </w:abstractNum>
  <w:abstractNum w:abstractNumId="9" w15:restartNumberingAfterBreak="0">
    <w:nsid w:val="7B59598D"/>
    <w:multiLevelType w:val="multilevel"/>
    <w:tmpl w:val="72523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5"/>
  </w:num>
  <w:num w:numId="4">
    <w:abstractNumId w:val="7"/>
  </w:num>
  <w:num w:numId="5">
    <w:abstractNumId w:val="9"/>
  </w:num>
  <w:num w:numId="6">
    <w:abstractNumId w:val="3"/>
  </w:num>
  <w:num w:numId="7">
    <w:abstractNumId w:val="4"/>
  </w:num>
  <w:num w:numId="8">
    <w:abstractNumId w:val="1"/>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CCD"/>
    <w:rsid w:val="000361CE"/>
    <w:rsid w:val="003523D1"/>
    <w:rsid w:val="00593AB3"/>
    <w:rsid w:val="0072535F"/>
    <w:rsid w:val="00860E18"/>
    <w:rsid w:val="008A6AD8"/>
    <w:rsid w:val="009A2CCD"/>
    <w:rsid w:val="00C750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284E27-AC47-4007-A777-11EF51564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left w:w="108" w:type="dxa"/>
        <w:right w:w="108" w:type="dxa"/>
      </w:tblCellMar>
    </w:tblPr>
  </w:style>
  <w:style w:type="table" w:customStyle="1" w:styleId="11">
    <w:name w:val="11"/>
    <w:basedOn w:val="TableNormal10"/>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left w:w="115" w:type="dxa"/>
        <w:right w:w="115" w:type="dxa"/>
      </w:tblCellMar>
    </w:tblPr>
  </w:style>
  <w:style w:type="table" w:customStyle="1" w:styleId="6">
    <w:name w:val="6"/>
    <w:basedOn w:val="TableNormal10"/>
    <w:rPr>
      <w:sz w:val="22"/>
      <w:szCs w:val="22"/>
    </w:rPr>
    <w:tblPr>
      <w:tblStyleRowBandSize w:val="1"/>
      <w:tblStyleColBandSize w:val="1"/>
      <w:tblCellMar>
        <w:left w:w="115" w:type="dxa"/>
        <w:right w:w="115" w:type="dxa"/>
      </w:tblCellMar>
    </w:tblPr>
  </w:style>
  <w:style w:type="table" w:customStyle="1" w:styleId="5">
    <w:name w:val="5"/>
    <w:basedOn w:val="TableNormal2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0"/>
    <w:rPr>
      <w:sz w:val="22"/>
      <w:szCs w:val="22"/>
    </w:rPr>
    <w:tblPr>
      <w:tblStyleRowBandSize w:val="1"/>
      <w:tblStyleColBandSize w:val="1"/>
      <w:tblCellMar>
        <w:left w:w="115" w:type="dxa"/>
        <w:right w:w="115" w:type="dxa"/>
      </w:tblCellMar>
    </w:tblPr>
  </w:style>
  <w:style w:type="table" w:customStyle="1" w:styleId="3">
    <w:name w:val="3"/>
    <w:basedOn w:val="TableNormal20"/>
    <w:rPr>
      <w:sz w:val="22"/>
      <w:szCs w:val="22"/>
    </w:rPr>
    <w:tblPr>
      <w:tblStyleRowBandSize w:val="1"/>
      <w:tblStyleColBandSize w:val="1"/>
      <w:tblCellMar>
        <w:left w:w="115" w:type="dxa"/>
        <w:right w:w="115" w:type="dxa"/>
      </w:tblCellMar>
    </w:tblPr>
  </w:style>
  <w:style w:type="table" w:customStyle="1" w:styleId="2">
    <w:name w:val="2"/>
    <w:basedOn w:val="TableNormal3"/>
    <w:rPr>
      <w:sz w:val="22"/>
      <w:szCs w:val="22"/>
    </w:rPr>
    <w:tblPr>
      <w:tblStyleRowBandSize w:val="1"/>
      <w:tblStyleColBandSize w:val="1"/>
      <w:tblCellMar>
        <w:left w:w="115" w:type="dxa"/>
        <w:right w:w="115" w:type="dxa"/>
      </w:tblCellMar>
    </w:tblPr>
  </w:style>
  <w:style w:type="table" w:customStyle="1" w:styleId="1">
    <w:name w:val="1"/>
    <w:basedOn w:val="TableNormal3"/>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2">
    <w:basedOn w:val="TableNormal2"/>
    <w:rPr>
      <w:sz w:val="22"/>
      <w:szCs w:val="22"/>
    </w:rPr>
    <w:tblPr>
      <w:tblStyleRowBandSize w:val="1"/>
      <w:tblStyleColBandSize w:val="1"/>
      <w:tblCellMar>
        <w:left w:w="115" w:type="dxa"/>
        <w:right w:w="115" w:type="dxa"/>
      </w:tblCellMar>
    </w:tblPr>
  </w:style>
  <w:style w:type="table" w:customStyle="1" w:styleId="a3">
    <w:basedOn w:val="TableNormal2"/>
    <w:rPr>
      <w:sz w:val="22"/>
      <w:szCs w:val="22"/>
    </w:rPr>
    <w:tblPr>
      <w:tblStyleRowBandSize w:val="1"/>
      <w:tblStyleColBandSize w:val="1"/>
      <w:tblCellMar>
        <w:left w:w="115" w:type="dxa"/>
        <w:right w:w="115" w:type="dxa"/>
      </w:tblCellMar>
    </w:tblPr>
  </w:style>
  <w:style w:type="table" w:customStyle="1" w:styleId="a4">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5">
    <w:basedOn w:val="TableNormal1"/>
    <w:rPr>
      <w:rFonts w:ascii="Calibri" w:eastAsia="Calibri" w:hAnsi="Calibri" w:cs="Calibri"/>
      <w:sz w:val="22"/>
      <w:szCs w:val="22"/>
    </w:rPr>
    <w:tblPr>
      <w:tblStyleRowBandSize w:val="1"/>
      <w:tblStyleColBandSize w:val="1"/>
      <w:tblCellMar>
        <w:left w:w="115" w:type="dxa"/>
        <w:right w:w="115" w:type="dxa"/>
      </w:tblCellMar>
    </w:tblPr>
  </w:style>
  <w:style w:type="paragraph" w:customStyle="1" w:styleId="Citas">
    <w:name w:val="Citas"/>
    <w:basedOn w:val="Normal"/>
    <w:qFormat/>
    <w:rsid w:val="00DD6E9E"/>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a6">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7">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8">
    <w:basedOn w:val="TableNormal0"/>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about:blank"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poKdW7ps5sI1YFYlOlVBvcABJA==">AMUW2mULFPQaODSbWi6X9gnLNQhhayEY020AiqTUfoeZgHRrBb4Vin1prKSp317aqsKHHMJl4GDzyDOZm1BCd9mTKmV9wiKVtkJLEGnl8lralvG2b9UiQXZ1EervzznR1NLlHK7oTwRHYAUfZsKzct/ArwOtSmUQBhGQPTiv9rDbh2hNZYMVZsc=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13944</Words>
  <Characters>76697</Characters>
  <Application>Microsoft Office Word</Application>
  <DocSecurity>0</DocSecurity>
  <Lines>639</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dcterms:created xsi:type="dcterms:W3CDTF">2022-10-05T18:37:00Z</dcterms:created>
  <dcterms:modified xsi:type="dcterms:W3CDTF">2022-10-05T18:37:00Z</dcterms:modified>
</cp:coreProperties>
</file>