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938B6" w:rsidR="00B7758C" w:rsidP="005B031E" w:rsidRDefault="00B7758C" w14:paraId="7B3EA888" w14:textId="77777777">
      <w:pPr>
        <w:spacing w:line="360" w:lineRule="auto"/>
        <w:contextualSpacing/>
        <w:jc w:val="both"/>
        <w:rPr>
          <w:rFonts w:ascii="Palatino Linotype" w:hAnsi="Palatino Linotype" w:cs="Tahoma"/>
          <w:bCs/>
          <w:sz w:val="22"/>
          <w:szCs w:val="22"/>
        </w:rPr>
      </w:pPr>
    </w:p>
    <w:p w:rsidRPr="00C938B6" w:rsidR="00801872" w:rsidP="005B031E" w:rsidRDefault="00801872" w14:paraId="2DD45082" w14:textId="34BCA92C">
      <w:pPr>
        <w:spacing w:line="360" w:lineRule="auto"/>
        <w:contextualSpacing/>
        <w:jc w:val="both"/>
        <w:rPr>
          <w:rFonts w:ascii="Palatino Linotype" w:hAnsi="Palatino Linotype"/>
          <w:noProof/>
          <w:sz w:val="22"/>
          <w:szCs w:val="22"/>
          <w:lang w:val="es-ES"/>
        </w:rPr>
      </w:pPr>
      <w:r w:rsidRPr="00C938B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A14307">
        <w:rPr>
          <w:rFonts w:ascii="Palatino Linotype" w:hAnsi="Palatino Linotype" w:cs="Tahoma"/>
          <w:bCs/>
          <w:sz w:val="22"/>
          <w:szCs w:val="22"/>
        </w:rPr>
        <w:t>diecinueve de enero de dos mil veintidós</w:t>
      </w:r>
      <w:r w:rsidRPr="00C938B6">
        <w:rPr>
          <w:rFonts w:ascii="Palatino Linotype" w:hAnsi="Palatino Linotype" w:cs="Tahoma"/>
          <w:bCs/>
          <w:sz w:val="22"/>
          <w:szCs w:val="22"/>
        </w:rPr>
        <w:t>.</w:t>
      </w:r>
    </w:p>
    <w:p w:rsidRPr="00C938B6" w:rsidR="00801872" w:rsidP="005B031E" w:rsidRDefault="00801872" w14:paraId="452162AB" w14:textId="77777777">
      <w:pPr>
        <w:spacing w:line="360" w:lineRule="auto"/>
        <w:contextualSpacing/>
        <w:jc w:val="both"/>
        <w:rPr>
          <w:rFonts w:ascii="Palatino Linotype" w:hAnsi="Palatino Linotype"/>
          <w:noProof/>
          <w:sz w:val="22"/>
          <w:szCs w:val="22"/>
          <w:lang w:val="es-ES"/>
        </w:rPr>
      </w:pPr>
    </w:p>
    <w:p w:rsidRPr="00C938B6" w:rsidR="00801872" w:rsidP="005B031E" w:rsidRDefault="00801872" w14:paraId="2CD312FD" w14:textId="7D24BC10">
      <w:pPr>
        <w:spacing w:line="360" w:lineRule="auto"/>
        <w:contextualSpacing/>
        <w:jc w:val="both"/>
        <w:rPr>
          <w:rFonts w:ascii="Palatino Linotype" w:hAnsi="Palatino Linotype" w:eastAsia="Calibri" w:cs="Tahoma"/>
          <w:sz w:val="22"/>
          <w:szCs w:val="22"/>
          <w:lang w:eastAsia="en-US"/>
        </w:rPr>
      </w:pPr>
      <w:r w:rsidRPr="6333DDB1" w:rsidR="6333DDB1">
        <w:rPr>
          <w:rFonts w:ascii="Palatino Linotype" w:hAnsi="Palatino Linotype" w:cs="Tahoma"/>
          <w:b w:val="1"/>
          <w:bCs w:val="1"/>
          <w:color w:val="0D0D0D" w:themeColor="text1" w:themeTint="F2" w:themeShade="FF"/>
          <w:sz w:val="22"/>
          <w:szCs w:val="22"/>
        </w:rPr>
        <w:t>VISTO</w:t>
      </w:r>
      <w:r w:rsidRPr="6333DDB1" w:rsidR="6333DDB1">
        <w:rPr>
          <w:rFonts w:ascii="Palatino Linotype" w:hAnsi="Palatino Linotype" w:cs="Tahoma"/>
          <w:color w:val="0D0D0D" w:themeColor="text1" w:themeTint="F2" w:themeShade="FF"/>
          <w:sz w:val="22"/>
          <w:szCs w:val="22"/>
        </w:rPr>
        <w:t xml:space="preserve"> el expediente conformado con motivo del Recurso de Revisión </w:t>
      </w:r>
      <w:r w:rsidRPr="6333DDB1" w:rsidR="6333DDB1">
        <w:rPr>
          <w:rFonts w:ascii="Palatino Linotype" w:hAnsi="Palatino Linotype" w:eastAsia="Calibri" w:cs="Tahoma"/>
          <w:sz w:val="22"/>
          <w:szCs w:val="22"/>
          <w:lang w:eastAsia="en-US"/>
        </w:rPr>
        <w:t xml:space="preserve">05779/INFOEM/IP/RR/2021, </w:t>
      </w:r>
      <w:r w:rsidRPr="6333DDB1" w:rsidR="6333DDB1">
        <w:rPr>
          <w:rFonts w:ascii="Palatino Linotype" w:hAnsi="Palatino Linotype" w:cs="Tahoma"/>
          <w:color w:val="0D0D0D" w:themeColor="text1" w:themeTint="F2" w:themeShade="FF"/>
          <w:sz w:val="22"/>
          <w:szCs w:val="22"/>
        </w:rPr>
        <w:t>interpuesto por</w:t>
      </w:r>
      <w:r w:rsidRPr="6333DDB1" w:rsidR="6333DDB1">
        <w:rPr>
          <w:rFonts w:ascii="Palatino Linotype" w:hAnsi="Palatino Linotype" w:eastAsia="Calibri" w:cs="Tahoma"/>
          <w:sz w:val="22"/>
          <w:szCs w:val="22"/>
          <w:lang w:eastAsia="en-US"/>
        </w:rPr>
        <w:t xml:space="preserve"> </w:t>
      </w:r>
      <w:r w:rsidRPr="6333DDB1" w:rsidR="6333DDB1">
        <w:rPr>
          <w:rFonts w:ascii="Palatino Linotype" w:hAnsi="Palatino Linotype" w:eastAsia="Calibri" w:cs="Tahoma"/>
          <w:sz w:val="22"/>
          <w:szCs w:val="22"/>
          <w:highlight w:val="black"/>
          <w:lang w:eastAsia="en-US"/>
        </w:rPr>
        <w:t>XXXXXXXX</w:t>
      </w:r>
      <w:r w:rsidRPr="6333DDB1" w:rsidR="6333DDB1">
        <w:rPr>
          <w:rFonts w:ascii="Palatino Linotype" w:hAnsi="Palatino Linotype" w:cs="Tahoma"/>
          <w:color w:val="0D0D0D" w:themeColor="text1" w:themeTint="F2" w:themeShade="FF"/>
          <w:sz w:val="22"/>
          <w:szCs w:val="22"/>
        </w:rPr>
        <w:t xml:space="preserve">, en lo sucesivo Recurrente o Particular, </w:t>
      </w:r>
      <w:r w:rsidRPr="6333DDB1" w:rsidR="6333DDB1">
        <w:rPr>
          <w:rFonts w:ascii="Palatino Linotype" w:hAnsi="Palatino Linotype" w:eastAsia="Calibri" w:cs="Tahoma"/>
          <w:sz w:val="22"/>
          <w:szCs w:val="22"/>
          <w:lang w:val="es-ES" w:eastAsia="en-US"/>
        </w:rPr>
        <w:t xml:space="preserve">en contra de la respuesta del Sujeto Obligado, </w:t>
      </w:r>
      <w:r w:rsidRPr="6333DDB1" w:rsidR="6333DDB1">
        <w:rPr>
          <w:rFonts w:ascii="Palatino Linotype" w:hAnsi="Palatino Linotype" w:eastAsia="Calibri" w:cs="Tahoma"/>
          <w:sz w:val="22"/>
          <w:szCs w:val="22"/>
          <w:lang w:eastAsia="en-US"/>
        </w:rPr>
        <w:t xml:space="preserve">Ayuntamiento de Texcoco, </w:t>
      </w:r>
      <w:r w:rsidRPr="6333DDB1" w:rsidR="6333DDB1">
        <w:rPr>
          <w:rFonts w:ascii="Palatino Linotype" w:hAnsi="Palatino Linotype" w:eastAsia="Calibri" w:cs="Tahoma"/>
          <w:sz w:val="22"/>
          <w:szCs w:val="22"/>
          <w:lang w:val="es-ES" w:eastAsia="en-US"/>
        </w:rPr>
        <w:t>a la solicitud de acceso a la información</w:t>
      </w:r>
      <w:r w:rsidRPr="6333DDB1" w:rsidR="6333DDB1">
        <w:rPr>
          <w:rFonts w:ascii="Palatino Linotype" w:hAnsi="Palatino Linotype" w:eastAsia="Calibri" w:cs="Tahoma"/>
          <w:sz w:val="22"/>
          <w:szCs w:val="22"/>
          <w:lang w:eastAsia="en-US"/>
        </w:rPr>
        <w:t xml:space="preserve"> 00272/TEXCOCO/IP/2021</w:t>
      </w:r>
      <w:r w:rsidRPr="6333DDB1" w:rsidR="6333DDB1">
        <w:rPr>
          <w:rFonts w:ascii="Palatino Linotype" w:hAnsi="Palatino Linotype" w:eastAsia="Calibri" w:cs="Tahoma"/>
          <w:sz w:val="22"/>
          <w:szCs w:val="22"/>
          <w:lang w:val="es-ES" w:eastAsia="en-US"/>
        </w:rPr>
        <w:t>, se emite la presente Resolución, con base en los Antecedentes y Consideraciones que a continuación se exponen:</w:t>
      </w:r>
    </w:p>
    <w:p w:rsidRPr="00C938B6" w:rsidR="00801872" w:rsidP="005B031E" w:rsidRDefault="00801872" w14:paraId="388C37B9" w14:textId="77777777">
      <w:pPr>
        <w:tabs>
          <w:tab w:val="left" w:pos="2835"/>
        </w:tabs>
        <w:spacing w:line="360" w:lineRule="auto"/>
        <w:ind w:right="-93"/>
        <w:contextualSpacing/>
        <w:jc w:val="both"/>
        <w:rPr>
          <w:rFonts w:ascii="Palatino Linotype" w:hAnsi="Palatino Linotype" w:eastAsia="Calibri" w:cs="Tahoma"/>
          <w:b/>
          <w:bCs/>
          <w:sz w:val="22"/>
          <w:szCs w:val="22"/>
          <w:lang w:eastAsia="en-US"/>
        </w:rPr>
      </w:pPr>
    </w:p>
    <w:p w:rsidRPr="00C938B6" w:rsidR="00801872" w:rsidP="005B031E" w:rsidRDefault="00801872" w14:paraId="76427671" w14:textId="77777777">
      <w:pPr>
        <w:spacing w:line="360" w:lineRule="auto"/>
        <w:ind w:right="-93"/>
        <w:contextualSpacing/>
        <w:jc w:val="center"/>
        <w:rPr>
          <w:rFonts w:ascii="Palatino Linotype" w:hAnsi="Palatino Linotype" w:eastAsia="Calibri" w:cs="Tahoma"/>
          <w:b/>
          <w:bCs/>
          <w:sz w:val="22"/>
          <w:szCs w:val="22"/>
          <w:lang w:eastAsia="en-US"/>
        </w:rPr>
      </w:pPr>
      <w:r w:rsidRPr="00C938B6">
        <w:rPr>
          <w:rFonts w:ascii="Palatino Linotype" w:hAnsi="Palatino Linotype" w:eastAsia="Calibri" w:cs="Tahoma"/>
          <w:b/>
          <w:bCs/>
          <w:sz w:val="22"/>
          <w:szCs w:val="22"/>
          <w:lang w:eastAsia="en-US"/>
        </w:rPr>
        <w:t>A N T E C E D E N T E S:</w:t>
      </w:r>
    </w:p>
    <w:p w:rsidRPr="00C938B6" w:rsidR="00801872" w:rsidP="005B031E" w:rsidRDefault="00801872" w14:paraId="6EC6BCC4" w14:textId="77777777">
      <w:pPr>
        <w:spacing w:line="360" w:lineRule="auto"/>
        <w:ind w:right="-93"/>
        <w:contextualSpacing/>
        <w:jc w:val="both"/>
        <w:rPr>
          <w:rFonts w:ascii="Palatino Linotype" w:hAnsi="Palatino Linotype" w:eastAsia="Calibri" w:cs="Tahoma"/>
          <w:bCs/>
          <w:sz w:val="22"/>
          <w:szCs w:val="22"/>
          <w:lang w:eastAsia="en-US"/>
        </w:rPr>
      </w:pPr>
    </w:p>
    <w:p w:rsidRPr="00C938B6" w:rsidR="00801872" w:rsidP="005B031E" w:rsidRDefault="00801872" w14:paraId="5944A4CF" w14:textId="77777777">
      <w:pPr>
        <w:spacing w:line="360" w:lineRule="auto"/>
        <w:contextualSpacing/>
        <w:jc w:val="both"/>
        <w:rPr>
          <w:rFonts w:ascii="Palatino Linotype" w:hAnsi="Palatino Linotype" w:eastAsia="Calibri" w:cs="Tahoma"/>
          <w:b/>
          <w:bCs/>
          <w:sz w:val="22"/>
          <w:szCs w:val="22"/>
          <w:lang w:eastAsia="en-US"/>
        </w:rPr>
      </w:pPr>
      <w:r w:rsidRPr="00C938B6">
        <w:rPr>
          <w:rFonts w:ascii="Palatino Linotype" w:hAnsi="Palatino Linotype" w:eastAsia="Calibri" w:cs="Tahoma"/>
          <w:b/>
          <w:bCs/>
          <w:sz w:val="22"/>
          <w:szCs w:val="22"/>
          <w:lang w:eastAsia="en-US"/>
        </w:rPr>
        <w:t xml:space="preserve">I. Presentación de la solicitud de información.  </w:t>
      </w:r>
    </w:p>
    <w:p w:rsidRPr="00C938B6" w:rsidR="00801872" w:rsidP="005B031E" w:rsidRDefault="00801872" w14:paraId="397391E9" w14:textId="77777777">
      <w:pPr>
        <w:autoSpaceDE w:val="0"/>
        <w:autoSpaceDN w:val="0"/>
        <w:adjustRightInd w:val="0"/>
        <w:spacing w:line="360" w:lineRule="auto"/>
        <w:jc w:val="both"/>
        <w:rPr>
          <w:rFonts w:ascii="Palatino Linotype" w:hAnsi="Palatino Linotype" w:cs="Tahoma"/>
          <w:sz w:val="22"/>
          <w:szCs w:val="22"/>
        </w:rPr>
      </w:pPr>
    </w:p>
    <w:p w:rsidR="00801872" w:rsidP="005B031E" w:rsidRDefault="00801872" w14:paraId="7BF8DBE2" w14:textId="42BE05BA">
      <w:pPr>
        <w:autoSpaceDE w:val="0"/>
        <w:autoSpaceDN w:val="0"/>
        <w:adjustRightInd w:val="0"/>
        <w:spacing w:line="360" w:lineRule="auto"/>
        <w:jc w:val="both"/>
        <w:rPr>
          <w:rFonts w:ascii="Palatino Linotype" w:hAnsi="Palatino Linotype" w:cs="Tahoma"/>
          <w:sz w:val="22"/>
          <w:szCs w:val="22"/>
        </w:rPr>
      </w:pPr>
      <w:r w:rsidRPr="00C938B6">
        <w:rPr>
          <w:rFonts w:ascii="Palatino Linotype" w:hAnsi="Palatino Linotype" w:cs="Tahoma"/>
          <w:sz w:val="22"/>
          <w:szCs w:val="22"/>
        </w:rPr>
        <w:t xml:space="preserve">Con fecha </w:t>
      </w:r>
      <w:r w:rsidR="00A14307">
        <w:rPr>
          <w:rFonts w:ascii="Palatino Linotype" w:hAnsi="Palatino Linotype" w:cs="Tahoma"/>
          <w:sz w:val="22"/>
          <w:szCs w:val="22"/>
        </w:rPr>
        <w:t>dieciocho de octubre de dos mil veintiuno, el Particular presentó una solicitud de acceso a la información pública a través del Sistema de Acceso a la Información Mexiquense (SAIMEX)</w:t>
      </w:r>
      <w:r w:rsidR="002D46B4">
        <w:rPr>
          <w:rFonts w:ascii="Palatino Linotype" w:hAnsi="Palatino Linotype" w:cs="Tahoma"/>
          <w:sz w:val="22"/>
          <w:szCs w:val="22"/>
        </w:rPr>
        <w:t xml:space="preserve"> </w:t>
      </w:r>
      <w:r w:rsidRPr="00C938B6" w:rsidR="00BE73E6">
        <w:rPr>
          <w:rFonts w:ascii="Palatino Linotype" w:hAnsi="Palatino Linotype" w:eastAsia="Calibri" w:cs="Tahoma"/>
          <w:color w:val="000000"/>
          <w:sz w:val="22"/>
          <w:szCs w:val="22"/>
          <w:lang w:eastAsia="en-US"/>
        </w:rPr>
        <w:t>mediante la cual requirió:</w:t>
      </w:r>
    </w:p>
    <w:p w:rsidRPr="002D46B4" w:rsidR="002D46B4" w:rsidP="005B031E" w:rsidRDefault="002D46B4" w14:paraId="0EEE8EAF" w14:textId="77777777">
      <w:pPr>
        <w:autoSpaceDE w:val="0"/>
        <w:autoSpaceDN w:val="0"/>
        <w:adjustRightInd w:val="0"/>
        <w:spacing w:line="360" w:lineRule="auto"/>
        <w:jc w:val="both"/>
        <w:rPr>
          <w:rFonts w:ascii="Palatino Linotype" w:hAnsi="Palatino Linotype" w:cs="Tahoma"/>
          <w:sz w:val="22"/>
          <w:szCs w:val="22"/>
        </w:rPr>
      </w:pPr>
    </w:p>
    <w:p w:rsidRPr="00C938B6" w:rsidR="00801872" w:rsidP="005B031E" w:rsidRDefault="00801872" w14:paraId="15187AB8" w14:textId="1F8608C0">
      <w:pPr>
        <w:spacing w:line="360" w:lineRule="auto"/>
        <w:ind w:left="567" w:right="567"/>
        <w:contextualSpacing/>
        <w:rPr>
          <w:rFonts w:ascii="Palatino Linotype" w:hAnsi="Palatino Linotype" w:cs="Tahoma"/>
          <w:b/>
          <w:i/>
          <w:iCs/>
        </w:rPr>
      </w:pPr>
      <w:r w:rsidRPr="00C938B6">
        <w:rPr>
          <w:rFonts w:ascii="Palatino Linotype" w:hAnsi="Palatino Linotype" w:cs="Tahoma"/>
          <w:b/>
          <w:i/>
          <w:iCs/>
        </w:rPr>
        <w:t>DESCRIPCIÓN CLARA Y PRECISA DE LA INFORMACIÓN SOLICITADA</w:t>
      </w:r>
    </w:p>
    <w:p w:rsidRPr="00C938B6" w:rsidR="00801872" w:rsidP="005B031E" w:rsidRDefault="002D46B4" w14:paraId="6728A402" w14:textId="16F48171">
      <w:pPr>
        <w:spacing w:line="360" w:lineRule="auto"/>
        <w:ind w:left="567" w:right="567"/>
        <w:contextualSpacing/>
        <w:jc w:val="both"/>
        <w:rPr>
          <w:rFonts w:ascii="Palatino Linotype" w:hAnsi="Palatino Linotype"/>
          <w:bCs/>
          <w:i/>
          <w:iCs/>
          <w:color w:val="000000"/>
        </w:rPr>
      </w:pPr>
      <w:r>
        <w:rPr>
          <w:rFonts w:ascii="Palatino Linotype" w:hAnsi="Palatino Linotype"/>
          <w:bCs/>
          <w:i/>
          <w:iCs/>
          <w:color w:val="000000"/>
        </w:rPr>
        <w:t>“</w:t>
      </w:r>
      <w:r w:rsidRPr="002D46B4">
        <w:rPr>
          <w:rFonts w:ascii="Palatino Linotype" w:hAnsi="Palatino Linotype"/>
          <w:bCs/>
          <w:i/>
          <w:iCs/>
          <w:color w:val="000000"/>
        </w:rPr>
        <w:t>Quiero saber el sueldo quincenal bruto y neto del C. Mario Esteban Sánchez Gómez, así como sus recibos de nómina del m</w:t>
      </w:r>
      <w:r>
        <w:rPr>
          <w:rFonts w:ascii="Palatino Linotype" w:hAnsi="Palatino Linotype"/>
          <w:bCs/>
          <w:i/>
          <w:iCs/>
          <w:color w:val="000000"/>
        </w:rPr>
        <w:t>es de agosto en versión pública</w:t>
      </w:r>
      <w:r w:rsidRPr="00C938B6" w:rsidR="00801872">
        <w:rPr>
          <w:rFonts w:ascii="Palatino Linotype" w:hAnsi="Palatino Linotype"/>
          <w:bCs/>
          <w:i/>
          <w:iCs/>
          <w:color w:val="000000"/>
        </w:rPr>
        <w:t>”</w:t>
      </w:r>
      <w:r>
        <w:rPr>
          <w:rFonts w:ascii="Palatino Linotype" w:hAnsi="Palatino Linotype"/>
          <w:bCs/>
          <w:i/>
          <w:iCs/>
          <w:color w:val="000000"/>
        </w:rPr>
        <w:t xml:space="preserve">. </w:t>
      </w:r>
      <w:r w:rsidRPr="00C938B6" w:rsidR="00801872">
        <w:rPr>
          <w:rFonts w:ascii="Palatino Linotype" w:hAnsi="Palatino Linotype"/>
          <w:bCs/>
          <w:i/>
          <w:iCs/>
          <w:color w:val="000000"/>
        </w:rPr>
        <w:t xml:space="preserve">(Sic) </w:t>
      </w:r>
    </w:p>
    <w:p w:rsidRPr="00C938B6" w:rsidR="00801872" w:rsidP="005B031E" w:rsidRDefault="00801872" w14:paraId="1D28BF4A" w14:textId="77777777">
      <w:pPr>
        <w:spacing w:line="360" w:lineRule="auto"/>
        <w:ind w:left="567" w:right="567"/>
        <w:contextualSpacing/>
        <w:jc w:val="both"/>
        <w:rPr>
          <w:rFonts w:ascii="Palatino Linotype" w:hAnsi="Palatino Linotype"/>
          <w:bCs/>
          <w:i/>
          <w:iCs/>
          <w:color w:val="000000"/>
        </w:rPr>
      </w:pPr>
    </w:p>
    <w:p w:rsidRPr="00C938B6" w:rsidR="00801872" w:rsidP="005B031E" w:rsidRDefault="00801872" w14:paraId="3F3F3633" w14:textId="77777777">
      <w:pPr>
        <w:tabs>
          <w:tab w:val="left" w:pos="4667"/>
        </w:tabs>
        <w:spacing w:line="360" w:lineRule="auto"/>
        <w:ind w:left="567" w:right="567"/>
        <w:rPr>
          <w:rFonts w:ascii="Palatino Linotype" w:hAnsi="Palatino Linotype" w:cs="Tahoma"/>
          <w:b/>
          <w:bCs/>
          <w:i/>
          <w:iCs/>
        </w:rPr>
      </w:pPr>
      <w:r w:rsidRPr="00C938B6">
        <w:rPr>
          <w:rFonts w:ascii="Palatino Linotype" w:hAnsi="Palatino Linotype" w:cs="Tahoma"/>
          <w:b/>
          <w:bCs/>
          <w:i/>
          <w:iCs/>
        </w:rPr>
        <w:t>“MODALIDAD DE ENTREGA</w:t>
      </w:r>
    </w:p>
    <w:p w:rsidRPr="00C938B6" w:rsidR="00801872" w:rsidP="005B031E" w:rsidRDefault="00801872" w14:paraId="770F24D5" w14:textId="77777777">
      <w:pPr>
        <w:spacing w:line="360" w:lineRule="auto"/>
        <w:ind w:left="567" w:right="567"/>
        <w:rPr>
          <w:rFonts w:ascii="Palatino Linotype" w:hAnsi="Palatino Linotype" w:cs="Arial"/>
          <w:bCs/>
          <w:i/>
          <w:iCs/>
        </w:rPr>
      </w:pPr>
      <w:r w:rsidRPr="00C938B6">
        <w:rPr>
          <w:rFonts w:ascii="Palatino Linotype" w:hAnsi="Palatino Linotype" w:cs="Arial"/>
          <w:bCs/>
          <w:i/>
          <w:iCs/>
        </w:rPr>
        <w:t>A través del SAIMEX”</w:t>
      </w:r>
    </w:p>
    <w:p w:rsidR="00801872" w:rsidP="005B031E" w:rsidRDefault="00801872" w14:paraId="1B04E536" w14:textId="77777777">
      <w:pPr>
        <w:autoSpaceDE w:val="0"/>
        <w:autoSpaceDN w:val="0"/>
        <w:adjustRightInd w:val="0"/>
        <w:spacing w:line="360" w:lineRule="auto"/>
        <w:jc w:val="both"/>
        <w:rPr>
          <w:rFonts w:ascii="Palatino Linotype" w:hAnsi="Palatino Linotype" w:eastAsia="Calibri" w:cs="Tahoma"/>
          <w:b/>
          <w:color w:val="000000" w:themeColor="text1"/>
          <w:sz w:val="22"/>
          <w:szCs w:val="22"/>
          <w:lang w:eastAsia="en-US"/>
        </w:rPr>
      </w:pPr>
    </w:p>
    <w:p w:rsidR="002D46B4" w:rsidP="005B031E" w:rsidRDefault="002D46B4" w14:paraId="3D1683DF" w14:textId="77777777">
      <w:pPr>
        <w:autoSpaceDE w:val="0"/>
        <w:autoSpaceDN w:val="0"/>
        <w:adjustRightInd w:val="0"/>
        <w:spacing w:line="360" w:lineRule="auto"/>
        <w:jc w:val="both"/>
        <w:rPr>
          <w:rFonts w:ascii="Palatino Linotype" w:hAnsi="Palatino Linotype" w:eastAsia="Calibri" w:cs="Tahoma"/>
          <w:b/>
          <w:color w:val="000000" w:themeColor="text1"/>
          <w:sz w:val="22"/>
          <w:szCs w:val="22"/>
          <w:lang w:eastAsia="en-US"/>
        </w:rPr>
      </w:pPr>
    </w:p>
    <w:p w:rsidRPr="00C938B6" w:rsidR="002D46B4" w:rsidP="005B031E" w:rsidRDefault="002D46B4" w14:paraId="23CDE837" w14:textId="77777777">
      <w:pPr>
        <w:autoSpaceDE w:val="0"/>
        <w:autoSpaceDN w:val="0"/>
        <w:adjustRightInd w:val="0"/>
        <w:spacing w:line="360" w:lineRule="auto"/>
        <w:jc w:val="both"/>
        <w:rPr>
          <w:rFonts w:ascii="Palatino Linotype" w:hAnsi="Palatino Linotype" w:eastAsia="Calibri" w:cs="Tahoma"/>
          <w:b/>
          <w:color w:val="000000" w:themeColor="text1"/>
          <w:sz w:val="22"/>
          <w:szCs w:val="22"/>
          <w:lang w:eastAsia="en-US"/>
        </w:rPr>
      </w:pPr>
    </w:p>
    <w:p w:rsidRPr="00C938B6" w:rsidR="00801872" w:rsidP="005B031E" w:rsidRDefault="00801872" w14:paraId="25D9F666" w14:textId="77777777">
      <w:pPr>
        <w:pStyle w:val="Prrafodelista"/>
        <w:tabs>
          <w:tab w:val="left" w:pos="567"/>
        </w:tabs>
        <w:spacing w:line="360" w:lineRule="auto"/>
        <w:ind w:left="0"/>
        <w:jc w:val="both"/>
        <w:rPr>
          <w:rFonts w:ascii="Palatino Linotype" w:hAnsi="Palatino Linotype" w:cs="Tahoma"/>
          <w:szCs w:val="22"/>
        </w:rPr>
      </w:pPr>
      <w:r w:rsidRPr="00C938B6">
        <w:rPr>
          <w:rFonts w:ascii="Palatino Linotype" w:hAnsi="Palatino Linotype" w:cs="Tahoma"/>
          <w:b/>
          <w:szCs w:val="22"/>
        </w:rPr>
        <w:lastRenderedPageBreak/>
        <w:t>II. Respuesta del Sujeto Obligado.</w:t>
      </w:r>
    </w:p>
    <w:p w:rsidRPr="00C938B6" w:rsidR="00801872" w:rsidP="005B031E" w:rsidRDefault="00801872" w14:paraId="35CE8038" w14:textId="77777777">
      <w:pPr>
        <w:autoSpaceDE w:val="0"/>
        <w:autoSpaceDN w:val="0"/>
        <w:adjustRightInd w:val="0"/>
        <w:spacing w:line="360" w:lineRule="auto"/>
        <w:ind w:right="-28"/>
        <w:jc w:val="both"/>
        <w:rPr>
          <w:rFonts w:ascii="Palatino Linotype" w:hAnsi="Palatino Linotype" w:cs="Tahoma"/>
          <w:bCs/>
          <w:sz w:val="22"/>
          <w:szCs w:val="22"/>
        </w:rPr>
      </w:pPr>
    </w:p>
    <w:p w:rsidR="002D46B4" w:rsidP="005B031E" w:rsidRDefault="00801872" w14:paraId="60B4E890" w14:textId="7F602EEC">
      <w:pPr>
        <w:autoSpaceDE w:val="0"/>
        <w:autoSpaceDN w:val="0"/>
        <w:adjustRightInd w:val="0"/>
        <w:spacing w:line="360" w:lineRule="auto"/>
        <w:ind w:right="-28"/>
        <w:jc w:val="both"/>
        <w:rPr>
          <w:rFonts w:ascii="Palatino Linotype" w:hAnsi="Palatino Linotype" w:cs="Tahoma"/>
          <w:bCs/>
          <w:sz w:val="22"/>
          <w:szCs w:val="22"/>
        </w:rPr>
      </w:pPr>
      <w:r w:rsidRPr="00C938B6">
        <w:rPr>
          <w:rFonts w:ascii="Palatino Linotype" w:hAnsi="Palatino Linotype" w:cs="Tahoma"/>
          <w:bCs/>
          <w:sz w:val="22"/>
          <w:szCs w:val="22"/>
        </w:rPr>
        <w:t>Con fecha</w:t>
      </w:r>
      <w:r w:rsidR="002D46B4">
        <w:rPr>
          <w:rFonts w:ascii="Palatino Linotype" w:hAnsi="Palatino Linotype" w:cs="Tahoma"/>
          <w:bCs/>
          <w:sz w:val="22"/>
          <w:szCs w:val="22"/>
        </w:rPr>
        <w:t xml:space="preserve"> diez de noviembre de dos mil veintiuno, </w:t>
      </w:r>
      <w:r w:rsidRPr="00C938B6" w:rsidR="009F646C">
        <w:rPr>
          <w:rFonts w:ascii="Palatino Linotype" w:hAnsi="Palatino Linotype" w:cs="Tahoma"/>
          <w:bCs/>
          <w:sz w:val="22"/>
          <w:szCs w:val="22"/>
        </w:rPr>
        <w:t xml:space="preserve">el Sujeto Obligado notificó </w:t>
      </w:r>
      <w:r w:rsidRPr="00C938B6" w:rsidR="002D46B4">
        <w:rPr>
          <w:rFonts w:ascii="Palatino Linotype" w:hAnsi="Palatino Linotype" w:cs="Tahoma"/>
          <w:bCs/>
          <w:sz w:val="22"/>
          <w:szCs w:val="22"/>
        </w:rPr>
        <w:t xml:space="preserve">a través del </w:t>
      </w:r>
      <w:r w:rsidRPr="00C938B6" w:rsidR="002D46B4">
        <w:rPr>
          <w:rFonts w:ascii="Palatino Linotype" w:hAnsi="Palatino Linotype" w:cs="Tahoma"/>
          <w:sz w:val="22"/>
          <w:szCs w:val="22"/>
        </w:rPr>
        <w:t xml:space="preserve">Sistema de Acceso a la </w:t>
      </w:r>
      <w:r w:rsidR="002D46B4">
        <w:rPr>
          <w:rFonts w:ascii="Palatino Linotype" w:hAnsi="Palatino Linotype" w:cs="Tahoma"/>
          <w:sz w:val="22"/>
          <w:szCs w:val="22"/>
        </w:rPr>
        <w:t>Información Mexiquense (SAIMEX)</w:t>
      </w:r>
      <w:r w:rsidR="002D46B4">
        <w:rPr>
          <w:rFonts w:ascii="Palatino Linotype" w:hAnsi="Palatino Linotype" w:cs="Tahoma"/>
          <w:bCs/>
          <w:sz w:val="22"/>
          <w:szCs w:val="22"/>
        </w:rPr>
        <w:t xml:space="preserve">, </w:t>
      </w:r>
      <w:r w:rsidRPr="00C938B6" w:rsidR="009F646C">
        <w:rPr>
          <w:rFonts w:ascii="Palatino Linotype" w:hAnsi="Palatino Linotype" w:cs="Tahoma"/>
          <w:bCs/>
          <w:sz w:val="22"/>
          <w:szCs w:val="22"/>
        </w:rPr>
        <w:t>la respuesta a la solici</w:t>
      </w:r>
      <w:r w:rsidR="002D46B4">
        <w:rPr>
          <w:rFonts w:ascii="Palatino Linotype" w:hAnsi="Palatino Linotype" w:cs="Tahoma"/>
          <w:bCs/>
          <w:sz w:val="22"/>
          <w:szCs w:val="22"/>
        </w:rPr>
        <w:t>t</w:t>
      </w:r>
      <w:r w:rsidR="001E3977">
        <w:rPr>
          <w:rFonts w:ascii="Palatino Linotype" w:hAnsi="Palatino Linotype" w:cs="Tahoma"/>
          <w:bCs/>
          <w:sz w:val="22"/>
          <w:szCs w:val="22"/>
        </w:rPr>
        <w:t xml:space="preserve">ud de acceso a la </w:t>
      </w:r>
      <w:r w:rsidR="00A60C77">
        <w:rPr>
          <w:rFonts w:ascii="Palatino Linotype" w:hAnsi="Palatino Linotype" w:cs="Tahoma"/>
          <w:bCs/>
          <w:sz w:val="22"/>
          <w:szCs w:val="22"/>
        </w:rPr>
        <w:t>informació</w:t>
      </w:r>
      <w:r w:rsidR="001D1806">
        <w:rPr>
          <w:rFonts w:ascii="Palatino Linotype" w:hAnsi="Palatino Linotype" w:cs="Tahoma"/>
          <w:bCs/>
          <w:sz w:val="22"/>
          <w:szCs w:val="22"/>
        </w:rPr>
        <w:t xml:space="preserve">n al tenor de lo siguiente: </w:t>
      </w:r>
    </w:p>
    <w:p w:rsidR="001D1806" w:rsidP="005B031E" w:rsidRDefault="001D1806" w14:paraId="0070B86F" w14:textId="77777777">
      <w:pPr>
        <w:autoSpaceDE w:val="0"/>
        <w:autoSpaceDN w:val="0"/>
        <w:adjustRightInd w:val="0"/>
        <w:spacing w:line="360" w:lineRule="auto"/>
        <w:ind w:right="-28"/>
        <w:jc w:val="both"/>
        <w:rPr>
          <w:rFonts w:ascii="Palatino Linotype" w:hAnsi="Palatino Linotype" w:cs="Tahoma"/>
          <w:bCs/>
          <w:sz w:val="22"/>
          <w:szCs w:val="22"/>
        </w:rPr>
      </w:pPr>
    </w:p>
    <w:p w:rsidR="001D1806" w:rsidP="005B031E" w:rsidRDefault="001D1806" w14:paraId="27F50135" w14:textId="1392E84C">
      <w:pPr>
        <w:autoSpaceDE w:val="0"/>
        <w:autoSpaceDN w:val="0"/>
        <w:adjustRightInd w:val="0"/>
        <w:spacing w:line="360" w:lineRule="auto"/>
        <w:ind w:left="567" w:right="539"/>
        <w:jc w:val="both"/>
        <w:rPr>
          <w:rFonts w:ascii="Palatino Linotype" w:hAnsi="Palatino Linotype" w:cs="Tahoma"/>
          <w:bCs/>
          <w:i/>
          <w:sz w:val="22"/>
          <w:szCs w:val="22"/>
        </w:rPr>
      </w:pPr>
      <w:r w:rsidRPr="001D1806">
        <w:rPr>
          <w:rFonts w:ascii="Palatino Linotype" w:hAnsi="Palatino Linotype" w:cs="Tahoma"/>
          <w:bCs/>
          <w:i/>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gusto en saludarle esperando se encuentre muy bien a continuación se anexa la información que tuvo a bien solicitar en archivos electrónicos PDF…” </w:t>
      </w:r>
    </w:p>
    <w:p w:rsidRPr="001D1806" w:rsidR="001D1806" w:rsidP="005B031E" w:rsidRDefault="001D1806" w14:paraId="002391DE" w14:textId="77777777">
      <w:pPr>
        <w:autoSpaceDE w:val="0"/>
        <w:autoSpaceDN w:val="0"/>
        <w:adjustRightInd w:val="0"/>
        <w:spacing w:line="360" w:lineRule="auto"/>
        <w:ind w:left="567" w:right="539"/>
        <w:jc w:val="both"/>
        <w:rPr>
          <w:rFonts w:ascii="Palatino Linotype" w:hAnsi="Palatino Linotype" w:cs="Tahoma"/>
          <w:bCs/>
          <w:i/>
          <w:sz w:val="22"/>
          <w:szCs w:val="22"/>
        </w:rPr>
      </w:pPr>
    </w:p>
    <w:p w:rsidR="00A60C77" w:rsidP="005B031E" w:rsidRDefault="00AA68C9" w14:paraId="1F6B9E39" w14:textId="69FE2A76">
      <w:pPr>
        <w:autoSpaceDE w:val="0"/>
        <w:autoSpaceDN w:val="0"/>
        <w:adjustRightInd w:val="0"/>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Para tales efectos, adjuntó</w:t>
      </w:r>
      <w:r w:rsidR="001D1806">
        <w:rPr>
          <w:rFonts w:ascii="Palatino Linotype" w:hAnsi="Palatino Linotype" w:cs="Tahoma"/>
          <w:bCs/>
          <w:sz w:val="22"/>
          <w:szCs w:val="22"/>
        </w:rPr>
        <w:t xml:space="preserve"> dos archivos, cuyo contenido versa </w:t>
      </w:r>
      <w:r>
        <w:rPr>
          <w:rFonts w:ascii="Palatino Linotype" w:hAnsi="Palatino Linotype" w:cs="Tahoma"/>
          <w:bCs/>
          <w:sz w:val="22"/>
          <w:szCs w:val="22"/>
        </w:rPr>
        <w:t>en lo que a con</w:t>
      </w:r>
      <w:r w:rsidR="001D1806">
        <w:rPr>
          <w:rFonts w:ascii="Palatino Linotype" w:hAnsi="Palatino Linotype" w:cs="Tahoma"/>
          <w:bCs/>
          <w:sz w:val="22"/>
          <w:szCs w:val="22"/>
        </w:rPr>
        <w:t xml:space="preserve">tinuación se expone: </w:t>
      </w:r>
    </w:p>
    <w:p w:rsidR="001D1806" w:rsidP="005B031E" w:rsidRDefault="001D1806" w14:paraId="43142703" w14:textId="77777777">
      <w:pPr>
        <w:autoSpaceDE w:val="0"/>
        <w:autoSpaceDN w:val="0"/>
        <w:adjustRightInd w:val="0"/>
        <w:spacing w:line="360" w:lineRule="auto"/>
        <w:ind w:right="-28"/>
        <w:jc w:val="both"/>
        <w:rPr>
          <w:rFonts w:ascii="Palatino Linotype" w:hAnsi="Palatino Linotype" w:cs="Tahoma"/>
          <w:bCs/>
          <w:sz w:val="22"/>
          <w:szCs w:val="22"/>
        </w:rPr>
      </w:pPr>
    </w:p>
    <w:p w:rsidRPr="001D1806" w:rsidR="00A60C77" w:rsidP="005B031E" w:rsidRDefault="00AA68C9" w14:paraId="7EA1BEC7" w14:textId="70E9E894">
      <w:pPr>
        <w:pStyle w:val="Prrafodelista"/>
        <w:numPr>
          <w:ilvl w:val="0"/>
          <w:numId w:val="19"/>
        </w:numPr>
        <w:autoSpaceDE w:val="0"/>
        <w:autoSpaceDN w:val="0"/>
        <w:adjustRightInd w:val="0"/>
        <w:spacing w:line="360" w:lineRule="auto"/>
        <w:ind w:right="539"/>
        <w:jc w:val="both"/>
        <w:rPr>
          <w:rFonts w:ascii="Palatino Linotype" w:hAnsi="Palatino Linotype" w:cs="Tahoma"/>
          <w:bCs/>
          <w:szCs w:val="22"/>
        </w:rPr>
      </w:pPr>
      <w:r>
        <w:rPr>
          <w:rFonts w:ascii="Palatino Linotype" w:hAnsi="Palatino Linotype" w:cs="Tahoma"/>
          <w:b/>
          <w:bCs/>
          <w:szCs w:val="22"/>
        </w:rPr>
        <w:t xml:space="preserve">RECIBOS DE NOMINA AGOSTO ESTEBAN0001.pdf: </w:t>
      </w:r>
      <w:r w:rsidR="001D1806">
        <w:rPr>
          <w:rFonts w:ascii="Palatino Linotype" w:hAnsi="Palatino Linotype" w:cs="Tahoma"/>
          <w:bCs/>
          <w:szCs w:val="22"/>
        </w:rPr>
        <w:t xml:space="preserve">Recibos de nómina de Mario Esteban Sánchez Gómez, Jefe de Unidad Departamental adscrito a la Contraloría Interna del Municipio de Texcoco </w:t>
      </w:r>
      <w:r w:rsidRPr="001D1806" w:rsidR="001D1806">
        <w:rPr>
          <w:rFonts w:ascii="Palatino Linotype" w:hAnsi="Palatino Linotype" w:cs="Tahoma"/>
          <w:bCs/>
          <w:szCs w:val="22"/>
        </w:rPr>
        <w:t xml:space="preserve">de los periodos comprendidos del 01 al 15 y del 16 al 31, ambos del mes de agosto del dos mil veintiuno.   </w:t>
      </w:r>
    </w:p>
    <w:p w:rsidRPr="00787658" w:rsidR="002D46B4" w:rsidP="005B031E" w:rsidRDefault="00AA68C9" w14:paraId="2A31D136" w14:textId="32AD364E">
      <w:pPr>
        <w:pStyle w:val="Prrafodelista"/>
        <w:numPr>
          <w:ilvl w:val="0"/>
          <w:numId w:val="19"/>
        </w:numPr>
        <w:autoSpaceDE w:val="0"/>
        <w:autoSpaceDN w:val="0"/>
        <w:adjustRightInd w:val="0"/>
        <w:spacing w:line="360" w:lineRule="auto"/>
        <w:ind w:right="539"/>
        <w:jc w:val="both"/>
        <w:rPr>
          <w:rFonts w:ascii="Palatino Linotype" w:hAnsi="Palatino Linotype" w:cs="Tahoma"/>
          <w:bCs/>
          <w:szCs w:val="22"/>
        </w:rPr>
      </w:pPr>
      <w:r>
        <w:rPr>
          <w:rFonts w:ascii="Palatino Linotype" w:hAnsi="Palatino Linotype" w:cs="Tahoma"/>
          <w:b/>
          <w:bCs/>
          <w:szCs w:val="22"/>
        </w:rPr>
        <w:t xml:space="preserve">RESPUESTA 272-2021: </w:t>
      </w:r>
      <w:r w:rsidR="001D1806">
        <w:rPr>
          <w:rFonts w:ascii="Palatino Linotype" w:hAnsi="Palatino Linotype" w:cs="Tahoma"/>
          <w:bCs/>
          <w:szCs w:val="22"/>
        </w:rPr>
        <w:t>Documento de fecha veintisiete de agosto de dos mil veintiuno, signado por la Titular de la Unidad de Transparencia del Ayuntamiento de Texcoco, mediante el cual refiere que en atención a información solicitada, el requerimiento fue turnado a la Subdirección de Recursos Humanos del Ayuntamiento de Te</w:t>
      </w:r>
      <w:r w:rsidR="00787658">
        <w:rPr>
          <w:rFonts w:ascii="Palatino Linotype" w:hAnsi="Palatino Linotype" w:cs="Tahoma"/>
          <w:bCs/>
          <w:szCs w:val="22"/>
        </w:rPr>
        <w:t xml:space="preserve">xcoco, la cual remitió oficio que menciona que </w:t>
      </w:r>
      <w:r w:rsidR="00092205">
        <w:rPr>
          <w:rFonts w:ascii="Palatino Linotype" w:hAnsi="Palatino Linotype" w:cs="Tahoma"/>
          <w:bCs/>
          <w:szCs w:val="22"/>
        </w:rPr>
        <w:t xml:space="preserve">el sueldo neto quincenal de </w:t>
      </w:r>
      <w:r w:rsidR="00787658">
        <w:rPr>
          <w:rFonts w:ascii="Palatino Linotype" w:hAnsi="Palatino Linotype" w:cs="Tahoma"/>
          <w:bCs/>
          <w:szCs w:val="22"/>
        </w:rPr>
        <w:t xml:space="preserve">Mario Esteban Sánchez Gómez es de </w:t>
      </w:r>
      <w:r w:rsidR="00787658">
        <w:rPr>
          <w:rFonts w:ascii="Palatino Linotype" w:hAnsi="Palatino Linotype" w:cs="Tahoma"/>
          <w:bCs/>
          <w:szCs w:val="22"/>
        </w:rPr>
        <w:lastRenderedPageBreak/>
        <w:t>$8787.68 y el sueldo b</w:t>
      </w:r>
      <w:r w:rsidR="002859A3">
        <w:rPr>
          <w:rFonts w:ascii="Palatino Linotype" w:hAnsi="Palatino Linotype" w:cs="Tahoma"/>
          <w:bCs/>
          <w:szCs w:val="22"/>
        </w:rPr>
        <w:t>ruto quincenal es de $13189.94 y anexó con ello los</w:t>
      </w:r>
      <w:r w:rsidR="00787658">
        <w:rPr>
          <w:rFonts w:ascii="Palatino Linotype" w:hAnsi="Palatino Linotype" w:cs="Tahoma"/>
          <w:bCs/>
          <w:szCs w:val="22"/>
        </w:rPr>
        <w:t xml:space="preserve"> recibos de nómina solicitados.</w:t>
      </w:r>
    </w:p>
    <w:p w:rsidRPr="00C938B6" w:rsidR="00A81EBA" w:rsidP="005B031E" w:rsidRDefault="00A81EBA" w14:paraId="5B6944EB" w14:textId="77777777">
      <w:pPr>
        <w:autoSpaceDE w:val="0"/>
        <w:autoSpaceDN w:val="0"/>
        <w:adjustRightInd w:val="0"/>
        <w:spacing w:line="360" w:lineRule="auto"/>
        <w:ind w:right="-28"/>
        <w:jc w:val="both"/>
        <w:rPr>
          <w:rFonts w:ascii="Palatino Linotype" w:hAnsi="Palatino Linotype" w:cs="Tahoma"/>
          <w:sz w:val="22"/>
          <w:szCs w:val="22"/>
        </w:rPr>
      </w:pPr>
    </w:p>
    <w:p w:rsidRPr="00C938B6" w:rsidR="00801872" w:rsidP="005B031E" w:rsidRDefault="00801872" w14:paraId="17843F84" w14:textId="77777777">
      <w:pPr>
        <w:autoSpaceDE w:val="0"/>
        <w:autoSpaceDN w:val="0"/>
        <w:adjustRightInd w:val="0"/>
        <w:spacing w:line="360" w:lineRule="auto"/>
        <w:jc w:val="both"/>
        <w:rPr>
          <w:rFonts w:ascii="Palatino Linotype" w:hAnsi="Palatino Linotype" w:cs="Tahoma"/>
          <w:b/>
          <w:sz w:val="22"/>
          <w:szCs w:val="22"/>
        </w:rPr>
      </w:pPr>
      <w:r w:rsidRPr="00C938B6">
        <w:rPr>
          <w:rFonts w:ascii="Palatino Linotype" w:hAnsi="Palatino Linotype" w:cs="Tahoma"/>
          <w:b/>
          <w:sz w:val="22"/>
          <w:szCs w:val="22"/>
        </w:rPr>
        <w:t>III. Interposición del Recurso de Revisión.</w:t>
      </w:r>
    </w:p>
    <w:p w:rsidRPr="00C938B6" w:rsidR="00801872" w:rsidP="005B031E" w:rsidRDefault="00801872" w14:paraId="47856147" w14:textId="77777777">
      <w:pPr>
        <w:widowControl w:val="0"/>
        <w:spacing w:line="360" w:lineRule="auto"/>
        <w:jc w:val="both"/>
        <w:rPr>
          <w:rFonts w:ascii="Palatino Linotype" w:hAnsi="Palatino Linotype" w:cs="Tahoma"/>
          <w:sz w:val="22"/>
          <w:szCs w:val="22"/>
        </w:rPr>
      </w:pPr>
    </w:p>
    <w:p w:rsidRPr="00C938B6" w:rsidR="00801872" w:rsidP="005B031E" w:rsidRDefault="00787658" w14:paraId="62F1AEB7" w14:textId="53C4B8D2">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fecha veintidós de noviembre de dos mil veintiuno, a través del </w:t>
      </w:r>
      <w:r w:rsidRPr="00C938B6">
        <w:rPr>
          <w:rFonts w:ascii="Palatino Linotype" w:hAnsi="Palatino Linotype" w:cs="Tahoma"/>
          <w:sz w:val="22"/>
          <w:szCs w:val="22"/>
          <w:lang w:val="es-ES"/>
        </w:rPr>
        <w:t>Sistema de Acceso a la Información Mexiquense (SAIMEX)</w:t>
      </w:r>
      <w:r>
        <w:rPr>
          <w:rFonts w:ascii="Palatino Linotype" w:hAnsi="Palatino Linotype" w:cs="Tahoma"/>
          <w:sz w:val="22"/>
          <w:szCs w:val="22"/>
          <w:lang w:val="es-ES"/>
        </w:rPr>
        <w:t xml:space="preserve">, el Particular </w:t>
      </w:r>
      <w:r w:rsidRPr="00C938B6" w:rsidR="00801872">
        <w:rPr>
          <w:rFonts w:ascii="Palatino Linotype" w:hAnsi="Palatino Linotype" w:cs="Tahoma"/>
          <w:sz w:val="22"/>
          <w:szCs w:val="22"/>
          <w:lang w:val="es-ES"/>
        </w:rPr>
        <w:t>interpuso Recurso de Revisión ante este Instituto</w:t>
      </w:r>
      <w:r>
        <w:rPr>
          <w:rFonts w:ascii="Palatino Linotype" w:hAnsi="Palatino Linotype" w:cs="Tahoma"/>
          <w:sz w:val="22"/>
          <w:szCs w:val="22"/>
          <w:lang w:val="es-ES"/>
        </w:rPr>
        <w:t xml:space="preserve"> </w:t>
      </w:r>
      <w:r w:rsidRPr="00C938B6" w:rsidR="00801872">
        <w:rPr>
          <w:rFonts w:ascii="Palatino Linotype" w:hAnsi="Palatino Linotype" w:cs="Tahoma"/>
          <w:sz w:val="22"/>
          <w:szCs w:val="22"/>
          <w:lang w:val="es-ES"/>
        </w:rPr>
        <w:t xml:space="preserve">en contra de la respuesta otorgada por el Ayuntamiento de </w:t>
      </w:r>
      <w:r>
        <w:rPr>
          <w:rFonts w:ascii="Palatino Linotype" w:hAnsi="Palatino Linotype" w:cs="Tahoma"/>
          <w:sz w:val="22"/>
          <w:szCs w:val="22"/>
          <w:lang w:val="es-ES"/>
        </w:rPr>
        <w:t xml:space="preserve">Texcoco </w:t>
      </w:r>
      <w:r w:rsidRPr="00C938B6" w:rsidR="00801872">
        <w:rPr>
          <w:rFonts w:ascii="Palatino Linotype" w:hAnsi="Palatino Linotype" w:cs="Tahoma"/>
          <w:sz w:val="22"/>
          <w:szCs w:val="22"/>
          <w:lang w:val="es-ES"/>
        </w:rPr>
        <w:t>a la solicitud de información, en los siguientes términos:</w:t>
      </w:r>
    </w:p>
    <w:p w:rsidRPr="00C938B6" w:rsidR="00801872" w:rsidP="005B031E" w:rsidRDefault="00801872" w14:paraId="6CC89F15" w14:textId="77777777">
      <w:pPr>
        <w:widowControl w:val="0"/>
        <w:spacing w:line="360" w:lineRule="auto"/>
        <w:jc w:val="both"/>
        <w:rPr>
          <w:rFonts w:ascii="Palatino Linotype" w:hAnsi="Palatino Linotype" w:cs="Tahoma"/>
          <w:b/>
          <w:bCs/>
          <w:sz w:val="22"/>
          <w:szCs w:val="22"/>
          <w:lang w:val="es-ES"/>
        </w:rPr>
      </w:pPr>
    </w:p>
    <w:p w:rsidRPr="00C938B6" w:rsidR="00801872" w:rsidP="005B031E" w:rsidRDefault="00787658" w14:paraId="678BEB74" w14:textId="50E99A83">
      <w:pPr>
        <w:spacing w:line="360" w:lineRule="auto"/>
        <w:ind w:left="567" w:right="567"/>
        <w:contextualSpacing/>
        <w:jc w:val="both"/>
        <w:rPr>
          <w:rFonts w:ascii="Palatino Linotype" w:hAnsi="Palatino Linotype" w:cs="Tahoma"/>
          <w:b/>
          <w:i/>
          <w:iCs/>
        </w:rPr>
      </w:pPr>
      <w:r>
        <w:rPr>
          <w:rFonts w:ascii="Palatino Linotype" w:hAnsi="Palatino Linotype" w:cs="Tahoma"/>
          <w:b/>
          <w:i/>
          <w:iCs/>
        </w:rPr>
        <w:t xml:space="preserve"> </w:t>
      </w:r>
      <w:r w:rsidRPr="00C938B6" w:rsidR="00801872">
        <w:rPr>
          <w:rFonts w:ascii="Palatino Linotype" w:hAnsi="Palatino Linotype" w:cs="Tahoma"/>
          <w:b/>
          <w:i/>
          <w:iCs/>
        </w:rPr>
        <w:t>ACTO IMPUGNADO</w:t>
      </w:r>
    </w:p>
    <w:p w:rsidRPr="00C938B6" w:rsidR="00801872" w:rsidP="005B031E" w:rsidRDefault="00787658" w14:paraId="7DD4A0AC" w14:textId="08383081">
      <w:pPr>
        <w:spacing w:line="360" w:lineRule="auto"/>
        <w:ind w:left="567" w:right="567"/>
        <w:contextualSpacing/>
        <w:jc w:val="both"/>
        <w:rPr>
          <w:rFonts w:ascii="Palatino Linotype" w:hAnsi="Palatino Linotype" w:cs="Tahoma"/>
          <w:i/>
          <w:iCs/>
        </w:rPr>
      </w:pPr>
      <w:r>
        <w:rPr>
          <w:rFonts w:ascii="Palatino Linotype" w:hAnsi="Palatino Linotype" w:cs="Tahoma"/>
          <w:i/>
          <w:iCs/>
        </w:rPr>
        <w:t>“</w:t>
      </w:r>
      <w:r w:rsidRPr="00787658">
        <w:rPr>
          <w:rFonts w:ascii="Palatino Linotype" w:hAnsi="Palatino Linotype" w:cs="Tahoma"/>
          <w:i/>
          <w:iCs/>
        </w:rPr>
        <w:t>La respuesta emitida por el Sujeto Obligado fuera del Termino establecido, así como dejar a la vista Datos Personales en los Recibos de Nomina.</w:t>
      </w:r>
      <w:r w:rsidRPr="00C938B6" w:rsidR="00801872">
        <w:rPr>
          <w:rFonts w:ascii="Palatino Linotype" w:hAnsi="Palatino Linotype" w:cs="Tahoma"/>
          <w:i/>
          <w:iCs/>
        </w:rPr>
        <w:t>” (Sic)</w:t>
      </w:r>
    </w:p>
    <w:p w:rsidRPr="00C938B6" w:rsidR="00801872" w:rsidP="005B031E" w:rsidRDefault="00801872" w14:paraId="6124D706" w14:textId="77777777">
      <w:pPr>
        <w:spacing w:line="360" w:lineRule="auto"/>
        <w:ind w:left="567" w:right="567"/>
        <w:contextualSpacing/>
        <w:jc w:val="both"/>
        <w:rPr>
          <w:rFonts w:ascii="Palatino Linotype" w:hAnsi="Palatino Linotype" w:cs="Tahoma"/>
          <w:b/>
        </w:rPr>
      </w:pPr>
    </w:p>
    <w:p w:rsidRPr="00C938B6" w:rsidR="00801872" w:rsidP="005B031E" w:rsidRDefault="00801872" w14:paraId="5D59FAC9" w14:textId="57CDF813">
      <w:pPr>
        <w:spacing w:line="360" w:lineRule="auto"/>
        <w:ind w:left="567" w:right="567"/>
        <w:contextualSpacing/>
        <w:jc w:val="both"/>
        <w:rPr>
          <w:rFonts w:ascii="Palatino Linotype" w:hAnsi="Palatino Linotype" w:cs="Tahoma"/>
          <w:b/>
          <w:i/>
          <w:iCs/>
        </w:rPr>
      </w:pPr>
      <w:r w:rsidRPr="00C938B6">
        <w:rPr>
          <w:rFonts w:ascii="Palatino Linotype" w:hAnsi="Palatino Linotype" w:cs="Tahoma"/>
          <w:b/>
          <w:i/>
          <w:iCs/>
        </w:rPr>
        <w:t>RAZONES O MOTIVOS DE LA INCONFORMIDAD</w:t>
      </w:r>
    </w:p>
    <w:p w:rsidR="00BE73E6" w:rsidP="005B031E" w:rsidRDefault="00787658" w14:paraId="5353D53C" w14:textId="23822AE1">
      <w:pPr>
        <w:spacing w:line="360" w:lineRule="auto"/>
        <w:ind w:left="567" w:right="567"/>
        <w:contextualSpacing/>
        <w:jc w:val="both"/>
        <w:rPr>
          <w:rFonts w:ascii="Palatino Linotype" w:hAnsi="Palatino Linotype" w:eastAsia="Calibri" w:cs="Tahoma"/>
          <w:bCs/>
          <w:i/>
          <w:iCs/>
          <w:lang w:eastAsia="en-US"/>
        </w:rPr>
      </w:pPr>
      <w:r>
        <w:rPr>
          <w:rFonts w:ascii="Palatino Linotype" w:hAnsi="Palatino Linotype" w:eastAsia="Calibri" w:cs="Tahoma"/>
          <w:bCs/>
          <w:i/>
          <w:iCs/>
          <w:lang w:eastAsia="en-US"/>
        </w:rPr>
        <w:t>“</w:t>
      </w:r>
      <w:r w:rsidRPr="00787658">
        <w:rPr>
          <w:rFonts w:ascii="Palatino Linotype" w:hAnsi="Palatino Linotype" w:eastAsia="Calibri" w:cs="Tahoma"/>
          <w:bCs/>
          <w:i/>
          <w:iCs/>
          <w:lang w:eastAsia="en-US"/>
        </w:rPr>
        <w:t xml:space="preserve">Como se puede ver, se nota la falta de Experiencia y falta de Capacidad de la Titular de Transparencia ya que primeramente emite la Contestación un día después del día de vencimiento. En segundo lugar se puede apreciar que la forma de Testar los Recibos de nomina carecen de detalles en su Trabajo y mas aun dejo a la vista todos los Datos Personales del Servidor Publico como lo son Numero de Trabajador, CURP, RFC, La Clave de Issemyn, y el Folio fiscal, apreciando que no tomo las medidas necesarias para Testar, lo cual podría desencadenar una Responsabilidad Administrativa. En tercer Lugar no aprecia que haya anexado el Acta de Clasificación de Información debidamente firmada y sellada por el Comité de Transparencia de Texcoco, donde se apruebe la clasificación de Información, incumpliendo lo dispuesto por el Articulo 24 Fracción I de la Ley de Transparencia. De lo anterior se aprecia que la Titular de Transparencia no realizo debidamente lo dispuesto por el Articulo 143 Fracción I, de la Ley de Transparencia, siendo causal </w:t>
      </w:r>
      <w:r w:rsidRPr="00787658">
        <w:rPr>
          <w:rFonts w:ascii="Palatino Linotype" w:hAnsi="Palatino Linotype" w:eastAsia="Calibri" w:cs="Tahoma"/>
          <w:bCs/>
          <w:i/>
          <w:iCs/>
          <w:lang w:eastAsia="en-US"/>
        </w:rPr>
        <w:lastRenderedPageBreak/>
        <w:t>de una Responsabilidad de acuerdo a lo dispuesto por el Articuló 223 de la citada ley; En relación a lo que también relata lo dispues</w:t>
      </w:r>
      <w:r>
        <w:rPr>
          <w:rFonts w:ascii="Palatino Linotype" w:hAnsi="Palatino Linotype" w:eastAsia="Calibri" w:cs="Tahoma"/>
          <w:bCs/>
          <w:i/>
          <w:iCs/>
          <w:lang w:eastAsia="en-US"/>
        </w:rPr>
        <w:t>to en el Articulo 36 fracción X,</w:t>
      </w:r>
      <w:r w:rsidRPr="00C938B6" w:rsidR="00801872">
        <w:rPr>
          <w:rFonts w:ascii="Palatino Linotype" w:hAnsi="Palatino Linotype" w:eastAsia="Calibri" w:cs="Tahoma"/>
          <w:bCs/>
          <w:i/>
          <w:iCs/>
          <w:lang w:eastAsia="en-US"/>
        </w:rPr>
        <w:t>”</w:t>
      </w:r>
      <w:r>
        <w:rPr>
          <w:rFonts w:ascii="Palatino Linotype" w:hAnsi="Palatino Linotype" w:eastAsia="Calibri" w:cs="Tahoma"/>
          <w:bCs/>
          <w:i/>
          <w:iCs/>
          <w:lang w:eastAsia="en-US"/>
        </w:rPr>
        <w:t>.</w:t>
      </w:r>
      <w:r w:rsidRPr="00C938B6" w:rsidR="00801872">
        <w:rPr>
          <w:rFonts w:ascii="Palatino Linotype" w:hAnsi="Palatino Linotype" w:eastAsia="Calibri" w:cs="Tahoma"/>
          <w:bCs/>
          <w:i/>
          <w:iCs/>
          <w:lang w:eastAsia="en-US"/>
        </w:rPr>
        <w:t xml:space="preserve"> (Sic)</w:t>
      </w:r>
    </w:p>
    <w:p w:rsidRPr="00787658" w:rsidR="001B04D6" w:rsidP="005B031E" w:rsidRDefault="001B04D6" w14:paraId="0FDD199C" w14:textId="77777777">
      <w:pPr>
        <w:spacing w:line="360" w:lineRule="auto"/>
        <w:ind w:left="567" w:right="567"/>
        <w:contextualSpacing/>
        <w:jc w:val="both"/>
        <w:rPr>
          <w:rFonts w:ascii="Palatino Linotype" w:hAnsi="Palatino Linotype" w:cs="Tahoma"/>
          <w:b/>
          <w:i/>
          <w:iCs/>
        </w:rPr>
      </w:pPr>
    </w:p>
    <w:p w:rsidRPr="00C938B6" w:rsidR="00801872" w:rsidP="005B031E" w:rsidRDefault="00801872" w14:paraId="522834F7" w14:textId="77777777">
      <w:pPr>
        <w:spacing w:line="360" w:lineRule="auto"/>
        <w:jc w:val="both"/>
        <w:rPr>
          <w:rFonts w:ascii="Palatino Linotype" w:hAnsi="Palatino Linotype" w:eastAsia="Batang" w:cs="Tahoma"/>
          <w:b/>
          <w:bCs/>
          <w:sz w:val="22"/>
          <w:szCs w:val="22"/>
        </w:rPr>
      </w:pPr>
      <w:r w:rsidRPr="00C938B6">
        <w:rPr>
          <w:rFonts w:ascii="Palatino Linotype" w:hAnsi="Palatino Linotype" w:cs="Tahoma"/>
          <w:b/>
          <w:sz w:val="22"/>
          <w:szCs w:val="22"/>
        </w:rPr>
        <w:t xml:space="preserve">IV. </w:t>
      </w:r>
      <w:r w:rsidRPr="00C938B6">
        <w:rPr>
          <w:rFonts w:ascii="Palatino Linotype" w:hAnsi="Palatino Linotype" w:eastAsia="Batang" w:cs="Tahoma"/>
          <w:b/>
          <w:bCs/>
          <w:sz w:val="22"/>
          <w:szCs w:val="22"/>
        </w:rPr>
        <w:t>Trámite del Recurso de Revisión</w:t>
      </w:r>
      <w:r w:rsidRPr="00C938B6">
        <w:rPr>
          <w:rFonts w:ascii="Palatino Linotype" w:hAnsi="Palatino Linotype" w:cs="Tahoma"/>
          <w:b/>
          <w:sz w:val="22"/>
          <w:szCs w:val="22"/>
        </w:rPr>
        <w:t xml:space="preserve"> </w:t>
      </w:r>
      <w:r w:rsidRPr="00C938B6">
        <w:rPr>
          <w:rFonts w:ascii="Palatino Linotype" w:hAnsi="Palatino Linotype" w:eastAsia="Batang" w:cs="Tahoma"/>
          <w:b/>
          <w:bCs/>
          <w:sz w:val="22"/>
          <w:szCs w:val="22"/>
        </w:rPr>
        <w:t>ante el Instituto.</w:t>
      </w:r>
    </w:p>
    <w:p w:rsidRPr="00C938B6" w:rsidR="00801872" w:rsidP="005B031E" w:rsidRDefault="00801872" w14:paraId="6B84BD39" w14:textId="77777777">
      <w:pPr>
        <w:spacing w:line="360" w:lineRule="auto"/>
        <w:jc w:val="both"/>
        <w:rPr>
          <w:rFonts w:ascii="Palatino Linotype" w:hAnsi="Palatino Linotype" w:eastAsia="Batang" w:cs="Tahoma"/>
          <w:b/>
          <w:bCs/>
          <w:sz w:val="22"/>
          <w:szCs w:val="22"/>
        </w:rPr>
      </w:pPr>
    </w:p>
    <w:p w:rsidRPr="00D22825" w:rsidR="00D22825" w:rsidP="005B031E" w:rsidRDefault="00801872" w14:paraId="315EFE0E" w14:textId="503730C0">
      <w:pPr>
        <w:spacing w:line="360" w:lineRule="auto"/>
        <w:jc w:val="both"/>
        <w:rPr>
          <w:rFonts w:ascii="Palatino Linotype" w:hAnsi="Palatino Linotype" w:eastAsia="Batang" w:cs="Tahoma"/>
          <w:b/>
          <w:sz w:val="22"/>
          <w:szCs w:val="22"/>
        </w:rPr>
      </w:pPr>
      <w:r w:rsidRPr="00C938B6">
        <w:rPr>
          <w:rFonts w:ascii="Palatino Linotype" w:hAnsi="Palatino Linotype" w:eastAsia="Batang" w:cs="Tahoma"/>
          <w:b/>
          <w:bCs/>
          <w:sz w:val="22"/>
          <w:szCs w:val="22"/>
        </w:rPr>
        <w:t xml:space="preserve">a) Turno del Recurso de Revisión. </w:t>
      </w:r>
      <w:r w:rsidR="00787658">
        <w:rPr>
          <w:rFonts w:ascii="Palatino Linotype" w:hAnsi="Palatino Linotype" w:eastAsia="Batang" w:cs="Tahoma"/>
          <w:sz w:val="22"/>
          <w:szCs w:val="22"/>
        </w:rPr>
        <w:t>El veintidós de noviembre de dos mil veintiuno,</w:t>
      </w:r>
      <w:r w:rsidRPr="00C938B6">
        <w:rPr>
          <w:rFonts w:ascii="Palatino Linotype" w:hAnsi="Palatino Linotype" w:eastAsia="Batang" w:cs="Tahoma"/>
          <w:sz w:val="22"/>
          <w:szCs w:val="22"/>
        </w:rPr>
        <w:t xml:space="preserve"> el </w:t>
      </w:r>
      <w:r w:rsidRPr="00C938B6">
        <w:rPr>
          <w:rFonts w:ascii="Palatino Linotype" w:hAnsi="Palatino Linotype" w:eastAsia="Batang" w:cs="Tahoma"/>
          <w:sz w:val="22"/>
          <w:szCs w:val="22"/>
          <w:lang w:val="es-ES"/>
        </w:rPr>
        <w:t>Sistema de Acceso a la Información Mexiquense (SAIMEX),</w:t>
      </w:r>
      <w:r w:rsidRPr="00C938B6">
        <w:rPr>
          <w:rFonts w:ascii="Palatino Linotype" w:hAnsi="Palatino Linotype" w:eastAsia="Batang" w:cs="Tahoma"/>
          <w:sz w:val="22"/>
          <w:szCs w:val="22"/>
        </w:rPr>
        <w:t xml:space="preserve"> asignó el número de expediente </w:t>
      </w:r>
      <w:r w:rsidR="00787658">
        <w:rPr>
          <w:rFonts w:ascii="Palatino Linotype" w:hAnsi="Palatino Linotype" w:eastAsia="Calibri" w:cs="Tahoma"/>
          <w:b/>
          <w:bCs/>
          <w:sz w:val="22"/>
          <w:szCs w:val="22"/>
        </w:rPr>
        <w:t>05579</w:t>
      </w:r>
      <w:r w:rsidRPr="00C938B6">
        <w:rPr>
          <w:rFonts w:ascii="Palatino Linotype" w:hAnsi="Palatino Linotype" w:eastAsia="Calibri" w:cs="Tahoma"/>
          <w:b/>
          <w:bCs/>
          <w:sz w:val="22"/>
          <w:szCs w:val="22"/>
        </w:rPr>
        <w:t>/INFOEM/IP/RR/2021</w:t>
      </w:r>
      <w:r w:rsidRPr="00C938B6">
        <w:rPr>
          <w:rFonts w:ascii="Palatino Linotype" w:hAnsi="Palatino Linotype" w:eastAsia="Batang" w:cs="Tahoma"/>
          <w:sz w:val="22"/>
          <w:szCs w:val="22"/>
        </w:rPr>
        <w:t>, al medio de impugnación que nos ocupa, con base en el sistema aprobado por el Pleno de este Órgano Garante y lo turn</w:t>
      </w:r>
      <w:r w:rsidR="00787658">
        <w:rPr>
          <w:rFonts w:ascii="Palatino Linotype" w:hAnsi="Palatino Linotype" w:eastAsia="Batang" w:cs="Tahoma"/>
          <w:sz w:val="22"/>
          <w:szCs w:val="22"/>
        </w:rPr>
        <w:t xml:space="preserve">ó a la </w:t>
      </w:r>
      <w:r w:rsidR="00787658">
        <w:rPr>
          <w:rFonts w:ascii="Palatino Linotype" w:hAnsi="Palatino Linotype" w:eastAsia="Batang" w:cs="Tahoma"/>
          <w:b/>
          <w:sz w:val="22"/>
          <w:szCs w:val="22"/>
        </w:rPr>
        <w:t>Comisionada Guadalupe Ramírez Peña</w:t>
      </w:r>
      <w:r w:rsidR="00D22825">
        <w:rPr>
          <w:rFonts w:ascii="Palatino Linotype" w:hAnsi="Palatino Linotype" w:eastAsia="Batang" w:cs="Tahoma"/>
          <w:sz w:val="22"/>
          <w:szCs w:val="22"/>
        </w:rPr>
        <w:t>, n</w:t>
      </w:r>
      <w:r w:rsidR="00787658">
        <w:rPr>
          <w:rFonts w:ascii="Palatino Linotype" w:hAnsi="Palatino Linotype" w:eastAsia="Batang" w:cs="Tahoma"/>
          <w:sz w:val="22"/>
          <w:szCs w:val="22"/>
        </w:rPr>
        <w:t xml:space="preserve">o obstante, </w:t>
      </w:r>
      <w:r w:rsidR="00D22825">
        <w:rPr>
          <w:rFonts w:ascii="Palatino Linotype" w:hAnsi="Palatino Linotype" w:eastAsia="Batang" w:cs="Tahoma"/>
          <w:sz w:val="22"/>
          <w:szCs w:val="22"/>
        </w:rPr>
        <w:t xml:space="preserve">en la 45° Sesión Ordinaria de fecha quince de diciembre de dos mil veintiuno el Pleno de este Órgano Garante determinó el returno del presente asunto al </w:t>
      </w:r>
      <w:r w:rsidR="00D22825">
        <w:rPr>
          <w:rFonts w:ascii="Palatino Linotype" w:hAnsi="Palatino Linotype" w:eastAsia="Batang" w:cs="Tahoma"/>
          <w:b/>
          <w:sz w:val="22"/>
          <w:szCs w:val="22"/>
        </w:rPr>
        <w:t xml:space="preserve">Comisionado Luis Gustavo Parra Noriega </w:t>
      </w:r>
      <w:r w:rsidRPr="00C938B6" w:rsidR="00D22825">
        <w:rPr>
          <w:rFonts w:ascii="Palatino Linotype" w:hAnsi="Palatino Linotype" w:eastAsia="Batang" w:cs="Tahoma"/>
          <w:sz w:val="22"/>
          <w:szCs w:val="22"/>
        </w:rPr>
        <w:t>para los efectos del artículo 185, fracción I de la Ley de Transparencia y Acceso a la Información Pública del Estado de México y Municipios.</w:t>
      </w:r>
    </w:p>
    <w:p w:rsidRPr="00C938B6" w:rsidR="00801872" w:rsidP="005B031E" w:rsidRDefault="00801872" w14:paraId="0DF354DA" w14:textId="77777777">
      <w:pPr>
        <w:spacing w:line="360" w:lineRule="auto"/>
        <w:jc w:val="both"/>
        <w:rPr>
          <w:rFonts w:ascii="Palatino Linotype" w:hAnsi="Palatino Linotype" w:eastAsia="Batang" w:cs="Tahoma"/>
          <w:b/>
          <w:bCs/>
          <w:sz w:val="22"/>
          <w:szCs w:val="22"/>
        </w:rPr>
      </w:pPr>
    </w:p>
    <w:p w:rsidRPr="00C938B6" w:rsidR="00801872" w:rsidP="005B031E" w:rsidRDefault="00801872" w14:paraId="4B0AE7B1" w14:textId="15C5CB77">
      <w:pPr>
        <w:spacing w:line="360" w:lineRule="auto"/>
        <w:jc w:val="both"/>
        <w:rPr>
          <w:rFonts w:ascii="Palatino Linotype" w:hAnsi="Palatino Linotype" w:eastAsia="Batang" w:cs="Tahoma"/>
          <w:b/>
          <w:bCs/>
          <w:sz w:val="22"/>
          <w:szCs w:val="22"/>
        </w:rPr>
      </w:pPr>
      <w:r w:rsidRPr="00C938B6">
        <w:rPr>
          <w:rFonts w:ascii="Palatino Linotype" w:hAnsi="Palatino Linotype" w:eastAsia="Batang" w:cs="Tahoma"/>
          <w:b/>
          <w:bCs/>
          <w:sz w:val="22"/>
          <w:szCs w:val="22"/>
        </w:rPr>
        <w:t>b) Admisión del Recurso de Revisión</w:t>
      </w:r>
      <w:r w:rsidRPr="00C938B6">
        <w:rPr>
          <w:rFonts w:ascii="Palatino Linotype" w:hAnsi="Palatino Linotype" w:eastAsia="Batang" w:cs="Tahoma"/>
          <w:b/>
          <w:bCs/>
          <w:sz w:val="22"/>
          <w:szCs w:val="22"/>
          <w:lang w:val="es-ES_tradnl"/>
        </w:rPr>
        <w:t xml:space="preserve">. </w:t>
      </w:r>
      <w:r w:rsidR="00D22825">
        <w:rPr>
          <w:rFonts w:ascii="Palatino Linotype" w:hAnsi="Palatino Linotype" w:eastAsia="Batang" w:cs="Tahoma"/>
          <w:sz w:val="22"/>
          <w:szCs w:val="22"/>
          <w:lang w:val="es-ES_tradnl"/>
        </w:rPr>
        <w:t>El veinticinco de noviembre de dos mil veintiuno</w:t>
      </w:r>
      <w:r w:rsidRPr="00C938B6">
        <w:rPr>
          <w:rFonts w:ascii="Palatino Linotype" w:hAnsi="Palatino Linotype" w:eastAsia="Batang" w:cs="Tahoma"/>
          <w:sz w:val="22"/>
          <w:szCs w:val="22"/>
          <w:lang w:val="es-ES_tradnl"/>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w:t>
      </w:r>
      <w:r w:rsidR="00D22825">
        <w:rPr>
          <w:rFonts w:ascii="Palatino Linotype" w:hAnsi="Palatino Linotype" w:eastAsia="Batang" w:cs="Tahoma"/>
          <w:sz w:val="22"/>
          <w:szCs w:val="22"/>
          <w:lang w:val="es-ES_tradnl"/>
        </w:rPr>
        <w:t>rtes en mismo día, m</w:t>
      </w:r>
      <w:r w:rsidRPr="00C938B6" w:rsidR="00BE73E6">
        <w:rPr>
          <w:rFonts w:ascii="Palatino Linotype" w:hAnsi="Palatino Linotype" w:eastAsia="Batang" w:cs="Tahoma"/>
          <w:sz w:val="22"/>
          <w:szCs w:val="22"/>
          <w:lang w:val="es-ES_tradnl"/>
        </w:rPr>
        <w:t>es y año</w:t>
      </w:r>
      <w:r w:rsidR="00D22825">
        <w:rPr>
          <w:rFonts w:ascii="Palatino Linotype" w:hAnsi="Palatino Linotype" w:eastAsia="Batang" w:cs="Tahoma"/>
          <w:sz w:val="22"/>
          <w:szCs w:val="22"/>
          <w:lang w:val="es-ES_tradnl"/>
        </w:rPr>
        <w:t>,</w:t>
      </w:r>
      <w:r w:rsidRPr="00C938B6">
        <w:rPr>
          <w:rFonts w:ascii="Palatino Linotype" w:hAnsi="Palatino Linotype" w:eastAsia="Batang" w:cs="Tahoma"/>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rsidRPr="00C938B6" w:rsidR="00801872" w:rsidP="005B031E" w:rsidRDefault="00801872" w14:paraId="7C67497D" w14:textId="77777777">
      <w:pPr>
        <w:spacing w:line="360" w:lineRule="auto"/>
        <w:jc w:val="both"/>
        <w:rPr>
          <w:rFonts w:ascii="Palatino Linotype" w:hAnsi="Palatino Linotype" w:eastAsia="Batang" w:cs="Tahoma"/>
          <w:bCs/>
          <w:sz w:val="22"/>
          <w:szCs w:val="22"/>
        </w:rPr>
      </w:pPr>
    </w:p>
    <w:p w:rsidRPr="00092205" w:rsidR="00801872" w:rsidP="005B031E" w:rsidRDefault="00801872" w14:paraId="217B3899" w14:textId="6FBE6959">
      <w:pPr>
        <w:widowControl w:val="0"/>
        <w:spacing w:line="360" w:lineRule="auto"/>
        <w:jc w:val="both"/>
        <w:rPr>
          <w:rFonts w:ascii="Palatino Linotype" w:hAnsi="Palatino Linotype"/>
          <w:bCs/>
          <w:sz w:val="22"/>
          <w:szCs w:val="22"/>
          <w:lang w:val="es-ES_tradnl"/>
        </w:rPr>
      </w:pPr>
      <w:r w:rsidRPr="00C938B6">
        <w:rPr>
          <w:rFonts w:ascii="Palatino Linotype" w:hAnsi="Palatino Linotype"/>
          <w:b/>
          <w:bCs/>
          <w:sz w:val="22"/>
          <w:szCs w:val="22"/>
        </w:rPr>
        <w:t xml:space="preserve">c) </w:t>
      </w:r>
      <w:r w:rsidRPr="00C938B6">
        <w:rPr>
          <w:rFonts w:ascii="Palatino Linotype" w:hAnsi="Palatino Linotype"/>
          <w:b/>
          <w:sz w:val="22"/>
          <w:szCs w:val="22"/>
          <w:lang w:val="es-ES_tradnl"/>
        </w:rPr>
        <w:t xml:space="preserve">Informe Justificado. </w:t>
      </w:r>
      <w:r w:rsidRPr="00C938B6">
        <w:rPr>
          <w:rFonts w:ascii="Palatino Linotype" w:hAnsi="Palatino Linotype"/>
          <w:bCs/>
          <w:sz w:val="22"/>
          <w:szCs w:val="22"/>
          <w:lang w:val="es-ES_tradnl"/>
        </w:rPr>
        <w:t>De las constancias que obran en el expediente electrónico, se advierte que</w:t>
      </w:r>
      <w:r w:rsidR="00867749">
        <w:rPr>
          <w:rFonts w:ascii="Palatino Linotype" w:hAnsi="Palatino Linotype"/>
          <w:bCs/>
          <w:sz w:val="22"/>
          <w:szCs w:val="22"/>
          <w:lang w:val="es-ES_tradnl"/>
        </w:rPr>
        <w:t>,</w:t>
      </w:r>
      <w:r w:rsidRPr="00C938B6">
        <w:rPr>
          <w:rFonts w:ascii="Palatino Linotype" w:hAnsi="Palatino Linotype"/>
          <w:bCs/>
          <w:sz w:val="22"/>
          <w:szCs w:val="22"/>
          <w:lang w:val="es-ES_tradnl"/>
        </w:rPr>
        <w:t xml:space="preserve"> </w:t>
      </w:r>
      <w:r w:rsidR="00D22825">
        <w:rPr>
          <w:rFonts w:ascii="Palatino Linotype" w:hAnsi="Palatino Linotype"/>
          <w:bCs/>
          <w:sz w:val="22"/>
          <w:szCs w:val="22"/>
          <w:lang w:val="es-ES_tradnl"/>
        </w:rPr>
        <w:t xml:space="preserve">en cuanto al </w:t>
      </w:r>
      <w:r w:rsidR="00867749">
        <w:rPr>
          <w:rFonts w:ascii="Palatino Linotype" w:hAnsi="Palatino Linotype"/>
          <w:bCs/>
          <w:sz w:val="22"/>
          <w:szCs w:val="22"/>
          <w:lang w:val="es-ES_tradnl"/>
        </w:rPr>
        <w:t>Recurrente</w:t>
      </w:r>
      <w:r w:rsidR="00D22825">
        <w:rPr>
          <w:rFonts w:ascii="Palatino Linotype" w:hAnsi="Palatino Linotype"/>
          <w:bCs/>
          <w:sz w:val="22"/>
          <w:szCs w:val="22"/>
          <w:lang w:val="es-ES_tradnl"/>
        </w:rPr>
        <w:t xml:space="preserve">, este no </w:t>
      </w:r>
      <w:r w:rsidR="00AA68C9">
        <w:rPr>
          <w:rFonts w:ascii="Palatino Linotype" w:hAnsi="Palatino Linotype"/>
          <w:bCs/>
          <w:sz w:val="22"/>
          <w:szCs w:val="22"/>
          <w:lang w:val="es-ES_tradnl"/>
        </w:rPr>
        <w:t>emitió</w:t>
      </w:r>
      <w:r w:rsidR="00D22825">
        <w:rPr>
          <w:rFonts w:ascii="Palatino Linotype" w:hAnsi="Palatino Linotype"/>
          <w:bCs/>
          <w:sz w:val="22"/>
          <w:szCs w:val="22"/>
          <w:lang w:val="es-ES_tradnl"/>
        </w:rPr>
        <w:t xml:space="preserve"> manifestación alguna, en cuanto hace al Sujeto Obligado, </w:t>
      </w:r>
      <w:r w:rsidR="00867749">
        <w:rPr>
          <w:rFonts w:ascii="Palatino Linotype" w:hAnsi="Palatino Linotype"/>
          <w:bCs/>
          <w:sz w:val="22"/>
          <w:szCs w:val="22"/>
          <w:lang w:val="es-ES_tradnl"/>
        </w:rPr>
        <w:t>e</w:t>
      </w:r>
      <w:r w:rsidRPr="00092205" w:rsidR="00D22825">
        <w:rPr>
          <w:rFonts w:ascii="Palatino Linotype" w:hAnsi="Palatino Linotype"/>
          <w:bCs/>
          <w:sz w:val="22"/>
          <w:szCs w:val="22"/>
          <w:lang w:val="es-ES_tradnl"/>
        </w:rPr>
        <w:t xml:space="preserve">ste proporcionó dos archivos los cuales contienen lo que a continuación se </w:t>
      </w:r>
      <w:r w:rsidRPr="00092205" w:rsidR="00D22825">
        <w:rPr>
          <w:rFonts w:ascii="Palatino Linotype" w:hAnsi="Palatino Linotype"/>
          <w:bCs/>
          <w:sz w:val="22"/>
          <w:szCs w:val="22"/>
          <w:lang w:val="es-ES_tradnl"/>
        </w:rPr>
        <w:lastRenderedPageBreak/>
        <w:t xml:space="preserve">describe: </w:t>
      </w:r>
    </w:p>
    <w:p w:rsidRPr="00092205" w:rsidR="00D22825" w:rsidP="005B031E" w:rsidRDefault="00D22825" w14:paraId="36EB9629" w14:textId="77777777">
      <w:pPr>
        <w:widowControl w:val="0"/>
        <w:spacing w:line="360" w:lineRule="auto"/>
        <w:jc w:val="both"/>
        <w:rPr>
          <w:rFonts w:ascii="Palatino Linotype" w:hAnsi="Palatino Linotype"/>
          <w:bCs/>
          <w:sz w:val="22"/>
          <w:szCs w:val="22"/>
          <w:lang w:val="es-ES_tradnl"/>
        </w:rPr>
      </w:pPr>
    </w:p>
    <w:p w:rsidRPr="00A26524" w:rsidR="00D22825" w:rsidP="005B031E" w:rsidRDefault="00065B2F" w14:paraId="1FA76715" w14:textId="268941AA">
      <w:pPr>
        <w:pStyle w:val="Prrafodelista"/>
        <w:widowControl w:val="0"/>
        <w:numPr>
          <w:ilvl w:val="0"/>
          <w:numId w:val="20"/>
        </w:numPr>
        <w:spacing w:line="360" w:lineRule="auto"/>
        <w:ind w:left="851" w:right="539"/>
        <w:jc w:val="both"/>
        <w:rPr>
          <w:rFonts w:ascii="Palatino Linotype" w:hAnsi="Palatino Linotype" w:cs="Arial"/>
          <w:bCs/>
          <w:i/>
          <w:iCs/>
          <w:lang w:val="es-ES_tradnl"/>
        </w:rPr>
      </w:pPr>
      <w:r w:rsidRPr="00092205">
        <w:rPr>
          <w:rFonts w:ascii="Palatino Linotype" w:hAnsi="Palatino Linotype" w:cs="Arial"/>
          <w:b/>
          <w:bCs/>
          <w:iCs/>
          <w:lang w:val="es-ES_tradnl"/>
        </w:rPr>
        <w:t xml:space="preserve">MANIFESTACIONES RR5779 sol 272-2021.pdf: </w:t>
      </w:r>
      <w:r w:rsidRPr="00092205" w:rsidR="00D22825">
        <w:rPr>
          <w:rFonts w:ascii="Palatino Linotype" w:hAnsi="Palatino Linotype" w:cs="Arial"/>
          <w:bCs/>
          <w:iCs/>
          <w:lang w:val="es-ES_tradnl"/>
        </w:rPr>
        <w:t>Documento de fecha seis de diciembre de dos mil veintiuno, signado por la Titular de la Unidad de Transparencia del Ayuntamiento de Texcoco, mediante</w:t>
      </w:r>
      <w:r w:rsidR="00D22825">
        <w:rPr>
          <w:rFonts w:ascii="Palatino Linotype" w:hAnsi="Palatino Linotype" w:cs="Arial"/>
          <w:bCs/>
          <w:iCs/>
          <w:lang w:val="es-ES_tradnl"/>
        </w:rPr>
        <w:t xml:space="preserve"> el cual refiere que </w:t>
      </w:r>
      <w:r w:rsidR="00D22825">
        <w:rPr>
          <w:rFonts w:ascii="Palatino Linotype" w:hAnsi="Palatino Linotype" w:cs="Arial"/>
          <w:bCs/>
          <w:i/>
          <w:iCs/>
          <w:lang w:val="es-ES_tradnl"/>
        </w:rPr>
        <w:t>el acceso al derecho de acceso a la información no fue agraviado toda vez que el acto impugnado no armoniza con las causales de procedencia del recurso de revisión contempladas en la Ley de Transparencia y Acceso a la Información Pública del Estado de México y Municipios […]</w:t>
      </w:r>
      <w:r w:rsidR="00D22825">
        <w:rPr>
          <w:rFonts w:ascii="Palatino Linotype" w:hAnsi="Palatino Linotype" w:cs="Arial"/>
          <w:bCs/>
          <w:iCs/>
          <w:lang w:val="es-ES_tradnl"/>
        </w:rPr>
        <w:t xml:space="preserve"> </w:t>
      </w:r>
      <w:r w:rsidR="00D22825">
        <w:rPr>
          <w:rFonts w:ascii="Palatino Linotype" w:hAnsi="Palatino Linotype" w:cs="Arial"/>
          <w:bCs/>
          <w:i/>
          <w:iCs/>
          <w:lang w:val="es-ES_tradnl"/>
        </w:rPr>
        <w:t>en todo momento se aplicaron las medidas restrictivas de excepciones al derecho de acceso a la información, las cuales fueron pronunciadas en su momento mediante respuesta a la solicitud […] la información fue tratada y procesada por lo que no fue percibida alguna falta u omisión respecto a dejar datos confidenciales expuestos</w:t>
      </w:r>
      <w:r w:rsidR="002859A3">
        <w:rPr>
          <w:rFonts w:ascii="Palatino Linotype" w:hAnsi="Palatino Linotype" w:cs="Arial"/>
          <w:bCs/>
          <w:i/>
          <w:iCs/>
          <w:lang w:val="es-ES_tradnl"/>
        </w:rPr>
        <w:t>,</w:t>
      </w:r>
      <w:r w:rsidR="002859A3">
        <w:rPr>
          <w:rFonts w:ascii="Palatino Linotype" w:hAnsi="Palatino Linotype" w:cs="Arial"/>
          <w:bCs/>
          <w:iCs/>
          <w:lang w:val="es-ES_tradnl"/>
        </w:rPr>
        <w:t xml:space="preserve"> y anexó </w:t>
      </w:r>
      <w:r w:rsidR="00A26524">
        <w:rPr>
          <w:rFonts w:ascii="Palatino Linotype" w:hAnsi="Palatino Linotype" w:cs="Arial"/>
          <w:bCs/>
          <w:iCs/>
          <w:lang w:val="es-ES_tradnl"/>
        </w:rPr>
        <w:t xml:space="preserve">de nueva cuenta los recibos de nómina solicitados. </w:t>
      </w:r>
    </w:p>
    <w:p w:rsidRPr="00A26524" w:rsidR="00A26524" w:rsidP="005B031E" w:rsidRDefault="00092205" w14:paraId="5BABFD31" w14:textId="3CF37A63">
      <w:pPr>
        <w:pStyle w:val="Prrafodelista"/>
        <w:widowControl w:val="0"/>
        <w:numPr>
          <w:ilvl w:val="0"/>
          <w:numId w:val="20"/>
        </w:numPr>
        <w:spacing w:line="360" w:lineRule="auto"/>
        <w:ind w:left="851" w:right="539"/>
        <w:jc w:val="both"/>
        <w:rPr>
          <w:rFonts w:ascii="Palatino Linotype" w:hAnsi="Palatino Linotype" w:cs="Arial"/>
          <w:bCs/>
          <w:i/>
          <w:iCs/>
          <w:lang w:val="es-ES_tradnl"/>
        </w:rPr>
      </w:pPr>
      <w:r>
        <w:rPr>
          <w:rFonts w:ascii="Palatino Linotype" w:hAnsi="Palatino Linotype" w:cs="Tahoma"/>
          <w:b/>
          <w:bCs/>
          <w:szCs w:val="22"/>
        </w:rPr>
        <w:t xml:space="preserve">NVO RECIBO S MESG RR5779_0001 (1).pdf: </w:t>
      </w:r>
      <w:r w:rsidR="00A26524">
        <w:rPr>
          <w:rFonts w:ascii="Palatino Linotype" w:hAnsi="Palatino Linotype" w:cs="Tahoma"/>
          <w:bCs/>
          <w:szCs w:val="22"/>
        </w:rPr>
        <w:t xml:space="preserve">Recibos de nómina de Mario Esteban Sánchez Gómez, Jefe de Unidad Departamental adscrito a la Contraloría Interna del Municipio de Texcoco </w:t>
      </w:r>
      <w:r w:rsidRPr="001D1806" w:rsidR="00A26524">
        <w:rPr>
          <w:rFonts w:ascii="Palatino Linotype" w:hAnsi="Palatino Linotype" w:cs="Tahoma"/>
          <w:bCs/>
          <w:szCs w:val="22"/>
        </w:rPr>
        <w:t>de los periodos comprendidos del 01 al 15 y del 16 al 31, ambos del mes de agosto del dos mil veintiuno</w:t>
      </w:r>
    </w:p>
    <w:p w:rsidRPr="00C938B6" w:rsidR="00801872" w:rsidP="005B031E" w:rsidRDefault="00801872" w14:paraId="0F37068C" w14:textId="77777777">
      <w:pPr>
        <w:spacing w:line="360" w:lineRule="auto"/>
        <w:jc w:val="both"/>
        <w:rPr>
          <w:rFonts w:ascii="Palatino Linotype" w:hAnsi="Palatino Linotype" w:cs="Tahoma"/>
          <w:b/>
          <w:sz w:val="22"/>
          <w:szCs w:val="22"/>
        </w:rPr>
      </w:pPr>
    </w:p>
    <w:p w:rsidRPr="00C938B6" w:rsidR="00801872" w:rsidP="005B031E" w:rsidRDefault="00801872" w14:paraId="4D02EED8" w14:textId="2B4DD84F">
      <w:pPr>
        <w:spacing w:line="360" w:lineRule="auto"/>
        <w:jc w:val="both"/>
        <w:rPr>
          <w:rFonts w:ascii="Palatino Linotype" w:hAnsi="Palatino Linotype" w:cs="Tahoma"/>
          <w:sz w:val="22"/>
          <w:szCs w:val="22"/>
          <w:lang w:val="es-ES"/>
        </w:rPr>
      </w:pPr>
      <w:r w:rsidRPr="00C938B6">
        <w:rPr>
          <w:rFonts w:ascii="Palatino Linotype" w:hAnsi="Palatino Linotype" w:cs="Tahoma"/>
          <w:b/>
          <w:sz w:val="22"/>
          <w:szCs w:val="22"/>
        </w:rPr>
        <w:t>d) Cierre de instrucción.</w:t>
      </w:r>
      <w:r w:rsidRPr="00C938B6">
        <w:rPr>
          <w:rFonts w:ascii="Palatino Linotype" w:hAnsi="Palatino Linotype" w:cs="Tahoma"/>
          <w:sz w:val="22"/>
          <w:szCs w:val="22"/>
        </w:rPr>
        <w:t xml:space="preserve"> </w:t>
      </w:r>
      <w:r w:rsidR="00A26524">
        <w:rPr>
          <w:rFonts w:ascii="Palatino Linotype" w:hAnsi="Palatino Linotype" w:cs="Tahoma"/>
          <w:sz w:val="22"/>
          <w:szCs w:val="22"/>
        </w:rPr>
        <w:t>El dieciocho de enero de dos mil veintidós</w:t>
      </w:r>
      <w:r w:rsidRPr="00C938B6">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C938B6">
        <w:rPr>
          <w:rFonts w:ascii="Palatino Linotype" w:hAnsi="Palatino Linotype" w:cs="Tahoma"/>
          <w:sz w:val="22"/>
          <w:szCs w:val="22"/>
          <w:lang w:val="es-ES"/>
        </w:rPr>
        <w:t>Sistema de Acceso a la Información Mexiquense (SAIMEX)</w:t>
      </w:r>
      <w:r w:rsidRPr="00C938B6">
        <w:rPr>
          <w:rFonts w:ascii="Palatino Linotype" w:hAnsi="Palatino Linotype" w:cs="Tahoma"/>
          <w:sz w:val="22"/>
          <w:szCs w:val="22"/>
        </w:rPr>
        <w:t>.</w:t>
      </w:r>
    </w:p>
    <w:p w:rsidRPr="00C938B6" w:rsidR="00801872" w:rsidP="005B031E" w:rsidRDefault="00801872" w14:paraId="0491A0F9" w14:textId="77777777">
      <w:pPr>
        <w:spacing w:line="360" w:lineRule="auto"/>
        <w:jc w:val="both"/>
        <w:rPr>
          <w:rFonts w:ascii="Palatino Linotype" w:hAnsi="Palatino Linotype" w:cs="Tahoma"/>
          <w:sz w:val="22"/>
          <w:szCs w:val="22"/>
        </w:rPr>
      </w:pPr>
    </w:p>
    <w:p w:rsidR="00801872" w:rsidP="005B031E" w:rsidRDefault="00801872" w14:paraId="61D93564" w14:textId="77777777">
      <w:pPr>
        <w:spacing w:line="360" w:lineRule="auto"/>
        <w:jc w:val="both"/>
        <w:rPr>
          <w:rFonts w:ascii="Palatino Linotype" w:hAnsi="Palatino Linotype" w:cs="Tahoma"/>
          <w:color w:val="000000"/>
          <w:sz w:val="22"/>
          <w:szCs w:val="22"/>
        </w:rPr>
      </w:pPr>
      <w:r w:rsidRPr="00C938B6">
        <w:rPr>
          <w:rFonts w:ascii="Palatino Linotype" w:hAnsi="Palatino Linotype" w:cs="Tahoma"/>
          <w:color w:val="000000"/>
          <w:sz w:val="22"/>
          <w:szCs w:val="22"/>
        </w:rPr>
        <w:lastRenderedPageBreak/>
        <w:t xml:space="preserve">En razón de que fue debidamente sustanciado e integrado el expediente electrónico y no existe diligencia pendiente de desahogo, se emite la resolución que conforme a Derecho proceda, de acuerdo a los siguientes: </w:t>
      </w:r>
    </w:p>
    <w:p w:rsidRPr="00C938B6" w:rsidR="00801872" w:rsidP="005B031E" w:rsidRDefault="00801872" w14:paraId="64E21B5C" w14:textId="77777777">
      <w:pPr>
        <w:spacing w:line="360" w:lineRule="auto"/>
        <w:contextualSpacing/>
        <w:jc w:val="both"/>
        <w:rPr>
          <w:rFonts w:ascii="Palatino Linotype" w:hAnsi="Palatino Linotype" w:cs="Tahoma"/>
          <w:color w:val="000000"/>
          <w:sz w:val="22"/>
          <w:szCs w:val="22"/>
        </w:rPr>
      </w:pPr>
    </w:p>
    <w:p w:rsidRPr="00C938B6" w:rsidR="00801872" w:rsidP="005B031E" w:rsidRDefault="00801872" w14:paraId="5140970D" w14:textId="77777777">
      <w:pPr>
        <w:spacing w:line="360" w:lineRule="auto"/>
        <w:jc w:val="center"/>
        <w:rPr>
          <w:rFonts w:ascii="Palatino Linotype" w:hAnsi="Palatino Linotype" w:cs="Tahoma"/>
          <w:b/>
          <w:sz w:val="22"/>
          <w:szCs w:val="22"/>
        </w:rPr>
      </w:pPr>
      <w:r w:rsidRPr="00C938B6">
        <w:rPr>
          <w:rFonts w:ascii="Palatino Linotype" w:hAnsi="Palatino Linotype" w:cs="Tahoma"/>
          <w:b/>
          <w:sz w:val="22"/>
          <w:szCs w:val="22"/>
        </w:rPr>
        <w:t>C O N S I D E R A N D O S:</w:t>
      </w:r>
    </w:p>
    <w:p w:rsidRPr="00C938B6" w:rsidR="00801872" w:rsidP="005B031E" w:rsidRDefault="00801872" w14:paraId="35EFA683" w14:textId="77777777">
      <w:pPr>
        <w:spacing w:line="360" w:lineRule="auto"/>
        <w:rPr>
          <w:rFonts w:ascii="Palatino Linotype" w:hAnsi="Palatino Linotype" w:cs="Tahoma"/>
          <w:b/>
          <w:sz w:val="22"/>
          <w:szCs w:val="22"/>
        </w:rPr>
      </w:pPr>
    </w:p>
    <w:p w:rsidRPr="00C938B6" w:rsidR="00801872" w:rsidP="005B031E" w:rsidRDefault="00801872" w14:paraId="45D3D2CB" w14:textId="77777777">
      <w:pPr>
        <w:spacing w:line="360" w:lineRule="auto"/>
        <w:jc w:val="both"/>
        <w:rPr>
          <w:rFonts w:ascii="Palatino Linotype" w:hAnsi="Palatino Linotype" w:eastAsia="Batang" w:cs="Tahoma"/>
          <w:b/>
          <w:bCs/>
          <w:sz w:val="22"/>
          <w:szCs w:val="22"/>
        </w:rPr>
      </w:pPr>
      <w:r w:rsidRPr="00C938B6">
        <w:rPr>
          <w:rFonts w:ascii="Palatino Linotype" w:hAnsi="Palatino Linotype" w:eastAsia="Batang" w:cs="Tahoma"/>
          <w:b/>
          <w:bCs/>
          <w:sz w:val="22"/>
          <w:szCs w:val="22"/>
        </w:rPr>
        <w:t xml:space="preserve">PRIMERO. Competencia. </w:t>
      </w:r>
    </w:p>
    <w:p w:rsidRPr="00C938B6" w:rsidR="00801872" w:rsidP="005B031E" w:rsidRDefault="00801872" w14:paraId="6A4AA277" w14:textId="77777777">
      <w:pPr>
        <w:spacing w:line="360" w:lineRule="auto"/>
        <w:jc w:val="both"/>
        <w:rPr>
          <w:rFonts w:ascii="Palatino Linotype" w:hAnsi="Palatino Linotype" w:eastAsia="Batang" w:cs="Tahoma"/>
          <w:b/>
          <w:bCs/>
          <w:sz w:val="22"/>
          <w:szCs w:val="22"/>
        </w:rPr>
      </w:pPr>
    </w:p>
    <w:p w:rsidRPr="00C938B6" w:rsidR="0003468A" w:rsidP="005B031E" w:rsidRDefault="0003468A" w14:paraId="31DC8596" w14:textId="77777777">
      <w:pPr>
        <w:spacing w:line="360" w:lineRule="auto"/>
        <w:jc w:val="both"/>
        <w:rPr>
          <w:rFonts w:ascii="Palatino Linotype" w:hAnsi="Palatino Linotype" w:cs="Tahoma"/>
          <w:bCs/>
          <w:sz w:val="22"/>
          <w:szCs w:val="22"/>
        </w:rPr>
      </w:pPr>
      <w:r w:rsidRPr="00C938B6">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w:t>
      </w:r>
      <w:r w:rsidRPr="00C938B6">
        <w:rPr>
          <w:rFonts w:ascii="Palatino Linotype" w:hAnsi="Palatino Linotype" w:cs="Tahoma"/>
          <w:bCs/>
          <w:sz w:val="22"/>
          <w:szCs w:val="22"/>
          <w:lang w:val="x-none"/>
        </w:rPr>
        <w:t>ésimo, trigésimo primero</w:t>
      </w:r>
      <w:r w:rsidRPr="00C938B6">
        <w:rPr>
          <w:rFonts w:ascii="Palatino Linotype" w:hAnsi="Palatino Linotype" w:cs="Tahoma"/>
          <w:bCs/>
          <w:sz w:val="22"/>
          <w:szCs w:val="22"/>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C938B6" w:rsidR="00BE73E6" w:rsidP="005B031E" w:rsidRDefault="00BE73E6" w14:paraId="729B4417" w14:textId="77777777">
      <w:pPr>
        <w:spacing w:line="360" w:lineRule="auto"/>
        <w:jc w:val="both"/>
        <w:rPr>
          <w:rFonts w:ascii="Palatino Linotype" w:hAnsi="Palatino Linotype" w:eastAsia="Calibri" w:cs="Tahoma"/>
          <w:bCs/>
          <w:color w:val="000000"/>
          <w:sz w:val="22"/>
          <w:szCs w:val="22"/>
          <w:lang w:eastAsia="es-ES_tradnl"/>
        </w:rPr>
      </w:pPr>
    </w:p>
    <w:p w:rsidRPr="00C938B6" w:rsidR="00801872" w:rsidP="005B031E" w:rsidRDefault="00801872" w14:paraId="49902CA0" w14:textId="77777777">
      <w:pPr>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SEGUNDO. Causales de procedencia y sobreseimiento.</w:t>
      </w:r>
    </w:p>
    <w:p w:rsidRPr="00C938B6" w:rsidR="00BE73E6" w:rsidP="005B031E" w:rsidRDefault="00801872" w14:paraId="7872E74B" w14:textId="5ADFF415">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rsidR="00A26524" w:rsidP="001B04D6" w:rsidRDefault="00801872" w14:paraId="1902D30E" w14:textId="302C240E">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lastRenderedPageBreak/>
        <w:t xml:space="preserve">De las constancias que forman parte de los Recursos de Revisión que se analizan, se advierte que previo al estudio del fondo de la </w:t>
      </w:r>
      <w:r w:rsidRPr="00C938B6">
        <w:rPr>
          <w:rFonts w:ascii="Palatino Linotype" w:hAnsi="Palatino Linotype"/>
          <w:i/>
          <w:color w:val="000000"/>
          <w:sz w:val="22"/>
          <w:szCs w:val="22"/>
          <w:lang w:val="es-ES"/>
        </w:rPr>
        <w:t>litis</w:t>
      </w:r>
      <w:r w:rsidRPr="00C938B6">
        <w:rPr>
          <w:rFonts w:ascii="Palatino Linotype" w:hAnsi="Palatino Linotype"/>
          <w:color w:val="000000"/>
          <w:sz w:val="22"/>
          <w:szCs w:val="22"/>
          <w:lang w:val="es-ES"/>
        </w:rPr>
        <w:t>, es necesario estudiar las causales de improcedencia y sobreseimiento que se adviertan, para determinar lo que en Derecho proceda.</w:t>
      </w:r>
    </w:p>
    <w:p w:rsidRPr="001B04D6" w:rsidR="001B04D6" w:rsidP="001B04D6" w:rsidRDefault="001B04D6" w14:paraId="286FF146" w14:textId="77777777">
      <w:pPr>
        <w:spacing w:line="360" w:lineRule="auto"/>
        <w:jc w:val="both"/>
        <w:rPr>
          <w:rFonts w:ascii="Palatino Linotype" w:hAnsi="Palatino Linotype"/>
          <w:color w:val="222222"/>
          <w:lang w:val="es-ES"/>
        </w:rPr>
      </w:pPr>
    </w:p>
    <w:p w:rsidRPr="00C938B6" w:rsidR="00801872" w:rsidP="005B031E" w:rsidRDefault="00801872" w14:paraId="40B0B6C2" w14:textId="77777777">
      <w:pPr>
        <w:shd w:val="clear" w:color="auto" w:fill="FFFFFF"/>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Causales de improcedencia.</w:t>
      </w:r>
    </w:p>
    <w:p w:rsidRPr="00C938B6" w:rsidR="00801872" w:rsidP="005B031E" w:rsidRDefault="00801872" w14:paraId="5660127B" w14:textId="77777777">
      <w:pPr>
        <w:shd w:val="clear" w:color="auto" w:fill="FFFFFF"/>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rsidRPr="00C938B6" w:rsidR="00801872" w:rsidP="005B031E" w:rsidRDefault="00801872" w14:paraId="3EB1E900" w14:textId="77777777">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C938B6" w:rsidR="00801872" w:rsidP="005B031E" w:rsidRDefault="00801872" w14:paraId="4A44898E" w14:textId="77777777">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 </w:t>
      </w:r>
    </w:p>
    <w:p w:rsidRPr="00C938B6" w:rsidR="00801872" w:rsidP="005B031E" w:rsidRDefault="00801872" w14:paraId="425DDD49" w14:textId="77777777">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00801872" w:rsidP="00D24D27" w:rsidRDefault="00801872" w14:paraId="7380AAFD" w14:textId="76DC6787">
      <w:pPr>
        <w:spacing w:line="360" w:lineRule="auto"/>
        <w:jc w:val="both"/>
        <w:rPr>
          <w:rFonts w:ascii="Palatino Linotype" w:hAnsi="Palatino Linotype" w:cs="Tahoma"/>
          <w:sz w:val="22"/>
          <w:szCs w:val="22"/>
          <w:lang w:val="es-ES"/>
        </w:rPr>
      </w:pPr>
      <w:r w:rsidRPr="00C938B6">
        <w:rPr>
          <w:rFonts w:ascii="Palatino Linotype" w:hAnsi="Palatino Linotype"/>
          <w:color w:val="000000"/>
          <w:sz w:val="22"/>
          <w:szCs w:val="22"/>
          <w:lang w:val="es-ES"/>
        </w:rPr>
        <w:t> </w:t>
      </w:r>
      <w:r w:rsidRPr="00C938B6">
        <w:rPr>
          <w:rFonts w:ascii="Palatino Linotype" w:hAnsi="Palatino Linotype" w:cs="Tahoma"/>
          <w:sz w:val="22"/>
          <w:szCs w:val="22"/>
        </w:rPr>
        <w:t xml:space="preserve">Asimismo, se actualiza la causal de procedencia del Recurso de Revisión señalada </w:t>
      </w:r>
      <w:r w:rsidR="00A26524">
        <w:rPr>
          <w:rFonts w:ascii="Palatino Linotype" w:hAnsi="Palatino Linotype" w:cs="Tahoma"/>
          <w:sz w:val="22"/>
          <w:szCs w:val="22"/>
        </w:rPr>
        <w:t xml:space="preserve">en el artículo 179, fracción II de la Ley de Transparencia y Acceso a la Información Pública del </w:t>
      </w:r>
      <w:r w:rsidR="00A26524">
        <w:rPr>
          <w:rFonts w:ascii="Palatino Linotype" w:hAnsi="Palatino Linotype" w:cs="Tahoma"/>
          <w:sz w:val="22"/>
          <w:szCs w:val="22"/>
        </w:rPr>
        <w:lastRenderedPageBreak/>
        <w:t>Estado de México y Municipios</w:t>
      </w:r>
      <w:r w:rsidRPr="00C938B6">
        <w:rPr>
          <w:rFonts w:ascii="Palatino Linotype" w:hAnsi="Palatino Linotype" w:cs="Tahoma"/>
          <w:sz w:val="22"/>
          <w:szCs w:val="22"/>
        </w:rPr>
        <w:t xml:space="preserve">, </w:t>
      </w:r>
      <w:r w:rsidRPr="00C938B6">
        <w:rPr>
          <w:rFonts w:ascii="Palatino Linotype" w:hAnsi="Palatino Linotype" w:eastAsia="Calibri" w:cs="Tahoma"/>
          <w:color w:val="000000"/>
          <w:sz w:val="22"/>
          <w:szCs w:val="22"/>
          <w:lang w:eastAsia="es-MX"/>
        </w:rPr>
        <w:t xml:space="preserve">pues el Recurrente se inconformó </w:t>
      </w:r>
      <w:r w:rsidR="00A26524">
        <w:rPr>
          <w:rFonts w:ascii="Palatino Linotype" w:hAnsi="Palatino Linotype" w:cs="Tahoma"/>
          <w:sz w:val="22"/>
          <w:szCs w:val="22"/>
          <w:lang w:val="es-ES"/>
        </w:rPr>
        <w:t>por la clasificación de la información solicitada.</w:t>
      </w:r>
      <w:r w:rsidR="001B04D6">
        <w:rPr>
          <w:rFonts w:ascii="Palatino Linotype" w:hAnsi="Palatino Linotype" w:cs="Tahoma"/>
          <w:sz w:val="22"/>
          <w:szCs w:val="22"/>
          <w:lang w:val="es-ES"/>
        </w:rPr>
        <w:t xml:space="preserve"> </w:t>
      </w:r>
    </w:p>
    <w:p w:rsidRPr="001B04D6" w:rsidR="001B04D6" w:rsidP="005B031E" w:rsidRDefault="001B04D6" w14:paraId="3DF6FBA1" w14:textId="77777777">
      <w:pPr>
        <w:widowControl w:val="0"/>
        <w:spacing w:line="360" w:lineRule="auto"/>
        <w:jc w:val="both"/>
        <w:rPr>
          <w:rFonts w:ascii="Palatino Linotype" w:hAnsi="Palatino Linotype" w:cs="Tahoma"/>
          <w:sz w:val="22"/>
          <w:szCs w:val="22"/>
          <w:lang w:val="es-ES"/>
        </w:rPr>
      </w:pPr>
    </w:p>
    <w:p w:rsidRPr="00C938B6" w:rsidR="00801872" w:rsidP="005B031E" w:rsidRDefault="00801872" w14:paraId="2A2CA5AC" w14:textId="77777777">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
          <w:bCs/>
          <w:color w:val="0D0D0D" w:themeColor="text1" w:themeTint="F2"/>
          <w:sz w:val="22"/>
          <w:szCs w:val="22"/>
        </w:rPr>
        <w:t>Causales de sobreseimiento.</w:t>
      </w:r>
    </w:p>
    <w:p w:rsidRPr="00C938B6" w:rsidR="00801872" w:rsidP="005B031E" w:rsidRDefault="00801872" w14:paraId="0DDC7168" w14:textId="77777777">
      <w:pPr>
        <w:spacing w:line="360" w:lineRule="auto"/>
        <w:jc w:val="both"/>
        <w:rPr>
          <w:rFonts w:ascii="Palatino Linotype" w:hAnsi="Palatino Linotype" w:cs="Tahoma"/>
          <w:bCs/>
          <w:color w:val="0D0D0D" w:themeColor="text1" w:themeTint="F2"/>
          <w:sz w:val="22"/>
          <w:szCs w:val="22"/>
        </w:rPr>
      </w:pPr>
    </w:p>
    <w:p w:rsidRPr="00C938B6" w:rsidR="00801872" w:rsidP="005B031E" w:rsidRDefault="00801872" w14:paraId="5CF765EA" w14:textId="77777777">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rsidRPr="00C938B6" w:rsidR="00801872" w:rsidP="005B031E" w:rsidRDefault="00801872" w14:paraId="1A0DB89F" w14:textId="77777777">
      <w:pPr>
        <w:spacing w:line="360" w:lineRule="auto"/>
        <w:jc w:val="both"/>
        <w:rPr>
          <w:rFonts w:ascii="Palatino Linotype" w:hAnsi="Palatino Linotype" w:cs="Tahoma"/>
          <w:bCs/>
          <w:color w:val="0D0D0D" w:themeColor="text1" w:themeTint="F2"/>
          <w:sz w:val="22"/>
          <w:szCs w:val="22"/>
        </w:rPr>
      </w:pPr>
    </w:p>
    <w:p w:rsidRPr="00C938B6" w:rsidR="00801872" w:rsidP="005B031E" w:rsidRDefault="00801872" w14:paraId="1B7073D8" w14:textId="77777777">
      <w:pPr>
        <w:spacing w:line="360" w:lineRule="auto"/>
        <w:jc w:val="both"/>
        <w:rPr>
          <w:rFonts w:ascii="Palatino Linotype" w:hAnsi="Palatino Linotype" w:cs="Tahoma"/>
          <w:sz w:val="22"/>
          <w:szCs w:val="24"/>
        </w:rPr>
      </w:pPr>
      <w:r w:rsidRPr="00C938B6">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C938B6" w:rsidR="00801872" w:rsidP="005B031E" w:rsidRDefault="00801872" w14:paraId="4418F544" w14:textId="77777777">
      <w:pPr>
        <w:spacing w:line="360" w:lineRule="auto"/>
        <w:jc w:val="both"/>
        <w:rPr>
          <w:rFonts w:ascii="Palatino Linotype" w:hAnsi="Palatino Linotype" w:cs="Tahoma"/>
          <w:bCs/>
          <w:color w:val="0D0D0D" w:themeColor="text1" w:themeTint="F2"/>
          <w:sz w:val="22"/>
          <w:szCs w:val="22"/>
        </w:rPr>
      </w:pPr>
    </w:p>
    <w:p w:rsidRPr="00C938B6" w:rsidR="00801872" w:rsidP="005B031E" w:rsidRDefault="00801872" w14:paraId="0C861CB4" w14:textId="77777777">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 xml:space="preserve">Por tales motivos, se considera procedente entrar al fondo del presente asunto. </w:t>
      </w:r>
    </w:p>
    <w:p w:rsidRPr="00C938B6" w:rsidR="001B04D6" w:rsidP="005B031E" w:rsidRDefault="001B04D6" w14:paraId="271858C1" w14:textId="77777777">
      <w:pPr>
        <w:autoSpaceDE w:val="0"/>
        <w:autoSpaceDN w:val="0"/>
        <w:adjustRightInd w:val="0"/>
        <w:spacing w:line="360" w:lineRule="auto"/>
        <w:jc w:val="both"/>
        <w:rPr>
          <w:rFonts w:ascii="Palatino Linotype" w:hAnsi="Palatino Linotype" w:cs="Tahoma"/>
          <w:sz w:val="22"/>
          <w:szCs w:val="24"/>
          <w:lang w:val="es-ES"/>
        </w:rPr>
      </w:pPr>
    </w:p>
    <w:p w:rsidRPr="00C938B6" w:rsidR="00801872" w:rsidP="005B031E" w:rsidRDefault="00801872" w14:paraId="1A4AF4FA" w14:textId="77777777">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 xml:space="preserve">TERCERO. Determinación de la Controversia. </w:t>
      </w:r>
    </w:p>
    <w:p w:rsidRPr="00C938B6" w:rsidR="00801872" w:rsidP="005B031E" w:rsidRDefault="00801872" w14:paraId="48A4CBC0"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00A26524" w:rsidP="005B031E" w:rsidRDefault="00A26524" w14:paraId="06DA53B6" w14:textId="4EFFA555">
      <w:pPr>
        <w:spacing w:line="360" w:lineRule="auto"/>
        <w:jc w:val="both"/>
        <w:rPr>
          <w:rFonts w:ascii="Palatino Linotype" w:hAnsi="Palatino Linotype" w:eastAsia="Calibri" w:cs="Tahoma"/>
          <w:bCs/>
          <w:iCs/>
          <w:color w:val="000000"/>
          <w:sz w:val="22"/>
          <w:szCs w:val="24"/>
          <w:lang w:eastAsia="es-MX"/>
        </w:rPr>
      </w:pPr>
      <w:r w:rsidRPr="00A26524">
        <w:rPr>
          <w:rFonts w:ascii="Palatino Linotype" w:hAnsi="Palatino Linotype" w:eastAsia="Calibri" w:cs="Tahoma"/>
          <w:color w:val="000000"/>
          <w:sz w:val="22"/>
          <w:szCs w:val="24"/>
          <w:lang w:val="es-ES" w:eastAsia="es-MX"/>
        </w:rPr>
        <w:t>Una vez realizado el estudio de las constancias que obran en el expediente electrónico en el que se actúa, se advierte que el Solicitante requirió conocer del Sujeto Obligado</w:t>
      </w:r>
      <w:r>
        <w:rPr>
          <w:rFonts w:ascii="Palatino Linotype" w:hAnsi="Palatino Linotype" w:eastAsia="Calibri" w:cs="Tahoma"/>
          <w:color w:val="000000"/>
          <w:sz w:val="22"/>
          <w:szCs w:val="24"/>
          <w:lang w:val="es-ES" w:eastAsia="es-MX"/>
        </w:rPr>
        <w:t xml:space="preserve"> </w:t>
      </w:r>
      <w:r>
        <w:rPr>
          <w:rFonts w:ascii="Palatino Linotype" w:hAnsi="Palatino Linotype" w:eastAsia="Calibri" w:cs="Tahoma"/>
          <w:b/>
          <w:color w:val="000000"/>
          <w:sz w:val="22"/>
          <w:szCs w:val="24"/>
          <w:lang w:val="es-ES" w:eastAsia="es-MX"/>
        </w:rPr>
        <w:t>el sueld</w:t>
      </w:r>
      <w:r w:rsidR="000E6359">
        <w:rPr>
          <w:rFonts w:ascii="Palatino Linotype" w:hAnsi="Palatino Linotype" w:eastAsia="Calibri" w:cs="Tahoma"/>
          <w:b/>
          <w:color w:val="000000"/>
          <w:sz w:val="22"/>
          <w:szCs w:val="24"/>
          <w:lang w:val="es-ES" w:eastAsia="es-MX"/>
        </w:rPr>
        <w:t xml:space="preserve">o quincenal bruto y neto de </w:t>
      </w:r>
      <w:r>
        <w:rPr>
          <w:rFonts w:ascii="Palatino Linotype" w:hAnsi="Palatino Linotype" w:eastAsia="Calibri" w:cs="Tahoma"/>
          <w:b/>
          <w:color w:val="000000"/>
          <w:sz w:val="22"/>
          <w:szCs w:val="24"/>
          <w:lang w:val="es-ES" w:eastAsia="es-MX"/>
        </w:rPr>
        <w:t>Mario Esteban Sánchez Gómez, así como sus recibos de nómina del mes de agosto en versión pública</w:t>
      </w:r>
      <w:r>
        <w:rPr>
          <w:rFonts w:ascii="Palatino Linotype" w:hAnsi="Palatino Linotype" w:eastAsia="Calibri" w:cs="Tahoma"/>
          <w:color w:val="000000"/>
          <w:sz w:val="22"/>
          <w:szCs w:val="24"/>
          <w:lang w:val="es-ES" w:eastAsia="es-MX"/>
        </w:rPr>
        <w:t xml:space="preserve">. </w:t>
      </w:r>
      <w:r w:rsidRPr="00A26524">
        <w:rPr>
          <w:rFonts w:ascii="Palatino Linotype" w:hAnsi="Palatino Linotype" w:eastAsia="Calibri" w:cs="Tahoma"/>
          <w:bCs/>
          <w:iCs/>
          <w:color w:val="000000"/>
          <w:sz w:val="22"/>
          <w:szCs w:val="24"/>
          <w:lang w:eastAsia="es-MX"/>
        </w:rPr>
        <w:t xml:space="preserve">En respuesta, el Ente Recurrido </w:t>
      </w:r>
      <w:r>
        <w:rPr>
          <w:rFonts w:ascii="Palatino Linotype" w:hAnsi="Palatino Linotype" w:eastAsia="Calibri" w:cs="Tahoma"/>
          <w:bCs/>
          <w:iCs/>
          <w:color w:val="000000"/>
          <w:sz w:val="22"/>
          <w:szCs w:val="24"/>
          <w:lang w:eastAsia="es-MX"/>
        </w:rPr>
        <w:t xml:space="preserve">proporcionó dos recibos de nómina </w:t>
      </w:r>
      <w:r w:rsidR="00872DAC">
        <w:rPr>
          <w:rFonts w:ascii="Palatino Linotype" w:hAnsi="Palatino Linotype" w:eastAsia="Calibri" w:cs="Tahoma"/>
          <w:bCs/>
          <w:iCs/>
          <w:color w:val="000000"/>
          <w:sz w:val="22"/>
          <w:szCs w:val="24"/>
          <w:lang w:eastAsia="es-MX"/>
        </w:rPr>
        <w:t xml:space="preserve">de los periodos comprendidos del 01 al 15 y del 16 al 31 ambos del mes de </w:t>
      </w:r>
      <w:r w:rsidR="00872DAC">
        <w:rPr>
          <w:rFonts w:ascii="Palatino Linotype" w:hAnsi="Palatino Linotype" w:eastAsia="Calibri" w:cs="Tahoma"/>
          <w:bCs/>
          <w:iCs/>
          <w:color w:val="000000"/>
          <w:sz w:val="22"/>
          <w:szCs w:val="24"/>
          <w:lang w:eastAsia="es-MX"/>
        </w:rPr>
        <w:lastRenderedPageBreak/>
        <w:t xml:space="preserve">agosto de dos mil veintiuno, en los que se advierte que testó información relativa al número de trabajador, CURP, RFC, número de ISSEMyM, folio fiscal, código QR y cadenas digitales del Sistema de Atención Tributaria (SAT) y precisó el monto del sueldo quincenal bruto y neto del servidor público. </w:t>
      </w:r>
    </w:p>
    <w:p w:rsidRPr="00A26524" w:rsidR="001B04D6" w:rsidP="005B031E" w:rsidRDefault="001B04D6" w14:paraId="6C11AB11" w14:textId="77777777">
      <w:pPr>
        <w:spacing w:line="360" w:lineRule="auto"/>
        <w:jc w:val="both"/>
        <w:rPr>
          <w:rFonts w:ascii="Palatino Linotype" w:hAnsi="Palatino Linotype" w:eastAsia="Calibri" w:cs="Tahoma"/>
          <w:bCs/>
          <w:iCs/>
          <w:color w:val="000000"/>
          <w:sz w:val="22"/>
          <w:szCs w:val="24"/>
          <w:lang w:eastAsia="es-MX"/>
        </w:rPr>
      </w:pPr>
    </w:p>
    <w:p w:rsidR="00872DAC" w:rsidP="005B031E" w:rsidRDefault="00A26524" w14:paraId="3273E871" w14:textId="29227662">
      <w:pPr>
        <w:spacing w:line="360" w:lineRule="auto"/>
        <w:jc w:val="both"/>
        <w:rPr>
          <w:rFonts w:ascii="Palatino Linotype" w:hAnsi="Palatino Linotype" w:eastAsia="Calibri" w:cs="Tahoma"/>
          <w:bCs/>
          <w:iCs/>
          <w:color w:val="000000"/>
          <w:sz w:val="22"/>
          <w:szCs w:val="24"/>
          <w:lang w:val="es-ES" w:eastAsia="es-MX"/>
        </w:rPr>
      </w:pPr>
      <w:r w:rsidRPr="00A26524">
        <w:rPr>
          <w:rFonts w:ascii="Palatino Linotype" w:hAnsi="Palatino Linotype" w:eastAsia="Calibri" w:cs="Tahoma"/>
          <w:bCs/>
          <w:iCs/>
          <w:color w:val="000000"/>
          <w:sz w:val="22"/>
          <w:szCs w:val="24"/>
          <w:lang w:eastAsia="es-MX"/>
        </w:rPr>
        <w:t>En consecuencia</w:t>
      </w:r>
      <w:r w:rsidR="00092205">
        <w:rPr>
          <w:rFonts w:ascii="Palatino Linotype" w:hAnsi="Palatino Linotype" w:eastAsia="Calibri" w:cs="Tahoma"/>
          <w:bCs/>
          <w:iCs/>
          <w:color w:val="000000"/>
          <w:sz w:val="22"/>
          <w:szCs w:val="24"/>
          <w:lang w:val="es-ES" w:eastAsia="es-MX"/>
        </w:rPr>
        <w:t>, el</w:t>
      </w:r>
      <w:r w:rsidRPr="00A26524">
        <w:rPr>
          <w:rFonts w:ascii="Palatino Linotype" w:hAnsi="Palatino Linotype" w:eastAsia="Calibri" w:cs="Tahoma"/>
          <w:bCs/>
          <w:iCs/>
          <w:color w:val="000000"/>
          <w:sz w:val="22"/>
          <w:szCs w:val="24"/>
          <w:lang w:val="es-ES" w:eastAsia="es-MX"/>
        </w:rPr>
        <w:t xml:space="preserve"> Particular se inconformó</w:t>
      </w:r>
      <w:r w:rsidR="00872DAC">
        <w:rPr>
          <w:rFonts w:ascii="Palatino Linotype" w:hAnsi="Palatino Linotype" w:eastAsia="Calibri" w:cs="Tahoma"/>
          <w:bCs/>
          <w:iCs/>
          <w:color w:val="000000"/>
          <w:sz w:val="22"/>
          <w:szCs w:val="24"/>
          <w:lang w:val="es-ES" w:eastAsia="es-MX"/>
        </w:rPr>
        <w:t xml:space="preserve"> medularmente porque: a) el Sujeto Obligado entregó respuesta después del plazo previsto para tal efecto; b) en respuesta se dejaron a la vista datos personales ya que no se tomaron las medidas necesarias para prote</w:t>
      </w:r>
      <w:r w:rsidR="00092205">
        <w:rPr>
          <w:rFonts w:ascii="Palatino Linotype" w:hAnsi="Palatino Linotype" w:eastAsia="Calibri" w:cs="Tahoma"/>
          <w:bCs/>
          <w:iCs/>
          <w:color w:val="000000"/>
          <w:sz w:val="22"/>
          <w:szCs w:val="24"/>
          <w:lang w:val="es-ES" w:eastAsia="es-MX"/>
        </w:rPr>
        <w:t>gerlos y; c) no se anexó el Acuerdo</w:t>
      </w:r>
      <w:r w:rsidR="00872DAC">
        <w:rPr>
          <w:rFonts w:ascii="Palatino Linotype" w:hAnsi="Palatino Linotype" w:eastAsia="Calibri" w:cs="Tahoma"/>
          <w:bCs/>
          <w:iCs/>
          <w:color w:val="000000"/>
          <w:sz w:val="22"/>
          <w:szCs w:val="24"/>
          <w:lang w:val="es-ES" w:eastAsia="es-MX"/>
        </w:rPr>
        <w:t xml:space="preserve"> de Clasificación </w:t>
      </w:r>
      <w:r w:rsidR="00092205">
        <w:rPr>
          <w:rFonts w:ascii="Palatino Linotype" w:hAnsi="Palatino Linotype" w:eastAsia="Calibri" w:cs="Tahoma"/>
          <w:bCs/>
          <w:iCs/>
          <w:color w:val="000000"/>
          <w:sz w:val="22"/>
          <w:szCs w:val="24"/>
          <w:lang w:val="es-ES" w:eastAsia="es-MX"/>
        </w:rPr>
        <w:t>emitido</w:t>
      </w:r>
      <w:r w:rsidR="00872DAC">
        <w:rPr>
          <w:rFonts w:ascii="Palatino Linotype" w:hAnsi="Palatino Linotype" w:eastAsia="Calibri" w:cs="Tahoma"/>
          <w:bCs/>
          <w:iCs/>
          <w:color w:val="000000"/>
          <w:sz w:val="22"/>
          <w:szCs w:val="24"/>
          <w:lang w:val="es-ES" w:eastAsia="es-MX"/>
        </w:rPr>
        <w:t xml:space="preserve"> por el Comité de Transparencia de</w:t>
      </w:r>
      <w:r w:rsidR="00922FAF">
        <w:rPr>
          <w:rFonts w:ascii="Palatino Linotype" w:hAnsi="Palatino Linotype" w:eastAsia="Calibri" w:cs="Tahoma"/>
          <w:bCs/>
          <w:iCs/>
          <w:color w:val="000000"/>
          <w:sz w:val="22"/>
          <w:szCs w:val="24"/>
          <w:lang w:val="es-ES" w:eastAsia="es-MX"/>
        </w:rPr>
        <w:t>l Ayuntamiento de</w:t>
      </w:r>
      <w:r w:rsidR="00872DAC">
        <w:rPr>
          <w:rFonts w:ascii="Palatino Linotype" w:hAnsi="Palatino Linotype" w:eastAsia="Calibri" w:cs="Tahoma"/>
          <w:bCs/>
          <w:iCs/>
          <w:color w:val="000000"/>
          <w:sz w:val="22"/>
          <w:szCs w:val="24"/>
          <w:lang w:val="es-ES" w:eastAsia="es-MX"/>
        </w:rPr>
        <w:t xml:space="preserve"> Texcoco donde se apruebe la clasificación de la información. </w:t>
      </w:r>
    </w:p>
    <w:p w:rsidR="00872DAC" w:rsidP="005B031E" w:rsidRDefault="00872DAC" w14:paraId="10D98864" w14:textId="77777777">
      <w:pPr>
        <w:spacing w:line="360" w:lineRule="auto"/>
        <w:jc w:val="both"/>
        <w:rPr>
          <w:rFonts w:ascii="Palatino Linotype" w:hAnsi="Palatino Linotype" w:eastAsia="Calibri" w:cs="Tahoma"/>
          <w:bCs/>
          <w:iCs/>
          <w:color w:val="000000"/>
          <w:sz w:val="22"/>
          <w:szCs w:val="24"/>
          <w:lang w:val="es-ES" w:eastAsia="es-MX"/>
        </w:rPr>
      </w:pPr>
    </w:p>
    <w:p w:rsidRPr="007A73E5" w:rsidR="00A26524" w:rsidP="005B031E" w:rsidRDefault="00872DAC" w14:paraId="00CA204C" w14:textId="300EE636">
      <w:pPr>
        <w:spacing w:line="360" w:lineRule="auto"/>
        <w:jc w:val="both"/>
        <w:rPr>
          <w:rFonts w:ascii="Palatino Linotype" w:hAnsi="Palatino Linotype" w:eastAsia="Calibri" w:cs="Tahoma"/>
          <w:bCs/>
          <w:iCs/>
          <w:color w:val="000000"/>
          <w:sz w:val="22"/>
          <w:szCs w:val="24"/>
          <w:lang w:val="es-ES" w:eastAsia="es-MX"/>
        </w:rPr>
      </w:pPr>
      <w:r>
        <w:rPr>
          <w:rFonts w:ascii="Palatino Linotype" w:hAnsi="Palatino Linotype" w:eastAsia="Calibri" w:cs="Tahoma"/>
          <w:bCs/>
          <w:iCs/>
          <w:color w:val="000000"/>
          <w:sz w:val="22"/>
          <w:szCs w:val="24"/>
          <w:lang w:val="es-ES" w:eastAsia="es-MX"/>
        </w:rPr>
        <w:t>Posterior a ello, en la etapa de manifestaciones, el Sujeto Obligado</w:t>
      </w:r>
      <w:r w:rsidR="00922FAF">
        <w:rPr>
          <w:rFonts w:ascii="Palatino Linotype" w:hAnsi="Palatino Linotype" w:eastAsia="Calibri" w:cs="Tahoma"/>
          <w:bCs/>
          <w:iCs/>
          <w:color w:val="000000"/>
          <w:sz w:val="22"/>
          <w:szCs w:val="24"/>
          <w:lang w:val="es-ES" w:eastAsia="es-MX"/>
        </w:rPr>
        <w:t xml:space="preserve"> en atención a las inconformidades vertidas por el</w:t>
      </w:r>
      <w:r>
        <w:rPr>
          <w:rFonts w:ascii="Palatino Linotype" w:hAnsi="Palatino Linotype" w:eastAsia="Calibri" w:cs="Tahoma"/>
          <w:bCs/>
          <w:iCs/>
          <w:color w:val="000000"/>
          <w:sz w:val="22"/>
          <w:szCs w:val="24"/>
          <w:lang w:val="es-ES" w:eastAsia="es-MX"/>
        </w:rPr>
        <w:t xml:space="preserve"> recurrente, </w:t>
      </w:r>
      <w:r w:rsidR="007A73E5">
        <w:rPr>
          <w:rFonts w:ascii="Palatino Linotype" w:hAnsi="Palatino Linotype" w:eastAsia="Calibri" w:cs="Tahoma"/>
          <w:bCs/>
          <w:iCs/>
          <w:color w:val="000000"/>
          <w:sz w:val="22"/>
          <w:szCs w:val="24"/>
          <w:lang w:val="es-ES" w:eastAsia="es-MX"/>
        </w:rPr>
        <w:t xml:space="preserve">remitió de nueva cuenta los recibos de nómina del mismo periodo bajo un procesamiento técnico diverso al anterior. </w:t>
      </w:r>
    </w:p>
    <w:p w:rsidRPr="00A26524" w:rsidR="00A26524" w:rsidP="005B031E" w:rsidRDefault="00A26524" w14:paraId="6545B968" w14:textId="77777777">
      <w:pPr>
        <w:spacing w:line="360" w:lineRule="auto"/>
        <w:jc w:val="both"/>
        <w:rPr>
          <w:rFonts w:ascii="Palatino Linotype" w:hAnsi="Palatino Linotype" w:eastAsia="Calibri" w:cs="Tahoma"/>
          <w:bCs/>
          <w:iCs/>
          <w:color w:val="000000"/>
          <w:sz w:val="22"/>
          <w:szCs w:val="24"/>
          <w:lang w:val="es-ES" w:eastAsia="es-MX"/>
        </w:rPr>
      </w:pPr>
    </w:p>
    <w:p w:rsidRPr="00A26524" w:rsidR="00A26524" w:rsidP="005B031E" w:rsidRDefault="00A26524" w14:paraId="3EE6B4A8" w14:textId="60A7B834">
      <w:pPr>
        <w:spacing w:line="360" w:lineRule="auto"/>
        <w:jc w:val="both"/>
        <w:rPr>
          <w:rFonts w:ascii="Palatino Linotype" w:hAnsi="Palatino Linotype" w:eastAsia="Calibri" w:cs="Tahoma"/>
          <w:bCs/>
          <w:iCs/>
          <w:color w:val="000000"/>
          <w:sz w:val="22"/>
          <w:szCs w:val="24"/>
          <w:lang w:val="es-ES" w:eastAsia="es-MX"/>
        </w:rPr>
      </w:pPr>
      <w:r w:rsidRPr="00922FAF">
        <w:rPr>
          <w:rFonts w:ascii="Palatino Linotype" w:hAnsi="Palatino Linotype" w:eastAsia="Calibri" w:cs="Tahoma"/>
          <w:bCs/>
          <w:iCs/>
          <w:color w:val="000000"/>
          <w:sz w:val="22"/>
          <w:szCs w:val="24"/>
          <w:lang w:val="es-ES" w:eastAsia="es-MX"/>
        </w:rPr>
        <w:t>Es por l</w:t>
      </w:r>
      <w:r w:rsidRPr="00922FAF" w:rsidR="00922FAF">
        <w:rPr>
          <w:rFonts w:ascii="Palatino Linotype" w:hAnsi="Palatino Linotype" w:eastAsia="Calibri" w:cs="Tahoma"/>
          <w:bCs/>
          <w:iCs/>
          <w:color w:val="000000"/>
          <w:sz w:val="22"/>
          <w:szCs w:val="24"/>
          <w:lang w:val="es-ES" w:eastAsia="es-MX"/>
        </w:rPr>
        <w:t>o</w:t>
      </w:r>
      <w:r w:rsidRPr="00922FAF">
        <w:rPr>
          <w:rFonts w:ascii="Palatino Linotype" w:hAnsi="Palatino Linotype" w:eastAsia="Calibri" w:cs="Tahoma"/>
          <w:bCs/>
          <w:iCs/>
          <w:color w:val="000000"/>
          <w:sz w:val="22"/>
          <w:szCs w:val="24"/>
          <w:lang w:val="es-ES" w:eastAsia="es-MX"/>
        </w:rPr>
        <w:t xml:space="preserve"> que en términos del artículo 186 de la Ley de Transparencia y Acceso a la Información Pública del Estado de México y Municipios, esta Ponencia medularmente estudiará </w:t>
      </w:r>
      <w:r w:rsidRPr="00922FAF" w:rsidR="007A73E5">
        <w:rPr>
          <w:rFonts w:ascii="Palatino Linotype" w:hAnsi="Palatino Linotype" w:eastAsia="Calibri" w:cs="Tahoma"/>
          <w:bCs/>
          <w:iCs/>
          <w:color w:val="000000"/>
          <w:sz w:val="22"/>
          <w:szCs w:val="24"/>
          <w:lang w:val="es-ES" w:eastAsia="es-MX"/>
        </w:rPr>
        <w:t>si el Sujeto Obligado incurrió en los agravios expuestos por el particular</w:t>
      </w:r>
      <w:r w:rsidRPr="00922FAF">
        <w:rPr>
          <w:rFonts w:ascii="Palatino Linotype" w:hAnsi="Palatino Linotype" w:eastAsia="Calibri" w:cs="Tahoma"/>
          <w:bCs/>
          <w:iCs/>
          <w:color w:val="000000"/>
          <w:sz w:val="22"/>
          <w:szCs w:val="24"/>
          <w:lang w:val="es-ES" w:eastAsia="es-MX"/>
        </w:rPr>
        <w:t xml:space="preserve"> con la finalidad de dictar la resolución correspondiente.</w:t>
      </w:r>
      <w:r w:rsidRPr="00A26524">
        <w:rPr>
          <w:rFonts w:ascii="Palatino Linotype" w:hAnsi="Palatino Linotype" w:eastAsia="Calibri" w:cs="Tahoma"/>
          <w:bCs/>
          <w:iCs/>
          <w:color w:val="000000"/>
          <w:sz w:val="22"/>
          <w:szCs w:val="24"/>
          <w:lang w:val="es-ES" w:eastAsia="es-MX"/>
        </w:rPr>
        <w:t xml:space="preserve"> </w:t>
      </w:r>
    </w:p>
    <w:p w:rsidRPr="00C938B6" w:rsidR="00801872" w:rsidP="005B031E" w:rsidRDefault="00801872" w14:paraId="75EF9BE5" w14:textId="77777777">
      <w:pPr>
        <w:spacing w:line="360" w:lineRule="auto"/>
        <w:jc w:val="both"/>
        <w:rPr>
          <w:rFonts w:ascii="Palatino Linotype" w:hAnsi="Palatino Linotype"/>
          <w:color w:val="000000"/>
          <w:sz w:val="22"/>
          <w:szCs w:val="22"/>
          <w:lang w:eastAsia="es-MX"/>
        </w:rPr>
      </w:pPr>
    </w:p>
    <w:p w:rsidRPr="00C938B6" w:rsidR="00801872" w:rsidP="005B031E" w:rsidRDefault="00801872" w14:paraId="043C9801" w14:textId="77777777">
      <w:pPr>
        <w:spacing w:line="360" w:lineRule="auto"/>
        <w:jc w:val="both"/>
        <w:rPr>
          <w:rFonts w:ascii="Palatino Linotype" w:hAnsi="Palatino Linotype" w:cs="Tahoma"/>
          <w:b/>
          <w:bCs/>
          <w:iCs/>
          <w:sz w:val="22"/>
          <w:szCs w:val="22"/>
        </w:rPr>
      </w:pPr>
      <w:r w:rsidRPr="00C938B6">
        <w:rPr>
          <w:rFonts w:ascii="Palatino Linotype" w:hAnsi="Palatino Linotype" w:cs="Tahoma"/>
          <w:b/>
          <w:bCs/>
          <w:iCs/>
          <w:sz w:val="22"/>
          <w:szCs w:val="22"/>
          <w:lang w:val="es-ES"/>
        </w:rPr>
        <w:t xml:space="preserve">CUARTO. </w:t>
      </w:r>
      <w:r w:rsidRPr="00C938B6">
        <w:rPr>
          <w:rFonts w:ascii="Palatino Linotype" w:hAnsi="Palatino Linotype" w:cs="Tahoma"/>
          <w:b/>
          <w:bCs/>
          <w:iCs/>
          <w:sz w:val="22"/>
          <w:szCs w:val="22"/>
        </w:rPr>
        <w:t>Marco normativo aplicable en materia de transparencia y acceso a la información pública.</w:t>
      </w:r>
    </w:p>
    <w:p w:rsidRPr="00C938B6" w:rsidR="00801872" w:rsidP="005B031E" w:rsidRDefault="00801872" w14:paraId="23A022ED" w14:textId="77777777">
      <w:pPr>
        <w:autoSpaceDE w:val="0"/>
        <w:autoSpaceDN w:val="0"/>
        <w:adjustRightInd w:val="0"/>
        <w:spacing w:line="360" w:lineRule="auto"/>
        <w:jc w:val="both"/>
        <w:rPr>
          <w:rFonts w:ascii="Palatino Linotype" w:hAnsi="Palatino Linotype" w:cs="Tahoma"/>
          <w:bCs/>
          <w:iCs/>
          <w:sz w:val="22"/>
          <w:szCs w:val="22"/>
          <w:lang w:val="es-ES"/>
        </w:rPr>
      </w:pPr>
    </w:p>
    <w:p w:rsidRPr="007A73E5" w:rsidR="007A73E5" w:rsidP="005B031E" w:rsidRDefault="007A73E5" w14:paraId="6CA98EF4" w14:textId="77777777">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 xml:space="preserve">El Derecho de Acceso a la Información Pública es un Derecho Humano reconocido en el Pacto de Derechos Civiles y Políticos en su artículo 19.2; en la Convención Americana sobre </w:t>
      </w:r>
      <w:r w:rsidRPr="007A73E5">
        <w:rPr>
          <w:rFonts w:ascii="Palatino Linotype" w:hAnsi="Palatino Linotype" w:cs="Tahoma"/>
          <w:bCs/>
          <w:iCs/>
          <w:sz w:val="22"/>
          <w:szCs w:val="22"/>
        </w:rPr>
        <w:lastRenderedPageBreak/>
        <w:t>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Pr="007A73E5" w:rsidR="007A73E5" w:rsidP="005B031E" w:rsidRDefault="007A73E5" w14:paraId="3FDE1922" w14:textId="77777777">
      <w:pPr>
        <w:spacing w:line="360" w:lineRule="auto"/>
        <w:jc w:val="both"/>
        <w:rPr>
          <w:rFonts w:ascii="Palatino Linotype" w:hAnsi="Palatino Linotype" w:cs="Tahoma"/>
          <w:bCs/>
          <w:iCs/>
          <w:sz w:val="22"/>
          <w:szCs w:val="22"/>
        </w:rPr>
      </w:pPr>
    </w:p>
    <w:p w:rsidRPr="007A73E5" w:rsidR="007A73E5" w:rsidP="005B031E" w:rsidRDefault="007A73E5" w14:paraId="4676F5CF" w14:textId="77777777">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A73E5" w:rsidR="007A73E5" w:rsidP="005B031E" w:rsidRDefault="007A73E5" w14:paraId="5CC0D27A" w14:textId="77777777">
      <w:pPr>
        <w:spacing w:line="360" w:lineRule="auto"/>
        <w:jc w:val="both"/>
        <w:rPr>
          <w:rFonts w:ascii="Palatino Linotype" w:hAnsi="Palatino Linotype" w:cs="Tahoma"/>
          <w:bCs/>
          <w:iCs/>
          <w:sz w:val="22"/>
          <w:szCs w:val="22"/>
        </w:rPr>
      </w:pPr>
    </w:p>
    <w:p w:rsidRPr="007A73E5" w:rsidR="007A73E5" w:rsidP="005B031E" w:rsidRDefault="007A73E5" w14:paraId="6C5768B6" w14:textId="278467CC">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w:t>
      </w:r>
      <w:r w:rsidR="001B04D6">
        <w:rPr>
          <w:rFonts w:ascii="Palatino Linotype" w:hAnsi="Palatino Linotype" w:cs="Tahoma"/>
          <w:bCs/>
          <w:iCs/>
          <w:sz w:val="22"/>
          <w:szCs w:val="22"/>
        </w:rPr>
        <w:t xml:space="preserve">des, competencias o funciones </w:t>
      </w:r>
      <w:r w:rsidRPr="007A73E5">
        <w:rPr>
          <w:rFonts w:ascii="Palatino Linotype" w:hAnsi="Palatino Linotype" w:cs="Tahoma"/>
          <w:bCs/>
          <w:iCs/>
          <w:sz w:val="22"/>
          <w:szCs w:val="22"/>
        </w:rPr>
        <w:t>desde su origen la eventual publicidad y reutilización de la información que generen.</w:t>
      </w:r>
    </w:p>
    <w:p w:rsidRPr="007A73E5" w:rsidR="007A73E5" w:rsidP="005B031E" w:rsidRDefault="007A73E5" w14:paraId="7058F883" w14:textId="77777777">
      <w:pPr>
        <w:spacing w:line="360" w:lineRule="auto"/>
        <w:jc w:val="both"/>
        <w:rPr>
          <w:rFonts w:ascii="Palatino Linotype" w:hAnsi="Palatino Linotype" w:cs="Tahoma"/>
          <w:bCs/>
          <w:iCs/>
          <w:sz w:val="22"/>
          <w:szCs w:val="22"/>
        </w:rPr>
      </w:pPr>
    </w:p>
    <w:p w:rsidR="007A73E5" w:rsidP="005B031E" w:rsidRDefault="007A73E5" w14:paraId="29E4CFE9" w14:textId="1D8EB86B">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 xml:space="preserve">Finalmente, es relevante mencionar que el artículo 19 del ordenamiento local de la materia señala que se presume que la información debe existir si se refiere a las facultades, competencias y funciones que los ordenamientos jurídicos aplicables otorgan a los sujetos </w:t>
      </w:r>
      <w:r w:rsidRPr="007A73E5">
        <w:rPr>
          <w:rFonts w:ascii="Palatino Linotype" w:hAnsi="Palatino Linotype" w:cs="Tahoma"/>
          <w:bCs/>
          <w:iCs/>
          <w:sz w:val="22"/>
          <w:szCs w:val="22"/>
        </w:rPr>
        <w:lastRenderedPageBreak/>
        <w:t>obligados y en caso de que dichas facultades no se hayan ejercido, se deberá motivar la respuesta en función de las causas que motivaron tal circunstancia.</w:t>
      </w:r>
    </w:p>
    <w:p w:rsidRPr="00C938B6" w:rsidR="007A73E5" w:rsidP="005B031E" w:rsidRDefault="007A73E5" w14:paraId="4A08D7DD" w14:textId="77777777">
      <w:pPr>
        <w:spacing w:line="360" w:lineRule="auto"/>
        <w:jc w:val="both"/>
        <w:rPr>
          <w:rFonts w:ascii="Palatino Linotype" w:hAnsi="Palatino Linotype" w:cs="Tahoma"/>
          <w:bCs/>
          <w:iCs/>
          <w:sz w:val="22"/>
          <w:szCs w:val="22"/>
        </w:rPr>
      </w:pPr>
    </w:p>
    <w:p w:rsidRPr="00C938B6" w:rsidR="00070F27" w:rsidP="005B031E" w:rsidRDefault="00801872" w14:paraId="38362B9A" w14:textId="77777777">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Quinto. Estudio de Fondo.</w:t>
      </w:r>
    </w:p>
    <w:p w:rsidRPr="00C938B6" w:rsidR="00070F27" w:rsidP="005B031E" w:rsidRDefault="00070F27" w14:paraId="11337AA8" w14:textId="77777777">
      <w:pPr>
        <w:spacing w:line="360" w:lineRule="auto"/>
        <w:jc w:val="both"/>
        <w:rPr>
          <w:rFonts w:ascii="Palatino Linotype" w:hAnsi="Palatino Linotype" w:cs="Tahoma"/>
          <w:b/>
          <w:bCs/>
          <w:iCs/>
          <w:sz w:val="22"/>
          <w:szCs w:val="22"/>
          <w:lang w:val="es-ES"/>
        </w:rPr>
      </w:pPr>
    </w:p>
    <w:p w:rsidR="007A73E5" w:rsidP="005B031E" w:rsidRDefault="00070F27" w14:paraId="3993F8FF" w14:textId="4A47A82A">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Expuestas las posturas de las partes, se procede al análisis de</w:t>
      </w:r>
      <w:r w:rsidR="007A73E5">
        <w:rPr>
          <w:rFonts w:ascii="Palatino Linotype" w:hAnsi="Palatino Linotype" w:cs="Tahoma"/>
          <w:bCs/>
          <w:iCs/>
          <w:sz w:val="22"/>
          <w:szCs w:val="22"/>
        </w:rPr>
        <w:t xml:space="preserve"> los agravios </w:t>
      </w:r>
      <w:r w:rsidR="00034FC0">
        <w:rPr>
          <w:rFonts w:ascii="Palatino Linotype" w:hAnsi="Palatino Linotype" w:cs="Tahoma"/>
          <w:bCs/>
          <w:iCs/>
          <w:sz w:val="22"/>
          <w:szCs w:val="22"/>
        </w:rPr>
        <w:t xml:space="preserve">hechos valer por el Recurrente </w:t>
      </w:r>
      <w:r w:rsidRPr="00C938B6">
        <w:rPr>
          <w:rFonts w:ascii="Palatino Linotype" w:hAnsi="Palatino Linotype" w:cs="Tahoma"/>
          <w:bCs/>
          <w:iCs/>
          <w:sz w:val="22"/>
          <w:szCs w:val="22"/>
        </w:rPr>
        <w:t>concer</w:t>
      </w:r>
      <w:r w:rsidR="007A73E5">
        <w:rPr>
          <w:rFonts w:ascii="Palatino Linotype" w:hAnsi="Palatino Linotype" w:cs="Tahoma"/>
          <w:bCs/>
          <w:iCs/>
          <w:sz w:val="22"/>
          <w:szCs w:val="22"/>
        </w:rPr>
        <w:t xml:space="preserve">nientes a la entrega extemporánea </w:t>
      </w:r>
      <w:r w:rsidR="00DE02EE">
        <w:rPr>
          <w:rFonts w:ascii="Palatino Linotype" w:hAnsi="Palatino Linotype" w:cs="Tahoma"/>
          <w:bCs/>
          <w:iCs/>
          <w:sz w:val="22"/>
          <w:szCs w:val="22"/>
        </w:rPr>
        <w:t xml:space="preserve">de respuesta y </w:t>
      </w:r>
      <w:r w:rsidR="007A73E5">
        <w:rPr>
          <w:rFonts w:ascii="Palatino Linotype" w:hAnsi="Palatino Linotype" w:cs="Tahoma"/>
          <w:bCs/>
          <w:iCs/>
          <w:sz w:val="22"/>
          <w:szCs w:val="22"/>
        </w:rPr>
        <w:t xml:space="preserve">la clasificación </w:t>
      </w:r>
      <w:r w:rsidR="00E64745">
        <w:rPr>
          <w:rFonts w:ascii="Palatino Linotype" w:hAnsi="Palatino Linotype" w:cs="Tahoma"/>
          <w:bCs/>
          <w:iCs/>
          <w:sz w:val="22"/>
          <w:szCs w:val="22"/>
        </w:rPr>
        <w:t>de la información</w:t>
      </w:r>
      <w:r w:rsidR="00034FC0">
        <w:rPr>
          <w:rFonts w:ascii="Palatino Linotype" w:hAnsi="Palatino Linotype" w:cs="Tahoma"/>
          <w:bCs/>
          <w:iCs/>
          <w:sz w:val="22"/>
          <w:szCs w:val="22"/>
        </w:rPr>
        <w:t>, n</w:t>
      </w:r>
      <w:r w:rsidR="00E64745">
        <w:rPr>
          <w:rFonts w:ascii="Palatino Linotype" w:hAnsi="Palatino Linotype" w:cs="Tahoma"/>
          <w:bCs/>
          <w:iCs/>
          <w:sz w:val="22"/>
          <w:szCs w:val="22"/>
        </w:rPr>
        <w:t xml:space="preserve">o sin antes mencionar que del estudio de las actuaciones y archivos que </w:t>
      </w:r>
      <w:r w:rsidR="00034FC0">
        <w:rPr>
          <w:rFonts w:ascii="Palatino Linotype" w:hAnsi="Palatino Linotype" w:cs="Tahoma"/>
          <w:bCs/>
          <w:iCs/>
          <w:sz w:val="22"/>
          <w:szCs w:val="22"/>
        </w:rPr>
        <w:t>obran en el expediente, se observó que la información requerida por el particular relativa al monto del sueldo quincenal bruto y neto del servidor público, así como los recibos de nómina del mes de agosto fueron proporc</w:t>
      </w:r>
      <w:r w:rsidR="007A067A">
        <w:rPr>
          <w:rFonts w:ascii="Palatino Linotype" w:hAnsi="Palatino Linotype" w:cs="Tahoma"/>
          <w:bCs/>
          <w:iCs/>
          <w:sz w:val="22"/>
          <w:szCs w:val="22"/>
        </w:rPr>
        <w:t>ionados por el Sujeto Obligado,</w:t>
      </w:r>
      <w:r w:rsidR="00034FC0">
        <w:rPr>
          <w:rFonts w:ascii="Palatino Linotype" w:hAnsi="Palatino Linotype" w:cs="Tahoma"/>
          <w:bCs/>
          <w:iCs/>
          <w:sz w:val="22"/>
          <w:szCs w:val="22"/>
        </w:rPr>
        <w:t xml:space="preserve"> una vez dicho esto se procede al estudio de los agravios vertidos en el recurso de revisión que ahora nos ocupa, al tenor de lo siguiente:  </w:t>
      </w:r>
    </w:p>
    <w:p w:rsidR="00867749" w:rsidP="005B031E" w:rsidRDefault="00867749" w14:paraId="3A0B36EA" w14:textId="77777777">
      <w:pPr>
        <w:spacing w:line="360" w:lineRule="auto"/>
        <w:jc w:val="both"/>
        <w:rPr>
          <w:rFonts w:ascii="Palatino Linotype" w:hAnsi="Palatino Linotype" w:cs="Tahoma"/>
          <w:bCs/>
          <w:iCs/>
          <w:sz w:val="22"/>
          <w:szCs w:val="22"/>
        </w:rPr>
      </w:pPr>
    </w:p>
    <w:p w:rsidRPr="00A57DD1" w:rsidR="00A57DD1" w:rsidP="005B031E" w:rsidRDefault="00A57DD1" w14:paraId="2EEFEC26" w14:textId="7CC5B878">
      <w:pPr>
        <w:pStyle w:val="Prrafodelista"/>
        <w:numPr>
          <w:ilvl w:val="0"/>
          <w:numId w:val="21"/>
        </w:numPr>
        <w:spacing w:line="360" w:lineRule="auto"/>
        <w:jc w:val="both"/>
        <w:rPr>
          <w:rFonts w:ascii="Palatino Linotype" w:hAnsi="Palatino Linotype" w:cs="Tahoma"/>
          <w:bCs/>
          <w:iCs/>
          <w:szCs w:val="22"/>
        </w:rPr>
      </w:pPr>
      <w:r>
        <w:rPr>
          <w:rFonts w:ascii="Palatino Linotype" w:hAnsi="Palatino Linotype" w:cs="Tahoma"/>
          <w:b/>
          <w:bCs/>
          <w:iCs/>
          <w:szCs w:val="22"/>
        </w:rPr>
        <w:t xml:space="preserve">De la respuesta </w:t>
      </w:r>
      <w:r w:rsidR="00DE02EE">
        <w:rPr>
          <w:rFonts w:ascii="Palatino Linotype" w:hAnsi="Palatino Linotype" w:cs="Tahoma"/>
          <w:b/>
          <w:bCs/>
          <w:iCs/>
          <w:szCs w:val="22"/>
        </w:rPr>
        <w:t xml:space="preserve">extemporánea </w:t>
      </w:r>
      <w:r>
        <w:rPr>
          <w:rFonts w:ascii="Palatino Linotype" w:hAnsi="Palatino Linotype" w:cs="Tahoma"/>
          <w:b/>
          <w:bCs/>
          <w:iCs/>
          <w:szCs w:val="22"/>
        </w:rPr>
        <w:t xml:space="preserve">del Sujeto Obligado. </w:t>
      </w:r>
    </w:p>
    <w:p w:rsidR="00A57DD1" w:rsidP="005B031E" w:rsidRDefault="00A57DD1" w14:paraId="24ACC5DE" w14:textId="77777777">
      <w:pPr>
        <w:spacing w:line="360" w:lineRule="auto"/>
        <w:jc w:val="both"/>
        <w:rPr>
          <w:rFonts w:ascii="Palatino Linotype" w:hAnsi="Palatino Linotype" w:cs="Tahoma"/>
          <w:bCs/>
          <w:iCs/>
          <w:sz w:val="22"/>
          <w:szCs w:val="22"/>
        </w:rPr>
      </w:pPr>
    </w:p>
    <w:p w:rsidR="00DE02EE" w:rsidP="005B031E" w:rsidRDefault="00A57DD1" w14:paraId="4133BD79" w14:textId="77777777">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De conformidad con lo establecido en los artículos 162 y 163 de la Ley de Transparencia y Acceso a la Información Pública del Estado de México y Municipios, las unidades de transparencia deberán garantizar que las solicitudes se turnen a todas las áreas competentes que cuenten con la información o deban tenerla para que realicen una búsqueda exhaustiva y razonable de la información solicitada, con la finalidad de que en un plazo que </w:t>
      </w:r>
      <w:r w:rsidRPr="00A57DD1">
        <w:rPr>
          <w:rFonts w:ascii="Palatino Linotype" w:hAnsi="Palatino Linotype" w:cs="Tahoma"/>
          <w:b/>
          <w:bCs/>
          <w:iCs/>
          <w:sz w:val="22"/>
          <w:szCs w:val="22"/>
        </w:rPr>
        <w:t>no exceda quince días hábiles</w:t>
      </w:r>
      <w:r>
        <w:rPr>
          <w:rFonts w:ascii="Palatino Linotype" w:hAnsi="Palatino Linotype" w:cs="Tahoma"/>
          <w:bCs/>
          <w:iCs/>
          <w:sz w:val="22"/>
          <w:szCs w:val="22"/>
        </w:rPr>
        <w:t xml:space="preserve"> contados a partir del día siguiente de la presentación de la solicitud, la Unidad de Transparencia dé respuesta, siendo que de manera excepcional el plazo referido podrá ampliarse hasta por siete días h</w:t>
      </w:r>
      <w:r w:rsidR="00DE02EE">
        <w:rPr>
          <w:rFonts w:ascii="Palatino Linotype" w:hAnsi="Palatino Linotype" w:cs="Tahoma"/>
          <w:bCs/>
          <w:iCs/>
          <w:sz w:val="22"/>
          <w:szCs w:val="22"/>
        </w:rPr>
        <w:t xml:space="preserve">ábiles, para lo cual el Comité de Transparencia deberá emitir una resolución que fundamente y motive las causas de dicha ampliación. </w:t>
      </w:r>
    </w:p>
    <w:p w:rsidR="00DE02EE" w:rsidP="005B031E" w:rsidRDefault="00DE02EE" w14:paraId="75B75933" w14:textId="77777777">
      <w:pPr>
        <w:spacing w:line="360" w:lineRule="auto"/>
        <w:jc w:val="both"/>
        <w:rPr>
          <w:rFonts w:ascii="Palatino Linotype" w:hAnsi="Palatino Linotype" w:cs="Tahoma"/>
          <w:bCs/>
          <w:iCs/>
          <w:sz w:val="22"/>
          <w:szCs w:val="22"/>
        </w:rPr>
      </w:pPr>
    </w:p>
    <w:p w:rsidR="00DE02EE" w:rsidP="005B031E" w:rsidRDefault="00DE02EE" w14:paraId="3BDA60C4" w14:textId="43BF1B97">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Una vez precisado lo anterior, de las fechas que constan en el archivo electrónico, se tiene que el Particular solicitó la información en fecha dieciocho de octubre de dos mil veintiuno siendo hasta el nueve de noviembre de dos mil veintiuno la fecha límite para que el Sujeto Obligado emitiera respuesta, en ese sentido se observa que el Sujeto Obligado respondió en fecha diez de noviembre de dos mil veintiuno y no proporcionó la resolución del Comité de Transparencia donde se aprobará la ampliación de plazo para emitir respuesta. </w:t>
      </w:r>
    </w:p>
    <w:p w:rsidR="00DE02EE" w:rsidP="005B031E" w:rsidRDefault="00DE02EE" w14:paraId="15924846" w14:textId="77777777">
      <w:pPr>
        <w:spacing w:line="360" w:lineRule="auto"/>
        <w:jc w:val="both"/>
        <w:rPr>
          <w:rFonts w:ascii="Palatino Linotype" w:hAnsi="Palatino Linotype" w:cs="Tahoma"/>
          <w:bCs/>
          <w:iCs/>
          <w:sz w:val="22"/>
          <w:szCs w:val="22"/>
        </w:rPr>
      </w:pPr>
    </w:p>
    <w:p w:rsidR="00034FC0" w:rsidP="005B031E" w:rsidRDefault="00DE02EE" w14:paraId="2F1101C0" w14:textId="2E683415">
      <w:pPr>
        <w:spacing w:line="360" w:lineRule="auto"/>
        <w:jc w:val="both"/>
        <w:rPr>
          <w:rFonts w:ascii="Palatino Linotype" w:hAnsi="Palatino Linotype" w:cs="Tahoma"/>
          <w:b/>
          <w:bCs/>
          <w:iCs/>
          <w:sz w:val="22"/>
          <w:szCs w:val="22"/>
        </w:rPr>
      </w:pPr>
      <w:r>
        <w:rPr>
          <w:rFonts w:ascii="Palatino Linotype" w:hAnsi="Palatino Linotype" w:cs="Tahoma"/>
          <w:bCs/>
          <w:iCs/>
          <w:sz w:val="22"/>
          <w:szCs w:val="22"/>
        </w:rPr>
        <w:t>De lo anterior, se tiene que</w:t>
      </w:r>
      <w:r w:rsidR="00867749">
        <w:rPr>
          <w:rFonts w:ascii="Palatino Linotype" w:hAnsi="Palatino Linotype" w:cs="Tahoma"/>
          <w:bCs/>
          <w:iCs/>
          <w:sz w:val="22"/>
          <w:szCs w:val="22"/>
        </w:rPr>
        <w:t>,</w:t>
      </w:r>
      <w:r>
        <w:rPr>
          <w:rFonts w:ascii="Palatino Linotype" w:hAnsi="Palatino Linotype" w:cs="Tahoma"/>
          <w:bCs/>
          <w:iCs/>
          <w:sz w:val="22"/>
          <w:szCs w:val="22"/>
        </w:rPr>
        <w:t xml:space="preserve"> en efecto, el Sujeto Obligado presentó de manera extemporánea la respuesta a la solicitud de información del Particular, no obstante, atendiendo al momento procesal en el que se encuentra el presente asunto, se estima que tal omisión por parte del Sujeto Obligado es una cuestión irreparable, por lo que se </w:t>
      </w:r>
      <w:r w:rsidR="00922FAF">
        <w:rPr>
          <w:rFonts w:ascii="Palatino Linotype" w:hAnsi="Palatino Linotype" w:cs="Tahoma"/>
          <w:bCs/>
          <w:iCs/>
          <w:sz w:val="22"/>
          <w:szCs w:val="22"/>
        </w:rPr>
        <w:t xml:space="preserve">determina </w:t>
      </w:r>
      <w:r>
        <w:rPr>
          <w:rFonts w:ascii="Palatino Linotype" w:hAnsi="Palatino Linotype" w:cs="Tahoma"/>
          <w:bCs/>
          <w:iCs/>
          <w:sz w:val="22"/>
          <w:szCs w:val="22"/>
        </w:rPr>
        <w:t xml:space="preserve">que el agravio resulta ser </w:t>
      </w:r>
      <w:r>
        <w:rPr>
          <w:rFonts w:ascii="Palatino Linotype" w:hAnsi="Palatino Linotype" w:cs="Tahoma"/>
          <w:b/>
          <w:bCs/>
          <w:iCs/>
          <w:sz w:val="22"/>
          <w:szCs w:val="22"/>
        </w:rPr>
        <w:t xml:space="preserve">fundado pero inoperante. </w:t>
      </w:r>
    </w:p>
    <w:p w:rsidRPr="001B04D6" w:rsidR="008438C2" w:rsidP="005B031E" w:rsidRDefault="008438C2" w14:paraId="6EA2D887" w14:textId="77777777">
      <w:pPr>
        <w:spacing w:line="360" w:lineRule="auto"/>
        <w:jc w:val="both"/>
        <w:rPr>
          <w:rFonts w:ascii="Palatino Linotype" w:hAnsi="Palatino Linotype" w:cs="Tahoma"/>
          <w:b/>
          <w:bCs/>
          <w:iCs/>
          <w:sz w:val="22"/>
          <w:szCs w:val="22"/>
        </w:rPr>
      </w:pPr>
    </w:p>
    <w:p w:rsidRPr="00A57DD1" w:rsidR="00034FC0" w:rsidP="005B031E" w:rsidRDefault="00034FC0" w14:paraId="3A7CEFA1" w14:textId="43FF0F78">
      <w:pPr>
        <w:pStyle w:val="Prrafodelista"/>
        <w:numPr>
          <w:ilvl w:val="0"/>
          <w:numId w:val="21"/>
        </w:numPr>
        <w:spacing w:line="360" w:lineRule="auto"/>
        <w:jc w:val="both"/>
        <w:rPr>
          <w:rFonts w:ascii="Palatino Linotype" w:hAnsi="Palatino Linotype" w:cs="Tahoma"/>
          <w:bCs/>
          <w:iCs/>
          <w:szCs w:val="22"/>
        </w:rPr>
      </w:pPr>
      <w:r>
        <w:rPr>
          <w:rFonts w:ascii="Palatino Linotype" w:hAnsi="Palatino Linotype" w:cs="Tahoma"/>
          <w:b/>
          <w:bCs/>
          <w:iCs/>
          <w:szCs w:val="22"/>
        </w:rPr>
        <w:t xml:space="preserve">De la información clasificada en la respuesta del Sujeto Obligado. </w:t>
      </w:r>
    </w:p>
    <w:p w:rsidR="00A57DD1" w:rsidP="005B031E" w:rsidRDefault="00A57DD1" w14:paraId="63E32B9C" w14:textId="77777777">
      <w:pPr>
        <w:spacing w:line="360" w:lineRule="auto"/>
        <w:jc w:val="both"/>
        <w:rPr>
          <w:rFonts w:ascii="Palatino Linotype" w:hAnsi="Palatino Linotype" w:cs="Tahoma"/>
          <w:bCs/>
          <w:iCs/>
          <w:sz w:val="22"/>
          <w:szCs w:val="22"/>
        </w:rPr>
      </w:pPr>
    </w:p>
    <w:p w:rsidR="005B031E" w:rsidP="005B031E" w:rsidRDefault="005B031E" w14:paraId="2F2B7B4D" w14:textId="3933592E">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Para el análisis de este punto, es necesario mencionar que el artículo 6°, apartado A, fracción II de la Constitución Política de los Estados Unidos Mexicanos, prevé que la información que refiere a la vida privada y los datos personales, será protegida en los términos y con las excepciones que fijen las leyes, de igual forma, el segundo párrafo de su artículo 16,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 o para proteger los derechos de terceros. </w:t>
      </w:r>
    </w:p>
    <w:p w:rsidR="005B031E" w:rsidP="005B031E" w:rsidRDefault="005B031E" w14:paraId="01F1095E" w14:textId="77777777">
      <w:pPr>
        <w:spacing w:line="360" w:lineRule="auto"/>
        <w:jc w:val="both"/>
        <w:rPr>
          <w:rFonts w:ascii="Palatino Linotype" w:hAnsi="Palatino Linotype" w:cs="Tahoma"/>
          <w:bCs/>
          <w:iCs/>
          <w:sz w:val="22"/>
          <w:szCs w:val="22"/>
        </w:rPr>
      </w:pPr>
    </w:p>
    <w:p w:rsidR="005B031E" w:rsidP="005B031E" w:rsidRDefault="005B031E" w14:paraId="1701027D" w14:textId="11BF25A8">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el ámbito local, tenemos que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 </w:t>
      </w:r>
    </w:p>
    <w:p w:rsidR="005B031E" w:rsidP="005B031E" w:rsidRDefault="005B031E" w14:paraId="3DCD0DD1" w14:textId="217E23EA">
      <w:pPr>
        <w:spacing w:line="360" w:lineRule="auto"/>
        <w:jc w:val="both"/>
        <w:rPr>
          <w:rFonts w:ascii="Palatino Linotype" w:hAnsi="Palatino Linotype" w:cs="Tahoma"/>
          <w:bCs/>
          <w:iCs/>
          <w:sz w:val="22"/>
          <w:szCs w:val="22"/>
        </w:rPr>
      </w:pPr>
    </w:p>
    <w:p w:rsidR="005B031E" w:rsidP="005B031E" w:rsidRDefault="005B031E" w14:paraId="2166FB77" w14:textId="31F3D69B">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La Ley General de Transparencia y Acceso a la Información Pública, en su artículo 116 dispone que se considera información confidencial la que contenga datos personales concernientes a una persona física identificada o identificable, por otro lado, el artículo 24, fracción VI de la Ley de Transparencia y Acceso a la Información Pública del Estado de México y Municipios, precisa que los Sujetos Obligados serán los responsables de proteger y resguardar la información clasificada</w:t>
      </w:r>
      <w:r w:rsidR="001B04D6">
        <w:rPr>
          <w:rFonts w:ascii="Palatino Linotype" w:hAnsi="Palatino Linotype" w:cs="Tahoma"/>
          <w:bCs/>
          <w:iCs/>
          <w:sz w:val="22"/>
          <w:szCs w:val="22"/>
        </w:rPr>
        <w:t xml:space="preserve"> como reservada o confidencial en atención a </w:t>
      </w:r>
      <w:r>
        <w:rPr>
          <w:rFonts w:ascii="Palatino Linotype" w:hAnsi="Palatino Linotype" w:cs="Tahoma"/>
          <w:bCs/>
          <w:iCs/>
          <w:sz w:val="22"/>
          <w:szCs w:val="22"/>
        </w:rPr>
        <w:t>lo establecido por el art</w:t>
      </w:r>
      <w:r w:rsidR="00B611ED">
        <w:rPr>
          <w:rFonts w:ascii="Palatino Linotype" w:hAnsi="Palatino Linotype" w:cs="Tahoma"/>
          <w:bCs/>
          <w:iCs/>
          <w:sz w:val="22"/>
          <w:szCs w:val="22"/>
        </w:rPr>
        <w:t xml:space="preserve">ículo 143, fracción I, el cual señala </w:t>
      </w:r>
      <w:r>
        <w:rPr>
          <w:rFonts w:ascii="Palatino Linotype" w:hAnsi="Palatino Linotype" w:cs="Tahoma"/>
          <w:bCs/>
          <w:iCs/>
          <w:sz w:val="22"/>
          <w:szCs w:val="22"/>
        </w:rPr>
        <w:t xml:space="preserve">que la información privada y los datos personales concernientes a una persona física o jurídico colectiva identificada o identificable son confidenciales, permitiendo su acceso únicamente en atención a lo que dispone el artículo 145 de la Ley en cita. </w:t>
      </w:r>
    </w:p>
    <w:p w:rsidR="005B031E" w:rsidP="005B031E" w:rsidRDefault="005B031E" w14:paraId="79291082" w14:textId="77777777">
      <w:pPr>
        <w:spacing w:line="360" w:lineRule="auto"/>
        <w:jc w:val="both"/>
        <w:rPr>
          <w:rFonts w:ascii="Palatino Linotype" w:hAnsi="Palatino Linotype" w:cs="Tahoma"/>
          <w:bCs/>
          <w:iCs/>
          <w:sz w:val="22"/>
          <w:szCs w:val="22"/>
        </w:rPr>
      </w:pPr>
    </w:p>
    <w:p w:rsidR="005B031E" w:rsidP="005B031E" w:rsidRDefault="005B031E" w14:paraId="376B43C9" w14:textId="4D4C051C">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resumen, tenemos que </w:t>
      </w:r>
      <w:r w:rsidR="00B611ED">
        <w:rPr>
          <w:rFonts w:ascii="Palatino Linotype" w:hAnsi="Palatino Linotype" w:cs="Tahoma"/>
          <w:bCs/>
          <w:iCs/>
          <w:sz w:val="22"/>
          <w:szCs w:val="22"/>
        </w:rPr>
        <w:t xml:space="preserve">la documentación y aquellos datos que se consideren confidenciales, serán un limitante del derecho de acceso a la información cuando: a) se traten de datos personales o información privada concerniente a una persona física o jurídico colectiva identificada o identificable y; b) para su difusión se requiere el consentimiento del titular. </w:t>
      </w:r>
    </w:p>
    <w:p w:rsidR="00B611ED" w:rsidP="005B031E" w:rsidRDefault="00B611ED" w14:paraId="786CDCA2" w14:textId="77777777">
      <w:pPr>
        <w:spacing w:line="360" w:lineRule="auto"/>
        <w:jc w:val="both"/>
        <w:rPr>
          <w:rFonts w:ascii="Palatino Linotype" w:hAnsi="Palatino Linotype" w:cs="Tahoma"/>
          <w:bCs/>
          <w:iCs/>
          <w:sz w:val="22"/>
          <w:szCs w:val="22"/>
        </w:rPr>
      </w:pPr>
    </w:p>
    <w:p w:rsidR="00B611ED" w:rsidP="005B031E" w:rsidRDefault="00B611ED" w14:paraId="22E6C6BD" w14:textId="7C9E07AC">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Ahora bien, los artículos 6°, 7°, 8° y 14 de la Ley de Protección de Datos Personales en Posesión de Sujetos Obligados del </w:t>
      </w:r>
      <w:r w:rsidR="00DC7066">
        <w:rPr>
          <w:rFonts w:ascii="Palatino Linotype" w:hAnsi="Palatino Linotype" w:cs="Tahoma"/>
          <w:bCs/>
          <w:iCs/>
          <w:sz w:val="22"/>
          <w:szCs w:val="22"/>
        </w:rPr>
        <w:t xml:space="preserve">Estado de México y Municipios disponen que los responsables del </w:t>
      </w:r>
      <w:r w:rsidR="00DC7066">
        <w:rPr>
          <w:rFonts w:ascii="Palatino Linotype" w:hAnsi="Palatino Linotype" w:cs="Tahoma"/>
          <w:bCs/>
          <w:iCs/>
          <w:sz w:val="22"/>
          <w:szCs w:val="22"/>
        </w:rPr>
        <w:lastRenderedPageBreak/>
        <w:t xml:space="preserve">tratamiento de datos personales, deben observar los principios de licitud, consentimiento, información y responsabilidad; calidad, lealtad, finalidad, proporcionalidad, además de que dicho tratamiento deberá obedecer exclusivamente a sus atribuciones legales y con el consentimiento de su titular, además de que debe estar justificado en la ley (principio de finalidad). </w:t>
      </w:r>
    </w:p>
    <w:p w:rsidR="001B04D6" w:rsidP="005B031E" w:rsidRDefault="001B04D6" w14:paraId="31552DC5" w14:textId="77777777">
      <w:pPr>
        <w:spacing w:line="360" w:lineRule="auto"/>
        <w:jc w:val="both"/>
        <w:rPr>
          <w:rFonts w:ascii="Palatino Linotype" w:hAnsi="Palatino Linotype" w:cs="Tahoma"/>
          <w:bCs/>
          <w:iCs/>
          <w:sz w:val="22"/>
          <w:szCs w:val="22"/>
        </w:rPr>
      </w:pPr>
    </w:p>
    <w:p w:rsidR="006255F2" w:rsidP="005B031E" w:rsidRDefault="006255F2" w14:paraId="5E366CBA" w14:textId="007C8AF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Por lo cual, la confidencialidad de los datos </w:t>
      </w:r>
      <w:r w:rsidR="00D51254">
        <w:rPr>
          <w:rFonts w:ascii="Palatino Linotype" w:hAnsi="Palatino Linotype" w:cs="Tahoma"/>
          <w:bCs/>
          <w:iCs/>
          <w:sz w:val="22"/>
          <w:szCs w:val="22"/>
        </w:rPr>
        <w:t>personales</w:t>
      </w:r>
      <w:r>
        <w:rPr>
          <w:rFonts w:ascii="Palatino Linotype" w:hAnsi="Palatino Linotype" w:cs="Tahoma"/>
          <w:bCs/>
          <w:iCs/>
          <w:sz w:val="22"/>
          <w:szCs w:val="22"/>
        </w:rPr>
        <w:t xml:space="preserve">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 </w:t>
      </w:r>
    </w:p>
    <w:p w:rsidR="006255F2" w:rsidP="005B031E" w:rsidRDefault="006255F2" w14:paraId="78BCEB70" w14:textId="77777777">
      <w:pPr>
        <w:spacing w:line="360" w:lineRule="auto"/>
        <w:jc w:val="both"/>
        <w:rPr>
          <w:rFonts w:ascii="Palatino Linotype" w:hAnsi="Palatino Linotype" w:cs="Tahoma"/>
          <w:bCs/>
          <w:iCs/>
          <w:sz w:val="22"/>
          <w:szCs w:val="22"/>
        </w:rPr>
      </w:pPr>
    </w:p>
    <w:p w:rsidR="006255F2" w:rsidP="005B031E" w:rsidRDefault="006255F2" w14:paraId="02A12785" w14:textId="5E97528E">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De tal suerte que las instituciones públicas tienen la doble responsabilidad, por un lado, proteger los datos personales y por otro, darles publicidad cuando la relevancia de esos datos sea de interés público, es decir; cuando favorezca la rendición de cuentas y contribuya a la democratización del Estado Mexicano. Asimismo, es necesario señalar que cuando las personas tienen una relación comercial, laboral, de servicios, trámites o del tipo que sea, necesariamente por un tema de interés público, debe cederse un poco a la privacidad, lo que obliga a realizar un ejercicio de ponderación en donde únicamente se privilegie la publicidad de los datos esenciales para la transparencia y rendición de cuentas, sin afectar la vida privada de las personas. </w:t>
      </w:r>
    </w:p>
    <w:p w:rsidR="002D6AAD" w:rsidP="005B031E" w:rsidRDefault="002D6AAD" w14:paraId="0C42D530" w14:textId="77777777">
      <w:pPr>
        <w:spacing w:line="360" w:lineRule="auto"/>
        <w:jc w:val="both"/>
        <w:rPr>
          <w:rFonts w:ascii="Palatino Linotype" w:hAnsi="Palatino Linotype" w:cs="Tahoma"/>
          <w:bCs/>
          <w:iCs/>
          <w:sz w:val="22"/>
          <w:szCs w:val="22"/>
        </w:rPr>
      </w:pPr>
    </w:p>
    <w:p w:rsidR="00AE0BAF" w:rsidP="005B031E" w:rsidRDefault="006255F2" w14:paraId="6EC1E0FF" w14:textId="44EC3FB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Bajo este contexto,</w:t>
      </w:r>
      <w:r w:rsidR="00034FC0">
        <w:rPr>
          <w:rFonts w:ascii="Palatino Linotype" w:hAnsi="Palatino Linotype" w:cs="Tahoma"/>
          <w:bCs/>
          <w:iCs/>
          <w:sz w:val="22"/>
          <w:szCs w:val="22"/>
        </w:rPr>
        <w:t xml:space="preserve"> es necesario mencionar que el Particular, en su recurso de revisión precis</w:t>
      </w:r>
      <w:r w:rsidR="00AE0BAF">
        <w:rPr>
          <w:rFonts w:ascii="Palatino Linotype" w:hAnsi="Palatino Linotype" w:cs="Tahoma"/>
          <w:bCs/>
          <w:iCs/>
          <w:sz w:val="22"/>
          <w:szCs w:val="22"/>
        </w:rPr>
        <w:t xml:space="preserve">ó que el Sujeto Obligado dejó a la vista datos personales del Servidor Público como lo son: número de trabajador, CURP, RFC, clave de ISSEMyM y folio fiscal, además de que no se anexó el Acuerdo de Clasificación emitido por su Comité de Transparencia mediante el cual se apruebe la clasificación de la información contenida en dichos documentos. </w:t>
      </w:r>
    </w:p>
    <w:p w:rsidR="00AE0BAF" w:rsidP="005B031E" w:rsidRDefault="00AE0BAF" w14:paraId="62099FCA" w14:textId="77777777">
      <w:pPr>
        <w:spacing w:line="360" w:lineRule="auto"/>
        <w:jc w:val="both"/>
        <w:rPr>
          <w:rFonts w:ascii="Palatino Linotype" w:hAnsi="Palatino Linotype" w:cs="Tahoma"/>
          <w:bCs/>
          <w:iCs/>
          <w:sz w:val="22"/>
          <w:szCs w:val="22"/>
        </w:rPr>
      </w:pPr>
    </w:p>
    <w:p w:rsidR="00AE0BAF" w:rsidP="005B031E" w:rsidRDefault="001B04D6" w14:paraId="171C216E" w14:textId="2846B0D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Por lo que</w:t>
      </w:r>
      <w:r w:rsidR="008438C2">
        <w:rPr>
          <w:rFonts w:ascii="Palatino Linotype" w:hAnsi="Palatino Linotype" w:cs="Tahoma"/>
          <w:bCs/>
          <w:iCs/>
          <w:sz w:val="22"/>
          <w:szCs w:val="22"/>
        </w:rPr>
        <w:t>,</w:t>
      </w:r>
      <w:r>
        <w:rPr>
          <w:rFonts w:ascii="Palatino Linotype" w:hAnsi="Palatino Linotype" w:cs="Tahoma"/>
          <w:bCs/>
          <w:iCs/>
          <w:sz w:val="22"/>
          <w:szCs w:val="22"/>
        </w:rPr>
        <w:t xml:space="preserve"> en atención </w:t>
      </w:r>
      <w:r w:rsidR="00AE0BAF">
        <w:rPr>
          <w:rFonts w:ascii="Palatino Linotype" w:hAnsi="Palatino Linotype" w:cs="Tahoma"/>
          <w:bCs/>
          <w:iCs/>
          <w:sz w:val="22"/>
          <w:szCs w:val="22"/>
        </w:rPr>
        <w:t xml:space="preserve">a dichas manifestaciones, se procedió al estudio de los documentos enviados en respuesta, de </w:t>
      </w:r>
      <w:r w:rsidR="002A4971">
        <w:rPr>
          <w:rFonts w:ascii="Palatino Linotype" w:hAnsi="Palatino Linotype" w:cs="Tahoma"/>
          <w:bCs/>
          <w:iCs/>
          <w:sz w:val="22"/>
          <w:szCs w:val="22"/>
        </w:rPr>
        <w:t>los cuales se pudo advertir que resulta visible el contenido que se pretend</w:t>
      </w:r>
      <w:r w:rsidR="00922FAF">
        <w:rPr>
          <w:rFonts w:ascii="Palatino Linotype" w:hAnsi="Palatino Linotype" w:cs="Tahoma"/>
          <w:bCs/>
          <w:iCs/>
          <w:sz w:val="22"/>
          <w:szCs w:val="22"/>
        </w:rPr>
        <w:t xml:space="preserve">ió </w:t>
      </w:r>
      <w:r w:rsidR="00C22BF7">
        <w:rPr>
          <w:rFonts w:ascii="Palatino Linotype" w:hAnsi="Palatino Linotype" w:cs="Tahoma"/>
          <w:bCs/>
          <w:iCs/>
          <w:sz w:val="22"/>
          <w:szCs w:val="22"/>
        </w:rPr>
        <w:t xml:space="preserve">testar y que precisamente se </w:t>
      </w:r>
      <w:r w:rsidR="00E36B4D">
        <w:rPr>
          <w:rFonts w:ascii="Palatino Linotype" w:hAnsi="Palatino Linotype" w:cs="Tahoma"/>
          <w:bCs/>
          <w:iCs/>
          <w:sz w:val="22"/>
          <w:szCs w:val="22"/>
        </w:rPr>
        <w:t xml:space="preserve">observan </w:t>
      </w:r>
      <w:r w:rsidR="00C22BF7">
        <w:rPr>
          <w:rFonts w:ascii="Palatino Linotype" w:hAnsi="Palatino Linotype" w:cs="Tahoma"/>
          <w:bCs/>
          <w:iCs/>
          <w:sz w:val="22"/>
          <w:szCs w:val="22"/>
        </w:rPr>
        <w:t xml:space="preserve">datos </w:t>
      </w:r>
      <w:r w:rsidR="00DE0616">
        <w:rPr>
          <w:rFonts w:ascii="Palatino Linotype" w:hAnsi="Palatino Linotype" w:cs="Tahoma"/>
          <w:bCs/>
          <w:iCs/>
          <w:sz w:val="22"/>
          <w:szCs w:val="22"/>
        </w:rPr>
        <w:t>susceptibles de ser protegidos</w:t>
      </w:r>
      <w:r w:rsidR="00C22BF7">
        <w:rPr>
          <w:rFonts w:ascii="Palatino Linotype" w:hAnsi="Palatino Linotype" w:cs="Tahoma"/>
          <w:bCs/>
          <w:iCs/>
          <w:sz w:val="22"/>
          <w:szCs w:val="22"/>
        </w:rPr>
        <w:t xml:space="preserve">, así como que se testaron datos que resultan ser de naturaleza pública. </w:t>
      </w:r>
    </w:p>
    <w:p w:rsidR="00C22BF7" w:rsidP="005B031E" w:rsidRDefault="00C22BF7" w14:paraId="6FE3A447" w14:textId="77777777">
      <w:pPr>
        <w:spacing w:line="360" w:lineRule="auto"/>
        <w:jc w:val="both"/>
        <w:rPr>
          <w:rFonts w:ascii="Palatino Linotype" w:hAnsi="Palatino Linotype" w:cs="Tahoma"/>
          <w:bCs/>
          <w:iCs/>
          <w:sz w:val="22"/>
          <w:szCs w:val="22"/>
        </w:rPr>
      </w:pPr>
    </w:p>
    <w:p w:rsidR="00582FC8" w:rsidP="005B031E" w:rsidRDefault="00C22BF7" w14:paraId="1F9C8A1C" w14:textId="46248786">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En ese sentido es importante referir que el artículo 122 de la Ley de Transparencia y Acceso a la Información Pública del Estado de México y Municipios precisa que la clasificación es el proceso mediante el cual el Sujeto Obligado determina que la información en su poder actualiza alguno de los</w:t>
      </w:r>
      <w:r w:rsidR="00E36B4D">
        <w:rPr>
          <w:rFonts w:ascii="Palatino Linotype" w:hAnsi="Palatino Linotype" w:cs="Tahoma"/>
          <w:bCs/>
          <w:iCs/>
          <w:sz w:val="22"/>
          <w:szCs w:val="22"/>
        </w:rPr>
        <w:t xml:space="preserve"> supuestos de reserva o confidencialidad. Ahora bien, de forma genérica </w:t>
      </w:r>
      <w:r w:rsidRPr="00E36B4D" w:rsidR="00E36B4D">
        <w:rPr>
          <w:rFonts w:ascii="Palatino Linotype" w:hAnsi="Palatino Linotype" w:cs="Tahoma"/>
          <w:bCs/>
          <w:i/>
          <w:iCs/>
          <w:sz w:val="22"/>
          <w:szCs w:val="22"/>
        </w:rPr>
        <w:t xml:space="preserve">“proceso” </w:t>
      </w:r>
      <w:r w:rsidR="00E36B4D">
        <w:rPr>
          <w:rFonts w:ascii="Palatino Linotype" w:hAnsi="Palatino Linotype" w:cs="Tahoma"/>
          <w:bCs/>
          <w:iCs/>
          <w:sz w:val="22"/>
          <w:szCs w:val="22"/>
        </w:rPr>
        <w:t xml:space="preserve">es definido por la Real Academia de la Lengua Española como </w:t>
      </w:r>
      <w:r w:rsidR="00E36B4D">
        <w:rPr>
          <w:rFonts w:ascii="Palatino Linotype" w:hAnsi="Palatino Linotype" w:cs="Tahoma"/>
          <w:bCs/>
          <w:i/>
          <w:iCs/>
          <w:sz w:val="22"/>
          <w:szCs w:val="22"/>
        </w:rPr>
        <w:t>un conjunto de fases sucesivas de un fenómeno natural o de una operación artificial</w:t>
      </w:r>
      <w:r w:rsidR="00922FAF">
        <w:rPr>
          <w:rFonts w:ascii="Palatino Linotype" w:hAnsi="Palatino Linotype" w:cs="Tahoma"/>
          <w:bCs/>
          <w:iCs/>
          <w:sz w:val="22"/>
          <w:szCs w:val="22"/>
        </w:rPr>
        <w:t>, por lo que en atención</w:t>
      </w:r>
      <w:r w:rsidR="00D037F1">
        <w:rPr>
          <w:rFonts w:ascii="Palatino Linotype" w:hAnsi="Palatino Linotype" w:cs="Tahoma"/>
          <w:bCs/>
          <w:iCs/>
          <w:sz w:val="22"/>
          <w:szCs w:val="22"/>
        </w:rPr>
        <w:t xml:space="preserve"> a lo que ahora nos ocupa tenemos que la clasificación total o parcial de la información requerida constituye una restricción al derecho de acceso a la información, de tal forma que es </w:t>
      </w:r>
      <w:r w:rsidR="00922FAF">
        <w:rPr>
          <w:rFonts w:ascii="Palatino Linotype" w:hAnsi="Palatino Linotype" w:cs="Tahoma"/>
          <w:bCs/>
          <w:iCs/>
          <w:sz w:val="22"/>
          <w:szCs w:val="22"/>
        </w:rPr>
        <w:t xml:space="preserve">indispensable </w:t>
      </w:r>
      <w:r w:rsidR="00582FC8">
        <w:rPr>
          <w:rFonts w:ascii="Palatino Linotype" w:hAnsi="Palatino Linotype" w:cs="Tahoma"/>
          <w:bCs/>
          <w:iCs/>
          <w:sz w:val="22"/>
          <w:szCs w:val="22"/>
        </w:rPr>
        <w:t>para que resulte procedente esta restricci</w:t>
      </w:r>
      <w:r w:rsidR="00D43E9A">
        <w:rPr>
          <w:rFonts w:ascii="Palatino Linotype" w:hAnsi="Palatino Linotype" w:cs="Tahoma"/>
          <w:bCs/>
          <w:iCs/>
          <w:sz w:val="22"/>
          <w:szCs w:val="22"/>
        </w:rPr>
        <w:t>ón, agotar</w:t>
      </w:r>
      <w:r w:rsidR="00582FC8">
        <w:rPr>
          <w:rFonts w:ascii="Palatino Linotype" w:hAnsi="Palatino Linotype" w:cs="Tahoma"/>
          <w:bCs/>
          <w:iCs/>
          <w:sz w:val="22"/>
          <w:szCs w:val="22"/>
        </w:rPr>
        <w:t xml:space="preserve"> </w:t>
      </w:r>
      <w:r w:rsidR="00D43E9A">
        <w:rPr>
          <w:rFonts w:ascii="Palatino Linotype" w:hAnsi="Palatino Linotype" w:cs="Tahoma"/>
          <w:bCs/>
          <w:iCs/>
          <w:sz w:val="22"/>
          <w:szCs w:val="22"/>
        </w:rPr>
        <w:t>un conjunto de fases sucesivas entre ellas: determinar que la información en su poder actualiza alguno de los supuestos de clasificaci</w:t>
      </w:r>
      <w:r w:rsidR="000C51D5">
        <w:rPr>
          <w:rFonts w:ascii="Palatino Linotype" w:hAnsi="Palatino Linotype" w:cs="Tahoma"/>
          <w:bCs/>
          <w:iCs/>
          <w:sz w:val="22"/>
          <w:szCs w:val="22"/>
        </w:rPr>
        <w:t>ón, así como</w:t>
      </w:r>
      <w:r w:rsidR="00D43E9A">
        <w:rPr>
          <w:rFonts w:ascii="Palatino Linotype" w:hAnsi="Palatino Linotype" w:cs="Tahoma"/>
          <w:bCs/>
          <w:iCs/>
          <w:sz w:val="22"/>
          <w:szCs w:val="22"/>
        </w:rPr>
        <w:t xml:space="preserve"> </w:t>
      </w:r>
      <w:r w:rsidR="000C51D5">
        <w:rPr>
          <w:rFonts w:ascii="Palatino Linotype" w:hAnsi="Palatino Linotype" w:cs="Tahoma"/>
          <w:bCs/>
          <w:iCs/>
          <w:sz w:val="22"/>
          <w:szCs w:val="22"/>
        </w:rPr>
        <w:t xml:space="preserve">la emisión del acuerdo de clasificación por parte del Comité de Transparencia. </w:t>
      </w:r>
    </w:p>
    <w:p w:rsidR="00E36B4D" w:rsidP="005B031E" w:rsidRDefault="00E36B4D" w14:paraId="33FEEE67" w14:textId="77777777">
      <w:pPr>
        <w:spacing w:line="360" w:lineRule="auto"/>
        <w:jc w:val="both"/>
        <w:rPr>
          <w:rFonts w:ascii="Palatino Linotype" w:hAnsi="Palatino Linotype" w:cs="Tahoma"/>
          <w:bCs/>
          <w:iCs/>
          <w:sz w:val="22"/>
          <w:szCs w:val="22"/>
        </w:rPr>
      </w:pPr>
    </w:p>
    <w:p w:rsidR="000C51D5" w:rsidP="005B031E" w:rsidRDefault="000C51D5" w14:paraId="069D30B6" w14:textId="1C935730">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 xml:space="preserve">Dicho lo anterior, </w:t>
      </w:r>
      <w:r w:rsidR="00D36E27">
        <w:rPr>
          <w:rFonts w:ascii="Palatino Linotype" w:hAnsi="Palatino Linotype" w:cs="Tahoma"/>
          <w:bCs/>
          <w:iCs/>
          <w:sz w:val="22"/>
          <w:szCs w:val="22"/>
        </w:rPr>
        <w:t>resulta necesario hacer referencia a los datos que el Sujeto Obligado pretendió clasificar en su respuesta</w:t>
      </w:r>
      <w:r w:rsidR="002D6AAD">
        <w:rPr>
          <w:rFonts w:ascii="Palatino Linotype" w:hAnsi="Palatino Linotype" w:cs="Tahoma"/>
          <w:bCs/>
          <w:iCs/>
          <w:sz w:val="22"/>
          <w:szCs w:val="22"/>
        </w:rPr>
        <w:t xml:space="preserve"> y analizar si los mismos son de naturaleza pública o privada</w:t>
      </w:r>
      <w:r w:rsidR="00D36E27">
        <w:rPr>
          <w:rFonts w:ascii="Palatino Linotype" w:hAnsi="Palatino Linotype" w:cs="Tahoma"/>
          <w:bCs/>
          <w:iCs/>
          <w:sz w:val="22"/>
          <w:szCs w:val="22"/>
        </w:rPr>
        <w:t xml:space="preserve">, siendo </w:t>
      </w:r>
      <w:r w:rsidR="00922FAF">
        <w:rPr>
          <w:rFonts w:ascii="Palatino Linotype" w:hAnsi="Palatino Linotype" w:cs="Tahoma"/>
          <w:bCs/>
          <w:iCs/>
          <w:sz w:val="22"/>
          <w:szCs w:val="22"/>
        </w:rPr>
        <w:t xml:space="preserve">estos </w:t>
      </w:r>
      <w:r w:rsidR="00D36E27">
        <w:rPr>
          <w:rFonts w:ascii="Palatino Linotype" w:hAnsi="Palatino Linotype" w:cs="Tahoma"/>
          <w:bCs/>
          <w:iCs/>
          <w:sz w:val="22"/>
          <w:szCs w:val="22"/>
        </w:rPr>
        <w:t xml:space="preserve">los siguientes: </w:t>
      </w:r>
    </w:p>
    <w:p w:rsidR="00D36E27" w:rsidP="005B031E" w:rsidRDefault="00D36E27" w14:paraId="4DC46092" w14:textId="77777777">
      <w:pPr>
        <w:spacing w:line="360" w:lineRule="auto"/>
        <w:jc w:val="both"/>
        <w:rPr>
          <w:rFonts w:ascii="Palatino Linotype" w:hAnsi="Palatino Linotype" w:cs="Tahoma"/>
          <w:bCs/>
          <w:iCs/>
          <w:sz w:val="22"/>
          <w:szCs w:val="22"/>
        </w:rPr>
      </w:pPr>
    </w:p>
    <w:p w:rsidRPr="00DE0616" w:rsidR="00DE0616" w:rsidP="00DE0616" w:rsidRDefault="00D36E27" w14:paraId="1A1157FB" w14:textId="7F32817C">
      <w:pPr>
        <w:pStyle w:val="Prrafodelista"/>
        <w:numPr>
          <w:ilvl w:val="0"/>
          <w:numId w:val="22"/>
        </w:numPr>
        <w:spacing w:line="360" w:lineRule="auto"/>
        <w:jc w:val="both"/>
        <w:rPr>
          <w:rFonts w:ascii="Palatino Linotype" w:hAnsi="Palatino Linotype" w:cs="Tahoma"/>
          <w:bCs/>
          <w:iCs/>
          <w:szCs w:val="22"/>
        </w:rPr>
      </w:pPr>
      <w:r w:rsidRPr="00DE0616">
        <w:rPr>
          <w:rFonts w:ascii="Palatino Linotype" w:hAnsi="Palatino Linotype" w:cs="Tahoma"/>
          <w:b/>
          <w:bCs/>
          <w:iCs/>
          <w:szCs w:val="22"/>
        </w:rPr>
        <w:t>N</w:t>
      </w:r>
      <w:r w:rsidR="00DE0616">
        <w:rPr>
          <w:rFonts w:ascii="Palatino Linotype" w:hAnsi="Palatino Linotype" w:cs="Tahoma"/>
          <w:b/>
          <w:bCs/>
          <w:iCs/>
          <w:szCs w:val="22"/>
        </w:rPr>
        <w:t xml:space="preserve">úmero de Empleado </w:t>
      </w:r>
    </w:p>
    <w:p w:rsidR="00DE0616" w:rsidP="00DE0616" w:rsidRDefault="00DE0616" w14:paraId="78126E6E" w14:textId="77777777">
      <w:pPr>
        <w:spacing w:line="360" w:lineRule="auto"/>
        <w:jc w:val="both"/>
        <w:rPr>
          <w:rFonts w:ascii="Palatino Linotype" w:hAnsi="Palatino Linotype" w:cs="Tahoma"/>
          <w:bCs/>
          <w:iCs/>
          <w:szCs w:val="22"/>
        </w:rPr>
      </w:pPr>
    </w:p>
    <w:p w:rsidRPr="00DE0616" w:rsidR="00DE0616" w:rsidP="00DE0616" w:rsidRDefault="00DE0616" w14:paraId="29CB8CEE" w14:textId="4D45D5C2">
      <w:pPr>
        <w:spacing w:line="360" w:lineRule="auto"/>
        <w:jc w:val="both"/>
        <w:rPr>
          <w:rFonts w:ascii="Palatino Linotype" w:hAnsi="Palatino Linotype" w:cs="Tahoma"/>
          <w:bCs/>
          <w:iCs/>
          <w:sz w:val="22"/>
          <w:szCs w:val="22"/>
        </w:rPr>
      </w:pPr>
      <w:r w:rsidRPr="00DE0616">
        <w:rPr>
          <w:rFonts w:ascii="Palatino Linotype" w:hAnsi="Palatino Linotype" w:cs="Tahoma"/>
          <w:bCs/>
          <w:iCs/>
          <w:sz w:val="22"/>
          <w:szCs w:val="22"/>
        </w:rPr>
        <w:t xml:space="preserve">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 </w:t>
      </w:r>
    </w:p>
    <w:p w:rsidR="00DE0616" w:rsidP="00DE0616" w:rsidRDefault="00DE0616" w14:paraId="00EA4661" w14:textId="77777777">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no revelan datos personales, no reviste el carácter confidencial, al no dar por sí solo acceso a datos personales. </w:t>
      </w:r>
    </w:p>
    <w:p w:rsidR="00DE0616" w:rsidP="00DE0616" w:rsidRDefault="00DE0616" w14:paraId="369AA864" w14:textId="77777777">
      <w:pPr>
        <w:spacing w:line="360" w:lineRule="auto"/>
        <w:jc w:val="both"/>
        <w:rPr>
          <w:rFonts w:ascii="Palatino Linotype" w:hAnsi="Palatino Linotype" w:cs="Tahoma"/>
          <w:bCs/>
          <w:iCs/>
          <w:sz w:val="22"/>
          <w:szCs w:val="22"/>
        </w:rPr>
      </w:pPr>
    </w:p>
    <w:p w:rsidRPr="005B031E" w:rsidR="00DE0616" w:rsidP="00DE0616" w:rsidRDefault="00DE0616" w14:paraId="663AE429" w14:textId="77777777">
      <w:pPr>
        <w:spacing w:line="360" w:lineRule="auto"/>
        <w:jc w:val="both"/>
        <w:rPr>
          <w:rFonts w:ascii="Palatino Linotype" w:hAnsi="Palatino Linotype" w:cs="Tahoma"/>
          <w:bCs/>
          <w:iCs/>
          <w:sz w:val="22"/>
          <w:szCs w:val="22"/>
        </w:rPr>
      </w:pPr>
      <w:r w:rsidRPr="005B031E">
        <w:rPr>
          <w:rFonts w:ascii="Palatino Linotype" w:hAnsi="Palatino Linotype" w:cs="Tahoma"/>
          <w:bCs/>
          <w:iCs/>
          <w:sz w:val="22"/>
          <w:szCs w:val="22"/>
        </w:rPr>
        <w:t>Lo anterior, toma sustento en el Criterio 06/19, emiti</w:t>
      </w:r>
      <w:r>
        <w:rPr>
          <w:rFonts w:ascii="Palatino Linotype" w:hAnsi="Palatino Linotype" w:cs="Tahoma"/>
          <w:bCs/>
          <w:iCs/>
          <w:sz w:val="22"/>
          <w:szCs w:val="22"/>
        </w:rPr>
        <w:t xml:space="preserve">do por el Instituto Nacional de </w:t>
      </w:r>
      <w:r w:rsidRPr="005B031E">
        <w:rPr>
          <w:rFonts w:ascii="Palatino Linotype" w:hAnsi="Palatino Linotype" w:cs="Tahoma"/>
          <w:bCs/>
          <w:iCs/>
          <w:sz w:val="22"/>
          <w:szCs w:val="22"/>
        </w:rPr>
        <w:t xml:space="preserve">Transparencia, Acceso a la Información y Protección de </w:t>
      </w:r>
      <w:r>
        <w:rPr>
          <w:rFonts w:ascii="Palatino Linotype" w:hAnsi="Palatino Linotype" w:cs="Tahoma"/>
          <w:bCs/>
          <w:iCs/>
          <w:sz w:val="22"/>
          <w:szCs w:val="22"/>
        </w:rPr>
        <w:t xml:space="preserve">Datos Personales, que establece </w:t>
      </w:r>
      <w:r w:rsidRPr="005B031E">
        <w:rPr>
          <w:rFonts w:ascii="Palatino Linotype" w:hAnsi="Palatino Linotype" w:cs="Tahoma"/>
          <w:bCs/>
          <w:iCs/>
          <w:sz w:val="22"/>
          <w:szCs w:val="22"/>
        </w:rPr>
        <w:t>lo siguiente:</w:t>
      </w:r>
    </w:p>
    <w:p w:rsidRPr="005B031E" w:rsidR="00DE0616" w:rsidP="00DE0616" w:rsidRDefault="00DE0616" w14:paraId="7C4FEA68" w14:textId="77777777">
      <w:pPr>
        <w:spacing w:line="360" w:lineRule="auto"/>
        <w:jc w:val="both"/>
        <w:rPr>
          <w:rFonts w:ascii="Palatino Linotype" w:hAnsi="Palatino Linotype" w:cs="Tahoma"/>
          <w:bCs/>
          <w:iCs/>
          <w:sz w:val="22"/>
          <w:szCs w:val="22"/>
        </w:rPr>
      </w:pPr>
    </w:p>
    <w:p w:rsidRPr="005B031E" w:rsidR="00DE0616" w:rsidP="00DE0616" w:rsidRDefault="00DE0616" w14:paraId="20E09F1B" w14:textId="77777777">
      <w:pPr>
        <w:spacing w:line="360" w:lineRule="auto"/>
        <w:ind w:left="567" w:right="539"/>
        <w:jc w:val="both"/>
        <w:rPr>
          <w:rFonts w:ascii="Palatino Linotype" w:hAnsi="Palatino Linotype" w:cs="Tahoma"/>
          <w:bCs/>
          <w:i/>
          <w:iCs/>
          <w:sz w:val="22"/>
          <w:szCs w:val="22"/>
        </w:rPr>
      </w:pPr>
      <w:r w:rsidRPr="005B031E">
        <w:rPr>
          <w:rFonts w:ascii="Palatino Linotype" w:hAnsi="Palatino Linotype" w:cs="Tahoma"/>
          <w:bCs/>
          <w:i/>
          <w:iCs/>
          <w:sz w:val="22"/>
          <w:szCs w:val="22"/>
        </w:rPr>
        <w:t>“Número de empleado. Cuando el número de empleado o su equivalente, se integra</w:t>
      </w:r>
      <w:r>
        <w:rPr>
          <w:rFonts w:ascii="Palatino Linotype" w:hAnsi="Palatino Linotype" w:cs="Tahoma"/>
          <w:bCs/>
          <w:i/>
          <w:iCs/>
          <w:sz w:val="22"/>
          <w:szCs w:val="22"/>
        </w:rPr>
        <w:t xml:space="preserve"> </w:t>
      </w:r>
      <w:r w:rsidRPr="005B031E">
        <w:rPr>
          <w:rFonts w:ascii="Palatino Linotype" w:hAnsi="Palatino Linotype" w:cs="Tahoma"/>
          <w:bCs/>
          <w:i/>
          <w:iCs/>
          <w:sz w:val="22"/>
          <w:szCs w:val="22"/>
        </w:rPr>
        <w:t>con datos personales de los trabajadores o funcio</w:t>
      </w:r>
      <w:r>
        <w:rPr>
          <w:rFonts w:ascii="Palatino Linotype" w:hAnsi="Palatino Linotype" w:cs="Tahoma"/>
          <w:bCs/>
          <w:i/>
          <w:iCs/>
          <w:sz w:val="22"/>
          <w:szCs w:val="22"/>
        </w:rPr>
        <w:t xml:space="preserve">na como una clave de acceso que </w:t>
      </w:r>
      <w:r w:rsidRPr="005B031E">
        <w:rPr>
          <w:rFonts w:ascii="Palatino Linotype" w:hAnsi="Palatino Linotype" w:cs="Tahoma"/>
          <w:bCs/>
          <w:i/>
          <w:iCs/>
          <w:sz w:val="22"/>
          <w:szCs w:val="22"/>
        </w:rPr>
        <w:t>no requiere adicionalmente de una contraseña para</w:t>
      </w:r>
      <w:r>
        <w:rPr>
          <w:rFonts w:ascii="Palatino Linotype" w:hAnsi="Palatino Linotype" w:cs="Tahoma"/>
          <w:bCs/>
          <w:i/>
          <w:iCs/>
          <w:sz w:val="22"/>
          <w:szCs w:val="22"/>
        </w:rPr>
        <w:t xml:space="preserve"> ingresar a sistemas o bases de </w:t>
      </w:r>
      <w:r w:rsidRPr="005B031E">
        <w:rPr>
          <w:rFonts w:ascii="Palatino Linotype" w:hAnsi="Palatino Linotype" w:cs="Tahoma"/>
          <w:bCs/>
          <w:i/>
          <w:iCs/>
          <w:sz w:val="22"/>
          <w:szCs w:val="22"/>
        </w:rPr>
        <w:t>datos personales, procede su clasificación como información confidencial.”</w:t>
      </w:r>
    </w:p>
    <w:p w:rsidRPr="005B031E" w:rsidR="00DE0616" w:rsidP="00DE0616" w:rsidRDefault="00DE0616" w14:paraId="64448415" w14:textId="77777777">
      <w:pPr>
        <w:spacing w:line="360" w:lineRule="auto"/>
        <w:jc w:val="both"/>
        <w:rPr>
          <w:rFonts w:ascii="Palatino Linotype" w:hAnsi="Palatino Linotype" w:cs="Tahoma"/>
          <w:bCs/>
          <w:iCs/>
          <w:sz w:val="22"/>
          <w:szCs w:val="22"/>
        </w:rPr>
      </w:pPr>
    </w:p>
    <w:p w:rsidRPr="005B031E" w:rsidR="00DE0616" w:rsidP="00DE0616" w:rsidRDefault="00DE0616" w14:paraId="338BF917" w14:textId="77777777">
      <w:pPr>
        <w:spacing w:line="360" w:lineRule="auto"/>
        <w:jc w:val="both"/>
        <w:rPr>
          <w:rFonts w:ascii="Palatino Linotype" w:hAnsi="Palatino Linotype" w:cs="Tahoma"/>
          <w:bCs/>
          <w:iCs/>
          <w:sz w:val="22"/>
          <w:szCs w:val="22"/>
        </w:rPr>
      </w:pPr>
      <w:r w:rsidRPr="005B031E">
        <w:rPr>
          <w:rFonts w:ascii="Palatino Linotype" w:hAnsi="Palatino Linotype" w:cs="Tahoma"/>
          <w:bCs/>
          <w:iCs/>
          <w:sz w:val="22"/>
          <w:szCs w:val="22"/>
        </w:rPr>
        <w:t>Así, se colige que solamente procederá la clasificación</w:t>
      </w:r>
      <w:r>
        <w:rPr>
          <w:rFonts w:ascii="Palatino Linotype" w:hAnsi="Palatino Linotype" w:cs="Tahoma"/>
          <w:bCs/>
          <w:iCs/>
          <w:sz w:val="22"/>
          <w:szCs w:val="22"/>
        </w:rPr>
        <w:t xml:space="preserve"> del número de empleado, cuando </w:t>
      </w:r>
      <w:r w:rsidRPr="005B031E">
        <w:rPr>
          <w:rFonts w:ascii="Palatino Linotype" w:hAnsi="Palatino Linotype" w:cs="Tahoma"/>
          <w:bCs/>
          <w:iCs/>
          <w:sz w:val="22"/>
          <w:szCs w:val="22"/>
        </w:rPr>
        <w:t>se integre con datos personales de los servidores públicos o funcione como clave de</w:t>
      </w:r>
      <w:r>
        <w:rPr>
          <w:rFonts w:ascii="Palatino Linotype" w:hAnsi="Palatino Linotype" w:cs="Tahoma"/>
          <w:bCs/>
          <w:iCs/>
          <w:sz w:val="22"/>
          <w:szCs w:val="22"/>
        </w:rPr>
        <w:t xml:space="preserve"> </w:t>
      </w:r>
      <w:r w:rsidRPr="005B031E">
        <w:rPr>
          <w:rFonts w:ascii="Palatino Linotype" w:hAnsi="Palatino Linotype" w:cs="Tahoma"/>
          <w:bCs/>
          <w:iCs/>
          <w:sz w:val="22"/>
          <w:szCs w:val="22"/>
        </w:rPr>
        <w:t>acceso que no requiera una contraseña para ingresar a sistemas o bases de datos.</w:t>
      </w:r>
    </w:p>
    <w:p w:rsidRPr="005B031E" w:rsidR="00DE0616" w:rsidP="00DE0616" w:rsidRDefault="00DE0616" w14:paraId="1BDFAA92" w14:textId="77777777">
      <w:pPr>
        <w:spacing w:line="360" w:lineRule="auto"/>
        <w:jc w:val="both"/>
        <w:rPr>
          <w:rFonts w:ascii="Palatino Linotype" w:hAnsi="Palatino Linotype" w:cs="Tahoma"/>
          <w:bCs/>
          <w:iCs/>
          <w:sz w:val="22"/>
          <w:szCs w:val="22"/>
        </w:rPr>
      </w:pPr>
    </w:p>
    <w:p w:rsidR="00DE0616" w:rsidP="00EC6AA2" w:rsidRDefault="00DE0616" w14:paraId="57257F2F" w14:textId="17C3E437">
      <w:pPr>
        <w:spacing w:line="360" w:lineRule="auto"/>
        <w:jc w:val="both"/>
        <w:rPr>
          <w:rFonts w:ascii="Palatino Linotype" w:hAnsi="Palatino Linotype" w:cs="Tahoma"/>
          <w:bCs/>
          <w:iCs/>
          <w:sz w:val="22"/>
          <w:szCs w:val="22"/>
        </w:rPr>
      </w:pPr>
      <w:r w:rsidRPr="005B031E">
        <w:rPr>
          <w:rFonts w:ascii="Palatino Linotype" w:hAnsi="Palatino Linotype" w:cs="Tahoma"/>
          <w:bCs/>
          <w:iCs/>
          <w:sz w:val="22"/>
          <w:szCs w:val="22"/>
        </w:rPr>
        <w:t xml:space="preserve">De tales circunstancias, </w:t>
      </w:r>
      <w:r w:rsidR="00EC6AA2">
        <w:rPr>
          <w:rFonts w:ascii="Palatino Linotype" w:hAnsi="Palatino Linotype" w:cs="Tahoma"/>
          <w:bCs/>
          <w:iCs/>
          <w:sz w:val="22"/>
          <w:szCs w:val="22"/>
        </w:rPr>
        <w:t xml:space="preserve">se precisa </w:t>
      </w:r>
      <w:r>
        <w:rPr>
          <w:rFonts w:ascii="Palatino Linotype" w:hAnsi="Palatino Linotype" w:cs="Tahoma"/>
          <w:bCs/>
          <w:iCs/>
          <w:sz w:val="22"/>
          <w:szCs w:val="22"/>
        </w:rPr>
        <w:t xml:space="preserve">que el </w:t>
      </w:r>
      <w:r>
        <w:rPr>
          <w:rFonts w:ascii="Palatino Linotype" w:hAnsi="Palatino Linotype" w:cs="Tahoma"/>
          <w:b/>
          <w:bCs/>
          <w:iCs/>
          <w:sz w:val="22"/>
          <w:szCs w:val="22"/>
        </w:rPr>
        <w:t xml:space="preserve">Sujeto Obligado </w:t>
      </w:r>
      <w:r w:rsidRPr="005B031E">
        <w:rPr>
          <w:rFonts w:ascii="Palatino Linotype" w:hAnsi="Palatino Linotype" w:cs="Tahoma"/>
          <w:b/>
          <w:bCs/>
          <w:iCs/>
          <w:sz w:val="22"/>
          <w:szCs w:val="22"/>
        </w:rPr>
        <w:t>deberá proporcionar dicho dato</w:t>
      </w:r>
      <w:r w:rsidRPr="005B031E">
        <w:rPr>
          <w:rFonts w:ascii="Palatino Linotype" w:hAnsi="Palatino Linotype" w:cs="Tahoma"/>
          <w:bCs/>
          <w:iCs/>
          <w:sz w:val="22"/>
          <w:szCs w:val="22"/>
        </w:rPr>
        <w:t>, en el caso, de que este se conforme ún</w:t>
      </w:r>
      <w:r>
        <w:rPr>
          <w:rFonts w:ascii="Palatino Linotype" w:hAnsi="Palatino Linotype" w:cs="Tahoma"/>
          <w:bCs/>
          <w:iCs/>
          <w:sz w:val="22"/>
          <w:szCs w:val="22"/>
        </w:rPr>
        <w:t xml:space="preserve">icamente de números, símbolos o </w:t>
      </w:r>
      <w:r w:rsidRPr="005B031E">
        <w:rPr>
          <w:rFonts w:ascii="Palatino Linotype" w:hAnsi="Palatino Linotype" w:cs="Tahoma"/>
          <w:bCs/>
          <w:iCs/>
          <w:sz w:val="22"/>
          <w:szCs w:val="22"/>
        </w:rPr>
        <w:t>dígitos, que de ninguna manera puedan revelar</w:t>
      </w:r>
      <w:r>
        <w:rPr>
          <w:rFonts w:ascii="Palatino Linotype" w:hAnsi="Palatino Linotype" w:cs="Tahoma"/>
          <w:bCs/>
          <w:iCs/>
          <w:sz w:val="22"/>
          <w:szCs w:val="22"/>
        </w:rPr>
        <w:t xml:space="preserve"> datos personales o de acceso a </w:t>
      </w:r>
      <w:r w:rsidRPr="005B031E">
        <w:rPr>
          <w:rFonts w:ascii="Palatino Linotype" w:hAnsi="Palatino Linotype" w:cs="Tahoma"/>
          <w:bCs/>
          <w:iCs/>
          <w:sz w:val="22"/>
          <w:szCs w:val="22"/>
        </w:rPr>
        <w:t xml:space="preserve">sistemas con información de los trabajadores; en </w:t>
      </w:r>
      <w:r>
        <w:rPr>
          <w:rFonts w:ascii="Palatino Linotype" w:hAnsi="Palatino Linotype" w:cs="Tahoma"/>
          <w:bCs/>
          <w:iCs/>
          <w:sz w:val="22"/>
          <w:szCs w:val="22"/>
        </w:rPr>
        <w:t xml:space="preserve">el caso contrario, procederá su </w:t>
      </w:r>
      <w:r w:rsidRPr="005B031E">
        <w:rPr>
          <w:rFonts w:ascii="Palatino Linotype" w:hAnsi="Palatino Linotype" w:cs="Tahoma"/>
          <w:bCs/>
          <w:iCs/>
          <w:sz w:val="22"/>
          <w:szCs w:val="22"/>
        </w:rPr>
        <w:t>clasificación, en términos del artículo 143, fracción I de la Ley de la materia.</w:t>
      </w:r>
    </w:p>
    <w:p w:rsidRPr="00DE0616" w:rsidR="00DE0616" w:rsidP="00DE0616" w:rsidRDefault="00DE0616" w14:paraId="0B2649DF" w14:textId="77777777">
      <w:pPr>
        <w:spacing w:line="360" w:lineRule="auto"/>
        <w:jc w:val="both"/>
        <w:rPr>
          <w:rFonts w:ascii="Palatino Linotype" w:hAnsi="Palatino Linotype" w:cs="Tahoma"/>
          <w:bCs/>
          <w:iCs/>
          <w:sz w:val="22"/>
          <w:szCs w:val="22"/>
        </w:rPr>
      </w:pPr>
    </w:p>
    <w:p w:rsidRPr="00DE0616" w:rsidR="006563FF" w:rsidP="00DE0616" w:rsidRDefault="006563FF" w14:paraId="6B11122F" w14:textId="6D030C1D">
      <w:pPr>
        <w:pStyle w:val="Prrafodelista"/>
        <w:numPr>
          <w:ilvl w:val="0"/>
          <w:numId w:val="22"/>
        </w:numPr>
        <w:spacing w:line="360" w:lineRule="auto"/>
        <w:jc w:val="both"/>
        <w:rPr>
          <w:rFonts w:ascii="Palatino Linotype" w:hAnsi="Palatino Linotype" w:cs="Tahoma"/>
          <w:b/>
          <w:bCs/>
          <w:iCs/>
          <w:szCs w:val="22"/>
          <w:lang w:val="es-ES_tradnl"/>
        </w:rPr>
      </w:pPr>
      <w:r w:rsidRPr="00DE0616">
        <w:rPr>
          <w:rFonts w:ascii="Palatino Linotype" w:hAnsi="Palatino Linotype" w:cs="Tahoma"/>
          <w:b/>
          <w:bCs/>
          <w:iCs/>
          <w:szCs w:val="22"/>
        </w:rPr>
        <w:t>C</w:t>
      </w:r>
      <w:r w:rsidRPr="00DE0616">
        <w:rPr>
          <w:rFonts w:ascii="Palatino Linotype" w:hAnsi="Palatino Linotype" w:cs="Tahoma"/>
          <w:b/>
          <w:bCs/>
          <w:iCs/>
          <w:szCs w:val="22"/>
          <w:lang w:val="es-ES_tradnl"/>
        </w:rPr>
        <w:t>lave Única de Registro de Población (CURP).</w:t>
      </w:r>
    </w:p>
    <w:p w:rsidRPr="00C938B6" w:rsidR="006563FF" w:rsidP="005B031E" w:rsidRDefault="006563FF" w14:paraId="08F38373" w14:textId="77777777">
      <w:pPr>
        <w:spacing w:line="360" w:lineRule="auto"/>
        <w:jc w:val="both"/>
        <w:rPr>
          <w:rFonts w:ascii="Palatino Linotype" w:hAnsi="Palatino Linotype" w:cs="Tahoma"/>
          <w:bCs/>
          <w:iCs/>
          <w:sz w:val="22"/>
          <w:szCs w:val="22"/>
        </w:rPr>
      </w:pPr>
    </w:p>
    <w:p w:rsidRPr="00C938B6" w:rsidR="006563FF" w:rsidP="005B031E" w:rsidRDefault="006563FF" w14:paraId="01067553" w14:textId="77777777">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rsidRPr="00C938B6" w:rsidR="006563FF" w:rsidP="005B031E" w:rsidRDefault="006563FF" w14:paraId="6FCF9A83" w14:textId="77777777">
      <w:pPr>
        <w:spacing w:line="360" w:lineRule="auto"/>
        <w:jc w:val="both"/>
        <w:rPr>
          <w:rFonts w:ascii="Palatino Linotype" w:hAnsi="Palatino Linotype" w:cs="Tahoma"/>
          <w:bCs/>
          <w:iCs/>
          <w:sz w:val="22"/>
          <w:szCs w:val="22"/>
        </w:rPr>
      </w:pPr>
    </w:p>
    <w:p w:rsidRPr="00C938B6" w:rsidR="006563FF" w:rsidP="005B031E" w:rsidRDefault="006563FF" w14:paraId="0A6777A0" w14:textId="77777777">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C938B6" w:rsidR="006563FF" w:rsidP="005B031E" w:rsidRDefault="006563FF" w14:paraId="3E64E0A9" w14:textId="77777777">
      <w:pPr>
        <w:spacing w:line="360" w:lineRule="auto"/>
        <w:jc w:val="both"/>
        <w:rPr>
          <w:rFonts w:ascii="Palatino Linotype" w:hAnsi="Palatino Linotype" w:cs="Tahoma"/>
          <w:bCs/>
          <w:iCs/>
          <w:sz w:val="22"/>
          <w:szCs w:val="22"/>
        </w:rPr>
      </w:pPr>
    </w:p>
    <w:p w:rsidRPr="00C938B6" w:rsidR="006563FF" w:rsidP="005B031E" w:rsidRDefault="006563FF" w14:paraId="3F0B7B53" w14:textId="21777AE8">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lastRenderedPageBreak/>
        <w:t xml:space="preserve">En ese orden de ideas, la Secretaría de Gobernación en las direcciones </w:t>
      </w:r>
      <w:hyperlink w:history="1" r:id="rId7">
        <w:r w:rsidRPr="00C938B6">
          <w:rPr>
            <w:rStyle w:val="Hipervnculo"/>
            <w:rFonts w:ascii="Palatino Linotype" w:hAnsi="Palatino Linotype" w:cs="Tahoma"/>
            <w:bCs/>
            <w:iCs/>
            <w:sz w:val="22"/>
            <w:szCs w:val="22"/>
          </w:rPr>
          <w:t>https://consultas.curp.gob.mx/CurpSP/html/informacionecurpPS.html</w:t>
        </w:r>
      </w:hyperlink>
      <w:r w:rsidRPr="00C938B6">
        <w:rPr>
          <w:rFonts w:ascii="Palatino Linotype" w:hAnsi="Palatino Linotype" w:cs="Tahoma"/>
          <w:bCs/>
          <w:iCs/>
          <w:sz w:val="22"/>
          <w:szCs w:val="22"/>
        </w:rPr>
        <w:t xml:space="preserve"> y </w:t>
      </w:r>
      <w:hyperlink w:history="1" r:id="rId8">
        <w:r w:rsidRPr="00C938B6">
          <w:rPr>
            <w:rStyle w:val="Hipervnculo"/>
            <w:rFonts w:ascii="Palatino Linotype" w:hAnsi="Palatino Linotype" w:cs="Tahoma"/>
            <w:bCs/>
            <w:iCs/>
            <w:sz w:val="22"/>
            <w:szCs w:val="22"/>
          </w:rPr>
          <w:t>https://www.gob.mx/segob/renapo/acciones-y-programas/clave-unica-de-registro-de-poblacion-curp-142226</w:t>
        </w:r>
      </w:hyperlink>
      <w:r w:rsidRPr="00C938B6">
        <w:rPr>
          <w:rFonts w:ascii="Palatino Linotype" w:hAnsi="Palatino Linotype" w:cs="Tahoma"/>
          <w:bCs/>
          <w:iCs/>
          <w:sz w:val="22"/>
          <w:szCs w:val="22"/>
        </w:rPr>
        <w:t xml:space="preserve"> (</w:t>
      </w:r>
      <w:r w:rsidRPr="00922FAF">
        <w:rPr>
          <w:rFonts w:ascii="Palatino Linotype" w:hAnsi="Palatino Linotype" w:cs="Tahoma"/>
          <w:bCs/>
          <w:iCs/>
          <w:szCs w:val="22"/>
        </w:rPr>
        <w:t xml:space="preserve">consultadas el </w:t>
      </w:r>
      <w:r w:rsidR="00922FAF">
        <w:rPr>
          <w:rFonts w:ascii="Palatino Linotype" w:hAnsi="Palatino Linotype" w:cs="Tahoma"/>
          <w:bCs/>
          <w:iCs/>
          <w:szCs w:val="22"/>
        </w:rPr>
        <w:t>doce de enero de dos mil veintidós</w:t>
      </w:r>
      <w:r w:rsidRPr="00C938B6">
        <w:rPr>
          <w:rFonts w:ascii="Palatino Linotype" w:hAnsi="Palatino Linotype" w:cs="Tahoma"/>
          <w:bCs/>
          <w:iCs/>
          <w:sz w:val="22"/>
          <w:szCs w:val="22"/>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C938B6">
        <w:rPr>
          <w:rFonts w:ascii="Palatino Linotype" w:hAnsi="Palatino Linotype" w:cs="Tahoma"/>
          <w:b/>
          <w:bCs/>
          <w:iCs/>
          <w:sz w:val="22"/>
          <w:szCs w:val="22"/>
        </w:rPr>
        <w:t>se generan a partir de los datos contenidos en el documento probatorio de la identidad</w:t>
      </w:r>
      <w:r w:rsidRPr="00C938B6">
        <w:rPr>
          <w:rFonts w:ascii="Palatino Linotype" w:hAnsi="Palatino Linotype" w:cs="Tahoma"/>
          <w:bCs/>
          <w:iCs/>
          <w:sz w:val="22"/>
          <w:szCs w:val="22"/>
        </w:rPr>
        <w:t xml:space="preserve"> </w:t>
      </w:r>
      <w:r w:rsidRPr="00C938B6">
        <w:rPr>
          <w:rFonts w:ascii="Palatino Linotype" w:hAnsi="Palatino Linotype" w:cs="Tahoma"/>
          <w:b/>
          <w:bCs/>
          <w:iCs/>
          <w:sz w:val="22"/>
          <w:szCs w:val="22"/>
        </w:rPr>
        <w:t xml:space="preserve">del interesado </w:t>
      </w:r>
      <w:r w:rsidRPr="00C938B6">
        <w:rPr>
          <w:rFonts w:ascii="Palatino Linotype" w:hAnsi="Palatino Linotype" w:cs="Tahoma"/>
          <w:bCs/>
          <w:iCs/>
          <w:sz w:val="22"/>
          <w:szCs w:val="22"/>
        </w:rPr>
        <w:t>(acta de nacimiento, carta de naturalización o documento migratorio) de la siguiente forma:</w:t>
      </w:r>
    </w:p>
    <w:p w:rsidRPr="00C938B6" w:rsidR="006563FF" w:rsidP="005B031E" w:rsidRDefault="006563FF" w14:paraId="36870761" w14:textId="77777777">
      <w:pPr>
        <w:spacing w:line="360" w:lineRule="auto"/>
        <w:jc w:val="both"/>
        <w:rPr>
          <w:rFonts w:ascii="Palatino Linotype" w:hAnsi="Palatino Linotype" w:cs="Tahoma"/>
          <w:bCs/>
          <w:iCs/>
          <w:sz w:val="22"/>
          <w:szCs w:val="22"/>
        </w:rPr>
      </w:pPr>
    </w:p>
    <w:p w:rsidRPr="00C938B6" w:rsidR="006563FF" w:rsidP="005B031E" w:rsidRDefault="006563FF" w14:paraId="7532E11D" w14:textId="77777777">
      <w:pPr>
        <w:numPr>
          <w:ilvl w:val="0"/>
          <w:numId w:val="9"/>
        </w:num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El primero y segundo apellidos, así como al nombre de pila;</w:t>
      </w:r>
    </w:p>
    <w:p w:rsidRPr="002D6AAD" w:rsidR="00744C4C" w:rsidP="005B031E" w:rsidRDefault="006563FF" w14:paraId="151D9D15" w14:textId="21CA1CF9">
      <w:pPr>
        <w:numPr>
          <w:ilvl w:val="0"/>
          <w:numId w:val="9"/>
        </w:num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La fecha de nacimiento;</w:t>
      </w:r>
    </w:p>
    <w:p w:rsidRPr="00C938B6" w:rsidR="006563FF" w:rsidP="005B031E" w:rsidRDefault="006563FF" w14:paraId="73ECAF90" w14:textId="77777777">
      <w:pPr>
        <w:numPr>
          <w:ilvl w:val="0"/>
          <w:numId w:val="9"/>
        </w:num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El sexo, y</w:t>
      </w:r>
    </w:p>
    <w:p w:rsidRPr="00C938B6" w:rsidR="006563FF" w:rsidP="005B031E" w:rsidRDefault="006563FF" w14:paraId="5A182EC8" w14:textId="77777777">
      <w:pPr>
        <w:numPr>
          <w:ilvl w:val="0"/>
          <w:numId w:val="9"/>
        </w:num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La entidad federativa de nacimiento.</w:t>
      </w:r>
    </w:p>
    <w:p w:rsidRPr="00C938B6" w:rsidR="006563FF" w:rsidP="005B031E" w:rsidRDefault="006563FF" w14:paraId="6CC79814" w14:textId="77777777">
      <w:pPr>
        <w:spacing w:line="360" w:lineRule="auto"/>
        <w:jc w:val="both"/>
        <w:rPr>
          <w:rFonts w:ascii="Palatino Linotype" w:hAnsi="Palatino Linotype" w:cs="Tahoma"/>
          <w:bCs/>
          <w:iCs/>
          <w:sz w:val="22"/>
          <w:szCs w:val="22"/>
        </w:rPr>
      </w:pPr>
    </w:p>
    <w:p w:rsidR="006563FF" w:rsidP="005B031E" w:rsidRDefault="006563FF" w14:paraId="793B84FE" w14:textId="1A53242A">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Los dos últimos elementos de la Clave Única de Registro de Población evitan la duplicidad de la Clave y garantizan su correcta integración.</w:t>
      </w:r>
    </w:p>
    <w:p w:rsidRPr="00C938B6" w:rsidR="005B031E" w:rsidP="005B031E" w:rsidRDefault="005B031E" w14:paraId="029F2E76" w14:textId="77777777">
      <w:pPr>
        <w:spacing w:line="360" w:lineRule="auto"/>
        <w:jc w:val="both"/>
        <w:rPr>
          <w:rFonts w:ascii="Palatino Linotype" w:hAnsi="Palatino Linotype" w:cs="Tahoma"/>
          <w:bCs/>
          <w:iCs/>
          <w:sz w:val="22"/>
          <w:szCs w:val="22"/>
        </w:rPr>
      </w:pPr>
    </w:p>
    <w:p w:rsidRPr="00C938B6" w:rsidR="006563FF" w:rsidP="005B031E" w:rsidRDefault="006563FF" w14:paraId="7B6A07FE" w14:textId="0CB2FDF5">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además</w:t>
      </w:r>
      <w:r w:rsidR="00922FAF">
        <w:rPr>
          <w:rFonts w:ascii="Palatino Linotype" w:hAnsi="Palatino Linotype" w:cs="Tahoma"/>
          <w:bCs/>
          <w:iCs/>
          <w:sz w:val="22"/>
          <w:szCs w:val="22"/>
        </w:rPr>
        <w:t xml:space="preserve"> de que</w:t>
      </w:r>
      <w:r w:rsidRPr="00C938B6">
        <w:rPr>
          <w:rFonts w:ascii="Palatino Linotype" w:hAnsi="Palatino Linotype" w:cs="Tahoma"/>
          <w:bCs/>
          <w:iCs/>
          <w:sz w:val="22"/>
          <w:szCs w:val="22"/>
        </w:rPr>
        <w:t xml:space="preserve"> no guarda relación con el desempeño laboral de un individuo, simplemente se trata de un trámite administrativo requerido por la autoridad federal para hacer identificables a las personas.</w:t>
      </w:r>
    </w:p>
    <w:p w:rsidRPr="00C938B6" w:rsidR="006563FF" w:rsidP="005B031E" w:rsidRDefault="006563FF" w14:paraId="2DC1A811" w14:textId="77777777">
      <w:pPr>
        <w:spacing w:line="360" w:lineRule="auto"/>
        <w:jc w:val="both"/>
        <w:rPr>
          <w:rFonts w:ascii="Palatino Linotype" w:hAnsi="Palatino Linotype" w:cs="Tahoma"/>
          <w:bCs/>
          <w:iCs/>
          <w:sz w:val="22"/>
          <w:szCs w:val="22"/>
        </w:rPr>
      </w:pPr>
    </w:p>
    <w:p w:rsidRPr="00C938B6" w:rsidR="006563FF" w:rsidP="005B031E" w:rsidRDefault="006563FF" w14:paraId="79595356" w14:textId="77777777">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Situación que se robustece, con el Criterio 18/17, emitido por el Instituto Nacional de Transparencia, Acceso a la Información y Protección de Datos Personales, que establece lo siguiente:</w:t>
      </w:r>
    </w:p>
    <w:p w:rsidRPr="00C938B6" w:rsidR="006563FF" w:rsidP="005B031E" w:rsidRDefault="006563FF" w14:paraId="72DF0F2A" w14:textId="77777777">
      <w:pPr>
        <w:spacing w:line="360" w:lineRule="auto"/>
        <w:jc w:val="both"/>
        <w:rPr>
          <w:rFonts w:ascii="Palatino Linotype" w:hAnsi="Palatino Linotype" w:cs="Tahoma"/>
          <w:bCs/>
          <w:iCs/>
          <w:sz w:val="22"/>
          <w:szCs w:val="22"/>
        </w:rPr>
      </w:pPr>
    </w:p>
    <w:p w:rsidRPr="00C938B6" w:rsidR="006563FF" w:rsidP="005B031E" w:rsidRDefault="006563FF" w14:paraId="7255A116" w14:textId="77777777">
      <w:pPr>
        <w:spacing w:line="360" w:lineRule="auto"/>
        <w:ind w:left="567" w:right="567"/>
        <w:jc w:val="both"/>
        <w:rPr>
          <w:rFonts w:ascii="Palatino Linotype" w:hAnsi="Palatino Linotype" w:cs="Tahoma"/>
          <w:bCs/>
          <w:i/>
          <w:iCs/>
          <w:szCs w:val="22"/>
        </w:rPr>
      </w:pPr>
      <w:r w:rsidRPr="00C938B6">
        <w:rPr>
          <w:rFonts w:ascii="Palatino Linotype" w:hAnsi="Palatino Linotype" w:cs="Tahoma"/>
          <w:b/>
          <w:bCs/>
          <w:i/>
          <w:iCs/>
          <w:szCs w:val="22"/>
        </w:rPr>
        <w:t xml:space="preserve">“Clave Única de Registro de Población (CURP). </w:t>
      </w:r>
      <w:r w:rsidRPr="00C938B6">
        <w:rPr>
          <w:rFonts w:ascii="Palatino Linotype" w:hAnsi="Palatino Linotype" w:cs="Tahoma"/>
          <w:bCs/>
          <w:i/>
          <w:iCs/>
          <w:szCs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Pr="00C938B6" w:rsidR="006563FF" w:rsidP="005B031E" w:rsidRDefault="006563FF" w14:paraId="5A11B94F" w14:textId="77777777">
      <w:pPr>
        <w:spacing w:line="360" w:lineRule="auto"/>
        <w:jc w:val="both"/>
        <w:rPr>
          <w:rFonts w:ascii="Palatino Linotype" w:hAnsi="Palatino Linotype" w:cs="Tahoma"/>
          <w:bCs/>
          <w:iCs/>
          <w:sz w:val="22"/>
          <w:szCs w:val="22"/>
        </w:rPr>
      </w:pPr>
    </w:p>
    <w:p w:rsidRPr="00C938B6" w:rsidR="006563FF" w:rsidP="005B031E" w:rsidRDefault="006563FF" w14:paraId="74FEF053" w14:textId="77777777">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rsidRPr="00C938B6" w:rsidR="00744C4C" w:rsidP="005B031E" w:rsidRDefault="00744C4C" w14:paraId="71CEB1BC" w14:textId="77777777">
      <w:pPr>
        <w:spacing w:line="360" w:lineRule="auto"/>
        <w:jc w:val="both"/>
        <w:rPr>
          <w:rFonts w:ascii="Palatino Linotype" w:hAnsi="Palatino Linotype" w:cs="Tahoma"/>
          <w:bCs/>
          <w:iCs/>
          <w:sz w:val="22"/>
          <w:szCs w:val="22"/>
          <w:lang w:val="es-ES"/>
        </w:rPr>
      </w:pPr>
    </w:p>
    <w:p w:rsidRPr="00DE0616" w:rsidR="006563FF" w:rsidP="00DE0616" w:rsidRDefault="006563FF" w14:paraId="5CFF38A1" w14:textId="77777777">
      <w:pPr>
        <w:pStyle w:val="Prrafodelista"/>
        <w:numPr>
          <w:ilvl w:val="0"/>
          <w:numId w:val="22"/>
        </w:numPr>
        <w:spacing w:line="360" w:lineRule="auto"/>
        <w:jc w:val="both"/>
        <w:rPr>
          <w:rFonts w:ascii="Palatino Linotype" w:hAnsi="Palatino Linotype" w:cs="Tahoma"/>
          <w:b/>
          <w:bCs/>
          <w:iCs/>
          <w:szCs w:val="22"/>
          <w:lang w:val="es-ES_tradnl"/>
        </w:rPr>
      </w:pPr>
      <w:r w:rsidRPr="00DE0616">
        <w:rPr>
          <w:rFonts w:ascii="Palatino Linotype" w:hAnsi="Palatino Linotype" w:cs="Tahoma"/>
          <w:b/>
          <w:bCs/>
          <w:iCs/>
          <w:szCs w:val="22"/>
          <w:lang w:val="es-ES_tradnl"/>
        </w:rPr>
        <w:t>Registro Federal de Contribuyentes (RFC).</w:t>
      </w:r>
    </w:p>
    <w:p w:rsidRPr="00C938B6" w:rsidR="006563FF" w:rsidP="005B031E" w:rsidRDefault="006563FF" w14:paraId="462C644F" w14:textId="77777777">
      <w:pPr>
        <w:spacing w:line="360" w:lineRule="auto"/>
        <w:jc w:val="both"/>
        <w:rPr>
          <w:rFonts w:ascii="Palatino Linotype" w:hAnsi="Palatino Linotype" w:cs="Tahoma"/>
          <w:bCs/>
          <w:iCs/>
          <w:sz w:val="22"/>
          <w:szCs w:val="22"/>
        </w:rPr>
      </w:pPr>
    </w:p>
    <w:p w:rsidRPr="00C938B6" w:rsidR="006563FF" w:rsidP="005B031E" w:rsidRDefault="006563FF" w14:paraId="30111327" w14:textId="77777777">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C938B6" w:rsidR="006563FF" w:rsidP="005B031E" w:rsidRDefault="006563FF" w14:paraId="1A187A97" w14:textId="77777777">
      <w:pPr>
        <w:spacing w:line="360" w:lineRule="auto"/>
        <w:jc w:val="both"/>
        <w:rPr>
          <w:rFonts w:ascii="Palatino Linotype" w:hAnsi="Palatino Linotype" w:cs="Tahoma"/>
          <w:bCs/>
          <w:iCs/>
          <w:sz w:val="22"/>
          <w:szCs w:val="22"/>
        </w:rPr>
      </w:pPr>
    </w:p>
    <w:p w:rsidRPr="00C938B6" w:rsidR="006563FF" w:rsidP="005B031E" w:rsidRDefault="006563FF" w14:paraId="3823A7E8" w14:textId="32C1601D">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lastRenderedPageBreak/>
        <w:t xml:space="preserve">De acuerdo </w:t>
      </w:r>
      <w:r w:rsidR="00922FAF">
        <w:rPr>
          <w:rFonts w:ascii="Palatino Linotype" w:hAnsi="Palatino Linotype" w:cs="Tahoma"/>
          <w:bCs/>
          <w:iCs/>
          <w:sz w:val="22"/>
          <w:szCs w:val="22"/>
        </w:rPr>
        <w:t>con</w:t>
      </w:r>
      <w:r w:rsidRPr="00C938B6">
        <w:rPr>
          <w:rFonts w:ascii="Palatino Linotype" w:hAnsi="Palatino Linotype" w:cs="Tahoma"/>
          <w:bCs/>
          <w:iCs/>
          <w:sz w:val="22"/>
          <w:szCs w:val="22"/>
        </w:rPr>
        <w:t xml:space="preserve">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rsidRPr="00C938B6" w:rsidR="006563FF" w:rsidP="005B031E" w:rsidRDefault="006563FF" w14:paraId="4AED39D6" w14:textId="77777777">
      <w:pPr>
        <w:spacing w:line="360" w:lineRule="auto"/>
        <w:jc w:val="both"/>
        <w:rPr>
          <w:rFonts w:ascii="Palatino Linotype" w:hAnsi="Palatino Linotype" w:cs="Tahoma"/>
          <w:bCs/>
          <w:iCs/>
          <w:sz w:val="22"/>
          <w:szCs w:val="22"/>
        </w:rPr>
      </w:pPr>
    </w:p>
    <w:p w:rsidRPr="00C938B6" w:rsidR="006563FF" w:rsidP="005B031E" w:rsidRDefault="006563FF" w14:paraId="09D09652" w14:textId="77777777">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C938B6" w:rsidR="006563FF" w:rsidP="005B031E" w:rsidRDefault="006563FF" w14:paraId="45ACF7D7" w14:textId="615134A2">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Así, el Regi</w:t>
      </w:r>
      <w:r w:rsidR="00922FAF">
        <w:rPr>
          <w:rFonts w:ascii="Palatino Linotype" w:hAnsi="Palatino Linotype" w:cs="Tahoma"/>
          <w:bCs/>
          <w:iCs/>
          <w:sz w:val="22"/>
          <w:szCs w:val="22"/>
        </w:rPr>
        <w:t xml:space="preserve">stro Federal de Contribuyentes </w:t>
      </w:r>
      <w:r w:rsidRPr="00C938B6">
        <w:rPr>
          <w:rFonts w:ascii="Palatino Linotype" w:hAnsi="Palatino Linotype" w:cs="Tahoma"/>
          <w:bCs/>
          <w:iCs/>
          <w:sz w:val="22"/>
          <w:szCs w:val="22"/>
        </w:rPr>
        <w:t>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w:t>
      </w:r>
      <w:r w:rsidR="00922FAF">
        <w:rPr>
          <w:rFonts w:ascii="Palatino Linotype" w:hAnsi="Palatino Linotype" w:cs="Tahoma"/>
          <w:bCs/>
          <w:iCs/>
          <w:sz w:val="22"/>
          <w:szCs w:val="22"/>
        </w:rPr>
        <w:t>s</w:t>
      </w:r>
      <w:r w:rsidRPr="00C938B6">
        <w:rPr>
          <w:rFonts w:ascii="Palatino Linotype" w:hAnsi="Palatino Linotype" w:cs="Tahoma"/>
          <w:bCs/>
          <w:iCs/>
          <w:sz w:val="22"/>
          <w:szCs w:val="22"/>
        </w:rPr>
        <w:t xml:space="preserve"> en el pago de estos, en el presente caso, del pago del Impuesto Sobre el Producto del Trabajo. </w:t>
      </w:r>
    </w:p>
    <w:p w:rsidRPr="00C938B6" w:rsidR="006563FF" w:rsidP="005B031E" w:rsidRDefault="006563FF" w14:paraId="17ACDABC" w14:textId="77777777">
      <w:pPr>
        <w:spacing w:line="360" w:lineRule="auto"/>
        <w:jc w:val="both"/>
        <w:rPr>
          <w:rFonts w:ascii="Palatino Linotype" w:hAnsi="Palatino Linotype" w:cs="Tahoma"/>
          <w:bCs/>
          <w:iCs/>
          <w:sz w:val="22"/>
          <w:szCs w:val="22"/>
        </w:rPr>
      </w:pPr>
    </w:p>
    <w:p w:rsidRPr="00C938B6" w:rsidR="006563FF" w:rsidP="005B031E" w:rsidRDefault="006563FF" w14:paraId="5D5019CA" w14:textId="77777777">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rsidRPr="00C938B6" w:rsidR="006563FF" w:rsidP="005B031E" w:rsidRDefault="006563FF" w14:paraId="64FA3CC3" w14:textId="77777777">
      <w:pPr>
        <w:spacing w:line="360" w:lineRule="auto"/>
        <w:jc w:val="both"/>
        <w:rPr>
          <w:rFonts w:ascii="Palatino Linotype" w:hAnsi="Palatino Linotype" w:cs="Tahoma"/>
          <w:bCs/>
          <w:iCs/>
          <w:sz w:val="22"/>
          <w:szCs w:val="22"/>
        </w:rPr>
      </w:pPr>
    </w:p>
    <w:p w:rsidRPr="00C938B6" w:rsidR="006563FF" w:rsidP="005B031E" w:rsidRDefault="006563FF" w14:paraId="6EF9F1A2" w14:textId="77777777">
      <w:pPr>
        <w:spacing w:line="360" w:lineRule="auto"/>
        <w:ind w:left="567" w:right="567"/>
        <w:jc w:val="both"/>
        <w:rPr>
          <w:rFonts w:ascii="Palatino Linotype" w:hAnsi="Palatino Linotype" w:cs="Tahoma"/>
          <w:bCs/>
          <w:i/>
          <w:iCs/>
          <w:szCs w:val="22"/>
        </w:rPr>
      </w:pPr>
      <w:r w:rsidRPr="00C938B6">
        <w:rPr>
          <w:rFonts w:ascii="Palatino Linotype" w:hAnsi="Palatino Linotype" w:cs="Tahoma"/>
          <w:b/>
          <w:bCs/>
          <w:i/>
          <w:iCs/>
          <w:szCs w:val="22"/>
        </w:rPr>
        <w:t>“Registro Federal de Contribuyentes (RFC) de personas físicas.</w:t>
      </w:r>
      <w:r w:rsidRPr="00C938B6">
        <w:rPr>
          <w:rFonts w:ascii="Palatino Linotype" w:hAnsi="Palatino Linotype" w:cs="Tahoma"/>
          <w:bCs/>
          <w:i/>
          <w:iCs/>
          <w:szCs w:val="22"/>
        </w:rPr>
        <w:t xml:space="preserve"> El RFC es una clave de carácter fiscal, única e irrepetible, que permite identificar al titular, su edad y fecha de nacimiento, por lo que es un dato personal de carácter confidencial.”</w:t>
      </w:r>
    </w:p>
    <w:p w:rsidRPr="00C938B6" w:rsidR="006563FF" w:rsidP="005B031E" w:rsidRDefault="006563FF" w14:paraId="05B7CA2B" w14:textId="77777777">
      <w:pPr>
        <w:spacing w:line="360" w:lineRule="auto"/>
        <w:jc w:val="both"/>
        <w:rPr>
          <w:rFonts w:ascii="Palatino Linotype" w:hAnsi="Palatino Linotype" w:cs="Tahoma"/>
          <w:bCs/>
          <w:iCs/>
          <w:sz w:val="22"/>
          <w:szCs w:val="22"/>
        </w:rPr>
      </w:pPr>
    </w:p>
    <w:p w:rsidR="006563FF" w:rsidP="005B031E" w:rsidRDefault="006563FF" w14:paraId="76D37FE7" w14:textId="77777777">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lastRenderedPageBreak/>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5B031E" w:rsidP="005B031E" w:rsidRDefault="005B031E" w14:paraId="7A7295B0" w14:textId="77777777">
      <w:pPr>
        <w:spacing w:line="360" w:lineRule="auto"/>
        <w:jc w:val="both"/>
        <w:rPr>
          <w:rFonts w:ascii="Palatino Linotype" w:hAnsi="Palatino Linotype" w:cs="Tahoma"/>
          <w:bCs/>
          <w:iCs/>
          <w:sz w:val="22"/>
          <w:szCs w:val="22"/>
        </w:rPr>
      </w:pPr>
    </w:p>
    <w:p w:rsidRPr="00DE0616" w:rsidR="005B031E" w:rsidP="00DE0616" w:rsidRDefault="005B031E" w14:paraId="3A9A95F9" w14:textId="77777777">
      <w:pPr>
        <w:pStyle w:val="Prrafodelista"/>
        <w:numPr>
          <w:ilvl w:val="0"/>
          <w:numId w:val="22"/>
        </w:numPr>
        <w:spacing w:line="360" w:lineRule="auto"/>
        <w:jc w:val="both"/>
        <w:rPr>
          <w:rFonts w:ascii="Palatino Linotype" w:hAnsi="Palatino Linotype" w:cs="Tahoma"/>
          <w:b/>
          <w:bCs/>
          <w:iCs/>
          <w:szCs w:val="22"/>
        </w:rPr>
      </w:pPr>
      <w:r w:rsidRPr="00DE0616">
        <w:rPr>
          <w:rFonts w:ascii="Palatino Linotype" w:hAnsi="Palatino Linotype" w:cs="Tahoma"/>
          <w:b/>
          <w:bCs/>
          <w:iCs/>
          <w:szCs w:val="22"/>
        </w:rPr>
        <w:t>Número de seguridad social del Instituto de Seguridad Social del Estado de México y Municipios.</w:t>
      </w:r>
    </w:p>
    <w:p w:rsidRPr="00C938B6" w:rsidR="005B031E" w:rsidP="005B031E" w:rsidRDefault="005B031E" w14:paraId="57784E4B" w14:textId="77777777">
      <w:pPr>
        <w:spacing w:line="360" w:lineRule="auto"/>
        <w:jc w:val="both"/>
        <w:rPr>
          <w:rFonts w:ascii="Palatino Linotype" w:hAnsi="Palatino Linotype" w:cs="Tahoma"/>
          <w:b/>
          <w:bCs/>
          <w:iCs/>
          <w:sz w:val="22"/>
          <w:szCs w:val="22"/>
        </w:rPr>
      </w:pPr>
    </w:p>
    <w:p w:rsidR="005B031E" w:rsidP="005B031E" w:rsidRDefault="005B031E" w14:paraId="3793532C" w14:textId="674B3789">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Pr="00C938B6" w:rsidR="00D51254" w:rsidP="005B031E" w:rsidRDefault="00D51254" w14:paraId="4B9E6E5E" w14:textId="77777777">
      <w:pPr>
        <w:spacing w:line="360" w:lineRule="auto"/>
        <w:jc w:val="both"/>
        <w:rPr>
          <w:rFonts w:ascii="Palatino Linotype" w:hAnsi="Palatino Linotype" w:cs="Tahoma"/>
          <w:bCs/>
          <w:iCs/>
          <w:sz w:val="22"/>
          <w:szCs w:val="22"/>
        </w:rPr>
      </w:pPr>
    </w:p>
    <w:p w:rsidR="005B031E" w:rsidP="005B031E" w:rsidRDefault="005B031E" w14:paraId="78A7EE9E" w14:textId="4001B38F">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rsidRPr="00C938B6" w:rsidR="005B031E" w:rsidP="005B031E" w:rsidRDefault="005B031E" w14:paraId="1C523A1C" w14:textId="77777777">
      <w:pPr>
        <w:spacing w:line="360" w:lineRule="auto"/>
        <w:jc w:val="both"/>
        <w:rPr>
          <w:rFonts w:ascii="Palatino Linotype" w:hAnsi="Palatino Linotype" w:cs="Tahoma"/>
          <w:bCs/>
          <w:iCs/>
          <w:sz w:val="22"/>
          <w:szCs w:val="22"/>
        </w:rPr>
      </w:pPr>
    </w:p>
    <w:p w:rsidRPr="00C938B6" w:rsidR="005B031E" w:rsidP="005B031E" w:rsidRDefault="005B031E" w14:paraId="5D7A28D8" w14:textId="77777777">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lastRenderedPageBreak/>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Pr="00C938B6" w:rsidR="005B031E" w:rsidP="005B031E" w:rsidRDefault="005B031E" w14:paraId="327DD3A4" w14:textId="77777777">
      <w:pPr>
        <w:spacing w:line="360" w:lineRule="auto"/>
        <w:jc w:val="both"/>
        <w:rPr>
          <w:rFonts w:ascii="Palatino Linotype" w:hAnsi="Palatino Linotype" w:cs="Tahoma"/>
          <w:bCs/>
          <w:iCs/>
          <w:sz w:val="22"/>
          <w:szCs w:val="22"/>
        </w:rPr>
      </w:pPr>
    </w:p>
    <w:p w:rsidR="00DE0616" w:rsidP="005B031E" w:rsidRDefault="005B031E" w14:paraId="7F4EE2AD" w14:textId="2BC9AD2B">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rsidRPr="00C938B6" w:rsidR="001B04D6" w:rsidP="005B031E" w:rsidRDefault="001B04D6" w14:paraId="730512D9" w14:textId="77777777">
      <w:pPr>
        <w:spacing w:line="360" w:lineRule="auto"/>
        <w:jc w:val="both"/>
        <w:rPr>
          <w:rFonts w:ascii="Palatino Linotype" w:hAnsi="Palatino Linotype" w:cs="Tahoma"/>
          <w:bCs/>
          <w:iCs/>
          <w:sz w:val="22"/>
          <w:szCs w:val="22"/>
        </w:rPr>
      </w:pPr>
    </w:p>
    <w:p w:rsidRPr="00DE0616" w:rsidR="006563FF" w:rsidP="00DE0616" w:rsidRDefault="006563FF" w14:paraId="3AE65F26" w14:textId="77777777">
      <w:pPr>
        <w:pStyle w:val="Prrafodelista"/>
        <w:numPr>
          <w:ilvl w:val="0"/>
          <w:numId w:val="22"/>
        </w:numPr>
        <w:spacing w:line="360" w:lineRule="auto"/>
        <w:jc w:val="both"/>
        <w:rPr>
          <w:rFonts w:ascii="Palatino Linotype" w:hAnsi="Palatino Linotype" w:cs="Tahoma"/>
          <w:b/>
          <w:bCs/>
          <w:iCs/>
          <w:szCs w:val="22"/>
        </w:rPr>
      </w:pPr>
      <w:r w:rsidRPr="00DE0616">
        <w:rPr>
          <w:rFonts w:ascii="Palatino Linotype" w:hAnsi="Palatino Linotype" w:cs="Tahoma"/>
          <w:b/>
          <w:bCs/>
          <w:iCs/>
          <w:szCs w:val="22"/>
        </w:rPr>
        <w:t>Código bidimensional o Qr.</w:t>
      </w:r>
    </w:p>
    <w:p w:rsidRPr="00C938B6" w:rsidR="006563FF" w:rsidP="005B031E" w:rsidRDefault="006563FF" w14:paraId="32DD135E" w14:textId="77777777">
      <w:pPr>
        <w:spacing w:line="360" w:lineRule="auto"/>
        <w:jc w:val="both"/>
        <w:rPr>
          <w:rFonts w:ascii="Palatino Linotype" w:hAnsi="Palatino Linotype" w:cs="Tahoma"/>
          <w:b/>
          <w:bCs/>
          <w:iCs/>
          <w:sz w:val="22"/>
          <w:szCs w:val="22"/>
        </w:rPr>
      </w:pPr>
    </w:p>
    <w:p w:rsidRPr="00C938B6" w:rsidR="006563FF" w:rsidP="005B031E" w:rsidRDefault="006563FF" w14:paraId="663CB977" w14:textId="77777777">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 xml:space="preserve">En principio, resulta necesario señalar que los comprobantes fiscales digitales por Internet, deben de incluir un código bidimensional conforme al formato </w:t>
      </w:r>
      <w:r w:rsidRPr="00C938B6">
        <w:rPr>
          <w:rFonts w:ascii="Palatino Linotype" w:hAnsi="Palatino Linotype" w:cs="Tahoma"/>
          <w:bCs/>
          <w:i/>
          <w:iCs/>
          <w:sz w:val="22"/>
          <w:szCs w:val="22"/>
        </w:rPr>
        <w:t>QR Code (Quick Response Code)</w:t>
      </w:r>
      <w:r w:rsidRPr="00C938B6">
        <w:rPr>
          <w:rFonts w:ascii="Palatino Linotype" w:hAnsi="Palatino Linotype" w:cs="Tahoma"/>
          <w:bCs/>
          <w:iCs/>
          <w:sz w:val="22"/>
          <w:szCs w:val="22"/>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w:history="1" r:id="rId9">
        <w:r w:rsidRPr="00C938B6">
          <w:rPr>
            <w:rStyle w:val="Hipervnculo"/>
            <w:rFonts w:ascii="Palatino Linotype" w:hAnsi="Palatino Linotype" w:cs="Tahoma"/>
            <w:bCs/>
            <w:iCs/>
            <w:sz w:val="22"/>
            <w:szCs w:val="22"/>
          </w:rPr>
          <w:t>http://dof.gob.mx/nota_detalle.php?codigo=5492254&amp;fecha=28/07/2017</w:t>
        </w:r>
      </w:hyperlink>
      <w:r w:rsidRPr="00C938B6">
        <w:rPr>
          <w:rFonts w:ascii="Palatino Linotype" w:hAnsi="Palatino Linotype" w:cs="Tahoma"/>
          <w:bCs/>
          <w:iCs/>
          <w:sz w:val="22"/>
          <w:szCs w:val="22"/>
        </w:rPr>
        <w:t>. Incluso con la captura de dicho código, a través de la aplicación móvil del Servicio de Administración Tributaria, permite el acceso al Registro Federal de Contribuyentes, como del Sujeto Obligado, como de los servidores públicos.</w:t>
      </w:r>
    </w:p>
    <w:p w:rsidR="006563FF" w:rsidP="005B031E" w:rsidRDefault="006563FF" w14:paraId="42A3EC89" w14:textId="77777777">
      <w:pPr>
        <w:spacing w:line="360" w:lineRule="auto"/>
        <w:jc w:val="both"/>
        <w:rPr>
          <w:rFonts w:ascii="Palatino Linotype" w:hAnsi="Palatino Linotype" w:cs="Tahoma"/>
          <w:bCs/>
          <w:iCs/>
          <w:sz w:val="22"/>
          <w:szCs w:val="22"/>
        </w:rPr>
      </w:pPr>
    </w:p>
    <w:p w:rsidR="00B15A0A" w:rsidP="005B031E" w:rsidRDefault="006563FF" w14:paraId="5F8FE4AE" w14:textId="30C82FBF">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rsidRPr="00C938B6" w:rsidR="005B031E" w:rsidP="005B031E" w:rsidRDefault="005B031E" w14:paraId="0ADC7B98" w14:textId="77777777">
      <w:pPr>
        <w:spacing w:line="360" w:lineRule="auto"/>
        <w:jc w:val="both"/>
        <w:rPr>
          <w:rFonts w:ascii="Palatino Linotype" w:hAnsi="Palatino Linotype" w:cs="Tahoma"/>
          <w:bCs/>
          <w:iCs/>
          <w:sz w:val="22"/>
          <w:szCs w:val="22"/>
        </w:rPr>
      </w:pPr>
    </w:p>
    <w:p w:rsidRPr="00DE0616" w:rsidR="00B15A0A" w:rsidP="00DE0616" w:rsidRDefault="00B15A0A" w14:paraId="2E44CD44" w14:textId="3F008497">
      <w:pPr>
        <w:pStyle w:val="Prrafodelista"/>
        <w:numPr>
          <w:ilvl w:val="0"/>
          <w:numId w:val="22"/>
        </w:numPr>
        <w:spacing w:line="360" w:lineRule="auto"/>
        <w:jc w:val="both"/>
        <w:rPr>
          <w:rFonts w:ascii="Palatino Linotype" w:hAnsi="Palatino Linotype" w:cs="Tahoma"/>
          <w:bCs/>
          <w:iCs/>
          <w:szCs w:val="22"/>
        </w:rPr>
      </w:pPr>
      <w:r w:rsidRPr="00DE0616">
        <w:rPr>
          <w:rFonts w:ascii="Palatino Linotype" w:hAnsi="Palatino Linotype" w:cs="Tahoma"/>
          <w:b/>
          <w:bCs/>
          <w:iCs/>
          <w:szCs w:val="22"/>
        </w:rPr>
        <w:t>Sellos digitales del emisor y del Servicio de Administración Tributaria</w:t>
      </w:r>
      <w:r w:rsidRPr="00DE0616" w:rsidR="00127A9F">
        <w:rPr>
          <w:rFonts w:ascii="Palatino Linotype" w:hAnsi="Palatino Linotype" w:cs="Tahoma"/>
          <w:b/>
          <w:bCs/>
          <w:iCs/>
          <w:szCs w:val="22"/>
        </w:rPr>
        <w:t xml:space="preserve">, </w:t>
      </w:r>
      <w:r w:rsidRPr="00DE0616">
        <w:rPr>
          <w:rFonts w:ascii="Palatino Linotype" w:hAnsi="Palatino Linotype" w:cs="Tahoma"/>
          <w:b/>
          <w:bCs/>
          <w:iCs/>
          <w:szCs w:val="22"/>
        </w:rPr>
        <w:t>cadena original del complemento de certificación digital del órgano previamente señalado</w:t>
      </w:r>
      <w:r w:rsidRPr="00DE0616" w:rsidR="00E80038">
        <w:rPr>
          <w:rFonts w:ascii="Palatino Linotype" w:hAnsi="Palatino Linotype" w:cs="Tahoma"/>
          <w:b/>
          <w:bCs/>
          <w:iCs/>
          <w:szCs w:val="22"/>
        </w:rPr>
        <w:t xml:space="preserve"> y </w:t>
      </w:r>
      <w:r w:rsidRPr="00DE0616">
        <w:rPr>
          <w:rFonts w:ascii="Palatino Linotype" w:hAnsi="Palatino Linotype" w:cs="Tahoma"/>
          <w:b/>
          <w:bCs/>
          <w:iCs/>
          <w:szCs w:val="22"/>
        </w:rPr>
        <w:t>folio fiscal</w:t>
      </w:r>
      <w:r w:rsidRPr="00DE0616" w:rsidR="00E80038">
        <w:rPr>
          <w:rFonts w:ascii="Palatino Linotype" w:hAnsi="Palatino Linotype" w:cs="Tahoma"/>
          <w:b/>
          <w:bCs/>
          <w:iCs/>
          <w:szCs w:val="22"/>
        </w:rPr>
        <w:t xml:space="preserve">. </w:t>
      </w:r>
    </w:p>
    <w:p w:rsidRPr="00C938B6" w:rsidR="00B15A0A" w:rsidP="005B031E" w:rsidRDefault="00B15A0A" w14:paraId="20836C51" w14:textId="77777777">
      <w:pPr>
        <w:spacing w:line="360" w:lineRule="auto"/>
        <w:jc w:val="both"/>
        <w:rPr>
          <w:rFonts w:ascii="Palatino Linotype" w:hAnsi="Palatino Linotype" w:cs="Tahoma"/>
          <w:bCs/>
          <w:iCs/>
          <w:sz w:val="22"/>
          <w:szCs w:val="22"/>
        </w:rPr>
      </w:pPr>
    </w:p>
    <w:p w:rsidRPr="00C938B6" w:rsidR="00B15A0A" w:rsidP="005B031E" w:rsidRDefault="00B15A0A" w14:paraId="6CDF2542" w14:textId="77777777">
      <w:pPr>
        <w:spacing w:line="360" w:lineRule="auto"/>
        <w:jc w:val="both"/>
        <w:rPr>
          <w:rFonts w:ascii="Palatino Linotype" w:hAnsi="Palatino Linotype" w:cs="Tahoma"/>
          <w:bCs/>
          <w:iCs/>
          <w:sz w:val="22"/>
          <w:szCs w:val="22"/>
          <w:lang w:val="es-ES"/>
        </w:rPr>
      </w:pPr>
      <w:r w:rsidRPr="00C938B6">
        <w:rPr>
          <w:rFonts w:ascii="Palatino Linotype" w:hAnsi="Palatino Linotype" w:cs="Tahoma"/>
          <w:bCs/>
          <w:iCs/>
          <w:sz w:val="22"/>
          <w:szCs w:val="22"/>
          <w:lang w:val="es-E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Pr="00C938B6" w:rsidR="00B15A0A" w:rsidP="005B031E" w:rsidRDefault="00B15A0A" w14:paraId="47A539E8" w14:textId="4F2EE7D6">
      <w:pPr>
        <w:spacing w:line="360" w:lineRule="auto"/>
        <w:jc w:val="both"/>
        <w:rPr>
          <w:rFonts w:ascii="Palatino Linotype" w:hAnsi="Palatino Linotype" w:cs="Tahoma"/>
          <w:bCs/>
          <w:iCs/>
          <w:sz w:val="22"/>
          <w:szCs w:val="22"/>
          <w:lang w:val="es-ES"/>
        </w:rPr>
      </w:pPr>
    </w:p>
    <w:p w:rsidRPr="00C938B6" w:rsidR="00B15A0A" w:rsidP="005B031E" w:rsidRDefault="00B15A0A" w14:paraId="28AB4689" w14:textId="722F1E60">
      <w:pPr>
        <w:spacing w:line="360" w:lineRule="auto"/>
        <w:jc w:val="both"/>
        <w:rPr>
          <w:rFonts w:ascii="Palatino Linotype" w:hAnsi="Palatino Linotype" w:cs="Tahoma"/>
          <w:bCs/>
          <w:iCs/>
          <w:sz w:val="22"/>
          <w:szCs w:val="22"/>
          <w:lang w:val="es-ES"/>
        </w:rPr>
      </w:pPr>
      <w:r w:rsidRPr="00C938B6">
        <w:rPr>
          <w:rFonts w:ascii="Palatino Linotype" w:hAnsi="Palatino Linotype" w:cs="Tahoma"/>
          <w:bCs/>
          <w:iCs/>
          <w:sz w:val="22"/>
          <w:szCs w:val="22"/>
          <w:lang w:val="es-ES"/>
        </w:rPr>
        <w:t xml:space="preserve">Las cadenas originales y sellos que se agregan a las </w:t>
      </w:r>
      <w:r w:rsidRPr="00C938B6" w:rsidR="0094775E">
        <w:rPr>
          <w:rFonts w:ascii="Palatino Linotype" w:hAnsi="Palatino Linotype" w:cs="Tahoma"/>
          <w:bCs/>
          <w:iCs/>
          <w:sz w:val="22"/>
          <w:szCs w:val="22"/>
          <w:lang w:val="es-ES"/>
        </w:rPr>
        <w:t>facturas</w:t>
      </w:r>
      <w:r w:rsidRPr="00C938B6">
        <w:rPr>
          <w:rFonts w:ascii="Palatino Linotype" w:hAnsi="Palatino Linotype" w:cs="Tahoma"/>
          <w:bCs/>
          <w:iCs/>
          <w:sz w:val="22"/>
          <w:szCs w:val="22"/>
          <w:lang w:val="es-ES"/>
        </w:rPr>
        <w:t xml:space="preserve"> tienen una secuencia de generación, determinados con base en el ANEXO 20 de la Segunda Resolución de modificaciones a la Resolución Miscelánea Fiscal para dos mil diecisiete, publicada en el </w:t>
      </w:r>
      <w:r w:rsidRPr="00C938B6">
        <w:rPr>
          <w:rFonts w:ascii="Palatino Linotype" w:hAnsi="Palatino Linotype" w:cs="Tahoma"/>
          <w:bCs/>
          <w:iCs/>
          <w:sz w:val="22"/>
          <w:szCs w:val="22"/>
          <w:lang w:val="es-ES"/>
        </w:rPr>
        <w:lastRenderedPageBreak/>
        <w:t>Diario Oficial de la Federación el dieciocho de julio de dos mil diecisiete, que precisa los datos de los que se componen los elementos de seguridad y se puntualiza que dicha información está encriptada.</w:t>
      </w:r>
    </w:p>
    <w:p w:rsidRPr="00C938B6" w:rsidR="00B15A0A" w:rsidP="005B031E" w:rsidRDefault="00B15A0A" w14:paraId="4DBDB3A9" w14:textId="6AC2D33E">
      <w:pPr>
        <w:spacing w:line="360" w:lineRule="auto"/>
        <w:jc w:val="both"/>
        <w:rPr>
          <w:rFonts w:ascii="Palatino Linotype" w:hAnsi="Palatino Linotype" w:cs="Tahoma"/>
          <w:bCs/>
          <w:iCs/>
          <w:sz w:val="22"/>
          <w:szCs w:val="22"/>
          <w:lang w:val="es-ES"/>
        </w:rPr>
      </w:pPr>
    </w:p>
    <w:p w:rsidRPr="00C938B6" w:rsidR="00B15A0A" w:rsidP="005B031E" w:rsidRDefault="00B15A0A" w14:paraId="01A23596" w14:textId="77777777">
      <w:pPr>
        <w:spacing w:line="360" w:lineRule="auto"/>
        <w:ind w:left="567" w:right="567"/>
        <w:jc w:val="both"/>
        <w:rPr>
          <w:rFonts w:ascii="Palatino Linotype" w:hAnsi="Palatino Linotype" w:cs="Tahoma"/>
          <w:bCs/>
          <w:i/>
          <w:iCs/>
          <w:lang w:val="es-ES"/>
        </w:rPr>
      </w:pPr>
      <w:r w:rsidRPr="00C938B6">
        <w:rPr>
          <w:rFonts w:ascii="Palatino Linotype" w:hAnsi="Palatino Linotype" w:cs="Tahoma"/>
          <w:bCs/>
          <w:i/>
          <w:iCs/>
          <w:lang w:val="es-ES"/>
        </w:rPr>
        <w:t>“Elementos utilizados en la generación de Sellos Digitales:</w:t>
      </w:r>
    </w:p>
    <w:p w:rsidRPr="00C938B6" w:rsidR="00B15A0A" w:rsidP="005B031E" w:rsidRDefault="00B15A0A" w14:paraId="46EE7124" w14:textId="77777777">
      <w:pPr>
        <w:spacing w:line="360" w:lineRule="auto"/>
        <w:ind w:left="567" w:right="567"/>
        <w:jc w:val="both"/>
        <w:rPr>
          <w:rFonts w:ascii="Palatino Linotype" w:hAnsi="Palatino Linotype" w:cs="Tahoma"/>
          <w:bCs/>
          <w:i/>
          <w:iCs/>
          <w:lang w:val="es-ES"/>
        </w:rPr>
      </w:pPr>
      <w:r w:rsidRPr="00C938B6">
        <w:rPr>
          <w:rFonts w:ascii="Palatino Linotype" w:hAnsi="Palatino Linotype" w:cs="Tahoma"/>
          <w:bCs/>
          <w:i/>
          <w:iCs/>
          <w:lang w:val="es-ES"/>
        </w:rPr>
        <w:t>•</w:t>
      </w:r>
      <w:r w:rsidRPr="00C938B6">
        <w:rPr>
          <w:rFonts w:ascii="Palatino Linotype" w:hAnsi="Palatino Linotype" w:cs="Tahoma"/>
          <w:bCs/>
          <w:i/>
          <w:iCs/>
          <w:lang w:val="es-ES"/>
        </w:rPr>
        <w:tab/>
      </w:r>
      <w:r w:rsidRPr="00C938B6">
        <w:rPr>
          <w:rFonts w:ascii="Palatino Linotype" w:hAnsi="Palatino Linotype" w:cs="Tahoma"/>
          <w:bCs/>
          <w:i/>
          <w:iCs/>
          <w:lang w:val="es-ES"/>
        </w:rPr>
        <w:t>Cadena Original, el elemento a sellar, en este caso de un comprobante fiscal digital a través de Internet.</w:t>
      </w:r>
    </w:p>
    <w:p w:rsidRPr="00C938B6" w:rsidR="00B15A0A" w:rsidP="005B031E" w:rsidRDefault="00B15A0A" w14:paraId="44774E04" w14:textId="77777777">
      <w:pPr>
        <w:spacing w:line="360" w:lineRule="auto"/>
        <w:ind w:left="567" w:right="567"/>
        <w:jc w:val="both"/>
        <w:rPr>
          <w:rFonts w:ascii="Palatino Linotype" w:hAnsi="Palatino Linotype" w:cs="Tahoma"/>
          <w:bCs/>
          <w:i/>
          <w:iCs/>
          <w:lang w:val="es-ES"/>
        </w:rPr>
      </w:pPr>
      <w:r w:rsidRPr="00C938B6">
        <w:rPr>
          <w:rFonts w:ascii="Palatino Linotype" w:hAnsi="Palatino Linotype" w:cs="Tahoma"/>
          <w:bCs/>
          <w:i/>
          <w:iCs/>
          <w:lang w:val="es-ES"/>
        </w:rPr>
        <w:t>•</w:t>
      </w:r>
      <w:r w:rsidRPr="00C938B6">
        <w:rPr>
          <w:rFonts w:ascii="Palatino Linotype" w:hAnsi="Palatino Linotype" w:cs="Tahoma"/>
          <w:bCs/>
          <w:i/>
          <w:iCs/>
          <w:lang w:val="es-ES"/>
        </w:rPr>
        <w:tab/>
      </w:r>
      <w:r w:rsidRPr="00C938B6">
        <w:rPr>
          <w:rFonts w:ascii="Palatino Linotype" w:hAnsi="Palatino Linotype" w:cs="Tahoma"/>
          <w:bCs/>
          <w:i/>
          <w:iCs/>
          <w:lang w:val="es-ES"/>
        </w:rPr>
        <w:t>Certificado de Sello Digital y su correspondiente clave privada.</w:t>
      </w:r>
    </w:p>
    <w:p w:rsidRPr="00C938B6" w:rsidR="00B15A0A" w:rsidP="005B031E" w:rsidRDefault="00B15A0A" w14:paraId="2FF8CFE3" w14:textId="77777777">
      <w:pPr>
        <w:spacing w:line="360" w:lineRule="auto"/>
        <w:ind w:left="567" w:right="567"/>
        <w:jc w:val="both"/>
        <w:rPr>
          <w:rFonts w:ascii="Palatino Linotype" w:hAnsi="Palatino Linotype" w:cs="Tahoma"/>
          <w:bCs/>
          <w:i/>
          <w:iCs/>
          <w:lang w:val="es-ES"/>
        </w:rPr>
      </w:pPr>
      <w:r w:rsidRPr="00C938B6">
        <w:rPr>
          <w:rFonts w:ascii="Palatino Linotype" w:hAnsi="Palatino Linotype" w:cs="Tahoma"/>
          <w:bCs/>
          <w:i/>
          <w:iCs/>
          <w:lang w:val="es-ES"/>
        </w:rPr>
        <w:t>•</w:t>
      </w:r>
      <w:r w:rsidRPr="00C938B6">
        <w:rPr>
          <w:rFonts w:ascii="Palatino Linotype" w:hAnsi="Palatino Linotype" w:cs="Tahoma"/>
          <w:bCs/>
          <w:i/>
          <w:iCs/>
          <w:lang w:val="es-ES"/>
        </w:rPr>
        <w:tab/>
      </w:r>
      <w:r w:rsidRPr="00C938B6">
        <w:rPr>
          <w:rFonts w:ascii="Palatino Linotype" w:hAnsi="Palatino Linotype" w:cs="Tahoma"/>
          <w:bCs/>
          <w:i/>
          <w:iCs/>
          <w:lang w:val="es-ES"/>
        </w:rPr>
        <w:t>Algoritmos de criptografía de clave pública para firma electrónica avanzada.</w:t>
      </w:r>
    </w:p>
    <w:p w:rsidRPr="00C938B6" w:rsidR="00B15A0A" w:rsidP="005B031E" w:rsidRDefault="00B15A0A" w14:paraId="774C0889" w14:textId="77777777">
      <w:pPr>
        <w:spacing w:line="360" w:lineRule="auto"/>
        <w:ind w:left="567" w:right="567"/>
        <w:jc w:val="both"/>
        <w:rPr>
          <w:rFonts w:ascii="Palatino Linotype" w:hAnsi="Palatino Linotype" w:cs="Tahoma"/>
          <w:bCs/>
          <w:i/>
          <w:iCs/>
          <w:lang w:val="es-ES"/>
        </w:rPr>
      </w:pPr>
      <w:r w:rsidRPr="00C938B6">
        <w:rPr>
          <w:rFonts w:ascii="Palatino Linotype" w:hAnsi="Palatino Linotype" w:cs="Tahoma"/>
          <w:bCs/>
          <w:i/>
          <w:iCs/>
          <w:lang w:val="es-ES"/>
        </w:rPr>
        <w:t>•</w:t>
      </w:r>
      <w:r w:rsidRPr="00C938B6">
        <w:rPr>
          <w:rFonts w:ascii="Palatino Linotype" w:hAnsi="Palatino Linotype" w:cs="Tahoma"/>
          <w:bCs/>
          <w:i/>
          <w:iCs/>
          <w:lang w:val="es-ES"/>
        </w:rPr>
        <w:tab/>
      </w:r>
      <w:r w:rsidRPr="00C938B6">
        <w:rPr>
          <w:rFonts w:ascii="Palatino Linotype" w:hAnsi="Palatino Linotype" w:cs="Tahoma"/>
          <w:bCs/>
          <w:i/>
          <w:iCs/>
          <w:lang w:val="es-ES"/>
        </w:rPr>
        <w:t>Especificaciones de conversión de la firma electrónica avanzada a Base 64.</w:t>
      </w:r>
    </w:p>
    <w:p w:rsidRPr="00C938B6" w:rsidR="00B15A0A" w:rsidP="005B031E" w:rsidRDefault="00B15A0A" w14:paraId="3AF05E24" w14:textId="77777777">
      <w:pPr>
        <w:spacing w:line="360" w:lineRule="auto"/>
        <w:ind w:left="567" w:right="567"/>
        <w:jc w:val="both"/>
        <w:rPr>
          <w:rFonts w:ascii="Palatino Linotype" w:hAnsi="Palatino Linotype" w:cs="Tahoma"/>
          <w:bCs/>
          <w:i/>
          <w:iCs/>
          <w:lang w:val="es-ES"/>
        </w:rPr>
      </w:pPr>
      <w:r w:rsidRPr="00C938B6">
        <w:rPr>
          <w:rFonts w:ascii="Palatino Linotype" w:hAnsi="Palatino Linotype" w:cs="Tahoma"/>
          <w:bCs/>
          <w:i/>
          <w:iCs/>
          <w:lang w:val="es-ES"/>
        </w:rPr>
        <w:t>Para la generación de sellos digitales se utiliza criptografía de clave pública aplicada a una cadena original.</w:t>
      </w:r>
    </w:p>
    <w:p w:rsidRPr="00C938B6" w:rsidR="00B15A0A" w:rsidP="005B031E" w:rsidRDefault="00B15A0A" w14:paraId="325853FC" w14:textId="77777777">
      <w:pPr>
        <w:spacing w:line="360" w:lineRule="auto"/>
        <w:ind w:left="567" w:right="567"/>
        <w:jc w:val="both"/>
        <w:rPr>
          <w:rFonts w:ascii="Palatino Linotype" w:hAnsi="Palatino Linotype" w:cs="Tahoma"/>
          <w:bCs/>
          <w:i/>
          <w:iCs/>
          <w:lang w:val="es-ES"/>
        </w:rPr>
      </w:pPr>
    </w:p>
    <w:p w:rsidRPr="00C938B6" w:rsidR="00B15A0A" w:rsidP="005B031E" w:rsidRDefault="00B15A0A" w14:paraId="019ABA46" w14:textId="77777777">
      <w:pPr>
        <w:spacing w:line="360" w:lineRule="auto"/>
        <w:ind w:left="567" w:right="567"/>
        <w:jc w:val="both"/>
        <w:rPr>
          <w:rFonts w:ascii="Palatino Linotype" w:hAnsi="Palatino Linotype" w:cs="Tahoma"/>
          <w:bCs/>
          <w:i/>
          <w:iCs/>
          <w:lang w:val="es-ES"/>
        </w:rPr>
      </w:pPr>
      <w:r w:rsidRPr="00C938B6">
        <w:rPr>
          <w:rFonts w:ascii="Palatino Linotype" w:hAnsi="Palatino Linotype" w:cs="Tahoma"/>
          <w:bCs/>
          <w:i/>
          <w:iCs/>
          <w:lang w:val="es-ES"/>
        </w:rPr>
        <w:t>Criptografía de la Clave Pública</w:t>
      </w:r>
    </w:p>
    <w:p w:rsidRPr="00C938B6" w:rsidR="00B15A0A" w:rsidP="005B031E" w:rsidRDefault="00B15A0A" w14:paraId="27E8CD19" w14:textId="77777777">
      <w:pPr>
        <w:spacing w:line="360" w:lineRule="auto"/>
        <w:ind w:left="567" w:right="567"/>
        <w:jc w:val="both"/>
        <w:rPr>
          <w:rFonts w:ascii="Palatino Linotype" w:hAnsi="Palatino Linotype" w:cs="Tahoma"/>
          <w:bCs/>
          <w:i/>
          <w:iCs/>
          <w:lang w:val="es-ES"/>
        </w:rPr>
      </w:pPr>
      <w:r w:rsidRPr="00C938B6">
        <w:rPr>
          <w:rFonts w:ascii="Palatino Linotype" w:hAnsi="Palatino Linotype" w:cs="Tahoma"/>
          <w:bCs/>
          <w:i/>
          <w:iCs/>
          <w:lang w:val="es-E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Pr="00C938B6" w:rsidR="00744C4C" w:rsidP="005B031E" w:rsidRDefault="00744C4C" w14:paraId="5FAA868A" w14:textId="77777777">
      <w:pPr>
        <w:spacing w:line="360" w:lineRule="auto"/>
        <w:jc w:val="both"/>
        <w:rPr>
          <w:rFonts w:ascii="Palatino Linotype" w:hAnsi="Palatino Linotype" w:cs="Tahoma"/>
          <w:bCs/>
          <w:iCs/>
          <w:sz w:val="22"/>
          <w:szCs w:val="22"/>
          <w:lang w:val="es-ES"/>
        </w:rPr>
      </w:pPr>
    </w:p>
    <w:p w:rsidR="00B15A0A" w:rsidP="005B031E" w:rsidRDefault="00B15A0A" w14:paraId="3D7A21DB" w14:textId="477E3B74">
      <w:pPr>
        <w:spacing w:line="360" w:lineRule="auto"/>
        <w:jc w:val="both"/>
        <w:rPr>
          <w:rFonts w:ascii="Palatino Linotype" w:hAnsi="Palatino Linotype" w:cs="Tahoma"/>
          <w:bCs/>
          <w:iCs/>
          <w:sz w:val="22"/>
          <w:szCs w:val="22"/>
          <w:lang w:val="es-ES"/>
        </w:rPr>
      </w:pPr>
      <w:r w:rsidRPr="00C938B6">
        <w:rPr>
          <w:rFonts w:ascii="Palatino Linotype" w:hAnsi="Palatino Linotype" w:cs="Tahoma"/>
          <w:bCs/>
          <w:iCs/>
          <w:sz w:val="22"/>
          <w:szCs w:val="22"/>
          <w:lang w:val="es-E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Pr="00C938B6" w:rsidR="005B031E" w:rsidP="005B031E" w:rsidRDefault="005B031E" w14:paraId="50BBA4AF" w14:textId="77777777">
      <w:pPr>
        <w:spacing w:line="360" w:lineRule="auto"/>
        <w:jc w:val="both"/>
        <w:rPr>
          <w:rFonts w:ascii="Palatino Linotype" w:hAnsi="Palatino Linotype" w:cs="Tahoma"/>
          <w:bCs/>
          <w:iCs/>
          <w:sz w:val="22"/>
          <w:szCs w:val="22"/>
          <w:lang w:val="es-ES"/>
        </w:rPr>
      </w:pPr>
    </w:p>
    <w:p w:rsidRPr="00C938B6" w:rsidR="00B15A0A" w:rsidP="005B031E" w:rsidRDefault="00B15A0A" w14:paraId="510BA83F" w14:textId="77777777">
      <w:pPr>
        <w:spacing w:line="360" w:lineRule="auto"/>
        <w:jc w:val="both"/>
        <w:rPr>
          <w:rFonts w:ascii="Palatino Linotype" w:hAnsi="Palatino Linotype" w:cs="Tahoma"/>
          <w:bCs/>
          <w:iCs/>
          <w:sz w:val="22"/>
          <w:szCs w:val="22"/>
          <w:lang w:val="es-ES"/>
        </w:rPr>
      </w:pPr>
      <w:r w:rsidRPr="00C938B6">
        <w:rPr>
          <w:rFonts w:ascii="Palatino Linotype" w:hAnsi="Palatino Linotype" w:cs="Tahoma"/>
          <w:bCs/>
          <w:iCs/>
          <w:sz w:val="22"/>
          <w:szCs w:val="22"/>
          <w:lang w:val="es-ES"/>
        </w:rPr>
        <w:lastRenderedPageBreak/>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Pr="00C938B6" w:rsidR="00B15A0A" w:rsidP="005B031E" w:rsidRDefault="00B15A0A" w14:paraId="47426515" w14:textId="6C86EB30">
      <w:pPr>
        <w:spacing w:line="360" w:lineRule="auto"/>
        <w:jc w:val="both"/>
        <w:rPr>
          <w:rFonts w:ascii="Palatino Linotype" w:hAnsi="Palatino Linotype" w:cs="Tahoma"/>
          <w:bCs/>
          <w:iCs/>
          <w:sz w:val="22"/>
          <w:szCs w:val="22"/>
          <w:lang w:val="es-ES"/>
        </w:rPr>
      </w:pPr>
    </w:p>
    <w:p w:rsidRPr="00C938B6" w:rsidR="00B15A0A" w:rsidP="005B031E" w:rsidRDefault="00B15A0A" w14:paraId="592CBB8E" w14:textId="77777777">
      <w:pPr>
        <w:spacing w:line="360" w:lineRule="auto"/>
        <w:jc w:val="center"/>
        <w:rPr>
          <w:rFonts w:ascii="Palatino Linotype" w:hAnsi="Palatino Linotype" w:cs="Tahoma"/>
          <w:bCs/>
          <w:iCs/>
          <w:sz w:val="22"/>
          <w:szCs w:val="22"/>
        </w:rPr>
      </w:pPr>
      <w:r w:rsidRPr="00C938B6">
        <w:rPr>
          <w:rFonts w:ascii="Palatino Linotype" w:hAnsi="Palatino Linotype" w:cs="Tahoma"/>
          <w:bCs/>
          <w:iCs/>
          <w:noProof/>
          <w:sz w:val="22"/>
          <w:szCs w:val="22"/>
          <w:lang w:eastAsia="es-MX"/>
        </w:rPr>
        <w:drawing>
          <wp:inline distT="0" distB="0" distL="0" distR="0" wp14:anchorId="3C6611C3" wp14:editId="64267D8C">
            <wp:extent cx="5423335" cy="1219200"/>
            <wp:effectExtent l="0" t="0" r="6350" b="0"/>
            <wp:docPr id="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descr="Texto&#10;&#10;Descripción generada automáticamente"/>
                    <pic:cNvPicPr>
                      <a:picLocks noChangeAspect="1" noChangeArrowheads="1"/>
                    </pic:cNvPicPr>
                  </pic:nvPicPr>
                  <pic:blipFill rotWithShape="1">
                    <a:blip r:embed="rId10">
                      <a:extLst>
                        <a:ext uri="{28A0092B-C50C-407E-A947-70E740481C1C}">
                          <a14:useLocalDpi xmlns:a14="http://schemas.microsoft.com/office/drawing/2010/main" val="0"/>
                        </a:ext>
                      </a:extLst>
                    </a:blip>
                    <a:srcRect b="47096"/>
                    <a:stretch/>
                  </pic:blipFill>
                  <pic:spPr bwMode="auto">
                    <a:xfrm>
                      <a:off x="0" y="0"/>
                      <a:ext cx="5447454" cy="1224622"/>
                    </a:xfrm>
                    <a:prstGeom prst="rect">
                      <a:avLst/>
                    </a:prstGeom>
                    <a:noFill/>
                    <a:ln>
                      <a:noFill/>
                    </a:ln>
                    <a:extLst>
                      <a:ext uri="{53640926-AAD7-44D8-BBD7-CCE9431645EC}">
                        <a14:shadowObscured xmlns:a14="http://schemas.microsoft.com/office/drawing/2010/main"/>
                      </a:ext>
                    </a:extLst>
                  </pic:spPr>
                </pic:pic>
              </a:graphicData>
            </a:graphic>
          </wp:inline>
        </w:drawing>
      </w:r>
    </w:p>
    <w:p w:rsidRPr="00C938B6" w:rsidR="00B15A0A" w:rsidP="005B031E" w:rsidRDefault="00B15A0A" w14:paraId="24242A21" w14:textId="77777777">
      <w:pPr>
        <w:spacing w:line="360" w:lineRule="auto"/>
        <w:jc w:val="both"/>
        <w:rPr>
          <w:rFonts w:ascii="Palatino Linotype" w:hAnsi="Palatino Linotype" w:cs="Tahoma"/>
          <w:bCs/>
          <w:iCs/>
          <w:sz w:val="22"/>
          <w:szCs w:val="22"/>
        </w:rPr>
      </w:pPr>
    </w:p>
    <w:p w:rsidRPr="00C938B6" w:rsidR="00B15A0A" w:rsidP="005B031E" w:rsidRDefault="00B15A0A" w14:paraId="1A70EAEA" w14:textId="190B9908">
      <w:pPr>
        <w:spacing w:line="360" w:lineRule="auto"/>
        <w:jc w:val="both"/>
        <w:rPr>
          <w:rFonts w:ascii="Palatino Linotype" w:hAnsi="Palatino Linotype" w:cs="Tahoma"/>
          <w:bCs/>
          <w:iCs/>
          <w:sz w:val="22"/>
          <w:szCs w:val="22"/>
          <w:lang w:val="es-ES"/>
        </w:rPr>
      </w:pPr>
      <w:r w:rsidRPr="00C938B6">
        <w:rPr>
          <w:rFonts w:ascii="Palatino Linotype" w:hAnsi="Palatino Linotype" w:cs="Tahoma"/>
          <w:bCs/>
          <w:iCs/>
          <w:sz w:val="22"/>
          <w:szCs w:val="22"/>
          <w:lang w:val="es-ES"/>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Pr="00C938B6" w:rsidR="001B04D6" w:rsidP="005B031E" w:rsidRDefault="001B04D6" w14:paraId="27FA6221" w14:textId="77777777">
      <w:pPr>
        <w:spacing w:line="360" w:lineRule="auto"/>
        <w:jc w:val="both"/>
        <w:rPr>
          <w:rFonts w:ascii="Palatino Linotype" w:hAnsi="Palatino Linotype" w:cs="Tahoma"/>
          <w:bCs/>
          <w:iCs/>
          <w:sz w:val="22"/>
          <w:szCs w:val="22"/>
        </w:rPr>
      </w:pPr>
    </w:p>
    <w:p w:rsidRPr="00EC6AA2" w:rsidR="00207963" w:rsidP="00EC6AA2" w:rsidRDefault="002265A6" w14:paraId="49015DCF" w14:textId="169554D6">
      <w:pPr>
        <w:pStyle w:val="Prrafodelista"/>
        <w:numPr>
          <w:ilvl w:val="0"/>
          <w:numId w:val="22"/>
        </w:numPr>
        <w:spacing w:line="360" w:lineRule="auto"/>
        <w:jc w:val="both"/>
        <w:rPr>
          <w:rFonts w:ascii="Palatino Linotype" w:hAnsi="Palatino Linotype" w:cs="Tahoma"/>
          <w:bCs/>
          <w:iCs/>
          <w:szCs w:val="22"/>
        </w:rPr>
      </w:pPr>
      <w:r w:rsidRPr="00EC6AA2">
        <w:rPr>
          <w:rFonts w:ascii="Palatino Linotype" w:hAnsi="Palatino Linotype" w:cs="Tahoma"/>
          <w:b/>
          <w:bCs/>
          <w:iCs/>
          <w:szCs w:val="22"/>
        </w:rPr>
        <w:t xml:space="preserve">Seguro </w:t>
      </w:r>
      <w:r w:rsidRPr="00EC6AA2" w:rsidR="001339AD">
        <w:rPr>
          <w:rFonts w:ascii="Palatino Linotype" w:hAnsi="Palatino Linotype" w:cs="Tahoma"/>
          <w:b/>
          <w:bCs/>
          <w:iCs/>
          <w:szCs w:val="22"/>
        </w:rPr>
        <w:t>de Capitalización</w:t>
      </w:r>
      <w:r w:rsidRPr="00EC6AA2">
        <w:rPr>
          <w:rFonts w:ascii="Palatino Linotype" w:hAnsi="Palatino Linotype" w:cs="Tahoma"/>
          <w:b/>
          <w:bCs/>
          <w:iCs/>
          <w:szCs w:val="22"/>
          <w:lang w:val="x-none"/>
        </w:rPr>
        <w:t xml:space="preserve"> Individualizado</w:t>
      </w:r>
      <w:r w:rsidRPr="00EC6AA2" w:rsidR="001339AD">
        <w:rPr>
          <w:rFonts w:ascii="Palatino Linotype" w:hAnsi="Palatino Linotype" w:cs="Tahoma"/>
          <w:b/>
          <w:bCs/>
          <w:iCs/>
          <w:szCs w:val="22"/>
        </w:rPr>
        <w:t>.</w:t>
      </w:r>
    </w:p>
    <w:p w:rsidRPr="00C938B6" w:rsidR="00207963" w:rsidP="005B031E" w:rsidRDefault="00207963" w14:paraId="5478A291" w14:textId="77777777">
      <w:pPr>
        <w:spacing w:line="360" w:lineRule="auto"/>
        <w:jc w:val="both"/>
        <w:rPr>
          <w:rFonts w:ascii="Palatino Linotype" w:hAnsi="Palatino Linotype" w:cs="Tahoma"/>
          <w:bCs/>
          <w:iCs/>
          <w:sz w:val="22"/>
          <w:szCs w:val="22"/>
        </w:rPr>
      </w:pPr>
    </w:p>
    <w:p w:rsidRPr="00C938B6" w:rsidR="00207963" w:rsidP="005B031E" w:rsidRDefault="00207963" w14:paraId="330182BF" w14:textId="6C476EE2">
      <w:pPr>
        <w:spacing w:line="360" w:lineRule="auto"/>
        <w:jc w:val="both"/>
        <w:rPr>
          <w:rFonts w:ascii="Palatino Linotype" w:hAnsi="Palatino Linotype" w:cs="Tahoma"/>
          <w:b/>
          <w:bCs/>
          <w:iCs/>
          <w:sz w:val="22"/>
          <w:szCs w:val="22"/>
        </w:rPr>
      </w:pPr>
      <w:r w:rsidRPr="00C938B6">
        <w:rPr>
          <w:rFonts w:ascii="Palatino Linotype" w:hAnsi="Palatino Linotype" w:cs="Tahoma"/>
          <w:bCs/>
          <w:iCs/>
          <w:sz w:val="22"/>
          <w:szCs w:val="22"/>
        </w:rPr>
        <w:lastRenderedPageBreak/>
        <w:t xml:space="preserve">Sobre este rubro, debe señalarse </w:t>
      </w:r>
      <w:r w:rsidR="001339AD">
        <w:rPr>
          <w:rFonts w:ascii="Palatino Linotype" w:hAnsi="Palatino Linotype" w:cs="Tahoma"/>
          <w:bCs/>
          <w:iCs/>
          <w:sz w:val="22"/>
          <w:szCs w:val="22"/>
        </w:rPr>
        <w:t>que conforme al Díptico publicado por el Instituto de Seguridad Social</w:t>
      </w:r>
      <w:r w:rsidR="00CA0034">
        <w:rPr>
          <w:rFonts w:ascii="Palatino Linotype" w:hAnsi="Palatino Linotype" w:cs="Tahoma"/>
          <w:bCs/>
          <w:iCs/>
          <w:sz w:val="22"/>
          <w:szCs w:val="22"/>
        </w:rPr>
        <w:t xml:space="preserve"> del Estado de México y Municipios</w:t>
      </w:r>
      <w:r w:rsidR="001339AD">
        <w:rPr>
          <w:rFonts w:ascii="Palatino Linotype" w:hAnsi="Palatino Linotype" w:cs="Tahoma"/>
          <w:bCs/>
          <w:iCs/>
          <w:sz w:val="22"/>
          <w:szCs w:val="22"/>
        </w:rPr>
        <w:t xml:space="preserve"> </w:t>
      </w:r>
      <w:r w:rsidRPr="00C938B6">
        <w:rPr>
          <w:rFonts w:ascii="Palatino Linotype" w:hAnsi="Palatino Linotype" w:cs="Tahoma"/>
          <w:bCs/>
          <w:iCs/>
          <w:sz w:val="22"/>
          <w:szCs w:val="22"/>
        </w:rPr>
        <w:t>, (consultado</w:t>
      </w:r>
      <w:r w:rsidR="001339AD">
        <w:rPr>
          <w:rFonts w:ascii="Palatino Linotype" w:hAnsi="Palatino Linotype" w:cs="Tahoma"/>
          <w:bCs/>
          <w:iCs/>
          <w:sz w:val="22"/>
          <w:szCs w:val="22"/>
        </w:rPr>
        <w:t xml:space="preserve"> </w:t>
      </w:r>
      <w:r w:rsidRPr="001339AD" w:rsidR="001339AD">
        <w:rPr>
          <w:rFonts w:ascii="Palatino Linotype" w:hAnsi="Palatino Linotype" w:cs="Tahoma"/>
          <w:bCs/>
          <w:iCs/>
          <w:sz w:val="22"/>
          <w:szCs w:val="22"/>
        </w:rPr>
        <w:t>el veintinueve de septiembre de dos mil veintiuno</w:t>
      </w:r>
      <w:r w:rsidR="001339AD">
        <w:rPr>
          <w:rFonts w:ascii="Palatino Linotype" w:hAnsi="Palatino Linotype" w:cs="Tahoma"/>
          <w:bCs/>
          <w:iCs/>
          <w:sz w:val="22"/>
          <w:szCs w:val="22"/>
        </w:rPr>
        <w:t>, a la diez horas</w:t>
      </w:r>
      <w:r w:rsidR="00CA0034">
        <w:rPr>
          <w:rFonts w:ascii="Palatino Linotype" w:hAnsi="Palatino Linotype" w:cs="Tahoma"/>
          <w:bCs/>
          <w:iCs/>
          <w:sz w:val="22"/>
          <w:szCs w:val="22"/>
        </w:rPr>
        <w:t xml:space="preserve"> en la página electrónica </w:t>
      </w:r>
      <w:hyperlink w:history="1" r:id="rId11">
        <w:r w:rsidRPr="00C938B6">
          <w:rPr>
            <w:rStyle w:val="Hipervnculo"/>
            <w:rFonts w:ascii="Palatino Linotype" w:hAnsi="Palatino Linotype" w:cs="Tahoma"/>
            <w:bCs/>
            <w:iCs/>
            <w:sz w:val="22"/>
            <w:szCs w:val="22"/>
          </w:rPr>
          <w:t>http://www.issemym.gob.mx/sites/www.issemym.gob.mx/files/Sistema%20de%20Capitalizacion%20Individual.jpg</w:t>
        </w:r>
      </w:hyperlink>
      <w:r w:rsidRPr="00C938B6">
        <w:rPr>
          <w:rFonts w:ascii="Palatino Linotype" w:hAnsi="Palatino Linotype" w:cs="Tahoma"/>
          <w:bCs/>
          <w:iCs/>
          <w:sz w:val="22"/>
          <w:szCs w:val="22"/>
        </w:rPr>
        <w:t xml:space="preserve">) </w:t>
      </w:r>
      <w:r w:rsidR="00CA0034">
        <w:rPr>
          <w:rFonts w:ascii="Palatino Linotype" w:hAnsi="Palatino Linotype" w:cs="Tahoma"/>
          <w:bCs/>
          <w:iCs/>
          <w:sz w:val="22"/>
          <w:szCs w:val="22"/>
        </w:rPr>
        <w:t xml:space="preserve"> el Sistema de Capitalización Individualizado </w:t>
      </w:r>
      <w:r w:rsidRPr="00C938B6">
        <w:rPr>
          <w:rFonts w:ascii="Palatino Linotype" w:hAnsi="Palatino Linotype" w:cs="Tahoma"/>
          <w:bCs/>
          <w:iCs/>
          <w:sz w:val="22"/>
          <w:szCs w:val="22"/>
        </w:rPr>
        <w:t xml:space="preserve">es el mecanismo mediante el cual, un servidor público y la Institución en la que labora, acumulan recursos, </w:t>
      </w:r>
      <w:r w:rsidR="00CA0034">
        <w:rPr>
          <w:rFonts w:ascii="Palatino Linotype" w:hAnsi="Palatino Linotype" w:cs="Tahoma"/>
          <w:b/>
          <w:bCs/>
          <w:iCs/>
          <w:sz w:val="22"/>
          <w:szCs w:val="22"/>
        </w:rPr>
        <w:t>adicionales a su</w:t>
      </w:r>
      <w:r w:rsidRPr="00C938B6">
        <w:rPr>
          <w:rFonts w:ascii="Palatino Linotype" w:hAnsi="Palatino Linotype" w:cs="Tahoma"/>
          <w:b/>
          <w:bCs/>
          <w:iCs/>
          <w:sz w:val="22"/>
          <w:szCs w:val="22"/>
        </w:rPr>
        <w:t xml:space="preserve"> pensión</w:t>
      </w:r>
      <w:r w:rsidR="00CA0034">
        <w:rPr>
          <w:rFonts w:ascii="Palatino Linotype" w:hAnsi="Palatino Linotype" w:cs="Tahoma"/>
          <w:b/>
          <w:bCs/>
          <w:iCs/>
          <w:sz w:val="22"/>
          <w:szCs w:val="22"/>
        </w:rPr>
        <w:t xml:space="preserve">; </w:t>
      </w:r>
      <w:r w:rsidR="00CA0034">
        <w:rPr>
          <w:rFonts w:ascii="Palatino Linotype" w:hAnsi="Palatino Linotype" w:cs="Tahoma"/>
          <w:bCs/>
          <w:iCs/>
          <w:sz w:val="22"/>
          <w:szCs w:val="22"/>
        </w:rPr>
        <w:t>mismo que</w:t>
      </w:r>
      <w:r w:rsidRPr="00C938B6">
        <w:rPr>
          <w:rFonts w:ascii="Palatino Linotype" w:hAnsi="Palatino Linotype" w:cs="Tahoma"/>
          <w:bCs/>
          <w:iCs/>
          <w:sz w:val="22"/>
          <w:szCs w:val="22"/>
        </w:rPr>
        <w:t xml:space="preserve"> se integra hasta por tres rubros, los cuales son los siguientes: </w:t>
      </w:r>
    </w:p>
    <w:p w:rsidRPr="00C938B6" w:rsidR="00207963" w:rsidP="005B031E" w:rsidRDefault="00207963" w14:paraId="5C01ACB5" w14:textId="77777777">
      <w:pPr>
        <w:spacing w:line="360" w:lineRule="auto"/>
        <w:jc w:val="both"/>
        <w:rPr>
          <w:rFonts w:ascii="Palatino Linotype" w:hAnsi="Palatino Linotype" w:cs="Tahoma"/>
          <w:bCs/>
          <w:iCs/>
          <w:sz w:val="22"/>
          <w:szCs w:val="22"/>
        </w:rPr>
      </w:pPr>
    </w:p>
    <w:p w:rsidRPr="00C938B6" w:rsidR="00207963" w:rsidP="005B031E" w:rsidRDefault="00207963" w14:paraId="474B74FE" w14:textId="77777777">
      <w:pPr>
        <w:numPr>
          <w:ilvl w:val="0"/>
          <w:numId w:val="17"/>
        </w:numPr>
        <w:spacing w:line="360" w:lineRule="auto"/>
        <w:jc w:val="both"/>
        <w:rPr>
          <w:rFonts w:ascii="Palatino Linotype" w:hAnsi="Palatino Linotype" w:cs="Tahoma"/>
          <w:bCs/>
          <w:iCs/>
          <w:sz w:val="22"/>
          <w:szCs w:val="22"/>
        </w:rPr>
      </w:pPr>
      <w:r w:rsidRPr="00C938B6">
        <w:rPr>
          <w:rFonts w:ascii="Palatino Linotype" w:hAnsi="Palatino Linotype" w:cs="Tahoma"/>
          <w:b/>
          <w:bCs/>
          <w:iCs/>
          <w:sz w:val="22"/>
          <w:szCs w:val="22"/>
        </w:rPr>
        <w:t>Subcuenta de cuota obligatoria</w:t>
      </w:r>
      <w:r w:rsidRPr="00C938B6">
        <w:rPr>
          <w:rFonts w:ascii="Palatino Linotype" w:hAnsi="Palatino Linotype" w:cs="Tahoma"/>
          <w:bCs/>
          <w:iCs/>
          <w:sz w:val="22"/>
          <w:szCs w:val="22"/>
        </w:rPr>
        <w:t>; que corresponde a un porcentaje del sueldo sujeto a cotización, que se descuenta al servir público de manera automática.</w:t>
      </w:r>
    </w:p>
    <w:p w:rsidRPr="00C938B6" w:rsidR="00207963" w:rsidP="005B031E" w:rsidRDefault="00207963" w14:paraId="34D41AED" w14:textId="77777777">
      <w:pPr>
        <w:spacing w:line="360" w:lineRule="auto"/>
        <w:jc w:val="both"/>
        <w:rPr>
          <w:rFonts w:ascii="Palatino Linotype" w:hAnsi="Palatino Linotype" w:cs="Tahoma"/>
          <w:bCs/>
          <w:iCs/>
          <w:sz w:val="22"/>
          <w:szCs w:val="22"/>
        </w:rPr>
      </w:pPr>
    </w:p>
    <w:p w:rsidRPr="00C938B6" w:rsidR="00207963" w:rsidP="005B031E" w:rsidRDefault="00207963" w14:paraId="4819CA18" w14:textId="77777777">
      <w:pPr>
        <w:numPr>
          <w:ilvl w:val="0"/>
          <w:numId w:val="17"/>
        </w:numPr>
        <w:spacing w:line="360" w:lineRule="auto"/>
        <w:jc w:val="both"/>
        <w:rPr>
          <w:rFonts w:ascii="Palatino Linotype" w:hAnsi="Palatino Linotype" w:cs="Tahoma"/>
          <w:bCs/>
          <w:iCs/>
          <w:sz w:val="22"/>
          <w:szCs w:val="22"/>
        </w:rPr>
      </w:pPr>
      <w:r w:rsidRPr="00C938B6">
        <w:rPr>
          <w:rFonts w:ascii="Palatino Linotype" w:hAnsi="Palatino Linotype" w:cs="Tahoma"/>
          <w:b/>
          <w:bCs/>
          <w:iCs/>
          <w:sz w:val="22"/>
          <w:szCs w:val="22"/>
        </w:rPr>
        <w:t>Subcuenta de aportación obligatoria</w:t>
      </w:r>
      <w:r w:rsidRPr="00C938B6">
        <w:rPr>
          <w:rFonts w:ascii="Palatino Linotype" w:hAnsi="Palatino Linotype" w:cs="Tahoma"/>
          <w:bCs/>
          <w:iCs/>
          <w:sz w:val="22"/>
          <w:szCs w:val="22"/>
        </w:rPr>
        <w:t>: que es la aportación que realiza la Institución a favor del servidor público, el cual equivale a un porcentaje del sueldo sujeto a cotización.</w:t>
      </w:r>
    </w:p>
    <w:p w:rsidRPr="00C938B6" w:rsidR="00207963" w:rsidP="005B031E" w:rsidRDefault="00207963" w14:paraId="206AC5F3" w14:textId="77777777">
      <w:pPr>
        <w:spacing w:line="360" w:lineRule="auto"/>
        <w:jc w:val="both"/>
        <w:rPr>
          <w:rFonts w:ascii="Palatino Linotype" w:hAnsi="Palatino Linotype" w:cs="Tahoma"/>
          <w:bCs/>
          <w:iCs/>
          <w:sz w:val="22"/>
          <w:szCs w:val="22"/>
        </w:rPr>
      </w:pPr>
    </w:p>
    <w:p w:rsidRPr="00C938B6" w:rsidR="00207963" w:rsidP="005B031E" w:rsidRDefault="00207963" w14:paraId="3B38BCD7" w14:textId="77777777">
      <w:pPr>
        <w:numPr>
          <w:ilvl w:val="0"/>
          <w:numId w:val="17"/>
        </w:numPr>
        <w:spacing w:line="360" w:lineRule="auto"/>
        <w:jc w:val="both"/>
        <w:rPr>
          <w:rFonts w:ascii="Palatino Linotype" w:hAnsi="Palatino Linotype" w:cs="Tahoma"/>
          <w:b/>
          <w:bCs/>
          <w:iCs/>
          <w:sz w:val="22"/>
          <w:szCs w:val="22"/>
        </w:rPr>
      </w:pPr>
      <w:r w:rsidRPr="00C938B6">
        <w:rPr>
          <w:rFonts w:ascii="Palatino Linotype" w:hAnsi="Palatino Linotype" w:cs="Tahoma"/>
          <w:b/>
          <w:bCs/>
          <w:iCs/>
          <w:sz w:val="22"/>
          <w:szCs w:val="22"/>
        </w:rPr>
        <w:t xml:space="preserve">Subcuenta voluntaria: </w:t>
      </w:r>
      <w:r w:rsidRPr="00C938B6">
        <w:rPr>
          <w:rFonts w:ascii="Palatino Linotype" w:hAnsi="Palatino Linotype" w:cs="Tahoma"/>
          <w:bCs/>
          <w:iCs/>
          <w:sz w:val="22"/>
          <w:szCs w:val="22"/>
        </w:rPr>
        <w:t xml:space="preserve">que es la cantidad que cada servidor público decide ahorrar de acuerdo con sus aportaciones, permitiendo acumular mayores ingresos para su retiro. </w:t>
      </w:r>
    </w:p>
    <w:p w:rsidRPr="00C938B6" w:rsidR="00207963" w:rsidP="005B031E" w:rsidRDefault="00207963" w14:paraId="0AB15B7A" w14:textId="77777777">
      <w:pPr>
        <w:spacing w:line="360" w:lineRule="auto"/>
        <w:jc w:val="both"/>
        <w:rPr>
          <w:rFonts w:ascii="Palatino Linotype" w:hAnsi="Palatino Linotype" w:cs="Tahoma"/>
          <w:bCs/>
          <w:iCs/>
          <w:sz w:val="22"/>
          <w:szCs w:val="22"/>
        </w:rPr>
      </w:pPr>
    </w:p>
    <w:p w:rsidR="00207963" w:rsidP="005B031E" w:rsidRDefault="00207963" w14:paraId="510F02DA" w14:textId="75D73420">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 xml:space="preserve">En razón de lo anterior, debe considerarse que la </w:t>
      </w:r>
      <w:r w:rsidRPr="00EC6AA2">
        <w:rPr>
          <w:rFonts w:ascii="Palatino Linotype" w:hAnsi="Palatino Linotype" w:cs="Tahoma"/>
          <w:b/>
          <w:bCs/>
          <w:iCs/>
          <w:sz w:val="22"/>
          <w:szCs w:val="22"/>
        </w:rPr>
        <w:t>subcuenta de cuota obligatoria y subcuenta de aportación obligatoria</w:t>
      </w:r>
      <w:r w:rsidR="001B04D6">
        <w:rPr>
          <w:rFonts w:ascii="Palatino Linotype" w:hAnsi="Palatino Linotype" w:cs="Tahoma"/>
          <w:b/>
          <w:bCs/>
          <w:iCs/>
          <w:sz w:val="22"/>
          <w:szCs w:val="22"/>
        </w:rPr>
        <w:t xml:space="preserve"> </w:t>
      </w:r>
      <w:r w:rsidR="001B04D6">
        <w:rPr>
          <w:rFonts w:ascii="Palatino Linotype" w:hAnsi="Palatino Linotype" w:cs="Tahoma"/>
          <w:bCs/>
          <w:iCs/>
          <w:sz w:val="22"/>
          <w:szCs w:val="22"/>
        </w:rPr>
        <w:t xml:space="preserve">son </w:t>
      </w:r>
      <w:r w:rsidRPr="00C938B6">
        <w:rPr>
          <w:rFonts w:ascii="Palatino Linotype" w:hAnsi="Palatino Linotype" w:cs="Tahoma"/>
          <w:bCs/>
          <w:iCs/>
          <w:sz w:val="22"/>
          <w:szCs w:val="22"/>
        </w:rPr>
        <w:t xml:space="preserve">datos de naturaleza </w:t>
      </w:r>
      <w:r w:rsidRPr="00C938B6" w:rsidR="00DE0616">
        <w:rPr>
          <w:rFonts w:ascii="Palatino Linotype" w:hAnsi="Palatino Linotype" w:cs="Tahoma"/>
          <w:bCs/>
          <w:iCs/>
          <w:sz w:val="22"/>
          <w:szCs w:val="22"/>
        </w:rPr>
        <w:t>pública</w:t>
      </w:r>
      <w:r w:rsidRPr="00C938B6">
        <w:rPr>
          <w:rFonts w:ascii="Palatino Linotype" w:hAnsi="Palatino Linotype" w:cs="Tahoma"/>
          <w:bCs/>
          <w:iCs/>
          <w:sz w:val="22"/>
          <w:szCs w:val="22"/>
        </w:rPr>
        <w:t>, ya que su publicidad</w:t>
      </w:r>
      <w:r w:rsidR="001B04D6">
        <w:rPr>
          <w:rFonts w:ascii="Palatino Linotype" w:hAnsi="Palatino Linotype" w:cs="Tahoma"/>
          <w:bCs/>
          <w:iCs/>
          <w:sz w:val="22"/>
          <w:szCs w:val="22"/>
        </w:rPr>
        <w:t xml:space="preserve"> es necesaria al tratarse</w:t>
      </w:r>
      <w:r w:rsidRPr="00C938B6">
        <w:rPr>
          <w:rFonts w:ascii="Palatino Linotype" w:hAnsi="Palatino Linotype" w:cs="Tahoma"/>
          <w:bCs/>
          <w:iCs/>
          <w:sz w:val="22"/>
          <w:szCs w:val="22"/>
        </w:rPr>
        <w:t xml:space="preserve">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w:t>
      </w:r>
      <w:r w:rsidR="00EC6AA2">
        <w:rPr>
          <w:rFonts w:ascii="Palatino Linotype" w:hAnsi="Palatino Linotype" w:cs="Tahoma"/>
          <w:bCs/>
          <w:iCs/>
          <w:sz w:val="22"/>
          <w:szCs w:val="22"/>
        </w:rPr>
        <w:t xml:space="preserve">, situación contraria cuando se </w:t>
      </w:r>
      <w:r w:rsidR="00EC6AA2">
        <w:rPr>
          <w:rFonts w:ascii="Palatino Linotype" w:hAnsi="Palatino Linotype" w:cs="Tahoma"/>
          <w:bCs/>
          <w:iCs/>
          <w:sz w:val="22"/>
          <w:szCs w:val="22"/>
        </w:rPr>
        <w:lastRenderedPageBreak/>
        <w:t xml:space="preserve">trata de la </w:t>
      </w:r>
      <w:r w:rsidR="00EC6AA2">
        <w:rPr>
          <w:rFonts w:ascii="Palatino Linotype" w:hAnsi="Palatino Linotype" w:cs="Tahoma"/>
          <w:b/>
          <w:bCs/>
          <w:iCs/>
          <w:sz w:val="22"/>
          <w:szCs w:val="22"/>
        </w:rPr>
        <w:t>subcuenta voluntaria</w:t>
      </w:r>
      <w:r w:rsidR="00EC6AA2">
        <w:rPr>
          <w:rFonts w:ascii="Palatino Linotype" w:hAnsi="Palatino Linotype" w:cs="Tahoma"/>
          <w:bCs/>
          <w:iCs/>
          <w:sz w:val="22"/>
          <w:szCs w:val="22"/>
        </w:rPr>
        <w:t>, ya que al tratarse de aportaciones extraordinarias y de decisiones personales sobre el uso y destino que los servidores públicos desean dar a su patrimonio, esta debe clasificarse como confidencial, s</w:t>
      </w:r>
      <w:r w:rsidR="004A619B">
        <w:rPr>
          <w:rFonts w:ascii="Palatino Linotype" w:hAnsi="Palatino Linotype" w:cs="Tahoma"/>
          <w:bCs/>
          <w:iCs/>
          <w:sz w:val="22"/>
          <w:szCs w:val="22"/>
        </w:rPr>
        <w:t>i</w:t>
      </w:r>
      <w:r w:rsidR="00EC6AA2">
        <w:rPr>
          <w:rFonts w:ascii="Palatino Linotype" w:hAnsi="Palatino Linotype" w:cs="Tahoma"/>
          <w:bCs/>
          <w:iCs/>
          <w:sz w:val="22"/>
          <w:szCs w:val="22"/>
        </w:rPr>
        <w:t xml:space="preserve">tuación que se robustece con </w:t>
      </w:r>
      <w:r w:rsidRPr="00C938B6">
        <w:rPr>
          <w:rFonts w:ascii="Palatino Linotype" w:hAnsi="Palatino Linotype" w:cs="Tahoma"/>
          <w:bCs/>
          <w:iCs/>
          <w:sz w:val="22"/>
          <w:szCs w:val="22"/>
        </w:rPr>
        <w:t xml:space="preserve">el Criterio </w:t>
      </w:r>
      <w:r w:rsidR="004A619B">
        <w:rPr>
          <w:rFonts w:ascii="Palatino Linotype" w:hAnsi="Palatino Linotype" w:cs="Tahoma"/>
          <w:bCs/>
          <w:iCs/>
          <w:sz w:val="22"/>
          <w:szCs w:val="22"/>
        </w:rPr>
        <w:t>0</w:t>
      </w:r>
      <w:r w:rsidRPr="00C938B6">
        <w:rPr>
          <w:rFonts w:ascii="Palatino Linotype" w:hAnsi="Palatino Linotype" w:cs="Tahoma"/>
          <w:bCs/>
          <w:iCs/>
          <w:sz w:val="22"/>
          <w:szCs w:val="22"/>
        </w:rPr>
        <w:t xml:space="preserve">5/10 </w:t>
      </w:r>
      <w:r w:rsidR="004A619B">
        <w:rPr>
          <w:rFonts w:ascii="Palatino Linotype" w:hAnsi="Palatino Linotype" w:cs="Tahoma"/>
          <w:bCs/>
          <w:iCs/>
          <w:sz w:val="22"/>
          <w:szCs w:val="22"/>
        </w:rPr>
        <w:t xml:space="preserve">emitido por el entonces Pleno del </w:t>
      </w:r>
      <w:r w:rsidRPr="00EC6AA2" w:rsidR="004A619B">
        <w:rPr>
          <w:rFonts w:ascii="Palatino Linotype" w:hAnsi="Palatino Linotype" w:cs="Arial"/>
          <w:color w:val="202122"/>
          <w:sz w:val="21"/>
          <w:szCs w:val="21"/>
          <w:shd w:val="clear" w:color="auto" w:fill="FFFFFF"/>
        </w:rPr>
        <w:t>Instituto Federal de Acceso a la Información y Protección de Datos</w:t>
      </w:r>
      <w:r w:rsidRPr="00EC6AA2" w:rsidR="008A79F0">
        <w:rPr>
          <w:rFonts w:ascii="Palatino Linotype" w:hAnsi="Palatino Linotype" w:cs="Arial"/>
          <w:color w:val="202122"/>
          <w:sz w:val="21"/>
          <w:szCs w:val="21"/>
          <w:shd w:val="clear" w:color="auto" w:fill="FFFFFF"/>
        </w:rPr>
        <w:t>, mismo que se trae por analogía</w:t>
      </w:r>
      <w:r w:rsidRPr="00EC6AA2">
        <w:rPr>
          <w:rFonts w:ascii="Palatino Linotype" w:hAnsi="Palatino Linotype" w:cs="Tahoma"/>
          <w:bCs/>
          <w:iCs/>
          <w:sz w:val="22"/>
          <w:szCs w:val="22"/>
        </w:rPr>
        <w:t>, cuyo texto y rubro es el siguiente:</w:t>
      </w:r>
      <w:r w:rsidRPr="00C938B6">
        <w:rPr>
          <w:rFonts w:ascii="Palatino Linotype" w:hAnsi="Palatino Linotype" w:cs="Tahoma"/>
          <w:bCs/>
          <w:iCs/>
          <w:sz w:val="22"/>
          <w:szCs w:val="22"/>
        </w:rPr>
        <w:t xml:space="preserve"> </w:t>
      </w:r>
    </w:p>
    <w:p w:rsidRPr="00C938B6" w:rsidR="00D51254" w:rsidP="005B031E" w:rsidRDefault="00D51254" w14:paraId="5BF7A064" w14:textId="77777777">
      <w:pPr>
        <w:spacing w:line="360" w:lineRule="auto"/>
        <w:jc w:val="both"/>
        <w:rPr>
          <w:rFonts w:ascii="Palatino Linotype" w:hAnsi="Palatino Linotype" w:cs="Tahoma"/>
          <w:bCs/>
          <w:iCs/>
          <w:sz w:val="22"/>
          <w:szCs w:val="22"/>
        </w:rPr>
      </w:pPr>
    </w:p>
    <w:p w:rsidRPr="00C938B6" w:rsidR="00207963" w:rsidP="005B031E" w:rsidRDefault="008A79F0" w14:paraId="76A8CAA2" w14:textId="03A49355">
      <w:pPr>
        <w:spacing w:line="360" w:lineRule="auto"/>
        <w:ind w:left="567" w:right="567"/>
        <w:jc w:val="both"/>
        <w:rPr>
          <w:rFonts w:ascii="Palatino Linotype" w:hAnsi="Palatino Linotype" w:cs="Tahoma"/>
          <w:bCs/>
          <w:i/>
          <w:iCs/>
        </w:rPr>
      </w:pPr>
      <w:r>
        <w:rPr>
          <w:rFonts w:ascii="Palatino Linotype" w:hAnsi="Palatino Linotype" w:cs="Tahoma"/>
          <w:b/>
          <w:bCs/>
          <w:i/>
          <w:iCs/>
        </w:rPr>
        <w:t>“</w:t>
      </w:r>
      <w:r w:rsidRPr="00C938B6" w:rsidR="00207963">
        <w:rPr>
          <w:rFonts w:ascii="Palatino Linotype" w:hAnsi="Palatino Linotype" w:cs="Tahoma"/>
          <w:b/>
          <w:bCs/>
          <w:i/>
          <w:iCs/>
        </w:rPr>
        <w:t xml:space="preserve">Naturaleza de la información relativa a los montos aportados al Seguro de Separación Individualizado. </w:t>
      </w:r>
      <w:r w:rsidRPr="00C938B6" w:rsidR="00207963">
        <w:rPr>
          <w:rFonts w:ascii="Palatino Linotype" w:hAnsi="Palatino Linotype" w:cs="Tahoma"/>
          <w:bCs/>
          <w:i/>
          <w:iCs/>
        </w:rPr>
        <w:t xml:space="preserve">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aún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w:t>
      </w:r>
      <w:r w:rsidRPr="00EC6AA2" w:rsidR="00207963">
        <w:rPr>
          <w:rFonts w:ascii="Palatino Linotype" w:hAnsi="Palatino Linotype" w:cs="Tahoma"/>
          <w:b/>
          <w:bCs/>
          <w:i/>
          <w:iCs/>
        </w:rPr>
        <w:t xml:space="preserve">En relación con el tercer grupo, cabe destacar que se trata de aportaciones adicionales extraordinarias, respecto de las cuales las dependencias y entidades no </w:t>
      </w:r>
      <w:r w:rsidRPr="00EC6AA2" w:rsidR="00207963">
        <w:rPr>
          <w:rFonts w:ascii="Palatino Linotype" w:hAnsi="Palatino Linotype" w:cs="Tahoma"/>
          <w:b/>
          <w:bCs/>
          <w:i/>
          <w:iCs/>
        </w:rPr>
        <w:lastRenderedPageBreak/>
        <w:t>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r w:rsidRPr="00C938B6" w:rsidR="00207963">
        <w:rPr>
          <w:rFonts w:ascii="Palatino Linotype" w:hAnsi="Palatino Linotype" w:cs="Tahoma"/>
          <w:bCs/>
          <w:i/>
          <w:iCs/>
        </w:rPr>
        <w:t>.</w:t>
      </w:r>
      <w:r>
        <w:rPr>
          <w:rFonts w:ascii="Palatino Linotype" w:hAnsi="Palatino Linotype" w:cs="Tahoma"/>
          <w:bCs/>
          <w:i/>
          <w:iCs/>
        </w:rPr>
        <w:t>”</w:t>
      </w:r>
      <w:r w:rsidRPr="00C938B6" w:rsidR="00207963">
        <w:rPr>
          <w:rFonts w:ascii="Palatino Linotype" w:hAnsi="Palatino Linotype" w:cs="Tahoma"/>
          <w:bCs/>
          <w:i/>
          <w:iCs/>
        </w:rPr>
        <w:t xml:space="preserve"> </w:t>
      </w:r>
    </w:p>
    <w:p w:rsidRPr="00C938B6" w:rsidR="00207963" w:rsidP="005B031E" w:rsidRDefault="00207963" w14:paraId="44729C17" w14:textId="77777777">
      <w:pPr>
        <w:spacing w:line="360" w:lineRule="auto"/>
        <w:jc w:val="both"/>
        <w:rPr>
          <w:rFonts w:ascii="Palatino Linotype" w:hAnsi="Palatino Linotype" w:cs="Tahoma"/>
          <w:bCs/>
          <w:iCs/>
          <w:sz w:val="22"/>
          <w:szCs w:val="22"/>
        </w:rPr>
      </w:pPr>
    </w:p>
    <w:p w:rsidRPr="00C938B6" w:rsidR="00207963" w:rsidP="005B031E" w:rsidRDefault="00207963" w14:paraId="7BDB0647" w14:textId="768EB7ED">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 xml:space="preserve">En suma, </w:t>
      </w:r>
      <w:r w:rsidR="00EC6AA2">
        <w:rPr>
          <w:rFonts w:ascii="Palatino Linotype" w:hAnsi="Palatino Linotype" w:cs="Tahoma"/>
          <w:bCs/>
          <w:iCs/>
          <w:sz w:val="22"/>
          <w:szCs w:val="22"/>
        </w:rPr>
        <w:t xml:space="preserve">la </w:t>
      </w:r>
      <w:r w:rsidR="00EC6AA2">
        <w:rPr>
          <w:rFonts w:ascii="Palatino Linotype" w:hAnsi="Palatino Linotype" w:cs="Tahoma"/>
          <w:b/>
          <w:bCs/>
          <w:iCs/>
          <w:sz w:val="22"/>
          <w:szCs w:val="22"/>
        </w:rPr>
        <w:t xml:space="preserve">subcuenta de cuota obligatoria y la subcuenta de aportación obligatoria </w:t>
      </w:r>
      <w:r w:rsidR="00EC6AA2">
        <w:rPr>
          <w:rFonts w:ascii="Palatino Linotype" w:hAnsi="Palatino Linotype" w:cs="Tahoma"/>
          <w:bCs/>
          <w:iCs/>
          <w:sz w:val="22"/>
          <w:szCs w:val="22"/>
        </w:rPr>
        <w:t xml:space="preserve">son datos de naturaleza pública y por ende no procede su clasificación como confidencial, no así lo relativo a </w:t>
      </w:r>
      <w:r w:rsidR="00EC6AA2">
        <w:rPr>
          <w:rFonts w:ascii="Palatino Linotype" w:hAnsi="Palatino Linotype" w:cs="Tahoma"/>
          <w:b/>
          <w:bCs/>
          <w:iCs/>
          <w:sz w:val="22"/>
          <w:szCs w:val="22"/>
        </w:rPr>
        <w:t xml:space="preserve">subcuenta voluntaria </w:t>
      </w:r>
      <w:r w:rsidR="00EC6AA2">
        <w:rPr>
          <w:rFonts w:ascii="Palatino Linotype" w:hAnsi="Palatino Linotype" w:cs="Tahoma"/>
          <w:bCs/>
          <w:iCs/>
          <w:sz w:val="22"/>
          <w:szCs w:val="22"/>
        </w:rPr>
        <w:t xml:space="preserve">por lo que en este rubro </w:t>
      </w:r>
      <w:r w:rsidRPr="00C938B6">
        <w:rPr>
          <w:rFonts w:ascii="Palatino Linotype" w:hAnsi="Palatino Linotype" w:cs="Tahoma"/>
          <w:bCs/>
          <w:iCs/>
          <w:sz w:val="22"/>
          <w:szCs w:val="22"/>
        </w:rPr>
        <w:t>procede su clasificación</w:t>
      </w:r>
      <w:r w:rsidR="006F32E9">
        <w:rPr>
          <w:rFonts w:ascii="Palatino Linotype" w:hAnsi="Palatino Linotype" w:cs="Tahoma"/>
          <w:bCs/>
          <w:iCs/>
          <w:sz w:val="22"/>
          <w:szCs w:val="22"/>
        </w:rPr>
        <w:t xml:space="preserve">, todo ello en términos del artículo 143 </w:t>
      </w:r>
      <w:r w:rsidRPr="00C938B6">
        <w:rPr>
          <w:rFonts w:ascii="Palatino Linotype" w:hAnsi="Palatino Linotype" w:cs="Tahoma"/>
          <w:bCs/>
          <w:iCs/>
          <w:sz w:val="22"/>
          <w:szCs w:val="22"/>
        </w:rPr>
        <w:t xml:space="preserve">de la Ley de Transparencia y Acceso a la Información Pública del Estado de México y Municipios. </w:t>
      </w:r>
    </w:p>
    <w:p w:rsidR="00CB0B0D" w:rsidP="005B031E" w:rsidRDefault="00CB0B0D" w14:paraId="682B6406" w14:textId="77777777">
      <w:pPr>
        <w:spacing w:line="360" w:lineRule="auto"/>
        <w:jc w:val="both"/>
        <w:rPr>
          <w:rFonts w:ascii="Palatino Linotype" w:hAnsi="Palatino Linotype" w:cs="Tahoma"/>
          <w:b/>
          <w:bCs/>
          <w:iCs/>
          <w:sz w:val="22"/>
          <w:szCs w:val="22"/>
        </w:rPr>
      </w:pPr>
    </w:p>
    <w:p w:rsidR="005B031E" w:rsidP="005B031E" w:rsidRDefault="006F32E9" w14:paraId="465B0143" w14:textId="41B71CB8">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Finalmente, como se estudió, se considera que el Sujeto Obligado clasificó datos de naturaleza pública y debió proteger adecuadamente aquellos que actualizaban alguna causal de clasificación señalada en la norma; por lo que, el Sujeto Obligado deberá proporcionar los recibos de nómina en versión pública, así como el Acuerdo emitido por el Comité de Transparencia en donde confirme la clasificación de los datos testados conforme al procedimiento establecido en el artículo 168 de la Ley de Transparencia y Acceso a la Información Pública del Estado de México y Municipios. </w:t>
      </w:r>
    </w:p>
    <w:p w:rsidR="002A010F" w:rsidP="005B031E" w:rsidRDefault="002A010F" w14:paraId="28D5A7F8" w14:textId="77777777">
      <w:pPr>
        <w:spacing w:line="360" w:lineRule="auto"/>
        <w:jc w:val="both"/>
        <w:rPr>
          <w:rFonts w:ascii="Palatino Linotype" w:hAnsi="Palatino Linotype" w:cs="Tahoma"/>
          <w:bCs/>
          <w:iCs/>
          <w:sz w:val="22"/>
          <w:szCs w:val="22"/>
        </w:rPr>
      </w:pPr>
    </w:p>
    <w:p w:rsidRPr="00C938B6" w:rsidR="00801872" w:rsidP="005B031E" w:rsidRDefault="00801872" w14:paraId="667C40F3" w14:textId="77777777">
      <w:pPr>
        <w:spacing w:line="360" w:lineRule="auto"/>
        <w:jc w:val="both"/>
        <w:rPr>
          <w:rFonts w:ascii="Palatino Linotype" w:hAnsi="Palatino Linotype" w:cs="Tahoma"/>
          <w:b/>
          <w:sz w:val="22"/>
          <w:szCs w:val="22"/>
          <w:lang w:eastAsia="es-MX"/>
        </w:rPr>
      </w:pPr>
      <w:r w:rsidRPr="00C938B6">
        <w:rPr>
          <w:rFonts w:ascii="Palatino Linotype" w:hAnsi="Palatino Linotype" w:cs="Tahoma"/>
          <w:b/>
          <w:sz w:val="22"/>
          <w:szCs w:val="22"/>
          <w:lang w:eastAsia="es-MX"/>
        </w:rPr>
        <w:t xml:space="preserve">SEXTO. Decisión. </w:t>
      </w:r>
    </w:p>
    <w:p w:rsidRPr="00C938B6" w:rsidR="00801872" w:rsidP="005B031E" w:rsidRDefault="00801872" w14:paraId="47D4AB01" w14:textId="77777777">
      <w:pPr>
        <w:spacing w:line="360" w:lineRule="auto"/>
        <w:jc w:val="both"/>
        <w:rPr>
          <w:rFonts w:ascii="Palatino Linotype" w:hAnsi="Palatino Linotype" w:cs="Tahoma"/>
          <w:b/>
          <w:sz w:val="22"/>
          <w:szCs w:val="22"/>
          <w:lang w:eastAsia="es-MX"/>
        </w:rPr>
      </w:pPr>
    </w:p>
    <w:p w:rsidRPr="008A79F0" w:rsidR="00D47385" w:rsidP="005B031E" w:rsidRDefault="00801872" w14:paraId="44B12173" w14:textId="2799A8DE">
      <w:pPr>
        <w:spacing w:line="360" w:lineRule="auto"/>
        <w:jc w:val="both"/>
        <w:rPr>
          <w:rFonts w:ascii="Palatino Linotype" w:hAnsi="Palatino Linotype" w:eastAsia="Calibri" w:cs="Tahoma"/>
          <w:iCs/>
          <w:sz w:val="22"/>
          <w:szCs w:val="22"/>
          <w:lang w:eastAsia="es-ES_tradnl"/>
        </w:rPr>
      </w:pPr>
      <w:r w:rsidRPr="00C938B6">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C938B6">
        <w:rPr>
          <w:rFonts w:ascii="Palatino Linotype" w:hAnsi="Palatino Linotype" w:cs="Tahoma"/>
          <w:b/>
          <w:bCs/>
          <w:iCs/>
          <w:sz w:val="22"/>
          <w:szCs w:val="22"/>
          <w:lang w:val="es-ES_tradnl"/>
        </w:rPr>
        <w:t>MODIFICAR</w:t>
      </w:r>
      <w:r w:rsidRPr="00C938B6">
        <w:rPr>
          <w:rFonts w:ascii="Palatino Linotype" w:hAnsi="Palatino Linotype" w:cs="Tahoma"/>
          <w:bCs/>
          <w:sz w:val="22"/>
          <w:szCs w:val="22"/>
          <w:lang w:val="es-ES_tradnl"/>
        </w:rPr>
        <w:t xml:space="preserve"> </w:t>
      </w:r>
      <w:r w:rsidRPr="00C938B6">
        <w:rPr>
          <w:rFonts w:ascii="Palatino Linotype" w:hAnsi="Palatino Linotype" w:cs="Tahoma"/>
          <w:bCs/>
          <w:sz w:val="22"/>
          <w:szCs w:val="22"/>
        </w:rPr>
        <w:t>la respuesta otorgada por el Ente Recurrido a la solicitud de acc</w:t>
      </w:r>
      <w:r w:rsidRPr="00C938B6" w:rsidR="00D47385">
        <w:rPr>
          <w:rFonts w:ascii="Palatino Linotype" w:hAnsi="Palatino Linotype" w:cs="Tahoma"/>
          <w:bCs/>
          <w:sz w:val="22"/>
          <w:szCs w:val="22"/>
        </w:rPr>
        <w:t>eso a la información con número</w:t>
      </w:r>
      <w:r w:rsidR="006F32E9">
        <w:rPr>
          <w:rFonts w:ascii="Palatino Linotype" w:hAnsi="Palatino Linotype" w:cs="Tahoma"/>
          <w:sz w:val="22"/>
          <w:szCs w:val="22"/>
        </w:rPr>
        <w:t xml:space="preserve"> 00272/TEXCOCO</w:t>
      </w:r>
      <w:r w:rsidRPr="00C938B6">
        <w:rPr>
          <w:rFonts w:ascii="Palatino Linotype" w:hAnsi="Palatino Linotype" w:cs="Tahoma"/>
          <w:sz w:val="22"/>
          <w:szCs w:val="22"/>
        </w:rPr>
        <w:t>/IP/2021</w:t>
      </w:r>
      <w:r w:rsidRPr="00C938B6">
        <w:rPr>
          <w:rFonts w:ascii="Palatino Linotype" w:hAnsi="Palatino Linotype" w:cs="Tahoma"/>
          <w:b/>
          <w:bCs/>
          <w:sz w:val="22"/>
          <w:szCs w:val="22"/>
        </w:rPr>
        <w:t>,</w:t>
      </w:r>
      <w:r w:rsidRPr="00C938B6">
        <w:rPr>
          <w:rFonts w:ascii="Palatino Linotype" w:hAnsi="Palatino Linotype" w:cs="Tahoma"/>
          <w:bCs/>
          <w:sz w:val="22"/>
          <w:szCs w:val="22"/>
        </w:rPr>
        <w:t xml:space="preserve"> </w:t>
      </w:r>
      <w:r w:rsidR="006F32E9">
        <w:rPr>
          <w:rFonts w:ascii="Palatino Linotype" w:hAnsi="Palatino Linotype" w:cs="Tahoma"/>
          <w:sz w:val="22"/>
          <w:szCs w:val="22"/>
        </w:rPr>
        <w:t>a efecto de que</w:t>
      </w:r>
      <w:r w:rsidRPr="00C938B6" w:rsidR="00BE73E6">
        <w:rPr>
          <w:rFonts w:ascii="Palatino Linotype" w:hAnsi="Palatino Linotype" w:eastAsia="Calibri" w:cs="Tahoma"/>
          <w:iCs/>
          <w:sz w:val="22"/>
          <w:szCs w:val="22"/>
          <w:lang w:eastAsia="es-ES_tradnl"/>
        </w:rPr>
        <w:t xml:space="preserve"> </w:t>
      </w:r>
      <w:r w:rsidRPr="00C938B6">
        <w:rPr>
          <w:rFonts w:ascii="Palatino Linotype" w:hAnsi="Palatino Linotype" w:eastAsia="Calibri" w:cs="Tahoma"/>
          <w:iCs/>
          <w:sz w:val="22"/>
          <w:szCs w:val="22"/>
          <w:lang w:eastAsia="es-ES_tradnl"/>
        </w:rPr>
        <w:t xml:space="preserve">entregue a través del </w:t>
      </w:r>
      <w:r w:rsidRPr="00C938B6">
        <w:rPr>
          <w:rFonts w:ascii="Palatino Linotype" w:hAnsi="Palatino Linotype" w:eastAsia="Calibri" w:cs="Tahoma"/>
          <w:iCs/>
          <w:sz w:val="22"/>
          <w:szCs w:val="22"/>
          <w:lang w:eastAsia="es-ES_tradnl"/>
        </w:rPr>
        <w:lastRenderedPageBreak/>
        <w:t xml:space="preserve">Sistema de Acceso a la </w:t>
      </w:r>
      <w:r w:rsidRPr="008A79F0">
        <w:rPr>
          <w:rFonts w:ascii="Palatino Linotype" w:hAnsi="Palatino Linotype" w:eastAsia="Calibri" w:cs="Tahoma"/>
          <w:iCs/>
          <w:sz w:val="22"/>
          <w:szCs w:val="22"/>
          <w:lang w:eastAsia="es-ES_tradnl"/>
        </w:rPr>
        <w:t>I</w:t>
      </w:r>
      <w:r w:rsidRPr="008A79F0" w:rsidR="00D47385">
        <w:rPr>
          <w:rFonts w:ascii="Palatino Linotype" w:hAnsi="Palatino Linotype" w:eastAsia="Calibri" w:cs="Tahoma"/>
          <w:iCs/>
          <w:sz w:val="22"/>
          <w:szCs w:val="22"/>
          <w:lang w:eastAsia="es-ES_tradnl"/>
        </w:rPr>
        <w:t>nformación Mexiquense (SAIMEX)</w:t>
      </w:r>
      <w:r w:rsidRPr="008A79F0" w:rsidR="00BE73E6">
        <w:rPr>
          <w:rFonts w:ascii="Palatino Linotype" w:hAnsi="Palatino Linotype" w:eastAsia="Calibri" w:cs="Tahoma"/>
          <w:iCs/>
          <w:sz w:val="22"/>
          <w:szCs w:val="22"/>
          <w:lang w:eastAsia="es-ES_tradnl"/>
        </w:rPr>
        <w:t>,</w:t>
      </w:r>
      <w:r w:rsidRPr="008A79F0" w:rsidR="00D47385">
        <w:rPr>
          <w:rFonts w:ascii="Palatino Linotype" w:hAnsi="Palatino Linotype" w:eastAsia="Calibri" w:cs="Tahoma"/>
          <w:iCs/>
          <w:sz w:val="22"/>
          <w:szCs w:val="22"/>
          <w:lang w:eastAsia="es-ES_tradnl"/>
        </w:rPr>
        <w:t xml:space="preserve"> en versión pública, </w:t>
      </w:r>
      <w:r w:rsidRPr="008A79F0" w:rsidR="00BE73E6">
        <w:rPr>
          <w:rFonts w:ascii="Palatino Linotype" w:hAnsi="Palatino Linotype" w:eastAsia="Calibri" w:cs="Tahoma"/>
          <w:iCs/>
          <w:sz w:val="22"/>
          <w:szCs w:val="22"/>
          <w:lang w:eastAsia="es-ES_tradnl"/>
        </w:rPr>
        <w:t>los recibos</w:t>
      </w:r>
      <w:r w:rsidRPr="008A79F0" w:rsidR="00D47385">
        <w:rPr>
          <w:rFonts w:ascii="Palatino Linotype" w:hAnsi="Palatino Linotype" w:eastAsia="Calibri" w:cs="Tahoma"/>
          <w:iCs/>
          <w:sz w:val="22"/>
          <w:szCs w:val="22"/>
          <w:lang w:eastAsia="es-ES_tradnl"/>
        </w:rPr>
        <w:t xml:space="preserve"> </w:t>
      </w:r>
      <w:r w:rsidR="006F32E9">
        <w:rPr>
          <w:rFonts w:ascii="Palatino Linotype" w:hAnsi="Palatino Linotype" w:eastAsia="Calibri" w:cs="Tahoma"/>
          <w:iCs/>
          <w:sz w:val="22"/>
          <w:szCs w:val="22"/>
          <w:lang w:eastAsia="es-ES_tradnl"/>
        </w:rPr>
        <w:t xml:space="preserve">remitidos en respuesta, correspondientes </w:t>
      </w:r>
      <w:r w:rsidR="00065B2F">
        <w:rPr>
          <w:rFonts w:ascii="Palatino Linotype" w:hAnsi="Palatino Linotype" w:eastAsia="Calibri" w:cs="Tahoma"/>
          <w:iCs/>
          <w:sz w:val="22"/>
          <w:szCs w:val="22"/>
          <w:lang w:eastAsia="es-ES_tradnl"/>
        </w:rPr>
        <w:t>a</w:t>
      </w:r>
      <w:r w:rsidR="006F32E9">
        <w:rPr>
          <w:rFonts w:ascii="Palatino Linotype" w:hAnsi="Palatino Linotype" w:eastAsia="Calibri" w:cs="Tahoma"/>
          <w:iCs/>
          <w:sz w:val="22"/>
          <w:szCs w:val="22"/>
          <w:lang w:eastAsia="es-ES_tradnl"/>
        </w:rPr>
        <w:t xml:space="preserve"> Mario Esteban Sánchez Gómez del periodo relativo a las dos quincenas del mes de agosto de dos mil veintiuno. </w:t>
      </w:r>
    </w:p>
    <w:p w:rsidRPr="008A79F0" w:rsidR="00801872" w:rsidP="005B031E" w:rsidRDefault="00801872" w14:paraId="5A5D1BAE" w14:textId="77777777">
      <w:pPr>
        <w:spacing w:line="360" w:lineRule="auto"/>
        <w:jc w:val="both"/>
        <w:rPr>
          <w:rFonts w:ascii="Palatino Linotype" w:hAnsi="Palatino Linotype" w:cs="Tahoma"/>
          <w:sz w:val="22"/>
          <w:szCs w:val="22"/>
        </w:rPr>
      </w:pPr>
    </w:p>
    <w:p w:rsidRPr="00C938B6" w:rsidR="00801872" w:rsidP="005B031E" w:rsidRDefault="00801872" w14:paraId="40FBD96C" w14:textId="77777777">
      <w:pPr>
        <w:spacing w:line="360" w:lineRule="auto"/>
        <w:jc w:val="both"/>
        <w:rPr>
          <w:rFonts w:ascii="Palatino Linotype" w:hAnsi="Palatino Linotype" w:cs="Tahoma"/>
          <w:sz w:val="22"/>
          <w:szCs w:val="22"/>
        </w:rPr>
      </w:pPr>
      <w:r w:rsidRPr="00C938B6">
        <w:rPr>
          <w:rFonts w:ascii="Palatino Linotype" w:hAnsi="Palatino Linotype" w:cs="Tahoma"/>
          <w:sz w:val="22"/>
          <w:szCs w:val="22"/>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C938B6" w:rsidR="00801872" w:rsidP="005B031E" w:rsidRDefault="00801872" w14:paraId="18D0DDB4" w14:textId="77777777">
      <w:pPr>
        <w:autoSpaceDE w:val="0"/>
        <w:autoSpaceDN w:val="0"/>
        <w:adjustRightInd w:val="0"/>
        <w:spacing w:line="360" w:lineRule="auto"/>
        <w:jc w:val="both"/>
        <w:rPr>
          <w:rFonts w:ascii="Palatino Linotype" w:hAnsi="Palatino Linotype" w:eastAsia="Calibri" w:cs="Tahoma"/>
          <w:b/>
          <w:bCs/>
          <w:iCs/>
          <w:sz w:val="22"/>
          <w:szCs w:val="22"/>
          <w:lang w:eastAsia="en-US"/>
        </w:rPr>
      </w:pPr>
    </w:p>
    <w:p w:rsidRPr="00C938B6" w:rsidR="00801872" w:rsidP="005B031E" w:rsidRDefault="006F32E9" w14:paraId="1FD5F139" w14:textId="54172878">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Pr>
          <w:rFonts w:ascii="Palatino Linotype" w:hAnsi="Palatino Linotype" w:eastAsia="Calibri" w:cs="Tahoma"/>
          <w:b/>
          <w:bCs/>
          <w:iCs/>
          <w:sz w:val="22"/>
          <w:szCs w:val="22"/>
          <w:lang w:val="es-ES" w:eastAsia="en-US"/>
        </w:rPr>
        <w:t>Términos de la Resolución</w:t>
      </w:r>
      <w:r w:rsidR="00D51254">
        <w:rPr>
          <w:rFonts w:ascii="Palatino Linotype" w:hAnsi="Palatino Linotype" w:eastAsia="Calibri" w:cs="Tahoma"/>
          <w:b/>
          <w:bCs/>
          <w:iCs/>
          <w:sz w:val="22"/>
          <w:szCs w:val="22"/>
          <w:lang w:val="es-ES" w:eastAsia="en-US"/>
        </w:rPr>
        <w:t xml:space="preserve"> para el Recurrente</w:t>
      </w:r>
      <w:r>
        <w:rPr>
          <w:rFonts w:ascii="Palatino Linotype" w:hAnsi="Palatino Linotype" w:eastAsia="Calibri" w:cs="Tahoma"/>
          <w:b/>
          <w:bCs/>
          <w:iCs/>
          <w:sz w:val="22"/>
          <w:szCs w:val="22"/>
          <w:lang w:val="es-ES" w:eastAsia="en-US"/>
        </w:rPr>
        <w:t xml:space="preserve">. </w:t>
      </w:r>
    </w:p>
    <w:p w:rsidRPr="00C938B6" w:rsidR="00801872" w:rsidP="005B031E" w:rsidRDefault="00801872" w14:paraId="6D93DF56"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007A067A" w:rsidP="005B031E" w:rsidRDefault="00065B2F" w14:paraId="7DDABF5D" w14:textId="14AD433C">
      <w:pPr>
        <w:widowControl w:val="0"/>
        <w:spacing w:line="360" w:lineRule="auto"/>
        <w:jc w:val="both"/>
        <w:rPr>
          <w:rFonts w:ascii="Palatino Linotype" w:hAnsi="Palatino Linotype" w:eastAsia="Calibri" w:cs="Tahoma"/>
          <w:bCs/>
          <w:iCs/>
          <w:sz w:val="22"/>
          <w:szCs w:val="22"/>
          <w:lang w:val="es-ES" w:eastAsia="en-US"/>
        </w:rPr>
      </w:pPr>
      <w:r w:rsidRPr="007A067A">
        <w:rPr>
          <w:rFonts w:ascii="Palatino Linotype" w:hAnsi="Palatino Linotype" w:eastAsia="Calibri" w:cs="Tahoma"/>
          <w:bCs/>
          <w:iCs/>
          <w:sz w:val="22"/>
          <w:szCs w:val="22"/>
          <w:lang w:val="es-ES" w:eastAsia="en-US"/>
        </w:rPr>
        <w:t xml:space="preserve">Se </w:t>
      </w:r>
      <w:r w:rsidRPr="007A067A" w:rsidR="00801872">
        <w:rPr>
          <w:rFonts w:ascii="Palatino Linotype" w:hAnsi="Palatino Linotype" w:eastAsia="Calibri" w:cs="Tahoma"/>
          <w:bCs/>
          <w:iCs/>
          <w:sz w:val="22"/>
          <w:szCs w:val="22"/>
          <w:lang w:val="es-ES" w:eastAsia="en-US"/>
        </w:rPr>
        <w:t xml:space="preserve">hace </w:t>
      </w:r>
      <w:r w:rsidRPr="007A067A" w:rsidR="006F32E9">
        <w:rPr>
          <w:rFonts w:ascii="Palatino Linotype" w:hAnsi="Palatino Linotype" w:eastAsia="Calibri" w:cs="Tahoma"/>
          <w:bCs/>
          <w:iCs/>
          <w:sz w:val="22"/>
          <w:szCs w:val="22"/>
          <w:lang w:val="es-ES" w:eastAsia="en-US"/>
        </w:rPr>
        <w:t xml:space="preserve">del conocimiento al Particular </w:t>
      </w:r>
      <w:r w:rsidRPr="007A067A" w:rsidR="00801872">
        <w:rPr>
          <w:rFonts w:ascii="Palatino Linotype" w:hAnsi="Palatino Linotype" w:eastAsia="Calibri" w:cs="Tahoma"/>
          <w:bCs/>
          <w:iCs/>
          <w:sz w:val="22"/>
          <w:szCs w:val="22"/>
          <w:lang w:val="es-ES" w:eastAsia="en-US"/>
        </w:rPr>
        <w:t>que en el prese</w:t>
      </w:r>
      <w:r w:rsidRPr="007A067A">
        <w:rPr>
          <w:rFonts w:ascii="Palatino Linotype" w:hAnsi="Palatino Linotype" w:eastAsia="Calibri" w:cs="Tahoma"/>
          <w:bCs/>
          <w:iCs/>
          <w:sz w:val="22"/>
          <w:szCs w:val="22"/>
          <w:lang w:val="es-ES" w:eastAsia="en-US"/>
        </w:rPr>
        <w:t xml:space="preserve">nte caso se le </w:t>
      </w:r>
      <w:r w:rsidR="00D51254">
        <w:rPr>
          <w:rFonts w:ascii="Palatino Linotype" w:hAnsi="Palatino Linotype" w:eastAsia="Calibri" w:cs="Tahoma"/>
          <w:bCs/>
          <w:iCs/>
          <w:sz w:val="22"/>
          <w:szCs w:val="22"/>
          <w:lang w:val="es-ES" w:eastAsia="en-US"/>
        </w:rPr>
        <w:t>concede</w:t>
      </w:r>
      <w:r w:rsidRPr="007A067A" w:rsidR="00D51254">
        <w:rPr>
          <w:rFonts w:ascii="Palatino Linotype" w:hAnsi="Palatino Linotype" w:eastAsia="Calibri" w:cs="Tahoma"/>
          <w:bCs/>
          <w:iCs/>
          <w:sz w:val="22"/>
          <w:szCs w:val="22"/>
          <w:lang w:val="es-ES" w:eastAsia="en-US"/>
        </w:rPr>
        <w:t xml:space="preserve"> </w:t>
      </w:r>
      <w:r w:rsidRPr="007A067A">
        <w:rPr>
          <w:rFonts w:ascii="Palatino Linotype" w:hAnsi="Palatino Linotype" w:eastAsia="Calibri" w:cs="Tahoma"/>
          <w:bCs/>
          <w:iCs/>
          <w:sz w:val="22"/>
          <w:szCs w:val="22"/>
          <w:lang w:val="es-ES" w:eastAsia="en-US"/>
        </w:rPr>
        <w:t>la razón porque</w:t>
      </w:r>
      <w:r w:rsidRPr="007A067A" w:rsidR="00801872">
        <w:rPr>
          <w:rFonts w:ascii="Palatino Linotype" w:hAnsi="Palatino Linotype" w:eastAsia="Calibri" w:cs="Tahoma"/>
          <w:bCs/>
          <w:iCs/>
          <w:sz w:val="22"/>
          <w:szCs w:val="22"/>
          <w:lang w:val="es-ES" w:eastAsia="en-US"/>
        </w:rPr>
        <w:t xml:space="preserve"> el Sujeto Obligado</w:t>
      </w:r>
      <w:r w:rsidR="007A067A">
        <w:rPr>
          <w:rFonts w:ascii="Palatino Linotype" w:hAnsi="Palatino Linotype" w:eastAsia="Calibri" w:cs="Tahoma"/>
          <w:bCs/>
          <w:iCs/>
          <w:sz w:val="22"/>
          <w:szCs w:val="22"/>
          <w:lang w:val="es-ES" w:eastAsia="en-US"/>
        </w:rPr>
        <w:t xml:space="preserve"> si bien entregó la información solicitada, también lo es que existió una inadecuada clasificación de los datos contenidos en los mismos; por lo que deberá proporcionárselos </w:t>
      </w:r>
      <w:r w:rsidR="002A010F">
        <w:rPr>
          <w:rFonts w:ascii="Palatino Linotype" w:hAnsi="Palatino Linotype" w:eastAsia="Calibri" w:cs="Tahoma"/>
          <w:bCs/>
          <w:iCs/>
          <w:sz w:val="22"/>
          <w:szCs w:val="22"/>
          <w:lang w:val="es-ES" w:eastAsia="en-US"/>
        </w:rPr>
        <w:t xml:space="preserve">nuevamente </w:t>
      </w:r>
      <w:r w:rsidR="007A067A">
        <w:rPr>
          <w:rFonts w:ascii="Palatino Linotype" w:hAnsi="Palatino Linotype" w:eastAsia="Calibri" w:cs="Tahoma"/>
          <w:bCs/>
          <w:iCs/>
          <w:sz w:val="22"/>
          <w:szCs w:val="22"/>
          <w:lang w:val="es-ES" w:eastAsia="en-US"/>
        </w:rPr>
        <w:t xml:space="preserve">en versión pública </w:t>
      </w:r>
      <w:r w:rsidR="001B04D6">
        <w:rPr>
          <w:rFonts w:ascii="Palatino Linotype" w:hAnsi="Palatino Linotype" w:eastAsia="Calibri" w:cs="Tahoma"/>
          <w:bCs/>
          <w:iCs/>
          <w:sz w:val="22"/>
          <w:szCs w:val="22"/>
          <w:lang w:val="es-ES" w:eastAsia="en-US"/>
        </w:rPr>
        <w:t xml:space="preserve">en atención a </w:t>
      </w:r>
      <w:r w:rsidR="002A010F">
        <w:rPr>
          <w:rFonts w:ascii="Palatino Linotype" w:hAnsi="Palatino Linotype" w:eastAsia="Calibri" w:cs="Tahoma"/>
          <w:bCs/>
          <w:iCs/>
          <w:sz w:val="22"/>
          <w:szCs w:val="22"/>
          <w:lang w:val="es-ES" w:eastAsia="en-US"/>
        </w:rPr>
        <w:t>lo referido en el Considerando Quinto de la presente resolución</w:t>
      </w:r>
      <w:r w:rsidR="007A067A">
        <w:rPr>
          <w:rFonts w:ascii="Palatino Linotype" w:hAnsi="Palatino Linotype" w:eastAsia="Calibri" w:cs="Tahoma"/>
          <w:bCs/>
          <w:iCs/>
          <w:sz w:val="22"/>
          <w:szCs w:val="22"/>
          <w:lang w:val="es-ES" w:eastAsia="en-US"/>
        </w:rPr>
        <w:t xml:space="preserve">. </w:t>
      </w:r>
    </w:p>
    <w:p w:rsidRPr="00C938B6" w:rsidR="00801872" w:rsidP="005B031E" w:rsidRDefault="00801872" w14:paraId="5EEF0C70" w14:textId="77777777">
      <w:pPr>
        <w:widowControl w:val="0"/>
        <w:spacing w:line="360" w:lineRule="auto"/>
        <w:jc w:val="both"/>
        <w:rPr>
          <w:rFonts w:ascii="Palatino Linotype" w:hAnsi="Palatino Linotype" w:eastAsia="Calibri" w:cs="Tahoma"/>
          <w:bCs/>
          <w:iCs/>
          <w:sz w:val="22"/>
          <w:szCs w:val="22"/>
          <w:lang w:val="es-ES" w:eastAsia="en-US"/>
        </w:rPr>
      </w:pPr>
    </w:p>
    <w:p w:rsidR="00801872" w:rsidP="005B031E" w:rsidRDefault="007A067A" w14:paraId="5765D138" w14:textId="37294311">
      <w:pPr>
        <w:spacing w:line="360" w:lineRule="auto"/>
        <w:jc w:val="both"/>
        <w:rPr>
          <w:rFonts w:ascii="Palatino Linotype" w:hAnsi="Palatino Linotype" w:eastAsia="Calibri" w:cs="Tahoma"/>
          <w:bCs/>
          <w:iCs/>
          <w:sz w:val="22"/>
          <w:szCs w:val="22"/>
          <w:lang w:eastAsia="en-US"/>
        </w:rPr>
      </w:pPr>
      <w:r w:rsidRPr="007A067A">
        <w:rPr>
          <w:rFonts w:ascii="Palatino Linotype" w:hAnsi="Palatino Linotype" w:eastAsia="Calibri" w:cs="Tahoma"/>
          <w:bCs/>
          <w:iCs/>
          <w:sz w:val="22"/>
          <w:szCs w:val="22"/>
          <w:lang w:eastAsia="en-US"/>
        </w:rPr>
        <w:t xml:space="preserve">Finalmente, es imprescindible mencionar que la labor de este Instituto </w:t>
      </w:r>
      <w:r w:rsidR="00D51254">
        <w:rPr>
          <w:rFonts w:ascii="Palatino Linotype" w:hAnsi="Palatino Linotype" w:eastAsia="Calibri" w:cs="Tahoma"/>
          <w:bCs/>
          <w:iCs/>
          <w:sz w:val="22"/>
          <w:szCs w:val="22"/>
          <w:lang w:eastAsia="en-US"/>
        </w:rPr>
        <w:t>es</w:t>
      </w:r>
      <w:r w:rsidRPr="007A067A">
        <w:rPr>
          <w:rFonts w:ascii="Palatino Linotype" w:hAnsi="Palatino Linotype" w:eastAsia="Calibri" w:cs="Tahoma"/>
          <w:bCs/>
          <w:iCs/>
          <w:sz w:val="22"/>
          <w:szCs w:val="22"/>
          <w:lang w:eastAsia="en-US"/>
        </w:rPr>
        <w:t xml:space="preserve"> apoyar a la población </w:t>
      </w:r>
      <w:r w:rsidR="00D51254">
        <w:rPr>
          <w:rFonts w:ascii="Palatino Linotype" w:hAnsi="Palatino Linotype" w:eastAsia="Calibri" w:cs="Tahoma"/>
          <w:bCs/>
          <w:iCs/>
          <w:sz w:val="22"/>
          <w:szCs w:val="22"/>
          <w:lang w:eastAsia="en-US"/>
        </w:rPr>
        <w:t>para que</w:t>
      </w:r>
      <w:r w:rsidRPr="007A067A">
        <w:rPr>
          <w:rFonts w:ascii="Palatino Linotype" w:hAnsi="Palatino Linotype" w:eastAsia="Calibri" w:cs="Tahoma"/>
          <w:bCs/>
          <w:iCs/>
          <w:sz w:val="22"/>
          <w:szCs w:val="22"/>
          <w:lang w:eastAsia="en-US"/>
        </w:rPr>
        <w:t xml:space="preserve"> </w:t>
      </w:r>
      <w:r w:rsidRPr="007A067A" w:rsidR="00D51254">
        <w:rPr>
          <w:rFonts w:ascii="Palatino Linotype" w:hAnsi="Palatino Linotype" w:eastAsia="Calibri" w:cs="Tahoma"/>
          <w:bCs/>
          <w:iCs/>
          <w:sz w:val="22"/>
          <w:szCs w:val="22"/>
          <w:lang w:eastAsia="en-US"/>
        </w:rPr>
        <w:t>acced</w:t>
      </w:r>
      <w:r w:rsidR="00D51254">
        <w:rPr>
          <w:rFonts w:ascii="Palatino Linotype" w:hAnsi="Palatino Linotype" w:eastAsia="Calibri" w:cs="Tahoma"/>
          <w:bCs/>
          <w:iCs/>
          <w:sz w:val="22"/>
          <w:szCs w:val="22"/>
          <w:lang w:eastAsia="en-US"/>
        </w:rPr>
        <w:t>a</w:t>
      </w:r>
      <w:r w:rsidRPr="007A067A" w:rsidR="00D51254">
        <w:rPr>
          <w:rFonts w:ascii="Palatino Linotype" w:hAnsi="Palatino Linotype" w:eastAsia="Calibri" w:cs="Tahoma"/>
          <w:bCs/>
          <w:iCs/>
          <w:sz w:val="22"/>
          <w:szCs w:val="22"/>
          <w:lang w:eastAsia="en-US"/>
        </w:rPr>
        <w:t xml:space="preserve"> </w:t>
      </w:r>
      <w:r w:rsidRPr="007A067A">
        <w:rPr>
          <w:rFonts w:ascii="Palatino Linotype" w:hAnsi="Palatino Linotype" w:eastAsia="Calibri" w:cs="Tahoma"/>
          <w:bCs/>
          <w:iCs/>
          <w:sz w:val="22"/>
          <w:szCs w:val="22"/>
          <w:lang w:eastAsia="en-US"/>
        </w:rPr>
        <w:t xml:space="preserve">a la información pública que se encuentre en posesión de los sujetos obligados y garantizar la protección de los datos personales. </w:t>
      </w:r>
    </w:p>
    <w:p w:rsidRPr="007A067A" w:rsidR="002A010F" w:rsidP="005B031E" w:rsidRDefault="002A010F" w14:paraId="04AFFDD9" w14:textId="77777777">
      <w:pPr>
        <w:spacing w:line="360" w:lineRule="auto"/>
        <w:jc w:val="both"/>
        <w:rPr>
          <w:rFonts w:ascii="Palatino Linotype" w:hAnsi="Palatino Linotype" w:eastAsia="Calibri" w:cs="Tahoma"/>
          <w:bCs/>
          <w:iCs/>
          <w:sz w:val="22"/>
          <w:szCs w:val="22"/>
          <w:lang w:eastAsia="en-US"/>
        </w:rPr>
      </w:pPr>
    </w:p>
    <w:p w:rsidRPr="00E40E68" w:rsidR="00414AA4" w:rsidP="00414AA4" w:rsidRDefault="00414AA4" w14:paraId="25D93B50" w14:textId="77777777">
      <w:pPr>
        <w:spacing w:line="360" w:lineRule="auto"/>
        <w:contextualSpacing/>
        <w:jc w:val="both"/>
        <w:rPr>
          <w:rFonts w:ascii="Palatino Linotype" w:hAnsi="Palatino Linotype" w:eastAsia="Calibri" w:cs="Tahoma"/>
          <w:b/>
          <w:bCs/>
          <w:iCs/>
          <w:sz w:val="22"/>
          <w:szCs w:val="22"/>
        </w:rPr>
      </w:pPr>
      <w:r>
        <w:rPr>
          <w:rFonts w:ascii="Palatino Linotype" w:hAnsi="Palatino Linotype"/>
          <w:b/>
          <w:iCs/>
          <w:sz w:val="22"/>
          <w:szCs w:val="22"/>
          <w:lang w:val="es-ES"/>
        </w:rPr>
        <w:t>SÉPTIMO</w:t>
      </w:r>
      <w:r w:rsidRPr="00E40E68">
        <w:rPr>
          <w:rFonts w:ascii="Palatino Linotype" w:hAnsi="Palatino Linotype"/>
          <w:b/>
          <w:iCs/>
          <w:sz w:val="22"/>
          <w:szCs w:val="22"/>
          <w:lang w:val="es-ES"/>
        </w:rPr>
        <w:t xml:space="preserve">. </w:t>
      </w:r>
      <w:r w:rsidRPr="00E40E68">
        <w:rPr>
          <w:rFonts w:ascii="Palatino Linotype" w:hAnsi="Palatino Linotype" w:eastAsia="Calibri" w:cs="Tahoma"/>
          <w:b/>
          <w:bCs/>
          <w:iCs/>
          <w:sz w:val="22"/>
          <w:szCs w:val="22"/>
        </w:rPr>
        <w:t>Vista a la Contraloría Interna y Órgano de Control y Vigilancia.</w:t>
      </w:r>
    </w:p>
    <w:p w:rsidRPr="00E40E68" w:rsidR="00414AA4" w:rsidP="00414AA4" w:rsidRDefault="00414AA4" w14:paraId="19C5234A" w14:textId="77777777">
      <w:pPr>
        <w:tabs>
          <w:tab w:val="left" w:pos="960"/>
        </w:tabs>
        <w:spacing w:line="360" w:lineRule="auto"/>
        <w:contextualSpacing/>
        <w:jc w:val="both"/>
        <w:rPr>
          <w:rFonts w:ascii="Palatino Linotype" w:hAnsi="Palatino Linotype" w:eastAsia="Calibri" w:cs="Tahoma"/>
          <w:b/>
          <w:iCs/>
          <w:sz w:val="22"/>
          <w:szCs w:val="22"/>
          <w:lang w:val="es-ES"/>
        </w:rPr>
      </w:pPr>
      <w:r>
        <w:rPr>
          <w:rFonts w:ascii="Palatino Linotype" w:hAnsi="Palatino Linotype" w:eastAsia="Calibri" w:cs="Tahoma"/>
          <w:b/>
          <w:iCs/>
          <w:sz w:val="22"/>
          <w:szCs w:val="22"/>
          <w:lang w:val="es-ES"/>
        </w:rPr>
        <w:tab/>
      </w:r>
    </w:p>
    <w:p w:rsidRPr="00E40E68" w:rsidR="00414AA4" w:rsidP="00414AA4" w:rsidRDefault="00414AA4" w14:paraId="3AE77C57" w14:textId="646D899C">
      <w:pPr>
        <w:spacing w:line="360" w:lineRule="auto"/>
        <w:contextualSpacing/>
        <w:jc w:val="both"/>
        <w:rPr>
          <w:rFonts w:ascii="Palatino Linotype" w:hAnsi="Palatino Linotype" w:eastAsia="Calibri" w:cs="Tahoma"/>
          <w:bCs/>
          <w:iCs/>
          <w:sz w:val="22"/>
          <w:szCs w:val="22"/>
          <w:lang w:val="es-ES"/>
        </w:rPr>
      </w:pPr>
      <w:r w:rsidRPr="00E40E68">
        <w:rPr>
          <w:rFonts w:ascii="Palatino Linotype" w:hAnsi="Palatino Linotype" w:eastAsia="Calibri" w:cs="Tahoma"/>
          <w:bCs/>
          <w:iCs/>
          <w:sz w:val="22"/>
          <w:szCs w:val="22"/>
          <w:lang w:val="es-ES"/>
        </w:rPr>
        <w:t>Ahora bien, de la revisión de las constancias que obran en el expediente, se logra adverti</w:t>
      </w:r>
      <w:r>
        <w:rPr>
          <w:rFonts w:ascii="Palatino Linotype" w:hAnsi="Palatino Linotype" w:eastAsia="Calibri" w:cs="Tahoma"/>
          <w:bCs/>
          <w:iCs/>
          <w:sz w:val="22"/>
          <w:szCs w:val="22"/>
          <w:lang w:val="es-ES"/>
        </w:rPr>
        <w:t xml:space="preserve">r que el Sujeto Obligado </w:t>
      </w:r>
      <w:r w:rsidRPr="00E40E68">
        <w:rPr>
          <w:rFonts w:ascii="Palatino Linotype" w:hAnsi="Palatino Linotype" w:eastAsia="Calibri" w:cs="Tahoma"/>
          <w:bCs/>
          <w:iCs/>
          <w:sz w:val="22"/>
          <w:szCs w:val="22"/>
          <w:lang w:val="es-ES"/>
        </w:rPr>
        <w:t>en respuesta</w:t>
      </w:r>
      <w:r>
        <w:rPr>
          <w:rFonts w:ascii="Palatino Linotype" w:hAnsi="Palatino Linotype" w:eastAsia="Calibri" w:cs="Tahoma"/>
          <w:bCs/>
          <w:iCs/>
          <w:sz w:val="22"/>
          <w:szCs w:val="22"/>
          <w:lang w:val="es-ES"/>
        </w:rPr>
        <w:t xml:space="preserve"> dejó visible</w:t>
      </w:r>
      <w:r w:rsidRPr="00E40E68">
        <w:rPr>
          <w:rFonts w:ascii="Palatino Linotype" w:hAnsi="Palatino Linotype" w:eastAsia="Calibri" w:cs="Tahoma"/>
          <w:bCs/>
          <w:iCs/>
          <w:sz w:val="22"/>
          <w:szCs w:val="22"/>
          <w:lang w:val="es-ES"/>
        </w:rPr>
        <w:t xml:space="preserve"> información </w:t>
      </w:r>
      <w:r>
        <w:rPr>
          <w:rFonts w:ascii="Palatino Linotype" w:hAnsi="Palatino Linotype" w:eastAsia="Calibri" w:cs="Tahoma"/>
          <w:bCs/>
          <w:iCs/>
          <w:sz w:val="22"/>
          <w:szCs w:val="22"/>
          <w:lang w:val="es-ES"/>
        </w:rPr>
        <w:t xml:space="preserve">confidencial, tales como </w:t>
      </w:r>
      <w:r>
        <w:rPr>
          <w:rFonts w:ascii="Palatino Linotype" w:hAnsi="Palatino Linotype" w:eastAsia="Calibri" w:cs="Tahoma"/>
          <w:b/>
          <w:bCs/>
          <w:iCs/>
          <w:sz w:val="22"/>
          <w:szCs w:val="22"/>
          <w:lang w:val="es-ES"/>
        </w:rPr>
        <w:t xml:space="preserve">Clave Única </w:t>
      </w:r>
      <w:r>
        <w:rPr>
          <w:rFonts w:ascii="Palatino Linotype" w:hAnsi="Palatino Linotype" w:eastAsia="Calibri" w:cs="Tahoma"/>
          <w:b/>
          <w:bCs/>
          <w:iCs/>
          <w:sz w:val="22"/>
          <w:szCs w:val="22"/>
          <w:lang w:val="es-ES"/>
        </w:rPr>
        <w:lastRenderedPageBreak/>
        <w:t>de Registro de Población (CURP), Registro Federal de Contribuyentes (RFC) y número de ISSEMyM</w:t>
      </w:r>
      <w:r w:rsidRPr="00E40E68">
        <w:rPr>
          <w:rFonts w:ascii="Palatino Linotype" w:hAnsi="Palatino Linotype" w:eastAsia="Calibri" w:cs="Tahoma"/>
          <w:bCs/>
          <w:iCs/>
          <w:sz w:val="22"/>
          <w:szCs w:val="22"/>
          <w:lang w:val="es-ES"/>
        </w:rPr>
        <w:t xml:space="preserve">; </w:t>
      </w:r>
      <w:r w:rsidRPr="00E40E68">
        <w:rPr>
          <w:rFonts w:ascii="Palatino Linotype" w:hAnsi="Palatino Linotype" w:eastAsia="Calibri" w:cs="Tahoma"/>
          <w:sz w:val="22"/>
          <w:szCs w:val="22"/>
        </w:rPr>
        <w:t>l</w:t>
      </w:r>
      <w:r w:rsidRPr="00E40E68">
        <w:rPr>
          <w:rFonts w:ascii="Palatino Linotype" w:hAnsi="Palatino Linotype" w:eastAsia="Calibri" w:cs="Tahoma"/>
          <w:bCs/>
          <w:iCs/>
          <w:sz w:val="22"/>
          <w:szCs w:val="22"/>
          <w:lang w:val="es-ES"/>
        </w:rPr>
        <w:t>o cual transgrede lo establecido en el artículo 143, fracción I, de la Ley de Transparencia y Acceso a la Información Pública del Estado de México y Municipios.</w:t>
      </w:r>
    </w:p>
    <w:p w:rsidRPr="00E40E68" w:rsidR="00414AA4" w:rsidP="00414AA4" w:rsidRDefault="00414AA4" w14:paraId="5D99E0C2" w14:textId="77777777">
      <w:pPr>
        <w:spacing w:line="360" w:lineRule="auto"/>
        <w:contextualSpacing/>
        <w:jc w:val="both"/>
        <w:rPr>
          <w:rFonts w:ascii="Palatino Linotype" w:hAnsi="Palatino Linotype" w:eastAsia="Calibri" w:cs="Tahoma"/>
          <w:bCs/>
          <w:iCs/>
          <w:sz w:val="22"/>
          <w:szCs w:val="22"/>
          <w:lang w:val="es-ES"/>
        </w:rPr>
      </w:pPr>
    </w:p>
    <w:p w:rsidRPr="00E40E68" w:rsidR="00414AA4" w:rsidP="00414AA4" w:rsidRDefault="00414AA4" w14:paraId="7350536E" w14:textId="28D4DF1B">
      <w:pPr>
        <w:spacing w:line="360" w:lineRule="auto"/>
        <w:contextualSpacing/>
        <w:jc w:val="both"/>
        <w:rPr>
          <w:rFonts w:ascii="Palatino Linotype" w:hAnsi="Palatino Linotype" w:eastAsia="Calibri" w:cs="Tahoma"/>
          <w:bCs/>
          <w:iCs/>
          <w:sz w:val="22"/>
          <w:szCs w:val="22"/>
          <w:lang w:val="es-ES"/>
        </w:rPr>
      </w:pPr>
      <w:r w:rsidRPr="00E40E68">
        <w:rPr>
          <w:rFonts w:ascii="Palatino Linotype" w:hAnsi="Palatino Linotype" w:eastAsia="Calibri" w:cs="Tahoma"/>
          <w:bCs/>
          <w:iCs/>
          <w:sz w:val="22"/>
          <w:szCs w:val="22"/>
          <w:lang w:val="es-ES"/>
        </w:rPr>
        <w:t xml:space="preserve">Sobre el particular, si bien, la presente resolución no tiene por objetivo investigar y determinar posibles violaciones al derecho de acceso a la información, toda vez que este Organismo Autónomo, advirtió la posible </w:t>
      </w:r>
      <w:r>
        <w:rPr>
          <w:rFonts w:ascii="Palatino Linotype" w:hAnsi="Palatino Linotype" w:eastAsia="Calibri" w:cs="Tahoma"/>
          <w:bCs/>
          <w:iCs/>
          <w:sz w:val="22"/>
          <w:szCs w:val="22"/>
          <w:lang w:val="es-ES"/>
        </w:rPr>
        <w:t>publicación</w:t>
      </w:r>
      <w:r w:rsidRPr="00E40E68">
        <w:rPr>
          <w:rFonts w:ascii="Palatino Linotype" w:hAnsi="Palatino Linotype" w:eastAsia="Calibri" w:cs="Tahoma"/>
          <w:bCs/>
          <w:iCs/>
          <w:sz w:val="22"/>
          <w:szCs w:val="22"/>
          <w:lang w:val="es-ES"/>
        </w:rPr>
        <w:t xml:space="preserve"> de información susceptible de clasificarse como confidencial, se considera procedente dar vista al Contralor Interno y Titular del Órgano de Control y Vigilancia de este Instituto. En ese contexto, el artículo 36, fracción X, de la Ley de Transparencia y Acceso a la Información Pública del Estado de México y Municipios, establece que es atribución de este Instituto hacer del conocimiento del Órgano Interno de Control o equivalente de cada Sujeto Obligado las infracciones a esta Ley. </w:t>
      </w:r>
    </w:p>
    <w:p w:rsidRPr="00E40E68" w:rsidR="00414AA4" w:rsidP="00414AA4" w:rsidRDefault="00414AA4" w14:paraId="6B9DA4CF" w14:textId="77777777">
      <w:pPr>
        <w:spacing w:line="360" w:lineRule="auto"/>
        <w:contextualSpacing/>
        <w:jc w:val="both"/>
        <w:rPr>
          <w:rFonts w:ascii="Palatino Linotype" w:hAnsi="Palatino Linotype" w:eastAsia="Calibri" w:cs="Tahoma"/>
          <w:bCs/>
          <w:iCs/>
          <w:sz w:val="22"/>
          <w:szCs w:val="22"/>
          <w:lang w:val="es-ES"/>
        </w:rPr>
      </w:pPr>
    </w:p>
    <w:p w:rsidRPr="00E40E68" w:rsidR="00414AA4" w:rsidP="001B04D6" w:rsidRDefault="00414AA4" w14:paraId="3E75A464" w14:textId="636A9562">
      <w:pPr>
        <w:spacing w:line="360" w:lineRule="auto"/>
        <w:contextualSpacing/>
        <w:jc w:val="both"/>
        <w:rPr>
          <w:rFonts w:ascii="Palatino Linotype" w:hAnsi="Palatino Linotype" w:eastAsia="Calibri" w:cs="Tahoma"/>
          <w:bCs/>
          <w:iCs/>
          <w:sz w:val="22"/>
          <w:szCs w:val="22"/>
          <w:lang w:val="es-ES"/>
        </w:rPr>
      </w:pPr>
      <w:r w:rsidRPr="00E40E68">
        <w:rPr>
          <w:rFonts w:ascii="Palatino Linotype" w:hAnsi="Palatino Linotype" w:eastAsia="Calibri" w:cs="Tahoma"/>
          <w:bCs/>
          <w:iCs/>
          <w:sz w:val="22"/>
          <w:szCs w:val="22"/>
          <w:lang w:val="es-ES"/>
        </w:rPr>
        <w:t>En ese sentido, de conformidad con lo previsto en el artículo 222, fracción V, de dicho ordenamiento, son causas de responsabilidad administrativa,</w:t>
      </w:r>
      <w:r w:rsidRPr="00E40E68">
        <w:rPr>
          <w:rFonts w:ascii="Palatino Linotype" w:hAnsi="Palatino Linotype" w:eastAsia="Calibri" w:cs="Tahoma"/>
          <w:bCs/>
          <w:iCs/>
          <w:sz w:val="22"/>
          <w:szCs w:val="22"/>
        </w:rPr>
        <w:t xml:space="preserve"> entregar información clasificada como confidencial. </w:t>
      </w:r>
    </w:p>
    <w:p w:rsidRPr="00E40E68" w:rsidR="00414AA4" w:rsidP="00414AA4" w:rsidRDefault="00414AA4" w14:paraId="423069A5" w14:textId="77777777">
      <w:pPr>
        <w:autoSpaceDE w:val="0"/>
        <w:autoSpaceDN w:val="0"/>
        <w:adjustRightInd w:val="0"/>
        <w:spacing w:line="360" w:lineRule="auto"/>
        <w:contextualSpacing/>
        <w:jc w:val="both"/>
        <w:rPr>
          <w:rFonts w:ascii="Palatino Linotype" w:hAnsi="Palatino Linotype" w:eastAsia="Calibri" w:cs="Tahoma"/>
          <w:bCs/>
          <w:iCs/>
          <w:sz w:val="22"/>
          <w:szCs w:val="22"/>
          <w:lang w:val="es-ES"/>
        </w:rPr>
      </w:pPr>
      <w:r w:rsidRPr="00E40E68">
        <w:rPr>
          <w:rFonts w:ascii="Palatino Linotype" w:hAnsi="Palatino Linotype" w:eastAsia="Calibri" w:cs="Tahoma"/>
          <w:bCs/>
          <w:iCs/>
          <w:sz w:val="22"/>
          <w:szCs w:val="22"/>
          <w:lang w:val="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C938B6" w:rsidR="00414AA4" w:rsidP="005B031E" w:rsidRDefault="00414AA4" w14:paraId="2F428446" w14:textId="77777777">
      <w:pPr>
        <w:spacing w:line="360" w:lineRule="auto"/>
        <w:jc w:val="both"/>
        <w:rPr>
          <w:rFonts w:ascii="Palatino Linotype" w:hAnsi="Palatino Linotype" w:eastAsia="Calibri" w:cs="Tahoma"/>
          <w:bCs/>
          <w:iCs/>
          <w:sz w:val="22"/>
          <w:szCs w:val="22"/>
          <w:lang w:val="es-ES" w:eastAsia="en-US"/>
        </w:rPr>
      </w:pPr>
    </w:p>
    <w:p w:rsidRPr="00C938B6" w:rsidR="00801872" w:rsidP="005B031E" w:rsidRDefault="00801872" w14:paraId="7818318C"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r w:rsidRPr="00C938B6">
        <w:rPr>
          <w:rFonts w:ascii="Palatino Linotype" w:hAnsi="Palatino Linotype" w:eastAsia="Calibri" w:cs="Tahoma"/>
          <w:bCs/>
          <w:iCs/>
          <w:sz w:val="22"/>
          <w:szCs w:val="22"/>
          <w:lang w:eastAsia="en-US"/>
        </w:rPr>
        <w:t>Por lo expuesto y fundado, este Pleno:</w:t>
      </w:r>
    </w:p>
    <w:p w:rsidRPr="00C938B6" w:rsidR="00801872" w:rsidP="005B031E" w:rsidRDefault="00801872" w14:paraId="5331D0C1"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p>
    <w:p w:rsidR="00744C4C" w:rsidP="005B031E" w:rsidRDefault="00801872" w14:paraId="21497BEA" w14:textId="3EB8BFD4">
      <w:pPr>
        <w:spacing w:line="360" w:lineRule="auto"/>
        <w:ind w:right="-28"/>
        <w:jc w:val="center"/>
        <w:rPr>
          <w:rFonts w:ascii="Palatino Linotype" w:hAnsi="Palatino Linotype" w:eastAsia="Calibri" w:cs="Tahoma"/>
          <w:b/>
          <w:bCs/>
          <w:sz w:val="22"/>
          <w:szCs w:val="22"/>
        </w:rPr>
      </w:pPr>
      <w:r w:rsidRPr="00C938B6">
        <w:rPr>
          <w:rFonts w:ascii="Palatino Linotype" w:hAnsi="Palatino Linotype" w:eastAsia="Calibri" w:cs="Tahoma"/>
          <w:b/>
          <w:bCs/>
          <w:sz w:val="22"/>
          <w:szCs w:val="22"/>
        </w:rPr>
        <w:t>R E S U E L V E:</w:t>
      </w:r>
    </w:p>
    <w:p w:rsidRPr="005B031E" w:rsidR="005B031E" w:rsidP="005B031E" w:rsidRDefault="005B031E" w14:paraId="50A40932" w14:textId="77777777">
      <w:pPr>
        <w:spacing w:line="360" w:lineRule="auto"/>
        <w:ind w:right="-28"/>
        <w:jc w:val="center"/>
        <w:rPr>
          <w:rFonts w:ascii="Palatino Linotype" w:hAnsi="Palatino Linotype" w:eastAsia="Calibri" w:cs="Tahoma"/>
          <w:b/>
          <w:bCs/>
          <w:sz w:val="22"/>
          <w:szCs w:val="22"/>
        </w:rPr>
      </w:pPr>
    </w:p>
    <w:p w:rsidR="00801872" w:rsidP="005B031E" w:rsidRDefault="00801872" w14:paraId="6C7D6552" w14:textId="06EF76A9">
      <w:pPr>
        <w:spacing w:line="360" w:lineRule="auto"/>
        <w:ind w:right="-28"/>
        <w:jc w:val="both"/>
        <w:rPr>
          <w:rFonts w:ascii="Palatino Linotype" w:hAnsi="Palatino Linotype"/>
          <w:sz w:val="22"/>
          <w:szCs w:val="22"/>
        </w:rPr>
      </w:pPr>
      <w:r w:rsidRPr="00C938B6">
        <w:rPr>
          <w:rFonts w:ascii="Palatino Linotype" w:hAnsi="Palatino Linotype" w:cs="Tahoma"/>
          <w:b/>
          <w:bCs/>
          <w:sz w:val="22"/>
          <w:szCs w:val="22"/>
        </w:rPr>
        <w:lastRenderedPageBreak/>
        <w:t xml:space="preserve">PRIMERO. </w:t>
      </w:r>
      <w:r w:rsidRPr="00C938B6">
        <w:rPr>
          <w:rFonts w:ascii="Palatino Linotype" w:hAnsi="Palatino Linotype" w:cs="Tahoma"/>
          <w:bCs/>
          <w:sz w:val="22"/>
          <w:szCs w:val="22"/>
        </w:rPr>
        <w:t xml:space="preserve">Se </w:t>
      </w:r>
      <w:r w:rsidRPr="00C938B6">
        <w:rPr>
          <w:rFonts w:ascii="Palatino Linotype" w:hAnsi="Palatino Linotype" w:cs="Tahoma"/>
          <w:b/>
          <w:bCs/>
          <w:sz w:val="22"/>
          <w:szCs w:val="22"/>
        </w:rPr>
        <w:t>MODIFICA</w:t>
      </w:r>
      <w:r w:rsidRPr="00C938B6">
        <w:rPr>
          <w:rFonts w:ascii="Palatino Linotype" w:hAnsi="Palatino Linotype" w:cs="Tahoma"/>
          <w:bCs/>
          <w:sz w:val="22"/>
          <w:szCs w:val="22"/>
        </w:rPr>
        <w:t xml:space="preserve"> la respuesta entregada por el </w:t>
      </w:r>
      <w:r w:rsidR="00414AA4">
        <w:rPr>
          <w:rFonts w:ascii="Palatino Linotype" w:hAnsi="Palatino Linotype" w:cs="Tahoma"/>
          <w:bCs/>
          <w:iCs/>
          <w:color w:val="0D0D0D" w:themeColor="text1" w:themeTint="F2"/>
          <w:sz w:val="22"/>
          <w:szCs w:val="22"/>
          <w:lang w:val="es-ES_tradnl"/>
        </w:rPr>
        <w:t>Ayuntamiento de Texcoco</w:t>
      </w:r>
      <w:r w:rsidRPr="00C938B6" w:rsidR="00C91429">
        <w:rPr>
          <w:rFonts w:ascii="Palatino Linotype" w:hAnsi="Palatino Linotype" w:cs="Tahoma"/>
          <w:bCs/>
          <w:color w:val="0D0D0D" w:themeColor="text1" w:themeTint="F2"/>
          <w:sz w:val="22"/>
          <w:szCs w:val="22"/>
        </w:rPr>
        <w:t xml:space="preserve"> </w:t>
      </w:r>
      <w:r w:rsidRPr="00C938B6">
        <w:rPr>
          <w:rFonts w:ascii="Palatino Linotype" w:hAnsi="Palatino Linotype" w:cs="Tahoma"/>
          <w:bCs/>
          <w:sz w:val="22"/>
          <w:szCs w:val="22"/>
        </w:rPr>
        <w:t>a la solicitud de información</w:t>
      </w:r>
      <w:r w:rsidR="00414AA4">
        <w:rPr>
          <w:rFonts w:ascii="Palatino Linotype" w:hAnsi="Palatino Linotype" w:eastAsia="Calibri" w:cs="Tahoma"/>
          <w:color w:val="000000"/>
          <w:sz w:val="22"/>
          <w:szCs w:val="22"/>
        </w:rPr>
        <w:t xml:space="preserve"> 00272</w:t>
      </w:r>
      <w:r w:rsidRPr="00C938B6">
        <w:rPr>
          <w:rFonts w:ascii="Palatino Linotype" w:hAnsi="Palatino Linotype" w:eastAsia="Calibri" w:cs="Tahoma"/>
          <w:color w:val="000000"/>
          <w:sz w:val="22"/>
          <w:szCs w:val="22"/>
        </w:rPr>
        <w:t>/</w:t>
      </w:r>
      <w:r w:rsidR="00414AA4">
        <w:rPr>
          <w:rFonts w:ascii="Palatino Linotype" w:hAnsi="Palatino Linotype" w:eastAsia="Calibri" w:cs="Tahoma"/>
          <w:color w:val="000000"/>
          <w:sz w:val="22"/>
          <w:szCs w:val="22"/>
        </w:rPr>
        <w:t>TEXCOCO</w:t>
      </w:r>
      <w:r w:rsidRPr="00C938B6">
        <w:rPr>
          <w:rFonts w:ascii="Palatino Linotype" w:hAnsi="Palatino Linotype" w:eastAsia="Calibri" w:cs="Tahoma"/>
          <w:color w:val="000000"/>
          <w:sz w:val="22"/>
          <w:szCs w:val="22"/>
        </w:rPr>
        <w:t>/IP/2021</w:t>
      </w:r>
      <w:r w:rsidRPr="00C938B6">
        <w:rPr>
          <w:rFonts w:ascii="Palatino Linotype" w:hAnsi="Palatino Linotype" w:eastAsia="Calibri" w:cs="Tahoma"/>
          <w:b/>
          <w:bCs/>
          <w:color w:val="000000"/>
          <w:sz w:val="22"/>
          <w:szCs w:val="22"/>
        </w:rPr>
        <w:t xml:space="preserve"> </w:t>
      </w:r>
      <w:r w:rsidRPr="00C938B6">
        <w:rPr>
          <w:rFonts w:ascii="Palatino Linotype" w:hAnsi="Palatino Linotype"/>
          <w:sz w:val="22"/>
          <w:szCs w:val="22"/>
        </w:rPr>
        <w:t>por resultar</w:t>
      </w:r>
      <w:r w:rsidR="00414AA4">
        <w:rPr>
          <w:rFonts w:ascii="Palatino Linotype" w:hAnsi="Palatino Linotype"/>
          <w:sz w:val="22"/>
          <w:szCs w:val="22"/>
        </w:rPr>
        <w:t xml:space="preserve"> </w:t>
      </w:r>
      <w:r w:rsidRPr="00C938B6">
        <w:rPr>
          <w:rFonts w:ascii="Palatino Linotype" w:hAnsi="Palatino Linotype"/>
          <w:b/>
          <w:bCs/>
          <w:sz w:val="22"/>
          <w:szCs w:val="22"/>
        </w:rPr>
        <w:t xml:space="preserve">FUNDADOS </w:t>
      </w:r>
      <w:r w:rsidRPr="00C938B6">
        <w:rPr>
          <w:rFonts w:ascii="Palatino Linotype" w:hAnsi="Palatino Linotype"/>
          <w:sz w:val="22"/>
          <w:szCs w:val="22"/>
        </w:rPr>
        <w:t>los motivos de inconformidad vertidos por el Recurrente, en términos de los Considerandos</w:t>
      </w:r>
      <w:r w:rsidRPr="00C938B6">
        <w:rPr>
          <w:rFonts w:ascii="Palatino Linotype" w:hAnsi="Palatino Linotype"/>
          <w:b/>
          <w:bCs/>
          <w:sz w:val="22"/>
          <w:szCs w:val="22"/>
        </w:rPr>
        <w:t xml:space="preserve"> QUINTO </w:t>
      </w:r>
      <w:r w:rsidRPr="00C938B6">
        <w:rPr>
          <w:rFonts w:ascii="Palatino Linotype" w:hAnsi="Palatino Linotype"/>
          <w:sz w:val="22"/>
          <w:szCs w:val="22"/>
        </w:rPr>
        <w:t>y</w:t>
      </w:r>
      <w:r w:rsidRPr="00C938B6">
        <w:rPr>
          <w:rFonts w:ascii="Palatino Linotype" w:hAnsi="Palatino Linotype"/>
          <w:b/>
          <w:bCs/>
          <w:sz w:val="22"/>
          <w:szCs w:val="22"/>
        </w:rPr>
        <w:t xml:space="preserve"> SEXTO </w:t>
      </w:r>
      <w:r w:rsidRPr="00C938B6">
        <w:rPr>
          <w:rFonts w:ascii="Palatino Linotype" w:hAnsi="Palatino Linotype"/>
          <w:sz w:val="22"/>
          <w:szCs w:val="22"/>
        </w:rPr>
        <w:t xml:space="preserve">de la presente Resolución. </w:t>
      </w:r>
    </w:p>
    <w:p w:rsidRPr="00C938B6" w:rsidR="00801872" w:rsidP="005B031E" w:rsidRDefault="00801872" w14:paraId="21A4FAD8" w14:textId="77777777">
      <w:pPr>
        <w:spacing w:line="360" w:lineRule="auto"/>
        <w:ind w:right="-28"/>
        <w:rPr>
          <w:rFonts w:ascii="Palatino Linotype" w:hAnsi="Palatino Linotype" w:eastAsia="Calibri" w:cs="Tahoma"/>
          <w:sz w:val="22"/>
          <w:szCs w:val="22"/>
        </w:rPr>
      </w:pPr>
    </w:p>
    <w:p w:rsidRPr="00414AA4" w:rsidR="00801872" w:rsidP="005B031E" w:rsidRDefault="00801872" w14:paraId="5137F447" w14:textId="075E52FA">
      <w:pPr>
        <w:tabs>
          <w:tab w:val="left" w:pos="4962"/>
        </w:tabs>
        <w:spacing w:line="360" w:lineRule="auto"/>
        <w:jc w:val="both"/>
        <w:rPr>
          <w:rFonts w:ascii="Palatino Linotype" w:hAnsi="Palatino Linotype" w:cs="Tahoma"/>
          <w:bCs/>
          <w:iCs/>
          <w:sz w:val="22"/>
          <w:szCs w:val="22"/>
          <w:lang w:val="es-ES_tradnl"/>
        </w:rPr>
      </w:pPr>
      <w:r w:rsidRPr="00C938B6">
        <w:rPr>
          <w:rFonts w:ascii="Palatino Linotype" w:hAnsi="Palatino Linotype" w:eastAsia="Calibri" w:cs="Tahoma"/>
          <w:b/>
          <w:bCs/>
          <w:sz w:val="22"/>
          <w:szCs w:val="22"/>
        </w:rPr>
        <w:t xml:space="preserve">SEGUNDO. </w:t>
      </w:r>
      <w:r w:rsidRPr="00C938B6">
        <w:rPr>
          <w:rFonts w:ascii="Palatino Linotype" w:hAnsi="Palatino Linotype" w:cs="Arial"/>
          <w:sz w:val="22"/>
          <w:szCs w:val="24"/>
          <w:lang w:val="es-ES_tradnl"/>
        </w:rPr>
        <w:t>S</w:t>
      </w:r>
      <w:r w:rsidRPr="00C938B6">
        <w:rPr>
          <w:rFonts w:ascii="Palatino Linotype" w:hAnsi="Palatino Linotype" w:cs="Tahoma"/>
          <w:bCs/>
          <w:iCs/>
          <w:sz w:val="22"/>
          <w:szCs w:val="22"/>
          <w:lang w:val="es-ES_tradnl"/>
        </w:rPr>
        <w:t xml:space="preserve">e </w:t>
      </w:r>
      <w:r w:rsidRPr="00C938B6">
        <w:rPr>
          <w:rFonts w:ascii="Palatino Linotype" w:hAnsi="Palatino Linotype" w:cs="Tahoma"/>
          <w:b/>
          <w:bCs/>
          <w:iCs/>
          <w:caps/>
          <w:sz w:val="22"/>
          <w:szCs w:val="22"/>
          <w:lang w:val="es-ES_tradnl"/>
        </w:rPr>
        <w:t>ordena</w:t>
      </w:r>
      <w:r w:rsidR="00414AA4">
        <w:rPr>
          <w:rFonts w:ascii="Palatino Linotype" w:hAnsi="Palatino Linotype" w:cs="Tahoma"/>
          <w:bCs/>
          <w:iCs/>
          <w:sz w:val="22"/>
          <w:szCs w:val="22"/>
          <w:lang w:val="es-ES_tradnl"/>
        </w:rPr>
        <w:t xml:space="preserve"> al Ayuntamiento de Texcoco</w:t>
      </w:r>
      <w:r w:rsidRPr="00C938B6">
        <w:rPr>
          <w:rFonts w:ascii="Palatino Linotype" w:hAnsi="Palatino Linotype" w:cs="Tahoma"/>
          <w:bCs/>
          <w:iCs/>
          <w:sz w:val="22"/>
          <w:szCs w:val="22"/>
          <w:lang w:val="es-ES_tradnl"/>
        </w:rPr>
        <w:t>,</w:t>
      </w:r>
      <w:r w:rsidRPr="00C938B6">
        <w:rPr>
          <w:rFonts w:ascii="Palatino Linotype" w:hAnsi="Palatino Linotype" w:cs="Tahoma"/>
          <w:bCs/>
          <w:sz w:val="22"/>
          <w:szCs w:val="22"/>
          <w:lang w:val="es-ES_tradnl"/>
        </w:rPr>
        <w:t xml:space="preserve"> </w:t>
      </w:r>
      <w:r w:rsidR="00414AA4">
        <w:rPr>
          <w:rFonts w:ascii="Palatino Linotype" w:hAnsi="Palatino Linotype" w:cs="Tahoma"/>
          <w:bCs/>
          <w:sz w:val="22"/>
          <w:szCs w:val="22"/>
        </w:rPr>
        <w:t xml:space="preserve">a efecto de que </w:t>
      </w:r>
      <w:r w:rsidR="00414AA4">
        <w:rPr>
          <w:rFonts w:ascii="Palatino Linotype" w:hAnsi="Palatino Linotype" w:cs="Tahoma"/>
          <w:sz w:val="22"/>
          <w:szCs w:val="22"/>
        </w:rPr>
        <w:t>entregue en versión pública</w:t>
      </w:r>
      <w:r w:rsidRPr="00C938B6">
        <w:rPr>
          <w:rFonts w:ascii="Palatino Linotype" w:hAnsi="Palatino Linotype" w:cs="Tahoma"/>
          <w:sz w:val="22"/>
          <w:szCs w:val="22"/>
        </w:rPr>
        <w:t xml:space="preserve"> a través del Sistema de Acceso a la Información Mexiquense</w:t>
      </w:r>
      <w:r w:rsidRPr="00C938B6" w:rsidR="00BE73E6">
        <w:rPr>
          <w:rFonts w:ascii="Palatino Linotype" w:hAnsi="Palatino Linotype" w:cs="Tahoma"/>
          <w:sz w:val="22"/>
          <w:szCs w:val="22"/>
        </w:rPr>
        <w:t xml:space="preserve"> (SAIMEX)</w:t>
      </w:r>
      <w:r w:rsidR="00414AA4">
        <w:rPr>
          <w:rFonts w:ascii="Palatino Linotype" w:hAnsi="Palatino Linotype" w:cs="Tahoma"/>
          <w:sz w:val="22"/>
          <w:szCs w:val="22"/>
        </w:rPr>
        <w:t xml:space="preserve"> </w:t>
      </w:r>
      <w:r w:rsidRPr="00C938B6">
        <w:rPr>
          <w:rFonts w:ascii="Palatino Linotype" w:hAnsi="Palatino Linotype" w:eastAsia="Calibri" w:cs="Tahoma"/>
          <w:iCs/>
          <w:sz w:val="22"/>
          <w:szCs w:val="24"/>
          <w:lang w:eastAsia="es-ES_tradnl"/>
        </w:rPr>
        <w:t xml:space="preserve">lo siguiente: </w:t>
      </w:r>
    </w:p>
    <w:p w:rsidRPr="00C938B6" w:rsidR="00801872" w:rsidP="005B031E" w:rsidRDefault="00801872" w14:paraId="6AA33064" w14:textId="77777777">
      <w:pPr>
        <w:tabs>
          <w:tab w:val="left" w:pos="4962"/>
        </w:tabs>
        <w:spacing w:line="360" w:lineRule="auto"/>
        <w:jc w:val="both"/>
        <w:rPr>
          <w:rFonts w:ascii="Palatino Linotype" w:hAnsi="Palatino Linotype" w:eastAsia="Calibri" w:cs="Tahoma"/>
          <w:iCs/>
          <w:sz w:val="22"/>
          <w:szCs w:val="24"/>
          <w:lang w:eastAsia="es-ES_tradnl"/>
        </w:rPr>
      </w:pPr>
    </w:p>
    <w:p w:rsidRPr="00F2173B" w:rsidR="00801872" w:rsidP="005B031E" w:rsidRDefault="00414AA4" w14:paraId="1DCC0B88" w14:textId="13D322FF">
      <w:pPr>
        <w:pStyle w:val="Prrafodelista"/>
        <w:numPr>
          <w:ilvl w:val="0"/>
          <w:numId w:val="25"/>
        </w:numPr>
        <w:spacing w:line="360" w:lineRule="auto"/>
        <w:ind w:left="851" w:right="539"/>
        <w:jc w:val="both"/>
        <w:rPr>
          <w:rFonts w:ascii="Palatino Linotype" w:hAnsi="Palatino Linotype" w:eastAsia="Calibri" w:cs="Tahoma"/>
          <w:iCs/>
          <w:lang w:eastAsia="es-ES_tradnl"/>
        </w:rPr>
      </w:pPr>
      <w:r>
        <w:rPr>
          <w:rFonts w:ascii="Palatino Linotype" w:hAnsi="Palatino Linotype" w:eastAsia="Calibri" w:cs="Tahoma"/>
          <w:iCs/>
          <w:lang w:eastAsia="es-ES_tradnl"/>
        </w:rPr>
        <w:t xml:space="preserve">Recibos de pago </w:t>
      </w:r>
      <w:r w:rsidR="00065B2F">
        <w:rPr>
          <w:rFonts w:ascii="Palatino Linotype" w:hAnsi="Palatino Linotype" w:eastAsia="Calibri" w:cs="Tahoma"/>
          <w:iCs/>
          <w:lang w:eastAsia="es-ES_tradnl"/>
        </w:rPr>
        <w:t xml:space="preserve">entregados en respuesta. </w:t>
      </w:r>
      <w:r w:rsidR="00AA68C9">
        <w:rPr>
          <w:rFonts w:ascii="Palatino Linotype" w:hAnsi="Palatino Linotype" w:eastAsia="Calibri" w:cs="Tahoma"/>
          <w:color w:val="000000"/>
          <w:szCs w:val="22"/>
        </w:rPr>
        <w:t xml:space="preserve"> </w:t>
      </w:r>
      <w:r w:rsidR="00F2173B">
        <w:rPr>
          <w:rFonts w:ascii="Palatino Linotype" w:hAnsi="Palatino Linotype" w:eastAsia="Calibri" w:cs="Tahoma"/>
          <w:color w:val="000000"/>
          <w:szCs w:val="22"/>
        </w:rPr>
        <w:t xml:space="preserve"> </w:t>
      </w:r>
    </w:p>
    <w:p w:rsidRPr="00F2173B" w:rsidR="00F2173B" w:rsidP="00F2173B" w:rsidRDefault="00F2173B" w14:paraId="6A5EA514" w14:textId="77777777">
      <w:pPr>
        <w:pStyle w:val="Prrafodelista"/>
        <w:spacing w:line="360" w:lineRule="auto"/>
        <w:ind w:left="851" w:right="539"/>
        <w:jc w:val="both"/>
        <w:rPr>
          <w:rFonts w:ascii="Palatino Linotype" w:hAnsi="Palatino Linotype" w:eastAsia="Calibri" w:cs="Tahoma"/>
          <w:iCs/>
          <w:lang w:eastAsia="es-ES_tradnl"/>
        </w:rPr>
      </w:pPr>
    </w:p>
    <w:p w:rsidRPr="00C938B6" w:rsidR="00801872" w:rsidP="005B031E" w:rsidRDefault="00801872" w14:paraId="37E32BB6" w14:textId="77777777">
      <w:pPr>
        <w:spacing w:line="360" w:lineRule="auto"/>
        <w:jc w:val="both"/>
        <w:rPr>
          <w:rFonts w:ascii="Palatino Linotype" w:hAnsi="Palatino Linotype" w:cs="Tahoma"/>
          <w:sz w:val="22"/>
          <w:szCs w:val="22"/>
        </w:rPr>
      </w:pPr>
      <w:r w:rsidRPr="00C938B6">
        <w:rPr>
          <w:rFonts w:ascii="Palatino Linotype" w:hAnsi="Palatino Linotype" w:cs="Tahoma"/>
          <w:sz w:val="22"/>
          <w:szCs w:val="22"/>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C938B6" w:rsidR="00801872" w:rsidP="005B031E" w:rsidRDefault="00801872" w14:paraId="2110ADA6" w14:textId="77777777">
      <w:pPr>
        <w:spacing w:line="360" w:lineRule="auto"/>
        <w:ind w:right="-93"/>
        <w:rPr>
          <w:rFonts w:ascii="Palatino Linotype" w:hAnsi="Palatino Linotype"/>
          <w:sz w:val="22"/>
          <w:szCs w:val="22"/>
        </w:rPr>
      </w:pPr>
    </w:p>
    <w:p w:rsidR="00744C4C" w:rsidP="005B031E" w:rsidRDefault="00801872" w14:paraId="1B238C96" w14:textId="23425979">
      <w:pPr>
        <w:spacing w:line="360" w:lineRule="auto"/>
        <w:jc w:val="both"/>
        <w:rPr>
          <w:rFonts w:ascii="Palatino Linotype" w:hAnsi="Palatino Linotype" w:cs="Tahoma"/>
          <w:sz w:val="22"/>
          <w:szCs w:val="22"/>
        </w:rPr>
      </w:pPr>
      <w:r w:rsidRPr="00C938B6">
        <w:rPr>
          <w:rFonts w:ascii="Palatino Linotype" w:hAnsi="Palatino Linotype" w:eastAsia="Calibri" w:cs="Tahoma"/>
          <w:b/>
          <w:bCs/>
          <w:sz w:val="22"/>
          <w:szCs w:val="22"/>
        </w:rPr>
        <w:t xml:space="preserve">TERCERO. </w:t>
      </w:r>
      <w:r w:rsidRPr="00C938B6">
        <w:rPr>
          <w:rFonts w:ascii="Palatino Linotype" w:hAnsi="Palatino Linotype" w:cs="Tahoma"/>
          <w:b/>
          <w:sz w:val="22"/>
          <w:szCs w:val="22"/>
        </w:rPr>
        <w:t xml:space="preserve">NOTIFÍQUESE </w:t>
      </w:r>
      <w:r w:rsidRPr="00C938B6">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5B031E" w:rsidR="005B031E" w:rsidP="005B031E" w:rsidRDefault="005B031E" w14:paraId="436F379F" w14:textId="77777777">
      <w:pPr>
        <w:spacing w:line="360" w:lineRule="auto"/>
        <w:jc w:val="both"/>
        <w:rPr>
          <w:rFonts w:ascii="Palatino Linotype" w:hAnsi="Palatino Linotype" w:cs="Tahoma"/>
          <w:sz w:val="22"/>
          <w:szCs w:val="22"/>
        </w:rPr>
      </w:pPr>
    </w:p>
    <w:p w:rsidRPr="00C938B6" w:rsidR="00C730BB" w:rsidP="005B031E" w:rsidRDefault="00C730BB" w14:paraId="2BB7CF80" w14:textId="77777777">
      <w:pPr>
        <w:spacing w:line="360" w:lineRule="auto"/>
        <w:ind w:right="-93"/>
        <w:jc w:val="both"/>
        <w:rPr>
          <w:rFonts w:ascii="Palatino Linotype" w:hAnsi="Palatino Linotype" w:cs="Tahoma"/>
          <w:iCs/>
          <w:sz w:val="24"/>
          <w:szCs w:val="24"/>
        </w:rPr>
      </w:pPr>
      <w:bookmarkStart w:name="_Hlk61509110" w:id="0"/>
      <w:r w:rsidRPr="00C938B6">
        <w:rPr>
          <w:rFonts w:ascii="Palatino Linotype" w:hAnsi="Palatino Linotype" w:cs="Tahoma"/>
          <w:iCs/>
          <w:sz w:val="22"/>
          <w:szCs w:val="22"/>
        </w:rPr>
        <w:t xml:space="preserve">De conformidad con el artículo 198 de la Ley de Transparencia y Acceso a la Información Pública del Estado de México y Municipios, de considerarlo procedente, el Sujeto Obligado de </w:t>
      </w:r>
      <w:r w:rsidRPr="00C938B6">
        <w:rPr>
          <w:rFonts w:ascii="Palatino Linotype" w:hAnsi="Palatino Linotype" w:cs="Tahoma"/>
          <w:iCs/>
          <w:sz w:val="22"/>
          <w:szCs w:val="22"/>
        </w:rPr>
        <w:lastRenderedPageBreak/>
        <w:t xml:space="preserve">manera fundada y motivada, </w:t>
      </w:r>
      <w:r w:rsidRPr="00F2173B">
        <w:rPr>
          <w:rFonts w:ascii="Palatino Linotype" w:hAnsi="Palatino Linotype" w:cs="Tahoma"/>
          <w:b/>
          <w:iCs/>
          <w:sz w:val="22"/>
          <w:szCs w:val="22"/>
        </w:rPr>
        <w:t>podrá solicitar una ampliación de plazo para el cumplimiento de la presente Resolución</w:t>
      </w:r>
      <w:r w:rsidRPr="00F2173B">
        <w:rPr>
          <w:rFonts w:ascii="Palatino Linotype" w:hAnsi="Palatino Linotype" w:cs="Tahoma"/>
          <w:b/>
          <w:iCs/>
          <w:sz w:val="24"/>
          <w:szCs w:val="24"/>
        </w:rPr>
        <w:t>.</w:t>
      </w:r>
      <w:bookmarkEnd w:id="0"/>
    </w:p>
    <w:p w:rsidRPr="00C938B6" w:rsidR="006B6131" w:rsidP="005B031E" w:rsidRDefault="006B6131" w14:paraId="68FADDB7" w14:textId="77777777">
      <w:pPr>
        <w:spacing w:line="360" w:lineRule="auto"/>
        <w:ind w:right="-93"/>
        <w:jc w:val="both"/>
        <w:rPr>
          <w:rFonts w:ascii="Palatino Linotype" w:hAnsi="Palatino Linotype" w:cs="Tahoma"/>
          <w:sz w:val="24"/>
          <w:szCs w:val="24"/>
        </w:rPr>
      </w:pPr>
    </w:p>
    <w:p w:rsidR="00801872" w:rsidP="005B031E" w:rsidRDefault="00801872" w14:paraId="76C2FF8B" w14:textId="77777777">
      <w:pPr>
        <w:spacing w:line="360" w:lineRule="auto"/>
        <w:ind w:right="-93"/>
        <w:jc w:val="both"/>
        <w:rPr>
          <w:rFonts w:ascii="Palatino Linotype" w:hAnsi="Palatino Linotype" w:cs="Tahoma"/>
          <w:sz w:val="22"/>
          <w:szCs w:val="22"/>
        </w:rPr>
      </w:pPr>
      <w:r w:rsidRPr="00C938B6">
        <w:rPr>
          <w:rFonts w:ascii="Palatino Linotype" w:hAnsi="Palatino Linotype" w:eastAsia="Calibri" w:cs="Tahoma"/>
          <w:b/>
          <w:sz w:val="22"/>
          <w:szCs w:val="22"/>
          <w:lang w:eastAsia="es-MX"/>
        </w:rPr>
        <w:t>CUARTO</w:t>
      </w:r>
      <w:r w:rsidRPr="00C938B6">
        <w:rPr>
          <w:rFonts w:ascii="Palatino Linotype" w:hAnsi="Palatino Linotype" w:eastAsia="Calibri" w:cs="Tahoma"/>
          <w:b/>
          <w:bCs/>
          <w:sz w:val="22"/>
          <w:szCs w:val="22"/>
        </w:rPr>
        <w:t>.</w:t>
      </w:r>
      <w:r w:rsidRPr="00C938B6">
        <w:rPr>
          <w:rFonts w:ascii="Palatino Linotype" w:hAnsi="Palatino Linotype" w:eastAsia="Calibri" w:cs="Tahoma"/>
          <w:sz w:val="22"/>
          <w:szCs w:val="22"/>
          <w:lang w:eastAsia="es-MX"/>
        </w:rPr>
        <w:t xml:space="preserve"> </w:t>
      </w:r>
      <w:r w:rsidRPr="00C938B6">
        <w:rPr>
          <w:rFonts w:ascii="Palatino Linotype" w:hAnsi="Palatino Linotype" w:cs="Tahoma"/>
          <w:b/>
          <w:sz w:val="22"/>
          <w:szCs w:val="22"/>
        </w:rPr>
        <w:t>NOTIFÍQUESE</w:t>
      </w:r>
      <w:r w:rsidRPr="00C938B6">
        <w:rPr>
          <w:rFonts w:ascii="Palatino Linotype" w:hAnsi="Palatino Linotype" w:cs="Tahoma"/>
          <w:sz w:val="22"/>
          <w:szCs w:val="22"/>
        </w:rPr>
        <w:t xml:space="preserve"> a la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F2173B" w:rsidP="005B031E" w:rsidRDefault="00F2173B" w14:paraId="3407FEBF" w14:textId="77777777">
      <w:pPr>
        <w:spacing w:line="360" w:lineRule="auto"/>
        <w:ind w:right="-93"/>
        <w:jc w:val="both"/>
        <w:rPr>
          <w:rFonts w:ascii="Palatino Linotype" w:hAnsi="Palatino Linotype" w:cs="Tahoma"/>
          <w:sz w:val="22"/>
          <w:szCs w:val="22"/>
        </w:rPr>
      </w:pPr>
    </w:p>
    <w:p w:rsidR="00801872" w:rsidP="002A010F" w:rsidRDefault="00F2173B" w14:paraId="31D2717B" w14:textId="483CF0D8">
      <w:pPr>
        <w:spacing w:line="360" w:lineRule="auto"/>
        <w:jc w:val="both"/>
        <w:rPr>
          <w:rFonts w:ascii="Palatino Linotype" w:hAnsi="Palatino Linotype" w:eastAsia="Calibri" w:cs="Tahoma"/>
          <w:bCs/>
          <w:sz w:val="22"/>
          <w:szCs w:val="22"/>
          <w:lang w:val="es-ES_tradnl" w:eastAsia="en-US"/>
        </w:rPr>
      </w:pPr>
      <w:r w:rsidRPr="00EC0E1A">
        <w:rPr>
          <w:rFonts w:ascii="Palatino Linotype" w:hAnsi="Palatino Linotype" w:eastAsia="Calibri" w:cs="Tahoma"/>
          <w:b/>
          <w:bCs/>
          <w:iCs/>
          <w:sz w:val="22"/>
          <w:szCs w:val="22"/>
          <w:lang w:val="es-ES" w:eastAsia="es-ES_tradnl"/>
        </w:rPr>
        <w:t>QUINTO.</w:t>
      </w:r>
      <w:r w:rsidRPr="00EC0E1A">
        <w:rPr>
          <w:rFonts w:ascii="Palatino Linotype" w:hAnsi="Palatino Linotype" w:eastAsia="Calibri" w:cs="Tahoma"/>
          <w:bCs/>
          <w:iCs/>
          <w:sz w:val="22"/>
          <w:szCs w:val="22"/>
          <w:lang w:val="es-ES" w:eastAsia="es-ES_tradnl"/>
        </w:rPr>
        <w:t xml:space="preserve"> </w:t>
      </w:r>
      <w:r w:rsidRPr="00EC0E1A">
        <w:rPr>
          <w:rFonts w:ascii="Palatino Linotype" w:hAnsi="Palatino Linotype" w:eastAsia="Calibri" w:cs="Tahoma"/>
          <w:bCs/>
          <w:sz w:val="22"/>
          <w:szCs w:val="22"/>
          <w:lang w:val="es-ES_tradnl" w:eastAsia="en-US"/>
        </w:rPr>
        <w:t xml:space="preserve">Con fundamento en lo dispuesto en los artículos 190 de la </w:t>
      </w:r>
      <w:r w:rsidRPr="00EC0E1A">
        <w:rPr>
          <w:rFonts w:ascii="Palatino Linotype" w:hAnsi="Palatino Linotype" w:eastAsia="Calibri" w:cs="Tahoma"/>
          <w:bCs/>
          <w:sz w:val="22"/>
          <w:szCs w:val="22"/>
          <w:lang w:eastAsia="en-US"/>
        </w:rPr>
        <w:t xml:space="preserve">Ley de Transparencia y Acceso a la Información Pública del Estado de México y Municipios, gírese </w:t>
      </w:r>
      <w:r w:rsidRPr="00EC0E1A">
        <w:rPr>
          <w:rFonts w:ascii="Palatino Linotype" w:hAnsi="Palatino Linotype" w:eastAsia="Calibri"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Pr="00D24D27">
        <w:rPr>
          <w:rFonts w:ascii="Palatino Linotype" w:hAnsi="Palatino Linotype" w:eastAsia="Calibri" w:cs="Tahoma"/>
          <w:sz w:val="22"/>
          <w:szCs w:val="22"/>
          <w:lang w:val="es-ES_tradnl" w:eastAsia="en-US"/>
        </w:rPr>
        <w:t>SÉPTIMO</w:t>
      </w:r>
      <w:r w:rsidRPr="00EC0E1A">
        <w:rPr>
          <w:rFonts w:ascii="Palatino Linotype" w:hAnsi="Palatino Linotype" w:eastAsia="Calibri" w:cs="Tahoma"/>
          <w:b/>
          <w:bCs/>
          <w:sz w:val="22"/>
          <w:szCs w:val="22"/>
          <w:lang w:val="es-ES_tradnl" w:eastAsia="en-US"/>
        </w:rPr>
        <w:t xml:space="preserve"> </w:t>
      </w:r>
      <w:r w:rsidRPr="00EC0E1A">
        <w:rPr>
          <w:rFonts w:ascii="Palatino Linotype" w:hAnsi="Palatino Linotype" w:eastAsia="Calibri" w:cs="Tahoma"/>
          <w:bCs/>
          <w:sz w:val="22"/>
          <w:szCs w:val="22"/>
          <w:lang w:val="es-ES_tradnl" w:eastAsia="en-US"/>
        </w:rPr>
        <w:t>de la presente Resolución.</w:t>
      </w:r>
    </w:p>
    <w:p w:rsidRPr="002A010F" w:rsidR="001B04D6" w:rsidP="002A010F" w:rsidRDefault="001B04D6" w14:paraId="0AF1C2CC" w14:textId="77777777">
      <w:pPr>
        <w:spacing w:line="360" w:lineRule="auto"/>
        <w:jc w:val="both"/>
        <w:rPr>
          <w:rFonts w:ascii="Palatino Linotype" w:hAnsi="Palatino Linotype" w:eastAsia="Calibri" w:cs="Tahoma"/>
          <w:bCs/>
          <w:sz w:val="22"/>
          <w:szCs w:val="22"/>
          <w:lang w:val="es-ES_tradnl" w:eastAsia="en-US"/>
        </w:rPr>
      </w:pPr>
    </w:p>
    <w:p w:rsidRPr="00C938B6" w:rsidR="00801872" w:rsidP="005B031E" w:rsidRDefault="007E0711" w14:paraId="71584A6E" w14:textId="748A35A9">
      <w:pPr>
        <w:spacing w:line="360" w:lineRule="auto"/>
        <w:jc w:val="both"/>
        <w:rPr>
          <w:rFonts w:ascii="Palatino Linotype" w:hAnsi="Palatino Linotype" w:cs="Tahoma"/>
          <w:sz w:val="22"/>
          <w:szCs w:val="22"/>
          <w:lang w:eastAsia="es-MX"/>
        </w:rPr>
      </w:pPr>
      <w:r w:rsidRPr="00C938B6">
        <w:rPr>
          <w:rFonts w:ascii="Palatino Linotype" w:hAnsi="Palatino Linotype" w:cs="Tahoma"/>
          <w:sz w:val="22"/>
          <w:szCs w:val="22"/>
          <w:lang w:eastAsia="es-MX"/>
        </w:rPr>
        <w:t xml:space="preserve">ASÍ, POR </w:t>
      </w:r>
      <w:r w:rsidRPr="00C938B6">
        <w:rPr>
          <w:rFonts w:ascii="Palatino Linotype" w:hAnsi="Palatino Linotype" w:cs="Tahoma"/>
          <w:b/>
          <w:sz w:val="22"/>
          <w:szCs w:val="22"/>
          <w:lang w:eastAsia="es-MX"/>
        </w:rPr>
        <w:t>UNANIMIDAD</w:t>
      </w:r>
      <w:r w:rsidRPr="00C938B6">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w:t>
      </w:r>
      <w:r w:rsidRPr="00C938B6">
        <w:rPr>
          <w:rFonts w:ascii="Palatino Linotype" w:hAnsi="Palatino Linotype" w:cs="Tahoma"/>
          <w:bCs/>
          <w:sz w:val="22"/>
          <w:szCs w:val="22"/>
          <w:lang w:eastAsia="es-MX"/>
        </w:rPr>
        <w:t>CONFORMADO POR LOS COMISIONADOS JOSÉ MARTÍNEZ VILCHIS, MARÍA DEL ROSARIO MEJÍA AYALA, SHARON CRISTINA MORALES MARTÍNEZ</w:t>
      </w:r>
      <w:r>
        <w:rPr>
          <w:rFonts w:ascii="Palatino Linotype" w:hAnsi="Palatino Linotype" w:cs="Tahoma"/>
          <w:bCs/>
          <w:sz w:val="22"/>
          <w:szCs w:val="22"/>
          <w:lang w:eastAsia="es-MX"/>
        </w:rPr>
        <w:t xml:space="preserve"> (CON AUSENCIA JUSTIFICADA)</w:t>
      </w:r>
      <w:r w:rsidRPr="00C938B6">
        <w:rPr>
          <w:rFonts w:ascii="Palatino Linotype" w:hAnsi="Palatino Linotype" w:cs="Tahoma"/>
          <w:bCs/>
          <w:sz w:val="22"/>
          <w:szCs w:val="22"/>
          <w:lang w:eastAsia="es-MX"/>
        </w:rPr>
        <w:t>, LUIS GUSTAVO PARRA NORIEGA Y GUADALUPE RAMÍREZ PEÑA</w:t>
      </w:r>
      <w:r w:rsidRPr="00C938B6">
        <w:rPr>
          <w:rFonts w:ascii="Palatino Linotype" w:hAnsi="Palatino Linotype" w:cs="Tahoma"/>
          <w:sz w:val="22"/>
          <w:szCs w:val="22"/>
          <w:lang w:eastAsia="es-MX"/>
        </w:rPr>
        <w:t xml:space="preserve">, EN LA </w:t>
      </w:r>
      <w:r>
        <w:rPr>
          <w:rFonts w:ascii="Palatino Linotype" w:hAnsi="Palatino Linotype" w:cs="Tahoma"/>
          <w:sz w:val="22"/>
          <w:szCs w:val="22"/>
          <w:lang w:eastAsia="es-MX"/>
        </w:rPr>
        <w:t>SEGUNDA SESIÓN ORDINARIA, CELEBRADA EL DIECINUEVE DE ENERO DE DOS MIL VEINTIDÓS</w:t>
      </w:r>
      <w:r w:rsidRPr="00C938B6">
        <w:rPr>
          <w:rFonts w:ascii="Palatino Linotype" w:hAnsi="Palatino Linotype" w:cs="Tahoma"/>
          <w:sz w:val="22"/>
          <w:szCs w:val="22"/>
          <w:lang w:eastAsia="es-MX"/>
        </w:rPr>
        <w:t xml:space="preserve">, CELEBRADA EL </w:t>
      </w:r>
      <w:r w:rsidRPr="00C938B6">
        <w:rPr>
          <w:rFonts w:ascii="Palatino Linotype" w:hAnsi="Palatino Linotype" w:cs="Tahoma"/>
          <w:bCs/>
          <w:sz w:val="22"/>
          <w:szCs w:val="22"/>
          <w:lang w:eastAsia="es-MX"/>
        </w:rPr>
        <w:t>SEIS DE OCTUBRE DE DOS MIL VEINTIUNO</w:t>
      </w:r>
      <w:r w:rsidRPr="00C938B6">
        <w:rPr>
          <w:rFonts w:ascii="Palatino Linotype" w:hAnsi="Palatino Linotype" w:cs="Tahoma"/>
          <w:sz w:val="22"/>
          <w:szCs w:val="22"/>
          <w:lang w:eastAsia="es-MX"/>
        </w:rPr>
        <w:t>, ANTE EL SECRETARIO TÉCNICO DEL PLENO, ALEXIS TAPIA RAMÍREZ.</w:t>
      </w:r>
    </w:p>
    <w:p w:rsidR="00BD1DFC" w:rsidRDefault="00BD1DFC" w14:paraId="6D10F8F2" w14:textId="254EED65">
      <w:pPr>
        <w:spacing w:after="160" w:line="259" w:lineRule="auto"/>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br w:type="page"/>
      </w:r>
    </w:p>
    <w:p w:rsidRPr="00C938B6" w:rsidR="00541D73" w:rsidP="005B031E" w:rsidRDefault="00541D73" w14:paraId="5FF60738" w14:textId="77777777">
      <w:pPr>
        <w:spacing w:line="360" w:lineRule="auto"/>
        <w:rPr>
          <w:rFonts w:ascii="Palatino Linotype" w:hAnsi="Palatino Linotype" w:eastAsia="Calibri" w:cs="Tahoma"/>
          <w:b/>
          <w:bCs/>
          <w:sz w:val="22"/>
          <w:szCs w:val="22"/>
          <w:lang w:eastAsia="en-US"/>
        </w:rPr>
      </w:pPr>
    </w:p>
    <w:sectPr w:rsidRPr="00C938B6" w:rsidR="00541D73" w:rsidSect="00D24D27">
      <w:headerReference w:type="even" r:id="rId12"/>
      <w:headerReference w:type="default" r:id="rId13"/>
      <w:footerReference w:type="default" r:id="rId14"/>
      <w:headerReference w:type="first" r:id="rId15"/>
      <w:footerReference w:type="first" r:id="rId16"/>
      <w:pgSz w:w="12240" w:h="15840" w:orient="portrait"/>
      <w:pgMar w:top="80" w:right="1608" w:bottom="1134" w:left="1588" w:header="45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7812" w:rsidP="00801872" w:rsidRDefault="00587812" w14:paraId="77387895" w14:textId="77777777">
      <w:r>
        <w:separator/>
      </w:r>
    </w:p>
  </w:endnote>
  <w:endnote w:type="continuationSeparator" w:id="0">
    <w:p w:rsidR="00587812" w:rsidP="00801872" w:rsidRDefault="00587812" w14:paraId="0AD0B98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5B031E" w:rsidRDefault="005B031E" w14:paraId="0A694AEC" w14:textId="77777777">
            <w:pPr>
              <w:pStyle w:val="Piedepgina"/>
              <w:jc w:val="right"/>
              <w:rPr>
                <w:sz w:val="26"/>
                <w:szCs w:val="26"/>
              </w:rPr>
            </w:pPr>
          </w:p>
          <w:p w:rsidR="005B031E" w:rsidRDefault="005B031E" w14:paraId="046BF6F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B04D6">
              <w:rPr>
                <w:b/>
                <w:bCs/>
                <w:noProof/>
              </w:rPr>
              <w:t>34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04D6">
              <w:rPr>
                <w:b/>
                <w:bCs/>
                <w:noProof/>
              </w:rPr>
              <w:t>34</w:t>
            </w:r>
            <w:r>
              <w:rPr>
                <w:b/>
                <w:bCs/>
                <w:sz w:val="24"/>
                <w:szCs w:val="24"/>
              </w:rPr>
              <w:fldChar w:fldCharType="end"/>
            </w:r>
          </w:p>
        </w:sdtContent>
      </w:sdt>
    </w:sdtContent>
  </w:sdt>
  <w:p w:rsidR="005B031E" w:rsidRDefault="005B031E" w14:paraId="3CEDE9D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5B031E" w:rsidRDefault="005B031E" w14:paraId="3AB6FCB5" w14:textId="77777777">
            <w:pPr>
              <w:pStyle w:val="Piedepgina"/>
              <w:jc w:val="right"/>
            </w:pPr>
          </w:p>
          <w:p w:rsidR="005B031E" w:rsidRDefault="005B031E" w14:paraId="1909745D" w14:textId="77777777">
            <w:pPr>
              <w:pStyle w:val="Piedepgina"/>
              <w:jc w:val="right"/>
            </w:pPr>
          </w:p>
          <w:p w:rsidR="005B031E" w:rsidRDefault="005B031E" w14:paraId="1AC1C7A3" w14:textId="77777777">
            <w:pPr>
              <w:pStyle w:val="Piedepgina"/>
              <w:jc w:val="right"/>
            </w:pPr>
          </w:p>
          <w:p w:rsidR="005B031E" w:rsidRDefault="005B031E" w14:paraId="1714865E"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B04D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04D6">
              <w:rPr>
                <w:b/>
                <w:bCs/>
                <w:noProof/>
              </w:rPr>
              <w:t>34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7812" w:rsidP="00801872" w:rsidRDefault="00587812" w14:paraId="0EB66538" w14:textId="77777777">
      <w:r>
        <w:separator/>
      </w:r>
    </w:p>
  </w:footnote>
  <w:footnote w:type="continuationSeparator" w:id="0">
    <w:p w:rsidR="00587812" w:rsidP="00801872" w:rsidRDefault="00587812" w14:paraId="279DC89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031E" w:rsidRDefault="007E0711" w14:paraId="0FCF2E5E" w14:textId="77777777">
    <w:pPr>
      <w:pStyle w:val="Encabezado"/>
    </w:pPr>
    <w:r>
      <w:rPr>
        <w:noProof/>
        <w:lang w:eastAsia="es-MX"/>
      </w:rPr>
      <w:pict w14:anchorId="62B8263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alt="marcaaguaINFOEM" o:spid="_x0000_s1027"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5B031E" w:rsidP="00070F27" w:rsidRDefault="007E0711" w14:paraId="1CE13F9D" w14:textId="77777777">
    <w:pPr>
      <w:tabs>
        <w:tab w:val="left" w:pos="3416"/>
      </w:tabs>
      <w:rPr>
        <w:sz w:val="22"/>
        <w:szCs w:val="22"/>
      </w:rPr>
    </w:pPr>
    <w:r>
      <w:rPr>
        <w:noProof/>
        <w:sz w:val="14"/>
        <w:lang w:eastAsia="es-MX"/>
      </w:rPr>
      <w:pict w14:anchorId="0BDCAE9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62.2pt;margin-top:-167.2pt;width:663.5pt;height:12in;z-index:-251656192;mso-wrap-edited:f;mso-width-percent:0;mso-height-percent:0;mso-position-horizontal-relative:margin;mso-position-vertical-relative:margin;mso-width-percent:0;mso-height-percent:0" alt="marcaaguaINFOEM" o:spid="_x0000_s1026" o:allowincell="f" type="#_x0000_t75">
          <v:imagedata o:title="marcaaguaINFOEM" r:id="rId1"/>
          <w10:wrap anchorx="margin" anchory="margin"/>
        </v:shape>
      </w:pict>
    </w:r>
  </w:p>
  <w:tbl>
    <w:tblPr>
      <w:tblW w:w="10170" w:type="dxa"/>
      <w:tblLayout w:type="fixed"/>
      <w:tblLook w:val="04A0" w:firstRow="1" w:lastRow="0" w:firstColumn="1" w:lastColumn="0" w:noHBand="0" w:noVBand="1"/>
    </w:tblPr>
    <w:tblGrid>
      <w:gridCol w:w="2977"/>
      <w:gridCol w:w="7193"/>
    </w:tblGrid>
    <w:tr w:rsidRPr="005C106F" w:rsidR="005B031E" w:rsidTr="00070F27" w14:paraId="63E08C3E" w14:textId="77777777">
      <w:trPr>
        <w:trHeight w:val="70"/>
      </w:trPr>
      <w:tc>
        <w:tcPr>
          <w:tcW w:w="2977" w:type="dxa"/>
          <w:shd w:val="clear" w:color="auto" w:fill="auto"/>
        </w:tcPr>
        <w:p w:rsidRPr="005C106F" w:rsidR="005B031E" w:rsidP="00070F27" w:rsidRDefault="005B031E" w14:paraId="08521BB7" w14:textId="77777777">
          <w:pPr>
            <w:tabs>
              <w:tab w:val="right" w:pos="4273"/>
            </w:tabs>
            <w:rPr>
              <w:rFonts w:ascii="Garamond" w:hAnsi="Garamond" w:eastAsia="Calibri"/>
              <w:sz w:val="16"/>
              <w:szCs w:val="16"/>
            </w:rPr>
          </w:pPr>
        </w:p>
      </w:tc>
      <w:tc>
        <w:tcPr>
          <w:tcW w:w="7193" w:type="dxa"/>
          <w:shd w:val="clear" w:color="auto" w:fill="auto"/>
        </w:tcPr>
        <w:p w:rsidR="00922FAF" w:rsidRDefault="00922FAF" w14:paraId="4C6F44B5" w14:textId="77777777"/>
        <w:tbl>
          <w:tblPr>
            <w:tblStyle w:val="Tablaconcuadrcula"/>
            <w:tblW w:w="5707" w:type="dxa"/>
            <w:tblInd w:w="12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1939"/>
            <w:gridCol w:w="3768"/>
          </w:tblGrid>
          <w:tr w:rsidR="005B031E" w:rsidTr="001B04D6" w14:paraId="1009EACB" w14:textId="77777777">
            <w:trPr>
              <w:trHeight w:val="124"/>
            </w:trPr>
            <w:tc>
              <w:tcPr>
                <w:tcW w:w="1939" w:type="dxa"/>
                <w:vAlign w:val="bottom"/>
              </w:tcPr>
              <w:p w:rsidRPr="008B41A2" w:rsidR="005B031E" w:rsidP="00070F27" w:rsidRDefault="005B031E" w14:paraId="50FDFF5D"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Recurso de Revisión:</w:t>
                </w:r>
              </w:p>
            </w:tc>
            <w:tc>
              <w:tcPr>
                <w:tcW w:w="3768" w:type="dxa"/>
              </w:tcPr>
              <w:p w:rsidRPr="008B41A2" w:rsidR="005B031E" w:rsidP="00070F27" w:rsidRDefault="005B031E" w14:paraId="3B3A825B" w14:textId="77777777">
                <w:pPr>
                  <w:tabs>
                    <w:tab w:val="right" w:pos="8838"/>
                  </w:tabs>
                  <w:ind w:left="-28" w:right="683"/>
                  <w:rPr>
                    <w:rFonts w:ascii="Palatino Linotype" w:hAnsi="Palatino Linotype" w:eastAsia="Calibri" w:cs="Tahoma"/>
                    <w:sz w:val="22"/>
                    <w:szCs w:val="22"/>
                    <w:lang w:val="es-MX"/>
                  </w:rPr>
                </w:pPr>
              </w:p>
              <w:p w:rsidR="005B031E" w:rsidP="00070F27" w:rsidRDefault="005B031E" w14:paraId="2008E244" w14:textId="77777777">
                <w:pPr>
                  <w:tabs>
                    <w:tab w:val="right" w:pos="8838"/>
                  </w:tabs>
                  <w:ind w:left="-28" w:right="683"/>
                  <w:rPr>
                    <w:rFonts w:ascii="Palatino Linotype" w:hAnsi="Palatino Linotype" w:eastAsia="Calibri" w:cs="Tahoma"/>
                    <w:bCs/>
                    <w:sz w:val="22"/>
                    <w:szCs w:val="22"/>
                    <w:lang w:val="es-MX"/>
                  </w:rPr>
                </w:pPr>
                <w:r>
                  <w:rPr>
                    <w:rFonts w:ascii="Palatino Linotype" w:hAnsi="Palatino Linotype" w:eastAsia="Calibri" w:cs="Tahoma"/>
                    <w:bCs/>
                    <w:sz w:val="22"/>
                    <w:szCs w:val="22"/>
                    <w:lang w:val="es-MX"/>
                  </w:rPr>
                  <w:t>05779</w:t>
                </w:r>
                <w:r w:rsidRPr="00801872">
                  <w:rPr>
                    <w:rFonts w:ascii="Palatino Linotype" w:hAnsi="Palatino Linotype" w:eastAsia="Calibri" w:cs="Tahoma"/>
                    <w:bCs/>
                    <w:sz w:val="22"/>
                    <w:szCs w:val="22"/>
                    <w:lang w:val="es-MX"/>
                  </w:rPr>
                  <w:t>/INFOEM/IP/RR/2021</w:t>
                </w:r>
              </w:p>
              <w:p w:rsidRPr="00801872" w:rsidR="001B04D6" w:rsidP="00070F27" w:rsidRDefault="001B04D6" w14:paraId="4EA7A24B" w14:textId="3049EA37">
                <w:pPr>
                  <w:tabs>
                    <w:tab w:val="right" w:pos="8838"/>
                  </w:tabs>
                  <w:ind w:left="-28" w:right="683"/>
                  <w:rPr>
                    <w:rFonts w:ascii="Palatino Linotype" w:hAnsi="Palatino Linotype" w:eastAsia="Calibri" w:cs="Tahoma"/>
                    <w:sz w:val="22"/>
                    <w:szCs w:val="22"/>
                  </w:rPr>
                </w:pPr>
              </w:p>
            </w:tc>
          </w:tr>
          <w:tr w:rsidR="005B031E" w:rsidTr="001B04D6" w14:paraId="12CFD000" w14:textId="77777777">
            <w:trPr>
              <w:trHeight w:val="244"/>
            </w:trPr>
            <w:tc>
              <w:tcPr>
                <w:tcW w:w="1939" w:type="dxa"/>
              </w:tcPr>
              <w:p w:rsidRPr="008B41A2" w:rsidR="005B031E" w:rsidP="00070F27" w:rsidRDefault="005B031E" w14:paraId="67813586"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3768" w:type="dxa"/>
              </w:tcPr>
              <w:p w:rsidRPr="00801872" w:rsidR="005B031E" w:rsidP="00A14307" w:rsidRDefault="005B031E" w14:paraId="62EF5654" w14:textId="477B0ED4">
                <w:pPr>
                  <w:tabs>
                    <w:tab w:val="right" w:pos="8838"/>
                  </w:tabs>
                  <w:ind w:right="116"/>
                  <w:rPr>
                    <w:rFonts w:ascii="Palatino Linotype" w:hAnsi="Palatino Linotype" w:eastAsia="Calibri" w:cs="Tahoma"/>
                    <w:sz w:val="22"/>
                    <w:szCs w:val="22"/>
                    <w:lang w:val="es-MX"/>
                  </w:rPr>
                </w:pPr>
                <w:r w:rsidRPr="00801872">
                  <w:rPr>
                    <w:rFonts w:ascii="Palatino Linotype" w:hAnsi="Palatino Linotype" w:eastAsia="Calibri" w:cs="Tahoma"/>
                    <w:bCs/>
                    <w:sz w:val="22"/>
                    <w:szCs w:val="22"/>
                    <w:lang w:val="es-MX"/>
                  </w:rPr>
                  <w:t xml:space="preserve">Ayuntamiento de </w:t>
                </w:r>
                <w:r>
                  <w:rPr>
                    <w:rFonts w:ascii="Palatino Linotype" w:hAnsi="Palatino Linotype" w:eastAsia="Calibri" w:cs="Tahoma"/>
                    <w:bCs/>
                    <w:sz w:val="22"/>
                    <w:szCs w:val="22"/>
                    <w:lang w:val="es-MX"/>
                  </w:rPr>
                  <w:t>Texcoco</w:t>
                </w:r>
              </w:p>
            </w:tc>
          </w:tr>
          <w:tr w:rsidR="005B031E" w:rsidTr="001B04D6" w14:paraId="364C666C" w14:textId="77777777">
            <w:trPr>
              <w:trHeight w:val="244"/>
            </w:trPr>
            <w:tc>
              <w:tcPr>
                <w:tcW w:w="1939" w:type="dxa"/>
              </w:tcPr>
              <w:p w:rsidRPr="008B41A2" w:rsidR="005B031E" w:rsidP="00070F27" w:rsidRDefault="005B031E" w14:paraId="496B50AA"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3768" w:type="dxa"/>
              </w:tcPr>
              <w:p w:rsidRPr="008B41A2" w:rsidR="005B031E" w:rsidP="00070F27" w:rsidRDefault="005B031E" w14:paraId="35025A3B" w14:textId="77777777">
                <w:pPr>
                  <w:tabs>
                    <w:tab w:val="right" w:pos="8838"/>
                  </w:tabs>
                  <w:ind w:right="-32"/>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tbl>
        <w:p w:rsidRPr="005C106F" w:rsidR="005B031E" w:rsidP="00070F27" w:rsidRDefault="005B031E" w14:paraId="2C0200AC" w14:textId="77777777">
          <w:pPr>
            <w:tabs>
              <w:tab w:val="right" w:pos="8838"/>
            </w:tabs>
            <w:ind w:left="-28"/>
            <w:rPr>
              <w:rFonts w:ascii="Arial" w:hAnsi="Arial" w:eastAsia="Calibri" w:cs="Arial"/>
              <w:b/>
            </w:rPr>
          </w:pPr>
        </w:p>
      </w:tc>
    </w:tr>
  </w:tbl>
  <w:p w:rsidRPr="009E6858" w:rsidR="005B031E" w:rsidP="00070F27" w:rsidRDefault="005B031E" w14:paraId="3871047C" w14:textId="77777777">
    <w:pPr>
      <w:tabs>
        <w:tab w:val="left" w:pos="3416"/>
      </w:tabs>
      <w:rPr>
        <w:sz w:val="22"/>
        <w:szCs w:val="22"/>
      </w:rPr>
    </w:pPr>
  </w:p>
  <w:p w:rsidR="005B031E" w:rsidP="00070F27" w:rsidRDefault="005B031E" w14:paraId="62C5DA58" w14:textId="77777777">
    <w:pPr>
      <w:pStyle w:val="Encabezado"/>
      <w:rPr>
        <w:sz w:val="14"/>
      </w:rPr>
    </w:pPr>
  </w:p>
  <w:p w:rsidRPr="00443C6B" w:rsidR="005B031E" w:rsidP="00070F27" w:rsidRDefault="005B031E" w14:paraId="5B563EE1"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6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92"/>
      <w:gridCol w:w="3178"/>
    </w:tblGrid>
    <w:tr w:rsidRPr="00264223" w:rsidR="005B031E" w:rsidTr="6333DDB1" w14:paraId="6494D751" w14:textId="77777777">
      <w:trPr>
        <w:trHeight w:val="284"/>
      </w:trPr>
      <w:tc>
        <w:tcPr>
          <w:tcW w:w="2492" w:type="dxa"/>
          <w:tcMar/>
        </w:tcPr>
        <w:p w:rsidRPr="00D3618F" w:rsidR="005B031E" w:rsidP="00070F27" w:rsidRDefault="005B031E" w14:paraId="64B4D5CB"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3178" w:type="dxa"/>
          <w:tcMar/>
        </w:tcPr>
        <w:p w:rsidRPr="00801872" w:rsidR="005B031E" w:rsidP="00070F27" w:rsidRDefault="005B031E" w14:paraId="087AA83D" w14:textId="07081610">
          <w:pPr>
            <w:tabs>
              <w:tab w:val="right" w:pos="8838"/>
            </w:tabs>
            <w:ind w:left="-28"/>
            <w:jc w:val="both"/>
            <w:rPr>
              <w:rFonts w:ascii="Palatino Linotype" w:hAnsi="Palatino Linotype" w:eastAsia="Calibri" w:cs="Tahoma"/>
              <w:sz w:val="22"/>
              <w:szCs w:val="22"/>
              <w:lang w:eastAsia="en-US"/>
            </w:rPr>
          </w:pPr>
          <w:r>
            <w:rPr>
              <w:rFonts w:ascii="Palatino Linotype" w:hAnsi="Palatino Linotype" w:eastAsia="Calibri" w:cs="Tahoma"/>
              <w:bCs/>
              <w:sz w:val="22"/>
              <w:szCs w:val="22"/>
              <w:lang w:val="es-MX" w:eastAsia="en-US"/>
            </w:rPr>
            <w:t>05779</w:t>
          </w:r>
          <w:r w:rsidRPr="00801872">
            <w:rPr>
              <w:rFonts w:ascii="Palatino Linotype" w:hAnsi="Palatino Linotype" w:eastAsia="Calibri" w:cs="Tahoma"/>
              <w:bCs/>
              <w:sz w:val="22"/>
              <w:szCs w:val="22"/>
              <w:lang w:val="es-MX" w:eastAsia="en-US"/>
            </w:rPr>
            <w:t>/INFOEM/IP/RR/2021</w:t>
          </w:r>
        </w:p>
      </w:tc>
    </w:tr>
    <w:tr w:rsidRPr="00264223" w:rsidR="005B031E" w:rsidTr="6333DDB1" w14:paraId="250F2B47" w14:textId="77777777">
      <w:trPr>
        <w:trHeight w:val="104"/>
      </w:trPr>
      <w:tc>
        <w:tcPr>
          <w:tcW w:w="2492" w:type="dxa"/>
          <w:tcMar/>
        </w:tcPr>
        <w:p w:rsidRPr="00D3618F" w:rsidR="005B031E" w:rsidP="00070F27" w:rsidRDefault="005B031E" w14:paraId="3D15303E"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3178" w:type="dxa"/>
          <w:tcMar/>
        </w:tcPr>
        <w:p w:rsidRPr="00EE2A06" w:rsidR="005B031E" w:rsidP="6333DDB1" w:rsidRDefault="005B031E" w14:paraId="70E890FD" w14:textId="5773DAEC">
          <w:pPr>
            <w:pStyle w:val="Normal"/>
            <w:tabs>
              <w:tab w:val="right" w:leader="none" w:pos="8838"/>
            </w:tabs>
            <w:bidi w:val="0"/>
            <w:spacing w:before="0" w:beforeAutospacing="off" w:after="0" w:afterAutospacing="off" w:line="240" w:lineRule="auto"/>
            <w:ind w:left="-28" w:right="0"/>
            <w:jc w:val="both"/>
            <w:rPr>
              <w:rFonts w:ascii="Times New Roman" w:hAnsi="Times New Roman" w:eastAsia="Times New Roman" w:cs="Times New Roman"/>
              <w:sz w:val="20"/>
              <w:szCs w:val="20"/>
              <w:highlight w:val="black"/>
              <w:lang w:val="es-MX" w:eastAsia="en-US"/>
            </w:rPr>
          </w:pPr>
          <w:r w:rsidRPr="6333DDB1" w:rsidR="6333DDB1">
            <w:rPr>
              <w:rFonts w:ascii="Palatino Linotype" w:hAnsi="Palatino Linotype" w:eastAsia="Calibri" w:cs="Tahoma"/>
              <w:sz w:val="22"/>
              <w:szCs w:val="22"/>
              <w:highlight w:val="black"/>
              <w:lang w:val="es-MX" w:eastAsia="en-US"/>
            </w:rPr>
            <w:t>XXXXXXX</w:t>
          </w:r>
        </w:p>
      </w:tc>
    </w:tr>
    <w:tr w:rsidRPr="00264223" w:rsidR="005B031E" w:rsidTr="6333DDB1" w14:paraId="180767EA" w14:textId="77777777">
      <w:trPr>
        <w:trHeight w:val="234"/>
      </w:trPr>
      <w:tc>
        <w:tcPr>
          <w:tcW w:w="2492" w:type="dxa"/>
          <w:tcMar/>
        </w:tcPr>
        <w:p w:rsidRPr="00D3618F" w:rsidR="005B031E" w:rsidP="00070F27" w:rsidRDefault="005B031E" w14:paraId="51FC15E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3178" w:type="dxa"/>
          <w:tcMar/>
        </w:tcPr>
        <w:p w:rsidRPr="00801872" w:rsidR="005B031E" w:rsidP="00A14307" w:rsidRDefault="005B031E" w14:paraId="4EE0902A" w14:textId="6F82E56C">
          <w:pPr>
            <w:tabs>
              <w:tab w:val="right" w:pos="8838"/>
            </w:tabs>
            <w:ind w:left="-28"/>
            <w:jc w:val="both"/>
            <w:rPr>
              <w:rFonts w:ascii="Palatino Linotype" w:hAnsi="Palatino Linotype" w:eastAsia="Calibri" w:cs="Tahoma"/>
              <w:sz w:val="22"/>
              <w:szCs w:val="22"/>
              <w:lang w:val="es-MX" w:eastAsia="en-US"/>
            </w:rPr>
          </w:pPr>
          <w:r w:rsidRPr="00801872">
            <w:rPr>
              <w:rFonts w:ascii="Palatino Linotype" w:hAnsi="Palatino Linotype" w:eastAsia="Calibri" w:cs="Tahoma"/>
              <w:bCs/>
              <w:sz w:val="22"/>
              <w:szCs w:val="22"/>
              <w:lang w:val="es-MX" w:eastAsia="en-US"/>
            </w:rPr>
            <w:t>Ayuntamien</w:t>
          </w:r>
          <w:r>
            <w:rPr>
              <w:rFonts w:ascii="Palatino Linotype" w:hAnsi="Palatino Linotype" w:eastAsia="Calibri" w:cs="Tahoma"/>
              <w:bCs/>
              <w:sz w:val="22"/>
              <w:szCs w:val="22"/>
              <w:lang w:val="es-MX" w:eastAsia="en-US"/>
            </w:rPr>
            <w:t>to de Texcoco</w:t>
          </w:r>
        </w:p>
      </w:tc>
    </w:tr>
    <w:tr w:rsidRPr="00264223" w:rsidR="005B031E" w:rsidTr="6333DDB1" w14:paraId="0CF1E97B" w14:textId="77777777">
      <w:trPr>
        <w:trHeight w:val="234"/>
      </w:trPr>
      <w:tc>
        <w:tcPr>
          <w:tcW w:w="2492" w:type="dxa"/>
          <w:tcMar/>
        </w:tcPr>
        <w:p w:rsidRPr="00D3618F" w:rsidR="005B031E" w:rsidP="00070F27" w:rsidRDefault="005B031E" w14:paraId="6F2A288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3178" w:type="dxa"/>
          <w:tcMar/>
        </w:tcPr>
        <w:p w:rsidRPr="00D3618F" w:rsidR="005B031E" w:rsidP="00070F27" w:rsidRDefault="005B031E" w14:paraId="3F6125BF"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5B031E" w:rsidRDefault="007E0711" w14:paraId="3796C609" w14:textId="77777777">
    <w:r>
      <w:rPr>
        <w:noProof/>
        <w:lang w:eastAsia="es-MX"/>
      </w:rPr>
      <w:pict w14:anchorId="1F251A8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20.95pt;width:663.5pt;height:12in;z-index:-251655168;mso-wrap-edited:f;mso-width-percent:0;mso-height-percent:0;mso-position-horizontal-relative:margin;mso-position-vertical-relative:margin;mso-width-percent:0;mso-height-percent:0" alt="marcaaguaINFOEM" o:spid="_x0000_s1025" o:allowincell="f" type="#_x0000_t75">
          <v:imagedata o:title="marcaaguaINFOEM"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BF3"/>
    <w:multiLevelType w:val="hybridMultilevel"/>
    <w:tmpl w:val="CF7A182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9E42F6F"/>
    <w:multiLevelType w:val="hybridMultilevel"/>
    <w:tmpl w:val="B6788CB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BB71DF8"/>
    <w:multiLevelType w:val="hybridMultilevel"/>
    <w:tmpl w:val="0AF4A222"/>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3747061"/>
    <w:multiLevelType w:val="hybridMultilevel"/>
    <w:tmpl w:val="FD183502"/>
    <w:lvl w:ilvl="0" w:tplc="40F8B688">
      <w:start w:val="1"/>
      <w:numFmt w:val="lowerLetter"/>
      <w:lvlText w:val="%1)"/>
      <w:lvlJc w:val="left"/>
      <w:pPr>
        <w:ind w:left="720" w:hanging="360"/>
      </w:pPr>
      <w:rPr>
        <w:rFonts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7F619A"/>
    <w:multiLevelType w:val="hybridMultilevel"/>
    <w:tmpl w:val="A69AE98C"/>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6" w15:restartNumberingAfterBreak="0">
    <w:nsid w:val="1E206EAA"/>
    <w:multiLevelType w:val="hybridMultilevel"/>
    <w:tmpl w:val="6258601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FBA60E1"/>
    <w:multiLevelType w:val="hybridMultilevel"/>
    <w:tmpl w:val="E4E00840"/>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22C8004E"/>
    <w:multiLevelType w:val="hybridMultilevel"/>
    <w:tmpl w:val="A53C8A7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9002483"/>
    <w:multiLevelType w:val="hybridMultilevel"/>
    <w:tmpl w:val="19B0C15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437C2083"/>
    <w:multiLevelType w:val="hybridMultilevel"/>
    <w:tmpl w:val="E5BCD962"/>
    <w:lvl w:ilvl="0" w:tplc="080A0001">
      <w:start w:val="1"/>
      <w:numFmt w:val="bullet"/>
      <w:lvlText w:val=""/>
      <w:lvlJc w:val="left"/>
      <w:pPr>
        <w:ind w:left="1080" w:hanging="360"/>
      </w:pPr>
      <w:rPr>
        <w:rFonts w:hint="default" w:ascii="Symbol" w:hAnsi="Symbol"/>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11" w15:restartNumberingAfterBreak="0">
    <w:nsid w:val="46963E22"/>
    <w:multiLevelType w:val="hybridMultilevel"/>
    <w:tmpl w:val="A94899B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4E2C357E"/>
    <w:multiLevelType w:val="hybridMultilevel"/>
    <w:tmpl w:val="CCEAB80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F2755DE"/>
    <w:multiLevelType w:val="hybridMultilevel"/>
    <w:tmpl w:val="61406AD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55D16E5"/>
    <w:multiLevelType w:val="hybridMultilevel"/>
    <w:tmpl w:val="0138FDF8"/>
    <w:lvl w:ilvl="0" w:tplc="40F8B688">
      <w:start w:val="1"/>
      <w:numFmt w:val="lowerLetter"/>
      <w:lvlText w:val="%1)"/>
      <w:lvlJc w:val="left"/>
      <w:pPr>
        <w:ind w:left="720" w:hanging="360"/>
      </w:pPr>
      <w:rPr>
        <w:rFonts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B1F0183"/>
    <w:multiLevelType w:val="hybridMultilevel"/>
    <w:tmpl w:val="3794986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6A355389"/>
    <w:multiLevelType w:val="hybridMultilevel"/>
    <w:tmpl w:val="2C8A340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6DA06D26"/>
    <w:multiLevelType w:val="hybridMultilevel"/>
    <w:tmpl w:val="2A4882B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6DED7307"/>
    <w:multiLevelType w:val="hybridMultilevel"/>
    <w:tmpl w:val="78A869C8"/>
    <w:lvl w:ilvl="0" w:tplc="7AD27094">
      <w:start w:val="1"/>
      <w:numFmt w:val="decimal"/>
      <w:lvlText w:val="%1."/>
      <w:lvlJc w:val="left"/>
      <w:pPr>
        <w:tabs>
          <w:tab w:val="num" w:pos="720"/>
        </w:tabs>
        <w:ind w:left="720" w:hanging="360"/>
      </w:pPr>
      <w:rPr>
        <w:b/>
        <w:lang w:val="es-MX"/>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75311B9E"/>
    <w:multiLevelType w:val="hybridMultilevel"/>
    <w:tmpl w:val="AC2475A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7B9142C9"/>
    <w:multiLevelType w:val="hybridMultilevel"/>
    <w:tmpl w:val="A0B489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7BCD352D"/>
    <w:multiLevelType w:val="hybridMultilevel"/>
    <w:tmpl w:val="A22CEA14"/>
    <w:lvl w:ilvl="0" w:tplc="27D225F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9"/>
  </w:num>
  <w:num w:numId="5">
    <w:abstractNumId w:val="2"/>
  </w:num>
  <w:num w:numId="6">
    <w:abstractNumId w:val="16"/>
  </w:num>
  <w:num w:numId="7">
    <w:abstractNumId w:val="11"/>
  </w:num>
  <w:num w:numId="8">
    <w:abstractNumId w:val="7"/>
  </w:num>
  <w:num w:numId="9">
    <w:abstractNumId w:val="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5"/>
  </w:num>
  <w:num w:numId="13">
    <w:abstractNumId w:val="8"/>
  </w:num>
  <w:num w:numId="14">
    <w:abstractNumId w:val="12"/>
  </w:num>
  <w:num w:numId="15">
    <w:abstractNumId w:val="17"/>
  </w:num>
  <w:num w:numId="16">
    <w:abstractNumId w:val="3"/>
  </w:num>
  <w:num w:numId="17">
    <w:abstractNumId w:val="13"/>
  </w:num>
  <w:num w:numId="18">
    <w:abstractNumId w:val="5"/>
  </w:num>
  <w:num w:numId="19">
    <w:abstractNumId w:val="6"/>
  </w:num>
  <w:num w:numId="20">
    <w:abstractNumId w:val="21"/>
  </w:num>
  <w:num w:numId="21">
    <w:abstractNumId w:val="20"/>
  </w:num>
  <w:num w:numId="22">
    <w:abstractNumId w:val="22"/>
  </w:num>
  <w:num w:numId="23">
    <w:abstractNumId w:val="4"/>
  </w:num>
  <w:num w:numId="24">
    <w:abstractNumId w:val="15"/>
  </w:num>
  <w:num w:numId="25">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72"/>
    <w:rsid w:val="00023EA0"/>
    <w:rsid w:val="0003087D"/>
    <w:rsid w:val="0003468A"/>
    <w:rsid w:val="00034FC0"/>
    <w:rsid w:val="00041F6E"/>
    <w:rsid w:val="00060B7A"/>
    <w:rsid w:val="00065B2F"/>
    <w:rsid w:val="00070F27"/>
    <w:rsid w:val="00074739"/>
    <w:rsid w:val="00075A4B"/>
    <w:rsid w:val="000802BA"/>
    <w:rsid w:val="00092205"/>
    <w:rsid w:val="000B1FB0"/>
    <w:rsid w:val="000C1535"/>
    <w:rsid w:val="000C51D5"/>
    <w:rsid w:val="000E6359"/>
    <w:rsid w:val="000F0ADC"/>
    <w:rsid w:val="000F35A3"/>
    <w:rsid w:val="001055DC"/>
    <w:rsid w:val="00127A9F"/>
    <w:rsid w:val="001339AD"/>
    <w:rsid w:val="00171E9B"/>
    <w:rsid w:val="00195818"/>
    <w:rsid w:val="001A6682"/>
    <w:rsid w:val="001B04D6"/>
    <w:rsid w:val="001D1806"/>
    <w:rsid w:val="001D488C"/>
    <w:rsid w:val="001D62DD"/>
    <w:rsid w:val="001E3977"/>
    <w:rsid w:val="001E4A02"/>
    <w:rsid w:val="001E78FC"/>
    <w:rsid w:val="00207963"/>
    <w:rsid w:val="002265A6"/>
    <w:rsid w:val="0025185F"/>
    <w:rsid w:val="00252C23"/>
    <w:rsid w:val="002825A6"/>
    <w:rsid w:val="002859A3"/>
    <w:rsid w:val="00294619"/>
    <w:rsid w:val="002A010F"/>
    <w:rsid w:val="002A4677"/>
    <w:rsid w:val="002A4971"/>
    <w:rsid w:val="002A4AA3"/>
    <w:rsid w:val="002D21BD"/>
    <w:rsid w:val="002D46B4"/>
    <w:rsid w:val="002D4B8C"/>
    <w:rsid w:val="002D6AAD"/>
    <w:rsid w:val="002D78E7"/>
    <w:rsid w:val="002F6C59"/>
    <w:rsid w:val="00300F47"/>
    <w:rsid w:val="0030378D"/>
    <w:rsid w:val="00307F2A"/>
    <w:rsid w:val="00332413"/>
    <w:rsid w:val="00343F89"/>
    <w:rsid w:val="00360711"/>
    <w:rsid w:val="003674EC"/>
    <w:rsid w:val="0039798B"/>
    <w:rsid w:val="003B28BE"/>
    <w:rsid w:val="003C1F5C"/>
    <w:rsid w:val="003E3B5D"/>
    <w:rsid w:val="003F0487"/>
    <w:rsid w:val="0040451E"/>
    <w:rsid w:val="0040592C"/>
    <w:rsid w:val="004125C3"/>
    <w:rsid w:val="00414AA4"/>
    <w:rsid w:val="0043375F"/>
    <w:rsid w:val="00474F5D"/>
    <w:rsid w:val="00475478"/>
    <w:rsid w:val="00491CCB"/>
    <w:rsid w:val="004A619B"/>
    <w:rsid w:val="004D7A1F"/>
    <w:rsid w:val="004E23E3"/>
    <w:rsid w:val="00515D69"/>
    <w:rsid w:val="00520C7D"/>
    <w:rsid w:val="00527F3B"/>
    <w:rsid w:val="00541D73"/>
    <w:rsid w:val="00545FA5"/>
    <w:rsid w:val="00582FC8"/>
    <w:rsid w:val="00584958"/>
    <w:rsid w:val="00587812"/>
    <w:rsid w:val="00593B21"/>
    <w:rsid w:val="005B031E"/>
    <w:rsid w:val="005B4FC7"/>
    <w:rsid w:val="005E1243"/>
    <w:rsid w:val="005F6ABE"/>
    <w:rsid w:val="006112BF"/>
    <w:rsid w:val="006255F2"/>
    <w:rsid w:val="006401A9"/>
    <w:rsid w:val="006563FF"/>
    <w:rsid w:val="00674438"/>
    <w:rsid w:val="006A6D99"/>
    <w:rsid w:val="006B6131"/>
    <w:rsid w:val="006E788D"/>
    <w:rsid w:val="006F32E9"/>
    <w:rsid w:val="00723D2B"/>
    <w:rsid w:val="00733729"/>
    <w:rsid w:val="00742B69"/>
    <w:rsid w:val="007432EF"/>
    <w:rsid w:val="00744C4C"/>
    <w:rsid w:val="00752B10"/>
    <w:rsid w:val="007614A8"/>
    <w:rsid w:val="0077787E"/>
    <w:rsid w:val="00787658"/>
    <w:rsid w:val="0079752A"/>
    <w:rsid w:val="007A067A"/>
    <w:rsid w:val="007A73E5"/>
    <w:rsid w:val="007B4AD4"/>
    <w:rsid w:val="007D7F2E"/>
    <w:rsid w:val="007E0711"/>
    <w:rsid w:val="0080119B"/>
    <w:rsid w:val="00801872"/>
    <w:rsid w:val="00822030"/>
    <w:rsid w:val="008317C0"/>
    <w:rsid w:val="008438C2"/>
    <w:rsid w:val="008450D2"/>
    <w:rsid w:val="008648CC"/>
    <w:rsid w:val="00867038"/>
    <w:rsid w:val="00867749"/>
    <w:rsid w:val="00872DAC"/>
    <w:rsid w:val="0087388E"/>
    <w:rsid w:val="00881057"/>
    <w:rsid w:val="00891512"/>
    <w:rsid w:val="008A79F0"/>
    <w:rsid w:val="008B0BC7"/>
    <w:rsid w:val="008B0C71"/>
    <w:rsid w:val="008C4347"/>
    <w:rsid w:val="008C4680"/>
    <w:rsid w:val="008F1800"/>
    <w:rsid w:val="008F49ED"/>
    <w:rsid w:val="008F5ED9"/>
    <w:rsid w:val="008F7EB2"/>
    <w:rsid w:val="00901D31"/>
    <w:rsid w:val="00922FAF"/>
    <w:rsid w:val="00940BF3"/>
    <w:rsid w:val="0094775E"/>
    <w:rsid w:val="00974045"/>
    <w:rsid w:val="009A7B33"/>
    <w:rsid w:val="009C181C"/>
    <w:rsid w:val="009C390B"/>
    <w:rsid w:val="009D4E62"/>
    <w:rsid w:val="009E3BE1"/>
    <w:rsid w:val="009E4500"/>
    <w:rsid w:val="009F646C"/>
    <w:rsid w:val="009F70D4"/>
    <w:rsid w:val="00A02D95"/>
    <w:rsid w:val="00A14307"/>
    <w:rsid w:val="00A26524"/>
    <w:rsid w:val="00A33AA3"/>
    <w:rsid w:val="00A37CB6"/>
    <w:rsid w:val="00A57DD1"/>
    <w:rsid w:val="00A60C77"/>
    <w:rsid w:val="00A81EBA"/>
    <w:rsid w:val="00AA68C9"/>
    <w:rsid w:val="00AE0BAF"/>
    <w:rsid w:val="00B06594"/>
    <w:rsid w:val="00B11030"/>
    <w:rsid w:val="00B11582"/>
    <w:rsid w:val="00B15A0A"/>
    <w:rsid w:val="00B168C9"/>
    <w:rsid w:val="00B36E9E"/>
    <w:rsid w:val="00B437F1"/>
    <w:rsid w:val="00B46984"/>
    <w:rsid w:val="00B611ED"/>
    <w:rsid w:val="00B7758C"/>
    <w:rsid w:val="00B85EF5"/>
    <w:rsid w:val="00B862EA"/>
    <w:rsid w:val="00B923AD"/>
    <w:rsid w:val="00BA1B3A"/>
    <w:rsid w:val="00BB1D38"/>
    <w:rsid w:val="00BD0E92"/>
    <w:rsid w:val="00BD1DFC"/>
    <w:rsid w:val="00BE6712"/>
    <w:rsid w:val="00BE73E6"/>
    <w:rsid w:val="00BF0A51"/>
    <w:rsid w:val="00C22BF7"/>
    <w:rsid w:val="00C23326"/>
    <w:rsid w:val="00C44163"/>
    <w:rsid w:val="00C44663"/>
    <w:rsid w:val="00C611D0"/>
    <w:rsid w:val="00C730BB"/>
    <w:rsid w:val="00C825FA"/>
    <w:rsid w:val="00C835DC"/>
    <w:rsid w:val="00C91429"/>
    <w:rsid w:val="00C938B6"/>
    <w:rsid w:val="00C96572"/>
    <w:rsid w:val="00CA0034"/>
    <w:rsid w:val="00CA25E1"/>
    <w:rsid w:val="00CB046A"/>
    <w:rsid w:val="00CB0B0D"/>
    <w:rsid w:val="00CC5B7A"/>
    <w:rsid w:val="00CC7082"/>
    <w:rsid w:val="00CE5080"/>
    <w:rsid w:val="00D037F1"/>
    <w:rsid w:val="00D16C0D"/>
    <w:rsid w:val="00D22825"/>
    <w:rsid w:val="00D24D27"/>
    <w:rsid w:val="00D25A94"/>
    <w:rsid w:val="00D30983"/>
    <w:rsid w:val="00D36E27"/>
    <w:rsid w:val="00D43E9A"/>
    <w:rsid w:val="00D47385"/>
    <w:rsid w:val="00D51254"/>
    <w:rsid w:val="00D54923"/>
    <w:rsid w:val="00D62084"/>
    <w:rsid w:val="00D867F3"/>
    <w:rsid w:val="00DA0CD4"/>
    <w:rsid w:val="00DC7066"/>
    <w:rsid w:val="00DD525B"/>
    <w:rsid w:val="00DE02EE"/>
    <w:rsid w:val="00DE0616"/>
    <w:rsid w:val="00DF17F3"/>
    <w:rsid w:val="00DF1B80"/>
    <w:rsid w:val="00E15DE7"/>
    <w:rsid w:val="00E268B2"/>
    <w:rsid w:val="00E30382"/>
    <w:rsid w:val="00E308F6"/>
    <w:rsid w:val="00E36B4D"/>
    <w:rsid w:val="00E45DD2"/>
    <w:rsid w:val="00E46A1A"/>
    <w:rsid w:val="00E64745"/>
    <w:rsid w:val="00E757CE"/>
    <w:rsid w:val="00E80038"/>
    <w:rsid w:val="00E85AAD"/>
    <w:rsid w:val="00EC6AA2"/>
    <w:rsid w:val="00ED5A16"/>
    <w:rsid w:val="00EE6571"/>
    <w:rsid w:val="00EF0DBE"/>
    <w:rsid w:val="00EF5F04"/>
    <w:rsid w:val="00EF7978"/>
    <w:rsid w:val="00F10C35"/>
    <w:rsid w:val="00F16DED"/>
    <w:rsid w:val="00F2173B"/>
    <w:rsid w:val="00F259A0"/>
    <w:rsid w:val="00F55F11"/>
    <w:rsid w:val="00F80DD7"/>
    <w:rsid w:val="00FA457E"/>
    <w:rsid w:val="00FE46FC"/>
    <w:rsid w:val="00FF104C"/>
    <w:rsid w:val="00FF40B7"/>
    <w:rsid w:val="6333DD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C3FC6"/>
  <w15:chartTrackingRefBased/>
  <w15:docId w15:val="{A3B55E22-F7CE-4246-82E3-1E962B5DD7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1872"/>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801872"/>
    <w:pPr>
      <w:tabs>
        <w:tab w:val="center" w:pos="4419"/>
        <w:tab w:val="right" w:pos="8838"/>
      </w:tabs>
    </w:pPr>
  </w:style>
  <w:style w:type="character" w:styleId="EncabezadoCar" w:customStyle="1">
    <w:name w:val="Encabezado Car"/>
    <w:basedOn w:val="Fuentedeprrafopredeter"/>
    <w:link w:val="Encabezado"/>
    <w:uiPriority w:val="99"/>
    <w:rsid w:val="00801872"/>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801872"/>
    <w:pPr>
      <w:tabs>
        <w:tab w:val="center" w:pos="4419"/>
        <w:tab w:val="right" w:pos="8838"/>
      </w:tabs>
    </w:pPr>
  </w:style>
  <w:style w:type="character" w:styleId="PiedepginaCar" w:customStyle="1">
    <w:name w:val="Pie de página Car"/>
    <w:basedOn w:val="Fuentedeprrafopredeter"/>
    <w:link w:val="Piedepgina"/>
    <w:uiPriority w:val="99"/>
    <w:rsid w:val="00801872"/>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87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0187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01872"/>
    <w:rPr>
      <w:color w:val="0563C1" w:themeColor="hyperlink"/>
      <w:u w:val="single"/>
    </w:rPr>
  </w:style>
  <w:style w:type="table" w:styleId="Tablaconcuadrcula">
    <w:name w:val="Table Grid"/>
    <w:basedOn w:val="Tablanormal"/>
    <w:uiPriority w:val="59"/>
    <w:rsid w:val="0080187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basedOn w:val="Fuentedeprrafopredeter"/>
    <w:uiPriority w:val="99"/>
    <w:semiHidden/>
    <w:unhideWhenUsed/>
    <w:rsid w:val="00BE73E6"/>
    <w:rPr>
      <w:sz w:val="16"/>
      <w:szCs w:val="16"/>
    </w:rPr>
  </w:style>
  <w:style w:type="paragraph" w:styleId="Textocomentario">
    <w:name w:val="annotation text"/>
    <w:basedOn w:val="Normal"/>
    <w:link w:val="TextocomentarioCar"/>
    <w:uiPriority w:val="99"/>
    <w:semiHidden/>
    <w:unhideWhenUsed/>
    <w:rsid w:val="00BE73E6"/>
  </w:style>
  <w:style w:type="character" w:styleId="TextocomentarioCar" w:customStyle="1">
    <w:name w:val="Texto comentario Car"/>
    <w:basedOn w:val="Fuentedeprrafopredeter"/>
    <w:link w:val="Textocomentario"/>
    <w:uiPriority w:val="99"/>
    <w:semiHidden/>
    <w:rsid w:val="00BE73E6"/>
    <w:rPr>
      <w:rFonts w:ascii="Times New Roman" w:hAnsi="Times New Roman"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73E6"/>
    <w:rPr>
      <w:b/>
      <w:bCs/>
    </w:rPr>
  </w:style>
  <w:style w:type="character" w:styleId="AsuntodelcomentarioCar" w:customStyle="1">
    <w:name w:val="Asunto del comentario Car"/>
    <w:basedOn w:val="TextocomentarioCar"/>
    <w:link w:val="Asuntodelcomentario"/>
    <w:uiPriority w:val="99"/>
    <w:semiHidden/>
    <w:rsid w:val="00BE73E6"/>
    <w:rPr>
      <w:rFonts w:ascii="Times New Roman" w:hAnsi="Times New Roman" w:eastAsia="Times New Roman" w:cs="Times New Roman"/>
      <w:b/>
      <w:bCs/>
      <w:sz w:val="20"/>
      <w:szCs w:val="20"/>
      <w:lang w:eastAsia="es-ES"/>
    </w:rPr>
  </w:style>
  <w:style w:type="paragraph" w:styleId="Textodeglobo">
    <w:name w:val="Balloon Text"/>
    <w:basedOn w:val="Normal"/>
    <w:link w:val="TextodegloboCar"/>
    <w:uiPriority w:val="99"/>
    <w:semiHidden/>
    <w:unhideWhenUsed/>
    <w:rsid w:val="00BE73E6"/>
    <w:rPr>
      <w:sz w:val="18"/>
      <w:szCs w:val="18"/>
    </w:rPr>
  </w:style>
  <w:style w:type="character" w:styleId="TextodegloboCar" w:customStyle="1">
    <w:name w:val="Texto de globo Car"/>
    <w:basedOn w:val="Fuentedeprrafopredeter"/>
    <w:link w:val="Textodeglobo"/>
    <w:uiPriority w:val="99"/>
    <w:semiHidden/>
    <w:rsid w:val="00BE73E6"/>
    <w:rPr>
      <w:rFonts w:ascii="Times New Roman" w:hAnsi="Times New Roman" w:eastAsia="Times New Roman" w:cs="Times New Roman"/>
      <w:sz w:val="18"/>
      <w:szCs w:val="18"/>
      <w:lang w:eastAsia="es-ES"/>
    </w:rPr>
  </w:style>
  <w:style w:type="character" w:styleId="Mencinsinresolver1" w:customStyle="1">
    <w:name w:val="Mención sin resolver1"/>
    <w:basedOn w:val="Fuentedeprrafopredeter"/>
    <w:uiPriority w:val="99"/>
    <w:semiHidden/>
    <w:unhideWhenUsed/>
    <w:rsid w:val="00B15A0A"/>
    <w:rPr>
      <w:color w:val="605E5C"/>
      <w:shd w:val="clear" w:color="auto" w:fill="E1DFDD"/>
    </w:rPr>
  </w:style>
  <w:style w:type="character" w:styleId="Hipervnculovisitado">
    <w:name w:val="FollowedHyperlink"/>
    <w:basedOn w:val="Fuentedeprrafopredeter"/>
    <w:uiPriority w:val="99"/>
    <w:semiHidden/>
    <w:unhideWhenUsed/>
    <w:rsid w:val="00674438"/>
    <w:rPr>
      <w:color w:val="954F72" w:themeColor="followedHyperlink"/>
      <w:u w:val="single"/>
    </w:rPr>
  </w:style>
  <w:style w:type="paragraph" w:styleId="Revisin">
    <w:name w:val="Revision"/>
    <w:hidden/>
    <w:uiPriority w:val="99"/>
    <w:semiHidden/>
    <w:rsid w:val="00867749"/>
    <w:pPr>
      <w:spacing w:after="0" w:line="240" w:lineRule="auto"/>
    </w:pPr>
    <w:rPr>
      <w:rFonts w:ascii="Times New Roman" w:hAnsi="Times New Roman" w:eastAsia="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133144">
      <w:bodyDiv w:val="1"/>
      <w:marLeft w:val="0"/>
      <w:marRight w:val="0"/>
      <w:marTop w:val="0"/>
      <w:marBottom w:val="0"/>
      <w:divBdr>
        <w:top w:val="none" w:sz="0" w:space="0" w:color="auto"/>
        <w:left w:val="none" w:sz="0" w:space="0" w:color="auto"/>
        <w:bottom w:val="none" w:sz="0" w:space="0" w:color="auto"/>
        <w:right w:val="none" w:sz="0" w:space="0" w:color="auto"/>
      </w:divBdr>
    </w:div>
    <w:div w:id="612059298">
      <w:bodyDiv w:val="1"/>
      <w:marLeft w:val="0"/>
      <w:marRight w:val="0"/>
      <w:marTop w:val="0"/>
      <w:marBottom w:val="0"/>
      <w:divBdr>
        <w:top w:val="none" w:sz="0" w:space="0" w:color="auto"/>
        <w:left w:val="none" w:sz="0" w:space="0" w:color="auto"/>
        <w:bottom w:val="none" w:sz="0" w:space="0" w:color="auto"/>
        <w:right w:val="none" w:sz="0" w:space="0" w:color="auto"/>
      </w:divBdr>
    </w:div>
    <w:div w:id="1761675960">
      <w:bodyDiv w:val="1"/>
      <w:marLeft w:val="0"/>
      <w:marRight w:val="0"/>
      <w:marTop w:val="0"/>
      <w:marBottom w:val="0"/>
      <w:divBdr>
        <w:top w:val="none" w:sz="0" w:space="0" w:color="auto"/>
        <w:left w:val="none" w:sz="0" w:space="0" w:color="auto"/>
        <w:bottom w:val="none" w:sz="0" w:space="0" w:color="auto"/>
        <w:right w:val="none" w:sz="0" w:space="0" w:color="auto"/>
      </w:divBdr>
    </w:div>
    <w:div w:id="1849829723">
      <w:bodyDiv w:val="1"/>
      <w:marLeft w:val="0"/>
      <w:marRight w:val="0"/>
      <w:marTop w:val="0"/>
      <w:marBottom w:val="0"/>
      <w:divBdr>
        <w:top w:val="none" w:sz="0" w:space="0" w:color="auto"/>
        <w:left w:val="none" w:sz="0" w:space="0" w:color="auto"/>
        <w:bottom w:val="none" w:sz="0" w:space="0" w:color="auto"/>
        <w:right w:val="none" w:sz="0" w:space="0" w:color="auto"/>
      </w:divBdr>
    </w:div>
    <w:div w:id="190402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gob.mx/segob/renapo/acciones-y-programas/clave-unica-de-registro-de-poblacion-curp-142226" TargetMode="Externa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hyperlink" Target="https://consultas.curp.gob.mx/CurpSP/html/informacionecurpPS.html" TargetMode="Externa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issemym.gob.mx/sites/www.issemym.gob.mx/files/Sistema%20de%20Capitalizacion%20Individual.jpg" TargetMode="External" Id="rId11" /><Relationship Type="http://schemas.openxmlformats.org/officeDocument/2006/relationships/footnotes" Target="footnot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webSettings" Target="webSettings.xml" Id="rId4" /><Relationship Type="http://schemas.openxmlformats.org/officeDocument/2006/relationships/hyperlink" Target="http://dof.gob.mx/nota_detalle.php?codigo=5492254&amp;fecha=28/07/2017" TargetMode="External" Id="rId9" /><Relationship Type="http://schemas.openxmlformats.org/officeDocument/2006/relationships/footer" Target="footer1.xml" Id="rId14" /><Relationship Type="http://schemas.openxmlformats.org/officeDocument/2006/relationships/glossaryDocument" Target="glossary/document.xml" Id="Rc5c58905b7574f5c"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3ed4907-c701-4a52-b118-1c6852e1cba6}"/>
      </w:docPartPr>
      <w:docPartBody>
        <w:p w14:paraId="4A380D6C">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Cuenta Microsoft</dc:creator>
  <keywords/>
  <dc:description/>
  <lastModifiedBy>Usuario invitado</lastModifiedBy>
  <revision>13</revision>
  <lastPrinted>2022-01-12T15:44:00.0000000Z</lastPrinted>
  <dcterms:created xsi:type="dcterms:W3CDTF">2022-01-13T18:07:00.0000000Z</dcterms:created>
  <dcterms:modified xsi:type="dcterms:W3CDTF">2022-01-28T17:57:40.5061492Z</dcterms:modified>
</coreProperties>
</file>