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veintiuno de septiembre de dos mil veintidós.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VISTOS</w:t>
      </w:r>
      <w:r w:rsidDel="00000000" w:rsidR="00000000" w:rsidRPr="00000000">
        <w:rPr>
          <w:rFonts w:ascii="Palatino Linotype" w:cs="Palatino Linotype" w:eastAsia="Palatino Linotype" w:hAnsi="Palatino Linotype"/>
          <w:rtl w:val="0"/>
        </w:rPr>
        <w:t xml:space="preserve"> los expedientes formados con motivo de los recursos de revisión </w:t>
      </w:r>
      <w:r w:rsidDel="00000000" w:rsidR="00000000" w:rsidRPr="00000000">
        <w:rPr>
          <w:rFonts w:ascii="Palatino Linotype" w:cs="Palatino Linotype" w:eastAsia="Palatino Linotype" w:hAnsi="Palatino Linotype"/>
          <w:b w:val="1"/>
          <w:rtl w:val="0"/>
        </w:rPr>
        <w:t xml:space="preserve">05604/INFOEM/IP/RR/2022, 05605/INFOEM/IP/RR/2022, 05606/INFOEM/IP/RR/2022,</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05608/INFOEM/IP/RR/2022, 05610/INFOEM/IP/RR/2022, 05611/INFOEM/IP/RR/2022</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05612/INFOEM/IP/RR/2022,</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acumulados,</w:t>
      </w:r>
      <w:r w:rsidDel="00000000" w:rsidR="00000000" w:rsidRPr="00000000">
        <w:rPr>
          <w:rFonts w:ascii="Palatino Linotype" w:cs="Palatino Linotype" w:eastAsia="Palatino Linotype" w:hAnsi="Palatino Linotype"/>
          <w:rtl w:val="0"/>
        </w:rPr>
        <w:t xml:space="preserve"> interpuestos por</w:t>
      </w:r>
      <w:r w:rsidDel="00000000" w:rsidR="00000000" w:rsidRPr="00000000">
        <w:rPr>
          <w:rFonts w:ascii="Palatino Linotype" w:cs="Palatino Linotype" w:eastAsia="Palatino Linotype" w:hAnsi="Palatino Linotype"/>
          <w:b w:val="1"/>
          <w:rtl w:val="0"/>
        </w:rPr>
        <w:t xml:space="preserve"> XXXXX XXXXX XXXXX, </w:t>
      </w:r>
      <w:r w:rsidDel="00000000" w:rsidR="00000000" w:rsidRPr="00000000">
        <w:rPr>
          <w:rFonts w:ascii="Palatino Linotype" w:cs="Palatino Linotype" w:eastAsia="Palatino Linotype" w:hAnsi="Palatino Linotype"/>
          <w:rtl w:val="0"/>
        </w:rPr>
        <w:t xml:space="preserve">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las respuestas a sus solicitudes por parte del</w:t>
      </w:r>
      <w:r w:rsidDel="00000000" w:rsidR="00000000" w:rsidRPr="00000000">
        <w:rPr>
          <w:rFonts w:ascii="Palatino Linotype" w:cs="Palatino Linotype" w:eastAsia="Palatino Linotype" w:hAnsi="Palatino Linotype"/>
          <w:b w:val="1"/>
          <w:rtl w:val="0"/>
        </w:rPr>
        <w:t xml:space="preserve"> Organismo Público Descentralizado de Agua Potable Alcantarillado y Saneamiento de Chimalhuacán,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rtl w:val="0"/>
        </w:rPr>
        <w:t xml:space="preserve">I. A N T E C E D E N T E S</w:t>
      </w:r>
      <w:r w:rsidDel="00000000" w:rsidR="00000000" w:rsidRPr="00000000">
        <w:rPr>
          <w:rtl w:val="0"/>
        </w:rPr>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Solicitudes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veintidós de febrero de dos mil veintidós, </w:t>
      </w:r>
      <w:r w:rsidDel="00000000" w:rsidR="00000000" w:rsidRPr="00000000">
        <w:rPr>
          <w:rFonts w:ascii="Palatino Linotype" w:cs="Palatino Linotype" w:eastAsia="Palatino Linotype" w:hAnsi="Palatino Linotype"/>
          <w:rtl w:val="0"/>
        </w:rPr>
        <w:t xml:space="preserve">la persona solicitante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presentó,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las solicitudes de acceso a la información pública, a las que se les asignaron los números </w:t>
      </w:r>
      <w:r w:rsidDel="00000000" w:rsidR="00000000" w:rsidRPr="00000000">
        <w:rPr>
          <w:rFonts w:ascii="Palatino Linotype" w:cs="Palatino Linotype" w:eastAsia="Palatino Linotype" w:hAnsi="Palatino Linotype"/>
          <w:b w:val="1"/>
          <w:rtl w:val="0"/>
        </w:rPr>
        <w:t xml:space="preserve">00028/OASCHIMAL/IP/2022, 00029/OASCHIMAL/IP/2022, 00030/OASCHIMAL/IP/2022, 00031/OASCHIMAL/IP/2022</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00032/OASCHIMAL/IP/2022, 00033/OASCHIMAL/IP/2022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00038/OASCHIMAL/IP/2022, </w:t>
      </w:r>
      <w:r w:rsidDel="00000000" w:rsidR="00000000" w:rsidRPr="00000000">
        <w:rPr>
          <w:rFonts w:ascii="Palatino Linotype" w:cs="Palatino Linotype" w:eastAsia="Palatino Linotype" w:hAnsi="Palatino Linotype"/>
          <w:rtl w:val="0"/>
        </w:rPr>
        <w:t xml:space="preserve">mediante las cuales requirió la información siguiente:</w:t>
      </w:r>
      <w:r w:rsidDel="00000000" w:rsidR="00000000" w:rsidRPr="00000000">
        <w:rPr>
          <w:rtl w:val="0"/>
        </w:rPr>
      </w:r>
    </w:p>
    <w:tbl>
      <w:tblPr>
        <w:tblStyle w:val="Table1"/>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vAlign w:val="center"/>
          </w:tcPr>
          <w:p w:rsidR="00000000" w:rsidDel="00000000" w:rsidP="00000000" w:rsidRDefault="00000000" w:rsidRPr="00000000" w14:paraId="00000005">
            <w:pPr>
              <w:jc w:val="center"/>
              <w:rPr>
                <w:rFonts w:ascii="Palatino Linotype" w:cs="Palatino Linotype" w:eastAsia="Palatino Linotype" w:hAnsi="Palatino Linotype"/>
                <w:b w:val="1"/>
                <w:sz w:val="20"/>
                <w:szCs w:val="20"/>
              </w:rPr>
            </w:pPr>
            <w:bookmarkStart w:colFirst="0" w:colLast="0" w:name="_heading=h.gjdgxs" w:id="0"/>
            <w:bookmarkEnd w:id="0"/>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0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00028/OASCHIMAL/IP/2022</w:t>
            </w:r>
            <w:r w:rsidDel="00000000" w:rsidR="00000000" w:rsidRPr="00000000">
              <w:rPr>
                <w:rtl w:val="0"/>
              </w:rPr>
            </w:r>
          </w:p>
        </w:tc>
        <w:tc>
          <w:tcPr>
            <w:vAlign w:val="center"/>
          </w:tcPr>
          <w:p w:rsidR="00000000" w:rsidDel="00000000" w:rsidP="00000000" w:rsidRDefault="00000000" w:rsidRPr="00000000" w14:paraId="00000007">
            <w:pP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“Solicito relación de proveedores que se han encargado de prestar servicios al Organismo del 01 de enero al 31 de enero del 2022” (sic)</w:t>
            </w:r>
          </w:p>
        </w:tc>
      </w:tr>
      <w:tr>
        <w:trPr>
          <w:cantSplit w:val="0"/>
          <w:tblHeader w:val="0"/>
        </w:trPr>
        <w:tc>
          <w:tcPr>
            <w:vAlign w:val="center"/>
          </w:tcPr>
          <w:p w:rsidR="00000000" w:rsidDel="00000000" w:rsidP="00000000" w:rsidRDefault="00000000" w:rsidRPr="00000000" w14:paraId="0000000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Solicitud 00029/OASCHIMAL/IP/2022</w:t>
            </w:r>
            <w:r w:rsidDel="00000000" w:rsidR="00000000" w:rsidRPr="00000000">
              <w:rPr>
                <w:rtl w:val="0"/>
              </w:rPr>
            </w:r>
          </w:p>
        </w:tc>
        <w:tc>
          <w:tcPr>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i w:val="1"/>
                <w:sz w:val="20"/>
                <w:szCs w:val="20"/>
                <w:rtl w:val="0"/>
              </w:rPr>
              <w:t xml:space="preserve">“Solicito me sea informado bajo que procedimiento administrativo se dio la adquisición, arrendamiento o suministro de servicios que han presentado las empresas que durante el período del 01 de enero al 15 de febrero del 2022 han fungido como proveedores del Organismo” (sic)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0A">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00030/OASCHIMAL/IP/2022</w:t>
            </w:r>
          </w:p>
        </w:tc>
        <w:tc>
          <w:tcPr>
            <w:vAlign w:val="center"/>
          </w:tcPr>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“Solicito nombre del proveedor y gastos que se generaron por en concepto de consumo de papelería en el periodo del 01 de enero al 15 de febrero del 2022” (sic)</w:t>
            </w:r>
          </w:p>
        </w:tc>
      </w:tr>
      <w:tr>
        <w:trPr>
          <w:cantSplit w:val="0"/>
          <w:tblHeader w:val="0"/>
        </w:trPr>
        <w:tc>
          <w:tcPr>
            <w:vAlign w:val="center"/>
          </w:tcPr>
          <w:p w:rsidR="00000000" w:rsidDel="00000000" w:rsidP="00000000" w:rsidRDefault="00000000" w:rsidRPr="00000000" w14:paraId="0000000C">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00031/OASCHIMAL/IP/2022</w:t>
            </w:r>
          </w:p>
        </w:tc>
        <w:tc>
          <w:tcPr>
            <w:vAlign w:val="center"/>
          </w:tcPr>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“Solicito nombre del proveedor y gastos que se generaron por en concepto de consumo de combustible en el periodo del 01 de enero al 15 de febrero del 2022” (sic)</w:t>
            </w:r>
          </w:p>
        </w:tc>
      </w:tr>
      <w:tr>
        <w:trPr>
          <w:cantSplit w:val="0"/>
          <w:tblHeader w:val="0"/>
        </w:trPr>
        <w:tc>
          <w:tcPr>
            <w:vAlign w:val="center"/>
          </w:tcPr>
          <w:p w:rsidR="00000000" w:rsidDel="00000000" w:rsidP="00000000" w:rsidRDefault="00000000" w:rsidRPr="00000000" w14:paraId="0000000E">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00032/OASCHIMAL/IP/2022</w:t>
            </w:r>
          </w:p>
        </w:tc>
        <w:tc>
          <w:tcPr>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“Solicito nombre del proveedor y gastos que se generaron por en concepto de compra de material para reparación de fugas en el periodo del 01 de enero al 15 de febrero del 2022” (sic)</w:t>
            </w:r>
          </w:p>
        </w:tc>
      </w:tr>
      <w:tr>
        <w:trPr>
          <w:cantSplit w:val="0"/>
          <w:tblHeader w:val="0"/>
        </w:trPr>
        <w:tc>
          <w:tcPr>
            <w:vAlign w:val="center"/>
          </w:tcPr>
          <w:p w:rsidR="00000000" w:rsidDel="00000000" w:rsidP="00000000" w:rsidRDefault="00000000" w:rsidRPr="00000000" w14:paraId="00000010">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11">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00033/OASCHIMAL/IP/2022</w:t>
            </w:r>
          </w:p>
        </w:tc>
        <w:tc>
          <w:tcPr>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“Solicito nombre del proveedor y gastos que se generaron por en concepto de compra de hipoclorito en el periodo del 01 de enero al 15 de febrero del 2022” (sic)</w:t>
            </w:r>
          </w:p>
        </w:tc>
      </w:tr>
      <w:tr>
        <w:trPr>
          <w:cantSplit w:val="0"/>
          <w:tblHeader w:val="0"/>
        </w:trPr>
        <w:tc>
          <w:tcPr>
            <w:vAlign w:val="center"/>
          </w:tcPr>
          <w:p w:rsidR="00000000" w:rsidDel="00000000" w:rsidP="00000000" w:rsidRDefault="00000000" w:rsidRPr="00000000" w14:paraId="00000013">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1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00038/OASCHIMAL/IP/2022</w:t>
            </w:r>
          </w:p>
        </w:tc>
        <w:tc>
          <w:tcPr>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“Solicito nombre del proveedor y gastos que se generaron por en concepto de reparación de parque vehícular en el periodo del 01 de enero al 15 de febrero del 2022” (sic)</w:t>
            </w:r>
          </w:p>
        </w:tc>
      </w:tr>
    </w:tbl>
    <w:p w:rsidR="00000000" w:rsidDel="00000000" w:rsidP="00000000" w:rsidRDefault="00000000" w:rsidRPr="00000000" w14:paraId="00000016">
      <w:pPr>
        <w:spacing w:line="360" w:lineRule="auto"/>
        <w:ind w:right="90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spacing w:line="360" w:lineRule="auto"/>
        <w:ind w:right="90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adjuntó archivos a sus solicitudes.</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 SAIMEX en todos los casos.</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Prórroga.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quince de marzo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solicitó prórroga mediante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argumentando lo siguiente en todos los casos:</w:t>
      </w:r>
      <w:r w:rsidDel="00000000" w:rsidR="00000000" w:rsidRPr="00000000">
        <w:rPr>
          <w:rtl w:val="0"/>
        </w:rPr>
      </w:r>
    </w:p>
    <w:p w:rsidR="00000000" w:rsidDel="00000000" w:rsidP="00000000" w:rsidRDefault="00000000" w:rsidRPr="00000000" w14:paraId="0000001A">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1B">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Aprobada...”</w:t>
      </w:r>
    </w:p>
    <w:p w:rsidR="00000000" w:rsidDel="00000000" w:rsidP="00000000" w:rsidRDefault="00000000" w:rsidRPr="00000000" w14:paraId="0000001C">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bien refiere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Ley de Transparencia y Acceso a la Información Pública del Estado de México y Municipios, contempla la potestad de ampliar el plazo hasta por siete días, en términos del párrafo segundo del artículo 163, siempre y cuando existan razones fundadas y motivadas para hacerlo, y que estas sean aprobadas por el Comité de Transparencia, mediante la emisión de una resolución, en el caso que nos ocupa y derivado de las constancias que obran en el expediente, se advierte que no se observaron las formalidades que establece la Ley de la materia, pues no se anexó la resolución mediante la cual el Comité de Transparencia aprobara la ampliación del plazo.</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Respuesta. </w:t>
      </w:r>
      <w:r w:rsidDel="00000000" w:rsidR="00000000" w:rsidRPr="00000000">
        <w:rPr>
          <w:rFonts w:ascii="Palatino Linotype" w:cs="Palatino Linotype" w:eastAsia="Palatino Linotype" w:hAnsi="Palatino Linotype"/>
          <w:rtl w:val="0"/>
        </w:rPr>
        <w:t xml:space="preserve"> Con fechas</w:t>
      </w:r>
      <w:r w:rsidDel="00000000" w:rsidR="00000000" w:rsidRPr="00000000">
        <w:rPr>
          <w:rFonts w:ascii="Palatino Linotype" w:cs="Palatino Linotype" w:eastAsia="Palatino Linotype" w:hAnsi="Palatino Linotype"/>
          <w:b w:val="1"/>
          <w:rtl w:val="0"/>
        </w:rPr>
        <w:t xml:space="preserve"> veinticuatro y veintiocho de marzo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sus respuestas a las solicitudes de acceso a la información a través de SAIMEX, sustancialmente en los términos siguientes:</w:t>
      </w:r>
    </w:p>
    <w:tbl>
      <w:tblPr>
        <w:tblStyle w:val="Table2"/>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vAlign w:val="center"/>
          </w:tcPr>
          <w:p w:rsidR="00000000" w:rsidDel="00000000" w:rsidP="00000000" w:rsidRDefault="00000000" w:rsidRPr="00000000" w14:paraId="0000001E">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1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00028/OASCHIMAL/IP/2022</w:t>
            </w:r>
            <w:r w:rsidDel="00000000" w:rsidR="00000000" w:rsidRPr="00000000">
              <w:rPr>
                <w:rtl w:val="0"/>
              </w:rPr>
            </w:r>
          </w:p>
        </w:tc>
        <w:tc>
          <w:tcPr>
            <w:vMerge w:val="restart"/>
            <w:vAlign w:val="center"/>
          </w:tcPr>
          <w:p w:rsidR="00000000" w:rsidDel="00000000" w:rsidP="00000000" w:rsidRDefault="00000000" w:rsidRPr="00000000" w14:paraId="00000020">
            <w:pP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“...le contestamos que:</w:t>
            </w:r>
          </w:p>
          <w:p w:rsidR="00000000" w:rsidDel="00000000" w:rsidP="00000000" w:rsidRDefault="00000000" w:rsidRPr="00000000" w14:paraId="00000021">
            <w:pP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ATENTAMENTE UNIDAD DE TRANSPARENCIA...” (sic)</w:t>
            </w:r>
          </w:p>
        </w:tc>
      </w:tr>
      <w:tr>
        <w:trPr>
          <w:cantSplit w:val="0"/>
          <w:tblHeader w:val="0"/>
        </w:trPr>
        <w:tc>
          <w:tcPr>
            <w:vAlign w:val="center"/>
          </w:tcPr>
          <w:p w:rsidR="00000000" w:rsidDel="00000000" w:rsidP="00000000" w:rsidRDefault="00000000" w:rsidRPr="00000000" w14:paraId="0000002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Solicitud 00029/OASCHIMAL/IP/2022</w:t>
            </w:r>
            <w:r w:rsidDel="00000000" w:rsidR="00000000" w:rsidRPr="00000000">
              <w:rPr>
                <w:rtl w:val="0"/>
              </w:rPr>
            </w:r>
          </w:p>
        </w:tc>
        <w:tc>
          <w:tcPr>
            <w:vMerge w:val="continue"/>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00030/OASCHIMAL/IP/2022</w:t>
            </w:r>
          </w:p>
        </w:tc>
        <w:tc>
          <w:tcPr>
            <w:vMerge w:val="continue"/>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6">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00031/OASCHIMAL/IP/2022</w:t>
            </w:r>
          </w:p>
        </w:tc>
        <w:tc>
          <w:tcPr>
            <w:vMerge w:val="continue"/>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00032/OASCHIMAL/IP/2022</w:t>
            </w:r>
          </w:p>
        </w:tc>
        <w:tc>
          <w:tcPr>
            <w:vMerge w:val="continue"/>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A">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2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00033/OASCHIMAL/IP/2022</w:t>
            </w:r>
          </w:p>
        </w:tc>
        <w:tc>
          <w:tcPr>
            <w:vMerge w:val="continue"/>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D">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2E">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00038/OASCHIMAL/IP/2022</w:t>
            </w:r>
          </w:p>
        </w:tc>
        <w:tc>
          <w:tcPr>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.”..le contestamos que:</w:t>
            </w:r>
          </w:p>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ATENTAMENTE UNIDAD DE TRANSPARENCIA ODAPAS CHIMALHUACAN...”</w:t>
            </w:r>
          </w:p>
        </w:tc>
      </w:tr>
    </w:tbl>
    <w:p w:rsidR="00000000" w:rsidDel="00000000" w:rsidP="00000000" w:rsidRDefault="00000000" w:rsidRPr="00000000" w14:paraId="0000003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los archivos: “</w:t>
      </w:r>
      <w:r w:rsidDel="00000000" w:rsidR="00000000" w:rsidRPr="00000000">
        <w:rPr>
          <w:rFonts w:ascii="Palatino Linotype" w:cs="Palatino Linotype" w:eastAsia="Palatino Linotype" w:hAnsi="Palatino Linotype"/>
          <w:i w:val="1"/>
          <w:rtl w:val="0"/>
        </w:rPr>
        <w:t xml:space="preserve">4.- RESPUESTA AL RECURRENTE 00028.pdf”</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4.- RESPUESTA AL RECURR   ENTE 00029.pdf”</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4.- RESPUESTA AL RECURRENTE 00030.pdf”,</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4.- RESPUESTA AL RECURRENTE 00031.pdf”</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4.- RESPUESTA AL RECURRENTE 00032.pdf”</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4.- RESPUESTA AL RECURRENTE 00033.pdf”,</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4.- RESPUESTA AL RECURRENTE 00038.pdf”</w:t>
      </w:r>
      <w:r w:rsidDel="00000000" w:rsidR="00000000" w:rsidRPr="00000000">
        <w:rPr>
          <w:rFonts w:ascii="Palatino Linotype" w:cs="Palatino Linotype" w:eastAsia="Palatino Linotype" w:hAnsi="Palatino Linotype"/>
          <w:rtl w:val="0"/>
        </w:rPr>
        <w:t xml:space="preserve">, que contienen lo siguiente:</w:t>
      </w:r>
    </w:p>
    <w:p w:rsidR="00000000" w:rsidDel="00000000" w:rsidP="00000000" w:rsidRDefault="00000000" w:rsidRPr="00000000" w14:paraId="0000003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Oficios con números  de folio: UT/ODAPAS/0147/2022, UT/ODAPAS/0149/2022, UT/ODAPAS/0150/2022, UT/ODAPAS/0151/2022, UT/ODAPAS/0152/2022, UT/ODAPAS/0153/2022 y UT/ODAPAS/0162/2022, signados por el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mediante los cuales hace del conocimiento de la persona solicitante lo siguiente:</w:t>
      </w:r>
    </w:p>
    <w:p w:rsidR="00000000" w:rsidDel="00000000" w:rsidP="00000000" w:rsidRDefault="00000000" w:rsidRPr="00000000" w14:paraId="00000033">
      <w:pPr>
        <w:spacing w:after="240" w:before="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604385" cy="1075690"/>
            <wp:effectExtent b="0" l="0" r="0" t="0"/>
            <wp:docPr id="145"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4604385" cy="107569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Interposición de los recursos de revisión. </w:t>
      </w:r>
      <w:r w:rsidDel="00000000" w:rsidR="00000000" w:rsidRPr="00000000">
        <w:rPr>
          <w:rFonts w:ascii="Palatino Linotype" w:cs="Palatino Linotype" w:eastAsia="Palatino Linotype" w:hAnsi="Palatino Linotype"/>
          <w:rtl w:val="0"/>
        </w:rPr>
        <w:t xml:space="preserve">Inconforme con los términos de las respuestas emitidas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seis de abril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los recursos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 en todos los casos:</w:t>
      </w:r>
    </w:p>
    <w:p w:rsidR="00000000" w:rsidDel="00000000" w:rsidP="00000000" w:rsidRDefault="00000000" w:rsidRPr="00000000" w14:paraId="00000035">
      <w:pPr>
        <w:tabs>
          <w:tab w:val="left" w:pos="2745"/>
        </w:tabs>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tbl>
      <w:tblPr>
        <w:tblStyle w:val="Table3"/>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vAlign w:val="center"/>
          </w:tcPr>
          <w:p w:rsidR="00000000" w:rsidDel="00000000" w:rsidP="00000000" w:rsidRDefault="00000000" w:rsidRPr="00000000" w14:paraId="00000036">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37">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00028/OASCHIMAL/IP/2022</w:t>
            </w:r>
          </w:p>
          <w:p w:rsidR="00000000" w:rsidDel="00000000" w:rsidP="00000000" w:rsidRDefault="00000000" w:rsidRPr="00000000" w14:paraId="0000003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tab/>
            </w:r>
          </w:p>
          <w:p w:rsidR="00000000" w:rsidDel="00000000" w:rsidP="00000000" w:rsidRDefault="00000000" w:rsidRPr="00000000" w14:paraId="0000003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05612/INFOEM/IP/RR/2022</w:t>
            </w:r>
            <w:r w:rsidDel="00000000" w:rsidR="00000000" w:rsidRPr="00000000">
              <w:rPr>
                <w:rtl w:val="0"/>
              </w:rPr>
            </w:r>
          </w:p>
        </w:tc>
        <w:tc>
          <w:tcPr>
            <w:vAlign w:val="center"/>
          </w:tcPr>
          <w:p w:rsidR="00000000" w:rsidDel="00000000" w:rsidP="00000000" w:rsidRDefault="00000000" w:rsidRPr="00000000" w14:paraId="0000003A">
            <w:pP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“Negativa a entrega de información” (sic)</w:t>
            </w:r>
          </w:p>
        </w:tc>
      </w:tr>
      <w:tr>
        <w:trPr>
          <w:cantSplit w:val="0"/>
          <w:tblHeader w:val="0"/>
        </w:trPr>
        <w:tc>
          <w:tcPr>
            <w:vAlign w:val="center"/>
          </w:tcPr>
          <w:p w:rsidR="00000000" w:rsidDel="00000000" w:rsidP="00000000" w:rsidRDefault="00000000" w:rsidRPr="00000000" w14:paraId="0000003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00029/OASCHIMAL/IP/2022</w:t>
            </w:r>
          </w:p>
          <w:p w:rsidR="00000000" w:rsidDel="00000000" w:rsidP="00000000" w:rsidRDefault="00000000" w:rsidRPr="00000000" w14:paraId="0000003C">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tab/>
            </w:r>
          </w:p>
          <w:p w:rsidR="00000000" w:rsidDel="00000000" w:rsidP="00000000" w:rsidRDefault="00000000" w:rsidRPr="00000000" w14:paraId="0000003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05611/INFOEM/IP/RR/2022</w:t>
            </w:r>
            <w:r w:rsidDel="00000000" w:rsidR="00000000" w:rsidRPr="00000000">
              <w:rPr>
                <w:rtl w:val="0"/>
              </w:rPr>
            </w:r>
          </w:p>
        </w:tc>
        <w:tc>
          <w:tcPr>
            <w:vAlign w:val="cente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i w:val="1"/>
                <w:sz w:val="20"/>
                <w:szCs w:val="20"/>
                <w:rtl w:val="0"/>
              </w:rPr>
              <w:t xml:space="preserve">“Negativa a entrega de información” (sic)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F">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00030/OASCHIMAL/IP/2022</w:t>
            </w:r>
          </w:p>
          <w:p w:rsidR="00000000" w:rsidDel="00000000" w:rsidP="00000000" w:rsidRDefault="00000000" w:rsidRPr="00000000" w14:paraId="00000040">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tab/>
            </w:r>
          </w:p>
          <w:p w:rsidR="00000000" w:rsidDel="00000000" w:rsidP="00000000" w:rsidRDefault="00000000" w:rsidRPr="00000000" w14:paraId="00000041">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05610/INFOEM/IP/RR/2022</w:t>
            </w:r>
          </w:p>
        </w:tc>
        <w:tc>
          <w:tcPr>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“Negativa por entrega de unformacion” (sic)</w:t>
            </w:r>
          </w:p>
        </w:tc>
      </w:tr>
      <w:tr>
        <w:trPr>
          <w:cantSplit w:val="0"/>
          <w:tblHeader w:val="0"/>
        </w:trPr>
        <w:tc>
          <w:tcPr>
            <w:vAlign w:val="center"/>
          </w:tcPr>
          <w:p w:rsidR="00000000" w:rsidDel="00000000" w:rsidP="00000000" w:rsidRDefault="00000000" w:rsidRPr="00000000" w14:paraId="00000043">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00031/OASCHIMAL/IP/2022</w:t>
            </w:r>
          </w:p>
          <w:p w:rsidR="00000000" w:rsidDel="00000000" w:rsidP="00000000" w:rsidRDefault="00000000" w:rsidRPr="00000000" w14:paraId="0000004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tab/>
            </w:r>
          </w:p>
          <w:p w:rsidR="00000000" w:rsidDel="00000000" w:rsidP="00000000" w:rsidRDefault="00000000" w:rsidRPr="00000000" w14:paraId="00000045">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05608/INFOEM/IP/RR/2022</w:t>
            </w:r>
          </w:p>
        </w:tc>
        <w:tc>
          <w:tcPr>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“Negativa de entrega de información” (sic)</w:t>
            </w:r>
          </w:p>
        </w:tc>
      </w:tr>
      <w:tr>
        <w:trPr>
          <w:cantSplit w:val="0"/>
          <w:tblHeader w:val="0"/>
        </w:trPr>
        <w:tc>
          <w:tcPr>
            <w:vAlign w:val="center"/>
          </w:tcPr>
          <w:p w:rsidR="00000000" w:rsidDel="00000000" w:rsidP="00000000" w:rsidRDefault="00000000" w:rsidRPr="00000000" w14:paraId="00000047">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00032/OASCHIMAL/IP/2022</w:t>
            </w:r>
          </w:p>
          <w:p w:rsidR="00000000" w:rsidDel="00000000" w:rsidP="00000000" w:rsidRDefault="00000000" w:rsidRPr="00000000" w14:paraId="0000004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tab/>
            </w:r>
          </w:p>
          <w:p w:rsidR="00000000" w:rsidDel="00000000" w:rsidP="00000000" w:rsidRDefault="00000000" w:rsidRPr="00000000" w14:paraId="00000049">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05606/INFOEM/IP/RR/2022</w:t>
            </w:r>
          </w:p>
        </w:tc>
        <w:tc>
          <w:tcPr>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“Negativa a ebtregar la información” (sic)</w:t>
            </w:r>
          </w:p>
        </w:tc>
      </w:tr>
      <w:tr>
        <w:trPr>
          <w:cantSplit w:val="0"/>
          <w:tblHeader w:val="0"/>
        </w:trPr>
        <w:tc>
          <w:tcPr>
            <w:vAlign w:val="center"/>
          </w:tcPr>
          <w:p w:rsidR="00000000" w:rsidDel="00000000" w:rsidP="00000000" w:rsidRDefault="00000000" w:rsidRPr="00000000" w14:paraId="0000004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4C">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00033/OASCHIMAL/IP/2022</w:t>
            </w:r>
          </w:p>
          <w:p w:rsidR="00000000" w:rsidDel="00000000" w:rsidP="00000000" w:rsidRDefault="00000000" w:rsidRPr="00000000" w14:paraId="0000004D">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tab/>
            </w:r>
          </w:p>
          <w:p w:rsidR="00000000" w:rsidDel="00000000" w:rsidP="00000000" w:rsidRDefault="00000000" w:rsidRPr="00000000" w14:paraId="0000004E">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05605/INFOEM/IP/RR/2022</w:t>
            </w:r>
          </w:p>
        </w:tc>
        <w:tc>
          <w:tcP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“Negativa de información” (sic)</w:t>
            </w:r>
          </w:p>
        </w:tc>
      </w:tr>
      <w:tr>
        <w:trPr>
          <w:cantSplit w:val="0"/>
          <w:tblHeader w:val="0"/>
        </w:trPr>
        <w:tc>
          <w:tcPr>
            <w:vAlign w:val="center"/>
          </w:tcPr>
          <w:p w:rsidR="00000000" w:rsidDel="00000000" w:rsidP="00000000" w:rsidRDefault="00000000" w:rsidRPr="00000000" w14:paraId="00000050">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51">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00038/OASCHIMAL/IP/2022</w:t>
            </w:r>
          </w:p>
          <w:p w:rsidR="00000000" w:rsidDel="00000000" w:rsidP="00000000" w:rsidRDefault="00000000" w:rsidRPr="00000000" w14:paraId="00000052">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tab/>
            </w:r>
          </w:p>
          <w:p w:rsidR="00000000" w:rsidDel="00000000" w:rsidP="00000000" w:rsidRDefault="00000000" w:rsidRPr="00000000" w14:paraId="00000053">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05604/INFOEM/IP/RR/2022</w:t>
            </w:r>
          </w:p>
        </w:tc>
        <w:tc>
          <w:tcPr>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”Inconformidad con la respuesta” (sic)</w:t>
            </w:r>
          </w:p>
        </w:tc>
      </w:tr>
    </w:tbl>
    <w:p w:rsidR="00000000" w:rsidDel="00000000" w:rsidP="00000000" w:rsidRDefault="00000000" w:rsidRPr="00000000" w14:paraId="00000055">
      <w:pPr>
        <w:tabs>
          <w:tab w:val="left" w:pos="2745"/>
        </w:tabs>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6">
      <w:pPr>
        <w:tabs>
          <w:tab w:val="left" w:pos="1695"/>
        </w:tabs>
        <w:spacing w:line="360" w:lineRule="auto"/>
        <w:jc w:val="both"/>
        <w:rPr>
          <w:rFonts w:ascii="Palatino Linotype" w:cs="Palatino Linotype" w:eastAsia="Palatino Linotype" w:hAnsi="Palatino Linotype"/>
          <w:sz w:val="2"/>
          <w:szCs w:val="2"/>
        </w:rPr>
      </w:pPr>
      <w:r w:rsidDel="00000000" w:rsidR="00000000" w:rsidRPr="00000000">
        <w:rPr>
          <w:rFonts w:ascii="Palatino Linotype" w:cs="Palatino Linotype" w:eastAsia="Palatino Linotype" w:hAnsi="Palatino Linotype"/>
          <w:b w:val="1"/>
          <w:rtl w:val="0"/>
        </w:rPr>
        <w:tab/>
      </w: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
          <w:szCs w:val="2"/>
        </w:rPr>
      </w:pPr>
      <w:r w:rsidDel="00000000" w:rsidR="00000000" w:rsidRPr="00000000">
        <w:rPr>
          <w:rtl w:val="0"/>
        </w:rPr>
      </w:r>
    </w:p>
    <w:tbl>
      <w:tblPr>
        <w:tblStyle w:val="Table4"/>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vAlign w:val="center"/>
          </w:tcPr>
          <w:p w:rsidR="00000000" w:rsidDel="00000000" w:rsidP="00000000" w:rsidRDefault="00000000" w:rsidRPr="00000000" w14:paraId="00000059">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5A">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00028/OASCHIMAL/IP/2022</w:t>
            </w:r>
          </w:p>
          <w:p w:rsidR="00000000" w:rsidDel="00000000" w:rsidP="00000000" w:rsidRDefault="00000000" w:rsidRPr="00000000" w14:paraId="0000005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tab/>
            </w:r>
          </w:p>
          <w:p w:rsidR="00000000" w:rsidDel="00000000" w:rsidP="00000000" w:rsidRDefault="00000000" w:rsidRPr="00000000" w14:paraId="0000005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05612/INFOEM/IP/RR/2022</w:t>
            </w:r>
            <w:r w:rsidDel="00000000" w:rsidR="00000000" w:rsidRPr="00000000">
              <w:rPr>
                <w:rtl w:val="0"/>
              </w:rPr>
            </w:r>
          </w:p>
        </w:tc>
        <w:tc>
          <w:tcPr>
            <w:vAlign w:val="center"/>
          </w:tcPr>
          <w:p w:rsidR="00000000" w:rsidDel="00000000" w:rsidP="00000000" w:rsidRDefault="00000000" w:rsidRPr="00000000" w14:paraId="0000005D">
            <w:pP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“Para las nececidades del Organismo debieron haber hecho compras en todo este tiempo es absurdo que no hayan adquirido nada eaperando hasta que el Osfem les marque lineamientos” (sic)</w:t>
            </w:r>
          </w:p>
        </w:tc>
      </w:tr>
      <w:tr>
        <w:trPr>
          <w:cantSplit w:val="0"/>
          <w:tblHeader w:val="0"/>
        </w:trPr>
        <w:tc>
          <w:tcPr>
            <w:vAlign w:val="center"/>
          </w:tcPr>
          <w:p w:rsidR="00000000" w:rsidDel="00000000" w:rsidP="00000000" w:rsidRDefault="00000000" w:rsidRPr="00000000" w14:paraId="0000005E">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00029/OASCHIMAL/IP/2022</w:t>
            </w:r>
          </w:p>
          <w:p w:rsidR="00000000" w:rsidDel="00000000" w:rsidP="00000000" w:rsidRDefault="00000000" w:rsidRPr="00000000" w14:paraId="0000005F">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tab/>
            </w:r>
          </w:p>
          <w:p w:rsidR="00000000" w:rsidDel="00000000" w:rsidP="00000000" w:rsidRDefault="00000000" w:rsidRPr="00000000" w14:paraId="0000006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05611/INFOEM/IP/RR/2022</w:t>
            </w:r>
            <w:r w:rsidDel="00000000" w:rsidR="00000000" w:rsidRPr="00000000">
              <w:rPr>
                <w:rtl w:val="0"/>
              </w:rPr>
            </w:r>
          </w:p>
        </w:tc>
        <w:tc>
          <w:tcPr>
            <w:vAlign w:val="cente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“Me parece absurdo y una burla que me nieguen esta informacion, excusandose en los lineamientos del Osfem, entonces las adquisiciones han sido a dedaso o hay condlicto de intereses” (sic)</w:t>
            </w:r>
          </w:p>
        </w:tc>
      </w:tr>
      <w:tr>
        <w:trPr>
          <w:cantSplit w:val="0"/>
          <w:tblHeader w:val="0"/>
        </w:trPr>
        <w:tc>
          <w:tcPr>
            <w:vAlign w:val="center"/>
          </w:tcPr>
          <w:p w:rsidR="00000000" w:rsidDel="00000000" w:rsidP="00000000" w:rsidRDefault="00000000" w:rsidRPr="00000000" w14:paraId="00000062">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00030/OASCHIMAL/IP/2022</w:t>
            </w:r>
          </w:p>
          <w:p w:rsidR="00000000" w:rsidDel="00000000" w:rsidP="00000000" w:rsidRDefault="00000000" w:rsidRPr="00000000" w14:paraId="00000063">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tab/>
            </w:r>
          </w:p>
          <w:p w:rsidR="00000000" w:rsidDel="00000000" w:rsidP="00000000" w:rsidRDefault="00000000" w:rsidRPr="00000000" w14:paraId="0000006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05610/INFOEM/IP/RR/2022</w:t>
            </w:r>
          </w:p>
        </w:tc>
        <w:tc>
          <w:tcPr>
            <w:vAlign w:val="cente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bookmarkStart w:colFirst="0" w:colLast="0" w:name="_heading=h.2et92p0" w:id="1"/>
            <w:bookmarkEnd w:id="1"/>
            <w:r w:rsidDel="00000000" w:rsidR="00000000" w:rsidRPr="00000000">
              <w:rPr>
                <w:rFonts w:ascii="Palatino Linotype" w:cs="Palatino Linotype" w:eastAsia="Palatino Linotype" w:hAnsi="Palatino Linotype"/>
                <w:i w:val="1"/>
                <w:sz w:val="20"/>
                <w:szCs w:val="20"/>
                <w:rtl w:val="0"/>
              </w:rPr>
              <w:t xml:space="preserve">“Se me hace absurdo que no hayan comprado ni un lapiz u hoja, pues el fundamento que dan es que no pueden dar la información porque el Osfem no les ha indicado los lineamientos” (sic)</w:t>
            </w:r>
          </w:p>
        </w:tc>
      </w:tr>
      <w:tr>
        <w:trPr>
          <w:cantSplit w:val="0"/>
          <w:tblHeader w:val="0"/>
        </w:trPr>
        <w:tc>
          <w:tcPr>
            <w:vAlign w:val="center"/>
          </w:tcPr>
          <w:p w:rsidR="00000000" w:rsidDel="00000000" w:rsidP="00000000" w:rsidRDefault="00000000" w:rsidRPr="00000000" w14:paraId="00000066">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00031/OASCHIMAL/IP/2022</w:t>
            </w:r>
          </w:p>
          <w:p w:rsidR="00000000" w:rsidDel="00000000" w:rsidP="00000000" w:rsidRDefault="00000000" w:rsidRPr="00000000" w14:paraId="00000067">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tab/>
            </w:r>
          </w:p>
          <w:p w:rsidR="00000000" w:rsidDel="00000000" w:rsidP="00000000" w:rsidRDefault="00000000" w:rsidRPr="00000000" w14:paraId="0000006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05608/INFOEM/IP/RR/2022</w:t>
            </w:r>
          </w:p>
        </w:tc>
        <w:tc>
          <w:tcPr>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bookmarkStart w:colFirst="0" w:colLast="0" w:name="_heading=h.3dy6vkm" w:id="2"/>
            <w:bookmarkEnd w:id="2"/>
            <w:r w:rsidDel="00000000" w:rsidR="00000000" w:rsidRPr="00000000">
              <w:rPr>
                <w:rFonts w:ascii="Palatino Linotype" w:cs="Palatino Linotype" w:eastAsia="Palatino Linotype" w:hAnsi="Palatino Linotype"/>
                <w:i w:val="1"/>
                <w:sz w:val="20"/>
                <w:szCs w:val="20"/>
                <w:rtl w:val="0"/>
              </w:rPr>
              <w:t xml:space="preserve">“Es absurda la información que entregan pues desde el primer día de gobierno se han cargado de combustible las unidades para que laboren, sino es así entonces todo este tiempo no se ha laborado y estan cobrando sin laborar, y sin embargo muestran negativa excusandose que el Osfem no les ha marcado los lineamientos.” (sic)</w:t>
            </w:r>
          </w:p>
        </w:tc>
      </w:tr>
      <w:tr>
        <w:trPr>
          <w:cantSplit w:val="0"/>
          <w:tblHeader w:val="0"/>
        </w:trPr>
        <w:tc>
          <w:tcPr>
            <w:vAlign w:val="center"/>
          </w:tcPr>
          <w:p w:rsidR="00000000" w:rsidDel="00000000" w:rsidP="00000000" w:rsidRDefault="00000000" w:rsidRPr="00000000" w14:paraId="0000006A">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00032/OASCHIMAL/IP/2022</w:t>
            </w:r>
          </w:p>
          <w:p w:rsidR="00000000" w:rsidDel="00000000" w:rsidP="00000000" w:rsidRDefault="00000000" w:rsidRPr="00000000" w14:paraId="0000006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tab/>
            </w:r>
          </w:p>
          <w:p w:rsidR="00000000" w:rsidDel="00000000" w:rsidP="00000000" w:rsidRDefault="00000000" w:rsidRPr="00000000" w14:paraId="0000006C">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05606/INFOEM/IP/RR/2022</w:t>
            </w:r>
          </w:p>
        </w:tc>
        <w:tc>
          <w:tcPr>
            <w:vAlign w:val="cente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han realizado reparaciones de fugas como el mismo organismo lo muestra en sus redes sociales oficiales y sin embargo muestran negativa excusandose que el Osfem no les ha marcado los lineamientos.” (sic)</w:t>
            </w:r>
          </w:p>
        </w:tc>
      </w:tr>
      <w:tr>
        <w:trPr>
          <w:cantSplit w:val="0"/>
          <w:tblHeader w:val="0"/>
        </w:trPr>
        <w:tc>
          <w:tcPr>
            <w:vAlign w:val="center"/>
          </w:tcPr>
          <w:p w:rsidR="00000000" w:rsidDel="00000000" w:rsidP="00000000" w:rsidRDefault="00000000" w:rsidRPr="00000000" w14:paraId="0000006E">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6F">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00033/OASCHIMAL/IP/2022</w:t>
            </w:r>
          </w:p>
          <w:p w:rsidR="00000000" w:rsidDel="00000000" w:rsidP="00000000" w:rsidRDefault="00000000" w:rsidRPr="00000000" w14:paraId="00000070">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tab/>
            </w:r>
          </w:p>
          <w:p w:rsidR="00000000" w:rsidDel="00000000" w:rsidP="00000000" w:rsidRDefault="00000000" w:rsidRPr="00000000" w14:paraId="00000071">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05605/INFOEM/IP/RR/2022</w:t>
            </w:r>
          </w:p>
        </w:tc>
        <w:tc>
          <w:tcPr>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han realizado compras de hipoclorito para suministrar a los pozos de agua potable de este municipio y sin embargo muestran negativa excusandose que el Osfem no les ha marcado los lineamientos.” (sic)</w:t>
            </w:r>
          </w:p>
        </w:tc>
      </w:tr>
      <w:tr>
        <w:trPr>
          <w:cantSplit w:val="0"/>
          <w:tblHeader w:val="0"/>
        </w:trPr>
        <w:tc>
          <w:tcPr>
            <w:vAlign w:val="center"/>
          </w:tcPr>
          <w:p w:rsidR="00000000" w:rsidDel="00000000" w:rsidP="00000000" w:rsidRDefault="00000000" w:rsidRPr="00000000" w14:paraId="00000073">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7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00038/OASCHIMAL/IP/2022</w:t>
            </w:r>
          </w:p>
          <w:p w:rsidR="00000000" w:rsidDel="00000000" w:rsidP="00000000" w:rsidRDefault="00000000" w:rsidRPr="00000000" w14:paraId="00000075">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tab/>
            </w:r>
          </w:p>
          <w:p w:rsidR="00000000" w:rsidDel="00000000" w:rsidP="00000000" w:rsidRDefault="00000000" w:rsidRPr="00000000" w14:paraId="00000076">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05604/INFOEM/IP/RR/2022</w:t>
            </w:r>
          </w:p>
        </w:tc>
        <w:tc>
          <w:tcPr>
            <w:vAlign w:val="cente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r>
            <w:r w:rsidDel="00000000" w:rsidR="00000000" w:rsidRPr="00000000">
              <w:rPr>
                <w:rtl w:val="0"/>
              </w:rPr>
              <w:t xml:space="preserve"> </w:t>
            </w:r>
            <w:r w:rsidDel="00000000" w:rsidR="00000000" w:rsidRPr="00000000">
              <w:rPr>
                <w:rFonts w:ascii="Palatino Linotype" w:cs="Palatino Linotype" w:eastAsia="Palatino Linotype" w:hAnsi="Palatino Linotype"/>
                <w:i w:val="1"/>
                <w:sz w:val="20"/>
                <w:szCs w:val="20"/>
                <w:rtl w:val="0"/>
              </w:rPr>
              <w:t xml:space="preserve">Se han realizado reparaciones a varias unidades oficiales y sin embargo muestran negativa excusandose que el Osfem no les ha marcado los lineamientos.” (sic)</w:t>
            </w:r>
          </w:p>
        </w:tc>
      </w:tr>
    </w:tbl>
    <w:p w:rsidR="00000000" w:rsidDel="00000000" w:rsidP="00000000" w:rsidRDefault="00000000" w:rsidRPr="00000000" w14:paraId="00000078">
      <w:pPr>
        <w:spacing w:after="240" w:before="240" w:line="360" w:lineRule="auto"/>
        <w:ind w:right="51"/>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adjuntó archivos. </w:t>
      </w:r>
      <w:r w:rsidDel="00000000" w:rsidR="00000000" w:rsidRPr="00000000">
        <w:rPr>
          <w:rtl w:val="0"/>
        </w:rPr>
      </w:r>
    </w:p>
    <w:p w:rsidR="00000000" w:rsidDel="00000000" w:rsidP="00000000" w:rsidRDefault="00000000" w:rsidRPr="00000000" w14:paraId="0000007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Turno.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a los Comisionados</w:t>
      </w:r>
      <w:r w:rsidDel="00000000" w:rsidR="00000000" w:rsidRPr="00000000">
        <w:rPr>
          <w:rFonts w:ascii="Palatino Linotype" w:cs="Palatino Linotype" w:eastAsia="Palatino Linotype" w:hAnsi="Palatino Linotype"/>
          <w:b w:val="1"/>
          <w:rtl w:val="0"/>
        </w:rPr>
        <w:t xml:space="preserve"> Guadalupe Ramírez Peña, José Martínez Vilchis,  Luis Gustavo Parra Noriega, María del Rosario Mejía Ayala y Sharon Cristina Morales Martínez, </w:t>
      </w:r>
      <w:r w:rsidDel="00000000" w:rsidR="00000000" w:rsidRPr="00000000">
        <w:rPr>
          <w:rFonts w:ascii="Palatino Linotype" w:cs="Palatino Linotype" w:eastAsia="Palatino Linotype" w:hAnsi="Palatino Linotype"/>
          <w:rtl w:val="0"/>
        </w:rPr>
        <w:t xml:space="preserve">a efecto de que analizaran sobre su admisión o su desechamiento.</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6.</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Admisión de los Recursos de revisión.</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Con fechas</w:t>
      </w:r>
      <w:r w:rsidDel="00000000" w:rsidR="00000000" w:rsidRPr="00000000">
        <w:rPr>
          <w:rFonts w:ascii="Palatino Linotype" w:cs="Palatino Linotype" w:eastAsia="Palatino Linotype" w:hAnsi="Palatino Linotype"/>
          <w:b w:val="1"/>
          <w:rtl w:val="0"/>
        </w:rPr>
        <w:t xml:space="preserve"> ocho, dieciocho y veinte de abril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los recursos de revisión que ahora se resuelven,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w:t>
      </w:r>
      <w:r w:rsidDel="00000000" w:rsidR="00000000" w:rsidRPr="00000000">
        <w:rPr>
          <w:rtl w:val="0"/>
        </w:rPr>
      </w:r>
    </w:p>
    <w:p w:rsidR="00000000" w:rsidDel="00000000" w:rsidP="00000000" w:rsidRDefault="00000000" w:rsidRPr="00000000" w14:paraId="0000007B">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Acumulación de los recursos de revisión. </w:t>
      </w:r>
      <w:r w:rsidDel="00000000" w:rsidR="00000000" w:rsidRPr="00000000">
        <w:rPr>
          <w:rFonts w:ascii="Palatino Linotype" w:cs="Palatino Linotype" w:eastAsia="Palatino Linotype" w:hAnsi="Palatino Linotype"/>
          <w:rtl w:val="0"/>
        </w:rPr>
        <w:t xml:space="preserve">Al respecto cabe señalar, que el Pleno de este Instituto, en la </w:t>
      </w:r>
      <w:r w:rsidDel="00000000" w:rsidR="00000000" w:rsidRPr="00000000">
        <w:rPr>
          <w:rFonts w:ascii="Palatino Linotype" w:cs="Palatino Linotype" w:eastAsia="Palatino Linotype" w:hAnsi="Palatino Linotype"/>
          <w:b w:val="1"/>
          <w:rtl w:val="0"/>
        </w:rPr>
        <w:t xml:space="preserve">Décimo Sexta Sesión Ordinaria</w:t>
      </w:r>
      <w:r w:rsidDel="00000000" w:rsidR="00000000" w:rsidRPr="00000000">
        <w:rPr>
          <w:rFonts w:ascii="Palatino Linotype" w:cs="Palatino Linotype" w:eastAsia="Palatino Linotype" w:hAnsi="Palatino Linotype"/>
          <w:rtl w:val="0"/>
        </w:rPr>
        <w:t xml:space="preserve"> de fecha</w:t>
      </w:r>
      <w:r w:rsidDel="00000000" w:rsidR="00000000" w:rsidRPr="00000000">
        <w:rPr>
          <w:rFonts w:ascii="Palatino Linotype" w:cs="Palatino Linotype" w:eastAsia="Palatino Linotype" w:hAnsi="Palatino Linotype"/>
          <w:b w:val="1"/>
          <w:rtl w:val="0"/>
        </w:rPr>
        <w:t xml:space="preserve"> cuatro de mayo de dos mil veintidós</w:t>
      </w:r>
      <w:r w:rsidDel="00000000" w:rsidR="00000000" w:rsidRPr="00000000">
        <w:rPr>
          <w:rFonts w:ascii="Palatino Linotype" w:cs="Palatino Linotype" w:eastAsia="Palatino Linotype" w:hAnsi="Palatino Linotype"/>
          <w:rtl w:val="0"/>
        </w:rPr>
        <w:t xml:space="preserve">, ordenó la acumulación de los expedientes citados y el turno de los mismos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para que formulara y presentara el proyecto de resolución correspondiente, notificándose a las partes.</w:t>
      </w:r>
    </w:p>
    <w:p w:rsidR="00000000" w:rsidDel="00000000" w:rsidP="00000000" w:rsidRDefault="00000000" w:rsidRPr="00000000" w14:paraId="0000007C">
      <w:pPr>
        <w:widowControl w:val="0"/>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Lo anterior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r w:rsidDel="00000000" w:rsidR="00000000" w:rsidRPr="00000000">
        <w:rPr>
          <w:rtl w:val="0"/>
        </w:rPr>
      </w:r>
    </w:p>
    <w:p w:rsidR="00000000" w:rsidDel="00000000" w:rsidP="00000000" w:rsidRDefault="00000000" w:rsidRPr="00000000" w14:paraId="0000007D">
      <w:pPr>
        <w:widowControl w:val="0"/>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Código de Procedimientos Administrativos del Estado de México</w:t>
      </w:r>
    </w:p>
    <w:p w:rsidR="00000000" w:rsidDel="00000000" w:rsidP="00000000" w:rsidRDefault="00000000" w:rsidRPr="00000000" w14:paraId="0000007E">
      <w:pPr>
        <w:widowControl w:val="0"/>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autoridad administrativa o el Tribunal acordarán la acumulación de los expedientes del procedimiento y proceso administrativo que ante ellos se sigan, de oficio</w:t>
      </w:r>
      <w:r w:rsidDel="00000000" w:rsidR="00000000" w:rsidRPr="00000000">
        <w:rPr>
          <w:rFonts w:ascii="Palatino Linotype" w:cs="Palatino Linotype" w:eastAsia="Palatino Linotype" w:hAnsi="Palatino Linotype"/>
          <w:i w:val="1"/>
          <w:sz w:val="22"/>
          <w:szCs w:val="22"/>
          <w:rtl w:val="0"/>
        </w:rPr>
        <w:t xml:space="preserve"> o a petición de parte, </w:t>
      </w:r>
      <w:r w:rsidDel="00000000" w:rsidR="00000000" w:rsidRPr="00000000">
        <w:rPr>
          <w:rFonts w:ascii="Palatino Linotype" w:cs="Palatino Linotype" w:eastAsia="Palatino Linotype" w:hAnsi="Palatino Linotype"/>
          <w:b w:val="1"/>
          <w:i w:val="1"/>
          <w:sz w:val="22"/>
          <w:szCs w:val="22"/>
          <w:rtl w:val="0"/>
        </w:rPr>
        <w:t xml:space="preserve">cuando las partes</w:t>
      </w:r>
      <w:r w:rsidDel="00000000" w:rsidR="00000000" w:rsidRPr="00000000">
        <w:rPr>
          <w:rFonts w:ascii="Palatino Linotype" w:cs="Palatino Linotype" w:eastAsia="Palatino Linotype" w:hAnsi="Palatino Linotype"/>
          <w:i w:val="1"/>
          <w:sz w:val="22"/>
          <w:szCs w:val="22"/>
          <w:rtl w:val="0"/>
        </w:rPr>
        <w:t xml:space="preserve"> o los actos administrativos sean iguales, se trate de actos conexos o </w:t>
      </w:r>
      <w:r w:rsidDel="00000000" w:rsidR="00000000" w:rsidRPr="00000000">
        <w:rPr>
          <w:rFonts w:ascii="Palatino Linotype" w:cs="Palatino Linotype" w:eastAsia="Palatino Linotype" w:hAnsi="Palatino Linotype"/>
          <w:b w:val="1"/>
          <w:i w:val="1"/>
          <w:sz w:val="22"/>
          <w:szCs w:val="22"/>
          <w:rtl w:val="0"/>
        </w:rPr>
        <w:t xml:space="preserve">resulte conveniente el trámite unificado de los asuntos, para evitar la emisión de resoluciones contradictorias</w:t>
      </w:r>
      <w:r w:rsidDel="00000000" w:rsidR="00000000" w:rsidRPr="00000000">
        <w:rPr>
          <w:rFonts w:ascii="Palatino Linotype" w:cs="Palatino Linotype" w:eastAsia="Palatino Linotype" w:hAnsi="Palatino Linotype"/>
          <w:i w:val="1"/>
          <w:sz w:val="22"/>
          <w:szCs w:val="22"/>
          <w:rtl w:val="0"/>
        </w:rPr>
        <w:t xml:space="preserve">. La misma regla se aplicará, en lo conducente, para la separación de los expedientes.”</w:t>
      </w:r>
    </w:p>
    <w:p w:rsidR="00000000" w:rsidDel="00000000" w:rsidP="00000000" w:rsidRDefault="00000000" w:rsidRPr="00000000" w14:paraId="0000007F">
      <w:pPr>
        <w:widowControl w:val="0"/>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de Transparencia y Acceso a la Información Pública del Estado de México y Municipios</w:t>
      </w:r>
    </w:p>
    <w:p w:rsidR="00000000" w:rsidDel="00000000" w:rsidP="00000000" w:rsidRDefault="00000000" w:rsidRPr="00000000" w14:paraId="00000080">
      <w:pPr>
        <w:widowControl w:val="0"/>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195.-</w:t>
      </w:r>
      <w:r w:rsidDel="00000000" w:rsidR="00000000" w:rsidRPr="00000000">
        <w:rPr>
          <w:rFonts w:ascii="Palatino Linotype" w:cs="Palatino Linotype" w:eastAsia="Palatino Linotype" w:hAnsi="Palatino Linotype"/>
          <w:i w:val="1"/>
          <w:sz w:val="22"/>
          <w:szCs w:val="22"/>
          <w:rtl w:val="0"/>
        </w:rPr>
        <w:t xml:space="preserve"> En la tramitación del recurso de revisión se aplicará supletoriamente las disposiciones contenidas en el Código de Procedimientos Administrativos del Estado de México.”</w:t>
      </w:r>
    </w:p>
    <w:p w:rsidR="00000000" w:rsidDel="00000000" w:rsidP="00000000" w:rsidRDefault="00000000" w:rsidRPr="00000000" w14:paraId="0000008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Manifestaciones</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De las constancias que integran los expedientes electrónicos en los que se actúa se advierte que en fechas </w:t>
      </w:r>
      <w:r w:rsidDel="00000000" w:rsidR="00000000" w:rsidRPr="00000000">
        <w:rPr>
          <w:rFonts w:ascii="Palatino Linotype" w:cs="Palatino Linotype" w:eastAsia="Palatino Linotype" w:hAnsi="Palatino Linotype"/>
          <w:b w:val="1"/>
          <w:rtl w:val="0"/>
        </w:rPr>
        <w:t xml:space="preserve">veintiséis, veintisiete y veintinueve de abril de dos mil veintidós,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mediante SAIMEX, los oficios con números: UT/ODAPAS/0202/2022, UT/ODAPAS/0203/2022, UT/ODAPAS/0204/2022, UT/ODAPAS/0205/2022, UT/ODAPAS/0206/2022, UT/ODAPAS/0207/2022 y UT/ODAPAS/0208/2022, de fechas veintiséis, veintisiete y veintinueve de abril de dos mil veintidós, mediante los cuales la Unidad de Transparencia se pronunció en los siguientes términos:</w:t>
      </w:r>
    </w:p>
    <w:p w:rsidR="00000000" w:rsidDel="00000000" w:rsidP="00000000" w:rsidRDefault="00000000" w:rsidRPr="00000000" w14:paraId="00000082">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788000" cy="3321292"/>
            <wp:effectExtent b="0" l="0" r="0" t="0"/>
            <wp:docPr id="14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788000" cy="3321292"/>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788000" cy="3185569"/>
            <wp:effectExtent b="0" l="0" r="0" t="0"/>
            <wp:docPr id="146"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4788000" cy="3185569"/>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analizados los referidos documentos se hicieron del conocimiento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a efecto de que manifestara lo que a su derecho estimara conveniente, siendo omisa en ejercer dicha prerrogativa.</w:t>
      </w:r>
    </w:p>
    <w:p w:rsidR="00000000" w:rsidDel="00000000" w:rsidP="00000000" w:rsidRDefault="00000000" w:rsidRPr="00000000" w14:paraId="00000085">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Ampliación del término para resolver</w:t>
      </w:r>
      <w:r w:rsidDel="00000000" w:rsidR="00000000" w:rsidRPr="00000000">
        <w:rPr>
          <w:rFonts w:ascii="Palatino Linotype" w:cs="Palatino Linotype" w:eastAsia="Palatino Linotype" w:hAnsi="Palatino Linotype"/>
          <w:rtl w:val="0"/>
        </w:rPr>
        <w:t xml:space="preserve">. En fechas </w:t>
      </w:r>
      <w:r w:rsidDel="00000000" w:rsidR="00000000" w:rsidRPr="00000000">
        <w:rPr>
          <w:rFonts w:ascii="Palatino Linotype" w:cs="Palatino Linotype" w:eastAsia="Palatino Linotype" w:hAnsi="Palatino Linotype"/>
          <w:b w:val="1"/>
          <w:rtl w:val="0"/>
        </w:rPr>
        <w:t xml:space="preserve">diez de junio y diez de agosto de dos mil veintidós</w:t>
      </w:r>
      <w:r w:rsidDel="00000000" w:rsidR="00000000" w:rsidRPr="00000000">
        <w:rPr>
          <w:rFonts w:ascii="Palatino Linotype" w:cs="Palatino Linotype" w:eastAsia="Palatino Linotype" w:hAnsi="Palatino Linotype"/>
          <w:rtl w:val="0"/>
        </w:rPr>
        <w:t xml:space="preserve">, se amplió el término para resolver los recursos de revisión en términos del artículo 181 párrafo tercero de la Ley de Transparencia y Acceso a la Información Pública del Estado de México y Municipios.</w:t>
      </w:r>
    </w:p>
    <w:p w:rsidR="00000000" w:rsidDel="00000000" w:rsidP="00000000" w:rsidRDefault="00000000" w:rsidRPr="00000000" w14:paraId="0000008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8B">
      <w:pPr>
        <w:numPr>
          <w:ilvl w:val="0"/>
          <w:numId w:val="2"/>
        </w:numPr>
        <w:tabs>
          <w:tab w:val="left" w:pos="709"/>
        </w:tabs>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8C">
      <w:pPr>
        <w:numPr>
          <w:ilvl w:val="0"/>
          <w:numId w:val="2"/>
        </w:numPr>
        <w:tabs>
          <w:tab w:val="left" w:pos="709"/>
        </w:tabs>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8D">
      <w:pPr>
        <w:numPr>
          <w:ilvl w:val="0"/>
          <w:numId w:val="2"/>
        </w:numPr>
        <w:tabs>
          <w:tab w:val="left" w:pos="709"/>
        </w:tabs>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8E">
      <w:pPr>
        <w:tabs>
          <w:tab w:val="left" w:pos="709"/>
        </w:tabs>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8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9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9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9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9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 consultable en el Seminario Judicial de la Federación y su gaceta, con el registro digital 2002351.</w:t>
      </w:r>
    </w:p>
    <w:p w:rsidR="00000000" w:rsidDel="00000000" w:rsidP="00000000" w:rsidRDefault="00000000" w:rsidRPr="00000000" w14:paraId="0000009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 visible en el Seminario Judicial de la Federación y su gaceta, con el registro digital 2002350.</w:t>
      </w:r>
    </w:p>
    <w:p w:rsidR="00000000" w:rsidDel="00000000" w:rsidP="00000000" w:rsidRDefault="00000000" w:rsidRPr="00000000" w14:paraId="0000009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plazo legal para resolver el presente asunto, resulta de carácter excepcional.</w:t>
      </w:r>
    </w:p>
    <w:p w:rsidR="00000000" w:rsidDel="00000000" w:rsidP="00000000" w:rsidRDefault="00000000" w:rsidRPr="00000000" w14:paraId="00000096">
      <w:pPr>
        <w:spacing w:after="240" w:line="360" w:lineRule="auto"/>
        <w:jc w:val="both"/>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rtl w:val="0"/>
        </w:rPr>
        <w:t xml:space="preserve">10.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 los expedientes, con fecha </w:t>
      </w:r>
      <w:r w:rsidDel="00000000" w:rsidR="00000000" w:rsidRPr="00000000">
        <w:rPr>
          <w:rFonts w:ascii="Palatino Linotype" w:cs="Palatino Linotype" w:eastAsia="Palatino Linotype" w:hAnsi="Palatino Linotype"/>
          <w:b w:val="1"/>
          <w:rtl w:val="0"/>
        </w:rPr>
        <w:t xml:space="preserve">nueve de septiembre</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Fonts w:ascii="Palatino Linotype" w:cs="Palatino Linotype" w:eastAsia="Palatino Linotype" w:hAnsi="Palatino Linotype"/>
          <w:b w:val="1"/>
          <w:rtl w:val="0"/>
        </w:rPr>
        <w:t xml:space="preserve">de dos mil veintidós,</w:t>
      </w:r>
      <w:r w:rsidDel="00000000" w:rsidR="00000000" w:rsidRPr="00000000">
        <w:rPr>
          <w:rFonts w:ascii="Palatino Linotype" w:cs="Palatino Linotype" w:eastAsia="Palatino Linotype" w:hAnsi="Palatino Linotype"/>
          <w:rtl w:val="0"/>
        </w:rPr>
        <w:t xml:space="preserve"> se determinó el cierre de instrucción en términos de la fracción VI del artículo 185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97">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98">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9">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9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9B">
      <w:pPr>
        <w:spacing w:after="240" w:before="240" w:line="360" w:lineRule="auto"/>
        <w:jc w:val="both"/>
        <w:rPr>
          <w:rFonts w:ascii="Palatino Linotype" w:cs="Palatino Linotype" w:eastAsia="Palatino Linotype" w:hAnsi="Palatino Linotype"/>
        </w:rPr>
      </w:pPr>
      <w:bookmarkStart w:colFirst="0" w:colLast="0" w:name="_heading=h.30j0zll" w:id="3"/>
      <w:bookmarkEnd w:id="3"/>
      <w:r w:rsidDel="00000000" w:rsidR="00000000" w:rsidRPr="00000000">
        <w:rPr>
          <w:rFonts w:ascii="Palatino Linotype" w:cs="Palatino Linotype" w:eastAsia="Palatino Linotype" w:hAnsi="Palatino Linotype"/>
          <w:b w:val="1"/>
          <w:rtl w:val="0"/>
        </w:rPr>
        <w:t xml:space="preserve">Segundo. Oportunidad y Procedibilidad de los Recursos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9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recursos de revisión fueron interpuestos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las respuestas a las solicitudes de información los días </w:t>
      </w:r>
      <w:r w:rsidDel="00000000" w:rsidR="00000000" w:rsidRPr="00000000">
        <w:rPr>
          <w:rFonts w:ascii="Palatino Linotype" w:cs="Palatino Linotype" w:eastAsia="Palatino Linotype" w:hAnsi="Palatino Linotype"/>
          <w:b w:val="1"/>
          <w:rtl w:val="0"/>
        </w:rPr>
        <w:t xml:space="preserve">veinticuatro y veintiocho de marzo de dos mil veintidós, </w:t>
      </w:r>
      <w:r w:rsidDel="00000000" w:rsidR="00000000" w:rsidRPr="00000000">
        <w:rPr>
          <w:rFonts w:ascii="Palatino Linotype" w:cs="Palatino Linotype" w:eastAsia="Palatino Linotype" w:hAnsi="Palatino Linotype"/>
          <w:rtl w:val="0"/>
        </w:rPr>
        <w:t xml:space="preserve">mientras que los recursos de revisión interpuestos por la parte recurrente, se tuvieron por presentados el día </w:t>
      </w:r>
      <w:r w:rsidDel="00000000" w:rsidR="00000000" w:rsidRPr="00000000">
        <w:rPr>
          <w:rFonts w:ascii="Palatino Linotype" w:cs="Palatino Linotype" w:eastAsia="Palatino Linotype" w:hAnsi="Palatino Linotype"/>
          <w:b w:val="1"/>
          <w:rtl w:val="0"/>
        </w:rPr>
        <w:t xml:space="preserve">seis de abril de dos mil veintidós</w:t>
      </w:r>
      <w:r w:rsidDel="00000000" w:rsidR="00000000" w:rsidRPr="00000000">
        <w:rPr>
          <w:rFonts w:ascii="Palatino Linotype" w:cs="Palatino Linotype" w:eastAsia="Palatino Linotype" w:hAnsi="Palatino Linotype"/>
          <w:rtl w:val="0"/>
        </w:rPr>
        <w:t xml:space="preserve">, esto es, al séptimo y novena día hábil posterior en que tuvo conocimiento de las respuestas impugnada, en cada uno de las solicitudes de información.</w:t>
      </w:r>
    </w:p>
    <w:p w:rsidR="00000000" w:rsidDel="00000000" w:rsidP="00000000" w:rsidRDefault="00000000" w:rsidRPr="00000000" w14:paraId="0000009D">
      <w:pPr>
        <w:spacing w:after="240" w:before="240" w:line="360" w:lineRule="auto"/>
        <w:jc w:val="both"/>
        <w:rPr>
          <w:rFonts w:ascii="Palatino Linotype" w:cs="Palatino Linotype" w:eastAsia="Palatino Linotype" w:hAnsi="Palatino Linotype"/>
        </w:rPr>
      </w:pPr>
      <w:bookmarkStart w:colFirst="0" w:colLast="0" w:name="_heading=h.1fob9te" w:id="4"/>
      <w:bookmarkEnd w:id="4"/>
      <w:r w:rsidDel="00000000" w:rsidR="00000000" w:rsidRPr="00000000">
        <w:rPr>
          <w:rFonts w:ascii="Palatino Linotype" w:cs="Palatino Linotype" w:eastAsia="Palatino Linotype" w:hAnsi="Palatino Linotype"/>
          <w:rtl w:val="0"/>
        </w:rPr>
        <w:t xml:space="preserve">En este sentido, al considerar las fechas en que se formularon las solicitudes y la fecha en que respondió a estas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como la fecha en que se interpusieron los recursos de revisión, se concluye que los presentes recursos de revisión se encuentran dentro de los márgenes temporales previstos las disposiciones legales referidas.</w:t>
      </w:r>
    </w:p>
    <w:p w:rsidR="00000000" w:rsidDel="00000000" w:rsidP="00000000" w:rsidRDefault="00000000" w:rsidRPr="00000000" w14:paraId="0000009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9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 los recursos, según lo manifestado por el recurrente en sus motivos de inconformidad, de acuerdo al artículo 179, fracción I del ordenamiento legal citado, que a la letra dice: </w:t>
      </w:r>
    </w:p>
    <w:p w:rsidR="00000000" w:rsidDel="00000000" w:rsidP="00000000" w:rsidRDefault="00000000" w:rsidRPr="00000000" w14:paraId="000000A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A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2">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los expedientes electrónicos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las respuestas otorgadas por el Sujeto Obligado son adecuadas y suficientes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A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A4">
      <w:pPr>
        <w:tabs>
          <w:tab w:val="left" w:pos="709"/>
        </w:tabs>
        <w:spacing w:after="120" w:before="120"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A5">
      <w:pPr>
        <w:tabs>
          <w:tab w:val="left" w:pos="709"/>
        </w:tabs>
        <w:spacing w:after="120" w:before="120" w:lineRule="auto"/>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A6">
      <w:pPr>
        <w:tabs>
          <w:tab w:val="left" w:pos="709"/>
        </w:tabs>
        <w:spacing w:after="120" w:before="120"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A7">
      <w:pPr>
        <w:tabs>
          <w:tab w:val="left" w:pos="709"/>
        </w:tabs>
        <w:spacing w:after="120" w:before="120"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8">
      <w:pPr>
        <w:spacing w:after="120" w:before="120" w:lineRule="auto"/>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A9">
      <w:pPr>
        <w:spacing w:after="120" w:before="120" w:lineRule="auto"/>
        <w:ind w:left="1134"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A">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las entidades federativas,</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AB">
      <w:pPr>
        <w:spacing w:after="120" w:before="120" w:lineRule="auto"/>
        <w:ind w:left="1418"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AC">
      <w:pPr>
        <w:spacing w:after="120" w:before="120" w:lineRule="auto"/>
        <w:ind w:left="1418"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AD">
      <w:pPr>
        <w:spacing w:after="120" w:before="120" w:lineRule="auto"/>
        <w:ind w:left="1418"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AE">
      <w:pPr>
        <w:spacing w:after="120" w:before="120" w:lineRule="auto"/>
        <w:ind w:left="1418"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AF">
      <w:pPr>
        <w:spacing w:after="120" w:before="120" w:lineRule="auto"/>
        <w:ind w:left="1418"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B0">
      <w:pPr>
        <w:spacing w:after="120" w:before="120" w:lineRule="auto"/>
        <w:ind w:left="1418"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B1">
      <w:pPr>
        <w:spacing w:after="120" w:before="120" w:lineRule="auto"/>
        <w:ind w:left="1418"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B2">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cumplir con dichos dispositivos legales.</w:t>
      </w:r>
    </w:p>
    <w:p w:rsidR="00000000" w:rsidDel="00000000" w:rsidP="00000000" w:rsidRDefault="00000000" w:rsidRPr="00000000" w14:paraId="000000B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B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B5">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B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p>
    <w:p w:rsidR="00000000" w:rsidDel="00000000" w:rsidP="00000000" w:rsidRDefault="00000000" w:rsidRPr="00000000" w14:paraId="000000B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Del="00000000" w:rsidR="00000000" w:rsidRPr="00000000">
        <w:rPr>
          <w:rFonts w:ascii="Palatino Linotype" w:cs="Palatino Linotype" w:eastAsia="Palatino Linotype" w:hAnsi="Palatino Linotype"/>
          <w:b w:val="1"/>
          <w:rtl w:val="0"/>
        </w:rPr>
        <w:t xml:space="preserve">artículo 12</w:t>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el cual a la letra dice:</w:t>
      </w:r>
    </w:p>
    <w:p w:rsidR="00000000" w:rsidDel="00000000" w:rsidP="00000000" w:rsidRDefault="00000000" w:rsidRPr="00000000" w14:paraId="000000B8">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B9">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BA">
      <w:pPr>
        <w:spacing w:after="240" w:before="240" w:line="360" w:lineRule="auto"/>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satisfacer el derecho de acceso a la información pública, como así lo establece el criterio 03/17 emitidos por el Instituto Nacional de Transparencia, Acceso a la Información Pública y Protección de Datos Personales, a saber:</w:t>
      </w:r>
      <w:r w:rsidDel="00000000" w:rsidR="00000000" w:rsidRPr="00000000">
        <w:rPr>
          <w:rtl w:val="0"/>
        </w:rPr>
      </w:r>
    </w:p>
    <w:p w:rsidR="00000000" w:rsidDel="00000000" w:rsidP="00000000" w:rsidRDefault="00000000" w:rsidRPr="00000000" w14:paraId="000000BB">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B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conviene mencionar que la Ley de Transparencia vigente en el Estado de México refiere: </w:t>
      </w:r>
    </w:p>
    <w:p w:rsidR="00000000" w:rsidDel="00000000" w:rsidP="00000000" w:rsidRDefault="00000000" w:rsidRPr="00000000" w14:paraId="000000BD">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sz w:val="22"/>
          <w:szCs w:val="22"/>
          <w:rtl w:val="0"/>
        </w:rPr>
        <w:t xml:space="preserve"> y reutilización de la información que generen.</w:t>
      </w:r>
    </w:p>
    <w:p w:rsidR="00000000" w:rsidDel="00000000" w:rsidP="00000000" w:rsidRDefault="00000000" w:rsidRPr="00000000" w14:paraId="000000BE">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 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F">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C0">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C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C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rtl w:val="0"/>
        </w:rPr>
        <w:t xml:space="preserve">cualquier otro registro que documente el ejercicio de las facultades, funciones, obligaciones y competencias de los Sujetos Obligados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los que, podrán estar en cualquier medio</w:t>
      </w:r>
      <w:r w:rsidDel="00000000" w:rsidR="00000000" w:rsidRPr="00000000">
        <w:rPr>
          <w:rFonts w:ascii="Palatino Linotype" w:cs="Palatino Linotype" w:eastAsia="Palatino Linotype" w:hAnsi="Palatino Linotype"/>
          <w:rtl w:val="0"/>
        </w:rPr>
        <w:t xml:space="preserve">, sea escrito, impreso, sonoro, visual, </w:t>
      </w:r>
      <w:r w:rsidDel="00000000" w:rsidR="00000000" w:rsidRPr="00000000">
        <w:rPr>
          <w:rFonts w:ascii="Palatino Linotype" w:cs="Palatino Linotype" w:eastAsia="Palatino Linotype" w:hAnsi="Palatino Linotype"/>
          <w:b w:val="1"/>
          <w:rtl w:val="0"/>
        </w:rPr>
        <w:t xml:space="preserve">electrónico</w:t>
      </w:r>
      <w:r w:rsidDel="00000000" w:rsidR="00000000" w:rsidRPr="00000000">
        <w:rPr>
          <w:rFonts w:ascii="Palatino Linotype" w:cs="Palatino Linotype" w:eastAsia="Palatino Linotype" w:hAnsi="Palatino Linotype"/>
          <w:rtl w:val="0"/>
        </w:rPr>
        <w:t xml:space="preserve">, informático u holográfico, esto es, </w:t>
      </w:r>
      <w:r w:rsidDel="00000000" w:rsidR="00000000" w:rsidRPr="00000000">
        <w:rPr>
          <w:rFonts w:ascii="Palatino Linotype" w:cs="Palatino Linotype" w:eastAsia="Palatino Linotype" w:hAnsi="Palatino Linotype"/>
          <w:b w:val="1"/>
          <w:rtl w:val="0"/>
        </w:rPr>
        <w:t xml:space="preserve">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C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como pudiera tratarse de aquella relacionada con las obligaciones de trasparencia señaladas en los artículos 92 y 94 de la Ley de la Materia.</w:t>
      </w:r>
    </w:p>
    <w:p w:rsidR="00000000" w:rsidDel="00000000" w:rsidP="00000000" w:rsidRDefault="00000000" w:rsidRPr="00000000" w14:paraId="000000C4">
      <w:pPr>
        <w:tabs>
          <w:tab w:val="left" w:pos="709"/>
        </w:tabs>
        <w:spacing w:after="240" w:before="240" w:line="360" w:lineRule="auto"/>
        <w:jc w:val="both"/>
        <w:rPr>
          <w:rFonts w:ascii="Palatino Linotype" w:cs="Palatino Linotype" w:eastAsia="Palatino Linotype" w:hAnsi="Palatino Linotype"/>
        </w:rPr>
      </w:pPr>
      <w:bookmarkStart w:colFirst="0" w:colLast="0" w:name="_heading=h.1t3h5sf" w:id="5"/>
      <w:bookmarkEnd w:id="5"/>
      <w:r w:rsidDel="00000000" w:rsidR="00000000" w:rsidRPr="00000000">
        <w:rPr>
          <w:rFonts w:ascii="Palatino Linotype" w:cs="Palatino Linotype" w:eastAsia="Palatino Linotype" w:hAnsi="Palatino Linotype"/>
          <w:rtl w:val="0"/>
        </w:rPr>
        <w:t xml:space="preserve">En este sentido, cabe reiterar que la persona solicitante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lo siguiente:</w:t>
      </w:r>
    </w:p>
    <w:p w:rsidR="00000000" w:rsidDel="00000000" w:rsidP="00000000" w:rsidRDefault="00000000" w:rsidRPr="00000000" w14:paraId="000000C5">
      <w:pPr>
        <w:tabs>
          <w:tab w:val="left" w:pos="709"/>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Relación de proveedores que se han encargado de prestar servicios al Organismo del 01 de enero al 31 de enero del 2022.</w:t>
      </w:r>
    </w:p>
    <w:p w:rsidR="00000000" w:rsidDel="00000000" w:rsidP="00000000" w:rsidRDefault="00000000" w:rsidRPr="00000000" w14:paraId="000000C6">
      <w:pPr>
        <w:tabs>
          <w:tab w:val="left" w:pos="709"/>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Procedimiento administrativo mediante el cual se dio la adquisición, arrendamiento o suministro de servicios que han presentado las empresas que durante el período del 01 de enero al 15 de febrero del 2022 han fungido como proveedores del Organismo.</w:t>
      </w:r>
    </w:p>
    <w:p w:rsidR="00000000" w:rsidDel="00000000" w:rsidP="00000000" w:rsidRDefault="00000000" w:rsidRPr="00000000" w14:paraId="000000C7">
      <w:pPr>
        <w:tabs>
          <w:tab w:val="left" w:pos="709"/>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Nombre del proveedor y gastos que se generaron en el periodo del 01 de enero al 15 de febrero del 2022, por concepto de:</w:t>
      </w:r>
    </w:p>
    <w:p w:rsidR="00000000" w:rsidDel="00000000" w:rsidP="00000000" w:rsidRDefault="00000000" w:rsidRPr="00000000" w14:paraId="000000C8">
      <w:pPr>
        <w:tabs>
          <w:tab w:val="left" w:pos="709"/>
        </w:tabs>
        <w:spacing w:after="240" w:before="240" w:line="360" w:lineRule="auto"/>
        <w:ind w:lef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Consumo de papelería.</w:t>
      </w:r>
    </w:p>
    <w:p w:rsidR="00000000" w:rsidDel="00000000" w:rsidP="00000000" w:rsidRDefault="00000000" w:rsidRPr="00000000" w14:paraId="000000C9">
      <w:pPr>
        <w:tabs>
          <w:tab w:val="left" w:pos="709"/>
        </w:tabs>
        <w:spacing w:after="240" w:before="240" w:line="360" w:lineRule="auto"/>
        <w:ind w:lef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Consumo de combustible.</w:t>
      </w:r>
    </w:p>
    <w:p w:rsidR="00000000" w:rsidDel="00000000" w:rsidP="00000000" w:rsidRDefault="00000000" w:rsidRPr="00000000" w14:paraId="000000CA">
      <w:pPr>
        <w:tabs>
          <w:tab w:val="left" w:pos="709"/>
        </w:tabs>
        <w:spacing w:after="240" w:before="240" w:line="360" w:lineRule="auto"/>
        <w:ind w:lef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Compra de material para reparación de fugas.</w:t>
      </w:r>
    </w:p>
    <w:p w:rsidR="00000000" w:rsidDel="00000000" w:rsidP="00000000" w:rsidRDefault="00000000" w:rsidRPr="00000000" w14:paraId="000000CB">
      <w:pPr>
        <w:tabs>
          <w:tab w:val="left" w:pos="709"/>
        </w:tabs>
        <w:spacing w:after="240" w:before="240" w:line="360" w:lineRule="auto"/>
        <w:ind w:lef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Compra de hipoclorito.</w:t>
      </w:r>
    </w:p>
    <w:p w:rsidR="00000000" w:rsidDel="00000000" w:rsidP="00000000" w:rsidRDefault="00000000" w:rsidRPr="00000000" w14:paraId="000000CC">
      <w:pPr>
        <w:tabs>
          <w:tab w:val="left" w:pos="709"/>
        </w:tabs>
        <w:spacing w:after="240" w:before="240" w:line="360" w:lineRule="auto"/>
        <w:ind w:lef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 Reparación de parque vehicular.</w:t>
      </w:r>
    </w:p>
    <w:p w:rsidR="00000000" w:rsidDel="00000000" w:rsidP="00000000" w:rsidRDefault="00000000" w:rsidRPr="00000000" w14:paraId="000000CD">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Unidad de Transparencia, hizo del conocimiento de la persona solicitante que los requerimientos de información se tenían por no desahogados, derivado de que a la fecha de respuesta, el Órgano Superior de Fiscalización del Estado de México no había emitido los lineamientos para la integración y presentación de los informes trimestrales que se llevaran a cabo durante el ejercicio 2022, señalando que una vez presentados ante dicho Órgano, ya podrían ser consultados.</w:t>
      </w:r>
    </w:p>
    <w:p w:rsidR="00000000" w:rsidDel="00000000" w:rsidP="00000000" w:rsidRDefault="00000000" w:rsidRPr="00000000" w14:paraId="000000C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tales argumentos, al no estar conforme con los términos de la respuesta proporcionada, la persona solicitante interpuso los recursos de revisión que nos ocupan, mediante los cuales señaló como motivo de inconformidad que se le negó la información solicitada, excusándose en que el Órgano Superior de Fiscalización del Estado de México no ha emitido los lineamientos.</w:t>
      </w:r>
    </w:p>
    <w:p w:rsidR="00000000" w:rsidDel="00000000" w:rsidP="00000000" w:rsidRDefault="00000000" w:rsidRPr="00000000" w14:paraId="000000C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escapa de la óptica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realizó diversos planteamientos como parte de sus recursos de revisión, tales como </w:t>
      </w:r>
      <w:r w:rsidDel="00000000" w:rsidR="00000000" w:rsidRPr="00000000">
        <w:rPr>
          <w:rFonts w:ascii="Palatino Linotype" w:cs="Palatino Linotype" w:eastAsia="Palatino Linotype" w:hAnsi="Palatino Linotype"/>
          <w:i w:val="1"/>
          <w:rtl w:val="0"/>
        </w:rPr>
        <w:t xml:space="preserve">“Para las nececidades del Organismo debieron haber hecho compras en todo este tiempo es absurdo que no hayan adquirido nada”, “Me parece absurdo y una burla que me nieguen esta información ... entonces las adquisiciones han sido a dedaso o hay condlicto de intereses”, “Se me hace absurdo que no hayan comprado ni un lapiz u hoja”, “Es absurda la información que entregan pues desde el primer día de gobierno se han cargado de combustible las unidades para que laboren, sino es así entonces todo este tiempo no se ha laborado y estan cobrando sin laborar”,  (sic) </w:t>
      </w:r>
      <w:r w:rsidDel="00000000" w:rsidR="00000000" w:rsidRPr="00000000">
        <w:rPr>
          <w:rFonts w:ascii="Palatino Linotype" w:cs="Palatino Linotype" w:eastAsia="Palatino Linotype" w:hAnsi="Palatino Linotype"/>
          <w:rtl w:val="0"/>
        </w:rPr>
        <w:t xml:space="preserve">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motivos de inconformidad. En este sentido, se trata de manifestaciones sobre las cuales este Instituto no está facultado para pronunciarse.</w:t>
      </w:r>
    </w:p>
    <w:p w:rsidR="00000000" w:rsidDel="00000000" w:rsidP="00000000" w:rsidRDefault="00000000" w:rsidRPr="00000000" w14:paraId="000000D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admitidos los presentes recursos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D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Unidad de Transparencia, ratificó en lo medular la respuesta emitida en primera instancia, argumentando lo siguiente:</w:t>
      </w:r>
    </w:p>
    <w:p w:rsidR="00000000" w:rsidDel="00000000" w:rsidP="00000000" w:rsidRDefault="00000000" w:rsidRPr="00000000" w14:paraId="000000D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la cual reiteramos y manifestamos que dicha información está en proceso de ser publicada de acuerdo a los “Lineamientos para la integración y entrega del Informe Trimestral Municipal 2022”, en la cual pedimos de su comprensión ya que dicha información conlleva con proceso conforme a dichos lineamiento. Información que próximamente estar publicada en las diferentes plataformas de Acceso a la Información Pública. </w:t>
      </w:r>
    </w:p>
    <w:p w:rsidR="00000000" w:rsidDel="00000000" w:rsidP="00000000" w:rsidRDefault="00000000" w:rsidRPr="00000000" w14:paraId="000000D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Considerando que 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w:t>
      </w:r>
    </w:p>
    <w:p w:rsidR="00000000" w:rsidDel="00000000" w:rsidP="00000000" w:rsidRDefault="00000000" w:rsidRPr="00000000" w14:paraId="000000D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de conformidad con la Constitución Política del Estado Libre y Soberano de México, el Órgano Superior de Fiscalización del Estado de México, tiene la naturaleza jurídica de ser la entidad estatal competente en materia de revisión y fiscalización de las cuentas públicas, fondos, deuda pública y actos relativos al ejercicio y aplicación de los recursos públicos de las entidades fiscalizables del Estado de México.</w:t>
      </w:r>
    </w:p>
    <w:p w:rsidR="00000000" w:rsidDel="00000000" w:rsidP="00000000" w:rsidRDefault="00000000" w:rsidRPr="00000000" w14:paraId="000000D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el Órgano Superior de Fiscalización tiene la atribución de recibir, revisar y fiscalizar las cuentas públicas del año anterior del Estado y de los Municipios, mismas que incluirán, en su caso, la información correspondiente a los poderes públicos, organismos autónomos, organismos auxiliares, fideicomisos públicos o privados, y demás entes públicos que manejen recursos del Estado y Municipios. </w:t>
      </w:r>
    </w:p>
    <w:p w:rsidR="00000000" w:rsidDel="00000000" w:rsidP="00000000" w:rsidRDefault="00000000" w:rsidRPr="00000000" w14:paraId="000000D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los estados financieros y demás información presupuestaria, programática y contable que emanen de los registros de los entes públicos, serán la base para la emisión de informes periódicos y para la formulación de la cuenta pública anual. </w:t>
      </w:r>
    </w:p>
    <w:p w:rsidR="00000000" w:rsidDel="00000000" w:rsidP="00000000" w:rsidRDefault="00000000" w:rsidRPr="00000000" w14:paraId="000000D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el Informe Trimestral es el documento físico y/o electrónico que trimestralmente presentan las entidades fiscalizables sobre la situación económica, las finanzas públicas, y en su caso deuda pública para su análisis al Órgano Superior, a través de las tesorerías municipales y la Secretaría de Finanzas y, en su caso, las áreas competentes. </w:t>
      </w:r>
    </w:p>
    <w:p w:rsidR="00000000" w:rsidDel="00000000" w:rsidP="00000000" w:rsidRDefault="00000000" w:rsidRPr="00000000" w14:paraId="000000D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la Secretaría de Finanzas y las Tesorerías o sus equivalentes enviarán para su análisis y evaluación al Órgano Superior de Fiscalización del Estado de México, su información patrimonial, presupuestal y de obra pública, de manera trimestral dentro de los primeros veinte días hábiles posteriores al término del periodo a informar. </w:t>
      </w:r>
    </w:p>
    <w:p w:rsidR="00000000" w:rsidDel="00000000" w:rsidP="00000000" w:rsidRDefault="00000000" w:rsidRPr="00000000" w14:paraId="000000D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Esto conforme al primero, segundo, tercero y cuarto acuerdo 06/2022 por el que se emiten los lineamientos, fechas de capacitación y calendarización para la entrega de informes trimestrales de las entidades fiscalizables del estado de México del ejercicio fiscal 2022.” (sic)</w:t>
      </w:r>
    </w:p>
    <w:p w:rsidR="00000000" w:rsidDel="00000000" w:rsidP="00000000" w:rsidRDefault="00000000" w:rsidRPr="00000000" w14:paraId="000000DA">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se procede al análisis de los requerimientos planteados por la persona solicitante y las respuestas proporcionadas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efecto de determinar si el derecho de acceso se satisfizo con las mismas, o en su defecto, señalar los documentos que en el ejercicio de sus atribuciones pudo haber generado, y que, de manera enunciativa más no limitativa, pudieran colmar dicho derecho.</w:t>
      </w:r>
    </w:p>
    <w:p w:rsidR="00000000" w:rsidDel="00000000" w:rsidP="00000000" w:rsidRDefault="00000000" w:rsidRPr="00000000" w14:paraId="000000D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en primer lugar, resulta de suma importancia invocar el contenido de los artículos 162, 163, 164 y 165 de la Ley de Transparencia y Acceso a la Información Pública del Estado de México y Municipios, que rezan así:</w:t>
      </w:r>
    </w:p>
    <w:p w:rsidR="00000000" w:rsidDel="00000000" w:rsidP="00000000" w:rsidRDefault="00000000" w:rsidRPr="00000000" w14:paraId="000000DC">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162.</w:t>
      </w:r>
      <w:r w:rsidDel="00000000" w:rsidR="00000000" w:rsidRPr="00000000">
        <w:rPr>
          <w:rFonts w:ascii="Palatino Linotype" w:cs="Palatino Linotype" w:eastAsia="Palatino Linotype" w:hAnsi="Palatino Linotype"/>
          <w:i w:val="1"/>
          <w:sz w:val="22"/>
          <w:szCs w:val="22"/>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000000" w:rsidDel="00000000" w:rsidP="00000000" w:rsidRDefault="00000000" w:rsidRPr="00000000" w14:paraId="000000DD">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163.</w:t>
      </w:r>
      <w:r w:rsidDel="00000000" w:rsidR="00000000" w:rsidRPr="00000000">
        <w:rPr>
          <w:rFonts w:ascii="Palatino Linotype" w:cs="Palatino Linotype" w:eastAsia="Palatino Linotype" w:hAnsi="Palatino Linotype"/>
          <w:i w:val="1"/>
          <w:sz w:val="22"/>
          <w:szCs w:val="22"/>
          <w:rtl w:val="0"/>
        </w:rPr>
        <w:t xml:space="preserve"> La </w:t>
      </w:r>
      <w:r w:rsidDel="00000000" w:rsidR="00000000" w:rsidRPr="00000000">
        <w:rPr>
          <w:rFonts w:ascii="Palatino Linotype" w:cs="Palatino Linotype" w:eastAsia="Palatino Linotype" w:hAnsi="Palatino Linotype"/>
          <w:b w:val="1"/>
          <w:i w:val="1"/>
          <w:sz w:val="22"/>
          <w:szCs w:val="22"/>
          <w:rtl w:val="0"/>
        </w:rPr>
        <w:t xml:space="preserve">Unidad de Transparencia deberá notificar la respuesta a la solicitud al interesado en el menor tiempo posible</w:t>
      </w:r>
      <w:r w:rsidDel="00000000" w:rsidR="00000000" w:rsidRPr="00000000">
        <w:rPr>
          <w:rFonts w:ascii="Palatino Linotype" w:cs="Palatino Linotype" w:eastAsia="Palatino Linotype" w:hAnsi="Palatino Linotype"/>
          <w:i w:val="1"/>
          <w:sz w:val="22"/>
          <w:szCs w:val="22"/>
          <w:rtl w:val="0"/>
        </w:rPr>
        <w:t xml:space="preserve">, que no podrá exceder de quince días hábiles, contados a partir del día siguiente a la presentación de aquélla.  </w:t>
      </w:r>
    </w:p>
    <w:p w:rsidR="00000000" w:rsidDel="00000000" w:rsidP="00000000" w:rsidRDefault="00000000" w:rsidRPr="00000000" w14:paraId="000000DE">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000000" w:rsidDel="00000000" w:rsidP="00000000" w:rsidRDefault="00000000" w:rsidRPr="00000000" w14:paraId="000000DF">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164.</w:t>
      </w:r>
      <w:r w:rsidDel="00000000" w:rsidR="00000000" w:rsidRPr="00000000">
        <w:rPr>
          <w:rFonts w:ascii="Palatino Linotype" w:cs="Palatino Linotype" w:eastAsia="Palatino Linotype" w:hAnsi="Palatino Linotype"/>
          <w:i w:val="1"/>
          <w:sz w:val="22"/>
          <w:szCs w:val="22"/>
          <w:rtl w:val="0"/>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000000" w:rsidDel="00000000" w:rsidP="00000000" w:rsidRDefault="00000000" w:rsidRPr="00000000" w14:paraId="000000E0">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cualquier caso, se deberá fundar y motivar la necesidad de ofrecer otras modalidades.  </w:t>
      </w:r>
    </w:p>
    <w:p w:rsidR="00000000" w:rsidDel="00000000" w:rsidP="00000000" w:rsidRDefault="00000000" w:rsidRPr="00000000" w14:paraId="000000E1">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165.</w:t>
      </w:r>
      <w:r w:rsidDel="00000000" w:rsidR="00000000" w:rsidRPr="00000000">
        <w:rPr>
          <w:rFonts w:ascii="Palatino Linotype" w:cs="Palatino Linotype" w:eastAsia="Palatino Linotype" w:hAnsi="Palatino Linotype"/>
          <w:i w:val="1"/>
          <w:sz w:val="22"/>
          <w:szCs w:val="22"/>
          <w:rtl w:val="0"/>
        </w:rPr>
        <w:t xml:space="preserve"> Los sujetos obligados establecerán la forma y términos en que darán trámite interno a las solicitudes en materia de acceso a la información…”</w:t>
      </w:r>
    </w:p>
    <w:p w:rsidR="00000000" w:rsidDel="00000000" w:rsidP="00000000" w:rsidRDefault="00000000" w:rsidRPr="00000000" w14:paraId="000000E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cuerpo normativo transcrito, se advierte que las unidades de transparencia deberán garantizar que las solicitudes se turnen a todas las áreas que cuenten con la información o que deban tenerla de acuerdo a sus facultades, competencias o funciones.</w:t>
      </w:r>
    </w:p>
    <w:p w:rsidR="00000000" w:rsidDel="00000000" w:rsidP="00000000" w:rsidRDefault="00000000" w:rsidRPr="00000000" w14:paraId="000000E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rsidR="00000000" w:rsidDel="00000000" w:rsidP="00000000" w:rsidRDefault="00000000" w:rsidRPr="00000000" w14:paraId="000000E4">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derivado de las constancias que obran en los expedientes electrónicos, se advierte que la Unidad de Transparencia turnó las solicitudes de información a la Dirección de Administración y Finanzas, como se muestra a continuación:</w:t>
      </w:r>
    </w:p>
    <w:p w:rsidR="00000000" w:rsidDel="00000000" w:rsidP="00000000" w:rsidRDefault="00000000" w:rsidRPr="00000000" w14:paraId="000000E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937510"/>
            <wp:effectExtent b="0" l="0" r="0" t="0"/>
            <wp:docPr id="149"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612130" cy="293751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importante mencionar que la Dirección de Administración y Finanzas, de conformidad con el Manual de Organización del Organismo Descentralizado de Agua Potable, Alcantarillado y Saneamiento</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ODAPAS, de Chimalhuacán, se encarga de planear, coordinar, vigilar y aplicar la correcta administración de los ingresos derivados de recursos federales, estatales y municipales (recaudación por concepto de cobro de derechos,  aprovechamientos y aportación a mejoras), así como también los egresos de la administración de los recursos humanos y materiales para el desarrollo y sustento del Organismo, teniendo, en su parte conducente, las siguientes funciones:</w:t>
      </w:r>
    </w:p>
    <w:p w:rsidR="00000000" w:rsidDel="00000000" w:rsidP="00000000" w:rsidRDefault="00000000" w:rsidRPr="00000000" w14:paraId="000000E7">
      <w:pPr>
        <w:spacing w:after="240" w:before="240"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143500" cy="1697166"/>
            <wp:effectExtent b="0" l="0" r="0" t="0"/>
            <wp:docPr id="148" name="image5.png"/>
            <a:graphic>
              <a:graphicData uri="http://schemas.openxmlformats.org/drawingml/2006/picture">
                <pic:pic>
                  <pic:nvPicPr>
                    <pic:cNvPr id="0" name="image5.png"/>
                    <pic:cNvPicPr preferRelativeResize="0"/>
                  </pic:nvPicPr>
                  <pic:blipFill>
                    <a:blip r:embed="rId12"/>
                    <a:srcRect b="43735" l="0" r="0" t="17891"/>
                    <a:stretch>
                      <a:fillRect/>
                    </a:stretch>
                  </pic:blipFill>
                  <pic:spPr>
                    <a:xfrm>
                      <a:off x="0" y="0"/>
                      <a:ext cx="5143500" cy="1697166"/>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143500" cy="1328458"/>
            <wp:effectExtent b="0" l="0" r="0" t="0"/>
            <wp:docPr id="152" name="image5.png"/>
            <a:graphic>
              <a:graphicData uri="http://schemas.openxmlformats.org/drawingml/2006/picture">
                <pic:pic>
                  <pic:nvPicPr>
                    <pic:cNvPr id="0" name="image5.png"/>
                    <pic:cNvPicPr preferRelativeResize="0"/>
                  </pic:nvPicPr>
                  <pic:blipFill>
                    <a:blip r:embed="rId12"/>
                    <a:srcRect b="360" l="0" r="0" t="69603"/>
                    <a:stretch>
                      <a:fillRect/>
                    </a:stretch>
                  </pic:blipFill>
                  <pic:spPr>
                    <a:xfrm>
                      <a:off x="0" y="0"/>
                      <a:ext cx="5143500" cy="1328458"/>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099685" cy="1204595"/>
            <wp:effectExtent b="0" l="0" r="0" t="0"/>
            <wp:docPr id="150"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099685" cy="1204595"/>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after="240" w:before="240"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309870" cy="2214245"/>
            <wp:effectExtent b="0" l="0" r="0" t="0"/>
            <wp:docPr id="15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309870" cy="2214245"/>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354320" cy="2356485"/>
            <wp:effectExtent b="0" l="0" r="0" t="0"/>
            <wp:docPr id="153"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354320" cy="235648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desempeño de dichas atribuciones se auxilia de los siguientes Departamentos, de conformidad con su organigrama:</w:t>
      </w:r>
    </w:p>
    <w:p w:rsidR="00000000" w:rsidDel="00000000" w:rsidP="00000000" w:rsidRDefault="00000000" w:rsidRPr="00000000" w14:paraId="000000EA">
      <w:pPr>
        <w:spacing w:after="240" w:before="24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spacing w:after="240" w:before="240"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60000" cy="2940532"/>
            <wp:effectExtent b="0" l="0" r="0" t="0"/>
            <wp:docPr id="157"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4860000" cy="2940532"/>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tema que nos ocupa, Departamento de Contabilidad Fiscal, el Departamento de Recursos Materiales así como el Departamento de Egresos, pudieran resultar competentes para contar con la información que es tema de estudio, no obstante, de las constancias que obran en los expedientes electrónicos se advierte que la Dirección de Administración y Finanzas no emitió pronunciamiento alguno a efecto de atender las solicitudes de información, siendo la Unidad de Transparencia el área que proporcionó las respuestas. Para un mejor entendimiento, se agrega la siguiente ilustración a manera de ejemplo:</w:t>
      </w:r>
    </w:p>
    <w:p w:rsidR="00000000" w:rsidDel="00000000" w:rsidP="00000000" w:rsidRDefault="00000000" w:rsidRPr="00000000" w14:paraId="000000ED">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0700" cy="835270"/>
            <wp:effectExtent b="0" l="0" r="0" t="0"/>
            <wp:docPr id="155" name="image16.png"/>
            <a:graphic>
              <a:graphicData uri="http://schemas.openxmlformats.org/drawingml/2006/picture">
                <pic:pic>
                  <pic:nvPicPr>
                    <pic:cNvPr id="0" name="image16.png"/>
                    <pic:cNvPicPr preferRelativeResize="0"/>
                  </pic:nvPicPr>
                  <pic:blipFill>
                    <a:blip r:embed="rId17"/>
                    <a:srcRect b="27487" l="0" r="0" t="0"/>
                    <a:stretch>
                      <a:fillRect/>
                    </a:stretch>
                  </pic:blipFill>
                  <pic:spPr>
                    <a:xfrm>
                      <a:off x="0" y="0"/>
                      <a:ext cx="5600700" cy="83527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406400</wp:posOffset>
                </wp:positionV>
                <wp:extent cx="571500" cy="293028"/>
                <wp:effectExtent b="0" l="0" r="0" t="0"/>
                <wp:wrapNone/>
                <wp:docPr id="140" name=""/>
                <a:graphic>
                  <a:graphicData uri="http://schemas.microsoft.com/office/word/2010/wordprocessingShape">
                    <wps:wsp>
                      <wps:cNvCnPr/>
                      <wps:spPr>
                        <a:xfrm flipH="1">
                          <a:off x="5145975" y="3719211"/>
                          <a:ext cx="400050" cy="121578"/>
                        </a:xfrm>
                        <a:prstGeom prst="straightConnector1">
                          <a:avLst/>
                        </a:prstGeom>
                        <a:noFill/>
                        <a:ln cap="flat" cmpd="sng" w="57150">
                          <a:solidFill>
                            <a:srgbClr val="C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406400</wp:posOffset>
                </wp:positionV>
                <wp:extent cx="571500" cy="293028"/>
                <wp:effectExtent b="0" l="0" r="0" t="0"/>
                <wp:wrapNone/>
                <wp:docPr id="140" name="image2.png"/>
                <a:graphic>
                  <a:graphicData uri="http://schemas.openxmlformats.org/drawingml/2006/picture">
                    <pic:pic>
                      <pic:nvPicPr>
                        <pic:cNvPr id="0" name="image2.png"/>
                        <pic:cNvPicPr preferRelativeResize="0"/>
                      </pic:nvPicPr>
                      <pic:blipFill>
                        <a:blip r:embed="rId18"/>
                        <a:srcRect/>
                        <a:stretch>
                          <a:fillRect/>
                        </a:stretch>
                      </pic:blipFill>
                      <pic:spPr>
                        <a:xfrm>
                          <a:off x="0" y="0"/>
                          <a:ext cx="571500" cy="293028"/>
                        </a:xfrm>
                        <a:prstGeom prst="rect"/>
                        <a:ln/>
                      </pic:spPr>
                    </pic:pic>
                  </a:graphicData>
                </a:graphic>
              </wp:anchor>
            </w:drawing>
          </mc:Fallback>
        </mc:AlternateContent>
      </w:r>
    </w:p>
    <w:p w:rsidR="00000000" w:rsidDel="00000000" w:rsidP="00000000" w:rsidRDefault="00000000" w:rsidRPr="00000000" w14:paraId="000000E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no obsta mencionar que de conformidad con el artículo 59</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Fonts w:ascii="Palatino Linotype" w:cs="Palatino Linotype" w:eastAsia="Palatino Linotype" w:hAnsi="Palatino Linotype"/>
          <w:rtl w:val="0"/>
        </w:rPr>
        <w:t xml:space="preserve"> de la Ley de la materia, los servidores públicos habilitados tienen como función, buscar, localizar, y en su caso, entregar la información solicitada.</w:t>
      </w:r>
    </w:p>
    <w:p w:rsidR="00000000" w:rsidDel="00000000" w:rsidP="00000000" w:rsidRDefault="00000000" w:rsidRPr="00000000" w14:paraId="000000E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manifestado con antelación se precisa que la Unidad de Transparencia debe garantizar que las solicitudes se turnen a todas las áreas competentes que puedan contar con la información, con el objeto de que se realice una búsqueda exhaustiva y razonable de la información solicitada, y que una vez localizada, la misma sea proporcionada al solicitante atendiendo a la naturaleza jurídica de la misma, circunstancia que en el presente asunto no sucedió, toda vez que si bien las solicitudes se turnaron a la Dirección de Administración y Finanzas, en las constancias que obran en el expediente electrónico, no hay registro de que esta Dependencia, hubieran observado el procedimiento para la atención de las mismas, vulnerando el Derecho de acceso a la Información de la persona solicitante, al no haberse proporcionado la información que es de su interés.</w:t>
      </w:r>
    </w:p>
    <w:p w:rsidR="00000000" w:rsidDel="00000000" w:rsidP="00000000" w:rsidRDefault="00000000" w:rsidRPr="00000000" w14:paraId="000000F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segundo lugar, respecto al tema que nos ocupa, es oportuno partir de lo dispuesto en la Ley de Contratación Pública del Estado de México y Municipios, la cual tiene por objeto regular los actos relativos a la </w:t>
      </w:r>
      <w:r w:rsidDel="00000000" w:rsidR="00000000" w:rsidRPr="00000000">
        <w:rPr>
          <w:rFonts w:ascii="Palatino Linotype" w:cs="Palatino Linotype" w:eastAsia="Palatino Linotype" w:hAnsi="Palatino Linotype"/>
          <w:b w:val="1"/>
          <w:u w:val="single"/>
          <w:rtl w:val="0"/>
        </w:rPr>
        <w:t xml:space="preserve">planeación, programación, presupuestación</w:t>
      </w:r>
      <w:r w:rsidDel="00000000" w:rsidR="00000000" w:rsidRPr="00000000">
        <w:rPr>
          <w:rFonts w:ascii="Palatino Linotype" w:cs="Palatino Linotype" w:eastAsia="Palatino Linotype" w:hAnsi="Palatino Linotype"/>
          <w:rtl w:val="0"/>
        </w:rPr>
        <w:t xml:space="preserve">, ejecución y control de la </w:t>
      </w:r>
      <w:r w:rsidDel="00000000" w:rsidR="00000000" w:rsidRPr="00000000">
        <w:rPr>
          <w:rFonts w:ascii="Palatino Linotype" w:cs="Palatino Linotype" w:eastAsia="Palatino Linotype" w:hAnsi="Palatino Linotype"/>
          <w:b w:val="1"/>
          <w:u w:val="single"/>
          <w:rtl w:val="0"/>
        </w:rPr>
        <w:t xml:space="preserve">adquisición</w:t>
      </w:r>
      <w:r w:rsidDel="00000000" w:rsidR="00000000" w:rsidRPr="00000000">
        <w:rPr>
          <w:rFonts w:ascii="Palatino Linotype" w:cs="Palatino Linotype" w:eastAsia="Palatino Linotype" w:hAnsi="Palatino Linotype"/>
          <w:u w:val="single"/>
          <w:rtl w:val="0"/>
        </w:rPr>
        <w:t xml:space="preserve">, </w:t>
      </w:r>
      <w:r w:rsidDel="00000000" w:rsidR="00000000" w:rsidRPr="00000000">
        <w:rPr>
          <w:rFonts w:ascii="Palatino Linotype" w:cs="Palatino Linotype" w:eastAsia="Palatino Linotype" w:hAnsi="Palatino Linotype"/>
          <w:b w:val="1"/>
          <w:u w:val="single"/>
          <w:rtl w:val="0"/>
        </w:rPr>
        <w:t xml:space="preserve">enajenación y arrendamiento</w:t>
      </w:r>
      <w:r w:rsidDel="00000000" w:rsidR="00000000" w:rsidRPr="00000000">
        <w:rPr>
          <w:rFonts w:ascii="Palatino Linotype" w:cs="Palatino Linotype" w:eastAsia="Palatino Linotype" w:hAnsi="Palatino Linotype"/>
          <w:rtl w:val="0"/>
        </w:rPr>
        <w:t xml:space="preserve"> de bienes, y la </w:t>
      </w:r>
      <w:r w:rsidDel="00000000" w:rsidR="00000000" w:rsidRPr="00000000">
        <w:rPr>
          <w:rFonts w:ascii="Palatino Linotype" w:cs="Palatino Linotype" w:eastAsia="Palatino Linotype" w:hAnsi="Palatino Linotype"/>
          <w:b w:val="1"/>
          <w:u w:val="single"/>
          <w:rtl w:val="0"/>
        </w:rPr>
        <w:t xml:space="preserve">contratación de servicios de cualquier naturaleza</w:t>
      </w:r>
      <w:r w:rsidDel="00000000" w:rsidR="00000000" w:rsidRPr="00000000">
        <w:rPr>
          <w:rFonts w:ascii="Palatino Linotype" w:cs="Palatino Linotype" w:eastAsia="Palatino Linotype" w:hAnsi="Palatino Linotype"/>
          <w:rtl w:val="0"/>
        </w:rPr>
        <w:t xml:space="preserve">, los cuales se adjudicarán a través de licitación pública, invitación restringida o adjudicación directa, mediante convocatoria pública, tal y como lo establecen los artículos 4, párrafo primero y segundo, 26 y 27 de dicha Ley, los cuales son del tenor siguiente:</w:t>
      </w:r>
    </w:p>
    <w:p w:rsidR="00000000" w:rsidDel="00000000" w:rsidP="00000000" w:rsidRDefault="00000000" w:rsidRPr="00000000" w14:paraId="000000F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Para los efectos de esta Ley, </w:t>
      </w:r>
      <w:r w:rsidDel="00000000" w:rsidR="00000000" w:rsidRPr="00000000">
        <w:rPr>
          <w:rFonts w:ascii="Palatino Linotype" w:cs="Palatino Linotype" w:eastAsia="Palatino Linotype" w:hAnsi="Palatino Linotype"/>
          <w:b w:val="1"/>
          <w:i w:val="1"/>
          <w:sz w:val="22"/>
          <w:szCs w:val="22"/>
          <w:rtl w:val="0"/>
        </w:rPr>
        <w:t xml:space="preserve">en las adquisiciones, enajenaciones, arrendamientos y servicios, quedan comprendidos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adquisición de bienes muebles.</w:t>
      </w:r>
    </w:p>
    <w:p w:rsidR="00000000" w:rsidDel="00000000" w:rsidP="00000000" w:rsidRDefault="00000000" w:rsidRPr="00000000" w14:paraId="000000F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La adquisición de bienes inmuebles, a través de compraventa.</w:t>
      </w:r>
    </w:p>
    <w:p w:rsidR="00000000" w:rsidDel="00000000" w:rsidP="00000000" w:rsidRDefault="00000000" w:rsidRPr="00000000" w14:paraId="000000F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enajenación de bienes muebles e inmuebles.</w:t>
      </w:r>
    </w:p>
    <w:p w:rsidR="00000000" w:rsidDel="00000000" w:rsidP="00000000" w:rsidRDefault="00000000" w:rsidRPr="00000000" w14:paraId="000000F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El arrendamiento de bienes muebles e inmuebles. </w:t>
      </w:r>
    </w:p>
    <w:p w:rsidR="00000000" w:rsidDel="00000000" w:rsidP="00000000" w:rsidRDefault="00000000" w:rsidRPr="00000000" w14:paraId="000000F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contratación de los servicios, relacionados con bienes muebles que se encuentran incorporados o adheridos a bienes inmuebles, cuya instalación o mantenimiento no implique modificación al bien inmueble.</w:t>
      </w:r>
    </w:p>
    <w:p w:rsidR="00000000" w:rsidDel="00000000" w:rsidP="00000000" w:rsidRDefault="00000000" w:rsidRPr="00000000" w14:paraId="000000F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La contratación de los servicios de reconstrucción y mantenimiento de bienes muebles. </w:t>
      </w:r>
    </w:p>
    <w:p w:rsidR="00000000" w:rsidDel="00000000" w:rsidP="00000000" w:rsidRDefault="00000000" w:rsidRPr="00000000" w14:paraId="000000F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La contratación de los servicios de maquila, seguros y transportación, así como de los de limpieza y vigilancia de bienes inmuebles. </w:t>
      </w:r>
    </w:p>
    <w:p w:rsidR="00000000" w:rsidDel="00000000" w:rsidP="00000000" w:rsidRDefault="00000000" w:rsidRPr="00000000" w14:paraId="000000F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prestación de servicios profesionales, la contratación de consultorías, asesorías y estudios e investigaciones, excepto la contratación de servicios personales de personas físicas bajo el régimen de honorarios. </w:t>
      </w:r>
    </w:p>
    <w:p w:rsidR="00000000" w:rsidDel="00000000" w:rsidP="00000000" w:rsidRDefault="00000000" w:rsidRPr="00000000" w14:paraId="000000F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general, otros actos que impliquen la contratación de servicios de cualquier naturaleza.</w:t>
      </w:r>
    </w:p>
    <w:p w:rsidR="00000000" w:rsidDel="00000000" w:rsidP="00000000" w:rsidRDefault="00000000" w:rsidRPr="00000000" w14:paraId="000000F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adquisiciones, arrendamientos y servicios se adjudicarán a través de licitaciones públicas</w:t>
      </w:r>
      <w:r w:rsidDel="00000000" w:rsidR="00000000" w:rsidRPr="00000000">
        <w:rPr>
          <w:rFonts w:ascii="Palatino Linotype" w:cs="Palatino Linotype" w:eastAsia="Palatino Linotype" w:hAnsi="Palatino Linotype"/>
          <w:i w:val="1"/>
          <w:sz w:val="22"/>
          <w:szCs w:val="22"/>
          <w:rtl w:val="0"/>
        </w:rPr>
        <w:t xml:space="preserve">, mediante convocatoria pública. </w:t>
      </w:r>
    </w:p>
    <w:p w:rsidR="00000000" w:rsidDel="00000000" w:rsidP="00000000" w:rsidRDefault="00000000" w:rsidRPr="00000000" w14:paraId="000000F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27.</w:t>
      </w:r>
      <w:r w:rsidDel="00000000" w:rsidR="00000000" w:rsidRPr="00000000">
        <w:rPr>
          <w:rFonts w:ascii="Palatino Linotype" w:cs="Palatino Linotype" w:eastAsia="Palatino Linotype" w:hAnsi="Palatino Linotype"/>
          <w:i w:val="1"/>
          <w:sz w:val="22"/>
          <w:szCs w:val="22"/>
          <w:rtl w:val="0"/>
        </w:rPr>
        <w:t xml:space="preserve">- La Secretaría, las entidades, los tribunales administrativos y los ayuntamientos podrán </w:t>
      </w:r>
      <w:r w:rsidDel="00000000" w:rsidR="00000000" w:rsidRPr="00000000">
        <w:rPr>
          <w:rFonts w:ascii="Palatino Linotype" w:cs="Palatino Linotype" w:eastAsia="Palatino Linotype" w:hAnsi="Palatino Linotype"/>
          <w:b w:val="1"/>
          <w:i w:val="1"/>
          <w:sz w:val="22"/>
          <w:szCs w:val="22"/>
          <w:rtl w:val="0"/>
        </w:rPr>
        <w:t xml:space="preserve">adjudicar adquisiciones, arrendamientos y servicios, mediante las excepciones al procedimiento de licitación</w:t>
      </w:r>
      <w:r w:rsidDel="00000000" w:rsidR="00000000" w:rsidRPr="00000000">
        <w:rPr>
          <w:rFonts w:ascii="Palatino Linotype" w:cs="Palatino Linotype" w:eastAsia="Palatino Linotype" w:hAnsi="Palatino Linotype"/>
          <w:i w:val="1"/>
          <w:sz w:val="22"/>
          <w:szCs w:val="22"/>
          <w:rtl w:val="0"/>
        </w:rPr>
        <w:t xml:space="preserve"> que a continuación se señalan:</w:t>
      </w:r>
    </w:p>
    <w:p w:rsidR="00000000" w:rsidDel="00000000" w:rsidP="00000000" w:rsidRDefault="00000000" w:rsidRPr="00000000" w14:paraId="000000F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Invitación restringida.</w:t>
      </w:r>
    </w:p>
    <w:p w:rsidR="00000000" w:rsidDel="00000000" w:rsidP="00000000" w:rsidRDefault="00000000" w:rsidRPr="00000000" w14:paraId="000000F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Adjudicación directa.”</w:t>
      </w:r>
    </w:p>
    <w:p w:rsidR="00000000" w:rsidDel="00000000" w:rsidP="00000000" w:rsidRDefault="00000000" w:rsidRPr="00000000" w14:paraId="0000010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los preceptos citados se advierte que, por regla general, las adquisiciones, enajenaciones, arrendamientos y prestación de servicios, que celebren los entes públicos, deben adjudicarse mediante licitación pública, sin embargo, también se contemplan como excepciones a dicho proceso, la invitación restringida y la adjudicación directa.</w:t>
      </w:r>
    </w:p>
    <w:p w:rsidR="00000000" w:rsidDel="00000000" w:rsidP="00000000" w:rsidRDefault="00000000" w:rsidRPr="00000000" w14:paraId="000001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Reglamento de la Ley de Contratación Pública del Estado de México y Municipios, dispone lo que a la letra se inserta:</w:t>
      </w:r>
    </w:p>
    <w:p w:rsidR="00000000" w:rsidDel="00000000" w:rsidP="00000000" w:rsidRDefault="00000000" w:rsidRPr="00000000" w14:paraId="0000010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w:t>
      </w:r>
      <w:r w:rsidDel="00000000" w:rsidR="00000000" w:rsidRPr="00000000">
        <w:rPr>
          <w:rFonts w:ascii="Palatino Linotype" w:cs="Palatino Linotype" w:eastAsia="Palatino Linotype" w:hAnsi="Palatino Linotype"/>
          <w:i w:val="1"/>
          <w:sz w:val="22"/>
          <w:szCs w:val="22"/>
          <w:rtl w:val="0"/>
        </w:rPr>
        <w:t xml:space="preserve"> Para los efectos de este Reglamento, se entenderá por: </w:t>
      </w:r>
    </w:p>
    <w:p w:rsidR="00000000" w:rsidDel="00000000" w:rsidP="00000000" w:rsidRDefault="00000000" w:rsidRPr="00000000" w14:paraId="0000010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Adjudicación directa: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 </w:t>
      </w:r>
    </w:p>
    <w:p w:rsidR="00000000" w:rsidDel="00000000" w:rsidP="00000000" w:rsidRDefault="00000000" w:rsidRPr="00000000" w14:paraId="0000010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Invitación restringida: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 </w:t>
      </w:r>
    </w:p>
    <w:p w:rsidR="00000000" w:rsidDel="00000000" w:rsidP="00000000" w:rsidRDefault="00000000" w:rsidRPr="00000000" w14:paraId="0000010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Licitación pública: Modalidad de adquisición de bienes y contratación de servicios, mediante convocatoria pública que realicen la Secretaría, organismos auxiliares, tribunales administrativos o municipios, por el que se aseguran las mejores condiciones en cuanto a precio, calidad, financiamiento, oportunidad y demás circunstancias pertinentes. </w:t>
      </w:r>
    </w:p>
    <w:p w:rsidR="00000000" w:rsidDel="00000000" w:rsidP="00000000" w:rsidRDefault="00000000" w:rsidRPr="00000000" w14:paraId="0000010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Procedimiento de adquisición: Conjunto de etapas por las que la Secretaría, las dependencias, organismos auxiliares, tribunales administrativos o municipios, adquieren bienes, contratan servicios o adquieren en arrendamiento bienes inmuebles para el cumplimiento de sus funciones, programas y acciones…</w:t>
      </w:r>
    </w:p>
    <w:p w:rsidR="00000000" w:rsidDel="00000000" w:rsidP="00000000" w:rsidRDefault="00000000" w:rsidRPr="00000000" w14:paraId="0000010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61.-</w:t>
      </w:r>
      <w:r w:rsidDel="00000000" w:rsidR="00000000" w:rsidRPr="00000000">
        <w:rPr>
          <w:rFonts w:ascii="Palatino Linotype" w:cs="Palatino Linotype" w:eastAsia="Palatino Linotype" w:hAnsi="Palatino Linotype"/>
          <w:i w:val="1"/>
          <w:sz w:val="22"/>
          <w:szCs w:val="22"/>
          <w:rtl w:val="0"/>
        </w:rPr>
        <w:t xml:space="preserve"> La Secretaría, organismos auxiliares, tribunales administrativos y municipios podrán realizar licitaciones públicas, para la adquisición, arrendamiento de bienes y la contratación de servicios de cualquier naturaleza, conforme a las previsiones y disposiciones presupuestarias respectivas. </w:t>
      </w:r>
    </w:p>
    <w:p w:rsidR="00000000" w:rsidDel="00000000" w:rsidP="00000000" w:rsidRDefault="00000000" w:rsidRPr="00000000" w14:paraId="0000010B">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62.-</w:t>
      </w:r>
      <w:r w:rsidDel="00000000" w:rsidR="00000000" w:rsidRPr="00000000">
        <w:rPr>
          <w:rFonts w:ascii="Palatino Linotype" w:cs="Palatino Linotype" w:eastAsia="Palatino Linotype" w:hAnsi="Palatino Linotype"/>
          <w:i w:val="1"/>
          <w:sz w:val="22"/>
          <w:szCs w:val="22"/>
          <w:rtl w:val="0"/>
        </w:rPr>
        <w:t xml:space="preserve"> Las personas que participen en los procedimientos licitatorios que convoquen la Secretaría, organismos auxiliares, tribunales administrativos y municipios, tendrán igual acceso a la información relacionada con éstos; cumplirán los mismos requisitos y participarán bajo las mismas condiciones.</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0C">
      <w:pPr>
        <w:shd w:fill="ffffff" w:val="clea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67.- </w:t>
      </w:r>
      <w:r w:rsidDel="00000000" w:rsidR="00000000" w:rsidRPr="00000000">
        <w:rPr>
          <w:rFonts w:ascii="Palatino Linotype" w:cs="Palatino Linotype" w:eastAsia="Palatino Linotype" w:hAnsi="Palatino Linotype"/>
          <w:i w:val="1"/>
          <w:sz w:val="22"/>
          <w:szCs w:val="22"/>
          <w:rtl w:val="0"/>
        </w:rPr>
        <w:t xml:space="preserve">El procedimiento de licitación pública comprende las siguientes fases: </w:t>
      </w:r>
    </w:p>
    <w:p w:rsidR="00000000" w:rsidDel="00000000" w:rsidP="00000000" w:rsidRDefault="00000000" w:rsidRPr="00000000" w14:paraId="0000010D">
      <w:pPr>
        <w:numPr>
          <w:ilvl w:val="0"/>
          <w:numId w:val="1"/>
        </w:numPr>
        <w:pBdr>
          <w:top w:space="0" w:sz="0" w:val="nil"/>
          <w:left w:space="0" w:sz="0" w:val="nil"/>
          <w:bottom w:space="0" w:sz="0" w:val="nil"/>
          <w:right w:space="0" w:sz="0" w:val="nil"/>
          <w:between w:space="0" w:sz="0" w:val="nil"/>
        </w:pBdr>
        <w:shd w:fill="ffffff" w:val="clear"/>
        <w:spacing w:after="120" w:before="120" w:lineRule="auto"/>
        <w:ind w:left="1134" w:right="902" w:hanging="1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Publicación de la convocatoria; </w:t>
      </w:r>
    </w:p>
    <w:p w:rsidR="00000000" w:rsidDel="00000000" w:rsidP="00000000" w:rsidRDefault="00000000" w:rsidRPr="00000000" w14:paraId="0000010E">
      <w:pPr>
        <w:numPr>
          <w:ilvl w:val="0"/>
          <w:numId w:val="1"/>
        </w:numPr>
        <w:pBdr>
          <w:top w:space="0" w:sz="0" w:val="nil"/>
          <w:left w:space="0" w:sz="0" w:val="nil"/>
          <w:bottom w:space="0" w:sz="0" w:val="nil"/>
          <w:right w:space="0" w:sz="0" w:val="nil"/>
          <w:between w:space="0" w:sz="0" w:val="nil"/>
        </w:pBdr>
        <w:shd w:fill="ffffff" w:val="clear"/>
        <w:spacing w:after="120" w:before="120" w:lineRule="auto"/>
        <w:ind w:left="1134" w:right="902" w:hanging="1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Venta de las bases de licitación;</w:t>
      </w:r>
    </w:p>
    <w:p w:rsidR="00000000" w:rsidDel="00000000" w:rsidP="00000000" w:rsidRDefault="00000000" w:rsidRPr="00000000" w14:paraId="0000010F">
      <w:pPr>
        <w:numPr>
          <w:ilvl w:val="0"/>
          <w:numId w:val="1"/>
        </w:numPr>
        <w:pBdr>
          <w:top w:space="0" w:sz="0" w:val="nil"/>
          <w:left w:space="0" w:sz="0" w:val="nil"/>
          <w:bottom w:space="0" w:sz="0" w:val="nil"/>
          <w:right w:space="0" w:sz="0" w:val="nil"/>
          <w:between w:space="0" w:sz="0" w:val="nil"/>
        </w:pBdr>
        <w:shd w:fill="ffffff" w:val="clear"/>
        <w:spacing w:after="120" w:before="120" w:lineRule="auto"/>
        <w:ind w:left="1134" w:right="902" w:hanging="1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Visita, en su caso, al sitio donde se vayan a suministrar los bienes o a prestar los servicios;</w:t>
      </w:r>
    </w:p>
    <w:p w:rsidR="00000000" w:rsidDel="00000000" w:rsidP="00000000" w:rsidRDefault="00000000" w:rsidRPr="00000000" w14:paraId="00000110">
      <w:pPr>
        <w:numPr>
          <w:ilvl w:val="0"/>
          <w:numId w:val="1"/>
        </w:numPr>
        <w:pBdr>
          <w:top w:space="0" w:sz="0" w:val="nil"/>
          <w:left w:space="0" w:sz="0" w:val="nil"/>
          <w:bottom w:space="0" w:sz="0" w:val="nil"/>
          <w:right w:space="0" w:sz="0" w:val="nil"/>
          <w:between w:space="0" w:sz="0" w:val="nil"/>
        </w:pBdr>
        <w:shd w:fill="ffffff" w:val="clear"/>
        <w:spacing w:after="120" w:before="120" w:lineRule="auto"/>
        <w:ind w:left="1134" w:right="902" w:hanging="1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Junta de aclaraciones, en su caso; </w:t>
      </w:r>
    </w:p>
    <w:p w:rsidR="00000000" w:rsidDel="00000000" w:rsidP="00000000" w:rsidRDefault="00000000" w:rsidRPr="00000000" w14:paraId="00000111">
      <w:pPr>
        <w:numPr>
          <w:ilvl w:val="0"/>
          <w:numId w:val="1"/>
        </w:numPr>
        <w:pBdr>
          <w:top w:space="0" w:sz="0" w:val="nil"/>
          <w:left w:space="0" w:sz="0" w:val="nil"/>
          <w:bottom w:space="0" w:sz="0" w:val="nil"/>
          <w:right w:space="0" w:sz="0" w:val="nil"/>
          <w:between w:space="0" w:sz="0" w:val="nil"/>
        </w:pBdr>
        <w:shd w:fill="ffffff" w:val="clear"/>
        <w:spacing w:after="120" w:before="120" w:lineRule="auto"/>
        <w:ind w:left="1134" w:right="902" w:hanging="1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Acto de presentación y apertura de propuestas;</w:t>
      </w:r>
    </w:p>
    <w:p w:rsidR="00000000" w:rsidDel="00000000" w:rsidP="00000000" w:rsidRDefault="00000000" w:rsidRPr="00000000" w14:paraId="00000112">
      <w:pPr>
        <w:numPr>
          <w:ilvl w:val="0"/>
          <w:numId w:val="1"/>
        </w:numPr>
        <w:pBdr>
          <w:top w:space="0" w:sz="0" w:val="nil"/>
          <w:left w:space="0" w:sz="0" w:val="nil"/>
          <w:bottom w:space="0" w:sz="0" w:val="nil"/>
          <w:right w:space="0" w:sz="0" w:val="nil"/>
          <w:between w:space="0" w:sz="0" w:val="nil"/>
        </w:pBdr>
        <w:shd w:fill="ffffff" w:val="clear"/>
        <w:spacing w:after="120" w:before="120" w:lineRule="auto"/>
        <w:ind w:left="1134" w:right="902" w:hanging="1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Análisis y evaluación de propuestas;</w:t>
      </w:r>
    </w:p>
    <w:p w:rsidR="00000000" w:rsidDel="00000000" w:rsidP="00000000" w:rsidRDefault="00000000" w:rsidRPr="00000000" w14:paraId="00000113">
      <w:pPr>
        <w:numPr>
          <w:ilvl w:val="0"/>
          <w:numId w:val="1"/>
        </w:numPr>
        <w:pBdr>
          <w:top w:space="0" w:sz="0" w:val="nil"/>
          <w:left w:space="0" w:sz="0" w:val="nil"/>
          <w:bottom w:space="0" w:sz="0" w:val="nil"/>
          <w:right w:space="0" w:sz="0" w:val="nil"/>
          <w:between w:space="0" w:sz="0" w:val="nil"/>
        </w:pBdr>
        <w:shd w:fill="ffffff" w:val="clear"/>
        <w:spacing w:after="120" w:before="120" w:lineRule="auto"/>
        <w:ind w:left="1134" w:right="902" w:hanging="1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Dictamen de adjudicación; </w:t>
      </w:r>
    </w:p>
    <w:p w:rsidR="00000000" w:rsidDel="00000000" w:rsidP="00000000" w:rsidRDefault="00000000" w:rsidRPr="00000000" w14:paraId="00000114">
      <w:pPr>
        <w:numPr>
          <w:ilvl w:val="0"/>
          <w:numId w:val="1"/>
        </w:numPr>
        <w:pBdr>
          <w:top w:space="0" w:sz="0" w:val="nil"/>
          <w:left w:space="0" w:sz="0" w:val="nil"/>
          <w:bottom w:space="0" w:sz="0" w:val="nil"/>
          <w:right w:space="0" w:sz="0" w:val="nil"/>
          <w:between w:space="0" w:sz="0" w:val="nil"/>
        </w:pBdr>
        <w:shd w:fill="ffffff" w:val="clear"/>
        <w:spacing w:after="120" w:before="120" w:lineRule="auto"/>
        <w:ind w:left="1134" w:right="902" w:hanging="1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Fallo; </w:t>
      </w:r>
    </w:p>
    <w:p w:rsidR="00000000" w:rsidDel="00000000" w:rsidP="00000000" w:rsidRDefault="00000000" w:rsidRPr="00000000" w14:paraId="00000115">
      <w:pPr>
        <w:numPr>
          <w:ilvl w:val="0"/>
          <w:numId w:val="1"/>
        </w:numPr>
        <w:pBdr>
          <w:top w:space="0" w:sz="0" w:val="nil"/>
          <w:left w:space="0" w:sz="0" w:val="nil"/>
          <w:bottom w:space="0" w:sz="0" w:val="nil"/>
          <w:right w:space="0" w:sz="0" w:val="nil"/>
          <w:between w:space="0" w:sz="0" w:val="nil"/>
        </w:pBdr>
        <w:shd w:fill="ffffff" w:val="clear"/>
        <w:spacing w:after="120" w:before="120" w:lineRule="auto"/>
        <w:ind w:left="1134" w:right="902" w:hanging="1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Suscripción del contrato; y </w:t>
      </w:r>
    </w:p>
    <w:p w:rsidR="00000000" w:rsidDel="00000000" w:rsidP="00000000" w:rsidRDefault="00000000" w:rsidRPr="00000000" w14:paraId="00000116">
      <w:pPr>
        <w:numPr>
          <w:ilvl w:val="0"/>
          <w:numId w:val="1"/>
        </w:numPr>
        <w:pBdr>
          <w:top w:space="0" w:sz="0" w:val="nil"/>
          <w:left w:space="0" w:sz="0" w:val="nil"/>
          <w:bottom w:space="0" w:sz="0" w:val="nil"/>
          <w:right w:space="0" w:sz="0" w:val="nil"/>
          <w:between w:space="0" w:sz="0" w:val="nil"/>
        </w:pBdr>
        <w:shd w:fill="ffffff" w:val="clear"/>
        <w:spacing w:after="120" w:before="120" w:lineRule="auto"/>
        <w:ind w:left="1134" w:right="902" w:hanging="1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Suministro de los bienes o inicio de la prestación del servicio.</w:t>
      </w:r>
    </w:p>
    <w:p w:rsidR="00000000" w:rsidDel="00000000" w:rsidP="00000000" w:rsidRDefault="00000000" w:rsidRPr="00000000" w14:paraId="0000011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90.-</w:t>
      </w:r>
      <w:r w:rsidDel="00000000" w:rsidR="00000000" w:rsidRPr="00000000">
        <w:rPr>
          <w:rFonts w:ascii="Palatino Linotype" w:cs="Palatino Linotype" w:eastAsia="Palatino Linotype" w:hAnsi="Palatino Linotype"/>
          <w:i w:val="1"/>
          <w:sz w:val="22"/>
          <w:szCs w:val="22"/>
          <w:rtl w:val="0"/>
        </w:rPr>
        <w:t xml:space="preserve"> En el procedimiento de invitación restringida se deberá observar lo siguiente: </w:t>
      </w:r>
    </w:p>
    <w:p w:rsidR="00000000" w:rsidDel="00000000" w:rsidP="00000000" w:rsidRDefault="00000000" w:rsidRPr="00000000" w14:paraId="0000011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invitará a un mínimo de tres personas seleccionadas de entre las que se encuentren inscritas e n el catálogo de proveedores y de prestadores de servicios. </w:t>
      </w:r>
    </w:p>
    <w:p w:rsidR="00000000" w:rsidDel="00000000" w:rsidP="00000000" w:rsidRDefault="00000000" w:rsidRPr="00000000" w14:paraId="0000011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podrá invitar a personas que no se encuentren inscritas, cuando en el giro correspondiente del catálogo de proveedores y prestadores de servicios no exista el registro mínimo de personas requeridas para tal modalidad; </w:t>
      </w:r>
    </w:p>
    <w:p w:rsidR="00000000" w:rsidDel="00000000" w:rsidP="00000000" w:rsidRDefault="00000000" w:rsidRPr="00000000" w14:paraId="0000011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Las bases de la invitación restringida indicarán los aspectos de la adquisición o contratación; y </w:t>
      </w:r>
    </w:p>
    <w:p w:rsidR="00000000" w:rsidDel="00000000" w:rsidP="00000000" w:rsidRDefault="00000000" w:rsidRPr="00000000" w14:paraId="0000011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Serán aplicables, en lo conducente, las disposiciones de la licitación pública.</w:t>
      </w:r>
    </w:p>
    <w:p w:rsidR="00000000" w:rsidDel="00000000" w:rsidP="00000000" w:rsidRDefault="00000000" w:rsidRPr="00000000" w14:paraId="0000011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La Secretaría, organismos auxiliares, tribunales administrativos y municipios podrán adquirir, arrendar o enajenar bienes, y contratar servicios, mediante el procedimiento de adjudicación directa en los términos establecidos por la Ley. </w:t>
      </w:r>
    </w:p>
    <w:p w:rsidR="00000000" w:rsidDel="00000000" w:rsidP="00000000" w:rsidRDefault="00000000" w:rsidRPr="00000000" w14:paraId="0000011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 sin que sea necesario observar las disposiciones de los demás artículos de esta Sección. </w:t>
      </w:r>
    </w:p>
    <w:p w:rsidR="00000000" w:rsidDel="00000000" w:rsidP="00000000" w:rsidRDefault="00000000" w:rsidRPr="00000000" w14:paraId="0000011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rsidR="00000000" w:rsidDel="00000000" w:rsidP="00000000" w:rsidRDefault="00000000" w:rsidRPr="00000000" w14:paraId="0000011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los municipios, las cotizaciones deberán obtenerse a través de sus áreas de administración.”</w:t>
      </w:r>
    </w:p>
    <w:p w:rsidR="00000000" w:rsidDel="00000000" w:rsidP="00000000" w:rsidRDefault="00000000" w:rsidRPr="00000000" w14:paraId="000001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advierte que, cuando los entes públicos deban o tengan que realizar la adquisición, arrendamiento de un bien o contratación de servicios, deberán regular su actividad a través de las licitaciones públicas mediante convocatoria y conforme el procedimiento establecido en la ley de contratación, o bien, mediante invitación restringida o adjudicación directa.</w:t>
      </w:r>
    </w:p>
    <w:p w:rsidR="00000000" w:rsidDel="00000000" w:rsidP="00000000" w:rsidRDefault="00000000" w:rsidRPr="00000000" w14:paraId="000001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procedimiento de adquisición, arrendamiento y servicios a través de invitación restringida, se sigue cuando se hubiese declarado desierto un procedimiento de licitación y el importe de la operación no exceda los montos establecidos en el presupuesto; mientras que el de adjudicación directa, cuando se trate de servicios que requieran de experiencia, técnicas o equipos especiales, o se trate de la adquisición de bienes usados o de características especiales que solamente puedan ser prestados o suministrados por una sola persona. </w:t>
      </w:r>
    </w:p>
    <w:p w:rsidR="00000000" w:rsidDel="00000000" w:rsidP="00000000" w:rsidRDefault="00000000" w:rsidRPr="00000000" w14:paraId="000001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Tras la adjudicación de bienes o servicios, el convocante y licitante están obligados a suscribir el contrato respectivo, dentro de los diez días hábiles siguientes a la notificación del fallo, en el que se establezcan los derechos y obligaciones, además de pactar las penas convencionales por incumplimiento de las obligaciones, la condición del precio fijo de conformidad con lo prescrito en los artículos 65, 66, 67 y 69 de la Ley de Contratación.</w:t>
      </w:r>
    </w:p>
    <w:p w:rsidR="00000000" w:rsidDel="00000000" w:rsidP="00000000" w:rsidRDefault="00000000" w:rsidRPr="00000000" w14:paraId="0000012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Siguiendo con el análisis, el artículo 92, fracciones XIX y XXXVI de la Ley de Transparencia y Acceso a la Información Pública del Estado de México y Municipios, establece como obligaciones de transparencia que los Sujetos Obligados deben poner a disposición del público de manera permanente y actualizada, de forma sencilla, precisa y entendible, en los respectivos medios electrónicos, la información relativa a los procesos y resultados sobre procedimientos de adjudicación directa, invitación restringida, y licitación de cualquier naturaleza, incluyendo la versión pública del expediente respectivo y de los contratos celebrados, así como el padrón de proveedores y contratistas, a saber:</w:t>
      </w:r>
    </w:p>
    <w:p w:rsidR="00000000" w:rsidDel="00000000" w:rsidP="00000000" w:rsidRDefault="00000000" w:rsidRPr="00000000" w14:paraId="0000012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125">
      <w:pPr>
        <w:tabs>
          <w:tab w:val="left" w:pos="42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6">
      <w:pPr>
        <w:tabs>
          <w:tab w:val="left" w:pos="42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XXIX.</w:t>
      </w:r>
      <w:r w:rsidDel="00000000" w:rsidR="00000000" w:rsidRPr="00000000">
        <w:rPr>
          <w:rFonts w:ascii="Palatino Linotype" w:cs="Palatino Linotype" w:eastAsia="Palatino Linotype" w:hAnsi="Palatino Linotype"/>
          <w:i w:val="1"/>
          <w:sz w:val="22"/>
          <w:szCs w:val="22"/>
          <w:rtl w:val="0"/>
        </w:rPr>
        <w:t xml:space="preserve"> La </w:t>
      </w:r>
      <w:r w:rsidDel="00000000" w:rsidR="00000000" w:rsidRPr="00000000">
        <w:rPr>
          <w:rFonts w:ascii="Palatino Linotype" w:cs="Palatino Linotype" w:eastAsia="Palatino Linotype" w:hAnsi="Palatino Linotype"/>
          <w:b w:val="1"/>
          <w:i w:val="1"/>
          <w:sz w:val="22"/>
          <w:szCs w:val="22"/>
          <w:rtl w:val="0"/>
        </w:rPr>
        <w:t xml:space="preserve">información sobre los procesos y resultados </w:t>
      </w:r>
      <w:r w:rsidDel="00000000" w:rsidR="00000000" w:rsidRPr="00000000">
        <w:rPr>
          <w:rFonts w:ascii="Palatino Linotype" w:cs="Palatino Linotype" w:eastAsia="Palatino Linotype" w:hAnsi="Palatino Linotype"/>
          <w:b w:val="1"/>
          <w:i w:val="1"/>
          <w:sz w:val="22"/>
          <w:szCs w:val="22"/>
          <w:u w:val="single"/>
          <w:rtl w:val="0"/>
        </w:rPr>
        <w:t xml:space="preserve">sobre procedimientos de adjudicación directa, invitación restringida y licitación de cualquier naturaleza</w:t>
      </w:r>
      <w:r w:rsidDel="00000000" w:rsidR="00000000" w:rsidRPr="00000000">
        <w:rPr>
          <w:rFonts w:ascii="Palatino Linotype" w:cs="Palatino Linotype" w:eastAsia="Palatino Linotype" w:hAnsi="Palatino Linotype"/>
          <w:i w:val="1"/>
          <w:sz w:val="22"/>
          <w:szCs w:val="22"/>
          <w:u w:val="single"/>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incluyendo la versión pública</w:t>
      </w:r>
      <w:r w:rsidDel="00000000" w:rsidR="00000000" w:rsidRPr="00000000">
        <w:rPr>
          <w:rFonts w:ascii="Palatino Linotype" w:cs="Palatino Linotype" w:eastAsia="Palatino Linotype" w:hAnsi="Palatino Linotype"/>
          <w:i w:val="1"/>
          <w:sz w:val="22"/>
          <w:szCs w:val="22"/>
          <w:rtl w:val="0"/>
        </w:rPr>
        <w:t xml:space="preserve"> del </w:t>
      </w:r>
      <w:r w:rsidDel="00000000" w:rsidR="00000000" w:rsidRPr="00000000">
        <w:rPr>
          <w:rFonts w:ascii="Palatino Linotype" w:cs="Palatino Linotype" w:eastAsia="Palatino Linotype" w:hAnsi="Palatino Linotype"/>
          <w:b w:val="1"/>
          <w:i w:val="1"/>
          <w:sz w:val="22"/>
          <w:szCs w:val="22"/>
          <w:rtl w:val="0"/>
        </w:rPr>
        <w:t xml:space="preserve">expediente respectivo</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de los contratos celebrados</w:t>
      </w:r>
      <w:r w:rsidDel="00000000" w:rsidR="00000000" w:rsidRPr="00000000">
        <w:rPr>
          <w:rFonts w:ascii="Palatino Linotype" w:cs="Palatino Linotype" w:eastAsia="Palatino Linotype" w:hAnsi="Palatino Linotype"/>
          <w:i w:val="1"/>
          <w:sz w:val="22"/>
          <w:szCs w:val="22"/>
          <w:rtl w:val="0"/>
        </w:rPr>
        <w:t xml:space="preserve">, que deberán contener, por los menos, lo siguiente:</w:t>
      </w:r>
    </w:p>
    <w:p w:rsidR="00000000" w:rsidDel="00000000" w:rsidP="00000000" w:rsidRDefault="00000000" w:rsidRPr="00000000" w14:paraId="00000127">
      <w:pPr>
        <w:tabs>
          <w:tab w:val="left" w:pos="426"/>
        </w:tabs>
        <w:spacing w:after="120" w:before="120" w:lineRule="auto"/>
        <w:ind w:left="1418"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De licitaciones públicas o procedimientos de invitación restringida:</w:t>
      </w:r>
    </w:p>
    <w:p w:rsidR="00000000" w:rsidDel="00000000" w:rsidP="00000000" w:rsidRDefault="00000000" w:rsidRPr="00000000" w14:paraId="00000128">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w:t>
      </w:r>
      <w:r w:rsidDel="00000000" w:rsidR="00000000" w:rsidRPr="00000000">
        <w:rPr>
          <w:rFonts w:ascii="Palatino Linotype" w:cs="Palatino Linotype" w:eastAsia="Palatino Linotype" w:hAnsi="Palatino Linotype"/>
          <w:i w:val="1"/>
          <w:sz w:val="22"/>
          <w:szCs w:val="22"/>
          <w:rtl w:val="0"/>
        </w:rPr>
        <w:t xml:space="preserve"> La convocatoria o invitación emitida, así como los fundamentos legales aplicados para llevarla a cabo;</w:t>
      </w:r>
    </w:p>
    <w:p w:rsidR="00000000" w:rsidDel="00000000" w:rsidP="00000000" w:rsidRDefault="00000000" w:rsidRPr="00000000" w14:paraId="00000129">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w:t>
      </w:r>
      <w:r w:rsidDel="00000000" w:rsidR="00000000" w:rsidRPr="00000000">
        <w:rPr>
          <w:rFonts w:ascii="Palatino Linotype" w:cs="Palatino Linotype" w:eastAsia="Palatino Linotype" w:hAnsi="Palatino Linotype"/>
          <w:i w:val="1"/>
          <w:sz w:val="22"/>
          <w:szCs w:val="22"/>
          <w:rtl w:val="0"/>
        </w:rPr>
        <w:t xml:space="preserve"> Los nombres de los participantes o invitados;</w:t>
      </w:r>
    </w:p>
    <w:p w:rsidR="00000000" w:rsidDel="00000000" w:rsidP="00000000" w:rsidRDefault="00000000" w:rsidRPr="00000000" w14:paraId="0000012A">
      <w:pPr>
        <w:tabs>
          <w:tab w:val="left" w:pos="426"/>
        </w:tabs>
        <w:spacing w:after="120" w:before="120" w:lineRule="auto"/>
        <w:ind w:left="170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nombre del ganador y las razones que lo justifican;</w:t>
      </w:r>
    </w:p>
    <w:p w:rsidR="00000000" w:rsidDel="00000000" w:rsidP="00000000" w:rsidRDefault="00000000" w:rsidRPr="00000000" w14:paraId="0000012B">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4)</w:t>
      </w:r>
      <w:r w:rsidDel="00000000" w:rsidR="00000000" w:rsidRPr="00000000">
        <w:rPr>
          <w:rFonts w:ascii="Palatino Linotype" w:cs="Palatino Linotype" w:eastAsia="Palatino Linotype" w:hAnsi="Palatino Linotype"/>
          <w:i w:val="1"/>
          <w:sz w:val="22"/>
          <w:szCs w:val="22"/>
          <w:rtl w:val="0"/>
        </w:rPr>
        <w:t xml:space="preserve"> El área solicitante y la responsable de su ejecución;</w:t>
      </w:r>
    </w:p>
    <w:p w:rsidR="00000000" w:rsidDel="00000000" w:rsidP="00000000" w:rsidRDefault="00000000" w:rsidRPr="00000000" w14:paraId="0000012C">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5)</w:t>
      </w:r>
      <w:r w:rsidDel="00000000" w:rsidR="00000000" w:rsidRPr="00000000">
        <w:rPr>
          <w:rFonts w:ascii="Palatino Linotype" w:cs="Palatino Linotype" w:eastAsia="Palatino Linotype" w:hAnsi="Palatino Linotype"/>
          <w:i w:val="1"/>
          <w:sz w:val="22"/>
          <w:szCs w:val="22"/>
          <w:rtl w:val="0"/>
        </w:rPr>
        <w:t xml:space="preserve"> Las convocatorias e invitaciones emitidas; </w:t>
      </w:r>
    </w:p>
    <w:p w:rsidR="00000000" w:rsidDel="00000000" w:rsidP="00000000" w:rsidRDefault="00000000" w:rsidRPr="00000000" w14:paraId="0000012D">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6)</w:t>
      </w:r>
      <w:r w:rsidDel="00000000" w:rsidR="00000000" w:rsidRPr="00000000">
        <w:rPr>
          <w:rFonts w:ascii="Palatino Linotype" w:cs="Palatino Linotype" w:eastAsia="Palatino Linotype" w:hAnsi="Palatino Linotype"/>
          <w:i w:val="1"/>
          <w:sz w:val="22"/>
          <w:szCs w:val="22"/>
          <w:rtl w:val="0"/>
        </w:rPr>
        <w:t xml:space="preserve"> Los dictámenes y fallo de adjudicación;</w:t>
      </w:r>
    </w:p>
    <w:p w:rsidR="00000000" w:rsidDel="00000000" w:rsidP="00000000" w:rsidRDefault="00000000" w:rsidRPr="00000000" w14:paraId="0000012E">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7) El contrato</w:t>
      </w:r>
      <w:r w:rsidDel="00000000" w:rsidR="00000000" w:rsidRPr="00000000">
        <w:rPr>
          <w:rFonts w:ascii="Palatino Linotype" w:cs="Palatino Linotype" w:eastAsia="Palatino Linotype" w:hAnsi="Palatino Linotype"/>
          <w:i w:val="1"/>
          <w:sz w:val="22"/>
          <w:szCs w:val="22"/>
          <w:rtl w:val="0"/>
        </w:rPr>
        <w:t xml:space="preserve"> y, en su caso, sus anexos; </w:t>
      </w:r>
    </w:p>
    <w:p w:rsidR="00000000" w:rsidDel="00000000" w:rsidP="00000000" w:rsidRDefault="00000000" w:rsidRPr="00000000" w14:paraId="0000012F">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8)</w:t>
      </w:r>
      <w:r w:rsidDel="00000000" w:rsidR="00000000" w:rsidRPr="00000000">
        <w:rPr>
          <w:rFonts w:ascii="Palatino Linotype" w:cs="Palatino Linotype" w:eastAsia="Palatino Linotype" w:hAnsi="Palatino Linotype"/>
          <w:i w:val="1"/>
          <w:sz w:val="22"/>
          <w:szCs w:val="22"/>
          <w:rtl w:val="0"/>
        </w:rPr>
        <w:t xml:space="preserve"> Los mecanismos de vigilancia y supervisión, incluyendo en su caso, los estudios de impacto urbano y ambiental, según corresponda;</w:t>
      </w:r>
    </w:p>
    <w:p w:rsidR="00000000" w:rsidDel="00000000" w:rsidP="00000000" w:rsidRDefault="00000000" w:rsidRPr="00000000" w14:paraId="00000130">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9)</w:t>
      </w:r>
      <w:r w:rsidDel="00000000" w:rsidR="00000000" w:rsidRPr="00000000">
        <w:rPr>
          <w:rFonts w:ascii="Palatino Linotype" w:cs="Palatino Linotype" w:eastAsia="Palatino Linotype" w:hAnsi="Palatino Linotype"/>
          <w:i w:val="1"/>
          <w:sz w:val="22"/>
          <w:szCs w:val="22"/>
          <w:rtl w:val="0"/>
        </w:rPr>
        <w:t xml:space="preserve"> La partida presupuestal, de conformidad con el clasificador por objeto del gasto, en el caso de ser aplicable; </w:t>
      </w:r>
    </w:p>
    <w:p w:rsidR="00000000" w:rsidDel="00000000" w:rsidP="00000000" w:rsidRDefault="00000000" w:rsidRPr="00000000" w14:paraId="00000131">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10)</w:t>
      </w:r>
      <w:r w:rsidDel="00000000" w:rsidR="00000000" w:rsidRPr="00000000">
        <w:rPr>
          <w:rFonts w:ascii="Palatino Linotype" w:cs="Palatino Linotype" w:eastAsia="Palatino Linotype" w:hAnsi="Palatino Linotype"/>
          <w:i w:val="1"/>
          <w:sz w:val="22"/>
          <w:szCs w:val="22"/>
          <w:rtl w:val="0"/>
        </w:rPr>
        <w:t xml:space="preserve"> Origen de los recursos especificando si son federales, estatales o municipales, así como el tipo de fondo de participación o aportación respectiva;</w:t>
      </w:r>
    </w:p>
    <w:p w:rsidR="00000000" w:rsidDel="00000000" w:rsidP="00000000" w:rsidRDefault="00000000" w:rsidRPr="00000000" w14:paraId="00000132">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11)</w:t>
      </w:r>
      <w:r w:rsidDel="00000000" w:rsidR="00000000" w:rsidRPr="00000000">
        <w:rPr>
          <w:rFonts w:ascii="Palatino Linotype" w:cs="Palatino Linotype" w:eastAsia="Palatino Linotype" w:hAnsi="Palatino Linotype"/>
          <w:i w:val="1"/>
          <w:sz w:val="22"/>
          <w:szCs w:val="22"/>
          <w:rtl w:val="0"/>
        </w:rPr>
        <w:t xml:space="preserve"> Los convenios modificatorios que, en su caso, sean firmados, precisando el objeto y la fecha de celebración;</w:t>
      </w:r>
    </w:p>
    <w:p w:rsidR="00000000" w:rsidDel="00000000" w:rsidP="00000000" w:rsidRDefault="00000000" w:rsidRPr="00000000" w14:paraId="00000133">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12)</w:t>
      </w:r>
      <w:r w:rsidDel="00000000" w:rsidR="00000000" w:rsidRPr="00000000">
        <w:rPr>
          <w:rFonts w:ascii="Palatino Linotype" w:cs="Palatino Linotype" w:eastAsia="Palatino Linotype" w:hAnsi="Palatino Linotype"/>
          <w:i w:val="1"/>
          <w:sz w:val="22"/>
          <w:szCs w:val="22"/>
          <w:rtl w:val="0"/>
        </w:rPr>
        <w:t xml:space="preserve"> Los informes de avance físico y financiero sobre las obras o servicios contratados; </w:t>
      </w:r>
    </w:p>
    <w:p w:rsidR="00000000" w:rsidDel="00000000" w:rsidP="00000000" w:rsidRDefault="00000000" w:rsidRPr="00000000" w14:paraId="00000134">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13)</w:t>
      </w:r>
      <w:r w:rsidDel="00000000" w:rsidR="00000000" w:rsidRPr="00000000">
        <w:rPr>
          <w:rFonts w:ascii="Palatino Linotype" w:cs="Palatino Linotype" w:eastAsia="Palatino Linotype" w:hAnsi="Palatino Linotype"/>
          <w:i w:val="1"/>
          <w:sz w:val="22"/>
          <w:szCs w:val="22"/>
          <w:rtl w:val="0"/>
        </w:rPr>
        <w:t xml:space="preserve"> El convenio de terminación; </w:t>
      </w:r>
    </w:p>
    <w:p w:rsidR="00000000" w:rsidDel="00000000" w:rsidP="00000000" w:rsidRDefault="00000000" w:rsidRPr="00000000" w14:paraId="00000135">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14)</w:t>
      </w:r>
      <w:r w:rsidDel="00000000" w:rsidR="00000000" w:rsidRPr="00000000">
        <w:rPr>
          <w:rFonts w:ascii="Palatino Linotype" w:cs="Palatino Linotype" w:eastAsia="Palatino Linotype" w:hAnsi="Palatino Linotype"/>
          <w:i w:val="1"/>
          <w:sz w:val="22"/>
          <w:szCs w:val="22"/>
          <w:rtl w:val="0"/>
        </w:rPr>
        <w:t xml:space="preserve"> El finiquito.</w:t>
      </w:r>
    </w:p>
    <w:p w:rsidR="00000000" w:rsidDel="00000000" w:rsidP="00000000" w:rsidRDefault="00000000" w:rsidRPr="00000000" w14:paraId="00000136">
      <w:pPr>
        <w:tabs>
          <w:tab w:val="left" w:pos="426"/>
        </w:tabs>
        <w:spacing w:after="120" w:before="120" w:lineRule="auto"/>
        <w:ind w:left="1418"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De las adjudicaciones directas: </w:t>
      </w:r>
    </w:p>
    <w:p w:rsidR="00000000" w:rsidDel="00000000" w:rsidP="00000000" w:rsidRDefault="00000000" w:rsidRPr="00000000" w14:paraId="00000137">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w:t>
      </w:r>
      <w:r w:rsidDel="00000000" w:rsidR="00000000" w:rsidRPr="00000000">
        <w:rPr>
          <w:rFonts w:ascii="Palatino Linotype" w:cs="Palatino Linotype" w:eastAsia="Palatino Linotype" w:hAnsi="Palatino Linotype"/>
          <w:i w:val="1"/>
          <w:sz w:val="22"/>
          <w:szCs w:val="22"/>
          <w:rtl w:val="0"/>
        </w:rPr>
        <w:t xml:space="preserve"> La propuesta enviada por el participante; </w:t>
      </w:r>
    </w:p>
    <w:p w:rsidR="00000000" w:rsidDel="00000000" w:rsidP="00000000" w:rsidRDefault="00000000" w:rsidRPr="00000000" w14:paraId="00000138">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w:t>
      </w:r>
      <w:r w:rsidDel="00000000" w:rsidR="00000000" w:rsidRPr="00000000">
        <w:rPr>
          <w:rFonts w:ascii="Palatino Linotype" w:cs="Palatino Linotype" w:eastAsia="Palatino Linotype" w:hAnsi="Palatino Linotype"/>
          <w:i w:val="1"/>
          <w:sz w:val="22"/>
          <w:szCs w:val="22"/>
          <w:rtl w:val="0"/>
        </w:rPr>
        <w:t xml:space="preserve"> Los motivos y fundamentos legales aplicados para llevarla a cabo;</w:t>
      </w:r>
    </w:p>
    <w:p w:rsidR="00000000" w:rsidDel="00000000" w:rsidP="00000000" w:rsidRDefault="00000000" w:rsidRPr="00000000" w14:paraId="00000139">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w:t>
      </w:r>
      <w:r w:rsidDel="00000000" w:rsidR="00000000" w:rsidRPr="00000000">
        <w:rPr>
          <w:rFonts w:ascii="Palatino Linotype" w:cs="Palatino Linotype" w:eastAsia="Palatino Linotype" w:hAnsi="Palatino Linotype"/>
          <w:i w:val="1"/>
          <w:sz w:val="22"/>
          <w:szCs w:val="22"/>
          <w:rtl w:val="0"/>
        </w:rPr>
        <w:t xml:space="preserve"> La autorización del ejercicio de la opción; </w:t>
      </w:r>
    </w:p>
    <w:p w:rsidR="00000000" w:rsidDel="00000000" w:rsidP="00000000" w:rsidRDefault="00000000" w:rsidRPr="00000000" w14:paraId="0000013A">
      <w:pPr>
        <w:tabs>
          <w:tab w:val="left" w:pos="426"/>
        </w:tabs>
        <w:spacing w:after="120" w:before="120" w:lineRule="auto"/>
        <w:ind w:left="170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4) </w:t>
      </w:r>
      <w:r w:rsidDel="00000000" w:rsidR="00000000" w:rsidRPr="00000000">
        <w:rPr>
          <w:rFonts w:ascii="Palatino Linotype" w:cs="Palatino Linotype" w:eastAsia="Palatino Linotype" w:hAnsi="Palatino Linotype"/>
          <w:i w:val="1"/>
          <w:sz w:val="22"/>
          <w:szCs w:val="22"/>
          <w:rtl w:val="0"/>
        </w:rPr>
        <w:t xml:space="preserve">En su caso, las cotizaciones consideradas, especificando los nombres de los proveedores y sus montos;</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3B">
      <w:pPr>
        <w:tabs>
          <w:tab w:val="left" w:pos="426"/>
        </w:tabs>
        <w:spacing w:after="120" w:before="120" w:lineRule="auto"/>
        <w:ind w:left="170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5)</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nombre de la persona física o jurídica colectiva adjudicada; </w:t>
      </w:r>
    </w:p>
    <w:p w:rsidR="00000000" w:rsidDel="00000000" w:rsidP="00000000" w:rsidRDefault="00000000" w:rsidRPr="00000000" w14:paraId="0000013C">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6)</w:t>
      </w:r>
      <w:r w:rsidDel="00000000" w:rsidR="00000000" w:rsidRPr="00000000">
        <w:rPr>
          <w:rFonts w:ascii="Palatino Linotype" w:cs="Palatino Linotype" w:eastAsia="Palatino Linotype" w:hAnsi="Palatino Linotype"/>
          <w:i w:val="1"/>
          <w:sz w:val="22"/>
          <w:szCs w:val="22"/>
          <w:rtl w:val="0"/>
        </w:rPr>
        <w:t xml:space="preserve"> La unidad administrativa solicitante y la responsable de su ejecución; </w:t>
      </w:r>
    </w:p>
    <w:p w:rsidR="00000000" w:rsidDel="00000000" w:rsidP="00000000" w:rsidRDefault="00000000" w:rsidRPr="00000000" w14:paraId="0000013D">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7) El número, fecha, el monto del contrato</w:t>
      </w:r>
      <w:r w:rsidDel="00000000" w:rsidR="00000000" w:rsidRPr="00000000">
        <w:rPr>
          <w:rFonts w:ascii="Palatino Linotype" w:cs="Palatino Linotype" w:eastAsia="Palatino Linotype" w:hAnsi="Palatino Linotype"/>
          <w:i w:val="1"/>
          <w:sz w:val="22"/>
          <w:szCs w:val="22"/>
          <w:rtl w:val="0"/>
        </w:rPr>
        <w:t xml:space="preserve"> y el plazo de entrega o de ejecución de los servicios u obra; </w:t>
      </w:r>
    </w:p>
    <w:p w:rsidR="00000000" w:rsidDel="00000000" w:rsidP="00000000" w:rsidRDefault="00000000" w:rsidRPr="00000000" w14:paraId="0000013E">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8)</w:t>
      </w:r>
      <w:r w:rsidDel="00000000" w:rsidR="00000000" w:rsidRPr="00000000">
        <w:rPr>
          <w:rFonts w:ascii="Palatino Linotype" w:cs="Palatino Linotype" w:eastAsia="Palatino Linotype" w:hAnsi="Palatino Linotype"/>
          <w:i w:val="1"/>
          <w:sz w:val="22"/>
          <w:szCs w:val="22"/>
          <w:rtl w:val="0"/>
        </w:rPr>
        <w:t xml:space="preserve"> Los mecanismos de vigilancia y supervisión, incluyendo, en su caso, los estudios de impacto urbano y ambiental, según corresponda; </w:t>
      </w:r>
    </w:p>
    <w:p w:rsidR="00000000" w:rsidDel="00000000" w:rsidP="00000000" w:rsidRDefault="00000000" w:rsidRPr="00000000" w14:paraId="0000013F">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9)</w:t>
      </w:r>
      <w:r w:rsidDel="00000000" w:rsidR="00000000" w:rsidRPr="00000000">
        <w:rPr>
          <w:rFonts w:ascii="Palatino Linotype" w:cs="Palatino Linotype" w:eastAsia="Palatino Linotype" w:hAnsi="Palatino Linotype"/>
          <w:i w:val="1"/>
          <w:sz w:val="22"/>
          <w:szCs w:val="22"/>
          <w:rtl w:val="0"/>
        </w:rPr>
        <w:t xml:space="preserve"> Los informes de avance sobre las obras o servicios contratados; </w:t>
      </w:r>
    </w:p>
    <w:p w:rsidR="00000000" w:rsidDel="00000000" w:rsidP="00000000" w:rsidRDefault="00000000" w:rsidRPr="00000000" w14:paraId="00000140">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10)</w:t>
      </w:r>
      <w:r w:rsidDel="00000000" w:rsidR="00000000" w:rsidRPr="00000000">
        <w:rPr>
          <w:rFonts w:ascii="Palatino Linotype" w:cs="Palatino Linotype" w:eastAsia="Palatino Linotype" w:hAnsi="Palatino Linotype"/>
          <w:i w:val="1"/>
          <w:sz w:val="22"/>
          <w:szCs w:val="22"/>
          <w:rtl w:val="0"/>
        </w:rPr>
        <w:t xml:space="preserve"> El convenio de terminación; y </w:t>
      </w:r>
    </w:p>
    <w:p w:rsidR="00000000" w:rsidDel="00000000" w:rsidP="00000000" w:rsidRDefault="00000000" w:rsidRPr="00000000" w14:paraId="00000141">
      <w:pPr>
        <w:tabs>
          <w:tab w:val="left" w:pos="426"/>
        </w:tabs>
        <w:spacing w:after="120" w:before="120" w:lineRule="auto"/>
        <w:ind w:left="170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11)</w:t>
      </w:r>
      <w:r w:rsidDel="00000000" w:rsidR="00000000" w:rsidRPr="00000000">
        <w:rPr>
          <w:rFonts w:ascii="Palatino Linotype" w:cs="Palatino Linotype" w:eastAsia="Palatino Linotype" w:hAnsi="Palatino Linotype"/>
          <w:i w:val="1"/>
          <w:sz w:val="22"/>
          <w:szCs w:val="22"/>
          <w:rtl w:val="0"/>
        </w:rPr>
        <w:t xml:space="preserve"> El finiquito;”</w:t>
      </w:r>
    </w:p>
    <w:p w:rsidR="00000000" w:rsidDel="00000000" w:rsidP="00000000" w:rsidRDefault="00000000" w:rsidRPr="00000000" w14:paraId="00000142">
      <w:pPr>
        <w:spacing w:after="120" w:before="120" w:lineRule="auto"/>
        <w:ind w:left="851" w:right="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43">
      <w:pPr>
        <w:spacing w:after="120" w:before="120" w:lineRule="auto"/>
        <w:ind w:left="851"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XXXVI.</w:t>
      </w:r>
      <w:r w:rsidDel="00000000" w:rsidR="00000000" w:rsidRPr="00000000">
        <w:rPr>
          <w:rFonts w:ascii="Palatino Linotype" w:cs="Palatino Linotype" w:eastAsia="Palatino Linotype" w:hAnsi="Palatino Linotype"/>
          <w:i w:val="1"/>
          <w:sz w:val="22"/>
          <w:szCs w:val="22"/>
          <w:rtl w:val="0"/>
        </w:rPr>
        <w:t xml:space="preserve"> Padrón de proveedores y contratistas;</w:t>
      </w:r>
    </w:p>
    <w:p w:rsidR="00000000" w:rsidDel="00000000" w:rsidP="00000000" w:rsidRDefault="00000000" w:rsidRPr="00000000" w14:paraId="00000144">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ende, de acuerdo a los </w:t>
      </w:r>
      <w:r w:rsidDel="00000000" w:rsidR="00000000" w:rsidRPr="00000000">
        <w:rPr>
          <w:rFonts w:ascii="Palatino Linotype" w:cs="Palatino Linotype" w:eastAsia="Palatino Linotype" w:hAnsi="Palatino Linotype"/>
          <w:i w:val="1"/>
          <w:rtl w:val="0"/>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Del="00000000" w:rsidR="00000000" w:rsidRPr="00000000">
        <w:rPr>
          <w:rFonts w:ascii="Palatino Linotype" w:cs="Palatino Linotype" w:eastAsia="Palatino Linotype" w:hAnsi="Palatino Linotype"/>
          <w:rtl w:val="0"/>
        </w:rPr>
        <w:t xml:space="preserve">, que deben de difundir los sujetos obligados en los portales de Internet y en la Plataforma Nacional de Transparencia, para el cumplimiento de la obligación de transparencia señalada en el artículo 70, fracciones XXVIII y XXXII de la Ley General de Transparencia y Acceso a la Información Pública, los Sujetos Obligados deben publicar información sobre los actos, contratos y convenios celebrados, misma que </w:t>
      </w:r>
      <w:r w:rsidDel="00000000" w:rsidR="00000000" w:rsidRPr="00000000">
        <w:rPr>
          <w:rFonts w:ascii="Palatino Linotype" w:cs="Palatino Linotype" w:eastAsia="Palatino Linotype" w:hAnsi="Palatino Linotype"/>
          <w:b w:val="1"/>
          <w:rtl w:val="0"/>
        </w:rPr>
        <w:t xml:space="preserve">debe presentarse en una base de datos en la que cada registro se hará por tipo de procedimiento, ya sea licitación pública, invitación restringida o adjudicación directa,</w:t>
      </w:r>
      <w:r w:rsidDel="00000000" w:rsidR="00000000" w:rsidRPr="00000000">
        <w:rPr>
          <w:rFonts w:ascii="Palatino Linotype" w:cs="Palatino Linotype" w:eastAsia="Palatino Linotype" w:hAnsi="Palatino Linotype"/>
          <w:rtl w:val="0"/>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asimismo, </w:t>
      </w:r>
      <w:r w:rsidDel="00000000" w:rsidR="00000000" w:rsidRPr="00000000">
        <w:rPr>
          <w:rFonts w:ascii="Palatino Linotype" w:cs="Palatino Linotype" w:eastAsia="Palatino Linotype" w:hAnsi="Palatino Linotype"/>
          <w:b w:val="1"/>
          <w:rtl w:val="0"/>
        </w:rPr>
        <w:t xml:space="preserve">un padrón con información relativa a las personas físicas y morales con las que celebren contratos de adquisiciones, arrendamientos, servicios, obras públicas y/o servicios relacionados con las mismas</w:t>
      </w:r>
      <w:r w:rsidDel="00000000" w:rsidR="00000000" w:rsidRPr="00000000">
        <w:rPr>
          <w:rFonts w:ascii="Palatino Linotype" w:cs="Palatino Linotype" w:eastAsia="Palatino Linotype" w:hAnsi="Palatino Linotype"/>
          <w:rtl w:val="0"/>
        </w:rPr>
        <w:t xml:space="preserve">; dicha información debe ser actualizada de manera trimestral, y conservarse la generada en el ejercicio en curso y la correspondiente a dos ejercicios anteriores.</w:t>
      </w:r>
    </w:p>
    <w:p w:rsidR="00000000" w:rsidDel="00000000" w:rsidP="00000000" w:rsidRDefault="00000000" w:rsidRPr="00000000" w14:paraId="0000014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se visualiza que la información requerida por el particular en los </w:t>
      </w:r>
      <w:r w:rsidDel="00000000" w:rsidR="00000000" w:rsidRPr="00000000">
        <w:rPr>
          <w:rFonts w:ascii="Palatino Linotype" w:cs="Palatino Linotype" w:eastAsia="Palatino Linotype" w:hAnsi="Palatino Linotype"/>
          <w:b w:val="1"/>
          <w:rtl w:val="0"/>
        </w:rPr>
        <w:t xml:space="preserve">puntos 1 y 2</w:t>
      </w:r>
      <w:r w:rsidDel="00000000" w:rsidR="00000000" w:rsidRPr="00000000">
        <w:rPr>
          <w:rFonts w:ascii="Palatino Linotype" w:cs="Palatino Linotype" w:eastAsia="Palatino Linotype" w:hAnsi="Palatino Linotype"/>
          <w:rtl w:val="0"/>
        </w:rPr>
        <w:t xml:space="preserve">, relativa a la </w:t>
      </w:r>
      <w:r w:rsidDel="00000000" w:rsidR="00000000" w:rsidRPr="00000000">
        <w:rPr>
          <w:rFonts w:ascii="Palatino Linotype" w:cs="Palatino Linotype" w:eastAsia="Palatino Linotype" w:hAnsi="Palatino Linotype"/>
          <w:b w:val="1"/>
          <w:rtl w:val="0"/>
        </w:rPr>
        <w:t xml:space="preserve">relación de proveedores que se han encargado de prestar servicios al Organismo </w:t>
      </w:r>
      <w:r w:rsidDel="00000000" w:rsidR="00000000" w:rsidRPr="00000000">
        <w:rPr>
          <w:rFonts w:ascii="Palatino Linotype" w:cs="Palatino Linotype" w:eastAsia="Palatino Linotype" w:hAnsi="Palatino Linotype"/>
          <w:rtl w:val="0"/>
        </w:rPr>
        <w:t xml:space="preserve">del 01 de enero al 31 de enero del 2022, así como el </w:t>
      </w:r>
      <w:r w:rsidDel="00000000" w:rsidR="00000000" w:rsidRPr="00000000">
        <w:rPr>
          <w:rFonts w:ascii="Palatino Linotype" w:cs="Palatino Linotype" w:eastAsia="Palatino Linotype" w:hAnsi="Palatino Linotype"/>
          <w:b w:val="1"/>
          <w:rtl w:val="0"/>
        </w:rPr>
        <w:t xml:space="preserve">procedimiento administrativo mediante el cual se dio la adquisición, arrendamiento o suministro de servicios que han presentado las empresas, que</w:t>
      </w:r>
      <w:r w:rsidDel="00000000" w:rsidR="00000000" w:rsidRPr="00000000">
        <w:rPr>
          <w:rFonts w:ascii="Palatino Linotype" w:cs="Palatino Linotype" w:eastAsia="Palatino Linotype" w:hAnsi="Palatino Linotype"/>
          <w:rtl w:val="0"/>
        </w:rPr>
        <w:t xml:space="preserve">, durante el período del 01 de enero al 15 de febrero del 2022, </w:t>
      </w:r>
      <w:r w:rsidDel="00000000" w:rsidR="00000000" w:rsidRPr="00000000">
        <w:rPr>
          <w:rFonts w:ascii="Palatino Linotype" w:cs="Palatino Linotype" w:eastAsia="Palatino Linotype" w:hAnsi="Palatino Linotype"/>
          <w:b w:val="1"/>
          <w:rtl w:val="0"/>
        </w:rPr>
        <w:t xml:space="preserve">han fungido como proveedores del Organismo, </w:t>
      </w:r>
      <w:r w:rsidDel="00000000" w:rsidR="00000000" w:rsidRPr="00000000">
        <w:rPr>
          <w:rFonts w:ascii="Palatino Linotype" w:cs="Palatino Linotype" w:eastAsia="Palatino Linotype" w:hAnsi="Palatino Linotype"/>
          <w:rtl w:val="0"/>
        </w:rPr>
        <w:t xml:space="preserve">versa sobre obligaciones de transparencia de oficio, lo que significa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encuentra constreñido a poner a disposición del público dicha información, de manera permanente y actualizada a través de los portales de internet y en la Plataforma Nacional de Transparencia, 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la eventual publicación y reutilización de la información que generen, según lo dispuesto en los artículos 18, 24 fracción XXII y 160 párrafo primero de la Ley de la Materia, que son del tenor literal siguiente:</w:t>
      </w:r>
    </w:p>
    <w:p w:rsidR="00000000" w:rsidDel="00000000" w:rsidP="00000000" w:rsidRDefault="00000000" w:rsidRPr="00000000" w14:paraId="00000146">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Los sujetos obligados </w:t>
      </w:r>
      <w:r w:rsidDel="00000000" w:rsidR="00000000" w:rsidRPr="00000000">
        <w:rPr>
          <w:rFonts w:ascii="Palatino Linotype" w:cs="Palatino Linotype" w:eastAsia="Palatino Linotype" w:hAnsi="Palatino Linotype"/>
          <w:b w:val="1"/>
          <w:i w:val="1"/>
          <w:sz w:val="22"/>
          <w:szCs w:val="22"/>
          <w:rtl w:val="0"/>
        </w:rPr>
        <w:t xml:space="preserve">deberán documentar todo acto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que derive del ejercicio de sus facultades, competencias o funciones</w:t>
      </w:r>
      <w:r w:rsidDel="00000000" w:rsidR="00000000" w:rsidRPr="00000000">
        <w:rPr>
          <w:rFonts w:ascii="Palatino Linotype" w:cs="Palatino Linotype" w:eastAsia="Palatino Linotype" w:hAnsi="Palatino Linotype"/>
          <w:i w:val="1"/>
          <w:sz w:val="22"/>
          <w:szCs w:val="22"/>
          <w:rtl w:val="0"/>
        </w:rPr>
        <w:t xml:space="preserve">, considerando desde su origen la eventual publicidad y reutilización de la información que generen.</w:t>
      </w:r>
    </w:p>
    <w:p w:rsidR="00000000" w:rsidDel="00000000" w:rsidP="00000000" w:rsidRDefault="00000000" w:rsidRPr="00000000" w14:paraId="0000014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24.</w:t>
      </w:r>
      <w:r w:rsidDel="00000000" w:rsidR="00000000" w:rsidRPr="00000000">
        <w:rPr>
          <w:rFonts w:ascii="Palatino Linotype" w:cs="Palatino Linotype" w:eastAsia="Palatino Linotype" w:hAnsi="Palatino Linotype"/>
          <w:i w:val="1"/>
          <w:sz w:val="22"/>
          <w:szCs w:val="22"/>
          <w:rtl w:val="0"/>
        </w:rPr>
        <w:t xml:space="preserve"> Para el cumplimiento de los objetivos de esta Ley</w:t>
      </w:r>
      <w:r w:rsidDel="00000000" w:rsidR="00000000" w:rsidRPr="00000000">
        <w:rPr>
          <w:rFonts w:ascii="Palatino Linotype" w:cs="Palatino Linotype" w:eastAsia="Palatino Linotype" w:hAnsi="Palatino Linotype"/>
          <w:b w:val="1"/>
          <w:i w:val="1"/>
          <w:sz w:val="22"/>
          <w:szCs w:val="22"/>
          <w:rtl w:val="0"/>
        </w:rPr>
        <w:t xml:space="preserve">, los sujetos obligados deberán cumplir con las siguientes obligaciones</w:t>
      </w:r>
      <w:r w:rsidDel="00000000" w:rsidR="00000000" w:rsidRPr="00000000">
        <w:rPr>
          <w:rFonts w:ascii="Palatino Linotype" w:cs="Palatino Linotype" w:eastAsia="Palatino Linotype" w:hAnsi="Palatino Linotype"/>
          <w:i w:val="1"/>
          <w:sz w:val="22"/>
          <w:szCs w:val="22"/>
          <w:rtl w:val="0"/>
        </w:rPr>
        <w:t xml:space="preserve">, según corresponda, de acuerdo a su naturaleza:</w:t>
      </w:r>
    </w:p>
    <w:p w:rsidR="00000000" w:rsidDel="00000000" w:rsidP="00000000" w:rsidRDefault="00000000" w:rsidRPr="00000000" w14:paraId="00000149">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A">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Documentar todo acto que derive del ejercicio de sus facultades, competencias o funciones</w:t>
      </w:r>
      <w:r w:rsidDel="00000000" w:rsidR="00000000" w:rsidRPr="00000000">
        <w:rPr>
          <w:rFonts w:ascii="Palatino Linotype" w:cs="Palatino Linotype" w:eastAsia="Palatino Linotype" w:hAnsi="Palatino Linotype"/>
          <w:i w:val="1"/>
          <w:sz w:val="22"/>
          <w:szCs w:val="22"/>
          <w:rtl w:val="0"/>
        </w:rPr>
        <w:t xml:space="preserve"> y abstenerse de destruirlos u ocultarlos, dentro de los que destacan los procesos deliberativos y de decisión definitiva;”</w:t>
      </w:r>
    </w:p>
    <w:p w:rsidR="00000000" w:rsidDel="00000000" w:rsidP="00000000" w:rsidRDefault="00000000" w:rsidRPr="00000000" w14:paraId="0000014B">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4C">
      <w:pPr>
        <w:spacing w:after="120" w:before="120" w:lineRule="auto"/>
        <w:ind w:left="851" w:right="902" w:firstLine="0"/>
        <w:jc w:val="both"/>
        <w:rPr>
          <w:rFonts w:ascii="Palatino Linotype" w:cs="Palatino Linotype" w:eastAsia="Palatino Linotype" w:hAnsi="Palatino Linotype"/>
          <w:i w:val="1"/>
          <w:sz w:val="36"/>
          <w:szCs w:val="36"/>
        </w:rPr>
      </w:pPr>
      <w:r w:rsidDel="00000000" w:rsidR="00000000" w:rsidRPr="00000000">
        <w:rPr>
          <w:rFonts w:ascii="Palatino Linotype" w:cs="Palatino Linotype" w:eastAsia="Palatino Linotype" w:hAnsi="Palatino Linotype"/>
          <w:b w:val="1"/>
          <w:i w:val="1"/>
          <w:sz w:val="22"/>
          <w:szCs w:val="22"/>
          <w:rtl w:val="0"/>
        </w:rPr>
        <w:t xml:space="preserve">Artículo 160</w:t>
      </w:r>
      <w:r w:rsidDel="00000000" w:rsidR="00000000" w:rsidRPr="00000000">
        <w:rPr>
          <w:rFonts w:ascii="Palatino Linotype" w:cs="Palatino Linotype" w:eastAsia="Palatino Linotype" w:hAnsi="Palatino Linotype"/>
          <w:i w:val="1"/>
          <w:sz w:val="22"/>
          <w:szCs w:val="22"/>
          <w:rtl w:val="0"/>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se advierte que si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llevó a cabo adquisición de bienes o la contratación de servicios desde el uno de enero al quince de febrero de dos mil veintidós, debió documentar el procedimiento de adquisición o contratación respectivo, en cuyo expediente se localizaría el soporte documental que dé cuenta del tipo de procedimiento, el monto erogado, así como la documentación del proveedor, información que es del interés de la persona solicitante, razón por la cual se estima procedente ordenar la entrega del soporte documental que dé cuenta de los proveedores que se han prestado servicios al Organismo del 01 de enero al 31 de enero del 2022, así como del procedimiento administrativo mediante el cual se dio la adquisición, arrendamiento o suministro de servicios del 01 de enero al 15 de febrero del 2022, que han fungido como proveedores del Organismo, en versión pública conforme al considerando siguiente.</w:t>
      </w:r>
    </w:p>
    <w:p w:rsidR="00000000" w:rsidDel="00000000" w:rsidP="00000000" w:rsidRDefault="00000000" w:rsidRPr="00000000" w14:paraId="0000014E">
      <w:pPr>
        <w:spacing w:after="240" w:before="240" w:line="360" w:lineRule="auto"/>
        <w:jc w:val="both"/>
        <w:rPr>
          <w:rFonts w:ascii="Palatino Linotype" w:cs="Palatino Linotype" w:eastAsia="Palatino Linotype" w:hAnsi="Palatino Linotype"/>
        </w:rPr>
      </w:pPr>
      <w:bookmarkStart w:colFirst="0" w:colLast="0" w:name="_heading=h.3rdcrjn" w:id="6"/>
      <w:bookmarkEnd w:id="6"/>
      <w:r w:rsidDel="00000000" w:rsidR="00000000" w:rsidRPr="00000000">
        <w:rPr>
          <w:rFonts w:ascii="Palatino Linotype" w:cs="Palatino Linotype" w:eastAsia="Palatino Linotype" w:hAnsi="Palatino Linotype"/>
          <w:rtl w:val="0"/>
        </w:rPr>
        <w:t xml:space="preserve">Por otro lado, respecto del </w:t>
      </w:r>
      <w:r w:rsidDel="00000000" w:rsidR="00000000" w:rsidRPr="00000000">
        <w:rPr>
          <w:rFonts w:ascii="Palatino Linotype" w:cs="Palatino Linotype" w:eastAsia="Palatino Linotype" w:hAnsi="Palatino Linotype"/>
          <w:b w:val="1"/>
          <w:rtl w:val="0"/>
        </w:rPr>
        <w:t xml:space="preserve">punto 3, </w:t>
      </w:r>
      <w:r w:rsidDel="00000000" w:rsidR="00000000" w:rsidRPr="00000000">
        <w:rPr>
          <w:rFonts w:ascii="Palatino Linotype" w:cs="Palatino Linotype" w:eastAsia="Palatino Linotype" w:hAnsi="Palatino Linotype"/>
          <w:rtl w:val="0"/>
        </w:rPr>
        <w:t xml:space="preserve">mediante el cual se requirió el </w:t>
      </w:r>
      <w:r w:rsidDel="00000000" w:rsidR="00000000" w:rsidRPr="00000000">
        <w:rPr>
          <w:rFonts w:ascii="Palatino Linotype" w:cs="Palatino Linotype" w:eastAsia="Palatino Linotype" w:hAnsi="Palatino Linotype"/>
          <w:b w:val="1"/>
          <w:rtl w:val="0"/>
        </w:rPr>
        <w:t xml:space="preserve">nombre del proveedor y gastos que se generaron en el periodo del 01 de enero al 15 de febrero del 2022, por concepto de consumo de papelería, combustible, compra de material para reparación de fugas, compra de hipoclorito y reparación de parque vehicular, </w:t>
      </w:r>
      <w:r w:rsidDel="00000000" w:rsidR="00000000" w:rsidRPr="00000000">
        <w:rPr>
          <w:rFonts w:ascii="Palatino Linotype" w:cs="Palatino Linotype" w:eastAsia="Palatino Linotype" w:hAnsi="Palatino Linotype"/>
          <w:rtl w:val="0"/>
        </w:rPr>
        <w:t xml:space="preserve">el nombre del proveedor puede desprenderse del soporte documental que satisfaga los puntos anteriores, sin embargo, respecto del documento que ampare o compruebe el gasto erogado, es aplicable el contenido de los artículos 342, 343, 344 y 345 del Código Financiero del Estado de México y Municipios, mismos que establecen el sistema y las políticas que deben seguirse para llevar el registro contable y presupuestal de las operaciones financieras, en los siguientes términos:</w:t>
      </w:r>
    </w:p>
    <w:p w:rsidR="00000000" w:rsidDel="00000000" w:rsidP="00000000" w:rsidRDefault="00000000" w:rsidRPr="00000000" w14:paraId="0000014F">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342.-</w:t>
      </w:r>
      <w:r w:rsidDel="00000000" w:rsidR="00000000" w:rsidRPr="00000000">
        <w:rPr>
          <w:rFonts w:ascii="Palatino Linotype" w:cs="Palatino Linotype" w:eastAsia="Palatino Linotype" w:hAnsi="Palatino Linotype"/>
          <w:i w:val="1"/>
          <w:sz w:val="22"/>
          <w:szCs w:val="22"/>
          <w:rtl w:val="0"/>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000000" w:rsidDel="00000000" w:rsidP="00000000" w:rsidRDefault="00000000" w:rsidRPr="00000000" w14:paraId="00000150">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 el caso de los municipios,</w:t>
      </w:r>
      <w:r w:rsidDel="00000000" w:rsidR="00000000" w:rsidRPr="00000000">
        <w:rPr>
          <w:rFonts w:ascii="Palatino Linotype" w:cs="Palatino Linotype" w:eastAsia="Palatino Linotype" w:hAnsi="Palatino Linotype"/>
          <w:i w:val="1"/>
          <w:sz w:val="22"/>
          <w:szCs w:val="22"/>
          <w:rtl w:val="0"/>
        </w:rPr>
        <w:t xml:space="preserve"> el registro a que se refiere el párrafo anterior, se realizará conforme al sistema y a las disposiciones en materia de </w:t>
      </w:r>
      <w:r w:rsidDel="00000000" w:rsidR="00000000" w:rsidRPr="00000000">
        <w:rPr>
          <w:rFonts w:ascii="Palatino Linotype" w:cs="Palatino Linotype" w:eastAsia="Palatino Linotype" w:hAnsi="Palatino Linotype"/>
          <w:b w:val="1"/>
          <w:i w:val="1"/>
          <w:sz w:val="22"/>
          <w:szCs w:val="22"/>
          <w:rtl w:val="0"/>
        </w:rPr>
        <w:t xml:space="preserve">planeación, programación, presupuestación, evaluación y contabilidad gubernamental</w:t>
      </w:r>
      <w:r w:rsidDel="00000000" w:rsidR="00000000" w:rsidRPr="00000000">
        <w:rPr>
          <w:rFonts w:ascii="Palatino Linotype" w:cs="Palatino Linotype" w:eastAsia="Palatino Linotype" w:hAnsi="Palatino Linotype"/>
          <w:i w:val="1"/>
          <w:sz w:val="22"/>
          <w:szCs w:val="22"/>
          <w:rtl w:val="0"/>
        </w:rPr>
        <w:t xml:space="preserve">, que se aprueben en el marco del Sistema de Coordinación Hacendaria del Estado de México.</w:t>
      </w:r>
    </w:p>
    <w:p w:rsidR="00000000" w:rsidDel="00000000" w:rsidP="00000000" w:rsidRDefault="00000000" w:rsidRPr="00000000" w14:paraId="00000151">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343.-</w:t>
      </w:r>
      <w:r w:rsidDel="00000000" w:rsidR="00000000" w:rsidRPr="00000000">
        <w:rPr>
          <w:rFonts w:ascii="Palatino Linotype" w:cs="Palatino Linotype" w:eastAsia="Palatino Linotype" w:hAnsi="Palatino Linotype"/>
          <w:i w:val="1"/>
          <w:sz w:val="22"/>
          <w:szCs w:val="22"/>
          <w:rtl w:val="0"/>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000000" w:rsidDel="00000000" w:rsidP="00000000" w:rsidRDefault="00000000" w:rsidRPr="00000000" w14:paraId="00000152">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sistema de contabilidad sobre base acumulativa total, se sustentará en las normas emitidas por el Consejo Nacional de Armonización Contable.</w:t>
      </w:r>
    </w:p>
    <w:p w:rsidR="00000000" w:rsidDel="00000000" w:rsidP="00000000" w:rsidRDefault="00000000" w:rsidRPr="00000000" w14:paraId="00000153">
      <w:pPr>
        <w:spacing w:after="120" w:before="120" w:lineRule="auto"/>
        <w:ind w:left="862" w:right="86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344.- -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w:t>
      </w:r>
    </w:p>
    <w:p w:rsidR="00000000" w:rsidDel="00000000" w:rsidP="00000000" w:rsidRDefault="00000000" w:rsidRPr="00000000" w14:paraId="00000154">
      <w:pPr>
        <w:spacing w:after="120" w:before="120" w:lineRule="auto"/>
        <w:ind w:left="862" w:right="86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w:t>
      </w:r>
    </w:p>
    <w:p w:rsidR="00000000" w:rsidDel="00000000" w:rsidP="00000000" w:rsidRDefault="00000000" w:rsidRPr="00000000" w14:paraId="00000155">
      <w:pPr>
        <w:spacing w:after="120" w:before="120" w:lineRule="auto"/>
        <w:ind w:left="862" w:right="86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Tratándose de documentos de carácter histórico, se estará a lo dispuesto por la legislación de la materia.</w:t>
      </w:r>
    </w:p>
    <w:p w:rsidR="00000000" w:rsidDel="00000000" w:rsidP="00000000" w:rsidRDefault="00000000" w:rsidRPr="00000000" w14:paraId="00000156">
      <w:pPr>
        <w:spacing w:after="120" w:before="120" w:lineRule="auto"/>
        <w:ind w:left="862" w:right="86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57">
      <w:pPr>
        <w:spacing w:after="120" w:before="120" w:lineRule="auto"/>
        <w:ind w:left="862" w:right="86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Artículo 345.-</w:t>
      </w:r>
      <w:r w:rsidDel="00000000" w:rsidR="00000000" w:rsidRPr="00000000">
        <w:rPr>
          <w:rFonts w:ascii="Palatino Linotype" w:cs="Palatino Linotype" w:eastAsia="Palatino Linotype" w:hAnsi="Palatino Linotype"/>
          <w:i w:val="1"/>
          <w:sz w:val="22"/>
          <w:szCs w:val="22"/>
          <w:rtl w:val="0"/>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Del="00000000" w:rsidR="00000000" w:rsidRPr="00000000">
        <w:rPr>
          <w:rFonts w:ascii="Palatino Linotype" w:cs="Palatino Linotype" w:eastAsia="Palatino Linotype" w:hAnsi="Palatino Linotype"/>
          <w:b w:val="1"/>
          <w:i w:val="1"/>
          <w:sz w:val="22"/>
          <w:szCs w:val="22"/>
          <w:u w:val="single"/>
          <w:rtl w:val="0"/>
        </w:rPr>
        <w:t xml:space="preserve">Tratándose de los comprobantes fiscales digitales, estos deberán estar agregados en forma electrónica a cada póliza de registro contable. </w:t>
      </w:r>
    </w:p>
    <w:p w:rsidR="00000000" w:rsidDel="00000000" w:rsidP="00000000" w:rsidRDefault="00000000" w:rsidRPr="00000000" w14:paraId="00000158">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 </w:t>
      </w:r>
    </w:p>
    <w:p w:rsidR="00000000" w:rsidDel="00000000" w:rsidP="00000000" w:rsidRDefault="00000000" w:rsidRPr="00000000" w14:paraId="00000159">
      <w:pPr>
        <w:spacing w:after="120" w:before="120" w:lineRule="auto"/>
        <w:ind w:left="862" w:right="86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El plazo señalado en este artículo empezará a contar a partir de la publicación en el Periódico Oficial, del decreto correspondiente.</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000000" w:rsidDel="00000000" w:rsidP="00000000" w:rsidRDefault="00000000" w:rsidRPr="00000000" w14:paraId="000001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si bien es cierto que el Código Financiero del Estado de México y Municipios establece la obligación de los entes fiscalizables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Del="00000000" w:rsidR="00000000" w:rsidRPr="00000000">
        <w:rPr>
          <w:rFonts w:ascii="Palatino Linotype" w:cs="Palatino Linotype" w:eastAsia="Palatino Linotype" w:hAnsi="Palatino Linotype"/>
          <w:vertAlign w:val="superscript"/>
        </w:rPr>
        <w:footnoteReference w:customMarkFollows="0" w:id="5"/>
      </w:r>
      <w:r w:rsidDel="00000000" w:rsidR="00000000" w:rsidRPr="00000000">
        <w:rPr>
          <w:rFonts w:ascii="Palatino Linotype" w:cs="Palatino Linotype" w:eastAsia="Palatino Linotype" w:hAnsi="Palatino Linotype"/>
          <w:rtl w:val="0"/>
        </w:rPr>
        <w:t xml:space="preserve">,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000000" w:rsidDel="00000000" w:rsidP="00000000" w:rsidRDefault="00000000" w:rsidRPr="00000000" w14:paraId="0000015C">
      <w:pPr>
        <w:spacing w:after="120" w:before="120" w:lineRule="auto"/>
        <w:ind w:left="851" w:right="900" w:hanging="9.000000000000057"/>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CONTABLE</w:t>
      </w:r>
    </w:p>
    <w:p w:rsidR="00000000" w:rsidDel="00000000" w:rsidP="00000000" w:rsidRDefault="00000000" w:rsidRPr="00000000" w14:paraId="0000015D">
      <w:pPr>
        <w:spacing w:after="120" w:before="120" w:lineRule="auto"/>
        <w:ind w:left="851" w:right="900" w:hanging="9.000000000000057"/>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Asiento que se realiza en los libros de contabilidad de las actividades relacionadas con el ingreso y egresos de un ente económico.”</w:t>
      </w:r>
    </w:p>
    <w:p w:rsidR="00000000" w:rsidDel="00000000" w:rsidP="00000000" w:rsidRDefault="00000000" w:rsidRPr="00000000" w14:paraId="0000015E">
      <w:pPr>
        <w:spacing w:after="120" w:before="120" w:lineRule="auto"/>
        <w:ind w:left="851" w:right="900" w:hanging="9.000000000000057"/>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PRESUPUESTARIO</w:t>
      </w:r>
    </w:p>
    <w:p w:rsidR="00000000" w:rsidDel="00000000" w:rsidP="00000000" w:rsidRDefault="00000000" w:rsidRPr="00000000" w14:paraId="0000015F">
      <w:pPr>
        <w:spacing w:after="120" w:before="120" w:lineRule="auto"/>
        <w:ind w:left="851" w:right="900" w:hanging="9.000000000000057"/>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Asiento contable de las erogaciones realizadas por las dependencias y entidades con relación a la asignación, modificación y ejercicio de los recursos presupuestarios que se les hayan autorizado.”</w:t>
      </w:r>
    </w:p>
    <w:p w:rsidR="00000000" w:rsidDel="00000000" w:rsidP="00000000" w:rsidRDefault="00000000" w:rsidRPr="00000000" w14:paraId="0000016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bien se desprende de las definiciones, los registros contables y presupuestarios son asientos o anotaciones contables que se realizan tanto de los ingresos como de los egresos, a decir se trata de un control financiero que en el que se reconoce la obligación del Tesorero de llevar dicho registro.</w:t>
      </w:r>
    </w:p>
    <w:p w:rsidR="00000000" w:rsidDel="00000000" w:rsidP="00000000" w:rsidRDefault="00000000" w:rsidRPr="00000000" w14:paraId="0000016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se establece que el sistema de contabilidad sobre base acumulativa total se sustentará en los principios de contabilidad gubernamental.</w:t>
      </w:r>
    </w:p>
    <w:p w:rsidR="00000000" w:rsidDel="00000000" w:rsidP="00000000" w:rsidRDefault="00000000" w:rsidRPr="00000000" w14:paraId="000001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000000" w:rsidDel="00000000" w:rsidP="00000000" w:rsidRDefault="00000000" w:rsidRPr="00000000" w14:paraId="0000016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Correlativo a lo anterior, es preciso referir una definición de </w:t>
      </w:r>
      <w:r w:rsidDel="00000000" w:rsidR="00000000" w:rsidRPr="00000000">
        <w:rPr>
          <w:rFonts w:ascii="Palatino Linotype" w:cs="Palatino Linotype" w:eastAsia="Palatino Linotype" w:hAnsi="Palatino Linotype"/>
          <w:i w:val="1"/>
          <w:rtl w:val="0"/>
        </w:rPr>
        <w:t xml:space="preserve">póliza contable</w:t>
      </w:r>
      <w:r w:rsidDel="00000000" w:rsidR="00000000" w:rsidRPr="00000000">
        <w:rPr>
          <w:rFonts w:ascii="Palatino Linotype" w:cs="Palatino Linotype" w:eastAsia="Palatino Linotype" w:hAnsi="Palatino Linotype"/>
          <w:rtl w:val="0"/>
        </w:rPr>
        <w:t xml:space="preserve">, la cual, primeramente, no está definida en el Código Financiero del Estado de México y Municipios; no obstante, el ya mencionado Glosario la define como:</w:t>
      </w:r>
    </w:p>
    <w:p w:rsidR="00000000" w:rsidDel="00000000" w:rsidP="00000000" w:rsidRDefault="00000000" w:rsidRPr="00000000" w14:paraId="00000164">
      <w:pPr>
        <w:spacing w:after="120" w:before="120" w:lineRule="auto"/>
        <w:ind w:left="862"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PÓLIZA CONTABLE</w:t>
      </w:r>
    </w:p>
    <w:p w:rsidR="00000000" w:rsidDel="00000000" w:rsidP="00000000" w:rsidRDefault="00000000" w:rsidRPr="00000000" w14:paraId="00000165">
      <w:pPr>
        <w:spacing w:after="120" w:before="120" w:lineRule="auto"/>
        <w:ind w:left="862"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Documento en el cual se asientan en forma individual todas y cada una de las operaciones desarrolladas por una institución, así como la información necesaria para la identificación de dichas operaciones.” </w:t>
      </w:r>
    </w:p>
    <w:p w:rsidR="00000000" w:rsidDel="00000000" w:rsidP="00000000" w:rsidRDefault="00000000" w:rsidRPr="00000000" w14:paraId="00000166">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Así, se advierte que la </w:t>
      </w:r>
      <w:r w:rsidDel="00000000" w:rsidR="00000000" w:rsidRPr="00000000">
        <w:rPr>
          <w:rFonts w:ascii="Palatino Linotype" w:cs="Palatino Linotype" w:eastAsia="Palatino Linotype" w:hAnsi="Palatino Linotype"/>
          <w:i w:val="1"/>
          <w:rtl w:val="0"/>
        </w:rPr>
        <w:t xml:space="preserve">póliza contable</w:t>
      </w:r>
      <w:r w:rsidDel="00000000" w:rsidR="00000000" w:rsidRPr="00000000">
        <w:rPr>
          <w:rFonts w:ascii="Palatino Linotype" w:cs="Palatino Linotype" w:eastAsia="Palatino Linotype" w:hAnsi="Palatino Linotype"/>
          <w:rtl w:val="0"/>
        </w:rPr>
        <w:t xml:space="preserve"> constituye un registro contable y presupuestal con el que cuentan los entes fiscalizables para el registro de operaciones relacionadas con </w:t>
      </w:r>
      <w:r w:rsidDel="00000000" w:rsidR="00000000" w:rsidRPr="00000000">
        <w:rPr>
          <w:rFonts w:ascii="Palatino Linotype" w:cs="Palatino Linotype" w:eastAsia="Palatino Linotype" w:hAnsi="Palatino Linotype"/>
          <w:u w:val="single"/>
          <w:rtl w:val="0"/>
        </w:rPr>
        <w:t xml:space="preserve">ingresos y egresos</w:t>
      </w:r>
      <w:r w:rsidDel="00000000" w:rsidR="00000000" w:rsidRPr="00000000">
        <w:rPr>
          <w:rFonts w:ascii="Palatino Linotype" w:cs="Palatino Linotype" w:eastAsia="Palatino Linotype" w:hAnsi="Palatino Linotype"/>
          <w:rtl w:val="0"/>
        </w:rPr>
        <w:t xml:space="preserve"> y se anexan los documentos o comprobantes que justifiquen las anotaciones y cantidades en ellas registradas, lo que permite la identificación plena de dichas operaciones.</w:t>
      </w:r>
      <w:r w:rsidDel="00000000" w:rsidR="00000000" w:rsidRPr="00000000">
        <w:rPr>
          <w:rtl w:val="0"/>
        </w:rPr>
      </w:r>
    </w:p>
    <w:p w:rsidR="00000000" w:rsidDel="00000000" w:rsidP="00000000" w:rsidRDefault="00000000" w:rsidRPr="00000000" w14:paraId="0000016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existen diversos tipos de pólizas contables de acuerdo a las operaciones realizadas, dentro de las cuales, encontramos las </w:t>
      </w:r>
      <w:r w:rsidDel="00000000" w:rsidR="00000000" w:rsidRPr="00000000">
        <w:rPr>
          <w:rFonts w:ascii="Palatino Linotype" w:cs="Palatino Linotype" w:eastAsia="Palatino Linotype" w:hAnsi="Palatino Linotype"/>
          <w:i w:val="1"/>
          <w:rtl w:val="0"/>
        </w:rPr>
        <w:t xml:space="preserve">pólizas de egresos e ingresos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las primeras son aquellas en las cuales </w:t>
      </w:r>
      <w:r w:rsidDel="00000000" w:rsidR="00000000" w:rsidRPr="00000000">
        <w:rPr>
          <w:rFonts w:ascii="Palatino Linotype" w:cs="Palatino Linotype" w:eastAsia="Palatino Linotype" w:hAnsi="Palatino Linotype"/>
          <w:b w:val="1"/>
          <w:u w:val="single"/>
          <w:rtl w:val="0"/>
        </w:rPr>
        <w:t xml:space="preserve">se anotan diariamente las operaciones que representan gastos, es decir, salidas de dinero</w:t>
      </w:r>
      <w:r w:rsidDel="00000000" w:rsidR="00000000" w:rsidRPr="00000000">
        <w:rPr>
          <w:rFonts w:ascii="Palatino Linotype" w:cs="Palatino Linotype" w:eastAsia="Palatino Linotype" w:hAnsi="Palatino Linotype"/>
          <w:rtl w:val="0"/>
        </w:rPr>
        <w:t xml:space="preserve"> para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las que además, </w:t>
      </w:r>
      <w:r w:rsidDel="00000000" w:rsidR="00000000" w:rsidRPr="00000000">
        <w:rPr>
          <w:rFonts w:ascii="Palatino Linotype" w:cs="Palatino Linotype" w:eastAsia="Palatino Linotype" w:hAnsi="Palatino Linotype"/>
          <w:b w:val="1"/>
          <w:rtl w:val="0"/>
        </w:rPr>
        <w:t xml:space="preserve">deben encontrarse acompañadas de las documentales que sirven de soporte de dicho movimiento</w:t>
      </w:r>
      <w:r w:rsidDel="00000000" w:rsidR="00000000" w:rsidRPr="00000000">
        <w:rPr>
          <w:rFonts w:ascii="Palatino Linotype" w:cs="Palatino Linotype" w:eastAsia="Palatino Linotype" w:hAnsi="Palatino Linotype"/>
          <w:rtl w:val="0"/>
        </w:rPr>
        <w:t xml:space="preserve">, en atención a las segundas, registran todas la entradas de dinero independientemente de la modalidad, ya sea en efectivo, transferencia, cheque o pagaré, mediante la expedición de facturas.</w:t>
      </w:r>
    </w:p>
    <w:p w:rsidR="00000000" w:rsidDel="00000000" w:rsidP="00000000" w:rsidRDefault="00000000" w:rsidRPr="00000000" w14:paraId="00000168">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rsidR="00000000" w:rsidDel="00000000" w:rsidP="00000000" w:rsidRDefault="00000000" w:rsidRPr="00000000" w14:paraId="0000016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se puede advertir que, de la información requerida, los documentos que pueden satisfacer el requerimiento del particular serían precisamente los registros contables acompañados de los documentos o comprobantes que justifiquen las anotaciones y cantidades en ellas registradas.</w:t>
      </w:r>
    </w:p>
    <w:p w:rsidR="00000000" w:rsidDel="00000000" w:rsidP="00000000" w:rsidRDefault="00000000" w:rsidRPr="00000000" w14:paraId="0000016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cabe referir que la Ley de Fiscalización Superior del Estado de México, establece que son sujetos fiscalizables los siguientes:</w:t>
      </w:r>
    </w:p>
    <w:p w:rsidR="00000000" w:rsidDel="00000000" w:rsidP="00000000" w:rsidRDefault="00000000" w:rsidRPr="00000000" w14:paraId="0000016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Son sujetos de fiscalización:</w:t>
      </w:r>
    </w:p>
    <w:p w:rsidR="00000000" w:rsidDel="00000000" w:rsidP="00000000" w:rsidRDefault="00000000" w:rsidRPr="00000000" w14:paraId="0000016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Los Poderes Públicos del Estado;</w:t>
      </w:r>
    </w:p>
    <w:p w:rsidR="00000000" w:rsidDel="00000000" w:rsidP="00000000" w:rsidRDefault="00000000" w:rsidRPr="00000000" w14:paraId="0000016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municipios del Estado de México;</w:t>
      </w:r>
    </w:p>
    <w:p w:rsidR="00000000" w:rsidDel="00000000" w:rsidP="00000000" w:rsidRDefault="00000000" w:rsidRPr="00000000" w14:paraId="0000016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Los organismos autónomos;</w:t>
      </w:r>
    </w:p>
    <w:p w:rsidR="00000000" w:rsidDel="00000000" w:rsidP="00000000" w:rsidRDefault="00000000" w:rsidRPr="00000000" w14:paraId="0000016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Los organismos auxiliares;</w:t>
      </w:r>
    </w:p>
    <w:p w:rsidR="00000000" w:rsidDel="00000000" w:rsidP="00000000" w:rsidRDefault="00000000" w:rsidRPr="00000000" w14:paraId="0000017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Los fideicomisos previstos en el artículo 3 fracción XVII del Código Financiero del Estado de México y Municipios, y aquellos que manejen recursos del Estado, Municipios, o en su caso provenientes de la federación;</w:t>
      </w:r>
    </w:p>
    <w:p w:rsidR="00000000" w:rsidDel="00000000" w:rsidP="00000000" w:rsidRDefault="00000000" w:rsidRPr="00000000" w14:paraId="0000017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000000" w:rsidDel="00000000" w:rsidP="00000000" w:rsidRDefault="00000000" w:rsidRPr="00000000" w14:paraId="0000017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ordenamiento legal referido señala en su artículo 8, fracción XI, lo siguiente: </w:t>
      </w:r>
    </w:p>
    <w:p w:rsidR="00000000" w:rsidDel="00000000" w:rsidP="00000000" w:rsidRDefault="00000000" w:rsidRPr="00000000" w14:paraId="00000173">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w:t>
      </w:r>
      <w:r w:rsidDel="00000000" w:rsidR="00000000" w:rsidRPr="00000000">
        <w:rPr>
          <w:rFonts w:ascii="Palatino Linotype" w:cs="Palatino Linotype" w:eastAsia="Palatino Linotype" w:hAnsi="Palatino Linotype"/>
          <w:i w:val="1"/>
          <w:sz w:val="22"/>
          <w:szCs w:val="22"/>
          <w:rtl w:val="0"/>
        </w:rPr>
        <w:t xml:space="preserve">. El Órgano Superior tendrá las siguientes atribuciones:</w:t>
      </w:r>
    </w:p>
    <w:p w:rsidR="00000000" w:rsidDel="00000000" w:rsidP="00000000" w:rsidRDefault="00000000" w:rsidRPr="00000000" w14:paraId="00000174">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5">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Establecer los lineamientos, criterios, procedimientos, métodos y sistemas para las acciones de control y evaluación, necesarios para la fiscalización de las cuentas públicas y los informes trimestrales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los “Lineamientos para la integración y entrega del Informe Trimestral Municipal 2022”, emitidos por el Órgano Superior de Fiscalización del Estado de México, OSFEM, mismos que establecen los criterios, formatos y documentación necesaria para presentar los informes trimestrales por parte de los entes fiscalizables, integrando la información en cuatro Módulos que contienen la información que se detalla a continuación:</w:t>
      </w:r>
    </w:p>
    <w:p w:rsidR="00000000" w:rsidDel="00000000" w:rsidP="00000000" w:rsidRDefault="00000000" w:rsidRPr="00000000" w14:paraId="00000177">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240000" cy="1722565"/>
            <wp:effectExtent b="0" l="0" r="0" t="0"/>
            <wp:docPr id="156" name="image3.png"/>
            <a:graphic>
              <a:graphicData uri="http://schemas.openxmlformats.org/drawingml/2006/picture">
                <pic:pic>
                  <pic:nvPicPr>
                    <pic:cNvPr id="0" name="image3.png"/>
                    <pic:cNvPicPr preferRelativeResize="0"/>
                  </pic:nvPicPr>
                  <pic:blipFill>
                    <a:blip r:embed="rId19"/>
                    <a:srcRect b="4799" l="0" r="0" t="5011"/>
                    <a:stretch>
                      <a:fillRect/>
                    </a:stretch>
                  </pic:blipFill>
                  <pic:spPr>
                    <a:xfrm>
                      <a:off x="0" y="0"/>
                      <a:ext cx="3240000" cy="1722565"/>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su vez los Módulos se dividen en submódulos, de los que destaca, en relación con el análisis que nos ocupa, el submódulo relativo a “Pólizas”, del Módulo 1:</w:t>
      </w:r>
    </w:p>
    <w:p w:rsidR="00000000" w:rsidDel="00000000" w:rsidP="00000000" w:rsidRDefault="00000000" w:rsidRPr="00000000" w14:paraId="00000179">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148000" cy="3031829"/>
            <wp:effectExtent b="0" l="0" r="0" t="0"/>
            <wp:docPr id="158"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148000" cy="303182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2184400</wp:posOffset>
                </wp:positionV>
                <wp:extent cx="4932804" cy="828107"/>
                <wp:effectExtent b="0" l="0" r="0" t="0"/>
                <wp:wrapNone/>
                <wp:docPr id="139" name=""/>
                <a:graphic>
                  <a:graphicData uri="http://schemas.microsoft.com/office/word/2010/wordprocessingShape">
                    <wps:wsp>
                      <wps:cNvSpPr/>
                      <wps:cNvPr id="2" name="Shape 2"/>
                      <wps:spPr>
                        <a:xfrm>
                          <a:off x="2951036" y="3437384"/>
                          <a:ext cx="4789929" cy="685232"/>
                        </a:xfrm>
                        <a:prstGeom prst="rect">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2184400</wp:posOffset>
                </wp:positionV>
                <wp:extent cx="4932804" cy="828107"/>
                <wp:effectExtent b="0" l="0" r="0" t="0"/>
                <wp:wrapNone/>
                <wp:docPr id="139" name="image1.png"/>
                <a:graphic>
                  <a:graphicData uri="http://schemas.openxmlformats.org/drawingml/2006/picture">
                    <pic:pic>
                      <pic:nvPicPr>
                        <pic:cNvPr id="0" name="image1.png"/>
                        <pic:cNvPicPr preferRelativeResize="0"/>
                      </pic:nvPicPr>
                      <pic:blipFill>
                        <a:blip r:embed="rId21"/>
                        <a:srcRect/>
                        <a:stretch>
                          <a:fillRect/>
                        </a:stretch>
                      </pic:blipFill>
                      <pic:spPr>
                        <a:xfrm>
                          <a:off x="0" y="0"/>
                          <a:ext cx="4932804" cy="828107"/>
                        </a:xfrm>
                        <a:prstGeom prst="rect"/>
                        <a:ln/>
                      </pic:spPr>
                    </pic:pic>
                  </a:graphicData>
                </a:graphic>
              </wp:anchor>
            </w:drawing>
          </mc:Fallback>
        </mc:AlternateContent>
      </w:r>
    </w:p>
    <w:p w:rsidR="00000000" w:rsidDel="00000000" w:rsidP="00000000" w:rsidRDefault="00000000" w:rsidRPr="00000000" w14:paraId="0000017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en la imagen anterior, el submódulo “Pólizas”, se integra por las pólizas de ingresos, las pólizas de diario, y las pólizas de egresos y las pólizas de cheque, cada tipo con los respectivos documentos comprobatorios, información que se debe grabar en 3 discos compactos, cada uno con un mes del trimestre.</w:t>
      </w:r>
    </w:p>
    <w:p w:rsidR="00000000" w:rsidDel="00000000" w:rsidP="00000000" w:rsidRDefault="00000000" w:rsidRPr="00000000" w14:paraId="0000017B">
      <w:pPr>
        <w:spacing w:after="240" w:before="240" w:line="360" w:lineRule="auto"/>
        <w:jc w:val="both"/>
        <w:rPr>
          <w:rFonts w:ascii="Palatino Linotype" w:cs="Palatino Linotype" w:eastAsia="Palatino Linotype" w:hAnsi="Palatino Linotype"/>
        </w:rPr>
      </w:pPr>
      <w:bookmarkStart w:colFirst="0" w:colLast="0" w:name="_heading=h.26in1rg" w:id="7"/>
      <w:bookmarkEnd w:id="7"/>
      <w:r w:rsidDel="00000000" w:rsidR="00000000" w:rsidRPr="00000000">
        <w:rPr>
          <w:rFonts w:ascii="Palatino Linotype" w:cs="Palatino Linotype" w:eastAsia="Palatino Linotype" w:hAnsi="Palatino Linotype"/>
          <w:rtl w:val="0"/>
        </w:rPr>
        <w:t xml:space="preserve">Derivado de la interpretación del requerimiento de información, se considera que la persona solicitante se encuentra interesada en las pólizas de egresos o en las pólizas de cheque, teniendo por finalidad las primeras la de registrar cualquier operación contable en la que se produzca una salida de efectivo o erogaciones, y las segundas en caso de tratarse de una erogación que se realiza a través de un cheque, por lo que es necesario señalar que el Instructivo del Módulo 1, establece los formatos así como el instructivo de llenado para el adecuado cumplimiento de la presentación del Informe, como a continuación se ilustra para un mejor entendimiento:</w:t>
      </w:r>
    </w:p>
    <w:p w:rsidR="00000000" w:rsidDel="00000000" w:rsidP="00000000" w:rsidRDefault="00000000" w:rsidRPr="00000000" w14:paraId="0000017C">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392000" cy="3420000"/>
            <wp:effectExtent b="0" l="0" r="0" t="0"/>
            <wp:docPr id="159" name="image18.png"/>
            <a:graphic>
              <a:graphicData uri="http://schemas.openxmlformats.org/drawingml/2006/picture">
                <pic:pic>
                  <pic:nvPicPr>
                    <pic:cNvPr id="0" name="image18.png"/>
                    <pic:cNvPicPr preferRelativeResize="0"/>
                  </pic:nvPicPr>
                  <pic:blipFill>
                    <a:blip r:embed="rId22"/>
                    <a:srcRect b="3112" l="0" r="0" t="744"/>
                    <a:stretch>
                      <a:fillRect/>
                    </a:stretch>
                  </pic:blipFill>
                  <pic:spPr>
                    <a:xfrm>
                      <a:off x="0" y="0"/>
                      <a:ext cx="4392000" cy="34200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E">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40000" cy="3642574"/>
            <wp:effectExtent b="0" l="0" r="0" t="0"/>
            <wp:docPr id="160" name="image21.png"/>
            <a:graphic>
              <a:graphicData uri="http://schemas.openxmlformats.org/drawingml/2006/picture">
                <pic:pic>
                  <pic:nvPicPr>
                    <pic:cNvPr id="0" name="image21.png"/>
                    <pic:cNvPicPr preferRelativeResize="0"/>
                  </pic:nvPicPr>
                  <pic:blipFill>
                    <a:blip r:embed="rId23"/>
                    <a:srcRect b="42856" l="0" r="0" t="0"/>
                    <a:stretch>
                      <a:fillRect/>
                    </a:stretch>
                  </pic:blipFill>
                  <pic:spPr>
                    <a:xfrm>
                      <a:off x="0" y="0"/>
                      <a:ext cx="5040000" cy="3642574"/>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0">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40000" cy="2712070"/>
            <wp:effectExtent b="0" l="0" r="0" t="0"/>
            <wp:docPr id="161" name="image21.png"/>
            <a:graphic>
              <a:graphicData uri="http://schemas.openxmlformats.org/drawingml/2006/picture">
                <pic:pic>
                  <pic:nvPicPr>
                    <pic:cNvPr id="0" name="image21.png"/>
                    <pic:cNvPicPr preferRelativeResize="0"/>
                  </pic:nvPicPr>
                  <pic:blipFill>
                    <a:blip r:embed="rId23"/>
                    <a:srcRect b="0" l="0" r="0" t="57445"/>
                    <a:stretch>
                      <a:fillRect/>
                    </a:stretch>
                  </pic:blipFill>
                  <pic:spPr>
                    <a:xfrm>
                      <a:off x="0" y="0"/>
                      <a:ext cx="5040000" cy="271207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40000" cy="3628909"/>
            <wp:effectExtent b="0" l="0" r="0" t="0"/>
            <wp:docPr id="162"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5040000" cy="3628909"/>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3">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4">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5">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40000" cy="1141166"/>
            <wp:effectExtent b="0" l="0" r="0" t="0"/>
            <wp:docPr id="163" name="image22.png"/>
            <a:graphic>
              <a:graphicData uri="http://schemas.openxmlformats.org/drawingml/2006/picture">
                <pic:pic>
                  <pic:nvPicPr>
                    <pic:cNvPr id="0" name="image22.png"/>
                    <pic:cNvPicPr preferRelativeResize="0"/>
                  </pic:nvPicPr>
                  <pic:blipFill>
                    <a:blip r:embed="rId25"/>
                    <a:srcRect b="76666" l="0" r="0" t="0"/>
                    <a:stretch>
                      <a:fillRect/>
                    </a:stretch>
                  </pic:blipFill>
                  <pic:spPr>
                    <a:xfrm>
                      <a:off x="0" y="0"/>
                      <a:ext cx="5040000" cy="1141166"/>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7">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40000" cy="3268323"/>
            <wp:effectExtent b="0" l="0" r="0" t="0"/>
            <wp:docPr id="164" name="image22.png"/>
            <a:graphic>
              <a:graphicData uri="http://schemas.openxmlformats.org/drawingml/2006/picture">
                <pic:pic>
                  <pic:nvPicPr>
                    <pic:cNvPr id="0" name="image22.png"/>
                    <pic:cNvPicPr preferRelativeResize="0"/>
                  </pic:nvPicPr>
                  <pic:blipFill>
                    <a:blip r:embed="rId25"/>
                    <a:srcRect b="2271" l="0" r="0" t="30898"/>
                    <a:stretch>
                      <a:fillRect/>
                    </a:stretch>
                  </pic:blipFill>
                  <pic:spPr>
                    <a:xfrm>
                      <a:off x="0" y="0"/>
                      <a:ext cx="5040000" cy="3268323"/>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pacing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9">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40000" cy="1952166"/>
            <wp:effectExtent b="0" l="0" r="0" t="0"/>
            <wp:docPr id="165" name="image11.png"/>
            <a:graphic>
              <a:graphicData uri="http://schemas.openxmlformats.org/drawingml/2006/picture">
                <pic:pic>
                  <pic:nvPicPr>
                    <pic:cNvPr id="0" name="image11.png"/>
                    <pic:cNvPicPr preferRelativeResize="0"/>
                  </pic:nvPicPr>
                  <pic:blipFill>
                    <a:blip r:embed="rId26"/>
                    <a:srcRect b="69736" l="0" r="0" t="-1"/>
                    <a:stretch>
                      <a:fillRect/>
                    </a:stretch>
                  </pic:blipFill>
                  <pic:spPr>
                    <a:xfrm>
                      <a:off x="0" y="0"/>
                      <a:ext cx="5040000" cy="1952166"/>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464000" cy="3965612"/>
            <wp:effectExtent b="0" l="0" r="0" t="0"/>
            <wp:docPr id="143" name="image11.png"/>
            <a:graphic>
              <a:graphicData uri="http://schemas.openxmlformats.org/drawingml/2006/picture">
                <pic:pic>
                  <pic:nvPicPr>
                    <pic:cNvPr id="0" name="image11.png"/>
                    <pic:cNvPicPr preferRelativeResize="0"/>
                  </pic:nvPicPr>
                  <pic:blipFill>
                    <a:blip r:embed="rId26"/>
                    <a:srcRect b="599" l="0" r="0" t="29986"/>
                    <a:stretch>
                      <a:fillRect/>
                    </a:stretch>
                  </pic:blipFill>
                  <pic:spPr>
                    <a:xfrm>
                      <a:off x="0" y="0"/>
                      <a:ext cx="4464000" cy="3965612"/>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464000" cy="2012466"/>
            <wp:effectExtent b="0" l="0" r="0" t="0"/>
            <wp:docPr id="144"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4464000" cy="2012466"/>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toda vez que la Dirección de Administración y Finanzas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encuentra facultada para coordinar y supervisar las actividades relativas a la administración y ejecución de los recursos financieros autorizados en el presupuesto de egresos del Organismo de acuerdo a la normatividad vigente, así como para coordinar y supervisar el adecuado  y oportuno ejercicio del presupuesto asignado al Organismo, verificando que el registro de los movimientos presupuestales se efectúe conforme al calendario presupuestal establecido y de conformidad a la normatividad aplicable, se estima que, de haberse generado erogaciones del 01 de enero al 15 de febrero del 2022, por los conceptos de papelería, consumo de combustible, compra de material para reparación de fugas, compra de hipoclorito y/o reparación del parque vehicular, es el área competente para administrar o poseer el soporte documental correspondiente, siendo procedente ordenar la entrega del mismo, previa búsqueda exhaustiva y razonable, para tener por satisfecho el punto en estudio. </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sin contrariar lo anterior, es preciso señalar que, si derivado de la búsqueda que se ordena,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llegara a localizar información por no haberse generado, al estar supeditada la existencia de la misma a celebración de procedimientos de adquisición así como a la erogación de recursos públicos, en el periodo señalado por la persona solicitante, se deberá hacer del conocimiento de la persona solicitante en términos del artículo 19, párrafo segundo</w:t>
      </w:r>
      <w:r w:rsidDel="00000000" w:rsidR="00000000" w:rsidRPr="00000000">
        <w:rPr>
          <w:rFonts w:ascii="Palatino Linotype" w:cs="Palatino Linotype" w:eastAsia="Palatino Linotype" w:hAnsi="Palatino Linotype"/>
          <w:vertAlign w:val="superscript"/>
        </w:rPr>
        <w:footnoteReference w:customMarkFollows="0" w:id="6"/>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para tener por atendido su derecho de acceso a la información,</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último,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justificó la restricción al Derecho de acceso a la información bajo el argumento de que a la fecha de contestación el Órgano Superior de Fiscalización del Estado de México no había emitido los Lineamientos para la integración y presentación de los informes trimestrales para el ejercicio 2022, a pesar de que las solicitudes de información </w:t>
      </w:r>
      <w:r w:rsidDel="00000000" w:rsidR="00000000" w:rsidRPr="00000000">
        <w:rPr>
          <w:rFonts w:ascii="Palatino Linotype" w:cs="Palatino Linotype" w:eastAsia="Palatino Linotype" w:hAnsi="Palatino Linotype"/>
          <w:b w:val="1"/>
          <w:u w:val="single"/>
          <w:rtl w:val="0"/>
        </w:rPr>
        <w:t xml:space="preserve">se registraron el veintidós de febrero de dos mil veintidós,</w:t>
      </w:r>
      <w:r w:rsidDel="00000000" w:rsidR="00000000" w:rsidRPr="00000000">
        <w:rPr>
          <w:rFonts w:ascii="Palatino Linotype" w:cs="Palatino Linotype" w:eastAsia="Palatino Linotype" w:hAnsi="Palatino Linotype"/>
          <w:rtl w:val="0"/>
        </w:rPr>
        <w:t xml:space="preserve"> se estima necesario precisar que si bien, los entes fiscalizables se encuentran constreñidos para cumplir con sus obligaciones fiscales en términos y periodicidad dispuesta por la normatividad correspondiente, ello </w:t>
      </w:r>
      <w:r w:rsidDel="00000000" w:rsidR="00000000" w:rsidRPr="00000000">
        <w:rPr>
          <w:rFonts w:ascii="Palatino Linotype" w:cs="Palatino Linotype" w:eastAsia="Palatino Linotype" w:hAnsi="Palatino Linotype"/>
          <w:b w:val="1"/>
          <w:u w:val="single"/>
          <w:rtl w:val="0"/>
        </w:rPr>
        <w:t xml:space="preserve">no significa que los sujetos obligados no permitan el acceso a la información que por su naturaleza deben generar de manera diaria, semanal o mensual, cuando ello se solicite en el ejercicio del derecho de acceso a la información. </w:t>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el caso particular, si bien es cierto, los entes fiscalizables entregan sus informes trimestralmente en cumplimiento de sus obligaciones fiscales, también lo es que estos se integran de información que ha sido obtenida de forma consecutiva, por lo que, en el caso de que un particular solicite información antes del trimestre, los Sujetos Obligados no pueden impedir acceso a los documentos que hasta el momento se han generado, sino que deben proporcionar la información que obre en sus archivos ya sea del periodo solicitado o, a la fecha de la solicitud de información. </w:t>
      </w:r>
      <w:r w:rsidDel="00000000" w:rsidR="00000000" w:rsidRPr="00000000">
        <w:rPr>
          <w:rtl w:val="0"/>
        </w:rPr>
      </w:r>
    </w:p>
    <w:p w:rsidR="00000000" w:rsidDel="00000000" w:rsidP="00000000" w:rsidRDefault="00000000" w:rsidRPr="00000000" w14:paraId="00000190">
      <w:pPr>
        <w:spacing w:after="240" w:before="240" w:line="360" w:lineRule="auto"/>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Asimismo, es de recordar que la Ley de Transparencia Estatal establece en su artículo 92 un catálogo de obligaciones de transparencia que los sujetos obligados </w:t>
      </w:r>
      <w:r w:rsidDel="00000000" w:rsidR="00000000" w:rsidRPr="00000000">
        <w:rPr>
          <w:rFonts w:ascii="Palatino Linotype" w:cs="Palatino Linotype" w:eastAsia="Palatino Linotype" w:hAnsi="Palatino Linotype"/>
          <w:b w:val="1"/>
          <w:color w:val="000000"/>
          <w:u w:val="single"/>
          <w:rtl w:val="0"/>
        </w:rPr>
        <w:t xml:space="preserve">deberán poner a disposición del público</w:t>
      </w:r>
      <w:r w:rsidDel="00000000" w:rsidR="00000000" w:rsidRPr="00000000">
        <w:rPr>
          <w:rFonts w:ascii="Palatino Linotype" w:cs="Palatino Linotype" w:eastAsia="Palatino Linotype" w:hAnsi="Palatino Linotype"/>
          <w:color w:val="000000"/>
          <w:rtl w:val="0"/>
        </w:rPr>
        <w:t xml:space="preserve">, sin embargo, este es muy claro al referir que será </w:t>
      </w:r>
      <w:r w:rsidDel="00000000" w:rsidR="00000000" w:rsidRPr="00000000">
        <w:rPr>
          <w:rFonts w:ascii="Palatino Linotype" w:cs="Palatino Linotype" w:eastAsia="Palatino Linotype" w:hAnsi="Palatino Linotype"/>
          <w:b w:val="1"/>
          <w:color w:val="000000"/>
          <w:rtl w:val="0"/>
        </w:rPr>
        <w:t xml:space="preserve">“por lo menos” de temas, documentos y políticas </w:t>
      </w:r>
      <w:r w:rsidDel="00000000" w:rsidR="00000000" w:rsidRPr="00000000">
        <w:rPr>
          <w:rFonts w:ascii="Palatino Linotype" w:cs="Palatino Linotype" w:eastAsia="Palatino Linotype" w:hAnsi="Palatino Linotype"/>
          <w:color w:val="000000"/>
          <w:rtl w:val="0"/>
        </w:rPr>
        <w:t xml:space="preserve">que en este se describen, de tal forma que, en el caso de que un particular solicite información que no se contempla en dicho catálogo, los Sujetos Obligados también deberán proporcionar la información requerida.</w:t>
      </w: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ese sentido, se le invita al Sujeto que tenga a bien proporcionar toda la información que genere, administre y posee en congruencia con sus facultades, atribuciones y competencias, a la fecha en que los particulares lo solicitan o, del periodo que refieran, independientemente si esta está sujeta a plazos para cumplir con obligaciones en materia de fiscalización o, incluso, en materia de transparencia, toda vez que el derecho de acceso a la información es una prerrogativa constitucional que los ciudadanos gozan y debe ser garantizada por cualquier autoridad pública. </w:t>
      </w: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fundados, respecto de los recursos de revisión </w:t>
      </w:r>
      <w:r w:rsidDel="00000000" w:rsidR="00000000" w:rsidRPr="00000000">
        <w:rPr>
          <w:rFonts w:ascii="Palatino Linotype" w:cs="Palatino Linotype" w:eastAsia="Palatino Linotype" w:hAnsi="Palatino Linotype"/>
          <w:b w:val="1"/>
          <w:rtl w:val="0"/>
        </w:rPr>
        <w:t xml:space="preserve">05604/INFOEM/IP/RR/2022, 05605/INFOEM/IP/RR/2022, 05606/INFOEM/IP/RR/2022,</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05608/INFOEM/IP/RR/2022, 05610/INFOEM/IP/RR/2022, 05611/INFOEM/IP/RR/2022</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05612/INFOEM/IP/RR/2022,</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siendo procedente </w:t>
      </w:r>
      <w:r w:rsidDel="00000000" w:rsidR="00000000" w:rsidRPr="00000000">
        <w:rPr>
          <w:rFonts w:ascii="Palatino Linotype" w:cs="Palatino Linotype" w:eastAsia="Palatino Linotype" w:hAnsi="Palatino Linotype"/>
          <w:i w:val="1"/>
          <w:rtl w:val="0"/>
        </w:rPr>
        <w:t xml:space="preserve">Revocar</w:t>
      </w:r>
      <w:r w:rsidDel="00000000" w:rsidR="00000000" w:rsidRPr="00000000">
        <w:rPr>
          <w:rFonts w:ascii="Palatino Linotype" w:cs="Palatino Linotype" w:eastAsia="Palatino Linotype" w:hAnsi="Palatino Linotype"/>
          <w:rtl w:val="0"/>
        </w:rPr>
        <w:t xml:space="preserve"> 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 conformidad con lo establecido en el artículo 186 fracción III de la Ley de Transparencia y Acceso a la Información Pública del Estado de México y Municipios.</w:t>
      </w:r>
    </w:p>
    <w:p w:rsidR="00000000" w:rsidDel="00000000" w:rsidP="00000000" w:rsidRDefault="00000000" w:rsidRPr="00000000" w14:paraId="0000019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por 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sujeto obligado,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000000" w:rsidDel="00000000" w:rsidP="00000000" w:rsidRDefault="00000000" w:rsidRPr="00000000" w14:paraId="0000019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y 143 de la Ley de Transparencia y Acceso a la Información Pública del Estado de México y Municipios que establecen:</w:t>
      </w:r>
    </w:p>
    <w:p w:rsidR="00000000" w:rsidDel="00000000" w:rsidP="00000000" w:rsidRDefault="00000000" w:rsidRPr="00000000" w14:paraId="0000019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9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9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9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9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9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9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9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A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A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A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A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A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A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A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A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A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A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1A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00000" w:rsidDel="00000000" w:rsidP="00000000" w:rsidRDefault="00000000" w:rsidRPr="00000000" w14:paraId="000001A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A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A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1A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1B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1B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no permitan la recuperación o visualización de la misma.”</w:t>
      </w:r>
    </w:p>
    <w:p w:rsidR="00000000" w:rsidDel="00000000" w:rsidP="00000000" w:rsidRDefault="00000000" w:rsidRPr="00000000" w14:paraId="000001B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B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directa con ello, los Lineamientos en estudio establecen los formatos para la clasificación parcial y total de los documentos, que atienden a lo siguiente:</w:t>
      </w:r>
    </w:p>
    <w:tbl>
      <w:tblPr>
        <w:tblStyle w:val="Table5"/>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993"/>
        <w:gridCol w:w="3421"/>
        <w:gridCol w:w="968"/>
        <w:gridCol w:w="3446"/>
        <w:tblGridChange w:id="0">
          <w:tblGrid>
            <w:gridCol w:w="993"/>
            <w:gridCol w:w="3421"/>
            <w:gridCol w:w="968"/>
            <w:gridCol w:w="3446"/>
          </w:tblGrid>
        </w:tblGridChange>
      </w:tblGrid>
      <w:tr>
        <w:trPr>
          <w:cantSplit w:val="0"/>
          <w:tblHeader w:val="0"/>
        </w:trPr>
        <w:tc>
          <w:tcPr>
            <w:gridSpan w:val="2"/>
          </w:tcPr>
          <w:p w:rsidR="00000000" w:rsidDel="00000000" w:rsidP="00000000" w:rsidRDefault="00000000" w:rsidRPr="00000000" w14:paraId="000001B4">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Parcial</w:t>
            </w:r>
          </w:p>
        </w:tc>
        <w:tc>
          <w:tcPr>
            <w:gridSpan w:val="2"/>
          </w:tcPr>
          <w:p w:rsidR="00000000" w:rsidDel="00000000" w:rsidP="00000000" w:rsidRDefault="00000000" w:rsidRPr="00000000" w14:paraId="000001B6">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Total</w:t>
            </w:r>
          </w:p>
        </w:tc>
      </w:tr>
      <w:tr>
        <w:trPr>
          <w:cantSplit w:val="0"/>
          <w:tblHeader w:val="0"/>
        </w:trPr>
        <w:tc>
          <w:tcPr/>
          <w:p w:rsidR="00000000" w:rsidDel="00000000" w:rsidP="00000000" w:rsidRDefault="00000000" w:rsidRPr="00000000" w14:paraId="000001B8">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Concepto</w:t>
            </w:r>
          </w:p>
        </w:tc>
        <w:tc>
          <w:tcPr/>
          <w:p w:rsidR="00000000" w:rsidDel="00000000" w:rsidP="00000000" w:rsidRDefault="00000000" w:rsidRPr="00000000" w14:paraId="000001B9">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1BA">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1BB">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1BC">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Sello oficial o logotipo del sujeto obligado</w:t>
            </w:r>
          </w:p>
        </w:tc>
      </w:tr>
      <w:tr>
        <w:trPr>
          <w:cantSplit w:val="0"/>
          <w:tblHeader w:val="0"/>
        </w:trPr>
        <w:tc>
          <w:tcPr/>
          <w:p w:rsidR="00000000" w:rsidDel="00000000" w:rsidP="00000000" w:rsidRDefault="00000000" w:rsidRPr="00000000" w14:paraId="000001C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clasificación</w:t>
            </w:r>
          </w:p>
        </w:tc>
        <w:tc>
          <w:tcPr/>
          <w:p w:rsidR="00000000" w:rsidDel="00000000" w:rsidP="00000000" w:rsidRDefault="00000000" w:rsidRPr="00000000" w14:paraId="000001C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1C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1C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1C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Área</w:t>
            </w:r>
          </w:p>
        </w:tc>
        <w:tc>
          <w:tcPr/>
          <w:p w:rsidR="00000000" w:rsidDel="00000000" w:rsidP="00000000" w:rsidRDefault="00000000" w:rsidRPr="00000000" w14:paraId="000001C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1C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1C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1C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Información reservada</w:t>
            </w:r>
          </w:p>
        </w:tc>
        <w:tc>
          <w:tcPr/>
          <w:p w:rsidR="00000000" w:rsidDel="00000000" w:rsidP="00000000" w:rsidRDefault="00000000" w:rsidRPr="00000000" w14:paraId="000001C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1C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1C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1C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C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1C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1C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1D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Ampliación del periodo de reserva</w:t>
            </w:r>
          </w:p>
        </w:tc>
        <w:tc>
          <w:tcPr/>
          <w:p w:rsidR="00000000" w:rsidDel="00000000" w:rsidP="00000000" w:rsidRDefault="00000000" w:rsidRPr="00000000" w14:paraId="000001D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1D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D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1D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Confidencial</w:t>
            </w:r>
          </w:p>
        </w:tc>
        <w:tc>
          <w:tcPr/>
          <w:p w:rsidR="00000000" w:rsidDel="00000000" w:rsidP="00000000" w:rsidRDefault="00000000" w:rsidRPr="00000000" w14:paraId="000001D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1D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1D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1D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D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1D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1D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1D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del titular del área</w:t>
            </w:r>
          </w:p>
        </w:tc>
        <w:tc>
          <w:tcPr/>
          <w:p w:rsidR="00000000" w:rsidDel="00000000" w:rsidP="00000000" w:rsidRDefault="00000000" w:rsidRPr="00000000" w14:paraId="000001D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1D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D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1E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desclasificación</w:t>
            </w:r>
          </w:p>
        </w:tc>
        <w:tc>
          <w:tcPr/>
          <w:p w:rsidR="00000000" w:rsidDel="00000000" w:rsidP="00000000" w:rsidRDefault="00000000" w:rsidRPr="00000000" w14:paraId="000001E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1E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1E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1E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y cargo del servidor público</w:t>
            </w:r>
          </w:p>
        </w:tc>
        <w:tc>
          <w:tcPr/>
          <w:p w:rsidR="00000000" w:rsidDel="00000000" w:rsidP="00000000" w:rsidRDefault="00000000" w:rsidRPr="00000000" w14:paraId="000001E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1E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1E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1E8">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E9">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E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1E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1EC">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ED">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E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1E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1F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F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los recursos de revisión</w:t>
      </w:r>
      <w:r w:rsidDel="00000000" w:rsidR="00000000" w:rsidRPr="00000000">
        <w:rPr>
          <w:rFonts w:ascii="Palatino Linotype" w:cs="Palatino Linotype" w:eastAsia="Palatino Linotype" w:hAnsi="Palatino Linotype"/>
          <w:b w:val="1"/>
          <w:rtl w:val="0"/>
        </w:rPr>
        <w:t xml:space="preserve"> 05604/INFOEM/IP/RR/2022, 05605/INFOEM/IP/RR/2022, 05606/INFOEM/IP/RR/2022,</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05608/INFOEM/IP/RR/2022, 05610/INFOEM/IP/RR/2022, 05611/INFOEM/IP/RR/2022</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05612/INFOEM/IP/RR/2022,</w:t>
      </w:r>
      <w:r w:rsidDel="00000000" w:rsidR="00000000" w:rsidRPr="00000000">
        <w:rPr>
          <w:rFonts w:ascii="Palatino Linotype" w:cs="Palatino Linotype" w:eastAsia="Palatino Linotype" w:hAnsi="Palatino Linotype"/>
          <w:rtl w:val="0"/>
        </w:rPr>
        <w:t xml:space="preserve"> por lo que, en términos de los argumentos de derecho señalados en 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Revoca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1F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haga entrega vía SAIMEX, en versión pública de ser necesario, del documento donde conste lo siguiente: </w:t>
      </w:r>
    </w:p>
    <w:p w:rsidR="00000000" w:rsidDel="00000000" w:rsidP="00000000" w:rsidRDefault="00000000" w:rsidRPr="00000000" w14:paraId="000001F6">
      <w:pPr>
        <w:tabs>
          <w:tab w:val="left" w:pos="709"/>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Relación de proveedores que prestaron servicios al Organismo del 01 de enero al 31 de enero del 2022.</w:t>
      </w:r>
    </w:p>
    <w:p w:rsidR="00000000" w:rsidDel="00000000" w:rsidP="00000000" w:rsidRDefault="00000000" w:rsidRPr="00000000" w14:paraId="000001F7">
      <w:pPr>
        <w:tabs>
          <w:tab w:val="left" w:pos="709"/>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Procedimiento mediante el cual se adquirieron, arrendaron, suministraron bienes o prestaron servicios las empresas que, durante el período del 01 de enero al 15 de febrero del 2022, fungieron como proveedoras del Organismo.</w:t>
      </w:r>
    </w:p>
    <w:p w:rsidR="00000000" w:rsidDel="00000000" w:rsidP="00000000" w:rsidRDefault="00000000" w:rsidRPr="00000000" w14:paraId="000001F8">
      <w:pPr>
        <w:tabs>
          <w:tab w:val="left" w:pos="709"/>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Nombre del proveedor y gastos que se generaron en el periodo del 01 de enero al 15 de febrero del 2022, por concepto de:</w:t>
      </w:r>
    </w:p>
    <w:p w:rsidR="00000000" w:rsidDel="00000000" w:rsidP="00000000" w:rsidRDefault="00000000" w:rsidRPr="00000000" w14:paraId="000001F9">
      <w:pPr>
        <w:tabs>
          <w:tab w:val="left" w:pos="709"/>
        </w:tabs>
        <w:spacing w:after="240" w:before="240" w:line="360" w:lineRule="auto"/>
        <w:ind w:lef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Consumo de papelería.</w:t>
      </w:r>
    </w:p>
    <w:p w:rsidR="00000000" w:rsidDel="00000000" w:rsidP="00000000" w:rsidRDefault="00000000" w:rsidRPr="00000000" w14:paraId="000001FA">
      <w:pPr>
        <w:tabs>
          <w:tab w:val="left" w:pos="709"/>
        </w:tabs>
        <w:spacing w:after="240" w:before="240" w:line="360" w:lineRule="auto"/>
        <w:ind w:lef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Consumo de combustible.</w:t>
      </w:r>
    </w:p>
    <w:p w:rsidR="00000000" w:rsidDel="00000000" w:rsidP="00000000" w:rsidRDefault="00000000" w:rsidRPr="00000000" w14:paraId="000001FB">
      <w:pPr>
        <w:tabs>
          <w:tab w:val="left" w:pos="709"/>
        </w:tabs>
        <w:spacing w:after="240" w:before="240" w:line="360" w:lineRule="auto"/>
        <w:ind w:lef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Compra de material para reparación de fugas.</w:t>
      </w:r>
    </w:p>
    <w:p w:rsidR="00000000" w:rsidDel="00000000" w:rsidP="00000000" w:rsidRDefault="00000000" w:rsidRPr="00000000" w14:paraId="000001FC">
      <w:pPr>
        <w:tabs>
          <w:tab w:val="left" w:pos="709"/>
        </w:tabs>
        <w:spacing w:after="240" w:before="240" w:line="360" w:lineRule="auto"/>
        <w:ind w:lef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Compra de hipoclorito.</w:t>
      </w:r>
    </w:p>
    <w:p w:rsidR="00000000" w:rsidDel="00000000" w:rsidP="00000000" w:rsidRDefault="00000000" w:rsidRPr="00000000" w14:paraId="000001FD">
      <w:pPr>
        <w:tabs>
          <w:tab w:val="left" w:pos="709"/>
        </w:tabs>
        <w:spacing w:after="240" w:before="240" w:line="360" w:lineRule="auto"/>
        <w:ind w:lef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 Reparación de parque vehicular.</w:t>
      </w:r>
    </w:p>
    <w:p w:rsidR="00000000" w:rsidDel="00000000" w:rsidP="00000000" w:rsidRDefault="00000000" w:rsidRPr="00000000" w14:paraId="000001FE">
      <w:pPr>
        <w:spacing w:after="280" w:before="280" w:lineRule="auto"/>
        <w:ind w:left="360" w:right="4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mismo que igualmente hará de su conocimiento.</w:t>
      </w:r>
    </w:p>
    <w:p w:rsidR="00000000" w:rsidDel="00000000" w:rsidP="00000000" w:rsidRDefault="00000000" w:rsidRPr="00000000" w14:paraId="000001FF">
      <w:pPr>
        <w:spacing w:after="280" w:before="280" w:lineRule="auto"/>
        <w:ind w:left="360" w:right="4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En el supuesto que la información ordenada en alguno de los puntos no obre en los archivos del </w:t>
      </w:r>
      <w:r w:rsidDel="00000000" w:rsidR="00000000" w:rsidRPr="00000000">
        <w:rPr>
          <w:rFonts w:ascii="Palatino Linotype" w:cs="Palatino Linotype" w:eastAsia="Palatino Linotype" w:hAnsi="Palatino Linotype"/>
          <w:b w:val="1"/>
          <w:i w:val="1"/>
          <w:sz w:val="20"/>
          <w:szCs w:val="20"/>
          <w:rtl w:val="0"/>
        </w:rPr>
        <w:t xml:space="preserve">Sujeto Obligado, </w:t>
      </w:r>
      <w:r w:rsidDel="00000000" w:rsidR="00000000" w:rsidRPr="00000000">
        <w:rPr>
          <w:rFonts w:ascii="Palatino Linotype" w:cs="Palatino Linotype" w:eastAsia="Palatino Linotype" w:hAnsi="Palatino Linotype"/>
          <w:i w:val="1"/>
          <w:sz w:val="20"/>
          <w:szCs w:val="20"/>
          <w:rtl w:val="0"/>
        </w:rPr>
        <w:t xml:space="preserve">por no haberse generado en el periodo indicado deberá hacerlo del conocimiento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en términos del artículo 19, párrafo segundo de la Ley de Transparencia y Acceso a la Información Pública del Estado de México y Municipios.</w:t>
      </w:r>
    </w:p>
    <w:p w:rsidR="00000000" w:rsidDel="00000000" w:rsidP="00000000" w:rsidRDefault="00000000" w:rsidRPr="00000000" w14:paraId="0000020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2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202">
      <w:pPr>
        <w:spacing w:after="240" w:before="240" w:line="360" w:lineRule="auto"/>
        <w:jc w:val="both"/>
        <w:rPr>
          <w:rFonts w:ascii="Palatino Linotype" w:cs="Palatino Linotype" w:eastAsia="Palatino Linotype" w:hAnsi="Palatino Linotype"/>
        </w:rPr>
      </w:pPr>
      <w:bookmarkStart w:colFirst="0" w:colLast="0" w:name="_heading=h.3znysh7" w:id="8"/>
      <w:bookmarkEnd w:id="8"/>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20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TRIGÉSIMO CUARTA SESIÓN ORDINARIA CELEBRADA EL VEINTIUNO DE SEPTIEMBRE DE DOS MIL VEINTIDÓS, ANTE EL SECRETARIO TÉCNICO DEL PLENO, ALEXIS TAPIA RAMÍREZ.</w:t>
      </w:r>
    </w:p>
    <w:p w:rsidR="00000000" w:rsidDel="00000000" w:rsidP="00000000" w:rsidRDefault="00000000" w:rsidRPr="00000000" w14:paraId="00000204">
      <w:pPr>
        <w:spacing w:after="240" w:before="240"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25400</wp:posOffset>
                </wp:positionV>
                <wp:extent cx="5540375" cy="1016000"/>
                <wp:effectExtent b="0" l="0" r="0" t="0"/>
                <wp:wrapNone/>
                <wp:docPr id="141" name=""/>
                <a:graphic>
                  <a:graphicData uri="http://schemas.microsoft.com/office/word/2010/wordprocessingShape">
                    <wps:wsp>
                      <wps:cNvCnPr/>
                      <wps:spPr>
                        <a:xfrm>
                          <a:off x="2588513" y="3284700"/>
                          <a:ext cx="5514975" cy="99060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25400</wp:posOffset>
                </wp:positionV>
                <wp:extent cx="5540375" cy="1016000"/>
                <wp:effectExtent b="0" l="0" r="0" t="0"/>
                <wp:wrapNone/>
                <wp:docPr id="141" name="image12.png"/>
                <a:graphic>
                  <a:graphicData uri="http://schemas.openxmlformats.org/drawingml/2006/picture">
                    <pic:pic>
                      <pic:nvPicPr>
                        <pic:cNvPr id="0" name="image12.png"/>
                        <pic:cNvPicPr preferRelativeResize="0"/>
                      </pic:nvPicPr>
                      <pic:blipFill>
                        <a:blip r:embed="rId28"/>
                        <a:srcRect/>
                        <a:stretch>
                          <a:fillRect/>
                        </a:stretch>
                      </pic:blipFill>
                      <pic:spPr>
                        <a:xfrm>
                          <a:off x="0" y="0"/>
                          <a:ext cx="5540375" cy="1016000"/>
                        </a:xfrm>
                        <a:prstGeom prst="rect"/>
                        <a:ln/>
                      </pic:spPr>
                    </pic:pic>
                  </a:graphicData>
                </a:graphic>
              </wp:anchor>
            </w:drawing>
          </mc:Fallback>
        </mc:AlternateContent>
      </w:r>
    </w:p>
    <w:p w:rsidR="00000000" w:rsidDel="00000000" w:rsidP="00000000" w:rsidRDefault="00000000" w:rsidRPr="00000000" w14:paraId="00000205">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6">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7">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08">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09">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0A">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0B">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0C">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0D">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0E">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0F">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10">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11">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12">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13">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14">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15">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16">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17">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sectPr>
      <w:headerReference r:id="rId29" w:type="default"/>
      <w:headerReference r:id="rId30" w:type="first"/>
      <w:footerReference r:id="rId31" w:type="default"/>
      <w:footerReference r:id="rId32"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A">
    <w:pPr>
      <w:pBdr>
        <w:top w:space="0" w:sz="0" w:val="nil"/>
        <w:left w:space="0" w:sz="0" w:val="nil"/>
        <w:bottom w:space="0" w:sz="0" w:val="nil"/>
        <w:right w:space="0" w:sz="0" w:val="nil"/>
        <w:between w:space="0" w:sz="0" w:val="nil"/>
      </w:pBdr>
      <w:tabs>
        <w:tab w:val="center" w:pos="4252"/>
        <w:tab w:val="right"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C">
    <w:pPr>
      <w:pBdr>
        <w:top w:space="0" w:sz="0" w:val="nil"/>
        <w:left w:space="0" w:sz="0" w:val="nil"/>
        <w:bottom w:space="0" w:sz="0" w:val="nil"/>
        <w:right w:space="0" w:sz="0" w:val="nil"/>
        <w:between w:space="0" w:sz="0" w:val="nil"/>
      </w:pBdr>
      <w:tabs>
        <w:tab w:val="center" w:pos="4252"/>
        <w:tab w:val="right"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tabs>
        <w:tab w:val="center" w:pos="4252"/>
        <w:tab w:val="right"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1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1">
    <w:p w:rsidR="00000000" w:rsidDel="00000000" w:rsidP="00000000" w:rsidRDefault="00000000" w:rsidRPr="00000000" w14:paraId="0000021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right" w:pos="0"/>
        </w:tabs>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Artículo 185. El Instituto resolverá el recurso de revisión conforme a lo siguiente: (…)</w:t>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right" w:pos="0"/>
        </w:tabs>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3">
    <w:p w:rsidR="00000000" w:rsidDel="00000000" w:rsidP="00000000" w:rsidRDefault="00000000" w:rsidRPr="00000000" w14:paraId="0000021C">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https://drive.google.com/file/d/1xKXmLvdHfE9FrZ1NrSvPLTwnyXxqUAxV/view</w:t>
      </w:r>
    </w:p>
  </w:footnote>
  <w:footnote w:id="4">
    <w:p w:rsidR="00000000" w:rsidDel="00000000" w:rsidP="00000000" w:rsidRDefault="00000000" w:rsidRPr="00000000" w14:paraId="0000021D">
      <w:pPr>
        <w:jc w:val="both"/>
        <w:rPr>
          <w:rFonts w:ascii="Palatino Linotype" w:cs="Palatino Linotype" w:eastAsia="Palatino Linotype" w:hAnsi="Palatino Linotype"/>
          <w:i w:val="1"/>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w:t>
      </w:r>
      <w:r w:rsidDel="00000000" w:rsidR="00000000" w:rsidRPr="00000000">
        <w:rPr>
          <w:rFonts w:ascii="Palatino Linotype" w:cs="Palatino Linotype" w:eastAsia="Palatino Linotype" w:hAnsi="Palatino Linotype"/>
          <w:b w:val="1"/>
          <w:i w:val="1"/>
          <w:sz w:val="16"/>
          <w:szCs w:val="16"/>
          <w:rtl w:val="0"/>
        </w:rPr>
        <w:t xml:space="preserve">Artículo 59.</w:t>
      </w:r>
      <w:r w:rsidDel="00000000" w:rsidR="00000000" w:rsidRPr="00000000">
        <w:rPr>
          <w:rFonts w:ascii="Palatino Linotype" w:cs="Palatino Linotype" w:eastAsia="Palatino Linotype" w:hAnsi="Palatino Linotype"/>
          <w:i w:val="1"/>
          <w:sz w:val="16"/>
          <w:szCs w:val="16"/>
          <w:rtl w:val="0"/>
        </w:rPr>
        <w:t xml:space="preserve"> Los servidores públicos habilitados tendrán las funciones siguientes:</w:t>
      </w:r>
    </w:p>
    <w:p w:rsidR="00000000" w:rsidDel="00000000" w:rsidP="00000000" w:rsidRDefault="00000000" w:rsidRPr="00000000" w14:paraId="0000021E">
      <w:pPr>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b w:val="1"/>
          <w:i w:val="1"/>
          <w:sz w:val="16"/>
          <w:szCs w:val="16"/>
          <w:rtl w:val="0"/>
        </w:rPr>
        <w:t xml:space="preserve">I.</w:t>
      </w:r>
      <w:r w:rsidDel="00000000" w:rsidR="00000000" w:rsidRPr="00000000">
        <w:rPr>
          <w:rFonts w:ascii="Palatino Linotype" w:cs="Palatino Linotype" w:eastAsia="Palatino Linotype" w:hAnsi="Palatino Linotype"/>
          <w:i w:val="1"/>
          <w:sz w:val="16"/>
          <w:szCs w:val="16"/>
          <w:rtl w:val="0"/>
        </w:rPr>
        <w:t xml:space="preserve"> Localizar la información que le solicite la Unidad de Transparencia;</w:t>
      </w:r>
    </w:p>
    <w:p w:rsidR="00000000" w:rsidDel="00000000" w:rsidP="00000000" w:rsidRDefault="00000000" w:rsidRPr="00000000" w14:paraId="0000021F">
      <w:pPr>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b w:val="1"/>
          <w:i w:val="1"/>
          <w:sz w:val="16"/>
          <w:szCs w:val="16"/>
          <w:rtl w:val="0"/>
        </w:rPr>
        <w:t xml:space="preserve">II.</w:t>
      </w:r>
      <w:r w:rsidDel="00000000" w:rsidR="00000000" w:rsidRPr="00000000">
        <w:rPr>
          <w:rFonts w:ascii="Palatino Linotype" w:cs="Palatino Linotype" w:eastAsia="Palatino Linotype" w:hAnsi="Palatino Linotype"/>
          <w:i w:val="1"/>
          <w:sz w:val="16"/>
          <w:szCs w:val="16"/>
          <w:rtl w:val="0"/>
        </w:rPr>
        <w:t xml:space="preserve"> Proporcionar la información que obre en los archivos y que le sea solicitada por la Unidad de Transparencia;</w:t>
      </w:r>
    </w:p>
    <w:p w:rsidR="00000000" w:rsidDel="00000000" w:rsidP="00000000" w:rsidRDefault="00000000" w:rsidRPr="00000000" w14:paraId="00000220">
      <w:pPr>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b w:val="1"/>
          <w:i w:val="1"/>
          <w:sz w:val="16"/>
          <w:szCs w:val="16"/>
          <w:rtl w:val="0"/>
        </w:rPr>
        <w:t xml:space="preserve">III.</w:t>
      </w:r>
      <w:r w:rsidDel="00000000" w:rsidR="00000000" w:rsidRPr="00000000">
        <w:rPr>
          <w:rFonts w:ascii="Palatino Linotype" w:cs="Palatino Linotype" w:eastAsia="Palatino Linotype" w:hAnsi="Palatino Linotype"/>
          <w:i w:val="1"/>
          <w:sz w:val="16"/>
          <w:szCs w:val="16"/>
          <w:rtl w:val="0"/>
        </w:rPr>
        <w:t xml:space="preserve"> Apoyar a la Unidad de Transparencia en lo que esta le solicite para el cumplimiento de sus funciones;</w:t>
      </w:r>
    </w:p>
    <w:p w:rsidR="00000000" w:rsidDel="00000000" w:rsidP="00000000" w:rsidRDefault="00000000" w:rsidRPr="00000000" w14:paraId="00000221">
      <w:pPr>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b w:val="1"/>
          <w:i w:val="1"/>
          <w:sz w:val="16"/>
          <w:szCs w:val="16"/>
          <w:rtl w:val="0"/>
        </w:rPr>
        <w:t xml:space="preserve">IV.</w:t>
      </w:r>
      <w:r w:rsidDel="00000000" w:rsidR="00000000" w:rsidRPr="00000000">
        <w:rPr>
          <w:rFonts w:ascii="Palatino Linotype" w:cs="Palatino Linotype" w:eastAsia="Palatino Linotype" w:hAnsi="Palatino Linotype"/>
          <w:i w:val="1"/>
          <w:sz w:val="16"/>
          <w:szCs w:val="16"/>
          <w:rtl w:val="0"/>
        </w:rPr>
        <w:t xml:space="preserve"> Proporcionar a la Unidad de Transparencia, las modificaciones a la información pública de oficio que obre en su poder;</w:t>
      </w:r>
    </w:p>
    <w:p w:rsidR="00000000" w:rsidDel="00000000" w:rsidP="00000000" w:rsidRDefault="00000000" w:rsidRPr="00000000" w14:paraId="00000222">
      <w:pPr>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b w:val="1"/>
          <w:i w:val="1"/>
          <w:sz w:val="16"/>
          <w:szCs w:val="16"/>
          <w:rtl w:val="0"/>
        </w:rPr>
        <w:t xml:space="preserve">V.</w:t>
      </w:r>
      <w:r w:rsidDel="00000000" w:rsidR="00000000" w:rsidRPr="00000000">
        <w:rPr>
          <w:rFonts w:ascii="Palatino Linotype" w:cs="Palatino Linotype" w:eastAsia="Palatino Linotype" w:hAnsi="Palatino Linotype"/>
          <w:i w:val="1"/>
          <w:sz w:val="16"/>
          <w:szCs w:val="16"/>
          <w:rtl w:val="0"/>
        </w:rPr>
        <w:t xml:space="preserve"> 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223">
      <w:pPr>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b w:val="1"/>
          <w:i w:val="1"/>
          <w:sz w:val="16"/>
          <w:szCs w:val="16"/>
          <w:rtl w:val="0"/>
        </w:rPr>
        <w:t xml:space="preserve">VI.</w:t>
      </w:r>
      <w:r w:rsidDel="00000000" w:rsidR="00000000" w:rsidRPr="00000000">
        <w:rPr>
          <w:rFonts w:ascii="Palatino Linotype" w:cs="Palatino Linotype" w:eastAsia="Palatino Linotype" w:hAnsi="Palatino Linotype"/>
          <w:i w:val="1"/>
          <w:sz w:val="16"/>
          <w:szCs w:val="16"/>
          <w:rtl w:val="0"/>
        </w:rPr>
        <w:t xml:space="preserve"> Verificar, una vez analizado el contenido de la información, que no se encuentre en los supuestos de información clasificada; y</w:t>
      </w:r>
    </w:p>
    <w:p w:rsidR="00000000" w:rsidDel="00000000" w:rsidP="00000000" w:rsidRDefault="00000000" w:rsidRPr="00000000" w14:paraId="00000224">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i w:val="1"/>
          <w:sz w:val="16"/>
          <w:szCs w:val="16"/>
          <w:rtl w:val="0"/>
        </w:rPr>
        <w:t xml:space="preserve">VII.</w:t>
      </w:r>
      <w:r w:rsidDel="00000000" w:rsidR="00000000" w:rsidRPr="00000000">
        <w:rPr>
          <w:rFonts w:ascii="Palatino Linotype" w:cs="Palatino Linotype" w:eastAsia="Palatino Linotype" w:hAnsi="Palatino Linotype"/>
          <w:i w:val="1"/>
          <w:sz w:val="16"/>
          <w:szCs w:val="16"/>
          <w:rtl w:val="0"/>
        </w:rPr>
        <w:t xml:space="preserve"> Dar cuenta a la Unidad de Transparencia del vencimiento de los plazos de reserva.</w:t>
      </w:r>
      <w:r w:rsidDel="00000000" w:rsidR="00000000" w:rsidRPr="00000000">
        <w:rPr>
          <w:rtl w:val="0"/>
        </w:rPr>
      </w:r>
    </w:p>
  </w:footnote>
  <w:footnote w:id="5">
    <w:p w:rsidR="00000000" w:rsidDel="00000000" w:rsidP="00000000" w:rsidRDefault="00000000" w:rsidRPr="00000000" w14:paraId="0000022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Consultable en:  </w:t>
      </w:r>
      <w:hyperlink r:id="rId1">
        <w:r w:rsidDel="00000000" w:rsidR="00000000" w:rsidRPr="00000000">
          <w:rPr>
            <w:rFonts w:ascii="Palatino Linotype" w:cs="Palatino Linotype" w:eastAsia="Palatino Linotype" w:hAnsi="Palatino Linotype"/>
            <w:color w:val="0000ff"/>
            <w:sz w:val="16"/>
            <w:szCs w:val="16"/>
            <w:u w:val="single"/>
            <w:rtl w:val="0"/>
          </w:rPr>
          <w:t xml:space="preserve">https://www.indetec.gob.mx/delivery?srv=0&amp;sl=3&amp;path=/biblioteca/Especiales/386_Glosario_Terminos_Proceso_Planeacion.pdf</w:t>
        </w:r>
      </w:hyperlink>
      <w:r w:rsidDel="00000000" w:rsidR="00000000" w:rsidRPr="00000000">
        <w:rPr>
          <w:rFonts w:ascii="Palatino Linotype" w:cs="Palatino Linotype" w:eastAsia="Palatino Linotype" w:hAnsi="Palatino Linotype"/>
          <w:color w:val="000000"/>
          <w:sz w:val="16"/>
          <w:szCs w:val="16"/>
          <w:rtl w:val="0"/>
        </w:rPr>
        <w:t xml:space="preserve"> </w:t>
      </w:r>
    </w:p>
  </w:footnote>
  <w:footnote w:id="6">
    <w:p w:rsidR="00000000" w:rsidDel="00000000" w:rsidP="00000000" w:rsidRDefault="00000000" w:rsidRPr="00000000" w14:paraId="0000022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19...</w:t>
      </w:r>
    </w:p>
    <w:p w:rsidR="00000000" w:rsidDel="00000000" w:rsidP="00000000" w:rsidRDefault="00000000" w:rsidRPr="00000000" w14:paraId="0000022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En los casos en que ciertas facultades, competencias o funciones no se hayan ejercido, se debe motivar la respuesta en función de las causas que motiven tal circunstancia.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i w:val="1"/>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-1090290</wp:posOffset>
          </wp:positionH>
          <wp:positionV relativeFrom="paragraph">
            <wp:posOffset>46990</wp:posOffset>
          </wp:positionV>
          <wp:extent cx="7809865" cy="10165715"/>
          <wp:effectExtent b="0" l="0" r="0" t="0"/>
          <wp:wrapNone/>
          <wp:docPr id="142"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6"/>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22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2A">
          <w:pPr>
            <w:tabs>
              <w:tab w:val="left"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05604/INFOEM/IP/RR/2022 y acumulados</w:t>
          </w:r>
        </w:p>
      </w:tc>
    </w:tr>
    <w:tr>
      <w:trPr>
        <w:cantSplit w:val="0"/>
        <w:trHeight w:val="130" w:hRule="atLeast"/>
        <w:tblHeader w:val="0"/>
      </w:trPr>
      <w:tc>
        <w:tcPr>
          <w:shd w:fill="auto" w:val="clear"/>
          <w:vAlign w:val="center"/>
        </w:tcPr>
        <w:p w:rsidR="00000000" w:rsidDel="00000000" w:rsidP="00000000" w:rsidRDefault="00000000" w:rsidRPr="00000000" w14:paraId="0000022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22C">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XXXXX XXXXX</w:t>
          </w:r>
        </w:p>
      </w:tc>
    </w:tr>
    <w:tr>
      <w:trPr>
        <w:cantSplit w:val="0"/>
        <w:trHeight w:val="228" w:hRule="atLeast"/>
        <w:tblHeader w:val="0"/>
      </w:trPr>
      <w:tc>
        <w:tcPr>
          <w:shd w:fill="auto" w:val="clear"/>
          <w:vAlign w:val="center"/>
        </w:tcPr>
        <w:p w:rsidR="00000000" w:rsidDel="00000000" w:rsidP="00000000" w:rsidRDefault="00000000" w:rsidRPr="00000000" w14:paraId="0000022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2E">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Organismo Público Descentralizado de Agua Potable Alcantarillado y Saneamiento de Chimalhuacán</w:t>
          </w:r>
        </w:p>
      </w:tc>
    </w:tr>
    <w:tr>
      <w:trPr>
        <w:cantSplit w:val="0"/>
        <w:tblHeader w:val="0"/>
      </w:trPr>
      <w:tc>
        <w:tcPr>
          <w:shd w:fill="auto" w:val="clear"/>
          <w:vAlign w:val="center"/>
        </w:tcPr>
        <w:p w:rsidR="00000000" w:rsidDel="00000000" w:rsidP="00000000" w:rsidRDefault="00000000" w:rsidRPr="00000000" w14:paraId="0000022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30">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31">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2">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-1079495</wp:posOffset>
          </wp:positionH>
          <wp:positionV relativeFrom="paragraph">
            <wp:posOffset>-230499</wp:posOffset>
          </wp:positionV>
          <wp:extent cx="7809865" cy="10165715"/>
          <wp:effectExtent b="0" l="0" r="0" t="0"/>
          <wp:wrapNone/>
          <wp:docPr id="151"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7"/>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23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34">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05604/INFOEM/IP/RR/2022 y acumulados</w:t>
          </w:r>
        </w:p>
      </w:tc>
    </w:tr>
    <w:tr>
      <w:trPr>
        <w:cantSplit w:val="0"/>
        <w:trHeight w:val="228" w:hRule="atLeast"/>
        <w:tblHeader w:val="0"/>
      </w:trPr>
      <w:tc>
        <w:tcPr>
          <w:shd w:fill="auto" w:val="clear"/>
          <w:vAlign w:val="center"/>
        </w:tcPr>
        <w:p w:rsidR="00000000" w:rsidDel="00000000" w:rsidP="00000000" w:rsidRDefault="00000000" w:rsidRPr="00000000" w14:paraId="0000023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36">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Organismo Público Descentralizado de Agua Potable Alcantarillado y Saneamiento de Chimalhuacán</w:t>
          </w:r>
        </w:p>
      </w:tc>
    </w:tr>
    <w:tr>
      <w:trPr>
        <w:cantSplit w:val="0"/>
        <w:tblHeader w:val="0"/>
      </w:trPr>
      <w:tc>
        <w:tcPr>
          <w:shd w:fill="auto" w:val="clear"/>
          <w:vAlign w:val="center"/>
        </w:tcPr>
        <w:p w:rsidR="00000000" w:rsidDel="00000000" w:rsidP="00000000" w:rsidRDefault="00000000" w:rsidRPr="00000000" w14:paraId="00000237">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38">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39">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26" w:customStyle="1">
    <w:name w:val="26"/>
    <w:basedOn w:val="TableNormal1"/>
    <w:tblPr>
      <w:tblStyleRowBandSize w:val="1"/>
      <w:tblStyleColBandSize w:val="1"/>
      <w:tblCellMar>
        <w:top w:w="0.0" w:type="dxa"/>
        <w:left w:w="108.0" w:type="dxa"/>
        <w:bottom w:w="0.0" w:type="dxa"/>
        <w:right w:w="108.0" w:type="dxa"/>
      </w:tblCellMar>
    </w:tblPr>
  </w:style>
  <w:style w:type="table" w:styleId="25" w:customStyle="1">
    <w:name w:val="25"/>
    <w:basedOn w:val="TableNormal1"/>
    <w:tblPr>
      <w:tblStyleRowBandSize w:val="1"/>
      <w:tblStyleColBandSize w:val="1"/>
      <w:tblCellMar>
        <w:top w:w="0.0" w:type="dxa"/>
        <w:left w:w="108.0" w:type="dxa"/>
        <w:bottom w:w="0.0" w:type="dxa"/>
        <w:right w:w="108.0" w:type="dxa"/>
      </w:tblCellMar>
    </w:tblPr>
  </w:style>
  <w:style w:type="table" w:styleId="24" w:customStyle="1">
    <w:name w:val="24"/>
    <w:basedOn w:val="TableNormal1"/>
    <w:tblPr>
      <w:tblStyleRowBandSize w:val="1"/>
      <w:tblStyleColBandSize w:val="1"/>
      <w:tblCellMar>
        <w:top w:w="0.0" w:type="dxa"/>
        <w:left w:w="108.0" w:type="dxa"/>
        <w:bottom w:w="0.0" w:type="dxa"/>
        <w:right w:w="108.0" w:type="dxa"/>
      </w:tblCellMar>
    </w:tblPr>
  </w:style>
  <w:style w:type="table" w:styleId="23" w:customStyle="1">
    <w:name w:val="23"/>
    <w:basedOn w:val="TableNormal1"/>
    <w:tblPr>
      <w:tblStyleRowBandSize w:val="1"/>
      <w:tblStyleColBandSize w:val="1"/>
      <w:tblCellMar>
        <w:top w:w="0.0" w:type="dxa"/>
        <w:left w:w="115.0" w:type="dxa"/>
        <w:bottom w:w="0.0" w:type="dxa"/>
        <w:right w:w="115.0" w:type="dxa"/>
      </w:tblCellMar>
    </w:tblPr>
  </w:style>
  <w:style w:type="table" w:styleId="22" w:customStyle="1">
    <w:name w:val="22"/>
    <w:basedOn w:val="TableNormal1"/>
    <w:tblPr>
      <w:tblStyleRowBandSize w:val="1"/>
      <w:tblStyleColBandSize w:val="1"/>
      <w:tblCellMar>
        <w:top w:w="0.0" w:type="dxa"/>
        <w:left w:w="115.0" w:type="dxa"/>
        <w:bottom w:w="0.0" w:type="dxa"/>
        <w:right w:w="115.0" w:type="dxa"/>
      </w:tblCellMar>
    </w:tblPr>
  </w:style>
  <w:style w:type="character" w:styleId="Mencinsinresolver3" w:customStyle="1">
    <w:name w:val="Mención sin resolver3"/>
    <w:basedOn w:val="Fuentedeprrafopredeter"/>
    <w:uiPriority w:val="99"/>
    <w:semiHidden w:val="1"/>
    <w:unhideWhenUsed w:val="1"/>
    <w:rsid w:val="009A5443"/>
    <w:rPr>
      <w:color w:val="605e5c"/>
      <w:shd w:color="auto" w:fill="e1dfdd" w:val="clear"/>
    </w:rPr>
  </w:style>
  <w:style w:type="table" w:styleId="21" w:customStyle="1">
    <w:name w:val="21"/>
    <w:basedOn w:val="TableNormal1"/>
    <w:tblPr>
      <w:tblStyleRowBandSize w:val="1"/>
      <w:tblStyleColBandSize w:val="1"/>
      <w:tblCellMar>
        <w:top w:w="0.0" w:type="dxa"/>
        <w:left w:w="115.0" w:type="dxa"/>
        <w:bottom w:w="0.0" w:type="dxa"/>
        <w:right w:w="115.0" w:type="dxa"/>
      </w:tblCellMar>
    </w:tblPr>
  </w:style>
  <w:style w:type="table" w:styleId="20" w:customStyle="1">
    <w:name w:val="20"/>
    <w:basedOn w:val="TableNormal1"/>
    <w:tblPr>
      <w:tblStyleRowBandSize w:val="1"/>
      <w:tblStyleColBandSize w:val="1"/>
      <w:tblCellMar>
        <w:top w:w="0.0" w:type="dxa"/>
        <w:left w:w="115.0" w:type="dxa"/>
        <w:bottom w:w="0.0" w:type="dxa"/>
        <w:right w:w="115.0" w:type="dxa"/>
      </w:tblCellMar>
    </w:tblPr>
  </w:style>
  <w:style w:type="table" w:styleId="19" w:customStyle="1">
    <w:name w:val="19"/>
    <w:basedOn w:val="TableNormal1"/>
    <w:tblPr>
      <w:tblStyleRowBandSize w:val="1"/>
      <w:tblStyleColBandSize w:val="1"/>
      <w:tblCellMar>
        <w:top w:w="0.0" w:type="dxa"/>
        <w:left w:w="115.0" w:type="dxa"/>
        <w:bottom w:w="0.0" w:type="dxa"/>
        <w:right w:w="115.0" w:type="dxa"/>
      </w:tblCellMar>
    </w:tblPr>
  </w:style>
  <w:style w:type="table" w:styleId="18" w:customStyle="1">
    <w:name w:val="18"/>
    <w:basedOn w:val="TableNormal1"/>
    <w:tblPr>
      <w:tblStyleRowBandSize w:val="1"/>
      <w:tblStyleColBandSize w:val="1"/>
      <w:tblCellMar>
        <w:top w:w="0.0" w:type="dxa"/>
        <w:left w:w="115.0" w:type="dxa"/>
        <w:bottom w:w="0.0" w:type="dxa"/>
        <w:right w:w="115.0" w:type="dxa"/>
      </w:tblCellMar>
    </w:tblPr>
  </w:style>
  <w:style w:type="table" w:styleId="17" w:customStyle="1">
    <w:name w:val="17"/>
    <w:basedOn w:val="TableNormal1"/>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6" w:customStyle="1">
    <w:name w:val="16"/>
    <w:basedOn w:val="TableNormal1"/>
    <w:tblPr>
      <w:tblStyleRowBandSize w:val="1"/>
      <w:tblStyleColBandSize w:val="1"/>
      <w:tblCellMar>
        <w:top w:w="0.0" w:type="dxa"/>
        <w:left w:w="115.0" w:type="dxa"/>
        <w:bottom w:w="0.0" w:type="dxa"/>
        <w:right w:w="115.0" w:type="dxa"/>
      </w:tblCellMar>
    </w:tblPr>
  </w:style>
  <w:style w:type="table" w:styleId="15" w:customStyle="1">
    <w:name w:val="15"/>
    <w:basedOn w:val="TableNormal1"/>
    <w:tblPr>
      <w:tblStyleRowBandSize w:val="1"/>
      <w:tblStyleColBandSize w:val="1"/>
      <w:tblCellMar>
        <w:top w:w="0.0" w:type="dxa"/>
        <w:left w:w="115.0" w:type="dxa"/>
        <w:bottom w:w="0.0" w:type="dxa"/>
        <w:right w:w="115.0" w:type="dxa"/>
      </w:tblCellMar>
    </w:tblPr>
  </w:style>
  <w:style w:type="table" w:styleId="14" w:customStyle="1">
    <w:name w:val="14"/>
    <w:basedOn w:val="TableNormal2"/>
    <w:tblPr>
      <w:tblStyleRowBandSize w:val="1"/>
      <w:tblStyleColBandSize w:val="1"/>
      <w:tblCellMar>
        <w:top w:w="0.0" w:type="dxa"/>
        <w:left w:w="115.0" w:type="dxa"/>
        <w:bottom w:w="0.0" w:type="dxa"/>
        <w:right w:w="115.0" w:type="dxa"/>
      </w:tblCellMar>
    </w:tblPr>
  </w:style>
  <w:style w:type="table" w:styleId="13" w:customStyle="1">
    <w:name w:val="13"/>
    <w:basedOn w:val="TableNormal2"/>
    <w:tblPr>
      <w:tblStyleRowBandSize w:val="1"/>
      <w:tblStyleColBandSize w:val="1"/>
      <w:tblCellMar>
        <w:top w:w="0.0" w:type="dxa"/>
        <w:left w:w="115.0" w:type="dxa"/>
        <w:bottom w:w="0.0" w:type="dxa"/>
        <w:right w:w="115.0" w:type="dxa"/>
      </w:tblCellMar>
    </w:tblPr>
  </w:style>
  <w:style w:type="table" w:styleId="12" w:customStyle="1">
    <w:name w:val="12"/>
    <w:basedOn w:val="TableNormal2"/>
    <w:tblPr>
      <w:tblStyleRowBandSize w:val="1"/>
      <w:tblStyleColBandSize w:val="1"/>
      <w:tblCellMar>
        <w:top w:w="0.0" w:type="dxa"/>
        <w:left w:w="115.0" w:type="dxa"/>
        <w:bottom w:w="0.0" w:type="dxa"/>
        <w:right w:w="115.0" w:type="dxa"/>
      </w:tblCellMar>
    </w:tblPr>
  </w:style>
  <w:style w:type="table" w:styleId="11" w:customStyle="1">
    <w:name w:val="11"/>
    <w:basedOn w:val="TableNormal2"/>
    <w:tblPr>
      <w:tblStyleRowBandSize w:val="1"/>
      <w:tblStyleColBandSize w:val="1"/>
      <w:tblCellMar>
        <w:top w:w="0.0" w:type="dxa"/>
        <w:left w:w="115.0" w:type="dxa"/>
        <w:bottom w:w="0.0" w:type="dxa"/>
        <w:right w:w="115.0" w:type="dxa"/>
      </w:tblCellMar>
    </w:tblPr>
  </w:style>
  <w:style w:type="table" w:styleId="10" w:customStyle="1">
    <w:name w:val="10"/>
    <w:basedOn w:val="TableNormal2"/>
    <w:tblPr>
      <w:tblStyleRowBandSize w:val="1"/>
      <w:tblStyleColBandSize w:val="1"/>
      <w:tblCellMar>
        <w:top w:w="0.0" w:type="dxa"/>
        <w:left w:w="115.0" w:type="dxa"/>
        <w:bottom w:w="0.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9" w:customStyle="1">
    <w:name w:val="9"/>
    <w:basedOn w:val="TableNormal2"/>
    <w:tblPr>
      <w:tblStyleRowBandSize w:val="1"/>
      <w:tblStyleColBandSize w:val="1"/>
      <w:tblCellMar>
        <w:top w:w="0.0" w:type="dxa"/>
        <w:left w:w="115.0" w:type="dxa"/>
        <w:bottom w:w="0.0" w:type="dxa"/>
        <w:right w:w="115.0" w:type="dxa"/>
      </w:tblCellMar>
    </w:tblPr>
  </w:style>
  <w:style w:type="table" w:styleId="8" w:customStyle="1">
    <w:name w:val="8"/>
    <w:basedOn w:val="TableNormal2"/>
    <w:tblPr>
      <w:tblStyleRowBandSize w:val="1"/>
      <w:tblStyleColBandSize w:val="1"/>
      <w:tblCellMar>
        <w:top w:w="0.0" w:type="dxa"/>
        <w:left w:w="115.0" w:type="dxa"/>
        <w:bottom w:w="0.0" w:type="dxa"/>
        <w:right w:w="115.0" w:type="dxa"/>
      </w:tblCellMar>
    </w:tblPr>
  </w:style>
  <w:style w:type="table" w:styleId="7" w:customStyle="1">
    <w:name w:val="7"/>
    <w:basedOn w:val="TableNormal3"/>
    <w:tblPr>
      <w:tblStyleRowBandSize w:val="1"/>
      <w:tblStyleColBandSize w:val="1"/>
      <w:tblCellMar>
        <w:top w:w="0.0" w:type="dxa"/>
        <w:left w:w="115.0" w:type="dxa"/>
        <w:bottom w:w="0.0" w:type="dxa"/>
        <w:right w:w="115.0" w:type="dxa"/>
      </w:tblCellMar>
    </w:tblPr>
  </w:style>
  <w:style w:type="table" w:styleId="6" w:customStyle="1">
    <w:name w:val="6"/>
    <w:basedOn w:val="TableNormal3"/>
    <w:tblPr>
      <w:tblStyleRowBandSize w:val="1"/>
      <w:tblStyleColBandSize w:val="1"/>
      <w:tblCellMar>
        <w:top w:w="0.0" w:type="dxa"/>
        <w:left w:w="115.0" w:type="dxa"/>
        <w:bottom w:w="0.0" w:type="dxa"/>
        <w:right w:w="115.0" w:type="dxa"/>
      </w:tblCellMar>
    </w:tblPr>
  </w:style>
  <w:style w:type="table" w:styleId="5" w:customStyle="1">
    <w:name w:val="5"/>
    <w:basedOn w:val="TableNormal3"/>
    <w:tblPr>
      <w:tblStyleRowBandSize w:val="1"/>
      <w:tblStyleColBandSize w:val="1"/>
      <w:tblCellMar>
        <w:top w:w="0.0" w:type="dxa"/>
        <w:left w:w="115.0" w:type="dxa"/>
        <w:bottom w:w="0.0" w:type="dxa"/>
        <w:right w:w="115.0" w:type="dxa"/>
      </w:tblCellMar>
    </w:tblPr>
  </w:style>
  <w:style w:type="table" w:styleId="4" w:customStyle="1">
    <w:name w:val="4"/>
    <w:basedOn w:val="TableNormal3"/>
    <w:tblPr>
      <w:tblStyleRowBandSize w:val="1"/>
      <w:tblStyleColBandSize w:val="1"/>
      <w:tblCellMar>
        <w:top w:w="0.0" w:type="dxa"/>
        <w:left w:w="115.0" w:type="dxa"/>
        <w:bottom w:w="0.0" w:type="dxa"/>
        <w:right w:w="115.0" w:type="dxa"/>
      </w:tblCellMar>
    </w:tblPr>
  </w:style>
  <w:style w:type="table" w:styleId="3" w:customStyle="1">
    <w:name w:val="3"/>
    <w:basedOn w:val="TableNormal3"/>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 w:customStyle="1">
    <w:name w:val="2"/>
    <w:basedOn w:val="TableNormal3"/>
    <w:tblPr>
      <w:tblStyleRowBandSize w:val="1"/>
      <w:tblStyleColBandSize w:val="1"/>
      <w:tblCellMar>
        <w:top w:w="0.0" w:type="dxa"/>
        <w:left w:w="115.0" w:type="dxa"/>
        <w:bottom w:w="0.0" w:type="dxa"/>
        <w:right w:w="115.0" w:type="dxa"/>
      </w:tblCellMar>
    </w:tblPr>
  </w:style>
  <w:style w:type="table" w:styleId="1" w:customStyle="1">
    <w:name w:val="1"/>
    <w:basedOn w:val="TableNormal3"/>
    <w:tblPr>
      <w:tblStyleRowBandSize w:val="1"/>
      <w:tblStyleColBandSize w:val="1"/>
      <w:tblCellMar>
        <w:top w:w="0.0" w:type="dxa"/>
        <w:left w:w="115.0" w:type="dxa"/>
        <w:bottom w:w="0.0" w:type="dxa"/>
        <w:right w:w="115.0" w:type="dxa"/>
      </w:tblCellMar>
    </w:tblPr>
  </w:style>
  <w:style w:type="table" w:styleId="a" w:customStyle="1">
    <w:basedOn w:val="TableNormal0"/>
    <w:tblPr>
      <w:tblStyleRowBandSize w:val="1"/>
      <w:tblStyleColBandSize w:val="1"/>
      <w:tblCellMar>
        <w:top w:w="0.0" w:type="dxa"/>
        <w:left w:w="115.0" w:type="dxa"/>
        <w:bottom w:w="0.0" w:type="dxa"/>
        <w:right w:w="115.0" w:type="dxa"/>
      </w:tblCellMar>
    </w:tblPr>
  </w:style>
  <w:style w:type="table" w:styleId="a0" w:customStyle="1">
    <w:basedOn w:val="TableNormal0"/>
    <w:tblPr>
      <w:tblStyleRowBandSize w:val="1"/>
      <w:tblStyleColBandSize w:val="1"/>
      <w:tblCellMar>
        <w:top w:w="0.0" w:type="dxa"/>
        <w:left w:w="115.0" w:type="dxa"/>
        <w:bottom w:w="0.0" w:type="dxa"/>
        <w:right w:w="115.0" w:type="dxa"/>
      </w:tblCellMar>
    </w:tblPr>
  </w:style>
  <w:style w:type="table" w:styleId="a2" w:customStyle="1">
    <w:basedOn w:val="TableNormal0"/>
    <w:tblPr>
      <w:tblStyleRowBandSize w:val="1"/>
      <w:tblStyleColBandSize w:val="1"/>
      <w:tblCellMar>
        <w:top w:w="0.0" w:type="dxa"/>
        <w:left w:w="115.0" w:type="dxa"/>
        <w:bottom w:w="0.0" w:type="dxa"/>
        <w:right w:w="115.0" w:type="dxa"/>
      </w:tblCellMar>
    </w:tblPr>
  </w:style>
  <w:style w:type="table" w:styleId="a3" w:customStyle="1">
    <w:basedOn w:val="TableNormal0"/>
    <w:tblPr>
      <w:tblStyleRowBandSize w:val="1"/>
      <w:tblStyleColBandSize w:val="1"/>
      <w:tblCellMar>
        <w:top w:w="0.0" w:type="dxa"/>
        <w:left w:w="115.0" w:type="dxa"/>
        <w:bottom w:w="0.0" w:type="dxa"/>
        <w:right w:w="115.0" w:type="dxa"/>
      </w:tblCellMar>
    </w:tblPr>
  </w:style>
  <w:style w:type="table" w:styleId="a4" w:customStyle="1">
    <w:basedOn w:val="TableNormal0"/>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5" w:customStyle="1">
    <w:basedOn w:val="TableNormal0"/>
    <w:tblPr>
      <w:tblStyleRowBandSize w:val="1"/>
      <w:tblStyleColBandSize w:val="1"/>
      <w:tblCellMar>
        <w:top w:w="0.0" w:type="dxa"/>
        <w:left w:w="115.0" w:type="dxa"/>
        <w:bottom w:w="0.0" w:type="dxa"/>
        <w:right w:w="115.0" w:type="dxa"/>
      </w:tblCellMar>
    </w:tblPr>
  </w:style>
  <w:style w:type="table" w:styleId="a6"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4" w:val="single"/>
        </w:tcBorders>
      </w:tcPr>
    </w:tblStylePr>
    <w:tblStylePr w:type="lastCol">
      <w:rPr>
        <w:b w:val="1"/>
      </w:rPr>
    </w:tblStylePr>
    <w:tblStylePr w:type="lastRow">
      <w:rPr>
        <w:b w:val="1"/>
      </w:rPr>
      <w:tcPr>
        <w:tcBorders>
          <w:top w:color="95b3d7" w:space="0" w:sz="4" w:val="single"/>
        </w:tcBorders>
      </w:tcPr>
    </w:tblStyle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8.png"/><Relationship Id="rId21" Type="http://schemas.openxmlformats.org/officeDocument/2006/relationships/image" Target="media/image1.png"/><Relationship Id="rId24" Type="http://schemas.openxmlformats.org/officeDocument/2006/relationships/image" Target="media/image20.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image" Target="media/image11.png"/><Relationship Id="rId25" Type="http://schemas.openxmlformats.org/officeDocument/2006/relationships/image" Target="media/image22.png"/><Relationship Id="rId28" Type="http://schemas.openxmlformats.org/officeDocument/2006/relationships/image" Target="media/image12.png"/><Relationship Id="rId27" Type="http://schemas.openxmlformats.org/officeDocument/2006/relationships/image" Target="media/image17.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image" Target="media/image13.png"/><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image" Target="media/image10.png"/><Relationship Id="rId10" Type="http://schemas.openxmlformats.org/officeDocument/2006/relationships/image" Target="media/image19.png"/><Relationship Id="rId32" Type="http://schemas.openxmlformats.org/officeDocument/2006/relationships/footer" Target="footer1.xml"/><Relationship Id="rId13" Type="http://schemas.openxmlformats.org/officeDocument/2006/relationships/image" Target="media/image8.png"/><Relationship Id="rId12" Type="http://schemas.openxmlformats.org/officeDocument/2006/relationships/image" Target="media/image5.png"/><Relationship Id="rId15" Type="http://schemas.openxmlformats.org/officeDocument/2006/relationships/image" Target="media/image15.png"/><Relationship Id="rId14" Type="http://schemas.openxmlformats.org/officeDocument/2006/relationships/image" Target="media/image6.png"/><Relationship Id="rId17" Type="http://schemas.openxmlformats.org/officeDocument/2006/relationships/image" Target="media/image16.png"/><Relationship Id="rId16" Type="http://schemas.openxmlformats.org/officeDocument/2006/relationships/image" Target="media/image14.png"/><Relationship Id="rId19" Type="http://schemas.openxmlformats.org/officeDocument/2006/relationships/image" Target="media/image3.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eyel+2dBt0FlcVUII7p4wOx8mQ==">AMUW2mXHuTxRWaUpniMEs1nGX/jZO3IFI5R2rIByUiVKjuCyFTjc9raANTdYWITTs26Y66ZGQdjc2ux41UPLCRpMArPFi0Hz8SodTTzuaQ9m0ca7CK0S0RQJF71SJ0M2K47j+aVaLo3fEAXWkPqZpsGZyjS+ZL6z9YHTl2NDUNjs2arW6pJ4dqn9q7bBg1BtWXuQnrl4m8GNyN9/8VFKuaB8PjkKN5iWuCFzPSLmvtbQkATNzvEM55A=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2022-09-30T19:06:00Z</dcterms:created>
  <dc:creator>iMac</dc:creator>
</cp:coreProperties>
</file>