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9C" w:rsidRDefault="00253C38">
      <w:pPr>
        <w:spacing w:before="120" w:after="12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diecinueve de enero de dos mil veintidós.</w:t>
      </w:r>
    </w:p>
    <w:p w:rsidR="00D2449C" w:rsidRDefault="00253C38">
      <w:pPr>
        <w:spacing w:before="120" w:after="12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05839/INFOEM/IP/RR/2021</w:t>
      </w:r>
      <w:r>
        <w:rPr>
          <w:rFonts w:ascii="Palatino Linotype" w:eastAsia="Palatino Linotype" w:hAnsi="Palatino Linotype" w:cs="Palatino Linotype"/>
          <w:sz w:val="24"/>
          <w:szCs w:val="24"/>
        </w:rPr>
        <w:t>, interpuesto por</w:t>
      </w:r>
      <w:r>
        <w:rPr>
          <w:rFonts w:ascii="Palatino Linotype" w:eastAsia="Palatino Linotype" w:hAnsi="Palatino Linotype" w:cs="Palatino Linotype"/>
          <w:b/>
          <w:color w:val="000000"/>
          <w:sz w:val="24"/>
          <w:szCs w:val="24"/>
        </w:rPr>
        <w:t xml:space="preserve"> XXXXXX XXXXXXX XXXXXXXX.</w:t>
      </w:r>
      <w:r>
        <w:rPr>
          <w:rFonts w:ascii="Palatino Linotype" w:eastAsia="Palatino Linotype" w:hAnsi="Palatino Linotype" w:cs="Palatino Linotype"/>
          <w:sz w:val="24"/>
          <w:szCs w:val="24"/>
        </w:rPr>
        <w:t xml:space="preserve">,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 a la solicitud de información con número de folio </w:t>
      </w:r>
      <w:r>
        <w:rPr>
          <w:rFonts w:ascii="Verdana" w:eastAsia="Verdana" w:hAnsi="Verdana" w:cs="Verdana"/>
          <w:b/>
          <w:color w:val="FF0000"/>
        </w:rPr>
        <w:t>  </w:t>
      </w:r>
      <w:r>
        <w:rPr>
          <w:rFonts w:ascii="Palatino Linotype" w:eastAsia="Palatino Linotype" w:hAnsi="Palatino Linotype" w:cs="Palatino Linotype"/>
          <w:b/>
          <w:color w:val="000000"/>
          <w:sz w:val="24"/>
          <w:szCs w:val="24"/>
        </w:rPr>
        <w:t>00503/ATIZARA/IP/2021</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 </w:t>
      </w:r>
      <w:r>
        <w:rPr>
          <w:rFonts w:ascii="Palatino Linotype" w:eastAsia="Palatino Linotype" w:hAnsi="Palatino Linotype" w:cs="Palatino Linotype"/>
          <w:b/>
          <w:sz w:val="24"/>
          <w:szCs w:val="24"/>
        </w:rPr>
        <w:t>Ayuntamiento de Atizapán de Zaragoza</w:t>
      </w:r>
      <w:r>
        <w:rPr>
          <w:rFonts w:ascii="Palatino Linotype" w:eastAsia="Palatino Linotype" w:hAnsi="Palatino Linotype" w:cs="Palatino Linotype"/>
          <w:sz w:val="24"/>
          <w:szCs w:val="24"/>
        </w:rPr>
        <w:t>, en lo sucesivo</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 xml:space="preserve">se procede a dictar la presente resolución, con base en lo siguiente. </w:t>
      </w:r>
    </w:p>
    <w:p w:rsidR="00D2449C" w:rsidRDefault="00253C38">
      <w:pPr>
        <w:spacing w:before="240" w:after="240" w:line="360" w:lineRule="auto"/>
        <w:ind w:right="49"/>
        <w:jc w:val="center"/>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AN T E C E D E N T E S   </w:t>
      </w:r>
    </w:p>
    <w:p w:rsidR="00D2449C" w:rsidRDefault="00253C38">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DE LA SOLICITUD DE INFORMACIÓN.</w:t>
      </w:r>
    </w:p>
    <w:p w:rsidR="00D2449C" w:rsidRDefault="00253C38">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fecha once de octubre de dos mil veintiuno,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Palatino Linotype" w:eastAsia="Palatino Linotype" w:hAnsi="Palatino Linotype" w:cs="Palatino Linotype"/>
          <w:b/>
          <w:sz w:val="24"/>
          <w:szCs w:val="24"/>
        </w:rPr>
        <w:t xml:space="preserve"> </w:t>
      </w:r>
      <w:r>
        <w:rPr>
          <w:rFonts w:ascii="Verdana" w:eastAsia="Verdana" w:hAnsi="Verdana" w:cs="Verdana"/>
          <w:b/>
          <w:color w:val="FF0000"/>
        </w:rPr>
        <w:t> </w:t>
      </w:r>
      <w:r>
        <w:rPr>
          <w:rFonts w:ascii="Palatino Linotype" w:eastAsia="Palatino Linotype" w:hAnsi="Palatino Linotype" w:cs="Palatino Linotype"/>
          <w:b/>
          <w:color w:val="000000"/>
          <w:sz w:val="24"/>
          <w:szCs w:val="24"/>
        </w:rPr>
        <w:t>00503/ATIZARA/IP/2021</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información en el tenor siguiente:</w:t>
      </w:r>
    </w:p>
    <w:p w:rsidR="00D2449C" w:rsidRDefault="00253C38">
      <w:pPr>
        <w:spacing w:before="120" w:after="120" w:line="360" w:lineRule="auto"/>
        <w:ind w:left="709" w:right="758"/>
        <w:jc w:val="both"/>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“ATIZAPÁN DE ZARAGOZA, 10 DE OCTUBRE DEL 2021. ESTO ES, UNA SOLICITUD DE INFORMACIÓN; EN ESTE CASO, EL SUJETO OBLIGADO ES EL AYUNTAMIENTO DE ATIZAPÁN DE ZARAGOZA. BUENOS DÍAS; EN LA SECCIÓN DE ARCHIVOS, SE ADJUNTA, UN OFICIO, DIRIGIDO AL </w:t>
      </w:r>
      <w:r>
        <w:rPr>
          <w:rFonts w:ascii="Palatino Linotype" w:eastAsia="Palatino Linotype" w:hAnsi="Palatino Linotype" w:cs="Palatino Linotype"/>
          <w:i/>
          <w:color w:val="000000"/>
        </w:rPr>
        <w:lastRenderedPageBreak/>
        <w:t>DIRECTOR DE MEDIO AMBIENTE, ING. JESÚS ORTEGA SANTANA. EN ESTE OFICIO, EXPLICO LA INFORMACIÓN, QUE ESTOY SOLICITANDO. AGRADEZCO A LA UNIDAD DE TRANSPARENCIA, LA ATENCIÓN PRESTADA.” (Sic).</w:t>
      </w:r>
    </w:p>
    <w:p w:rsidR="00D2449C" w:rsidRDefault="00253C38">
      <w:pPr>
        <w:spacing w:before="120" w:after="12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rsidR="00D2449C" w:rsidRDefault="00253C38">
      <w:pPr>
        <w:spacing w:before="120" w:after="12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Resulta preciso señalar que el Recurrente adjuntó el documento electrónico “</w:t>
      </w:r>
      <w:hyperlink r:id="rId8">
        <w:r>
          <w:rPr>
            <w:rFonts w:ascii="Palatino Linotype" w:eastAsia="Palatino Linotype" w:hAnsi="Palatino Linotype" w:cs="Palatino Linotype"/>
            <w:b/>
            <w:i/>
            <w:color w:val="000000"/>
            <w:sz w:val="24"/>
            <w:szCs w:val="24"/>
          </w:rPr>
          <w:t>10-11-2021-WPS Office.docx</w:t>
        </w:r>
      </w:hyperlink>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color w:val="000000"/>
          <w:sz w:val="24"/>
          <w:szCs w:val="24"/>
        </w:rPr>
        <w:t>en el que precisa lo siguiente:</w:t>
      </w:r>
    </w:p>
    <w:p w:rsidR="00D2449C" w:rsidRDefault="00253C38">
      <w:pPr>
        <w:spacing w:line="240" w:lineRule="auto"/>
        <w:ind w:left="851" w:right="900"/>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La información solicitada es:</w:t>
      </w:r>
    </w:p>
    <w:p w:rsidR="00D2449C" w:rsidRDefault="00253C38">
      <w:pPr>
        <w:spacing w:line="24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(El permiso de poda y derribó;)</w:t>
      </w:r>
      <w:r>
        <w:rPr>
          <w:rFonts w:ascii="Palatino Linotype" w:eastAsia="Palatino Linotype" w:hAnsi="Palatino Linotype" w:cs="Palatino Linotype"/>
          <w:i/>
          <w:sz w:val="24"/>
          <w:szCs w:val="24"/>
        </w:rPr>
        <w:t xml:space="preserve"> expedido por el personal, de la Dirección de medio ambiente, del ayuntamiento de Atizapán de Zaragoza.</w:t>
      </w:r>
    </w:p>
    <w:p w:rsidR="00D2449C" w:rsidRDefault="00253C38">
      <w:pPr>
        <w:spacing w:line="24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El día 7 de febrero del 2020.</w:t>
      </w:r>
      <w:r>
        <w:rPr>
          <w:rFonts w:ascii="Palatino Linotype" w:eastAsia="Palatino Linotype" w:hAnsi="Palatino Linotype" w:cs="Palatino Linotype"/>
          <w:i/>
          <w:sz w:val="24"/>
          <w:szCs w:val="24"/>
        </w:rPr>
        <w:t xml:space="preserve"> Sobre los árboles ubicados, dentro del predio ubicado en: </w:t>
      </w:r>
    </w:p>
    <w:p w:rsidR="00D2449C" w:rsidRDefault="00253C38">
      <w:pPr>
        <w:spacing w:line="24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LA CALLE, COMISIÓN CONCILIACIÓN Y ARBITRAJE, COLONIA MÉXICO NUEVO, MANZANA E, ENTRE EL NÚMERO 10 Y EL NÚMERO 41 - A DE LA CALLE GUSTAVO BAZ, MUNICIPIO DE ATIZAPÁN DE ZARAGOZA.</w:t>
      </w:r>
    </w:p>
    <w:p w:rsidR="00D2449C" w:rsidRDefault="00253C38">
      <w:pPr>
        <w:spacing w:line="24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Según las autoridades; el predio es Municipal, área verde y está a resguardado del DIF municipal, desde el año 2017.</w:t>
      </w:r>
    </w:p>
    <w:p w:rsidR="00D2449C" w:rsidRDefault="00253C38">
      <w:pPr>
        <w:spacing w:line="24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El motivo de la presencia, del personal de la dirección, de medio ambiente; fue por un reporte </w:t>
      </w:r>
      <w:r>
        <w:rPr>
          <w:rFonts w:ascii="Palatino Linotype" w:eastAsia="Palatino Linotype" w:hAnsi="Palatino Linotype" w:cs="Palatino Linotype"/>
          <w:b/>
          <w:i/>
          <w:sz w:val="24"/>
          <w:szCs w:val="24"/>
        </w:rPr>
        <w:t>• Número de reporte: 047</w:t>
      </w:r>
    </w:p>
    <w:p w:rsidR="00D2449C" w:rsidRDefault="00253C38">
      <w:pPr>
        <w:spacing w:line="24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Al llegar el personal, al predio ya mencionado; encontraron a empleados del DIF municipal y dos civiles, que pertenecen al comité (COCICOVI)  que está al cuidado, de este predio, según refieren. </w:t>
      </w:r>
    </w:p>
    <w:p w:rsidR="00D2449C" w:rsidRDefault="00253C38">
      <w:pPr>
        <w:spacing w:line="24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Entre ellos estaba; uno que se identificó, como el encargado, por parte del DIF Municipal; el cargo de servidor público, es promotor de Hortadif.</w:t>
      </w:r>
    </w:p>
    <w:p w:rsidR="00D2449C" w:rsidRDefault="00253C38">
      <w:pPr>
        <w:spacing w:line="24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lastRenderedPageBreak/>
        <w:t>Las referencias, que le puedo proporcionar; son la fecha, la dirección del predio, y número de reporte. Desconozco, a nombre de quien se realizó, el permiso de poda y derribo.</w:t>
      </w:r>
    </w:p>
    <w:p w:rsidR="00D2449C" w:rsidRDefault="00253C38">
      <w:pPr>
        <w:spacing w:line="24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(En caso; que dicho permiso, de poda y derribó, no obre en los archivos de la dirección de medio ambiente; le agradecería también, me lo haga saber.)</w:t>
      </w:r>
    </w:p>
    <w:p w:rsidR="00D2449C" w:rsidRDefault="00253C38">
      <w:pPr>
        <w:spacing w:before="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2. DE LA RESPUESTA DEL SUJETO OBLIGADO. </w:t>
      </w:r>
    </w:p>
    <w:p w:rsidR="00D2449C" w:rsidRDefault="00253C3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fecha veintinueve de octubre del dos mil veintiuno, el Sujeto Obligado otorgó, a través del SAIMEX, respuesta a la solicitud de acceso a la información de la siguiente manera:</w:t>
      </w:r>
    </w:p>
    <w:p w:rsidR="00D2449C" w:rsidRDefault="00253C38">
      <w:pPr>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2449C" w:rsidRDefault="00253C38">
      <w:pPr>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 través del Oficio No. DMA/1492/2021, de fecha veintisiete de octubre del año en curso se da respuesta la solicitud de información con Número de Folio 00503/ATIZARA/IP/202.</w:t>
      </w:r>
    </w:p>
    <w:p w:rsidR="00D2449C" w:rsidRDefault="00253C38">
      <w:pPr>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ATENTAMENTE</w:t>
      </w:r>
    </w:p>
    <w:p w:rsidR="00D2449C" w:rsidRDefault="00253C38">
      <w:pPr>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MTRO. JORGE CAJIGA CALDERON</w:t>
      </w:r>
    </w:p>
    <w:p w:rsidR="00D2449C" w:rsidRDefault="00253C38">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Adjuntando para tal efecto el archivo electrónico denominado “</w:t>
      </w:r>
      <w:hyperlink r:id="rId9">
        <w:r>
          <w:rPr>
            <w:rFonts w:ascii="Palatino Linotype" w:eastAsia="Palatino Linotype" w:hAnsi="Palatino Linotype" w:cs="Palatino Linotype"/>
            <w:b/>
            <w:color w:val="000000"/>
            <w:sz w:val="24"/>
            <w:szCs w:val="24"/>
          </w:rPr>
          <w:t>DMA-1492-2021.pdf</w:t>
        </w:r>
      </w:hyperlink>
      <w:r>
        <w:rPr>
          <w:rFonts w:ascii="Palatino Linotype" w:eastAsia="Palatino Linotype" w:hAnsi="Palatino Linotype" w:cs="Palatino Linotype"/>
          <w:color w:val="000000"/>
          <w:sz w:val="24"/>
          <w:szCs w:val="24"/>
        </w:rPr>
        <w:t>”; mismo que se inserta la primera página:</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736600</wp:posOffset>
                </wp:positionV>
                <wp:extent cx="5657850" cy="2219325"/>
                <wp:effectExtent l="0" t="0" r="0" b="0"/>
                <wp:wrapNone/>
                <wp:docPr id="7" name=""/>
                <wp:cNvGraphicFramePr/>
                <a:graphic xmlns:a="http://schemas.openxmlformats.org/drawingml/2006/main">
                  <a:graphicData uri="http://schemas.microsoft.com/office/word/2010/wordprocessingShape">
                    <wps:wsp>
                      <wps:cNvCnPr/>
                      <wps:spPr>
                        <a:xfrm>
                          <a:off x="2536125" y="2689388"/>
                          <a:ext cx="5619750" cy="2181225"/>
                        </a:xfrm>
                        <a:prstGeom prst="straightConnector1">
                          <a:avLst/>
                        </a:prstGeom>
                        <a:noFill/>
                        <a:ln w="38100" cap="flat" cmpd="sng">
                          <a:solidFill>
                            <a:srgbClr val="FF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736600</wp:posOffset>
                </wp:positionV>
                <wp:extent cx="5657850" cy="2219325"/>
                <wp:effectExtent b="0" l="0" r="0" t="0"/>
                <wp:wrapNone/>
                <wp:docPr id="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657850" cy="2219325"/>
                        </a:xfrm>
                        <a:prstGeom prst="rect"/>
                        <a:ln/>
                      </pic:spPr>
                    </pic:pic>
                  </a:graphicData>
                </a:graphic>
              </wp:anchor>
            </w:drawing>
          </mc:Fallback>
        </mc:AlternateContent>
      </w:r>
    </w:p>
    <w:p w:rsidR="00D2449C" w:rsidRDefault="00253C38">
      <w:pPr>
        <w:spacing w:line="360" w:lineRule="auto"/>
        <w:jc w:val="center"/>
        <w:rPr>
          <w:rFonts w:ascii="Palatino Linotype" w:eastAsia="Palatino Linotype" w:hAnsi="Palatino Linotype" w:cs="Palatino Linotype"/>
          <w:color w:val="000000"/>
          <w:sz w:val="24"/>
          <w:szCs w:val="24"/>
        </w:rPr>
      </w:pPr>
      <w:r>
        <w:rPr>
          <w:noProof/>
        </w:rPr>
        <w:lastRenderedPageBreak/>
        <w:drawing>
          <wp:inline distT="0" distB="0" distL="0" distR="0">
            <wp:extent cx="3607786" cy="459852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3096" t="15389" r="34148" b="10379"/>
                    <a:stretch>
                      <a:fillRect/>
                    </a:stretch>
                  </pic:blipFill>
                  <pic:spPr>
                    <a:xfrm>
                      <a:off x="0" y="0"/>
                      <a:ext cx="3607786" cy="4598525"/>
                    </a:xfrm>
                    <a:prstGeom prst="rect">
                      <a:avLst/>
                    </a:prstGeom>
                    <a:ln/>
                  </pic:spPr>
                </pic:pic>
              </a:graphicData>
            </a:graphic>
          </wp:inline>
        </w:drawing>
      </w:r>
    </w:p>
    <w:p w:rsidR="00D2449C" w:rsidRDefault="00253C38">
      <w:pPr>
        <w:spacing w:before="120" w:after="120" w:line="360" w:lineRule="auto"/>
        <w:ind w:right="-23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3. DEL RECURSO DE REVISIÓN.</w:t>
      </w:r>
    </w:p>
    <w:p w:rsidR="00D2449C" w:rsidRDefault="00253C38">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Inconforme con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interpuso el recurso de revisión, en fecha veinticuatro de noviembre de dos mil veintiuno,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05839/INFOEM/IP/RR/2021</w:t>
      </w:r>
      <w:r>
        <w:rPr>
          <w:rFonts w:ascii="Palatino Linotype" w:eastAsia="Palatino Linotype" w:hAnsi="Palatino Linotype" w:cs="Palatino Linotype"/>
          <w:sz w:val="24"/>
          <w:szCs w:val="24"/>
        </w:rPr>
        <w:t>, en el cual manifiesta, lo siguiente:</w:t>
      </w:r>
    </w:p>
    <w:p w:rsidR="00D2449C" w:rsidRDefault="00253C38">
      <w:pPr>
        <w:numPr>
          <w:ilvl w:val="0"/>
          <w:numId w:val="3"/>
        </w:numPr>
        <w:pBdr>
          <w:top w:val="nil"/>
          <w:left w:val="nil"/>
          <w:bottom w:val="nil"/>
          <w:right w:val="nil"/>
          <w:between w:val="nil"/>
        </w:pBdr>
        <w:spacing w:before="120" w:after="12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Acto Impugnado:</w:t>
      </w:r>
    </w:p>
    <w:p w:rsidR="00D2449C" w:rsidRDefault="00253C38">
      <w:pPr>
        <w:pBdr>
          <w:top w:val="nil"/>
          <w:left w:val="nil"/>
          <w:bottom w:val="nil"/>
          <w:right w:val="nil"/>
          <w:between w:val="nil"/>
        </w:pBdr>
        <w:spacing w:before="120" w:after="120" w:line="360" w:lineRule="auto"/>
        <w:ind w:left="7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i/>
          <w:color w:val="000000"/>
          <w:sz w:val="24"/>
          <w:szCs w:val="24"/>
        </w:rPr>
        <w:lastRenderedPageBreak/>
        <w:t>“ATIZAPÁN DE ZARAGOZA, 24 DE NOVIEMBRE DEL 2021. BUENOS DÍAS; ESTO ES, UN RECURSO DE REVISIÓN; EN LA SECCIÓN DE ARCHIVOS, SE ADJUNTAN: 1- OFICIO, RECURSO DE REVISIÓN. 2- LA SOLISITUD DE INFORMACIÓN. 3- LA RESPUESTA DEL SUJETO OBLIGADO..” [sic]</w:t>
      </w:r>
    </w:p>
    <w:p w:rsidR="00D2449C" w:rsidRDefault="00253C38">
      <w:pPr>
        <w:numPr>
          <w:ilvl w:val="0"/>
          <w:numId w:val="3"/>
        </w:numPr>
        <w:pBdr>
          <w:top w:val="nil"/>
          <w:left w:val="nil"/>
          <w:bottom w:val="nil"/>
          <w:right w:val="nil"/>
          <w:between w:val="nil"/>
        </w:pBdr>
        <w:spacing w:before="120" w:after="12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Razones o Motivos de Inconformidad</w:t>
      </w:r>
      <w:r>
        <w:rPr>
          <w:rFonts w:ascii="Palatino Linotype" w:eastAsia="Palatino Linotype" w:hAnsi="Palatino Linotype" w:cs="Palatino Linotype"/>
          <w:color w:val="000000"/>
          <w:sz w:val="24"/>
          <w:szCs w:val="24"/>
        </w:rPr>
        <w:t>:</w:t>
      </w:r>
    </w:p>
    <w:p w:rsidR="00D2449C" w:rsidRDefault="00253C38">
      <w:pPr>
        <w:pBdr>
          <w:top w:val="nil"/>
          <w:left w:val="nil"/>
          <w:bottom w:val="nil"/>
          <w:right w:val="nil"/>
          <w:between w:val="nil"/>
        </w:pBdr>
        <w:spacing w:before="120" w:after="120" w:line="360" w:lineRule="auto"/>
        <w:ind w:left="72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 “El sujeto obligado; en su respuesta omite información, lo que Argumenta es insuficiente; para pensar, que la información no existe.” [sic]</w:t>
      </w:r>
    </w:p>
    <w:p w:rsidR="00D2449C" w:rsidRDefault="00253C38">
      <w:pPr>
        <w:spacing w:before="280" w:after="28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Resulta preciso señalar que el Recurrente adjuntó los archivos electrónicos “</w:t>
      </w:r>
      <w:hyperlink r:id="rId12">
        <w:r>
          <w:rPr>
            <w:rFonts w:ascii="Palatino Linotype" w:eastAsia="Palatino Linotype" w:hAnsi="Palatino Linotype" w:cs="Palatino Linotype"/>
            <w:b/>
            <w:color w:val="000000"/>
            <w:sz w:val="24"/>
            <w:szCs w:val="24"/>
          </w:rPr>
          <w:t>Recurso.11-24-2021-WPS Office.docx</w:t>
        </w:r>
      </w:hyperlink>
      <w:r>
        <w:rPr>
          <w:rFonts w:ascii="Palatino Linotype" w:eastAsia="Palatino Linotype" w:hAnsi="Palatino Linotype" w:cs="Palatino Linotype"/>
          <w:color w:val="000000"/>
          <w:sz w:val="24"/>
          <w:szCs w:val="24"/>
        </w:rPr>
        <w:t>”, “</w:t>
      </w:r>
      <w:hyperlink r:id="rId13">
        <w:r>
          <w:rPr>
            <w:rFonts w:ascii="Palatino Linotype" w:eastAsia="Palatino Linotype" w:hAnsi="Palatino Linotype" w:cs="Palatino Linotype"/>
            <w:b/>
            <w:color w:val="000000"/>
            <w:sz w:val="24"/>
            <w:szCs w:val="24"/>
          </w:rPr>
          <w:t>DMA-1492-2021.pdf</w:t>
        </w:r>
      </w:hyperlink>
      <w:r>
        <w:rPr>
          <w:rFonts w:ascii="Palatino Linotype" w:eastAsia="Palatino Linotype" w:hAnsi="Palatino Linotype" w:cs="Palatino Linotype"/>
          <w:color w:val="000000"/>
          <w:sz w:val="24"/>
          <w:szCs w:val="24"/>
        </w:rPr>
        <w:t>” y “</w:t>
      </w:r>
      <w:hyperlink r:id="rId14">
        <w:r>
          <w:rPr>
            <w:rFonts w:ascii="Palatino Linotype" w:eastAsia="Palatino Linotype" w:hAnsi="Palatino Linotype" w:cs="Palatino Linotype"/>
            <w:b/>
            <w:color w:val="000000"/>
            <w:sz w:val="24"/>
            <w:szCs w:val="24"/>
          </w:rPr>
          <w:t>10-11-2021-WPS Office.docx</w:t>
        </w:r>
      </w:hyperlink>
      <w:r>
        <w:rPr>
          <w:rFonts w:ascii="Palatino Linotype" w:eastAsia="Palatino Linotype" w:hAnsi="Palatino Linotype" w:cs="Palatino Linotype"/>
          <w:color w:val="000000"/>
          <w:sz w:val="24"/>
          <w:szCs w:val="24"/>
        </w:rPr>
        <w:t>”, mismos que contienen:</w:t>
      </w:r>
    </w:p>
    <w:p w:rsidR="00D2449C" w:rsidRDefault="00D64245">
      <w:pPr>
        <w:spacing w:before="280" w:after="280" w:line="360" w:lineRule="auto"/>
        <w:ind w:right="49"/>
        <w:jc w:val="both"/>
        <w:rPr>
          <w:rFonts w:ascii="Palatino Linotype" w:eastAsia="Palatino Linotype" w:hAnsi="Palatino Linotype" w:cs="Palatino Linotype"/>
          <w:color w:val="000000"/>
          <w:sz w:val="24"/>
          <w:szCs w:val="24"/>
        </w:rPr>
      </w:pPr>
      <w:hyperlink r:id="rId15">
        <w:r w:rsidR="00253C38">
          <w:rPr>
            <w:rFonts w:ascii="Palatino Linotype" w:eastAsia="Palatino Linotype" w:hAnsi="Palatino Linotype" w:cs="Palatino Linotype"/>
            <w:b/>
            <w:color w:val="000000"/>
            <w:sz w:val="24"/>
            <w:szCs w:val="24"/>
          </w:rPr>
          <w:t>Recurso.11-24-2021-WPS Office.docx</w:t>
        </w:r>
      </w:hyperlink>
      <w:r w:rsidR="00253C38">
        <w:rPr>
          <w:rFonts w:ascii="Palatino Linotype" w:eastAsia="Palatino Linotype" w:hAnsi="Palatino Linotype" w:cs="Palatino Linotype"/>
          <w:color w:val="000000"/>
          <w:sz w:val="24"/>
          <w:szCs w:val="24"/>
        </w:rPr>
        <w:t>:</w:t>
      </w:r>
    </w:p>
    <w:p w:rsidR="00D2449C" w:rsidRDefault="00253C38">
      <w:pPr>
        <w:spacing w:before="280" w:after="28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Oficio del Recurso de Revisión de fecha veinticuatro de noviembre de dos mil veintiuno, en el que se precisa lo siguiente:</w:t>
      </w:r>
    </w:p>
    <w:p w:rsidR="00D2449C" w:rsidRDefault="00253C38">
      <w:pPr>
        <w:spacing w:line="240" w:lineRule="auto"/>
        <w:ind w:left="709" w:right="758"/>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SE INTERPONE ESTE RECORSO DE REVISIÓN, POR 2 RAZONES.</w:t>
      </w:r>
    </w:p>
    <w:p w:rsidR="00D2449C" w:rsidRDefault="00253C38">
      <w:pPr>
        <w:spacing w:line="240" w:lineRule="auto"/>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la primera; al Sujeto Obligado, en la solicitud de información, se detalla de forma clara y precisa; para que muestre un </w:t>
      </w:r>
      <w:r>
        <w:rPr>
          <w:rFonts w:ascii="Palatino Linotype" w:eastAsia="Palatino Linotype" w:hAnsi="Palatino Linotype" w:cs="Palatino Linotype"/>
          <w:b/>
          <w:i/>
          <w:sz w:val="24"/>
          <w:szCs w:val="24"/>
        </w:rPr>
        <w:t>( permiso de poda y derribó )</w:t>
      </w:r>
      <w:r>
        <w:rPr>
          <w:rFonts w:ascii="Palatino Linotype" w:eastAsia="Palatino Linotype" w:hAnsi="Palatino Linotype" w:cs="Palatino Linotype"/>
          <w:i/>
          <w:sz w:val="24"/>
          <w:szCs w:val="24"/>
        </w:rPr>
        <w:t xml:space="preserve"> se le proporciono:</w:t>
      </w:r>
    </w:p>
    <w:p w:rsidR="00D2449C" w:rsidRDefault="00253C38">
      <w:pPr>
        <w:spacing w:line="240" w:lineRule="auto"/>
        <w:ind w:left="709" w:right="758"/>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•Dirección •Fecha •Número de reporte: 047 •Motivo de la presencia, del personal de la Dirección de Medio Ambiente.</w:t>
      </w:r>
    </w:p>
    <w:p w:rsidR="00D2449C" w:rsidRDefault="00253C38">
      <w:pPr>
        <w:spacing w:line="240" w:lineRule="auto"/>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w:t>
      </w:r>
      <w:r>
        <w:rPr>
          <w:rFonts w:ascii="Palatino Linotype" w:eastAsia="Palatino Linotype" w:hAnsi="Palatino Linotype" w:cs="Palatino Linotype"/>
          <w:i/>
          <w:sz w:val="24"/>
          <w:szCs w:val="24"/>
        </w:rPr>
        <w:t xml:space="preserve">Esto facilitaría, al sujeto obligado; la busqueda la información solicitada, en su base de datos, En la solicitud; se cita: </w:t>
      </w:r>
      <w:r>
        <w:rPr>
          <w:rFonts w:ascii="Palatino Linotype" w:eastAsia="Palatino Linotype" w:hAnsi="Palatino Linotype" w:cs="Palatino Linotype"/>
          <w:b/>
          <w:i/>
          <w:sz w:val="24"/>
          <w:szCs w:val="24"/>
        </w:rPr>
        <w:t xml:space="preserve">El día 7 de febrero del 2020. </w:t>
      </w:r>
      <w:r>
        <w:rPr>
          <w:rFonts w:ascii="Palatino Linotype" w:eastAsia="Palatino Linotype" w:hAnsi="Palatino Linotype" w:cs="Palatino Linotype"/>
          <w:i/>
          <w:sz w:val="24"/>
          <w:szCs w:val="24"/>
        </w:rPr>
        <w:t xml:space="preserve">porqué </w:t>
      </w:r>
      <w:r>
        <w:rPr>
          <w:rFonts w:ascii="Palatino Linotype" w:eastAsia="Palatino Linotype" w:hAnsi="Palatino Linotype" w:cs="Palatino Linotype"/>
          <w:i/>
          <w:sz w:val="24"/>
          <w:szCs w:val="24"/>
        </w:rPr>
        <w:lastRenderedPageBreak/>
        <w:t xml:space="preserve">la Autorización de un </w:t>
      </w:r>
      <w:r>
        <w:rPr>
          <w:rFonts w:ascii="Palatino Linotype" w:eastAsia="Palatino Linotype" w:hAnsi="Palatino Linotype" w:cs="Palatino Linotype"/>
          <w:b/>
          <w:i/>
          <w:sz w:val="24"/>
          <w:szCs w:val="24"/>
        </w:rPr>
        <w:t>(  permiso de poda y derribó; )</w:t>
      </w:r>
      <w:r>
        <w:rPr>
          <w:rFonts w:ascii="Palatino Linotype" w:eastAsia="Palatino Linotype" w:hAnsi="Palatino Linotype" w:cs="Palatino Linotype"/>
          <w:i/>
          <w:sz w:val="24"/>
          <w:szCs w:val="24"/>
        </w:rPr>
        <w:t xml:space="preserve"> requiere un  proceso, que se estructura,  en un diagrama de flujo.</w:t>
      </w:r>
    </w:p>
    <w:p w:rsidR="00D2449C" w:rsidRDefault="00253C38">
      <w:pPr>
        <w:spacing w:line="240" w:lineRule="auto"/>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w:t>
      </w:r>
      <w:r>
        <w:rPr>
          <w:rFonts w:ascii="Palatino Linotype" w:eastAsia="Palatino Linotype" w:hAnsi="Palatino Linotype" w:cs="Palatino Linotype"/>
          <w:i/>
          <w:sz w:val="24"/>
          <w:szCs w:val="24"/>
        </w:rPr>
        <w:t>Así lo establece; el manual de procedimientos, del H. Ayuntamiento de Atizapán de Zaragoza y el  reglamento interno, de la Dirección de Medio Ambiente.</w:t>
      </w:r>
    </w:p>
    <w:p w:rsidR="00D2449C" w:rsidRDefault="00253C38">
      <w:pPr>
        <w:spacing w:line="240" w:lineRule="auto"/>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el trámite para este permiso; empezó el día 7 de Febrero del 2020. Estos permisos; requieren días, para ser autorizados y después seran firmados, por el titular, de la Dirección de Medio Ambiente.</w:t>
      </w:r>
    </w:p>
    <w:p w:rsidR="00D2449C" w:rsidRDefault="00253C38">
      <w:pPr>
        <w:spacing w:line="240" w:lineRule="auto"/>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w:t>
      </w:r>
      <w:r>
        <w:rPr>
          <w:rFonts w:ascii="Palatino Linotype" w:eastAsia="Palatino Linotype" w:hAnsi="Palatino Linotype" w:cs="Palatino Linotype"/>
          <w:i/>
          <w:sz w:val="24"/>
          <w:szCs w:val="24"/>
        </w:rPr>
        <w:t>Pido de favor; a las comisionadas y comisionados ponentes, del INFOEM, lean la solicitud de información. En esta; se encuentra la semántica, de los planteamientos, qué se hacen, para formular la solicitud..</w:t>
      </w:r>
    </w:p>
    <w:p w:rsidR="00D2449C" w:rsidRDefault="00253C38">
      <w:pPr>
        <w:spacing w:line="240" w:lineRule="auto"/>
        <w:ind w:left="709" w:right="75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b/>
          <w:i/>
          <w:sz w:val="24"/>
          <w:szCs w:val="24"/>
        </w:rPr>
        <w:t>•</w:t>
      </w:r>
      <w:r>
        <w:rPr>
          <w:rFonts w:ascii="Palatino Linotype" w:eastAsia="Palatino Linotype" w:hAnsi="Palatino Linotype" w:cs="Palatino Linotype"/>
          <w:i/>
          <w:sz w:val="24"/>
          <w:szCs w:val="24"/>
        </w:rPr>
        <w:t>No es, como el sujeto obligado aduce, qué el mismo día 7 de febrero, del 2020  fue Expedido- Autorizado, el permiso de poda y derribó; Porqué esa es la fecha, que está en la solicitud; estos permisos, no se autorizan, en el mismo día.</w:t>
      </w:r>
    </w:p>
    <w:p w:rsidR="00CC156B" w:rsidRDefault="00D64245">
      <w:pPr>
        <w:spacing w:before="280" w:after="280" w:line="240" w:lineRule="auto"/>
        <w:ind w:right="49"/>
        <w:jc w:val="both"/>
        <w:rPr>
          <w:rFonts w:ascii="Palatino Linotype" w:eastAsia="Palatino Linotype" w:hAnsi="Palatino Linotype" w:cs="Palatino Linotype"/>
          <w:color w:val="000000"/>
          <w:sz w:val="24"/>
          <w:szCs w:val="24"/>
        </w:rPr>
      </w:pPr>
      <w:hyperlink r:id="rId16">
        <w:r w:rsidR="00253C38">
          <w:rPr>
            <w:rFonts w:ascii="Palatino Linotype" w:eastAsia="Palatino Linotype" w:hAnsi="Palatino Linotype" w:cs="Palatino Linotype"/>
            <w:b/>
            <w:color w:val="000000"/>
            <w:sz w:val="24"/>
            <w:szCs w:val="24"/>
          </w:rPr>
          <w:t>DMA-1492-2021.pdf</w:t>
        </w:r>
      </w:hyperlink>
      <w:r w:rsidR="00253C38">
        <w:rPr>
          <w:rFonts w:ascii="Palatino Linotype" w:eastAsia="Palatino Linotype" w:hAnsi="Palatino Linotype" w:cs="Palatino Linotype"/>
          <w:color w:val="000000"/>
          <w:sz w:val="24"/>
          <w:szCs w:val="24"/>
        </w:rPr>
        <w:t>:</w:t>
      </w:r>
    </w:p>
    <w:p w:rsidR="00D2449C" w:rsidRDefault="00253C38">
      <w:pPr>
        <w:spacing w:before="280" w:after="280" w:line="24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Archivo adjuntado en la respuesta del Sujeto Obligado de fecha veintisiete de octubre de dos mil veintiuno, signado por el Ing. J. Jesús Ortega Santana, Director de Medio Ambiente. </w:t>
      </w:r>
    </w:p>
    <w:p w:rsidR="00D2449C" w:rsidRDefault="00D64245">
      <w:pPr>
        <w:spacing w:before="280" w:after="280" w:line="240" w:lineRule="auto"/>
        <w:ind w:right="49"/>
        <w:jc w:val="both"/>
        <w:rPr>
          <w:rFonts w:ascii="Palatino Linotype" w:eastAsia="Palatino Linotype" w:hAnsi="Palatino Linotype" w:cs="Palatino Linotype"/>
          <w:color w:val="000000"/>
          <w:sz w:val="24"/>
          <w:szCs w:val="24"/>
        </w:rPr>
      </w:pPr>
      <w:hyperlink r:id="rId17">
        <w:r w:rsidR="00253C38">
          <w:rPr>
            <w:rFonts w:ascii="Palatino Linotype" w:eastAsia="Palatino Linotype" w:hAnsi="Palatino Linotype" w:cs="Palatino Linotype"/>
            <w:b/>
            <w:color w:val="000000"/>
            <w:sz w:val="24"/>
            <w:szCs w:val="24"/>
          </w:rPr>
          <w:t>10-11-2021-WPS Office.docx</w:t>
        </w:r>
      </w:hyperlink>
      <w:r w:rsidR="00253C38">
        <w:rPr>
          <w:rFonts w:ascii="Palatino Linotype" w:eastAsia="Palatino Linotype" w:hAnsi="Palatino Linotype" w:cs="Palatino Linotype"/>
          <w:color w:val="000000"/>
          <w:sz w:val="24"/>
          <w:szCs w:val="24"/>
        </w:rPr>
        <w:t>:</w:t>
      </w:r>
    </w:p>
    <w:p w:rsidR="00D2449C" w:rsidRDefault="00253C38">
      <w:pPr>
        <w:spacing w:before="280" w:after="28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Resulta ser el mismo archivo adjuntado por el Recurrente en la Solicitud de Acceso a la Información Pública. </w:t>
      </w:r>
    </w:p>
    <w:p w:rsidR="00D2449C" w:rsidRDefault="00253C38">
      <w:pPr>
        <w:spacing w:before="120" w:after="120" w:line="360" w:lineRule="auto"/>
        <w:ind w:right="49"/>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4. TURNO. </w:t>
      </w:r>
    </w:p>
    <w:p w:rsidR="00D2449C" w:rsidRDefault="00253C38">
      <w:pPr>
        <w:spacing w:before="120" w:after="120" w:line="360" w:lineRule="auto"/>
        <w:ind w:right="49"/>
        <w:jc w:val="both"/>
        <w:rPr>
          <w:rFonts w:ascii="Palatino Linotype" w:eastAsia="Palatino Linotype" w:hAnsi="Palatino Linotype" w:cs="Palatino Linotype"/>
          <w:b/>
          <w:sz w:val="28"/>
          <w:szCs w:val="28"/>
        </w:rPr>
      </w:pPr>
      <w:r>
        <w:rPr>
          <w:rFonts w:ascii="Palatino Linotype" w:eastAsia="Palatino Linotype" w:hAnsi="Palatino Linotype" w:cs="Palatino Linotype"/>
          <w:sz w:val="24"/>
          <w:szCs w:val="24"/>
        </w:rPr>
        <w:t xml:space="preserve">De conformidad con el artículo 185 Fracción I </w:t>
      </w:r>
      <w:r>
        <w:rPr>
          <w:rFonts w:ascii="Palatino Linotype" w:eastAsia="Palatino Linotype" w:hAnsi="Palatino Linotype" w:cs="Palatino Linotype"/>
          <w:sz w:val="24"/>
          <w:szCs w:val="24"/>
          <w:highlight w:val="white"/>
        </w:rPr>
        <w:t>de la Ley Transparencia y Acceso a la Información Pública</w:t>
      </w:r>
      <w:r>
        <w:rPr>
          <w:rFonts w:ascii="Palatino Linotype" w:eastAsia="Palatino Linotype" w:hAnsi="Palatino Linotype" w:cs="Palatino Linotype"/>
          <w:sz w:val="24"/>
          <w:szCs w:val="24"/>
        </w:rPr>
        <w:t>, el recurso de revisión número</w:t>
      </w:r>
      <w:r>
        <w:rPr>
          <w:rFonts w:ascii="Palatino Linotype" w:eastAsia="Palatino Linotype" w:hAnsi="Palatino Linotype" w:cs="Palatino Linotype"/>
          <w:b/>
          <w:sz w:val="24"/>
          <w:szCs w:val="24"/>
        </w:rPr>
        <w:t xml:space="preserve"> 05839/INFOEM/IP/RR/2021 </w:t>
      </w:r>
      <w:r>
        <w:rPr>
          <w:rFonts w:ascii="Palatino Linotype" w:eastAsia="Palatino Linotype" w:hAnsi="Palatino Linotype" w:cs="Palatino Linotype"/>
          <w:sz w:val="24"/>
          <w:szCs w:val="24"/>
        </w:rPr>
        <w:t xml:space="preserve">fue turnado en fecha veinticuatro de noviembre de dos mil veintiuno a la Comisionada </w:t>
      </w:r>
      <w:r>
        <w:rPr>
          <w:rFonts w:ascii="Palatino Linotype" w:eastAsia="Palatino Linotype" w:hAnsi="Palatino Linotype" w:cs="Palatino Linotype"/>
          <w:sz w:val="24"/>
          <w:szCs w:val="24"/>
        </w:rPr>
        <w:lastRenderedPageBreak/>
        <w:t xml:space="preserve">Ponente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a efecto de presentar al Pleno el proyecto de resolución correspondiente.</w:t>
      </w:r>
    </w:p>
    <w:p w:rsidR="00D2449C" w:rsidRDefault="00253C38">
      <w:pPr>
        <w:spacing w:before="120" w:after="120" w:line="360" w:lineRule="auto"/>
        <w:ind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5. ADMISIÓN.</w:t>
      </w:r>
    </w:p>
    <w:p w:rsidR="00D2449C" w:rsidRDefault="00253C38">
      <w:pPr>
        <w:spacing w:before="120" w:after="12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fecha veintinueve de noviembre del año dos mil veintiuno, en términos de lo dispuesto en el artículo 185 fracciones I, II y IV de la Ley de Transparencia y Acceso a la Información Pública del Estado de México y Municipios, se admitió a trámite el recurso de revisión al rubro indicado.</w:t>
      </w:r>
    </w:p>
    <w:p w:rsidR="00D2449C" w:rsidRDefault="00253C38">
      <w:pPr>
        <w:spacing w:before="120" w:after="120" w:line="360" w:lineRule="auto"/>
        <w:ind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b/>
          <w:color w:val="202124"/>
          <w:sz w:val="24"/>
          <w:szCs w:val="24"/>
          <w:highlight w:val="white"/>
        </w:rPr>
        <w:t xml:space="preserve">6. </w:t>
      </w:r>
      <w:r>
        <w:rPr>
          <w:rFonts w:ascii="Palatino Linotype" w:eastAsia="Palatino Linotype" w:hAnsi="Palatino Linotype" w:cs="Palatino Linotype"/>
          <w:b/>
          <w:sz w:val="24"/>
          <w:szCs w:val="24"/>
        </w:rPr>
        <w:t>INFORME JUSTIFICADO O MANIFESTACIONES.</w:t>
      </w:r>
    </w:p>
    <w:p w:rsidR="00D2449C" w:rsidRDefault="00253C38">
      <w:pPr>
        <w:spacing w:before="120" w:after="12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tres de diciembre de dos mil veintiuno, se recibió, a través del Sistema de Acceso a la Información Mexiquense (SAIMEX), el Informe Justificado del Sujeto Obligado, mediante oficio DMA/1741/2021 de fecha tres de diciembre de dos mil veintiuno, suscrito por el Ing. J. Jesús Ortega Santana, Director de Medio Ambiente, en el que menciona la inexistencia de la información.</w:t>
      </w:r>
    </w:p>
    <w:p w:rsidR="00D2449C" w:rsidRDefault="00253C38">
      <w:p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7. VISTA DEL INFORME JUSTIFICADO.</w:t>
      </w:r>
      <w:r>
        <w:rPr>
          <w:rFonts w:ascii="Palatino Linotype" w:eastAsia="Palatino Linotype" w:hAnsi="Palatino Linotype" w:cs="Palatino Linotype"/>
          <w:color w:val="000000"/>
          <w:sz w:val="24"/>
          <w:szCs w:val="24"/>
        </w:rPr>
        <w:t xml:space="preserve"> </w:t>
      </w:r>
    </w:p>
    <w:p w:rsidR="00D2449C" w:rsidRDefault="00253C38">
      <w:p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El siete de diciembre de dos mil veintiuno, se dictó acuerdo mediante el cual se puso a la vista del Particular el Informe Justificado, por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el cual fue notificado, a través del Sistema de Acceso a la Información Mexiquense (SAIMEX). </w:t>
      </w:r>
    </w:p>
    <w:p w:rsidR="00D2449C" w:rsidRDefault="00253C38">
      <w:pPr>
        <w:spacing w:before="120" w:after="120" w:line="360" w:lineRule="auto"/>
        <w:ind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8. DEL CIERRE DE INSTRUCCIÓN.</w:t>
      </w:r>
      <w:r>
        <w:rPr>
          <w:rFonts w:ascii="Palatino Linotype" w:eastAsia="Palatino Linotype" w:hAnsi="Palatino Linotype" w:cs="Palatino Linotype"/>
          <w:b/>
          <w:sz w:val="24"/>
          <w:szCs w:val="24"/>
        </w:rPr>
        <w:tab/>
      </w:r>
    </w:p>
    <w:p w:rsidR="00D2449C" w:rsidRDefault="00253C38">
      <w:pPr>
        <w:pBdr>
          <w:top w:val="nil"/>
          <w:left w:val="nil"/>
          <w:bottom w:val="nil"/>
          <w:right w:val="nil"/>
          <w:between w:val="nil"/>
        </w:pBdr>
        <w:spacing w:before="120" w:after="120" w:line="360" w:lineRule="auto"/>
        <w:ind w:right="49" w:hanging="22"/>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catorce de diciembre de dos mil veintiuno, al no existir diligencias pendientes por desahogar, se emitió el acuerdo por medio del cual se declaró cerrada la instrucción </w:t>
      </w:r>
      <w:r>
        <w:rPr>
          <w:rFonts w:ascii="Palatino Linotype" w:eastAsia="Palatino Linotype" w:hAnsi="Palatino Linotype" w:cs="Palatino Linotype"/>
          <w:color w:val="000000"/>
          <w:sz w:val="24"/>
          <w:szCs w:val="24"/>
        </w:rPr>
        <w:lastRenderedPageBreak/>
        <w:t>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D2449C" w:rsidRDefault="00253C38">
      <w:pPr>
        <w:spacing w:before="120" w:after="12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CONSIDERANDOS:</w:t>
      </w:r>
    </w:p>
    <w:p w:rsidR="00D2449C" w:rsidRDefault="00D2449C">
      <w:pPr>
        <w:spacing w:before="120" w:after="120" w:line="360" w:lineRule="auto"/>
        <w:jc w:val="center"/>
        <w:rPr>
          <w:rFonts w:ascii="Palatino Linotype" w:eastAsia="Palatino Linotype" w:hAnsi="Palatino Linotype" w:cs="Palatino Linotype"/>
          <w:b/>
          <w:sz w:val="24"/>
          <w:szCs w:val="24"/>
        </w:rPr>
      </w:pPr>
    </w:p>
    <w:p w:rsidR="00D2449C" w:rsidRDefault="00253C38">
      <w:pPr>
        <w:spacing w:before="120" w:after="12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PRIMERO. COMPETENCIA.</w:t>
      </w:r>
    </w:p>
    <w:p w:rsidR="00D2449C" w:rsidRDefault="00253C38">
      <w:pPr>
        <w:spacing w:before="120" w:after="12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sz w:val="24"/>
          <w:szCs w:val="24"/>
        </w:rPr>
        <w:t xml:space="preserve">9, fracciones I y XXIV y 11 </w:t>
      </w:r>
      <w:r>
        <w:rPr>
          <w:rFonts w:ascii="Palatino Linotype" w:eastAsia="Palatino Linotype" w:hAnsi="Palatino Linotype" w:cs="Palatino Linotype"/>
          <w:sz w:val="24"/>
          <w:szCs w:val="24"/>
          <w:highlight w:val="white"/>
        </w:rPr>
        <w:t>del Reglamento Interior del Instituto de Transparencia, Acceso a la Información Pública y Protección de Datos Personales del Estado de México y Municipios.</w:t>
      </w:r>
    </w:p>
    <w:p w:rsidR="00D2449C" w:rsidRDefault="00253C38">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INTERÉS.</w:t>
      </w:r>
      <w:r>
        <w:rPr>
          <w:rFonts w:ascii="Palatino Linotype" w:eastAsia="Palatino Linotype" w:hAnsi="Palatino Linotype" w:cs="Palatino Linotype"/>
          <w:color w:val="000000"/>
          <w:sz w:val="28"/>
          <w:szCs w:val="28"/>
        </w:rPr>
        <w:t xml:space="preserve"> </w:t>
      </w:r>
    </w:p>
    <w:p w:rsidR="00D2449C" w:rsidRDefault="00253C38">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recurso de revisión fue interpuesto por la parte legítima en atención a que fue presentado por </w:t>
      </w:r>
      <w:r>
        <w:rPr>
          <w:rFonts w:ascii="Palatino Linotype" w:eastAsia="Palatino Linotype" w:hAnsi="Palatino Linotype" w:cs="Palatino Linotype"/>
          <w:b/>
          <w:color w:val="000000"/>
          <w:sz w:val="24"/>
          <w:szCs w:val="24"/>
        </w:rPr>
        <w:t>EL RECURRENTE</w:t>
      </w:r>
      <w:r>
        <w:rPr>
          <w:rFonts w:ascii="Palatino Linotype" w:eastAsia="Palatino Linotype" w:hAnsi="Palatino Linotype" w:cs="Palatino Linotype"/>
          <w:color w:val="000000"/>
          <w:sz w:val="24"/>
          <w:szCs w:val="24"/>
        </w:rPr>
        <w:t xml:space="preserve">, quien formuló la solicitud de información </w:t>
      </w:r>
      <w:r>
        <w:rPr>
          <w:rFonts w:ascii="Palatino Linotype" w:eastAsia="Palatino Linotype" w:hAnsi="Palatino Linotype" w:cs="Palatino Linotype"/>
          <w:color w:val="000000"/>
          <w:sz w:val="24"/>
          <w:szCs w:val="24"/>
        </w:rPr>
        <w:lastRenderedPageBreak/>
        <w:t>pública.</w:t>
      </w:r>
    </w:p>
    <w:p w:rsidR="00D2449C" w:rsidRDefault="00253C38">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i/>
        </w:rPr>
        <w:t xml:space="preserve">. </w:t>
      </w:r>
      <w:r>
        <w:rPr>
          <w:rFonts w:ascii="Palatino Linotype" w:eastAsia="Palatino Linotype" w:hAnsi="Palatino Linotype" w:cs="Palatino Linotype"/>
          <w:b/>
          <w:sz w:val="28"/>
          <w:szCs w:val="28"/>
        </w:rPr>
        <w:t xml:space="preserve">OPORTUNIDAD. </w:t>
      </w:r>
    </w:p>
    <w:p w:rsidR="00D2449C" w:rsidRDefault="00253C38">
      <w:pPr>
        <w:widowControl w:val="0"/>
        <w:tabs>
          <w:tab w:val="left" w:pos="1701"/>
          <w:tab w:val="left" w:pos="1843"/>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Previo al estudio del fondo del asunto, es necesario analizar el requisito de oportunidad que debe reunir el recurso de revisión interpuesto. </w:t>
      </w:r>
    </w:p>
    <w:p w:rsidR="00D2449C" w:rsidRDefault="00253C38">
      <w:pPr>
        <w:widowControl w:val="0"/>
        <w:tabs>
          <w:tab w:val="left" w:pos="1701"/>
          <w:tab w:val="left" w:pos="1843"/>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 el presente caso, se advierte que el recurso de revisión fue interpuesto </w:t>
      </w:r>
      <w:r>
        <w:rPr>
          <w:rFonts w:ascii="Palatino Linotype" w:eastAsia="Palatino Linotype" w:hAnsi="Palatino Linotype" w:cs="Palatino Linotype"/>
          <w:b/>
          <w:sz w:val="24"/>
          <w:szCs w:val="24"/>
        </w:rPr>
        <w:t>fuera</w:t>
      </w:r>
      <w:r>
        <w:rPr>
          <w:rFonts w:ascii="Palatino Linotype" w:eastAsia="Palatino Linotype" w:hAnsi="Palatino Linotype" w:cs="Palatino Linotype"/>
          <w:sz w:val="24"/>
          <w:szCs w:val="24"/>
        </w:rPr>
        <w:t xml:space="preserve"> del plazo de quince días hábiles contados a partir del día siguiente al que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tuvo conocimiento de la respuesta impugnada, tal y como lo prevé el artículo 178 de la Ley de Transparencia y Acceso a la Información Pública del Estado de México y Municipios, que establece:</w:t>
      </w:r>
    </w:p>
    <w:p w:rsidR="00D2449C" w:rsidRDefault="00D2449C">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rsidR="00D2449C" w:rsidRDefault="00253C38">
      <w:pPr>
        <w:ind w:left="709" w:right="709"/>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178.</w:t>
      </w:r>
      <w:r>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w:t>
      </w:r>
      <w:r>
        <w:rPr>
          <w:rFonts w:ascii="Palatino Linotype" w:eastAsia="Palatino Linotype" w:hAnsi="Palatino Linotype" w:cs="Palatino Linotype"/>
          <w:b/>
          <w:i/>
        </w:rPr>
        <w:t>dentro de los quince días hábiles, siguientes a la fecha de la notificación de la respuesta</w:t>
      </w:r>
      <w:r>
        <w:rPr>
          <w:rFonts w:ascii="Palatino Linotype" w:eastAsia="Palatino Linotype" w:hAnsi="Palatino Linotype" w:cs="Palatino Linotype"/>
          <w:i/>
        </w:rPr>
        <w:t>.</w:t>
      </w:r>
    </w:p>
    <w:p w:rsidR="00D2449C" w:rsidRDefault="00D2449C">
      <w:pPr>
        <w:ind w:left="709" w:right="709"/>
        <w:jc w:val="both"/>
        <w:rPr>
          <w:rFonts w:ascii="Palatino Linotype" w:eastAsia="Palatino Linotype" w:hAnsi="Palatino Linotype" w:cs="Palatino Linotype"/>
          <w:i/>
        </w:rPr>
      </w:pPr>
    </w:p>
    <w:p w:rsidR="00D2449C" w:rsidRDefault="00253C38">
      <w:pPr>
        <w:ind w:left="709" w:right="709"/>
        <w:jc w:val="both"/>
        <w:rPr>
          <w:rFonts w:ascii="Palatino Linotype" w:eastAsia="Palatino Linotype" w:hAnsi="Palatino Linotype" w:cs="Palatino Linotype"/>
          <w:i/>
        </w:rPr>
      </w:pPr>
      <w:r>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2449C" w:rsidRDefault="00D2449C">
      <w:pPr>
        <w:ind w:left="709" w:right="709"/>
        <w:jc w:val="both"/>
        <w:rPr>
          <w:rFonts w:ascii="Palatino Linotype" w:eastAsia="Palatino Linotype" w:hAnsi="Palatino Linotype" w:cs="Palatino Linotype"/>
          <w:i/>
        </w:rPr>
      </w:pPr>
    </w:p>
    <w:p w:rsidR="00D2449C" w:rsidRDefault="00253C38">
      <w:pPr>
        <w:ind w:left="709" w:right="709"/>
        <w:jc w:val="both"/>
        <w:rPr>
          <w:rFonts w:ascii="Palatino Linotype" w:eastAsia="Palatino Linotype" w:hAnsi="Palatino Linotype" w:cs="Palatino Linotype"/>
          <w:i/>
        </w:rPr>
      </w:pPr>
      <w:r>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rsidR="00D2449C" w:rsidRDefault="00D2449C">
      <w:pPr>
        <w:spacing w:line="360" w:lineRule="auto"/>
        <w:jc w:val="both"/>
        <w:rPr>
          <w:rFonts w:ascii="Palatino Linotype" w:eastAsia="Palatino Linotype" w:hAnsi="Palatino Linotype" w:cs="Palatino Linotype"/>
          <w:i/>
        </w:rPr>
      </w:pPr>
    </w:p>
    <w:p w:rsidR="00D2449C" w:rsidRDefault="00253C38">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 xml:space="preserve">En esa tesitura, atendiendo a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notificó la respuesta a la solicitud de información pública el día</w:t>
      </w:r>
      <w:r>
        <w:rPr>
          <w:rFonts w:ascii="Palatino Linotype" w:eastAsia="Palatino Linotype" w:hAnsi="Palatino Linotype" w:cs="Palatino Linotype"/>
          <w:b/>
          <w:sz w:val="24"/>
          <w:szCs w:val="24"/>
        </w:rPr>
        <w:t xml:space="preserve"> veintinueve de octubre de dos mil veintiuno</w:t>
      </w:r>
      <w:r>
        <w:rPr>
          <w:rFonts w:ascii="Palatino Linotype" w:eastAsia="Palatino Linotype" w:hAnsi="Palatino Linotype" w:cs="Palatino Linotype"/>
          <w:sz w:val="24"/>
          <w:szCs w:val="24"/>
        </w:rPr>
        <w:t xml:space="preserve">; por lo que el plazo de quince días hábiles que prevé el artículo 178 de la Ley de Transparencia y Acceso a la Información Pública del Estado de México y Municipios, el cual  otorga 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para presentar el recurso de revisión, transcurrió del </w:t>
      </w:r>
      <w:r>
        <w:rPr>
          <w:rFonts w:ascii="Palatino Linotype" w:eastAsia="Palatino Linotype" w:hAnsi="Palatino Linotype" w:cs="Palatino Linotype"/>
          <w:b/>
          <w:sz w:val="24"/>
          <w:szCs w:val="24"/>
        </w:rPr>
        <w:t>uno de noviembre al veintitrés de noviembre de dos mil veintiuno</w:t>
      </w:r>
      <w:r>
        <w:rPr>
          <w:rFonts w:ascii="Palatino Linotype" w:eastAsia="Palatino Linotype" w:hAnsi="Palatino Linotype" w:cs="Palatino Linotype"/>
          <w:sz w:val="24"/>
          <w:szCs w:val="24"/>
        </w:rPr>
        <w:t>, sin contemplar en el cómputo los días, treinta y treinta y uno de octubre, dos, seis, siete, trece, catorce, quince, veinte y veintiuno de noviembre de dos mil veintiuno por ser considerados como días inhábiles, en términos del artículo 3 fracción X de la Ley de Transparencia y Acceso a la Información Pública del Estado de México y Municipios.</w:t>
      </w:r>
    </w:p>
    <w:p w:rsidR="00D2449C" w:rsidRDefault="00253C38">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que queda claro que, si el recurso de revisión que nos ocupa, se interpuso el día</w:t>
      </w:r>
      <w:r>
        <w:rPr>
          <w:rFonts w:ascii="Palatino Linotype" w:eastAsia="Palatino Linotype" w:hAnsi="Palatino Linotype" w:cs="Palatino Linotype"/>
          <w:b/>
          <w:color w:val="000000"/>
          <w:sz w:val="24"/>
          <w:szCs w:val="24"/>
        </w:rPr>
        <w:t xml:space="preserve"> veinticuatro de noviembre de dos mil veintiuno</w:t>
      </w:r>
      <w:r>
        <w:rPr>
          <w:rFonts w:ascii="Palatino Linotype" w:eastAsia="Palatino Linotype" w:hAnsi="Palatino Linotype" w:cs="Palatino Linotype"/>
          <w:color w:val="000000"/>
          <w:sz w:val="24"/>
          <w:szCs w:val="24"/>
        </w:rPr>
        <w:t xml:space="preserve">, la interposición del presente recurso de revisión se encuentra </w:t>
      </w:r>
      <w:r>
        <w:rPr>
          <w:rFonts w:ascii="Palatino Linotype" w:eastAsia="Palatino Linotype" w:hAnsi="Palatino Linotype" w:cs="Palatino Linotype"/>
          <w:b/>
          <w:color w:val="000000"/>
          <w:sz w:val="24"/>
          <w:szCs w:val="24"/>
        </w:rPr>
        <w:t>fuera</w:t>
      </w:r>
      <w:r>
        <w:rPr>
          <w:rFonts w:ascii="Palatino Linotype" w:eastAsia="Palatino Linotype" w:hAnsi="Palatino Linotype" w:cs="Palatino Linotype"/>
          <w:color w:val="000000"/>
          <w:sz w:val="24"/>
          <w:szCs w:val="24"/>
        </w:rPr>
        <w:t xml:space="preserve"> de los márgenes temporales previstos en el precepto legal señalado en el artículo 178 de la Ley de Transparencia y Acceso a la Información Pública del Estado de México y Municipios y, por tanto, su interposición </w:t>
      </w:r>
      <w:r>
        <w:rPr>
          <w:rFonts w:ascii="Palatino Linotype" w:eastAsia="Palatino Linotype" w:hAnsi="Palatino Linotype" w:cs="Palatino Linotype"/>
          <w:b/>
          <w:color w:val="000000"/>
          <w:sz w:val="24"/>
          <w:szCs w:val="24"/>
        </w:rPr>
        <w:t>no se considera oportuna</w:t>
      </w:r>
      <w:r>
        <w:rPr>
          <w:rFonts w:ascii="Palatino Linotype" w:eastAsia="Palatino Linotype" w:hAnsi="Palatino Linotype" w:cs="Palatino Linotype"/>
          <w:color w:val="000000"/>
          <w:sz w:val="24"/>
          <w:szCs w:val="24"/>
        </w:rPr>
        <w:t xml:space="preserve">, al presentarse </w:t>
      </w:r>
      <w:r>
        <w:rPr>
          <w:rFonts w:ascii="Palatino Linotype" w:eastAsia="Palatino Linotype" w:hAnsi="Palatino Linotype" w:cs="Palatino Linotype"/>
          <w:b/>
          <w:color w:val="000000"/>
          <w:sz w:val="24"/>
          <w:szCs w:val="24"/>
        </w:rPr>
        <w:t xml:space="preserve">un día hábil posterior </w:t>
      </w:r>
      <w:r>
        <w:rPr>
          <w:rFonts w:ascii="Palatino Linotype" w:eastAsia="Palatino Linotype" w:hAnsi="Palatino Linotype" w:cs="Palatino Linotype"/>
          <w:color w:val="000000"/>
          <w:sz w:val="24"/>
          <w:szCs w:val="24"/>
        </w:rPr>
        <w:t xml:space="preserve">a la fecha de fenecimiento del plazo otorgado para tales efectos. </w:t>
      </w:r>
    </w:p>
    <w:p w:rsidR="00D2449C" w:rsidRDefault="00D2449C">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rsidR="00D2449C" w:rsidRDefault="00253C3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Dicha situación, se robustece, con el historial de la solicitud de información citado al rubro, localizado en el Sistema de Acceso a la Información Mexiquense (SAIMEX), tal como se muestra a continuación:</w:t>
      </w:r>
    </w:p>
    <w:p w:rsidR="00D2449C" w:rsidRDefault="00D64245">
      <w:pPr>
        <w:spacing w:line="360" w:lineRule="auto"/>
        <w:jc w:val="center"/>
        <w:rPr>
          <w:rFonts w:ascii="Palatino Linotype" w:eastAsia="Palatino Linotype" w:hAnsi="Palatino Linotype" w:cs="Palatino Linotype"/>
          <w:i/>
          <w:sz w:val="40"/>
          <w:szCs w:val="40"/>
        </w:rPr>
      </w:pPr>
      <w:r>
        <w:rPr>
          <w:noProof/>
        </w:rPr>
        <w:lastRenderedPageBreak/>
        <w:drawing>
          <wp:inline distT="0" distB="0" distL="0" distR="0" wp14:anchorId="2DD76A74" wp14:editId="12E9FA1D">
            <wp:extent cx="5610225" cy="2581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6294" r="69960" b="59264"/>
                    <a:stretch/>
                  </pic:blipFill>
                  <pic:spPr bwMode="auto">
                    <a:xfrm>
                      <a:off x="0" y="0"/>
                      <a:ext cx="5632781" cy="2591653"/>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rsidR="00D2449C" w:rsidRDefault="00D2449C">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rsidR="00D2449C" w:rsidRDefault="00253C38">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atención a las consideraciones anteriores, este Instituto advierte que en el presente caso, se actualiza la hipótesis prevista en el artículo 191, fracción I, de la Ley de Transparencia y Acceso a la Información Pública del Estado de México y Municipios, que dispone lo siguiente: </w:t>
      </w:r>
    </w:p>
    <w:p w:rsidR="00D2449C" w:rsidRDefault="00D2449C">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rsidR="00D2449C" w:rsidRDefault="00253C38">
      <w:pPr>
        <w:ind w:left="709" w:right="70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191</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será desechado por improcedente cuando</w:t>
      </w:r>
      <w:r>
        <w:rPr>
          <w:rFonts w:ascii="Palatino Linotype" w:eastAsia="Palatino Linotype" w:hAnsi="Palatino Linotype" w:cs="Palatino Linotype"/>
          <w:i/>
        </w:rPr>
        <w:t xml:space="preserve">: </w:t>
      </w:r>
    </w:p>
    <w:p w:rsidR="00D2449C" w:rsidRDefault="00D2449C">
      <w:pPr>
        <w:ind w:left="709" w:right="709"/>
        <w:jc w:val="both"/>
        <w:rPr>
          <w:rFonts w:ascii="Palatino Linotype" w:eastAsia="Palatino Linotype" w:hAnsi="Palatino Linotype" w:cs="Palatino Linotype"/>
          <w:b/>
          <w:i/>
        </w:rPr>
      </w:pPr>
    </w:p>
    <w:p w:rsidR="00D2449C" w:rsidRDefault="00253C38">
      <w:pPr>
        <w:ind w:left="709" w:right="709"/>
        <w:jc w:val="both"/>
        <w:rPr>
          <w:rFonts w:ascii="Palatino Linotype" w:eastAsia="Palatino Linotype" w:hAnsi="Palatino Linotype" w:cs="Palatino Linotype"/>
          <w:i/>
        </w:rPr>
      </w:pPr>
      <w:r>
        <w:rPr>
          <w:rFonts w:ascii="Palatino Linotype" w:eastAsia="Palatino Linotype" w:hAnsi="Palatino Linotype" w:cs="Palatino Linotype"/>
          <w:b/>
          <w:i/>
        </w:rPr>
        <w:t>I. Sea extemporáneo por haber transcurrido el plazo establecido en la presente Ley, a partir de la respuesta</w:t>
      </w:r>
      <w:r>
        <w:rPr>
          <w:rFonts w:ascii="Palatino Linotype" w:eastAsia="Palatino Linotype" w:hAnsi="Palatino Linotype" w:cs="Palatino Linotype"/>
          <w:i/>
        </w:rPr>
        <w:t>;”</w:t>
      </w:r>
    </w:p>
    <w:p w:rsidR="00D2449C" w:rsidRDefault="00D2449C">
      <w:pPr>
        <w:ind w:left="709" w:right="709"/>
        <w:jc w:val="both"/>
        <w:rPr>
          <w:rFonts w:ascii="Palatino Linotype" w:eastAsia="Palatino Linotype" w:hAnsi="Palatino Linotype" w:cs="Palatino Linotype"/>
          <w:i/>
        </w:rPr>
      </w:pPr>
    </w:p>
    <w:p w:rsidR="00D2449C" w:rsidRDefault="00253C38">
      <w:pPr>
        <w:ind w:left="709" w:right="709"/>
        <w:jc w:val="both"/>
        <w:rPr>
          <w:rFonts w:ascii="Palatino Linotype" w:eastAsia="Palatino Linotype" w:hAnsi="Palatino Linotype" w:cs="Palatino Linotype"/>
        </w:rPr>
      </w:pPr>
      <w:r>
        <w:rPr>
          <w:rFonts w:ascii="Palatino Linotype" w:eastAsia="Palatino Linotype" w:hAnsi="Palatino Linotype" w:cs="Palatino Linotype"/>
        </w:rPr>
        <w:t>(Énfasis añadido)</w:t>
      </w:r>
    </w:p>
    <w:p w:rsidR="00D2449C" w:rsidRDefault="00D2449C">
      <w:pPr>
        <w:spacing w:line="360" w:lineRule="auto"/>
        <w:ind w:right="49"/>
        <w:jc w:val="both"/>
        <w:rPr>
          <w:rFonts w:ascii="Palatino Linotype" w:eastAsia="Palatino Linotype" w:hAnsi="Palatino Linotype" w:cs="Palatino Linotype"/>
        </w:rPr>
      </w:pPr>
    </w:p>
    <w:p w:rsidR="00D2449C" w:rsidRDefault="00253C38">
      <w:pPr>
        <w:widowControl w:val="0"/>
        <w:pBdr>
          <w:top w:val="nil"/>
          <w:left w:val="nil"/>
          <w:bottom w:val="nil"/>
          <w:right w:val="nil"/>
          <w:between w:val="nil"/>
        </w:pBdr>
        <w:tabs>
          <w:tab w:val="left" w:pos="1701"/>
          <w:tab w:val="left" w:pos="1843"/>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manera que al haber sido admitido el recurso, y en atención a lo dispuesto en la </w:t>
      </w:r>
      <w:r>
        <w:rPr>
          <w:rFonts w:ascii="Palatino Linotype" w:eastAsia="Palatino Linotype" w:hAnsi="Palatino Linotype" w:cs="Palatino Linotype"/>
          <w:color w:val="000000"/>
          <w:sz w:val="24"/>
          <w:szCs w:val="24"/>
        </w:rPr>
        <w:lastRenderedPageBreak/>
        <w:t xml:space="preserve">fracción mencionada previamente, lo procedente es </w:t>
      </w:r>
      <w:r>
        <w:rPr>
          <w:rFonts w:ascii="Palatino Linotype" w:eastAsia="Palatino Linotype" w:hAnsi="Palatino Linotype" w:cs="Palatino Linotype"/>
          <w:b/>
          <w:color w:val="000000"/>
          <w:sz w:val="24"/>
          <w:szCs w:val="24"/>
        </w:rPr>
        <w:t>SOBRESEER</w:t>
      </w:r>
      <w:r>
        <w:rPr>
          <w:rFonts w:ascii="Palatino Linotype" w:eastAsia="Palatino Linotype" w:hAnsi="Palatino Linotype" w:cs="Palatino Linotype"/>
          <w:color w:val="000000"/>
          <w:sz w:val="24"/>
          <w:szCs w:val="24"/>
        </w:rPr>
        <w:t xml:space="preserve"> el recurso por existir una causal de improcedencia en términos de lo dispuesto por el artículo 192 de la Ley de Transparencia y Acceso a la Información Pública del Estado de México y Municipios, la cual a letra dice: </w:t>
      </w:r>
    </w:p>
    <w:p w:rsidR="00D2449C" w:rsidRDefault="00D2449C">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rsidR="00D2449C" w:rsidRDefault="00253C38">
      <w:pPr>
        <w:widowControl w:val="0"/>
        <w:pBdr>
          <w:top w:val="nil"/>
          <w:left w:val="nil"/>
          <w:bottom w:val="nil"/>
          <w:right w:val="nil"/>
          <w:between w:val="nil"/>
        </w:pBdr>
        <w:tabs>
          <w:tab w:val="left" w:pos="1701"/>
          <w:tab w:val="left" w:pos="1843"/>
        </w:tabs>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192.</w:t>
      </w:r>
      <w:r>
        <w:rPr>
          <w:rFonts w:ascii="Palatino Linotype" w:eastAsia="Palatino Linotype" w:hAnsi="Palatino Linotype" w:cs="Palatino Linotype"/>
          <w:i/>
          <w:color w:val="000000"/>
        </w:rPr>
        <w:t xml:space="preserve"> El recurso será sobreseído, en todo o en parte, cuando una vez admitido, se actualicen alguno de los siguientes supuestos: </w:t>
      </w:r>
    </w:p>
    <w:p w:rsidR="00D2449C" w:rsidRDefault="00253C38">
      <w:pPr>
        <w:widowControl w:val="0"/>
        <w:numPr>
          <w:ilvl w:val="0"/>
          <w:numId w:val="1"/>
        </w:numPr>
        <w:pBdr>
          <w:top w:val="nil"/>
          <w:left w:val="nil"/>
          <w:bottom w:val="nil"/>
          <w:right w:val="nil"/>
          <w:between w:val="nil"/>
        </w:pBdr>
        <w:tabs>
          <w:tab w:val="left" w:pos="1701"/>
          <w:tab w:val="left" w:pos="1843"/>
        </w:tabs>
        <w:spacing w:after="0" w:line="240" w:lineRule="auto"/>
        <w:ind w:left="1276" w:right="899" w:hanging="42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recurrente se desista expresamente del recurso; </w:t>
      </w:r>
    </w:p>
    <w:p w:rsidR="00D2449C" w:rsidRDefault="00253C38">
      <w:pPr>
        <w:widowControl w:val="0"/>
        <w:numPr>
          <w:ilvl w:val="0"/>
          <w:numId w:val="1"/>
        </w:numPr>
        <w:pBdr>
          <w:top w:val="nil"/>
          <w:left w:val="nil"/>
          <w:bottom w:val="nil"/>
          <w:right w:val="nil"/>
          <w:between w:val="nil"/>
        </w:pBdr>
        <w:tabs>
          <w:tab w:val="left" w:pos="1701"/>
          <w:tab w:val="left" w:pos="1843"/>
        </w:tabs>
        <w:spacing w:after="0" w:line="240" w:lineRule="auto"/>
        <w:ind w:left="1276" w:right="899" w:hanging="42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recurrente fallezca o, tratándose de personas jurídicas colectivas, se disuelva;</w:t>
      </w:r>
    </w:p>
    <w:p w:rsidR="00D2449C" w:rsidRDefault="00253C38">
      <w:pPr>
        <w:widowControl w:val="0"/>
        <w:numPr>
          <w:ilvl w:val="0"/>
          <w:numId w:val="1"/>
        </w:numPr>
        <w:pBdr>
          <w:top w:val="nil"/>
          <w:left w:val="nil"/>
          <w:bottom w:val="nil"/>
          <w:right w:val="nil"/>
          <w:between w:val="nil"/>
        </w:pBdr>
        <w:tabs>
          <w:tab w:val="left" w:pos="1701"/>
          <w:tab w:val="left" w:pos="1843"/>
        </w:tabs>
        <w:spacing w:after="0" w:line="240" w:lineRule="auto"/>
        <w:ind w:left="1276" w:right="899" w:hanging="42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sujeto obligado responsable del acto lo modifique o revoque de tal manera que el recurso de revisión quede sin materia; </w:t>
      </w:r>
    </w:p>
    <w:p w:rsidR="00D2449C" w:rsidRDefault="00253C38">
      <w:pPr>
        <w:widowControl w:val="0"/>
        <w:numPr>
          <w:ilvl w:val="0"/>
          <w:numId w:val="1"/>
        </w:numPr>
        <w:pBdr>
          <w:top w:val="nil"/>
          <w:left w:val="nil"/>
          <w:bottom w:val="nil"/>
          <w:right w:val="nil"/>
          <w:between w:val="nil"/>
        </w:pBdr>
        <w:tabs>
          <w:tab w:val="left" w:pos="1701"/>
          <w:tab w:val="left" w:pos="1843"/>
        </w:tabs>
        <w:spacing w:after="0" w:line="240" w:lineRule="auto"/>
        <w:ind w:left="1276" w:right="899" w:hanging="425"/>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Admitido el recurso de revisión, aparezca alguna causal de improcedencia en los términos de la presente Ley; y </w:t>
      </w:r>
    </w:p>
    <w:p w:rsidR="00D2449C" w:rsidRDefault="00253C38">
      <w:pPr>
        <w:widowControl w:val="0"/>
        <w:numPr>
          <w:ilvl w:val="0"/>
          <w:numId w:val="1"/>
        </w:numPr>
        <w:pBdr>
          <w:top w:val="nil"/>
          <w:left w:val="nil"/>
          <w:bottom w:val="nil"/>
          <w:right w:val="nil"/>
          <w:between w:val="nil"/>
        </w:pBdr>
        <w:tabs>
          <w:tab w:val="left" w:pos="1701"/>
          <w:tab w:val="left" w:pos="1843"/>
        </w:tabs>
        <w:spacing w:after="0" w:line="240" w:lineRule="auto"/>
        <w:ind w:left="1276" w:right="899" w:hanging="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rPr>
        <w:t>Cuando por cualquier motivo quede sin materia el recurso</w:t>
      </w:r>
      <w:r>
        <w:rPr>
          <w:rFonts w:ascii="Times New Roman" w:eastAsia="Times New Roman" w:hAnsi="Times New Roman" w:cs="Times New Roman"/>
          <w:color w:val="000000"/>
          <w:sz w:val="24"/>
          <w:szCs w:val="24"/>
        </w:rPr>
        <w:t>”</w:t>
      </w:r>
    </w:p>
    <w:p w:rsidR="00D2449C" w:rsidRDefault="00253C38">
      <w:pPr>
        <w:widowControl w:val="0"/>
        <w:pBdr>
          <w:top w:val="nil"/>
          <w:left w:val="nil"/>
          <w:bottom w:val="nil"/>
          <w:right w:val="nil"/>
          <w:between w:val="nil"/>
        </w:pBdr>
        <w:tabs>
          <w:tab w:val="left" w:pos="1701"/>
          <w:tab w:val="left" w:pos="1843"/>
        </w:tabs>
        <w:spacing w:after="0" w:line="240" w:lineRule="auto"/>
        <w:ind w:left="1276" w:right="89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rPr>
        <w:t>(Énfasis añadido)</w:t>
      </w:r>
    </w:p>
    <w:p w:rsidR="00D2449C" w:rsidRDefault="00D2449C">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rsidR="00D2449C" w:rsidRDefault="00253C38">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lo anterior, se obvia el análisis de fondo en el presente recurso de revisión, respecto del acto impugnado señalado por </w:t>
      </w:r>
      <w:r>
        <w:rPr>
          <w:rFonts w:ascii="Palatino Linotype" w:eastAsia="Palatino Linotype" w:hAnsi="Palatino Linotype" w:cs="Palatino Linotype"/>
          <w:b/>
          <w:color w:val="000000"/>
          <w:sz w:val="24"/>
          <w:szCs w:val="24"/>
        </w:rPr>
        <w:t>EL RECURRENTE</w:t>
      </w:r>
      <w:r>
        <w:rPr>
          <w:rFonts w:ascii="Palatino Linotype" w:eastAsia="Palatino Linotype" w:hAnsi="Palatino Linotype" w:cs="Palatino Linotype"/>
          <w:color w:val="000000"/>
          <w:sz w:val="24"/>
          <w:szCs w:val="24"/>
        </w:rPr>
        <w:t xml:space="preserve">, pues aunque éstas resultaren fundadas, en nada abonaría llegar a dicha conclusión, derivado que el recurso de revisión debe desecharse por ser notoriamente improcedente al haberse interpuesto de manera extemporánea. </w:t>
      </w:r>
    </w:p>
    <w:p w:rsidR="00D2449C" w:rsidRDefault="00D2449C">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rsidR="00D2449C" w:rsidRDefault="00253C38">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Sirve de apoyo a lo anterior, por analogía la Tesis Jurisprudencial con número de registro 2015230 de la Décima Época de la Primera Sala de la Suprema Corte de Justicia de la Nación, publicada en la página 273 del Libro 47, Tomo I, de octubre de 2017, del Semanario Judicial de la Federación y su Gaceta, misma que es del tenor </w:t>
      </w:r>
      <w:r>
        <w:rPr>
          <w:rFonts w:ascii="Palatino Linotype" w:eastAsia="Palatino Linotype" w:hAnsi="Palatino Linotype" w:cs="Palatino Linotype"/>
          <w:color w:val="000000"/>
          <w:sz w:val="24"/>
          <w:szCs w:val="24"/>
        </w:rPr>
        <w:lastRenderedPageBreak/>
        <w:t>literal siguiente:</w:t>
      </w:r>
    </w:p>
    <w:p w:rsidR="00D2449C" w:rsidRDefault="00D2449C">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rsidR="00D2449C" w:rsidRDefault="00253C38">
      <w:pPr>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RECURSO DE RECLAMACIÓN. SI SE DESECHA EL DE REVISIÓN POR NO SUBSISTIR UN PLANTEAMIENTO DE CONSTITUCIONALIDAD, PERO A LA VEZ, PORQUE SU INTERPOSICIÓN RESULTÓ EXTEMPORÁNEA, DEBEN ANALIZARSE EN PRIMER TÉRMINO LOS AGRAVIOS RELACIONADOS CON ESTA ÚLTIMA CUESTIÓN. </w:t>
      </w:r>
      <w:r>
        <w:rPr>
          <w:rFonts w:ascii="Palatino Linotype" w:eastAsia="Palatino Linotype" w:hAnsi="Palatino Linotype" w:cs="Palatino Linotype"/>
          <w:i/>
          <w:color w:val="000000"/>
        </w:rPr>
        <w:t xml:space="preserve">Cuando el Presidente de la Suprema Corte de Justicia de la Nación desecha el recurso de revisión en amparo directo por ser: 1) improcedente (al no existir algún concepto de violación sobre la inconstitucionalidad, incluyendo inconvencionalidad, de una norma de carácter general o se solicitó la interpretación de algún precepto constitucional o de un tratado internacional y, en consecuencia, en el fallo impugnado no se decidió u omitió decidir sobre esas cuestiones ni se estableció su interpretación directa); y, a la vez, 2) extemporáneo, </w:t>
      </w:r>
      <w:r>
        <w:rPr>
          <w:rFonts w:ascii="Palatino Linotype" w:eastAsia="Palatino Linotype" w:hAnsi="Palatino Linotype" w:cs="Palatino Linotype"/>
          <w:b/>
          <w:i/>
          <w:color w:val="000000"/>
        </w:rPr>
        <w:t>deben analizarse en primer término los agravios relacionados con su oportunidad, pues de resultar éstos infundados, sería innecesario analizar las otras consideraciones que sustentan el desechamiento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pues aunque se demuestre que sí existía un planteamiento de constitucionalidad, el recurso de cualquier forma sería extemporáneo</w:t>
      </w:r>
      <w:r>
        <w:rPr>
          <w:rFonts w:ascii="Palatino Linotype" w:eastAsia="Palatino Linotype" w:hAnsi="Palatino Linotype" w:cs="Palatino Linotype"/>
          <w:i/>
          <w:color w:val="000000"/>
        </w:rPr>
        <w:t>.”</w:t>
      </w:r>
    </w:p>
    <w:p w:rsidR="00D2449C" w:rsidRDefault="00D2449C">
      <w:pPr>
        <w:tabs>
          <w:tab w:val="left" w:pos="9214"/>
        </w:tabs>
        <w:ind w:left="709" w:right="709"/>
        <w:jc w:val="both"/>
        <w:rPr>
          <w:rFonts w:ascii="Palatino Linotype" w:eastAsia="Palatino Linotype" w:hAnsi="Palatino Linotype" w:cs="Palatino Linotype"/>
          <w:i/>
          <w:color w:val="000000"/>
        </w:rPr>
      </w:pPr>
    </w:p>
    <w:p w:rsidR="00D2449C" w:rsidRDefault="00253C38">
      <w:pPr>
        <w:ind w:left="709" w:right="709"/>
        <w:jc w:val="both"/>
        <w:rPr>
          <w:rFonts w:ascii="Palatino Linotype" w:eastAsia="Palatino Linotype" w:hAnsi="Palatino Linotype" w:cs="Palatino Linotype"/>
        </w:rPr>
      </w:pPr>
      <w:r>
        <w:rPr>
          <w:rFonts w:ascii="Palatino Linotype" w:eastAsia="Palatino Linotype" w:hAnsi="Palatino Linotype" w:cs="Palatino Linotype"/>
        </w:rPr>
        <w:t>(Énfasis añadido)</w:t>
      </w:r>
    </w:p>
    <w:p w:rsidR="00D2449C" w:rsidRDefault="00D2449C">
      <w:pPr>
        <w:spacing w:line="360" w:lineRule="auto"/>
        <w:ind w:left="709" w:right="709"/>
        <w:jc w:val="both"/>
        <w:rPr>
          <w:rFonts w:ascii="Palatino Linotype" w:eastAsia="Palatino Linotype" w:hAnsi="Palatino Linotype" w:cs="Palatino Linotype"/>
        </w:rPr>
      </w:pPr>
    </w:p>
    <w:p w:rsidR="00D2449C" w:rsidRDefault="00253C38">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consecuencia, se determina </w:t>
      </w:r>
      <w:r>
        <w:rPr>
          <w:rFonts w:ascii="Palatino Linotype" w:eastAsia="Palatino Linotype" w:hAnsi="Palatino Linotype" w:cs="Palatino Linotype"/>
          <w:b/>
          <w:color w:val="000000"/>
          <w:sz w:val="24"/>
          <w:szCs w:val="24"/>
        </w:rPr>
        <w:t>SOBRESEER</w:t>
      </w:r>
      <w:r>
        <w:rPr>
          <w:rFonts w:ascii="Palatino Linotype" w:eastAsia="Palatino Linotype" w:hAnsi="Palatino Linotype" w:cs="Palatino Linotype"/>
          <w:color w:val="000000"/>
          <w:sz w:val="24"/>
          <w:szCs w:val="24"/>
        </w:rPr>
        <w:t xml:space="preserve"> el presente recurso de revisión por extemporáneo, en términos del artículo 186, fracción I, de la Ley de Transparencia y Acceso a la Información Pública del Estado de México y Municipios, al ser interpuesto de manera extemporánea respecto del plazo otorgado para tales efectos:</w:t>
      </w:r>
    </w:p>
    <w:p w:rsidR="00D2449C" w:rsidRDefault="00D2449C">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2449C" w:rsidRDefault="00253C38">
      <w:pPr>
        <w:ind w:left="709" w:right="70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186. Las resoluciones del Instituto podrán</w:t>
      </w:r>
      <w:r>
        <w:rPr>
          <w:rFonts w:ascii="Palatino Linotype" w:eastAsia="Palatino Linotype" w:hAnsi="Palatino Linotype" w:cs="Palatino Linotype"/>
          <w:i/>
        </w:rPr>
        <w:t xml:space="preserve">: </w:t>
      </w:r>
    </w:p>
    <w:p w:rsidR="00D2449C" w:rsidRDefault="00D2449C">
      <w:pPr>
        <w:ind w:left="709" w:right="709"/>
        <w:jc w:val="both"/>
        <w:rPr>
          <w:rFonts w:ascii="Palatino Linotype" w:eastAsia="Palatino Linotype" w:hAnsi="Palatino Linotype" w:cs="Palatino Linotype"/>
          <w:b/>
          <w:i/>
        </w:rPr>
      </w:pPr>
    </w:p>
    <w:p w:rsidR="00D2449C" w:rsidRDefault="00253C38">
      <w:pPr>
        <w:ind w:left="709" w:right="709"/>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I. </w:t>
      </w:r>
      <w:r>
        <w:rPr>
          <w:rFonts w:ascii="Palatino Linotype" w:eastAsia="Palatino Linotype" w:hAnsi="Palatino Linotype" w:cs="Palatino Linotype"/>
          <w:i/>
        </w:rPr>
        <w:t xml:space="preserve">Desechar o </w:t>
      </w:r>
      <w:r>
        <w:rPr>
          <w:rFonts w:ascii="Palatino Linotype" w:eastAsia="Palatino Linotype" w:hAnsi="Palatino Linotype" w:cs="Palatino Linotype"/>
          <w:b/>
          <w:i/>
        </w:rPr>
        <w:t>sobreseer el recurso</w:t>
      </w:r>
      <w:r>
        <w:rPr>
          <w:rFonts w:ascii="Palatino Linotype" w:eastAsia="Palatino Linotype" w:hAnsi="Palatino Linotype" w:cs="Palatino Linotype"/>
          <w:i/>
        </w:rPr>
        <w:t xml:space="preserve">;” </w:t>
      </w:r>
    </w:p>
    <w:p w:rsidR="00D2449C" w:rsidRDefault="00D2449C">
      <w:pPr>
        <w:ind w:left="709" w:right="709"/>
        <w:jc w:val="both"/>
        <w:rPr>
          <w:rFonts w:ascii="Palatino Linotype" w:eastAsia="Palatino Linotype" w:hAnsi="Palatino Linotype" w:cs="Palatino Linotype"/>
        </w:rPr>
      </w:pPr>
    </w:p>
    <w:p w:rsidR="00D2449C" w:rsidRDefault="00253C38">
      <w:pPr>
        <w:ind w:left="709" w:right="709"/>
        <w:jc w:val="both"/>
        <w:rPr>
          <w:rFonts w:ascii="Palatino Linotype" w:eastAsia="Palatino Linotype" w:hAnsi="Palatino Linotype" w:cs="Palatino Linotype"/>
        </w:rPr>
      </w:pPr>
      <w:r>
        <w:rPr>
          <w:rFonts w:ascii="Palatino Linotype" w:eastAsia="Palatino Linotype" w:hAnsi="Palatino Linotype" w:cs="Palatino Linotype"/>
        </w:rPr>
        <w:t>(Énfasis añadido)</w:t>
      </w:r>
    </w:p>
    <w:p w:rsidR="00D2449C" w:rsidRDefault="00D2449C">
      <w:pPr>
        <w:spacing w:line="360" w:lineRule="auto"/>
        <w:ind w:left="709" w:right="709"/>
        <w:jc w:val="both"/>
        <w:rPr>
          <w:rFonts w:ascii="Palatino Linotype" w:eastAsia="Palatino Linotype" w:hAnsi="Palatino Linotype" w:cs="Palatino Linotype"/>
        </w:rPr>
      </w:pPr>
    </w:p>
    <w:p w:rsidR="00D2449C" w:rsidRDefault="00253C38">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No obstante se dejan a salvo los derechos del particular para presentar una nueva solicitud, en caso de ser de su interés. </w:t>
      </w:r>
    </w:p>
    <w:p w:rsidR="00D2449C" w:rsidRDefault="00D2449C">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2449C" w:rsidRDefault="00253C38">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con fundamento en lo prescrito en los artículos 5, párrafos vigésimo segundo, vigésimo tercero y vigésimo cuarto,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D2449C" w:rsidRDefault="00D2449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p>
    <w:p w:rsidR="00D2449C" w:rsidRDefault="00253C38">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rsidR="00D2449C" w:rsidRDefault="00253C38">
      <w:pPr>
        <w:widowControl w:val="0"/>
        <w:numPr>
          <w:ilvl w:val="0"/>
          <w:numId w:val="2"/>
        </w:numPr>
        <w:pBdr>
          <w:top w:val="nil"/>
          <w:left w:val="nil"/>
          <w:bottom w:val="nil"/>
          <w:right w:val="nil"/>
          <w:between w:val="nil"/>
        </w:pBdr>
        <w:tabs>
          <w:tab w:val="left" w:pos="1701"/>
        </w:tabs>
        <w:spacing w:after="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 xml:space="preserve">SOBRESEE </w:t>
      </w:r>
      <w:r>
        <w:rPr>
          <w:rFonts w:ascii="Palatino Linotype" w:eastAsia="Palatino Linotype" w:hAnsi="Palatino Linotype" w:cs="Palatino Linotype"/>
          <w:color w:val="000000"/>
          <w:sz w:val="24"/>
          <w:szCs w:val="24"/>
        </w:rPr>
        <w:t>por resultar extemporáneo y por lo tanto improcedente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el presente recurso de revisión número </w:t>
      </w:r>
      <w:r>
        <w:rPr>
          <w:rFonts w:ascii="Palatino Linotype" w:eastAsia="Palatino Linotype" w:hAnsi="Palatino Linotype" w:cs="Palatino Linotype"/>
          <w:b/>
          <w:color w:val="000000"/>
          <w:sz w:val="24"/>
          <w:szCs w:val="24"/>
        </w:rPr>
        <w:t>05839/INFOEM/IP/RR/2020</w:t>
      </w:r>
      <w:r>
        <w:rPr>
          <w:rFonts w:ascii="Palatino Linotype" w:eastAsia="Palatino Linotype" w:hAnsi="Palatino Linotype" w:cs="Palatino Linotype"/>
          <w:color w:val="000000"/>
          <w:sz w:val="24"/>
          <w:szCs w:val="24"/>
        </w:rPr>
        <w:t xml:space="preserve"> en términos del Considerando </w:t>
      </w: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de la presente resolución.</w:t>
      </w:r>
    </w:p>
    <w:p w:rsidR="00D2449C" w:rsidRDefault="00D2449C">
      <w:pPr>
        <w:widowControl w:val="0"/>
        <w:pBdr>
          <w:top w:val="nil"/>
          <w:left w:val="nil"/>
          <w:bottom w:val="nil"/>
          <w:right w:val="nil"/>
          <w:between w:val="nil"/>
        </w:pBdr>
        <w:tabs>
          <w:tab w:val="left" w:pos="1701"/>
        </w:tabs>
        <w:spacing w:after="0" w:line="360" w:lineRule="auto"/>
        <w:jc w:val="both"/>
        <w:rPr>
          <w:rFonts w:ascii="Palatino Linotype" w:eastAsia="Palatino Linotype" w:hAnsi="Palatino Linotype" w:cs="Palatino Linotype"/>
          <w:color w:val="000000"/>
          <w:sz w:val="24"/>
          <w:szCs w:val="24"/>
        </w:rPr>
      </w:pPr>
    </w:p>
    <w:p w:rsidR="00D2449C" w:rsidRDefault="00253C38">
      <w:pPr>
        <w:widowControl w:val="0"/>
        <w:numPr>
          <w:ilvl w:val="0"/>
          <w:numId w:val="2"/>
        </w:numPr>
        <w:pBdr>
          <w:top w:val="nil"/>
          <w:left w:val="nil"/>
          <w:bottom w:val="nil"/>
          <w:right w:val="nil"/>
          <w:between w:val="nil"/>
        </w:pBdr>
        <w:tabs>
          <w:tab w:val="left" w:pos="1701"/>
        </w:tabs>
        <w:spacing w:after="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222222"/>
          <w:sz w:val="24"/>
          <w:szCs w:val="24"/>
          <w:highlight w:val="white"/>
        </w:rPr>
        <w:t xml:space="preserve">Notifíquese </w:t>
      </w:r>
      <w:r>
        <w:rPr>
          <w:rFonts w:ascii="Palatino Linotype" w:eastAsia="Palatino Linotype" w:hAnsi="Palatino Linotype" w:cs="Palatino Linotype"/>
          <w:color w:val="222222"/>
          <w:sz w:val="24"/>
          <w:szCs w:val="24"/>
          <w:highlight w:val="white"/>
        </w:rPr>
        <w:t xml:space="preserve">al </w:t>
      </w:r>
      <w:r>
        <w:rPr>
          <w:rFonts w:ascii="Palatino Linotype" w:eastAsia="Palatino Linotype" w:hAnsi="Palatino Linotype" w:cs="Palatino Linotype"/>
          <w:color w:val="000000"/>
          <w:sz w:val="24"/>
          <w:szCs w:val="24"/>
        </w:rPr>
        <w:t>Titular</w:t>
      </w:r>
      <w:r>
        <w:rPr>
          <w:rFonts w:ascii="Palatino Linotype" w:eastAsia="Palatino Linotype" w:hAnsi="Palatino Linotype" w:cs="Palatino Linotype"/>
          <w:color w:val="222222"/>
          <w:sz w:val="24"/>
          <w:szCs w:val="24"/>
          <w:highlight w:val="white"/>
        </w:rPr>
        <w:t xml:space="preserve"> de la Unidad de Transparencia del </w:t>
      </w:r>
      <w:r>
        <w:rPr>
          <w:rFonts w:ascii="Palatino Linotype" w:eastAsia="Palatino Linotype" w:hAnsi="Palatino Linotype" w:cs="Palatino Linotype"/>
          <w:b/>
          <w:color w:val="222222"/>
          <w:sz w:val="24"/>
          <w:szCs w:val="24"/>
          <w:highlight w:val="white"/>
        </w:rPr>
        <w:t>SUJETO OBLIGADO</w:t>
      </w:r>
      <w:r>
        <w:rPr>
          <w:rFonts w:ascii="Palatino Linotype" w:eastAsia="Palatino Linotype" w:hAnsi="Palatino Linotype" w:cs="Palatino Linotype"/>
          <w:color w:val="222222"/>
          <w:sz w:val="24"/>
          <w:szCs w:val="24"/>
          <w:highlight w:val="white"/>
        </w:rPr>
        <w:t xml:space="preserve"> vía </w:t>
      </w:r>
      <w:r>
        <w:rPr>
          <w:rFonts w:ascii="Palatino Linotype" w:eastAsia="Palatino Linotype" w:hAnsi="Palatino Linotype" w:cs="Palatino Linotype"/>
          <w:b/>
          <w:color w:val="222222"/>
          <w:sz w:val="24"/>
          <w:szCs w:val="24"/>
          <w:highlight w:val="white"/>
        </w:rPr>
        <w:t>SAIMEX</w:t>
      </w:r>
      <w:r>
        <w:rPr>
          <w:rFonts w:ascii="Palatino Linotype" w:eastAsia="Palatino Linotype" w:hAnsi="Palatino Linotype" w:cs="Palatino Linotype"/>
          <w:color w:val="222222"/>
          <w:sz w:val="24"/>
          <w:szCs w:val="24"/>
          <w:highlight w:val="white"/>
        </w:rPr>
        <w:t xml:space="preserve"> para su conocimiento. </w:t>
      </w:r>
    </w:p>
    <w:p w:rsidR="00D2449C" w:rsidRDefault="00D2449C">
      <w:pPr>
        <w:widowControl w:val="0"/>
        <w:pBdr>
          <w:top w:val="nil"/>
          <w:left w:val="nil"/>
          <w:bottom w:val="nil"/>
          <w:right w:val="nil"/>
          <w:between w:val="nil"/>
        </w:pBdr>
        <w:tabs>
          <w:tab w:val="left" w:pos="1701"/>
        </w:tabs>
        <w:spacing w:after="0" w:line="360" w:lineRule="auto"/>
        <w:jc w:val="both"/>
        <w:rPr>
          <w:rFonts w:ascii="Palatino Linotype" w:eastAsia="Palatino Linotype" w:hAnsi="Palatino Linotype" w:cs="Palatino Linotype"/>
          <w:color w:val="000000"/>
          <w:sz w:val="24"/>
          <w:szCs w:val="24"/>
        </w:rPr>
      </w:pPr>
    </w:p>
    <w:p w:rsidR="00D2449C" w:rsidRDefault="00253C38">
      <w:pPr>
        <w:widowControl w:val="0"/>
        <w:numPr>
          <w:ilvl w:val="0"/>
          <w:numId w:val="2"/>
        </w:numPr>
        <w:pBdr>
          <w:top w:val="nil"/>
          <w:left w:val="nil"/>
          <w:bottom w:val="nil"/>
          <w:right w:val="nil"/>
          <w:between w:val="nil"/>
        </w:pBdr>
        <w:tabs>
          <w:tab w:val="left" w:pos="1701"/>
        </w:tabs>
        <w:spacing w:after="0" w:line="360" w:lineRule="auto"/>
        <w:ind w:left="0" w:firstLine="0"/>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color w:val="222222"/>
          <w:sz w:val="24"/>
          <w:szCs w:val="24"/>
        </w:rPr>
        <w:lastRenderedPageBreak/>
        <w:t>Notifíquese</w:t>
      </w:r>
      <w:r>
        <w:rPr>
          <w:rFonts w:ascii="Palatino Linotype" w:eastAsia="Palatino Linotype" w:hAnsi="Palatino Linotype" w:cs="Palatino Linotype"/>
          <w:color w:val="222222"/>
          <w:sz w:val="24"/>
          <w:szCs w:val="24"/>
        </w:rPr>
        <w:t xml:space="preserve"> al </w:t>
      </w:r>
      <w:r>
        <w:rPr>
          <w:rFonts w:ascii="Palatino Linotype" w:eastAsia="Palatino Linotype" w:hAnsi="Palatino Linotype" w:cs="Palatino Linotype"/>
          <w:b/>
          <w:color w:val="222222"/>
          <w:sz w:val="24"/>
          <w:szCs w:val="24"/>
        </w:rPr>
        <w:t>RECURRENTE</w:t>
      </w:r>
      <w:r>
        <w:rPr>
          <w:rFonts w:ascii="Palatino Linotype" w:eastAsia="Palatino Linotype" w:hAnsi="Palatino Linotype" w:cs="Palatino Linotype"/>
          <w:color w:val="222222"/>
          <w:sz w:val="24"/>
          <w:szCs w:val="24"/>
        </w:rPr>
        <w:t xml:space="preserve"> vía </w:t>
      </w:r>
      <w:r>
        <w:rPr>
          <w:rFonts w:ascii="Palatino Linotype" w:eastAsia="Palatino Linotype" w:hAnsi="Palatino Linotype" w:cs="Palatino Linotype"/>
          <w:b/>
          <w:color w:val="222222"/>
          <w:sz w:val="24"/>
          <w:szCs w:val="24"/>
        </w:rPr>
        <w:t>SAIMEX</w:t>
      </w:r>
      <w:r>
        <w:rPr>
          <w:rFonts w:ascii="Palatino Linotype" w:eastAsia="Palatino Linotype" w:hAnsi="Palatino Linotype" w:cs="Palatino Linotype"/>
          <w:color w:val="222222"/>
          <w:sz w:val="24"/>
          <w:szCs w:val="24"/>
        </w:rPr>
        <w:t xml:space="preserve"> la </w:t>
      </w:r>
      <w:r>
        <w:rPr>
          <w:rFonts w:ascii="Palatino Linotype" w:eastAsia="Palatino Linotype" w:hAnsi="Palatino Linotype" w:cs="Palatino Linotype"/>
          <w:color w:val="000000"/>
          <w:sz w:val="24"/>
          <w:szCs w:val="24"/>
        </w:rPr>
        <w:t>presente</w:t>
      </w:r>
      <w:r>
        <w:rPr>
          <w:rFonts w:ascii="Palatino Linotype" w:eastAsia="Palatino Linotype" w:hAnsi="Palatino Linotype" w:cs="Palatino Linotype"/>
          <w:color w:val="222222"/>
          <w:sz w:val="24"/>
          <w:szCs w:val="24"/>
        </w:rPr>
        <w:t xml:space="preserve"> resolución.</w:t>
      </w:r>
    </w:p>
    <w:p w:rsidR="00D2449C" w:rsidRDefault="00D2449C">
      <w:pPr>
        <w:widowControl w:val="0"/>
        <w:pBdr>
          <w:top w:val="nil"/>
          <w:left w:val="nil"/>
          <w:bottom w:val="nil"/>
          <w:right w:val="nil"/>
          <w:between w:val="nil"/>
        </w:pBdr>
        <w:tabs>
          <w:tab w:val="left" w:pos="1701"/>
        </w:tabs>
        <w:spacing w:after="0" w:line="360" w:lineRule="auto"/>
        <w:jc w:val="both"/>
        <w:rPr>
          <w:rFonts w:ascii="Palatino Linotype" w:eastAsia="Palatino Linotype" w:hAnsi="Palatino Linotype" w:cs="Palatino Linotype"/>
          <w:color w:val="222222"/>
          <w:sz w:val="24"/>
          <w:szCs w:val="24"/>
        </w:rPr>
      </w:pPr>
    </w:p>
    <w:p w:rsidR="00D2449C" w:rsidRDefault="00253C38">
      <w:pPr>
        <w:widowControl w:val="0"/>
        <w:numPr>
          <w:ilvl w:val="0"/>
          <w:numId w:val="2"/>
        </w:numPr>
        <w:pBdr>
          <w:top w:val="nil"/>
          <w:left w:val="nil"/>
          <w:bottom w:val="nil"/>
          <w:right w:val="nil"/>
          <w:between w:val="nil"/>
        </w:pBdr>
        <w:tabs>
          <w:tab w:val="left" w:pos="1701"/>
        </w:tabs>
        <w:spacing w:after="0" w:line="360" w:lineRule="auto"/>
        <w:ind w:left="0" w:firstLine="0"/>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color w:val="222222"/>
          <w:sz w:val="24"/>
          <w:szCs w:val="24"/>
        </w:rPr>
        <w:t>NOTIFIQUESE</w:t>
      </w:r>
      <w:r>
        <w:rPr>
          <w:rFonts w:ascii="Palatino Linotype" w:eastAsia="Palatino Linotype" w:hAnsi="Palatino Linotype" w:cs="Palatino Linotype"/>
          <w:color w:val="222222"/>
          <w:sz w:val="24"/>
          <w:szCs w:val="24"/>
        </w:rPr>
        <w:t xml:space="preserve"> al </w:t>
      </w:r>
      <w:r>
        <w:rPr>
          <w:rFonts w:ascii="Palatino Linotype" w:eastAsia="Palatino Linotype" w:hAnsi="Palatino Linotype" w:cs="Palatino Linotype"/>
          <w:b/>
          <w:color w:val="222222"/>
          <w:sz w:val="24"/>
          <w:szCs w:val="24"/>
        </w:rPr>
        <w:t>RECURRENTE</w:t>
      </w:r>
      <w:r>
        <w:rPr>
          <w:rFonts w:ascii="Palatino Linotype" w:eastAsia="Palatino Linotype" w:hAnsi="Palatino Linotype" w:cs="Palatino Linotype"/>
          <w:color w:val="222222"/>
          <w:sz w:val="24"/>
          <w:szCs w:val="24"/>
        </w:rPr>
        <w:t xml:space="preserve"> que de </w:t>
      </w:r>
      <w:r>
        <w:rPr>
          <w:rFonts w:ascii="Palatino Linotype" w:eastAsia="Palatino Linotype" w:hAnsi="Palatino Linotype" w:cs="Palatino Linotype"/>
          <w:color w:val="000000"/>
          <w:sz w:val="24"/>
          <w:szCs w:val="24"/>
        </w:rPr>
        <w:t>conformidad</w:t>
      </w:r>
      <w:r>
        <w:rPr>
          <w:rFonts w:ascii="Palatino Linotype" w:eastAsia="Palatino Linotype" w:hAnsi="Palatino Linotype" w:cs="Palatino Linotype"/>
          <w:color w:val="222222"/>
          <w:sz w:val="24"/>
          <w:szCs w:val="24"/>
        </w:rPr>
        <w:t xml:space="preserve"> con lo establecido en el artículo 196 de la Ley de Transparencia y Acceso a la Información Pública del Estado de México y Municipios, podrá impugnarla vía Juicio de Amparo en los términos de las leyes aplicables.</w:t>
      </w:r>
    </w:p>
    <w:p w:rsidR="00D2449C" w:rsidRDefault="00D2449C">
      <w:pPr>
        <w:widowControl w:val="0"/>
        <w:pBdr>
          <w:top w:val="nil"/>
          <w:left w:val="nil"/>
          <w:bottom w:val="nil"/>
          <w:right w:val="nil"/>
          <w:between w:val="nil"/>
        </w:pBdr>
        <w:tabs>
          <w:tab w:val="left" w:pos="1701"/>
        </w:tabs>
        <w:spacing w:after="0" w:line="360" w:lineRule="auto"/>
        <w:jc w:val="both"/>
        <w:rPr>
          <w:rFonts w:ascii="Palatino Linotype" w:eastAsia="Palatino Linotype" w:hAnsi="Palatino Linotype" w:cs="Palatino Linotype"/>
          <w:color w:val="222222"/>
          <w:sz w:val="24"/>
          <w:szCs w:val="24"/>
        </w:rPr>
      </w:pPr>
    </w:p>
    <w:p w:rsidR="00D2449C" w:rsidRDefault="00253C38">
      <w:pPr>
        <w:widowControl w:val="0"/>
        <w:spacing w:before="280" w:after="2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SEGUNDA SESIÓN ORDINARIA CELEBRADA EL DIECINUEVE DE ENERO DE DOS MILVEINTIDÓS, ANTE EL SECRETARIO TÉCNICO DEL PLENO, ALEXIS TAPIA RAMÍREZ.</w:t>
      </w:r>
    </w:p>
    <w:p w:rsidR="00D2449C" w:rsidRDefault="00D2449C">
      <w:pPr>
        <w:spacing w:line="360" w:lineRule="auto"/>
        <w:jc w:val="both"/>
        <w:rPr>
          <w:rFonts w:ascii="Palatino Linotype" w:eastAsia="Palatino Linotype" w:hAnsi="Palatino Linotype" w:cs="Palatino Linotype"/>
          <w:sz w:val="24"/>
          <w:szCs w:val="24"/>
        </w:rPr>
      </w:pPr>
    </w:p>
    <w:sectPr w:rsidR="00D2449C">
      <w:headerReference w:type="default" r:id="rId19"/>
      <w:footerReference w:type="default" r:id="rId20"/>
      <w:headerReference w:type="first" r:id="rId21"/>
      <w:footerReference w:type="first" r:id="rId2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745" w:rsidRDefault="00253C38">
      <w:pPr>
        <w:spacing w:after="0" w:line="240" w:lineRule="auto"/>
      </w:pPr>
      <w:r>
        <w:separator/>
      </w:r>
    </w:p>
  </w:endnote>
  <w:endnote w:type="continuationSeparator" w:id="0">
    <w:p w:rsidR="00BC2745" w:rsidRDefault="0025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9C" w:rsidRDefault="00253C3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4245">
      <w:rPr>
        <w:b/>
        <w:noProof/>
        <w:color w:val="000000"/>
        <w:sz w:val="24"/>
        <w:szCs w:val="24"/>
      </w:rPr>
      <w:t>14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4245">
      <w:rPr>
        <w:b/>
        <w:noProof/>
        <w:color w:val="000000"/>
        <w:sz w:val="24"/>
        <w:szCs w:val="24"/>
      </w:rPr>
      <w:t>15</w:t>
    </w:r>
    <w:r>
      <w:rPr>
        <w:b/>
        <w:color w:val="000000"/>
        <w:sz w:val="24"/>
        <w:szCs w:val="24"/>
      </w:rPr>
      <w:fldChar w:fldCharType="end"/>
    </w:r>
  </w:p>
  <w:p w:rsidR="00D2449C" w:rsidRDefault="00D2449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9C" w:rsidRDefault="00253C3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424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4245">
      <w:rPr>
        <w:b/>
        <w:noProof/>
        <w:color w:val="000000"/>
        <w:sz w:val="24"/>
        <w:szCs w:val="24"/>
      </w:rPr>
      <w:t>15</w:t>
    </w:r>
    <w:r>
      <w:rPr>
        <w:b/>
        <w:color w:val="000000"/>
        <w:sz w:val="24"/>
        <w:szCs w:val="24"/>
      </w:rPr>
      <w:fldChar w:fldCharType="end"/>
    </w:r>
  </w:p>
  <w:p w:rsidR="00D2449C" w:rsidRDefault="00D2449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745" w:rsidRDefault="00253C38">
      <w:pPr>
        <w:spacing w:after="0" w:line="240" w:lineRule="auto"/>
      </w:pPr>
      <w:r>
        <w:separator/>
      </w:r>
    </w:p>
  </w:footnote>
  <w:footnote w:type="continuationSeparator" w:id="0">
    <w:p w:rsidR="00BC2745" w:rsidRDefault="00253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9C" w:rsidRDefault="00D2449C">
    <w:pPr>
      <w:widowControl w:val="0"/>
      <w:pBdr>
        <w:top w:val="nil"/>
        <w:left w:val="nil"/>
        <w:bottom w:val="nil"/>
        <w:right w:val="nil"/>
        <w:between w:val="nil"/>
      </w:pBdr>
      <w:spacing w:after="0" w:line="276" w:lineRule="auto"/>
      <w:rPr>
        <w:color w:val="000000"/>
      </w:rPr>
    </w:pPr>
  </w:p>
  <w:tbl>
    <w:tblPr>
      <w:tblStyle w:val="a0"/>
      <w:tblW w:w="11684" w:type="dxa"/>
      <w:tblInd w:w="-1281" w:type="dxa"/>
      <w:tblLayout w:type="fixed"/>
      <w:tblLook w:val="0400" w:firstRow="0" w:lastRow="0" w:firstColumn="0" w:lastColumn="0" w:noHBand="0" w:noVBand="1"/>
    </w:tblPr>
    <w:tblGrid>
      <w:gridCol w:w="6419"/>
      <w:gridCol w:w="5265"/>
    </w:tblGrid>
    <w:tr w:rsidR="00D2449C">
      <w:trPr>
        <w:trHeight w:val="265"/>
      </w:trPr>
      <w:tc>
        <w:tcPr>
          <w:tcW w:w="6419" w:type="dxa"/>
        </w:tcPr>
        <w:p w:rsidR="00D2449C" w:rsidRDefault="00253C3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5265" w:type="dxa"/>
        </w:tcPr>
        <w:p w:rsidR="00D2449C" w:rsidRDefault="00253C38">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05839/INFOEM/IP/RR/2021</w:t>
          </w:r>
        </w:p>
      </w:tc>
    </w:tr>
    <w:tr w:rsidR="00D2449C">
      <w:trPr>
        <w:trHeight w:val="228"/>
      </w:trPr>
      <w:tc>
        <w:tcPr>
          <w:tcW w:w="6419" w:type="dxa"/>
        </w:tcPr>
        <w:p w:rsidR="00D2449C" w:rsidRDefault="00253C3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5265" w:type="dxa"/>
        </w:tcPr>
        <w:p w:rsidR="00D2449C" w:rsidRDefault="00D2449C">
          <w:pPr>
            <w:spacing w:after="120"/>
            <w:ind w:left="-486" w:right="214" w:firstLine="567"/>
            <w:jc w:val="right"/>
            <w:rPr>
              <w:rFonts w:ascii="Palatino Linotype" w:eastAsia="Palatino Linotype" w:hAnsi="Palatino Linotype" w:cs="Palatino Linotype"/>
              <w:sz w:val="24"/>
              <w:szCs w:val="24"/>
            </w:rPr>
          </w:pPr>
        </w:p>
      </w:tc>
    </w:tr>
    <w:tr w:rsidR="00D2449C">
      <w:trPr>
        <w:trHeight w:val="283"/>
      </w:trPr>
      <w:tc>
        <w:tcPr>
          <w:tcW w:w="6419" w:type="dxa"/>
        </w:tcPr>
        <w:p w:rsidR="00D2449C" w:rsidRDefault="00253C3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5265" w:type="dxa"/>
        </w:tcPr>
        <w:p w:rsidR="00D2449C" w:rsidRDefault="00253C38">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Atizapán de Zaragoza</w:t>
          </w:r>
        </w:p>
      </w:tc>
    </w:tr>
    <w:tr w:rsidR="00D2449C">
      <w:trPr>
        <w:trHeight w:val="400"/>
      </w:trPr>
      <w:tc>
        <w:tcPr>
          <w:tcW w:w="6419" w:type="dxa"/>
        </w:tcPr>
        <w:p w:rsidR="00D2449C" w:rsidRDefault="00253C3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5265" w:type="dxa"/>
        </w:tcPr>
        <w:p w:rsidR="00D2449C" w:rsidRDefault="00253C3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D2449C" w:rsidRDefault="00D2449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9C" w:rsidRDefault="00D2449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11684" w:type="dxa"/>
      <w:tblInd w:w="-1281" w:type="dxa"/>
      <w:tblLayout w:type="fixed"/>
      <w:tblLook w:val="0400" w:firstRow="0" w:lastRow="0" w:firstColumn="0" w:lastColumn="0" w:noHBand="0" w:noVBand="1"/>
    </w:tblPr>
    <w:tblGrid>
      <w:gridCol w:w="6419"/>
      <w:gridCol w:w="5265"/>
    </w:tblGrid>
    <w:tr w:rsidR="00D2449C">
      <w:trPr>
        <w:trHeight w:val="265"/>
      </w:trPr>
      <w:tc>
        <w:tcPr>
          <w:tcW w:w="6419" w:type="dxa"/>
        </w:tcPr>
        <w:p w:rsidR="00D2449C" w:rsidRDefault="00253C3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5265" w:type="dxa"/>
        </w:tcPr>
        <w:p w:rsidR="00D2449C" w:rsidRDefault="00253C38">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05839/INFOEM/IP/RR/2021</w:t>
          </w:r>
        </w:p>
      </w:tc>
    </w:tr>
    <w:tr w:rsidR="00D2449C">
      <w:trPr>
        <w:trHeight w:val="228"/>
      </w:trPr>
      <w:tc>
        <w:tcPr>
          <w:tcW w:w="6419" w:type="dxa"/>
        </w:tcPr>
        <w:p w:rsidR="00D2449C" w:rsidRDefault="00253C3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5265" w:type="dxa"/>
        </w:tcPr>
        <w:p w:rsidR="00D2449C" w:rsidRDefault="00253C38" w:rsidP="00253C3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XXXXXX XXXXXXX XXXXXXXX. </w:t>
          </w:r>
        </w:p>
      </w:tc>
    </w:tr>
    <w:tr w:rsidR="00D2449C">
      <w:trPr>
        <w:trHeight w:val="283"/>
      </w:trPr>
      <w:tc>
        <w:tcPr>
          <w:tcW w:w="6419" w:type="dxa"/>
        </w:tcPr>
        <w:p w:rsidR="00D2449C" w:rsidRDefault="00253C3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5265" w:type="dxa"/>
        </w:tcPr>
        <w:p w:rsidR="00D2449C" w:rsidRDefault="00253C38">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Atizapán de Zaragoza</w:t>
          </w:r>
        </w:p>
      </w:tc>
    </w:tr>
    <w:tr w:rsidR="00D2449C">
      <w:trPr>
        <w:trHeight w:val="400"/>
      </w:trPr>
      <w:tc>
        <w:tcPr>
          <w:tcW w:w="6419" w:type="dxa"/>
        </w:tcPr>
        <w:p w:rsidR="00D2449C" w:rsidRDefault="00253C3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5265" w:type="dxa"/>
        </w:tcPr>
        <w:p w:rsidR="00D2449C" w:rsidRDefault="00253C3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D2449C" w:rsidRDefault="00253C3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-1569084</wp:posOffset>
          </wp:positionV>
          <wp:extent cx="7867650" cy="1013333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31E8F"/>
    <w:multiLevelType w:val="multilevel"/>
    <w:tmpl w:val="39F49B6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B17DB7"/>
    <w:multiLevelType w:val="multilevel"/>
    <w:tmpl w:val="37BA24F2"/>
    <w:lvl w:ilvl="0">
      <w:start w:val="1"/>
      <w:numFmt w:val="decimal"/>
      <w:lvlText w:val="%1."/>
      <w:lvlJc w:val="left"/>
      <w:pPr>
        <w:ind w:left="360" w:hanging="360"/>
      </w:pPr>
      <w:rPr>
        <w:rFonts w:ascii="Palatino Linotype" w:eastAsia="Palatino Linotype" w:hAnsi="Palatino Linotype" w:cs="Palatino Linotype"/>
        <w:b/>
        <w:smallCaps/>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8CA2DD8"/>
    <w:multiLevelType w:val="multilevel"/>
    <w:tmpl w:val="CE485E8E"/>
    <w:lvl w:ilvl="0">
      <w:start w:val="1"/>
      <w:numFmt w:val="upperRoman"/>
      <w:lvlText w:val="%1."/>
      <w:lvlJc w:val="left"/>
      <w:pPr>
        <w:ind w:left="2236" w:hanging="720"/>
      </w:pPr>
    </w:lvl>
    <w:lvl w:ilvl="1">
      <w:start w:val="1"/>
      <w:numFmt w:val="lowerLetter"/>
      <w:lvlText w:val="%2."/>
      <w:lvlJc w:val="left"/>
      <w:pPr>
        <w:ind w:left="2596" w:hanging="360"/>
      </w:pPr>
    </w:lvl>
    <w:lvl w:ilvl="2">
      <w:start w:val="1"/>
      <w:numFmt w:val="lowerRoman"/>
      <w:lvlText w:val="%3."/>
      <w:lvlJc w:val="right"/>
      <w:pPr>
        <w:ind w:left="3316" w:hanging="180"/>
      </w:pPr>
    </w:lvl>
    <w:lvl w:ilvl="3">
      <w:start w:val="1"/>
      <w:numFmt w:val="decimal"/>
      <w:lvlText w:val="%4."/>
      <w:lvlJc w:val="left"/>
      <w:pPr>
        <w:ind w:left="4036" w:hanging="360"/>
      </w:pPr>
    </w:lvl>
    <w:lvl w:ilvl="4">
      <w:start w:val="1"/>
      <w:numFmt w:val="lowerLetter"/>
      <w:lvlText w:val="%5."/>
      <w:lvlJc w:val="left"/>
      <w:pPr>
        <w:ind w:left="4756" w:hanging="360"/>
      </w:pPr>
    </w:lvl>
    <w:lvl w:ilvl="5">
      <w:start w:val="1"/>
      <w:numFmt w:val="lowerRoman"/>
      <w:lvlText w:val="%6."/>
      <w:lvlJc w:val="right"/>
      <w:pPr>
        <w:ind w:left="5476" w:hanging="180"/>
      </w:pPr>
    </w:lvl>
    <w:lvl w:ilvl="6">
      <w:start w:val="1"/>
      <w:numFmt w:val="decimal"/>
      <w:lvlText w:val="%7."/>
      <w:lvlJc w:val="left"/>
      <w:pPr>
        <w:ind w:left="6196" w:hanging="360"/>
      </w:pPr>
    </w:lvl>
    <w:lvl w:ilvl="7">
      <w:start w:val="1"/>
      <w:numFmt w:val="lowerLetter"/>
      <w:lvlText w:val="%8."/>
      <w:lvlJc w:val="left"/>
      <w:pPr>
        <w:ind w:left="6916" w:hanging="360"/>
      </w:pPr>
    </w:lvl>
    <w:lvl w:ilvl="8">
      <w:start w:val="1"/>
      <w:numFmt w:val="lowerRoman"/>
      <w:lvlText w:val="%9."/>
      <w:lvlJc w:val="right"/>
      <w:pPr>
        <w:ind w:left="76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9C"/>
    <w:rsid w:val="00253C38"/>
    <w:rsid w:val="00BC2745"/>
    <w:rsid w:val="00CC156B"/>
    <w:rsid w:val="00D2449C"/>
    <w:rsid w:val="00D642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C8B07-0A23-4340-8215-1BBE1BA3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1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E12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2E6"/>
  </w:style>
  <w:style w:type="paragraph" w:styleId="Piedepgina">
    <w:name w:val="footer"/>
    <w:basedOn w:val="Normal"/>
    <w:link w:val="PiedepginaCar"/>
    <w:uiPriority w:val="99"/>
    <w:unhideWhenUsed/>
    <w:rsid w:val="000E12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2E6"/>
  </w:style>
  <w:style w:type="character" w:styleId="Hipervnculo">
    <w:name w:val="Hyperlink"/>
    <w:basedOn w:val="Fuentedeprrafopredeter"/>
    <w:uiPriority w:val="99"/>
    <w:unhideWhenUsed/>
    <w:rsid w:val="00F623ED"/>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623E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23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77CD8"/>
  </w:style>
  <w:style w:type="paragraph" w:styleId="Textodeglobo">
    <w:name w:val="Balloon Text"/>
    <w:basedOn w:val="Normal"/>
    <w:link w:val="TextodegloboCar"/>
    <w:uiPriority w:val="99"/>
    <w:semiHidden/>
    <w:unhideWhenUsed/>
    <w:rsid w:val="00123F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3F75"/>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1501.page" TargetMode="External"/><Relationship Id="rId13" Type="http://schemas.openxmlformats.org/officeDocument/2006/relationships/hyperlink" Target="https://www.saimex.org.mx/saimex/solicitud/downloadAttach/1271559.page"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1271558.page" TargetMode="External"/><Relationship Id="rId17" Type="http://schemas.openxmlformats.org/officeDocument/2006/relationships/hyperlink" Target="https://www.saimex.org.mx/saimex/solicitud/downloadAttach/1271560.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1271559.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1271558.page"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45327.page" TargetMode="External"/><Relationship Id="rId14" Type="http://schemas.openxmlformats.org/officeDocument/2006/relationships/hyperlink" Target="https://www.saimex.org.mx/saimex/solicitud/downloadAttach/1271560.pag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nUJs83zfQmlc9kc4SEJHhEfnMA==">AMUW2mWItlV0FbtegcwrJGJqo2KEbJJdiVB/1x4HFGGqIITntvi9FGLpBQh5APdDZXIdtz42qNJnQ+z6MgL7Ox2YiXPUA9A/cSDZmDD/rHM8ed4cYkehTjJVZk3cNcswksAtSD2ofvC4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2874</Words>
  <Characters>15813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2022-01-21T17:02:00Z</dcterms:created>
  <dcterms:modified xsi:type="dcterms:W3CDTF">2022-03-24T00:12:00Z</dcterms:modified>
</cp:coreProperties>
</file>