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8A335" w14:textId="77777777" w:rsidR="008E1208" w:rsidRDefault="00A17D19">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b/>
        </w:rPr>
        <w:t>quince de junio del dos mil veintidós</w:t>
      </w:r>
      <w:r>
        <w:rPr>
          <w:rFonts w:ascii="Palatino Linotype" w:eastAsia="Palatino Linotype" w:hAnsi="Palatino Linotype" w:cs="Palatino Linotype"/>
        </w:rPr>
        <w:t>.</w:t>
      </w:r>
    </w:p>
    <w:p w14:paraId="65CA0623" w14:textId="43A79AAC" w:rsidR="008E1208" w:rsidRDefault="00A17D19">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B04827">
        <w:rPr>
          <w:rFonts w:ascii="Palatino Linotype" w:eastAsia="Palatino Linotype" w:hAnsi="Palatino Linotype" w:cs="Palatino Linotype"/>
          <w:b/>
        </w:rPr>
        <w:t>0799</w:t>
      </w:r>
      <w:r>
        <w:rPr>
          <w:rFonts w:ascii="Palatino Linotype" w:eastAsia="Palatino Linotype" w:hAnsi="Palatino Linotype" w:cs="Palatino Linotype"/>
          <w:b/>
        </w:rPr>
        <w:t>9/INFOEM/IP/RR/2022</w:t>
      </w:r>
      <w:r>
        <w:rPr>
          <w:rFonts w:ascii="Palatino Linotype" w:eastAsia="Palatino Linotype" w:hAnsi="Palatino Linotype" w:cs="Palatino Linotype"/>
        </w:rPr>
        <w:t xml:space="preserve">, interpuesto por </w:t>
      </w:r>
      <w:r w:rsidR="00AB3C17" w:rsidRPr="00AB3C17">
        <w:rPr>
          <w:rFonts w:ascii="Palatino Linotype" w:eastAsia="Palatino Linotype" w:hAnsi="Palatino Linotype" w:cs="Palatino Linotype"/>
          <w:b/>
        </w:rPr>
        <w:t>XXXXXX XXXXXXXX XXXXX</w:t>
      </w:r>
      <w:bookmarkStart w:id="2" w:name="_GoBack"/>
      <w:bookmarkEnd w:id="2"/>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w:t>
      </w:r>
      <w:r w:rsidR="00B04827" w:rsidRPr="00B04827">
        <w:rPr>
          <w:rFonts w:ascii="Palatino Linotype" w:eastAsia="Palatino Linotype" w:hAnsi="Palatino Linotype" w:cs="Palatino Linotype"/>
          <w:b/>
        </w:rPr>
        <w:t>00202/IXTASAL/IP/2022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sidR="00B04827">
        <w:rPr>
          <w:rFonts w:ascii="Palatino Linotype" w:eastAsia="Palatino Linotype" w:hAnsi="Palatino Linotype" w:cs="Palatino Linotype"/>
          <w:b/>
        </w:rPr>
        <w:t>Ayuntamiento de Ixtapan de la Sal</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125A5D69" w14:textId="77777777" w:rsidR="008E1208" w:rsidRDefault="00A17D19">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2FBE3FD1"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dieciocho de abril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30A2F105" w14:textId="77777777" w:rsidR="008E1208" w:rsidRDefault="00A17D19">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B04827" w:rsidRPr="00B04827">
        <w:rPr>
          <w:rFonts w:ascii="Palatino Linotype" w:eastAsia="Palatino Linotype" w:hAnsi="Palatino Linotype" w:cs="Palatino Linotype"/>
          <w:i/>
          <w:color w:val="000000"/>
          <w:sz w:val="22"/>
          <w:szCs w:val="22"/>
        </w:rPr>
        <w:t>CONTRATO DE GASOLINA PARA AUTOS DEL OPDAPAS DEL AÑO 2022</w:t>
      </w:r>
      <w:r>
        <w:rPr>
          <w:rFonts w:ascii="Palatino Linotype" w:eastAsia="Palatino Linotype" w:hAnsi="Palatino Linotype" w:cs="Palatino Linotype"/>
          <w:i/>
          <w:color w:val="000000"/>
          <w:sz w:val="22"/>
          <w:szCs w:val="22"/>
        </w:rPr>
        <w:t>” (Sic)</w:t>
      </w:r>
    </w:p>
    <w:p w14:paraId="76051A37"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3CCBA22C" w14:textId="77777777"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6B1944ED" w14:textId="77777777" w:rsidR="00B04827" w:rsidRDefault="00B04827">
      <w:pPr>
        <w:spacing w:before="240" w:after="240" w:line="360" w:lineRule="auto"/>
        <w:jc w:val="both"/>
        <w:rPr>
          <w:rFonts w:ascii="Palatino Linotype" w:eastAsia="Palatino Linotype" w:hAnsi="Palatino Linotype" w:cs="Palatino Linotype"/>
          <w:b/>
        </w:rPr>
      </w:pPr>
    </w:p>
    <w:p w14:paraId="43763B39" w14:textId="77777777"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sidR="00DB494B">
        <w:rPr>
          <w:rFonts w:ascii="Palatino Linotype" w:eastAsia="Palatino Linotype" w:hAnsi="Palatino Linotype" w:cs="Palatino Linotype"/>
          <w:b/>
        </w:rPr>
        <w:t>diecisiete</w:t>
      </w:r>
      <w:r>
        <w:rPr>
          <w:rFonts w:ascii="Palatino Linotype" w:eastAsia="Palatino Linotype" w:hAnsi="Palatino Linotype" w:cs="Palatino Linotype"/>
          <w:b/>
        </w:rPr>
        <w:t xml:space="preserve"> de mayo de dos mil veintidós</w:t>
      </w:r>
      <w:r>
        <w:rPr>
          <w:rFonts w:ascii="Palatino Linotype" w:eastAsia="Palatino Linotype" w:hAnsi="Palatino Linotype" w:cs="Palatino Linotype"/>
        </w:rPr>
        <w:t>, expresando lo siguiente:</w:t>
      </w:r>
    </w:p>
    <w:p w14:paraId="29CACEC1" w14:textId="77777777" w:rsidR="008E1208" w:rsidRDefault="00A17D19">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646A7BCE" w14:textId="77777777" w:rsidR="008E1208" w:rsidRDefault="00A17D19">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DB494B" w:rsidRPr="00DB494B">
        <w:rPr>
          <w:rFonts w:ascii="Palatino Linotype" w:eastAsia="Palatino Linotype" w:hAnsi="Palatino Linotype" w:cs="Palatino Linotype"/>
          <w:i/>
          <w:color w:val="000000"/>
          <w:sz w:val="22"/>
          <w:szCs w:val="22"/>
        </w:rPr>
        <w:t>CONTRATO DE GASOLINA PARA AUTOS DEL OPDAPAS DEL AÑO 2022</w:t>
      </w:r>
      <w:r>
        <w:rPr>
          <w:rFonts w:ascii="Palatino Linotype" w:eastAsia="Palatino Linotype" w:hAnsi="Palatino Linotype" w:cs="Palatino Linotype"/>
          <w:i/>
          <w:color w:val="000000"/>
          <w:sz w:val="22"/>
          <w:szCs w:val="22"/>
        </w:rPr>
        <w:t>” (Sic)</w:t>
      </w:r>
    </w:p>
    <w:p w14:paraId="641C88CB" w14:textId="77777777" w:rsidR="008E1208" w:rsidRDefault="00A17D1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35B8B05C" w14:textId="77777777" w:rsidR="008E1208" w:rsidRDefault="00A17D19">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DB494B" w:rsidRPr="00DB494B">
        <w:rPr>
          <w:rFonts w:ascii="Palatino Linotype" w:eastAsia="Palatino Linotype" w:hAnsi="Palatino Linotype" w:cs="Palatino Linotype"/>
          <w:i/>
          <w:color w:val="000000"/>
          <w:sz w:val="22"/>
          <w:szCs w:val="22"/>
        </w:rPr>
        <w:t>EL ENTE PUBLICO SE NIEGA A PROPORCIONAR LA INFORMACION SOLICITADA POR LO QUE SE EXIGE SE PRESENTE LO ANTES POSIBLE LA INFORMACION SOLICTADA</w:t>
      </w:r>
      <w:r>
        <w:rPr>
          <w:rFonts w:ascii="Palatino Linotype" w:eastAsia="Palatino Linotype" w:hAnsi="Palatino Linotype" w:cs="Palatino Linotype"/>
          <w:i/>
          <w:color w:val="000000"/>
          <w:sz w:val="22"/>
          <w:szCs w:val="22"/>
        </w:rPr>
        <w:t>” (Sic)</w:t>
      </w:r>
    </w:p>
    <w:p w14:paraId="09528062" w14:textId="77777777"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DB494B">
        <w:rPr>
          <w:rFonts w:ascii="Palatino Linotype" w:eastAsia="Palatino Linotype" w:hAnsi="Palatino Linotype" w:cs="Palatino Linotype"/>
          <w:b/>
        </w:rPr>
        <w:t>0799</w:t>
      </w:r>
      <w:r>
        <w:rPr>
          <w:rFonts w:ascii="Palatino Linotype" w:eastAsia="Palatino Linotype" w:hAnsi="Palatino Linotype" w:cs="Palatino Linotype"/>
          <w:b/>
        </w:rPr>
        <w:t>9/INFOEM/IP/RR/2022</w:t>
      </w:r>
      <w:r>
        <w:rPr>
          <w:rFonts w:ascii="Palatino Linotype" w:eastAsia="Palatino Linotype" w:hAnsi="Palatino Linotype" w:cs="Palatino Linotype"/>
        </w:rPr>
        <w:t xml:space="preserve"> fue turnado a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3D13E39A"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sidR="00DB494B">
        <w:rPr>
          <w:rFonts w:ascii="Palatino Linotype" w:eastAsia="Palatino Linotype" w:hAnsi="Palatino Linotype" w:cs="Palatino Linotype"/>
          <w:b/>
        </w:rPr>
        <w:t>veinte</w:t>
      </w:r>
      <w:r>
        <w:rPr>
          <w:rFonts w:ascii="Palatino Linotype" w:eastAsia="Palatino Linotype" w:hAnsi="Palatino Linotype" w:cs="Palatino Linotype"/>
          <w:b/>
        </w:rPr>
        <w:t xml:space="preserve"> de mayo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3F0F6708"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w:t>
      </w:r>
      <w:r>
        <w:rPr>
          <w:rFonts w:ascii="Palatino Linotype" w:eastAsia="Palatino Linotype" w:hAnsi="Palatino Linotype" w:cs="Palatino Linotype"/>
        </w:rPr>
        <w:lastRenderedPageBreak/>
        <w:t xml:space="preserve">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4CF080D0"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65AA1C6C" wp14:editId="4A11391F">
            <wp:extent cx="5610225" cy="876300"/>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0225" cy="876300"/>
                    </a:xfrm>
                    <a:prstGeom prst="rect">
                      <a:avLst/>
                    </a:prstGeom>
                    <a:ln/>
                  </pic:spPr>
                </pic:pic>
              </a:graphicData>
            </a:graphic>
          </wp:inline>
        </w:drawing>
      </w:r>
    </w:p>
    <w:p w14:paraId="418A7C69"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sidR="00DB494B">
        <w:rPr>
          <w:rFonts w:ascii="Palatino Linotype" w:eastAsia="Palatino Linotype" w:hAnsi="Palatino Linotype" w:cs="Palatino Linotype"/>
          <w:b/>
        </w:rPr>
        <w:t>diez</w:t>
      </w:r>
      <w:r>
        <w:rPr>
          <w:rFonts w:ascii="Palatino Linotype" w:eastAsia="Palatino Linotype" w:hAnsi="Palatino Linotype" w:cs="Palatino Linotype"/>
          <w:b/>
        </w:rPr>
        <w:t xml:space="preserve"> de junio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78D3A19B"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9EBB2DD" w14:textId="77777777" w:rsidR="008E1208" w:rsidRDefault="00A17D1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3" w:name="_heading=h.3dy6vkm" w:colFirst="0" w:colLast="0"/>
      <w:bookmarkEnd w:id="3"/>
      <w:r>
        <w:rPr>
          <w:rFonts w:ascii="Palatino Linotype" w:eastAsia="Palatino Linotype" w:hAnsi="Palatino Linotype" w:cs="Palatino Linotype"/>
          <w:b/>
          <w:color w:val="000000"/>
        </w:rPr>
        <w:t>C O N S I D E R A N D O S:</w:t>
      </w:r>
    </w:p>
    <w:p w14:paraId="1239B65C"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00DB494B">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w:t>
      </w:r>
      <w:r>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B159461"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5EA267B"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2D2FCF9"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033FB075"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3D611D5E"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51B08713"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Pr>
          <w:rFonts w:ascii="Palatino Linotype" w:eastAsia="Palatino Linotype" w:hAnsi="Palatino Linotype" w:cs="Palatino Linotype"/>
        </w:rPr>
        <w:lastRenderedPageBreak/>
        <w:t>información, ésta se considera negada; por lo que al solicitante le asiste el derecho para presentar el recurso de revisión.</w:t>
      </w:r>
    </w:p>
    <w:p w14:paraId="7C3AD245"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77A19042" w14:textId="77777777" w:rsidR="008E1208" w:rsidRDefault="00A17D1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0C282319"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7AD737F1"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D8A0BCB"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w:t>
      </w:r>
      <w:r>
        <w:rPr>
          <w:rFonts w:ascii="Palatino Linotype" w:eastAsia="Palatino Linotype" w:hAnsi="Palatino Linotype" w:cs="Palatino Linotype"/>
        </w:rPr>
        <w:lastRenderedPageBreak/>
        <w:t>de defensa del particular en contra de la incertidumbre jurídica y que tiende a realizar ese Estado de Derecho en el que, el particular, tiene siempre una vía de defensa en contra de los actos autoritarios que le perjudican.</w:t>
      </w:r>
    </w:p>
    <w:p w14:paraId="23F32C4F"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42F7AA11" w14:textId="77777777" w:rsidR="008E1208" w:rsidRDefault="00A17D1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2442013"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w:t>
      </w:r>
      <w:r>
        <w:rPr>
          <w:rFonts w:ascii="Palatino Linotype" w:eastAsia="Palatino Linotype" w:hAnsi="Palatino Linotype" w:cs="Palatino Linotype"/>
          <w:i/>
          <w:sz w:val="22"/>
          <w:szCs w:val="22"/>
        </w:rPr>
        <w:lastRenderedPageBreak/>
        <w:t>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7A8F40D5"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4B7139A"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5E77EE42"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9FC48B9" w14:textId="77777777" w:rsidR="008E1208" w:rsidRDefault="00A17D19">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1E7EA685" w14:textId="77777777" w:rsidR="008E1208" w:rsidRDefault="00A17D1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7BC6F077" w14:textId="77777777" w:rsidR="008E1208" w:rsidRDefault="00A17D19">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14:paraId="1A03EF42"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23FE6B5A" w14:textId="77777777" w:rsidR="008E1208" w:rsidRDefault="00A17D19">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w:t>
      </w:r>
      <w:r w:rsidRPr="00CD7764">
        <w:rPr>
          <w:rFonts w:ascii="Palatino Linotype" w:eastAsia="Palatino Linotype" w:hAnsi="Palatino Linotype" w:cs="Palatino Linotype"/>
        </w:rPr>
        <w:t>Instituto se pronunciará será: verificar si son procedentes los agravios hechos valer p</w:t>
      </w:r>
      <w:r w:rsidR="00CD7764" w:rsidRPr="00CD7764">
        <w:rPr>
          <w:rFonts w:ascii="Palatino Linotype" w:eastAsia="Palatino Linotype" w:hAnsi="Palatino Linotype" w:cs="Palatino Linotype"/>
        </w:rPr>
        <w:t>or la</w:t>
      </w:r>
      <w:r w:rsidRPr="00CD7764">
        <w:rPr>
          <w:rFonts w:ascii="Palatino Linotype" w:eastAsia="Palatino Linotype" w:hAnsi="Palatino Linotype" w:cs="Palatino Linotype"/>
        </w:rPr>
        <w:t xml:space="preserve"> </w:t>
      </w:r>
      <w:r w:rsidRPr="00CD7764">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14:paraId="72693442" w14:textId="77777777" w:rsidR="008E1208" w:rsidRDefault="00A17D19">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w:t>
      </w:r>
      <w:r w:rsidR="00DB494B" w:rsidRPr="00DB494B">
        <w:rPr>
          <w:rFonts w:ascii="Palatino Linotype" w:eastAsia="Palatino Linotype" w:hAnsi="Palatino Linotype" w:cs="Palatino Linotype"/>
          <w:b/>
        </w:rPr>
        <w:t>00202/IXTASAL/IP/2022</w:t>
      </w:r>
      <w:r>
        <w:rPr>
          <w:rFonts w:ascii="Palatino Linotype" w:eastAsia="Palatino Linotype" w:hAnsi="Palatino Linotype" w:cs="Palatino Linotype"/>
          <w:b/>
        </w:rPr>
        <w:t>,</w:t>
      </w:r>
      <w:r>
        <w:rPr>
          <w:rFonts w:ascii="Palatino Linotype" w:eastAsia="Palatino Linotype" w:hAnsi="Palatino Linotype" w:cs="Palatino Linotype"/>
        </w:rPr>
        <w:t xml:space="preserve"> dentro del plazo legal previsto para ello.</w:t>
      </w:r>
    </w:p>
    <w:p w14:paraId="4906BCA4"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lastRenderedPageBreak/>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227FB260" w14:textId="77777777" w:rsidR="008E1208" w:rsidRDefault="00A17D19">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DB494B" w:rsidRPr="00DB494B">
        <w:rPr>
          <w:rFonts w:ascii="Palatino Linotype" w:eastAsia="Palatino Linotype" w:hAnsi="Palatino Linotype" w:cs="Palatino Linotype"/>
          <w:i/>
          <w:color w:val="000000"/>
          <w:sz w:val="22"/>
          <w:szCs w:val="22"/>
        </w:rPr>
        <w:t>CONTRATO DE GASOLINA PARA AUTOS DEL OPDAPAS DEL AÑO 2022</w:t>
      </w:r>
      <w:r>
        <w:rPr>
          <w:rFonts w:ascii="Palatino Linotype" w:eastAsia="Palatino Linotype" w:hAnsi="Palatino Linotype" w:cs="Palatino Linotype"/>
          <w:i/>
          <w:color w:val="000000"/>
          <w:sz w:val="22"/>
          <w:szCs w:val="22"/>
        </w:rPr>
        <w:t>” (Sic)</w:t>
      </w:r>
    </w:p>
    <w:p w14:paraId="17EADBB4"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7FB3F2A" w14:textId="77777777" w:rsidR="008E1208" w:rsidRDefault="00A17D19">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CB2FFA1" w14:textId="77777777" w:rsidR="008E1208" w:rsidRDefault="008E1208">
      <w:pPr>
        <w:tabs>
          <w:tab w:val="left" w:pos="709"/>
        </w:tabs>
        <w:ind w:left="851" w:right="850"/>
        <w:jc w:val="both"/>
        <w:rPr>
          <w:rFonts w:ascii="Palatino Linotype" w:eastAsia="Palatino Linotype" w:hAnsi="Palatino Linotype" w:cs="Palatino Linotype"/>
        </w:rPr>
      </w:pPr>
    </w:p>
    <w:p w14:paraId="2A05A75F" w14:textId="77777777"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5F29FEF" w14:textId="77777777" w:rsidR="008E1208" w:rsidRDefault="00A17D19">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la </w:t>
      </w:r>
      <w:r>
        <w:rPr>
          <w:rFonts w:ascii="Palatino Linotype" w:eastAsia="Palatino Linotype" w:hAnsi="Palatino Linotype" w:cs="Palatino Linotype"/>
          <w:b/>
          <w:i/>
          <w:sz w:val="22"/>
          <w:szCs w:val="22"/>
        </w:rPr>
        <w:lastRenderedPageBreak/>
        <w:t>materia favoreciendo en todo tiempo a las personas la protección más amplia.</w:t>
      </w:r>
    </w:p>
    <w:p w14:paraId="37EE650C" w14:textId="77777777"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FA7534D" w14:textId="77777777"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13397EC"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1358289B"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81A7D0E"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6B3C4525" w14:textId="77777777" w:rsidR="008E1208" w:rsidRDefault="00A17D1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2358C17"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4BF458"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BE9B156" w14:textId="77777777" w:rsidR="008E1208" w:rsidRDefault="00A17D19">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F44E0CC"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070C090"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70980E9B"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475364A"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FB07099" w14:textId="77777777" w:rsidR="008E1208" w:rsidRDefault="008E1208">
      <w:pPr>
        <w:ind w:left="1134" w:right="851"/>
        <w:jc w:val="both"/>
        <w:rPr>
          <w:rFonts w:ascii="Palatino Linotype" w:eastAsia="Palatino Linotype" w:hAnsi="Palatino Linotype" w:cs="Palatino Linotype"/>
          <w:i/>
          <w:sz w:val="22"/>
          <w:szCs w:val="22"/>
        </w:rPr>
      </w:pPr>
    </w:p>
    <w:p w14:paraId="5EDC94DE"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F47E915"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4C59BB4"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BF31065"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6C8E1E3"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38E8A38" w14:textId="77777777" w:rsidR="008E1208" w:rsidRDefault="00A17D1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596E7F" w14:textId="77777777" w:rsidR="008E1208" w:rsidRDefault="00A17D19">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7F0C40B"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1A9DC5E5" w14:textId="77777777" w:rsidR="008E1208" w:rsidRDefault="00A17D19">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31BDAB3F"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545F6D8C"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6BFA6FA5" w14:textId="77777777" w:rsidR="008E1208" w:rsidRDefault="00A17D19">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0199FA57"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0B259694"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3C0E5D5F"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0E20CDEF"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1B88FF7A"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71BDA0E4"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12D2462A"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27DA6C23"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01733B02"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3CAB695C"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6F5B9A7"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BE008B1" w14:textId="77777777"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CBA6404" w14:textId="77777777"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59BAEB7"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08A8457" w14:textId="77777777"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D03B99F"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2F4F590" w14:textId="77777777" w:rsidR="008E1208" w:rsidRDefault="00A17D1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5A7D3EE5" w14:textId="77777777" w:rsidR="008E1208" w:rsidRDefault="00A17D1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1E2D021"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45573BE8"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Pr>
          <w:rFonts w:ascii="Palatino Linotype" w:eastAsia="Palatino Linotype" w:hAnsi="Palatino Linotype" w:cs="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3EA21CC8"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6C36F4E7" w14:textId="77777777" w:rsidR="008E1208" w:rsidRDefault="00A17D19">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35E305E" w14:textId="77777777" w:rsidR="008E1208" w:rsidRDefault="00A17D1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F722FBC"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7A9E11DD"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D2051EF"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BF40108"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5AD88D7C"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40B8B85F"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985E4B0"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70A2F50C"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369FC7A5"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ABAC934"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5AC59593"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907FF64"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72DD9B1B"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3A945DB5"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8DBCF2E"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3A7FD2A"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EA80BD9"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FDB6AA2"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F96AAC8"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3222A402"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5FAA309"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B4D86F5"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83F340D"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BBCC8C4" w14:textId="77777777" w:rsidR="008E1208" w:rsidRDefault="00A17D19">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46ECC36"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99D18A0" w14:textId="77777777" w:rsidR="008E1208" w:rsidRDefault="00A17D1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6AC65FE7" w14:textId="77777777" w:rsidR="008E1208" w:rsidRDefault="00A17D19">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575A2072" w14:textId="77777777" w:rsidR="008E1208" w:rsidRDefault="00A17D1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379B9540" w14:textId="77777777"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w:t>
      </w:r>
      <w:r>
        <w:rPr>
          <w:rFonts w:ascii="Palatino Linotype" w:eastAsia="Palatino Linotype" w:hAnsi="Palatino Linotype" w:cs="Palatino Linotype"/>
        </w:rPr>
        <w:lastRenderedPageBreak/>
        <w:t>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66B977F0"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743B1B29"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w:t>
      </w:r>
      <w:r>
        <w:rPr>
          <w:rFonts w:ascii="Palatino Linotype" w:eastAsia="Palatino Linotype" w:hAnsi="Palatino Linotype" w:cs="Palatino Linotype"/>
        </w:rPr>
        <w:lastRenderedPageBreak/>
        <w:t>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A8DE018" w14:textId="77777777"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FDAB749"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14B638B3" w14:textId="77777777" w:rsidR="008E1208" w:rsidRDefault="00A17D19">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2DA9E1F4" w14:textId="77777777" w:rsidR="008E1208" w:rsidRDefault="00A17D19">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694E0695" w14:textId="77777777" w:rsidR="008E1208" w:rsidRDefault="00A17D19">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15F8420" w14:textId="77777777" w:rsidR="008E1208" w:rsidRDefault="00A17D1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785CC572"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1A0F9024"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w:t>
      </w:r>
      <w:r>
        <w:rPr>
          <w:rFonts w:ascii="Palatino Linotype" w:eastAsia="Palatino Linotype" w:hAnsi="Palatino Linotype" w:cs="Palatino Linotype"/>
        </w:rPr>
        <w:lastRenderedPageBreak/>
        <w:t>en la Gaceta del Semanario Judicial de la Federación, sección Tribunales Colegiados de Circuito, Libro 5, de fecha abril de 2014, pág. 1523, Registro, 2,006,299. I.1o.A.E.3 K (10a.), que literalmente señala:</w:t>
      </w:r>
    </w:p>
    <w:p w14:paraId="621973F1" w14:textId="77777777" w:rsidR="008E1208" w:rsidRDefault="00A17D1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14:paraId="0581CD9B" w14:textId="77777777" w:rsidR="008E1208" w:rsidRDefault="00A17D1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w:t>
      </w:r>
      <w:r>
        <w:rPr>
          <w:rFonts w:ascii="Palatino Linotype" w:eastAsia="Palatino Linotype" w:hAnsi="Palatino Linotype" w:cs="Palatino Linotype"/>
        </w:rPr>
        <w:lastRenderedPageBreak/>
        <w:t>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B959BF" w14:textId="77777777"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4B4D531"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0863ACB8"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2E5C23E"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359B596"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53983F71" w14:textId="77777777" w:rsidR="008E1208" w:rsidRDefault="00A17D1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w:t>
      </w:r>
      <w:r>
        <w:rPr>
          <w:rFonts w:ascii="Palatino Linotype" w:eastAsia="Palatino Linotype" w:hAnsi="Palatino Linotype" w:cs="Palatino Linotype"/>
          <w:i/>
          <w:sz w:val="22"/>
          <w:szCs w:val="22"/>
        </w:rPr>
        <w:lastRenderedPageBreak/>
        <w:t>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2C6A6F3"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69FF6409" w14:textId="77777777" w:rsidR="008E1208" w:rsidRDefault="00A17D19">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5AD8A1C" w14:textId="77777777" w:rsidR="008E1208" w:rsidRDefault="00A17D19">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D9809AB" w14:textId="77777777" w:rsidR="008E1208" w:rsidRDefault="00A17D1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R E S U E L V E:</w:t>
      </w:r>
    </w:p>
    <w:p w14:paraId="7CB7D97B" w14:textId="77777777" w:rsidR="008E1208" w:rsidRDefault="00A17D19">
      <w:pPr>
        <w:spacing w:before="240" w:after="240" w:line="360" w:lineRule="auto"/>
        <w:ind w:right="49"/>
        <w:jc w:val="both"/>
        <w:rPr>
          <w:rFonts w:ascii="Palatino Linotype" w:eastAsia="Palatino Linotype" w:hAnsi="Palatino Linotype" w:cs="Palatino Linotype"/>
        </w:rPr>
      </w:pPr>
      <w:r w:rsidRPr="00CD7764">
        <w:rPr>
          <w:rFonts w:ascii="Palatino Linotype" w:eastAsia="Palatino Linotype" w:hAnsi="Palatino Linotype" w:cs="Palatino Linotype"/>
          <w:b/>
        </w:rPr>
        <w:t xml:space="preserve">Primero. </w:t>
      </w:r>
      <w:r w:rsidRPr="00CD7764">
        <w:rPr>
          <w:rFonts w:ascii="Palatino Linotype" w:eastAsia="Palatino Linotype" w:hAnsi="Palatino Linotype" w:cs="Palatino Linotype"/>
        </w:rPr>
        <w:t>Resultan fundados los motivos de inconformid</w:t>
      </w:r>
      <w:r w:rsidR="00CD7764" w:rsidRPr="00CD7764">
        <w:rPr>
          <w:rFonts w:ascii="Palatino Linotype" w:eastAsia="Palatino Linotype" w:hAnsi="Palatino Linotype" w:cs="Palatino Linotype"/>
        </w:rPr>
        <w:t xml:space="preserve">ad de la </w:t>
      </w:r>
      <w:r w:rsidRPr="00CD7764">
        <w:rPr>
          <w:rFonts w:ascii="Palatino Linotype" w:eastAsia="Palatino Linotype" w:hAnsi="Palatino Linotype" w:cs="Palatino Linotype"/>
        </w:rPr>
        <w:t>Recurrente</w:t>
      </w:r>
      <w:r>
        <w:rPr>
          <w:rFonts w:ascii="Palatino Linotype" w:eastAsia="Palatino Linotype" w:hAnsi="Palatino Linotype" w:cs="Palatino Linotype"/>
        </w:rPr>
        <w:t xml:space="preserve">, en el recurso de revisión </w:t>
      </w:r>
      <w:r w:rsidR="00DB494B">
        <w:rPr>
          <w:rFonts w:ascii="Palatino Linotype" w:eastAsia="Palatino Linotype" w:hAnsi="Palatino Linotype" w:cs="Palatino Linotype"/>
          <w:b/>
        </w:rPr>
        <w:t>0799</w:t>
      </w:r>
      <w:r>
        <w:rPr>
          <w:rFonts w:ascii="Palatino Linotype" w:eastAsia="Palatino Linotype" w:hAnsi="Palatino Linotype" w:cs="Palatino Linotype"/>
          <w:b/>
        </w:rPr>
        <w:t>9/INFOEM/IP/RR/2022,</w:t>
      </w:r>
      <w:r>
        <w:rPr>
          <w:rFonts w:ascii="Palatino Linotype" w:eastAsia="Palatino Linotype" w:hAnsi="Palatino Linotype" w:cs="Palatino Linotype"/>
        </w:rPr>
        <w:t xml:space="preserve"> en términos del Considerando Cuarto de la presente resolución.</w:t>
      </w:r>
    </w:p>
    <w:p w14:paraId="341F4755"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 xml:space="preserve">a la solicitud de acceso a la información pública </w:t>
      </w:r>
      <w:r w:rsidR="00DB494B" w:rsidRPr="00DB494B">
        <w:rPr>
          <w:rFonts w:ascii="Palatino Linotype" w:eastAsia="Palatino Linotype" w:hAnsi="Palatino Linotype" w:cs="Palatino Linotype"/>
          <w:b/>
        </w:rPr>
        <w:t>00202/IXTASAL/IP/2022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dio origen al recurso de revisión </w:t>
      </w:r>
      <w:r w:rsidR="00DB494B">
        <w:rPr>
          <w:rFonts w:ascii="Palatino Linotype" w:eastAsia="Palatino Linotype" w:hAnsi="Palatino Linotype" w:cs="Palatino Linotype"/>
          <w:b/>
        </w:rPr>
        <w:t>0799</w:t>
      </w:r>
      <w:r>
        <w:rPr>
          <w:rFonts w:ascii="Palatino Linotype" w:eastAsia="Palatino Linotype" w:hAnsi="Palatino Linotype" w:cs="Palatino Linotype"/>
          <w:b/>
        </w:rPr>
        <w:t>9/INFOEM/IP/RR/2022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F006744" w14:textId="77777777" w:rsidR="008E1208" w:rsidRDefault="00A17D19">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D8657F2"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5E8BA40" w14:textId="77777777" w:rsidR="008E1208" w:rsidRDefault="00A17D19">
      <w:pPr>
        <w:spacing w:before="240" w:after="240" w:line="360" w:lineRule="auto"/>
        <w:jc w:val="both"/>
        <w:rPr>
          <w:rFonts w:ascii="Palatino Linotype" w:eastAsia="Palatino Linotype" w:hAnsi="Palatino Linotype" w:cs="Palatino Linotype"/>
          <w:b/>
        </w:rPr>
      </w:pPr>
      <w:bookmarkStart w:id="6" w:name="_heading=h.tyjcwt" w:colFirst="0" w:colLast="0"/>
      <w:bookmarkEnd w:id="6"/>
      <w:r>
        <w:rPr>
          <w:rFonts w:ascii="Palatino Linotype" w:eastAsia="Palatino Linotype" w:hAnsi="Palatino Linotype" w:cs="Palatino Linotype"/>
          <w:b/>
        </w:rPr>
        <w:lastRenderedPageBreak/>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C3E1333" w14:textId="77777777"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64735F38" w14:textId="77777777"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3918E36D" w14:textId="77777777" w:rsidR="008E1208" w:rsidRDefault="00A17D19">
      <w:pPr>
        <w:spacing w:line="360" w:lineRule="auto"/>
        <w:ind w:right="49"/>
        <w:jc w:val="both"/>
        <w:rPr>
          <w:rFonts w:ascii="Palatino Linotype" w:eastAsia="Palatino Linotype" w:hAnsi="Palatino Linotype" w:cs="Palatino Linotype"/>
        </w:rPr>
      </w:pPr>
      <w:bookmarkStart w:id="7" w:name="_heading=h.2et92p0" w:colFirst="0" w:colLast="0"/>
      <w:bookmarkEnd w:id="7"/>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Pr>
          <w:rFonts w:ascii="Palatino Linotype" w:eastAsia="Palatino Linotype" w:hAnsi="Palatino Linotype" w:cs="Palatino Linotype"/>
        </w:rPr>
        <w:lastRenderedPageBreak/>
        <w:t>RAMÍREZ PEÑA; EN LA VIGÉSIMA SEGUNDA SESIÓN ORDINARIA CELEBRADA EL QUINCE DE JUNIO DE DOS MIL VEINTIDÓS, ANTE EL SECRETARIO TÉCNICO DEL PLENO ALEXIS TAPIA RAMÍREZ.</w:t>
      </w:r>
    </w:p>
    <w:p w14:paraId="0AD99EA6" w14:textId="77777777" w:rsidR="0038444C" w:rsidRDefault="0038444C">
      <w:pPr>
        <w:spacing w:line="360" w:lineRule="auto"/>
        <w:ind w:right="49"/>
        <w:jc w:val="both"/>
        <w:rPr>
          <w:rFonts w:ascii="Palatino Linotype" w:eastAsia="Palatino Linotype" w:hAnsi="Palatino Linotype" w:cs="Palatino Linotype"/>
        </w:rPr>
      </w:pPr>
      <w:r>
        <w:rPr>
          <w:noProof/>
          <w:lang w:val="es-MX" w:eastAsia="es-MX"/>
        </w:rPr>
        <mc:AlternateContent>
          <mc:Choice Requires="wps">
            <w:drawing>
              <wp:anchor distT="0" distB="0" distL="114300" distR="114300" simplePos="0" relativeHeight="251659264" behindDoc="0" locked="0" layoutInCell="1" hidden="0" allowOverlap="1" wp14:anchorId="11C92498" wp14:editId="6C8D95E3">
                <wp:simplePos x="0" y="0"/>
                <wp:positionH relativeFrom="column">
                  <wp:posOffset>72390</wp:posOffset>
                </wp:positionH>
                <wp:positionV relativeFrom="paragraph">
                  <wp:posOffset>4445</wp:posOffset>
                </wp:positionV>
                <wp:extent cx="5362575" cy="6524625"/>
                <wp:effectExtent l="0" t="0" r="28575" b="28575"/>
                <wp:wrapNone/>
                <wp:docPr id="26" name="Conector recto de flecha 26"/>
                <wp:cNvGraphicFramePr/>
                <a:graphic xmlns:a="http://schemas.openxmlformats.org/drawingml/2006/main">
                  <a:graphicData uri="http://schemas.microsoft.com/office/word/2010/wordprocessingShape">
                    <wps:wsp>
                      <wps:cNvCnPr/>
                      <wps:spPr>
                        <a:xfrm>
                          <a:off x="0" y="0"/>
                          <a:ext cx="5362575" cy="6524625"/>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AB2F75" id="_x0000_t32" coordsize="21600,21600" o:spt="32" o:oned="t" path="m,l21600,21600e" filled="f">
                <v:path arrowok="t" fillok="f" o:connecttype="none"/>
                <o:lock v:ext="edit" shapetype="t"/>
              </v:shapetype>
              <v:shape id="Conector recto de flecha 26" o:spid="_x0000_s1026" type="#_x0000_t32" style="position:absolute;margin-left:5.7pt;margin-top:.35pt;width:422.25pt;height:5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" strokecolor="windowText">
                <v:stroke startarrowwidth="narrow" startarrowlength="short" endarrowwidth="narrow" endarrowlength="short" joinstyle="miter"/>
              </v:shape>
            </w:pict>
          </mc:Fallback>
        </mc:AlternateContent>
      </w:r>
    </w:p>
    <w:p w14:paraId="59A7F5CF" w14:textId="77777777" w:rsidR="0038444C" w:rsidRDefault="0038444C">
      <w:pPr>
        <w:spacing w:line="360" w:lineRule="auto"/>
        <w:ind w:right="49"/>
        <w:jc w:val="both"/>
        <w:rPr>
          <w:rFonts w:ascii="Palatino Linotype" w:eastAsia="Palatino Linotype" w:hAnsi="Palatino Linotype" w:cs="Palatino Linotype"/>
        </w:rPr>
        <w:sectPr w:rsidR="0038444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1B8DE62F" w14:textId="77777777" w:rsidR="008E1208" w:rsidRDefault="008E1208">
      <w:pPr>
        <w:tabs>
          <w:tab w:val="left" w:pos="709"/>
        </w:tabs>
        <w:spacing w:before="240" w:after="240" w:line="360" w:lineRule="auto"/>
        <w:jc w:val="both"/>
        <w:rPr>
          <w:rFonts w:ascii="Palatino Linotype" w:eastAsia="Palatino Linotype" w:hAnsi="Palatino Linotype" w:cs="Palatino Linotype"/>
        </w:rPr>
      </w:pPr>
    </w:p>
    <w:p w14:paraId="2DC466B4" w14:textId="77777777" w:rsidR="008E1208" w:rsidRDefault="008E1208"/>
    <w:p w14:paraId="62A4C1C2" w14:textId="77777777" w:rsidR="008E1208" w:rsidRDefault="008E1208"/>
    <w:sectPr w:rsidR="008E120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E7D2D" w14:textId="77777777" w:rsidR="006A5A10" w:rsidRDefault="006A5A10">
      <w:r>
        <w:separator/>
      </w:r>
    </w:p>
  </w:endnote>
  <w:endnote w:type="continuationSeparator" w:id="0">
    <w:p w14:paraId="5C73897E" w14:textId="77777777" w:rsidR="006A5A10" w:rsidRDefault="006A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93112" w14:textId="77777777"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B3C17">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B3C17">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1A0C80CB" w14:textId="77777777" w:rsidR="008E1208" w:rsidRDefault="008E1208">
    <w:pPr>
      <w:pBdr>
        <w:top w:val="nil"/>
        <w:left w:val="nil"/>
        <w:bottom w:val="nil"/>
        <w:right w:val="nil"/>
        <w:between w:val="nil"/>
      </w:pBdr>
      <w:tabs>
        <w:tab w:val="center" w:pos="4252"/>
        <w:tab w:val="right" w:pos="8504"/>
      </w:tabs>
      <w:rPr>
        <w:color w:val="000000"/>
      </w:rPr>
    </w:pPr>
  </w:p>
  <w:p w14:paraId="6CB5ABF5" w14:textId="77777777" w:rsidR="008E1208" w:rsidRDefault="008E120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844EB" w14:textId="77777777"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B3C17">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B3C17">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5D58AC2F"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D91FB" w14:textId="77777777" w:rsidR="006A5A10" w:rsidRDefault="006A5A10">
      <w:r>
        <w:separator/>
      </w:r>
    </w:p>
  </w:footnote>
  <w:footnote w:type="continuationSeparator" w:id="0">
    <w:p w14:paraId="1D316330" w14:textId="77777777" w:rsidR="006A5A10" w:rsidRDefault="006A5A10">
      <w:r>
        <w:continuationSeparator/>
      </w:r>
    </w:p>
  </w:footnote>
  <w:footnote w:id="1">
    <w:p w14:paraId="6C79D03D"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1836B809"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63EFF20"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9CE1789"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3269C35A"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1E7832B5"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43E0986"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AFFFCE5"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2995C545"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E78D3" w14:textId="77777777" w:rsidR="008E1208" w:rsidRDefault="00A17D1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2E424AB7" wp14:editId="403908ED">
          <wp:simplePos x="0" y="0"/>
          <wp:positionH relativeFrom="column">
            <wp:posOffset>-1080127</wp:posOffset>
          </wp:positionH>
          <wp:positionV relativeFrom="paragraph">
            <wp:posOffset>-450840</wp:posOffset>
          </wp:positionV>
          <wp:extent cx="7635163" cy="99441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0"/>
      <w:tblW w:w="5670" w:type="dxa"/>
      <w:tblInd w:w="3261" w:type="dxa"/>
      <w:tblLayout w:type="fixed"/>
      <w:tblLook w:val="0400" w:firstRow="0" w:lastRow="0" w:firstColumn="0" w:lastColumn="0" w:noHBand="0" w:noVBand="1"/>
    </w:tblPr>
    <w:tblGrid>
      <w:gridCol w:w="2552"/>
      <w:gridCol w:w="3118"/>
    </w:tblGrid>
    <w:tr w:rsidR="008E1208" w14:paraId="3E82485F" w14:textId="77777777">
      <w:tc>
        <w:tcPr>
          <w:tcW w:w="2552" w:type="dxa"/>
          <w:vAlign w:val="center"/>
        </w:tcPr>
        <w:p w14:paraId="795DDED0"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2139B931" w14:textId="77777777" w:rsidR="008E1208" w:rsidRDefault="00B0482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0799</w:t>
          </w:r>
          <w:r w:rsidR="00A17D19">
            <w:rPr>
              <w:rFonts w:ascii="Palatino Linotype" w:eastAsia="Palatino Linotype" w:hAnsi="Palatino Linotype" w:cs="Palatino Linotype"/>
              <w:b/>
              <w:sz w:val="22"/>
              <w:szCs w:val="22"/>
            </w:rPr>
            <w:t xml:space="preserve">9/INFOEM/IP/RR/2022 </w:t>
          </w:r>
        </w:p>
      </w:tc>
    </w:tr>
    <w:tr w:rsidR="008E1208" w14:paraId="03A6CAE4" w14:textId="77777777">
      <w:trPr>
        <w:trHeight w:val="228"/>
      </w:trPr>
      <w:tc>
        <w:tcPr>
          <w:tcW w:w="2552" w:type="dxa"/>
          <w:vAlign w:val="center"/>
        </w:tcPr>
        <w:p w14:paraId="271F2780"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713B1BCF" w14:textId="77777777" w:rsidR="008E1208" w:rsidRDefault="00B0482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Ixtapan de la Sal</w:t>
          </w:r>
        </w:p>
      </w:tc>
    </w:tr>
    <w:tr w:rsidR="008E1208" w14:paraId="00690FDD" w14:textId="77777777">
      <w:tc>
        <w:tcPr>
          <w:tcW w:w="2552" w:type="dxa"/>
          <w:vAlign w:val="center"/>
        </w:tcPr>
        <w:p w14:paraId="30C23584"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258BD4A2" w14:textId="77777777"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9924FED" w14:textId="77777777" w:rsidR="008E1208" w:rsidRDefault="00A17D1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4F70A" w14:textId="77777777"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671839A5" wp14:editId="27686F12">
          <wp:simplePos x="0" y="0"/>
          <wp:positionH relativeFrom="column">
            <wp:posOffset>-1013450</wp:posOffset>
          </wp:positionH>
          <wp:positionV relativeFrom="paragraph">
            <wp:posOffset>-372101</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
      <w:tblW w:w="6238" w:type="dxa"/>
      <w:tblInd w:w="3119" w:type="dxa"/>
      <w:tblLayout w:type="fixed"/>
      <w:tblLook w:val="0400" w:firstRow="0" w:lastRow="0" w:firstColumn="0" w:lastColumn="0" w:noHBand="0" w:noVBand="1"/>
    </w:tblPr>
    <w:tblGrid>
      <w:gridCol w:w="2551"/>
      <w:gridCol w:w="3687"/>
    </w:tblGrid>
    <w:tr w:rsidR="008E1208" w14:paraId="2814A6F2" w14:textId="77777777">
      <w:tc>
        <w:tcPr>
          <w:tcW w:w="2551" w:type="dxa"/>
          <w:vAlign w:val="center"/>
        </w:tcPr>
        <w:p w14:paraId="72C6222E"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361A3FF7" w14:textId="77777777" w:rsidR="008E1208" w:rsidRDefault="00B0482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0799</w:t>
          </w:r>
          <w:r w:rsidR="00A17D19">
            <w:rPr>
              <w:rFonts w:ascii="Palatino Linotype" w:eastAsia="Palatino Linotype" w:hAnsi="Palatino Linotype" w:cs="Palatino Linotype"/>
              <w:b/>
              <w:sz w:val="22"/>
              <w:szCs w:val="22"/>
            </w:rPr>
            <w:t>9/INFOEM/IP/RR/2022</w:t>
          </w:r>
        </w:p>
      </w:tc>
    </w:tr>
    <w:tr w:rsidR="008E1208" w14:paraId="7D69E91A" w14:textId="77777777">
      <w:tc>
        <w:tcPr>
          <w:tcW w:w="2551" w:type="dxa"/>
          <w:vAlign w:val="center"/>
        </w:tcPr>
        <w:p w14:paraId="3B555EF1" w14:textId="77777777" w:rsidR="008E1208" w:rsidRDefault="00A17D1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552812E6" w14:textId="4ADA9EDE" w:rsidR="008E1208" w:rsidRDefault="00AB3C1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XXXXXXXX XXXXX</w:t>
          </w:r>
        </w:p>
      </w:tc>
    </w:tr>
    <w:tr w:rsidR="008E1208" w14:paraId="6874A18C" w14:textId="77777777">
      <w:trPr>
        <w:trHeight w:val="228"/>
      </w:trPr>
      <w:tc>
        <w:tcPr>
          <w:tcW w:w="2551" w:type="dxa"/>
          <w:vAlign w:val="center"/>
        </w:tcPr>
        <w:p w14:paraId="63208BB2"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29C123D" w14:textId="77777777" w:rsidR="008E1208" w:rsidRDefault="00B0482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Ixtapan de la Sal</w:t>
          </w:r>
        </w:p>
      </w:tc>
    </w:tr>
    <w:tr w:rsidR="008E1208" w14:paraId="675AB8BE" w14:textId="77777777">
      <w:tc>
        <w:tcPr>
          <w:tcW w:w="2551" w:type="dxa"/>
          <w:vAlign w:val="center"/>
        </w:tcPr>
        <w:p w14:paraId="5D666D92"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3D866197" w14:textId="77777777"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6E3787"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1ACA" w14:textId="77777777"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48ECA1EE"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E4293"/>
    <w:multiLevelType w:val="multilevel"/>
    <w:tmpl w:val="A0383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08"/>
    <w:rsid w:val="00027EF5"/>
    <w:rsid w:val="00126FC4"/>
    <w:rsid w:val="0038444C"/>
    <w:rsid w:val="003A668D"/>
    <w:rsid w:val="006A5A10"/>
    <w:rsid w:val="006E6C55"/>
    <w:rsid w:val="008743F2"/>
    <w:rsid w:val="008E1208"/>
    <w:rsid w:val="00A17D19"/>
    <w:rsid w:val="00AB3C17"/>
    <w:rsid w:val="00B04827"/>
    <w:rsid w:val="00CD7764"/>
    <w:rsid w:val="00DB494B"/>
    <w:rsid w:val="00E20B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955B"/>
  <w15:docId w15:val="{857E5B28-D05A-409B-AA93-895074B9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dLK8knYhlVxQJ/74y8VqavDOgA==">AMUW2mUAyuORYzp4IxZOcwGnoIcdwohUti4RPu3DwhM1QCm95eJNy1JVYZDl4+rBSy/d7tndlYPkYz2iuhmoaLqVwAnckTad6SDG/tiKo88tt6SiTPtw4D58alViTiLnxRVrnfSgt71THYaY/97Epz/383jbOVpsqCvPVYZgQz6oZ0PjmNetbQtK6Pgsz/u5/h1emMjWgts8WZs/7KaVbTKezCnj3wMwDw==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7228</Words>
  <Characters>39760</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6</cp:revision>
  <cp:lastPrinted>2022-06-16T20:28:00Z</cp:lastPrinted>
  <dcterms:created xsi:type="dcterms:W3CDTF">2022-06-16T01:22:00Z</dcterms:created>
  <dcterms:modified xsi:type="dcterms:W3CDTF">2022-07-06T23:00:00Z</dcterms:modified>
</cp:coreProperties>
</file>