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EB60EB"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quince de junio del dos mil veintidós</w:t>
      </w:r>
      <w:r>
        <w:rPr>
          <w:rFonts w:ascii="Palatino Linotype" w:eastAsia="Palatino Linotype" w:hAnsi="Palatino Linotype" w:cs="Palatino Linotype"/>
        </w:rPr>
        <w:t>.</w:t>
      </w:r>
    </w:p>
    <w:p w14:paraId="77F1D3AF" w14:textId="0C47A4D8" w:rsidR="006005B9" w:rsidRDefault="004E7D1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02759/INFOEM/IP/RR/2022</w:t>
      </w:r>
      <w:r>
        <w:rPr>
          <w:rFonts w:ascii="Palatino Linotype" w:eastAsia="Palatino Linotype" w:hAnsi="Palatino Linotype" w:cs="Palatino Linotype"/>
        </w:rPr>
        <w:t xml:space="preserve">, interpuesto por </w:t>
      </w:r>
      <w:r w:rsidR="00E155CF" w:rsidRPr="00E155CF">
        <w:rPr>
          <w:rFonts w:ascii="Palatino Linotype" w:eastAsia="Palatino Linotype" w:hAnsi="Palatino Linotype" w:cs="Palatino Linotype"/>
          <w:b/>
        </w:rPr>
        <w:t>XXXX XXXXXXX XX XXXXXXXXXXXXX XX XXXXXXXXXXXXX</w:t>
      </w:r>
      <w:bookmarkStart w:id="0" w:name="_GoBack"/>
      <w:bookmarkEnd w:id="0"/>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Acambay de Ruíz Castañeda,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1352E93F" w14:textId="77777777" w:rsidR="006005B9" w:rsidRDefault="004E7D11">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14:paraId="6ECAD559" w14:textId="77777777" w:rsidR="006005B9" w:rsidRDefault="004E7D1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ocho de febrero de dos mil veintidós, la 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00034/ACAMBAY/IP/2022, </w:t>
      </w:r>
      <w:r>
        <w:rPr>
          <w:rFonts w:ascii="Palatino Linotype" w:eastAsia="Palatino Linotype" w:hAnsi="Palatino Linotype" w:cs="Palatino Linotype"/>
        </w:rPr>
        <w:t xml:space="preserve">mediante la cual requirió la información siguiente: </w:t>
      </w:r>
    </w:p>
    <w:p w14:paraId="7667B1C3" w14:textId="77777777" w:rsidR="006005B9" w:rsidRDefault="004E7D11">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“SOLICITO EL </w:t>
      </w:r>
      <w:r>
        <w:rPr>
          <w:rFonts w:ascii="Palatino Linotype" w:eastAsia="Palatino Linotype" w:hAnsi="Palatino Linotype" w:cs="Palatino Linotype"/>
          <w:b/>
          <w:i/>
          <w:sz w:val="22"/>
          <w:szCs w:val="22"/>
          <w:u w:val="single"/>
        </w:rPr>
        <w:t>ULTIMO CORTE DE CAJA Y/O CONTABILIDAD Y/O SIMILAR O ANALOGO, DE LOS PROGRAMAS SOCIALES ENTREGADOS POR EL MUNICIPIO, ASI COMO SUS BENEFICIAROS</w:t>
      </w:r>
      <w:r>
        <w:rPr>
          <w:rFonts w:ascii="Palatino Linotype" w:eastAsia="Palatino Linotype" w:hAnsi="Palatino Linotype" w:cs="Palatino Linotype"/>
          <w:i/>
          <w:sz w:val="22"/>
          <w:szCs w:val="22"/>
        </w:rPr>
        <w:t>, POR TRATARSE DE USO Y DESTINOD E RECURSOS PÚBLICO Y TENER CERTEZA Y SEGURIDAD JURIDICAS SOBRE SU TRANSPARENCIA Y EJERCICIO.” (Sic) (Énfasis añadido)</w:t>
      </w:r>
    </w:p>
    <w:p w14:paraId="031B7E8E" w14:textId="77777777" w:rsidR="006005B9" w:rsidRDefault="004E7D1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p>
    <w:p w14:paraId="50D2B2AD" w14:textId="77777777" w:rsidR="006005B9" w:rsidRDefault="004E7D11">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a la solicitud de información.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veintitrés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la respuesta a la solicitud de información sustancialmente en los siguientes términos: </w:t>
      </w:r>
    </w:p>
    <w:p w14:paraId="3E1D6D51" w14:textId="77777777" w:rsidR="006005B9" w:rsidRDefault="004E7D1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atención a su solicitud de información No. 00034/ACAMBAY/IP/2022, recibida por esta dependencia vía Sistema Electrónico Denominado Sistema de Acceso a la Información Mexiquense (SAIMEX) de fecha 08 de febrero de 2022, dirigida al Ayuntamiento de Acambay de Ruiz Castañeda, Estado de México, como sujeto Obligado de la Ley de Transparencia y Acceso a la Información Pública del Estado de México y Municipios. </w:t>
      </w:r>
      <w:r>
        <w:rPr>
          <w:rFonts w:ascii="Palatino Linotype" w:eastAsia="Palatino Linotype" w:hAnsi="Palatino Linotype" w:cs="Palatino Linotype"/>
          <w:b/>
          <w:i/>
          <w:sz w:val="22"/>
          <w:szCs w:val="22"/>
          <w:u w:val="single"/>
        </w:rPr>
        <w:t xml:space="preserve">Se entrega lo siguiente referente a su petición: archivo PDF con la respuesta emitida por el Sujeto Habilitado de la </w:t>
      </w:r>
      <w:proofErr w:type="spellStart"/>
      <w:r>
        <w:rPr>
          <w:rFonts w:ascii="Palatino Linotype" w:eastAsia="Palatino Linotype" w:hAnsi="Palatino Linotype" w:cs="Palatino Linotype"/>
          <w:b/>
          <w:i/>
          <w:sz w:val="22"/>
          <w:szCs w:val="22"/>
          <w:u w:val="single"/>
        </w:rPr>
        <w:t>Tesoreria</w:t>
      </w:r>
      <w:proofErr w:type="spellEnd"/>
      <w:r>
        <w:rPr>
          <w:rFonts w:ascii="Palatino Linotype" w:eastAsia="Palatino Linotype" w:hAnsi="Palatino Linotype" w:cs="Palatino Linotype"/>
          <w:b/>
          <w:i/>
          <w:sz w:val="22"/>
          <w:szCs w:val="22"/>
          <w:u w:val="single"/>
        </w:rPr>
        <w:t xml:space="preserve"> Municipal, </w:t>
      </w:r>
      <w:proofErr w:type="spellStart"/>
      <w:r>
        <w:rPr>
          <w:rFonts w:ascii="Palatino Linotype" w:eastAsia="Palatino Linotype" w:hAnsi="Palatino Linotype" w:cs="Palatino Linotype"/>
          <w:b/>
          <w:i/>
          <w:sz w:val="22"/>
          <w:szCs w:val="22"/>
          <w:u w:val="single"/>
        </w:rPr>
        <w:t>Direccion</w:t>
      </w:r>
      <w:proofErr w:type="spellEnd"/>
      <w:r>
        <w:rPr>
          <w:rFonts w:ascii="Palatino Linotype" w:eastAsia="Palatino Linotype" w:hAnsi="Palatino Linotype" w:cs="Palatino Linotype"/>
          <w:b/>
          <w:i/>
          <w:sz w:val="22"/>
          <w:szCs w:val="22"/>
          <w:u w:val="single"/>
        </w:rPr>
        <w:t xml:space="preserve"> de Bienestar Social , Desarrollo del campo , de Acambay de Ruiz Castañeda, Estado de México, dando así contestación al solicitante respecto de su petición, manifestando que la información proporcionada es la única que obra en los archivos municipales</w:t>
      </w:r>
      <w:r>
        <w:rPr>
          <w:rFonts w:ascii="Palatino Linotype" w:eastAsia="Palatino Linotype" w:hAnsi="Palatino Linotype" w:cs="Palatino Linotype"/>
          <w:i/>
          <w:sz w:val="22"/>
          <w:szCs w:val="22"/>
        </w:rPr>
        <w:t>, de conformidad con lo que establece el párrafo segundo del artículo 12 de la Ley de Transparencia y Acceso a la Información Pública del Estado de México y Municipios.</w:t>
      </w:r>
    </w:p>
    <w:p w14:paraId="09F79E70" w14:textId="77777777" w:rsidR="006005B9" w:rsidRDefault="004E7D1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7B85D246" w14:textId="77777777" w:rsidR="006005B9" w:rsidRDefault="004E7D1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LEILY ARELY CHAVEZ RUIZ” (Sic) (Énfasis añadido)</w:t>
      </w:r>
    </w:p>
    <w:p w14:paraId="57E0D258" w14:textId="77777777" w:rsidR="006005B9" w:rsidRDefault="004E7D11">
      <w:pPr>
        <w:spacing w:before="240" w:after="240" w:line="360" w:lineRule="auto"/>
        <w:ind w:right="900"/>
        <w:jc w:val="both"/>
        <w:rPr>
          <w:rFonts w:ascii="Palatino Linotype" w:eastAsia="Palatino Linotype" w:hAnsi="Palatino Linotype" w:cs="Palatino Linotype"/>
          <w:b/>
          <w:color w:val="000000"/>
        </w:rPr>
      </w:pPr>
      <w:r>
        <w:rPr>
          <w:rFonts w:ascii="Palatino Linotype" w:eastAsia="Palatino Linotype" w:hAnsi="Palatino Linotype" w:cs="Palatino Linotype"/>
          <w:b/>
        </w:rPr>
        <w:t>El Sujeto Obligado adjuntó a su respuesta el a</w:t>
      </w:r>
      <w:r>
        <w:rPr>
          <w:rFonts w:ascii="Palatino Linotype" w:eastAsia="Palatino Linotype" w:hAnsi="Palatino Linotype" w:cs="Palatino Linotype"/>
          <w:b/>
          <w:color w:val="000000"/>
        </w:rPr>
        <w:t xml:space="preserve">rchivo electrónico que a </w:t>
      </w:r>
      <w:proofErr w:type="gramStart"/>
      <w:r>
        <w:rPr>
          <w:rFonts w:ascii="Palatino Linotype" w:eastAsia="Palatino Linotype" w:hAnsi="Palatino Linotype" w:cs="Palatino Linotype"/>
          <w:b/>
          <w:color w:val="000000"/>
        </w:rPr>
        <w:t>continuación</w:t>
      </w:r>
      <w:proofErr w:type="gramEnd"/>
      <w:r>
        <w:rPr>
          <w:rFonts w:ascii="Palatino Linotype" w:eastAsia="Palatino Linotype" w:hAnsi="Palatino Linotype" w:cs="Palatino Linotype"/>
          <w:b/>
          <w:color w:val="000000"/>
        </w:rPr>
        <w:t xml:space="preserve"> se describe: </w:t>
      </w:r>
    </w:p>
    <w:p w14:paraId="66F2712D" w14:textId="77777777" w:rsidR="006005B9" w:rsidRDefault="004E7D11">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w:t>
      </w:r>
      <w:proofErr w:type="spellStart"/>
      <w:r>
        <w:rPr>
          <w:rFonts w:ascii="Palatino Linotype" w:eastAsia="Palatino Linotype" w:hAnsi="Palatino Linotype" w:cs="Palatino Linotype"/>
          <w:b/>
          <w:i/>
          <w:color w:val="000000"/>
        </w:rPr>
        <w:t>contestacion</w:t>
      </w:r>
      <w:proofErr w:type="spellEnd"/>
      <w:r>
        <w:rPr>
          <w:rFonts w:ascii="Palatino Linotype" w:eastAsia="Palatino Linotype" w:hAnsi="Palatino Linotype" w:cs="Palatino Linotype"/>
          <w:b/>
          <w:i/>
          <w:color w:val="000000"/>
        </w:rPr>
        <w:t xml:space="preserve"> 0034.pdf”: </w:t>
      </w:r>
      <w:r>
        <w:rPr>
          <w:rFonts w:ascii="Palatino Linotype" w:eastAsia="Palatino Linotype" w:hAnsi="Palatino Linotype" w:cs="Palatino Linotype"/>
          <w:color w:val="000000"/>
        </w:rPr>
        <w:t xml:space="preserve">Documento de seis fojas, en los que obran los pronunciamientos de la Titular de la Unidad de Transparencia, así como de los servidores públicos habilitados de la Tesorería </w:t>
      </w:r>
      <w:r>
        <w:rPr>
          <w:rFonts w:ascii="Palatino Linotype" w:eastAsia="Palatino Linotype" w:hAnsi="Palatino Linotype" w:cs="Palatino Linotype"/>
          <w:color w:val="000000"/>
        </w:rPr>
        <w:lastRenderedPageBreak/>
        <w:t xml:space="preserve">Municipal, Dirección de Bienestar Social y Dirección de Desarrollo del Campo, medularmente en los términos siguientes: </w:t>
      </w:r>
    </w:p>
    <w:p w14:paraId="7DECCB2C" w14:textId="77777777" w:rsidR="006005B9" w:rsidRDefault="004E7D11">
      <w:pPr>
        <w:spacing w:before="240" w:after="240" w:line="360" w:lineRule="auto"/>
        <w:ind w:left="567" w:right="900"/>
      </w:pPr>
      <w:r>
        <w:object w:dxaOrig="7530" w:dyaOrig="8610" w14:anchorId="1D83A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25pt;height:430.5pt" o:ole="">
            <v:imagedata r:id="rId8" o:title=""/>
          </v:shape>
          <o:OLEObject Type="Embed" ProgID="PBrush" ShapeID="_x0000_i1025" DrawAspect="Content" ObjectID="_1718633714" r:id="rId9"/>
        </w:object>
      </w:r>
    </w:p>
    <w:p w14:paraId="003B528C" w14:textId="77777777" w:rsidR="006005B9" w:rsidRDefault="004E7D11">
      <w:pPr>
        <w:spacing w:before="240" w:after="240" w:line="360" w:lineRule="auto"/>
        <w:ind w:left="567" w:right="900"/>
      </w:pPr>
      <w:r>
        <w:object w:dxaOrig="7410" w:dyaOrig="9210" w14:anchorId="5DE48F64">
          <v:shape id="_x0000_i1026" type="#_x0000_t75" style="width:370.5pt;height:460.5pt" o:ole="">
            <v:imagedata r:id="rId10" o:title=""/>
          </v:shape>
          <o:OLEObject Type="Embed" ProgID="PBrush" ShapeID="_x0000_i1026" DrawAspect="Content" ObjectID="_1718633715" r:id="rId11"/>
        </w:object>
      </w:r>
    </w:p>
    <w:p w14:paraId="7EDA6633" w14:textId="77777777" w:rsidR="006005B9" w:rsidRDefault="006005B9">
      <w:pPr>
        <w:spacing w:before="240" w:after="240" w:line="360" w:lineRule="auto"/>
        <w:ind w:left="567" w:right="900"/>
      </w:pPr>
    </w:p>
    <w:p w14:paraId="1B8FAC37" w14:textId="77777777" w:rsidR="006005B9" w:rsidRDefault="006005B9">
      <w:pPr>
        <w:spacing w:before="240" w:after="240" w:line="360" w:lineRule="auto"/>
        <w:ind w:left="567" w:right="900"/>
      </w:pPr>
    </w:p>
    <w:p w14:paraId="71CE7B3E" w14:textId="77777777" w:rsidR="006005B9" w:rsidRDefault="004E7D11">
      <w:pPr>
        <w:spacing w:before="240" w:after="240" w:line="360" w:lineRule="auto"/>
        <w:ind w:left="567" w:right="900"/>
        <w:rPr>
          <w:rFonts w:ascii="Palatino Linotype" w:eastAsia="Palatino Linotype" w:hAnsi="Palatino Linotype" w:cs="Palatino Linotype"/>
          <w:color w:val="000000"/>
        </w:rPr>
      </w:pPr>
      <w:r>
        <w:object w:dxaOrig="7980" w:dyaOrig="9090" w14:anchorId="245DEAD0">
          <v:shape id="_x0000_i1027" type="#_x0000_t75" style="width:399.75pt;height:454.5pt" o:ole="">
            <v:imagedata r:id="rId12" o:title=""/>
          </v:shape>
          <o:OLEObject Type="Embed" ProgID="PBrush" ShapeID="_x0000_i1027" DrawAspect="Content" ObjectID="_1718633716" r:id="rId13"/>
        </w:object>
      </w:r>
    </w:p>
    <w:p w14:paraId="195ADB62" w14:textId="77777777" w:rsidR="006005B9" w:rsidRDefault="004E7D11">
      <w:pP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recurso de revisión materia del presente estudio el día </w:t>
      </w:r>
      <w:r>
        <w:rPr>
          <w:rFonts w:ascii="Palatino Linotype" w:eastAsia="Palatino Linotype" w:hAnsi="Palatino Linotype" w:cs="Palatino Linotype"/>
          <w:b/>
        </w:rPr>
        <w:t>uno de marzo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14:paraId="4D9EFAC5" w14:textId="77777777" w:rsidR="006005B9" w:rsidRDefault="004E7D11">
      <w:pPr>
        <w:spacing w:before="240" w:after="240"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a) Acto impugnado: </w:t>
      </w:r>
    </w:p>
    <w:p w14:paraId="67072BEF" w14:textId="77777777" w:rsidR="006005B9" w:rsidRDefault="004E7D11">
      <w:pPr>
        <w:spacing w:before="240" w:after="24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DEL SUJETO OBLIGADO” (Sic)</w:t>
      </w:r>
    </w:p>
    <w:p w14:paraId="192D5DE6" w14:textId="77777777" w:rsidR="006005B9" w:rsidRDefault="004E7D11">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14:paraId="7C77ED82"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TODAVEZ QUE TANTO EL GOBIERNO DEL ESTADO COMO EL GOBIERNO FEDERAL, SE AUXILIAN DEL MUNICIPIO, EN CONSEUCNIA, ES NECESARIO, SE HAGA UNA BUSQUEDA EXAHUSTIVA EN SUS ARCHIVOS DE TODA LA ESTRUCTURA INSTITUCIONAL, A FIN DE LOCALIZAR Y ENTREGAR LA INFORMACIÓN</w:t>
      </w:r>
      <w:r>
        <w:rPr>
          <w:rFonts w:ascii="Palatino Linotype" w:eastAsia="Palatino Linotype" w:hAnsi="Palatino Linotype" w:cs="Palatino Linotype"/>
          <w:i/>
          <w:sz w:val="22"/>
          <w:szCs w:val="22"/>
        </w:rPr>
        <w:t>” (Sic) (Énfasis añadido)</w:t>
      </w:r>
    </w:p>
    <w:p w14:paraId="1FDF93D5" w14:textId="77777777" w:rsidR="006005B9" w:rsidRDefault="004E7D11">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5F3712BE" w14:textId="77777777" w:rsidR="006005B9" w:rsidRDefault="004E7D11">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siete de marzo de dos mil veintidós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14:paraId="5ED6DDFC" w14:textId="77777777" w:rsidR="006005B9" w:rsidRDefault="004E7D11">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 </w:t>
      </w:r>
      <w:r>
        <w:rPr>
          <w:rFonts w:ascii="Palatino Linotype" w:eastAsia="Palatino Linotype" w:hAnsi="Palatino Linotype" w:cs="Palatino Linotype"/>
        </w:rPr>
        <w:lastRenderedPageBreak/>
        <w:t>asimismo por cuanto hace a la particular, se tiene que no emitió alegatos o pronunciamiento alguno, por lo que se tiene por precluido su derecho para tal efecto.</w:t>
      </w:r>
    </w:p>
    <w:p w14:paraId="740EFA04" w14:textId="77777777" w:rsidR="006005B9" w:rsidRDefault="004E7D11">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114300" distB="114300" distL="114300" distR="114300" wp14:anchorId="4205EE3A" wp14:editId="7890F78A">
            <wp:extent cx="5581015" cy="2108200"/>
            <wp:effectExtent l="0" t="0" r="0" b="0"/>
            <wp:docPr id="8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581015" cy="2108200"/>
                    </a:xfrm>
                    <a:prstGeom prst="rect">
                      <a:avLst/>
                    </a:prstGeom>
                    <a:ln/>
                  </pic:spPr>
                </pic:pic>
              </a:graphicData>
            </a:graphic>
          </wp:inline>
        </w:drawing>
      </w:r>
    </w:p>
    <w:p w14:paraId="7D9A53C0" w14:textId="77777777" w:rsidR="006005B9" w:rsidRDefault="004E7D1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diecisiete de mayo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248BE6F6"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Pr>
          <w:rFonts w:ascii="Palatino Linotype" w:eastAsia="Palatino Linotype" w:hAnsi="Palatino Linotype" w:cs="Palatino Linotype"/>
          <w:b/>
        </w:rPr>
        <w:t>treinta y uno</w:t>
      </w:r>
      <w:r>
        <w:rPr>
          <w:rFonts w:ascii="Palatino Linotype" w:eastAsia="Palatino Linotype" w:hAnsi="Palatino Linotype" w:cs="Palatino Linotype"/>
          <w:b/>
          <w:color w:val="000000"/>
        </w:rPr>
        <w:t xml:space="preserve"> de mayo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14:paraId="262828BC"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6DAF8511" w14:textId="77777777" w:rsidR="006005B9" w:rsidRDefault="004E7D11">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14:paraId="0190D60A" w14:textId="77777777" w:rsidR="006005B9" w:rsidRDefault="004E7D11">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highlight w:val="white"/>
        </w:rPr>
        <w:t>la parte Recurrente</w:t>
      </w:r>
      <w:r>
        <w:rPr>
          <w:rFonts w:ascii="Palatino Linotype" w:eastAsia="Palatino Linotype" w:hAnsi="Palatino Linotype" w:cs="Palatino Linotype"/>
          <w:highlight w:val="white"/>
        </w:rPr>
        <w:t>,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C6FF0A9" w14:textId="77777777" w:rsidR="006005B9" w:rsidRDefault="004E7D11">
      <w:pPr>
        <w:spacing w:before="240" w:after="240" w:line="360" w:lineRule="auto"/>
        <w:jc w:val="both"/>
        <w:rPr>
          <w:rFonts w:ascii="Palatino Linotype" w:eastAsia="Palatino Linotype" w:hAnsi="Palatino Linotype" w:cs="Palatino Linotype"/>
          <w:highlight w:val="red"/>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Pr>
          <w:rFonts w:ascii="Palatino Linotype" w:eastAsia="Palatino Linotype" w:hAnsi="Palatino Linotype" w:cs="Palatino Linotype"/>
          <w:b/>
        </w:rPr>
        <w:t xml:space="preserve">veintitrés de </w:t>
      </w:r>
      <w:r>
        <w:rPr>
          <w:rFonts w:ascii="Palatino Linotype" w:eastAsia="Palatino Linotype" w:hAnsi="Palatino Linotype" w:cs="Palatino Linotype"/>
          <w:b/>
        </w:rPr>
        <w:lastRenderedPageBreak/>
        <w:t>febrero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su recurso de revisión el </w:t>
      </w:r>
      <w:r>
        <w:rPr>
          <w:rFonts w:ascii="Palatino Linotype" w:eastAsia="Palatino Linotype" w:hAnsi="Palatino Linotype" w:cs="Palatino Linotype"/>
          <w:b/>
        </w:rPr>
        <w:t>uno de marzo de dos mil veintidós</w:t>
      </w:r>
      <w:r>
        <w:rPr>
          <w:rFonts w:ascii="Palatino Linotype" w:eastAsia="Palatino Linotype" w:hAnsi="Palatino Linotype" w:cs="Palatino Linotype"/>
        </w:rPr>
        <w:t>, esto es al cuarto día hábil en el que tuvo conocimiento de la respuesta.</w:t>
      </w:r>
    </w:p>
    <w:p w14:paraId="5D70519F" w14:textId="77777777" w:rsidR="006005B9" w:rsidRDefault="004E7D1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por cuanto hace a la procedibilidad de</w:t>
      </w:r>
      <w:r>
        <w:rPr>
          <w:rFonts w:ascii="Palatino Linotype" w:eastAsia="Palatino Linotype" w:hAnsi="Palatino Linotype" w:cs="Palatino Linotype"/>
        </w:rPr>
        <w:t xml:space="preserve">l </w:t>
      </w:r>
      <w:r>
        <w:rPr>
          <w:rFonts w:ascii="Palatino Linotype" w:eastAsia="Palatino Linotype" w:hAnsi="Palatino Linotype" w:cs="Palatino Linotype"/>
          <w:color w:val="000000"/>
        </w:rPr>
        <w:t xml:space="preserve"> recurso de </w:t>
      </w:r>
      <w:r>
        <w:rPr>
          <w:rFonts w:ascii="Palatino Linotype" w:eastAsia="Palatino Linotype" w:hAnsi="Palatino Linotype" w:cs="Palatino Linotype"/>
        </w:rPr>
        <w:t>revisión</w:t>
      </w:r>
      <w:r>
        <w:rPr>
          <w:rFonts w:ascii="Palatino Linotype" w:eastAsia="Palatino Linotype" w:hAnsi="Palatino Linotype" w:cs="Palatino Linotype"/>
          <w:color w:val="000000"/>
        </w:rPr>
        <w:t xml:space="preserve">,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completo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8F81804" w14:textId="77777777" w:rsidR="006005B9" w:rsidRDefault="004E7D11">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20BE2C1E" w14:textId="77777777" w:rsidR="006005B9" w:rsidRDefault="004E7D11">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AAF4C7F"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I del ordenamiento legal citado, que a la letra dice: </w:t>
      </w:r>
    </w:p>
    <w:p w14:paraId="7216768E" w14:textId="77777777" w:rsidR="006005B9" w:rsidRDefault="004E7D1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62CF1E4B" w14:textId="77777777" w:rsidR="006005B9" w:rsidRDefault="004E7D11">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r>
        <w:rPr>
          <w:rFonts w:ascii="Palatino Linotype" w:eastAsia="Palatino Linotype" w:hAnsi="Palatino Linotype" w:cs="Palatino Linotype"/>
          <w:i/>
          <w:sz w:val="22"/>
          <w:szCs w:val="22"/>
        </w:rPr>
        <w:t>” </w:t>
      </w:r>
    </w:p>
    <w:p w14:paraId="3ECA1510" w14:textId="77777777" w:rsidR="006005B9" w:rsidRDefault="004E7D11">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14:paraId="6996DD47"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5BB3DE28" w14:textId="77777777" w:rsidR="006005B9" w:rsidRDefault="004E7D1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E5E9DEB" w14:textId="77777777" w:rsidR="006005B9" w:rsidRDefault="004E7D11">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xml:space="preserve">, así como de las garantías para su protección, cuyo ejercicio no podrá restringirse ni </w:t>
      </w:r>
      <w:r>
        <w:rPr>
          <w:rFonts w:ascii="Palatino Linotype" w:eastAsia="Palatino Linotype" w:hAnsi="Palatino Linotype" w:cs="Palatino Linotype"/>
          <w:i/>
          <w:sz w:val="22"/>
          <w:szCs w:val="22"/>
        </w:rPr>
        <w:lastRenderedPageBreak/>
        <w:t>suspenderse, salvo en los casos y bajo las condiciones que esta Constitución establece.</w:t>
      </w:r>
    </w:p>
    <w:p w14:paraId="2EDCFDBD" w14:textId="77777777" w:rsidR="006005B9" w:rsidRDefault="004E7D11">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EFF0C6E" w14:textId="77777777" w:rsidR="006005B9" w:rsidRDefault="004E7D11">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98CD0D2" w14:textId="77777777" w:rsidR="006005B9" w:rsidRDefault="004E7D11">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A33E1AE" w14:textId="77777777" w:rsidR="006005B9" w:rsidRDefault="004E7D11">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73659E6F" w14:textId="77777777" w:rsidR="006005B9" w:rsidRDefault="004E7D11">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C7BFA71" w14:textId="77777777" w:rsidR="006005B9" w:rsidRDefault="004E7D1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5B438D1A" w14:textId="77777777" w:rsidR="006005B9" w:rsidRDefault="004E7D1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989064C" w14:textId="77777777" w:rsidR="006005B9" w:rsidRDefault="004E7D11">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8C36202" w14:textId="77777777" w:rsidR="006005B9" w:rsidRDefault="004E7D1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6A93BCBE" w14:textId="77777777" w:rsidR="006005B9" w:rsidRDefault="004E7D1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0BCB2F2" w14:textId="77777777" w:rsidR="006005B9" w:rsidRDefault="004E7D1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229B34D" w14:textId="77777777" w:rsidR="006005B9" w:rsidRDefault="004E7D1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4D04C18" w14:textId="77777777" w:rsidR="006005B9" w:rsidRDefault="004E7D1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603F442"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Pr>
          <w:rFonts w:ascii="Palatino Linotype" w:eastAsia="Palatino Linotype" w:hAnsi="Palatino Linotype" w:cs="Palatino Linotype"/>
        </w:rPr>
        <w:lastRenderedPageBreak/>
        <w:t>privilegiando el principio de máxima publicidad, como así lo establece dicha determinación, que a continuación se transcribe para un mejor entendimiento:</w:t>
      </w:r>
    </w:p>
    <w:p w14:paraId="50BE6304" w14:textId="77777777" w:rsidR="006005B9" w:rsidRDefault="004E7D11">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2E95E88" w14:textId="77777777" w:rsidR="006005B9" w:rsidRDefault="004E7D11">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DDC4539" w14:textId="77777777" w:rsidR="006005B9" w:rsidRDefault="004E7D11">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46586FED"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9CAB73B" w14:textId="77777777" w:rsidR="006005B9" w:rsidRDefault="004E7D11">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0E42E00" w14:textId="77777777" w:rsidR="006005B9" w:rsidRDefault="004E7D11">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CC56820" w14:textId="77777777" w:rsidR="006005B9" w:rsidRDefault="004E7D1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4C388152" w14:textId="77777777" w:rsidR="006005B9" w:rsidRDefault="004E7D11">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2EC60919" w14:textId="77777777" w:rsidR="006005B9" w:rsidRDefault="004E7D11">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14:paraId="7E57C38B" w14:textId="77777777" w:rsidR="006005B9" w:rsidRDefault="004E7D1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w:t>
      </w:r>
      <w:r>
        <w:rPr>
          <w:rFonts w:ascii="Palatino Linotype" w:eastAsia="Palatino Linotype" w:hAnsi="Palatino Linotype" w:cs="Palatino Linotype"/>
          <w:i/>
          <w:sz w:val="22"/>
          <w:szCs w:val="22"/>
        </w:rPr>
        <w:lastRenderedPageBreak/>
        <w:t>necesidad de elaborar documentos ad hoc para atender las solicitudes de información."(Sic)</w:t>
      </w:r>
    </w:p>
    <w:p w14:paraId="07F5A5EF" w14:textId="77777777" w:rsidR="006005B9" w:rsidRDefault="004E7D1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5EB6DCE" w14:textId="77777777" w:rsidR="006005B9" w:rsidRDefault="004E7D1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3E06993"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w:t>
      </w:r>
      <w:r>
        <w:rPr>
          <w:rFonts w:ascii="Palatino Linotype" w:eastAsia="Palatino Linotype" w:hAnsi="Palatino Linotype" w:cs="Palatino Linotype"/>
        </w:rPr>
        <w:lastRenderedPageBreak/>
        <w:t xml:space="preserve">electrónico, informático u holográfico de conformidad con el artículo 3, fracción XI de la Ley de la materia, el cual señala lo siguiente: </w:t>
      </w:r>
    </w:p>
    <w:p w14:paraId="333F226A" w14:textId="77777777" w:rsidR="006005B9" w:rsidRDefault="004E7D1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18181992" w14:textId="77777777" w:rsidR="006005B9" w:rsidRDefault="004E7D1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F99C071" w14:textId="77777777" w:rsidR="006005B9" w:rsidRDefault="004E7D11">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7878970C"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547AC0F" w14:textId="77777777" w:rsidR="006005B9" w:rsidRDefault="004E7D11">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69A0894C" w14:textId="77777777" w:rsidR="006005B9" w:rsidRDefault="004E7D1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EC01E3F" w14:textId="77777777" w:rsidR="006005B9" w:rsidRDefault="004E7D1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3B553778" w14:textId="77777777" w:rsidR="006005B9" w:rsidRDefault="004E7D11">
      <w:pPr>
        <w:numPr>
          <w:ilvl w:val="0"/>
          <w:numId w:val="6"/>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4F3DD59A" w14:textId="77777777" w:rsidR="006005B9" w:rsidRDefault="004E7D11">
      <w:pPr>
        <w:numPr>
          <w:ilvl w:val="0"/>
          <w:numId w:val="6"/>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12385B13" w14:textId="77777777" w:rsidR="006005B9" w:rsidRDefault="004E7D11">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170AB17C"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1047A3C3"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14:paraId="27622EC8" w14:textId="77777777" w:rsidR="006005B9" w:rsidRDefault="004E7D11">
      <w:pPr>
        <w:numPr>
          <w:ilvl w:val="0"/>
          <w:numId w:val="8"/>
        </w:numPr>
        <w:pBdr>
          <w:top w:val="nil"/>
          <w:left w:val="nil"/>
          <w:bottom w:val="nil"/>
          <w:right w:val="nil"/>
          <w:between w:val="nil"/>
        </w:pBdr>
        <w:tabs>
          <w:tab w:val="left" w:pos="7513"/>
        </w:tabs>
        <w:spacing w:before="240" w:after="240" w:line="360" w:lineRule="auto"/>
        <w:ind w:right="85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Último corte de caja y/o contabilidad y/o similar o análogo de los programas sociales entregados por el municipio, así como sus beneficiarios. </w:t>
      </w:r>
    </w:p>
    <w:p w14:paraId="7CA9784F" w14:textId="77777777" w:rsidR="006005B9" w:rsidRDefault="004E7D11">
      <w:pPr>
        <w:tabs>
          <w:tab w:val="left" w:pos="7513"/>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por conducto de la Tesorería Municipal, Dirección de Bienestar Social  y Dirección de Desarrollo del Campo, lo siguiente: </w:t>
      </w:r>
    </w:p>
    <w:p w14:paraId="0C795DBF" w14:textId="77777777" w:rsidR="006005B9" w:rsidRDefault="004E7D11">
      <w:pPr>
        <w:tabs>
          <w:tab w:val="left" w:pos="7513"/>
        </w:tabs>
        <w:spacing w:before="240" w:after="240" w:line="360" w:lineRule="auto"/>
        <w:ind w:left="567" w:right="851"/>
        <w:jc w:val="both"/>
        <w:rPr>
          <w:rFonts w:ascii="Palatino Linotype" w:eastAsia="Palatino Linotype" w:hAnsi="Palatino Linotype" w:cs="Palatino Linotype"/>
          <w:b/>
          <w:u w:val="single"/>
        </w:rPr>
      </w:pPr>
      <w:r>
        <w:rPr>
          <w:rFonts w:ascii="Palatino Linotype" w:eastAsia="Palatino Linotype" w:hAnsi="Palatino Linotype" w:cs="Palatino Linotype"/>
          <w:b/>
        </w:rPr>
        <w:t xml:space="preserve">Tesorería Municipal: </w:t>
      </w:r>
      <w:r>
        <w:rPr>
          <w:rFonts w:ascii="Palatino Linotype" w:eastAsia="Palatino Linotype" w:hAnsi="Palatino Linotype" w:cs="Palatino Linotype"/>
        </w:rPr>
        <w:t xml:space="preserve">En virtud del análisis a la solicitud, se hace del conocimiento de la particular que en términos del artículo 12 de la Ley de Transparencia y Acceso a la Información Pública del Estado de México y Municipios, los datos solicitados corresponden a información generada y contenida, recopilada, administrada, manejada, procesada, recopilada, archivada o conservada por este sujeto obligado, sin embargo, </w:t>
      </w:r>
      <w:r>
        <w:rPr>
          <w:rFonts w:ascii="Palatino Linotype" w:eastAsia="Palatino Linotype" w:hAnsi="Palatino Linotype" w:cs="Palatino Linotype"/>
          <w:b/>
          <w:u w:val="single"/>
        </w:rPr>
        <w:t xml:space="preserve">se hace del conocimiento que esta Tesorería Municipal a la fecha de la solicitud no ha manejado y/o ejercido programas sociales, lo que limita la emisión de la información. </w:t>
      </w:r>
    </w:p>
    <w:p w14:paraId="270E235B" w14:textId="77777777" w:rsidR="006005B9" w:rsidRDefault="004E7D11">
      <w:pPr>
        <w:tabs>
          <w:tab w:val="left" w:pos="7513"/>
        </w:tabs>
        <w:spacing w:before="240" w:after="240" w:line="360" w:lineRule="auto"/>
        <w:ind w:left="567" w:right="851"/>
        <w:jc w:val="both"/>
        <w:rPr>
          <w:rFonts w:ascii="Palatino Linotype" w:eastAsia="Palatino Linotype" w:hAnsi="Palatino Linotype" w:cs="Palatino Linotype"/>
          <w:b/>
          <w:u w:val="single"/>
        </w:rPr>
      </w:pPr>
      <w:r>
        <w:rPr>
          <w:rFonts w:ascii="Palatino Linotype" w:eastAsia="Palatino Linotype" w:hAnsi="Palatino Linotype" w:cs="Palatino Linotype"/>
          <w:b/>
        </w:rPr>
        <w:t>Dirección de Bienestar Social:</w:t>
      </w:r>
      <w:r>
        <w:rPr>
          <w:rFonts w:ascii="Palatino Linotype" w:eastAsia="Palatino Linotype" w:hAnsi="Palatino Linotype" w:cs="Palatino Linotype"/>
        </w:rPr>
        <w:t xml:space="preserve"> </w:t>
      </w:r>
      <w:r>
        <w:rPr>
          <w:rFonts w:ascii="Palatino Linotype" w:eastAsia="Palatino Linotype" w:hAnsi="Palatino Linotype" w:cs="Palatino Linotype"/>
          <w:b/>
          <w:u w:val="single"/>
        </w:rPr>
        <w:t xml:space="preserve">La Dirección de Bienestar Social no opera recursos y hasta el momento no se cuenta con ningún programa social. </w:t>
      </w:r>
    </w:p>
    <w:p w14:paraId="646F3206" w14:textId="77777777" w:rsidR="006005B9" w:rsidRDefault="004E7D11">
      <w:pPr>
        <w:tabs>
          <w:tab w:val="left" w:pos="7513"/>
        </w:tabs>
        <w:spacing w:before="240" w:after="240" w:line="360" w:lineRule="auto"/>
        <w:ind w:left="567" w:right="851"/>
        <w:jc w:val="both"/>
        <w:rPr>
          <w:rFonts w:ascii="Palatino Linotype" w:eastAsia="Palatino Linotype" w:hAnsi="Palatino Linotype" w:cs="Palatino Linotype"/>
          <w:b/>
          <w:u w:val="single"/>
        </w:rPr>
      </w:pPr>
      <w:r>
        <w:rPr>
          <w:rFonts w:ascii="Palatino Linotype" w:eastAsia="Palatino Linotype" w:hAnsi="Palatino Linotype" w:cs="Palatino Linotype"/>
          <w:b/>
        </w:rPr>
        <w:lastRenderedPageBreak/>
        <w:t>Dirección de Desarrollo del Campo:</w:t>
      </w:r>
      <w:r>
        <w:rPr>
          <w:rFonts w:ascii="Palatino Linotype" w:eastAsia="Palatino Linotype" w:hAnsi="Palatino Linotype" w:cs="Palatino Linotype"/>
        </w:rPr>
        <w:t xml:space="preserve"> </w:t>
      </w:r>
      <w:r>
        <w:rPr>
          <w:rFonts w:ascii="Palatino Linotype" w:eastAsia="Palatino Linotype" w:hAnsi="Palatino Linotype" w:cs="Palatino Linotype"/>
          <w:b/>
          <w:u w:val="single"/>
        </w:rPr>
        <w:t>Esta dirección no administra los recursos de los programas sociales</w:t>
      </w:r>
      <w:r>
        <w:rPr>
          <w:rFonts w:ascii="Palatino Linotype" w:eastAsia="Palatino Linotype" w:hAnsi="Palatino Linotype" w:cs="Palatino Linotype"/>
        </w:rPr>
        <w:t xml:space="preserve">, por ende no se cuenta con un corte de caja, sin embargo, </w:t>
      </w:r>
      <w:r>
        <w:rPr>
          <w:rFonts w:ascii="Palatino Linotype" w:eastAsia="Palatino Linotype" w:hAnsi="Palatino Linotype" w:cs="Palatino Linotype"/>
          <w:b/>
          <w:u w:val="single"/>
        </w:rPr>
        <w:t>por cuanto hace a los beneficiarios, conforme a la Ley de Protección de Datos Personales en Posesión de Sujetos Obligados del Estado de México y Municipios, no puede proporcionar dicha información por ser confidencial.</w:t>
      </w:r>
    </w:p>
    <w:p w14:paraId="18DEF376" w14:textId="77777777" w:rsidR="006005B9" w:rsidRDefault="004E7D11">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ocupa, donde señaló como motivos de inconformidad: </w:t>
      </w:r>
      <w:r>
        <w:rPr>
          <w:rFonts w:ascii="Palatino Linotype" w:eastAsia="Palatino Linotype" w:hAnsi="Palatino Linotype" w:cs="Palatino Linotype"/>
          <w:i/>
        </w:rPr>
        <w:t xml:space="preserve">“TODAVEZ QUE TANTO EL GOBIERNO DEL ESTADO COMO EL GOBIERNO FEDERAL, SE AUXILIAN DEL MUNICIPIO, EN CONSEUCNIA, ES NECESARIO, SE HAGA UNA BUSQUEDA EXAHUSTIVA EN SUS ARCHIVOS DE TODA LA ESTRUCTURA INSTITUCIONAL, A FIN DE LOCALIZAR Y ENTREGAR LA INFORMACIÓN” (Sic) </w:t>
      </w:r>
    </w:p>
    <w:p w14:paraId="3C2EC332"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 asimismo se tiene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emitió alegatos, manifestaciones o pronunciamiento alguno que a su derecho conviniera, luego entonces, se tiene por precluido su derecho para tal efecto.</w:t>
      </w:r>
    </w:p>
    <w:p w14:paraId="69031A05"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anterior, a efecto de garantizar el efectivo ejercicio del derecho de acceso a la información pública que asiste al particular, resulta conveniente entrar al estudio de las siguientes consideraciones de hecho y derecho: </w:t>
      </w:r>
    </w:p>
    <w:p w14:paraId="370A2F3F" w14:textId="77777777" w:rsidR="006005B9" w:rsidRDefault="004E7D1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primera instancia, resulta importante mencionar que si bien es cierto,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solicitó </w:t>
      </w:r>
      <w:r>
        <w:rPr>
          <w:rFonts w:ascii="Palatino Linotype" w:eastAsia="Palatino Linotype" w:hAnsi="Palatino Linotype" w:cs="Palatino Linotype"/>
          <w:i/>
          <w:sz w:val="22"/>
          <w:szCs w:val="22"/>
        </w:rPr>
        <w:t xml:space="preserve">“…EL </w:t>
      </w:r>
      <w:r>
        <w:rPr>
          <w:rFonts w:ascii="Palatino Linotype" w:eastAsia="Palatino Linotype" w:hAnsi="Palatino Linotype" w:cs="Palatino Linotype"/>
          <w:b/>
          <w:i/>
          <w:sz w:val="22"/>
          <w:szCs w:val="22"/>
          <w:u w:val="single"/>
        </w:rPr>
        <w:t xml:space="preserve">ULTIMO CORTE DE CAJA Y/O CONTABILIDAD Y/O </w:t>
      </w:r>
      <w:r>
        <w:rPr>
          <w:rFonts w:ascii="Palatino Linotype" w:eastAsia="Palatino Linotype" w:hAnsi="Palatino Linotype" w:cs="Palatino Linotype"/>
          <w:b/>
          <w:i/>
          <w:sz w:val="22"/>
          <w:szCs w:val="22"/>
          <w:u w:val="single"/>
        </w:rPr>
        <w:lastRenderedPageBreak/>
        <w:t>SIMILAR O ANALOGO, DE LOS PROGRAMAS SOCIALES ENTREGADOS POR EL MUNICIPIO ASI COMO SUS BENEFICIAROS..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rPr>
        <w:t xml:space="preserve">al respecto debe señalarse que en la legislación no se contempla como tal un corte de caja sino un monto ejercido, además de que en su solicitud presentada no refirió temporalidad alguna, no obstante expresó que su requerimiento versaba sobre el último corte o análogo así como sus beneficiarios, por lo que resulta importante aplicar la suplencia prevista en los artículos 13 y 181 de la Ley de Transparencia y Acceso a la Información Pública del Estado de México y Municipios, en favor de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efecto de que </w:t>
      </w:r>
      <w:r>
        <w:rPr>
          <w:rFonts w:ascii="Palatino Linotype" w:eastAsia="Palatino Linotype" w:hAnsi="Palatino Linotype" w:cs="Palatino Linotype"/>
          <w:b/>
        </w:rPr>
        <w:t>al momento de ordenar la entrega de los soportes documentales en los que conste la información requerida, se tome en cuenta que la particular requiere el último corte de los montos ejercidos</w:t>
      </w:r>
      <w:r>
        <w:rPr>
          <w:rFonts w:ascii="Palatino Linotype" w:eastAsia="Palatino Linotype" w:hAnsi="Palatino Linotype" w:cs="Palatino Linotype"/>
        </w:rPr>
        <w:t xml:space="preserve">, lo anterior en razón de que cabe la posibilidad de que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no sea experta en la materia para conocer la denominación exacta de la información generada por el Sujeto Obligado, por lo que en aras de proteger el derecho de acceso a la información pública que le asiste es que se invoca  esta facultad del Instituto.</w:t>
      </w:r>
    </w:p>
    <w:p w14:paraId="1CC36047"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conviene resaltar que bajo la óptica de este Instituto que la información solicitada por la particular consiste en una obligación de transparencia común, lo anterior se sustenta en los artículos 70, fracción XV de la </w:t>
      </w:r>
      <w:r>
        <w:rPr>
          <w:rFonts w:ascii="Palatino Linotype" w:eastAsia="Palatino Linotype" w:hAnsi="Palatino Linotype" w:cs="Palatino Linotype"/>
          <w:color w:val="000000"/>
        </w:rPr>
        <w:t xml:space="preserve">Ley General de Transparencia y Acceso a la Información Pública y </w:t>
      </w:r>
      <w:r>
        <w:rPr>
          <w:rFonts w:ascii="Palatino Linotype" w:eastAsia="Palatino Linotype" w:hAnsi="Palatino Linotype" w:cs="Palatino Linotype"/>
        </w:rPr>
        <w:t xml:space="preserve">92, fracción XIV, al respecto conviene traer a colación la siguiente cita del artículo de la legislación local: </w:t>
      </w:r>
    </w:p>
    <w:p w14:paraId="0E5135D9"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w:t>
      </w:r>
      <w:r>
        <w:rPr>
          <w:rFonts w:ascii="Palatino Linotype" w:eastAsia="Palatino Linotype" w:hAnsi="Palatino Linotype" w:cs="Palatino Linotype"/>
          <w:i/>
          <w:sz w:val="22"/>
          <w:szCs w:val="22"/>
        </w:rPr>
        <w:lastRenderedPageBreak/>
        <w:t>funciones u objeto social, según corresponda, la información, por lo menos, de los temas, documentos y políticas que a continuación se señalan:</w:t>
      </w:r>
    </w:p>
    <w:p w14:paraId="5C8B8632"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FA80720" w14:textId="77777777" w:rsidR="006005B9" w:rsidRDefault="004E7D11">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XIV. La información de los programas de subsidios, estímulos y apoyos, en el que se deberá informar respecto de los programas de transferencia, de servicios, de infraestructura social y de subsidio, en los que se deberá contener lo siguiente: </w:t>
      </w:r>
    </w:p>
    <w:p w14:paraId="1C264419"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Área; </w:t>
      </w:r>
    </w:p>
    <w:p w14:paraId="030F3519"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Denominación del programa; </w:t>
      </w:r>
    </w:p>
    <w:p w14:paraId="7974B487"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Periodo de vigencia; </w:t>
      </w:r>
    </w:p>
    <w:p w14:paraId="0D3EA4F2"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Diseño, objetivos y alcances; </w:t>
      </w:r>
    </w:p>
    <w:p w14:paraId="374A92BC"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 Metas físicas; </w:t>
      </w:r>
    </w:p>
    <w:p w14:paraId="42EC0054"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f) Población beneficiada estimada; </w:t>
      </w:r>
    </w:p>
    <w:p w14:paraId="72D55BAC" w14:textId="77777777" w:rsidR="006005B9" w:rsidRDefault="004E7D11">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g) Monto aprobado, modificado y ejercido, así como los calendarios de su programación presupuestal; </w:t>
      </w:r>
    </w:p>
    <w:p w14:paraId="7E2AC86C"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h) Requisitos y procedimientos de acceso; </w:t>
      </w:r>
    </w:p>
    <w:p w14:paraId="4A57C9A6"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Procedimiento de queja o inconformidad ciudadana; </w:t>
      </w:r>
    </w:p>
    <w:p w14:paraId="24DFCD3B"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j) Mecanismos de exigibilidad; </w:t>
      </w:r>
    </w:p>
    <w:p w14:paraId="38D127CD"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k) Mecanismos e informes de evaluación y seguimiento de recomendaciones; </w:t>
      </w:r>
    </w:p>
    <w:p w14:paraId="4AF0B55E"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 Indicadores con nombre, definición, método de cálculo, unidad de medida; dimensión, frecuencia de medición, nombre de las bases de datos utilizadas para su cálculo; </w:t>
      </w:r>
    </w:p>
    <w:p w14:paraId="0F6AC572"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m) Formas de participación social; </w:t>
      </w:r>
    </w:p>
    <w:p w14:paraId="0E256848"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n) Articulación con otros programas sociales; </w:t>
      </w:r>
    </w:p>
    <w:p w14:paraId="4C1E38AB"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ñ) Vínculo a las reglas de operación o documento equivalente;</w:t>
      </w:r>
    </w:p>
    <w:p w14:paraId="3E70DFE6"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o) Informes periódicos sobre la ejecución y los resultados de las evaluaciones realizadas; y </w:t>
      </w:r>
    </w:p>
    <w:p w14:paraId="0B4A43FD"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r>
        <w:rPr>
          <w:rFonts w:ascii="Palatino Linotype" w:eastAsia="Palatino Linotype" w:hAnsi="Palatino Linotype" w:cs="Palatino Linotype"/>
          <w:i/>
          <w:sz w:val="22"/>
          <w:szCs w:val="22"/>
        </w:rPr>
        <w:t>.”</w:t>
      </w:r>
    </w:p>
    <w:p w14:paraId="3B1EF4B0" w14:textId="77777777" w:rsidR="006005B9" w:rsidRDefault="004E7D11">
      <w:pPr>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que esta información se conformará de la siguiente manera: </w:t>
      </w:r>
    </w:p>
    <w:p w14:paraId="2D9DCB1F" w14:textId="77777777" w:rsidR="006005B9" w:rsidRDefault="004E7D11">
      <w:pPr>
        <w:spacing w:line="360" w:lineRule="auto"/>
        <w:ind w:right="-28"/>
        <w:jc w:val="both"/>
      </w:pPr>
      <w:r>
        <w:object w:dxaOrig="8775" w:dyaOrig="2205" w14:anchorId="6C756C7B">
          <v:shape id="_x0000_i1028" type="#_x0000_t75" style="width:438.75pt;height:110.25pt" o:ole="">
            <v:imagedata r:id="rId15" o:title=""/>
          </v:shape>
          <o:OLEObject Type="Embed" ProgID="PBrush" ShapeID="_x0000_i1028" DrawAspect="Content" ObjectID="_1718633717" r:id="rId16"/>
        </w:object>
      </w:r>
    </w:p>
    <w:p w14:paraId="19862D2B" w14:textId="77777777" w:rsidR="006005B9" w:rsidRDefault="004E7D11">
      <w:pPr>
        <w:spacing w:line="360" w:lineRule="auto"/>
        <w:ind w:right="-28"/>
        <w:jc w:val="both"/>
      </w:pPr>
      <w:r>
        <w:object w:dxaOrig="8775" w:dyaOrig="10830" w14:anchorId="6FCF948E">
          <v:shape id="_x0000_i1029" type="#_x0000_t75" style="width:438.75pt;height:542.25pt" o:ole="">
            <v:imagedata r:id="rId17" o:title=""/>
          </v:shape>
          <o:OLEObject Type="Embed" ProgID="PBrush" ShapeID="_x0000_i1029" DrawAspect="Content" ObjectID="_1718633718" r:id="rId18"/>
        </w:object>
      </w:r>
    </w:p>
    <w:p w14:paraId="4B7F9A58" w14:textId="77777777" w:rsidR="006005B9" w:rsidRDefault="006005B9">
      <w:pPr>
        <w:spacing w:line="360" w:lineRule="auto"/>
        <w:ind w:right="-28"/>
        <w:jc w:val="both"/>
        <w:rPr>
          <w:rFonts w:ascii="Palatino Linotype" w:eastAsia="Palatino Linotype" w:hAnsi="Palatino Linotype" w:cs="Palatino Linotype"/>
        </w:rPr>
      </w:pPr>
    </w:p>
    <w:p w14:paraId="795105FF" w14:textId="77777777" w:rsidR="006005B9" w:rsidRDefault="004E7D11">
      <w:pPr>
        <w:spacing w:line="360" w:lineRule="auto"/>
        <w:ind w:right="-28"/>
        <w:jc w:val="center"/>
      </w:pPr>
      <w:r>
        <w:object w:dxaOrig="8790" w:dyaOrig="7035" w14:anchorId="0982FEC1">
          <v:shape id="_x0000_i1030" type="#_x0000_t75" style="width:438.75pt;height:351.75pt" o:ole="">
            <v:imagedata r:id="rId19" o:title=""/>
          </v:shape>
          <o:OLEObject Type="Embed" ProgID="PBrush" ShapeID="_x0000_i1030" DrawAspect="Content" ObjectID="_1718633719" r:id="rId20"/>
        </w:object>
      </w:r>
    </w:p>
    <w:p w14:paraId="345FF449"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 lo anteriormente citado que se desprende que la naturaleza de esta información es de carácter público pues permite conocer a la ciudadanía el destino de los recursos públicos en los apoyos que brindan, como en el caso particular, respecto de los programas sociales del Ayuntamiento de Acambay de Ruiz Castañeda.</w:t>
      </w:r>
    </w:p>
    <w:p w14:paraId="602B56AE"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esta tesitura, el Bando Municipal vigente, prevé como un derecho de la población de este municipio, el acceder a los programas sociales, esto cumpliendo los requisitos relativos, asimismo dentro de este cuerpo normativo, se advierte que es </w:t>
      </w:r>
      <w:r>
        <w:rPr>
          <w:rFonts w:ascii="Palatino Linotype" w:eastAsia="Palatino Linotype" w:hAnsi="Palatino Linotype" w:cs="Palatino Linotype"/>
        </w:rPr>
        <w:lastRenderedPageBreak/>
        <w:t xml:space="preserve">una obligación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promoverá el desarrollo pleno, autosuficiente e integral de las capacidades individuales, e instrumentará programas en coordinación con los sectores público, privado para el bienestar común, sirve de referencia la siguiente cita: </w:t>
      </w:r>
    </w:p>
    <w:p w14:paraId="79A939F5"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23. </w:t>
      </w:r>
      <w:r>
        <w:rPr>
          <w:rFonts w:ascii="Palatino Linotype" w:eastAsia="Palatino Linotype" w:hAnsi="Palatino Linotype" w:cs="Palatino Linotype"/>
          <w:b/>
          <w:i/>
          <w:sz w:val="22"/>
          <w:szCs w:val="22"/>
        </w:rPr>
        <w:t xml:space="preserve">La ciudadanía </w:t>
      </w:r>
      <w:proofErr w:type="spellStart"/>
      <w:r>
        <w:rPr>
          <w:rFonts w:ascii="Palatino Linotype" w:eastAsia="Palatino Linotype" w:hAnsi="Palatino Linotype" w:cs="Palatino Linotype"/>
          <w:b/>
          <w:i/>
          <w:sz w:val="22"/>
          <w:szCs w:val="22"/>
        </w:rPr>
        <w:t>Acambayense</w:t>
      </w:r>
      <w:proofErr w:type="spellEnd"/>
      <w:r>
        <w:rPr>
          <w:rFonts w:ascii="Palatino Linotype" w:eastAsia="Palatino Linotype" w:hAnsi="Palatino Linotype" w:cs="Palatino Linotype"/>
          <w:b/>
          <w:i/>
          <w:sz w:val="22"/>
          <w:szCs w:val="22"/>
        </w:rPr>
        <w:t xml:space="preserve"> </w:t>
      </w:r>
      <w:proofErr w:type="gramStart"/>
      <w:r>
        <w:rPr>
          <w:rFonts w:ascii="Palatino Linotype" w:eastAsia="Palatino Linotype" w:hAnsi="Palatino Linotype" w:cs="Palatino Linotype"/>
          <w:b/>
          <w:i/>
          <w:sz w:val="22"/>
          <w:szCs w:val="22"/>
        </w:rPr>
        <w:t>tendrán</w:t>
      </w:r>
      <w:proofErr w:type="gramEnd"/>
      <w:r>
        <w:rPr>
          <w:rFonts w:ascii="Palatino Linotype" w:eastAsia="Palatino Linotype" w:hAnsi="Palatino Linotype" w:cs="Palatino Linotype"/>
          <w:b/>
          <w:i/>
          <w:sz w:val="22"/>
          <w:szCs w:val="22"/>
        </w:rPr>
        <w:t xml:space="preserve"> los siguientes derechos</w:t>
      </w:r>
      <w:r>
        <w:rPr>
          <w:rFonts w:ascii="Palatino Linotype" w:eastAsia="Palatino Linotype" w:hAnsi="Palatino Linotype" w:cs="Palatino Linotype"/>
          <w:i/>
          <w:sz w:val="22"/>
          <w:szCs w:val="22"/>
        </w:rPr>
        <w:t>:</w:t>
      </w:r>
    </w:p>
    <w:p w14:paraId="6C2169A8"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8DF4366"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XVII. </w:t>
      </w:r>
      <w:r>
        <w:rPr>
          <w:rFonts w:ascii="Palatino Linotype" w:eastAsia="Palatino Linotype" w:hAnsi="Palatino Linotype" w:cs="Palatino Linotype"/>
          <w:b/>
          <w:i/>
          <w:sz w:val="22"/>
          <w:szCs w:val="22"/>
          <w:u w:val="single"/>
        </w:rPr>
        <w:t>Ser beneficiaria de los programas sociales que promueva el Ayuntamiento, cumpliendo los requisitos relativos</w:t>
      </w:r>
      <w:r>
        <w:rPr>
          <w:rFonts w:ascii="Palatino Linotype" w:eastAsia="Palatino Linotype" w:hAnsi="Palatino Linotype" w:cs="Palatino Linotype"/>
          <w:i/>
          <w:sz w:val="22"/>
          <w:szCs w:val="22"/>
          <w:u w:val="single"/>
        </w:rPr>
        <w:t>;</w:t>
      </w:r>
    </w:p>
    <w:p w14:paraId="08297327"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9336381" w14:textId="77777777" w:rsidR="006005B9" w:rsidRDefault="004E7D11">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274. </w:t>
      </w:r>
      <w:r>
        <w:rPr>
          <w:rFonts w:ascii="Palatino Linotype" w:eastAsia="Palatino Linotype" w:hAnsi="Palatino Linotype" w:cs="Palatino Linotype"/>
          <w:b/>
          <w:i/>
          <w:sz w:val="22"/>
          <w:szCs w:val="22"/>
        </w:rPr>
        <w:t xml:space="preserve">El Ayuntamiento promoverá el desarrollo pleno, autosuficiente e integral de las capacidades individuales, e instrumentará programas en coordinación con los sectores público, privado para el bienestar común y para ello deberá: </w:t>
      </w:r>
    </w:p>
    <w:p w14:paraId="037D1885" w14:textId="77777777" w:rsidR="006005B9" w:rsidRDefault="004E7D11">
      <w:pPr>
        <w:numPr>
          <w:ilvl w:val="0"/>
          <w:numId w:val="2"/>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 xml:space="preserve">Formular reglas de operación de los programas municipales y verificar su eficaz difusión; </w:t>
      </w:r>
    </w:p>
    <w:p w14:paraId="712252D2" w14:textId="77777777" w:rsidR="006005B9" w:rsidRDefault="004E7D11">
      <w:pPr>
        <w:numPr>
          <w:ilvl w:val="0"/>
          <w:numId w:val="2"/>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Fomentar el bienestar social con un enfoque de interculturalidad, respeto a los derechos humanos fundamentales y la dignidad de las personas; </w:t>
      </w:r>
    </w:p>
    <w:p w14:paraId="4CD03E72" w14:textId="77777777" w:rsidR="006005B9" w:rsidRDefault="004E7D11">
      <w:pPr>
        <w:numPr>
          <w:ilvl w:val="0"/>
          <w:numId w:val="2"/>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Determinar las bases estadísticas y los criterios socioeconómicos para definir a las comunidades que requieran atención prioritaria; </w:t>
      </w:r>
    </w:p>
    <w:p w14:paraId="6BF87480" w14:textId="77777777" w:rsidR="006005B9" w:rsidRDefault="004E7D11">
      <w:pPr>
        <w:numPr>
          <w:ilvl w:val="0"/>
          <w:numId w:val="2"/>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Verificar que la operatividad y funcionamiento de los programas sociales sean cumplidos de forma congruente con los fines que persigue el Municipio;</w:t>
      </w:r>
    </w:p>
    <w:p w14:paraId="359A5194" w14:textId="77777777" w:rsidR="006005B9" w:rsidRDefault="004E7D11">
      <w:pPr>
        <w:numPr>
          <w:ilvl w:val="0"/>
          <w:numId w:val="2"/>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 xml:space="preserve">Brindar orientación a la población respecto de los programas sociales a los cuales tiene acceso;” </w:t>
      </w:r>
      <w:r>
        <w:rPr>
          <w:rFonts w:ascii="Palatino Linotype" w:eastAsia="Palatino Linotype" w:hAnsi="Palatino Linotype" w:cs="Palatino Linotype"/>
          <w:i/>
          <w:color w:val="000000"/>
          <w:sz w:val="22"/>
          <w:szCs w:val="22"/>
        </w:rPr>
        <w:t>(Sic) (Énfasis añadido)</w:t>
      </w:r>
    </w:p>
    <w:p w14:paraId="7C387700"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anteriormente citado, se colige la existencia de un derecho para la ciudadanía el acceder a los programas, así como de una obligación para el Ayuntamiento al formular las reglas de operación y verificar su eficaz difusión, brindar orientación a la población respecto de los programas sociales a los cuales tiene acceso y verificar que la operatividad así como el funcionamiento de los programas sociales sean cumplidos de forma congruente a los fines que persigue el municipio. </w:t>
      </w:r>
    </w:p>
    <w:p w14:paraId="1D3A2BD8"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Expuesto lo anterior, conviene resaltar que en el presente asunto,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actualizaron tres supuestos, mismos que se abordarán de la siguiente manera: </w:t>
      </w:r>
    </w:p>
    <w:p w14:paraId="5BB0C639" w14:textId="77777777" w:rsidR="006005B9" w:rsidRDefault="004E7D1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De la Tesorería Municipal </w:t>
      </w:r>
    </w:p>
    <w:p w14:paraId="27B160DC"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el estudio de este punto, debe iniciarse señalando que dicha unidad administrativa, manifestó lo siguiente: </w:t>
      </w:r>
    </w:p>
    <w:p w14:paraId="5ADD9DD4" w14:textId="77777777" w:rsidR="006005B9" w:rsidRDefault="004E7D11">
      <w:pPr>
        <w:spacing w:before="240" w:after="240" w:line="276" w:lineRule="auto"/>
        <w:ind w:left="567"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En virtud del análisis a la solicitud, se hace del conocimiento de la particular que en términos del artículo 12 de la Ley de Transparencia y Acceso a la Información Pública del Estado de México y Municipios, los datos solicitados corresponden a información generada y contenida, recopilada, administrada, manejada, procesada, recopilada, archivada o conservada por este sujeto obligado, sin embargo, </w:t>
      </w:r>
      <w:r>
        <w:rPr>
          <w:rFonts w:ascii="Palatino Linotype" w:eastAsia="Palatino Linotype" w:hAnsi="Palatino Linotype" w:cs="Palatino Linotype"/>
          <w:b/>
          <w:i/>
          <w:sz w:val="22"/>
          <w:szCs w:val="22"/>
          <w:u w:val="single"/>
        </w:rPr>
        <w:t xml:space="preserve">se hace del conocimiento que esta Tesorería Municipal a la fecha de la solicitud no ha manejado y/o ejercido programas sociales, lo que limita la emisión de la información.” </w:t>
      </w:r>
      <w:r>
        <w:rPr>
          <w:rFonts w:ascii="Palatino Linotype" w:eastAsia="Palatino Linotype" w:hAnsi="Palatino Linotype" w:cs="Palatino Linotype"/>
          <w:i/>
          <w:sz w:val="22"/>
          <w:szCs w:val="22"/>
        </w:rPr>
        <w:t>(Sic) (Énfasis añadido)</w:t>
      </w:r>
    </w:p>
    <w:p w14:paraId="02FCB9EB"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el Bando Municipal vigente, delega las siguientes funciones a estas unidades administrativas, mismas que se insertan a continuación para mejor proveer del presente estudio: </w:t>
      </w:r>
    </w:p>
    <w:p w14:paraId="34750F10" w14:textId="77777777" w:rsidR="006005B9" w:rsidRDefault="004E7D11">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 xml:space="preserve">“Artículo 76. </w:t>
      </w:r>
      <w:r>
        <w:rPr>
          <w:rFonts w:ascii="Palatino Linotype" w:eastAsia="Palatino Linotype" w:hAnsi="Palatino Linotype" w:cs="Palatino Linotype"/>
          <w:b/>
          <w:i/>
          <w:sz w:val="22"/>
          <w:szCs w:val="22"/>
        </w:rPr>
        <w:t>La Tesorería es el órgano encargado de la recaudación de los ingresos municipales y responsable de realizar las erogaciones que haga el Ayuntamiento.</w:t>
      </w:r>
    </w:p>
    <w:p w14:paraId="09CFB67B"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77. Son atribuciones del Tesorero: </w:t>
      </w:r>
    </w:p>
    <w:p w14:paraId="009832C0" w14:textId="77777777" w:rsidR="006005B9" w:rsidRDefault="004E7D11">
      <w:pPr>
        <w:numPr>
          <w:ilvl w:val="0"/>
          <w:numId w:val="7"/>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 xml:space="preserve">Administrar la Hacienda Pública, de conformidad con las disposiciones legales aplicables; </w:t>
      </w:r>
    </w:p>
    <w:p w14:paraId="69DFADB7" w14:textId="77777777" w:rsidR="006005B9" w:rsidRDefault="004E7D11">
      <w:pPr>
        <w:numPr>
          <w:ilvl w:val="0"/>
          <w:numId w:val="7"/>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Determinar, liquidar, recaudar, fiscalizar y administrar las contribuciones en los términos de los ordenamientos jurídicos aplicables y en su caso, aplicar el procedimiento administrativo de ejecución en términos de las disposiciones aplicables; </w:t>
      </w:r>
    </w:p>
    <w:p w14:paraId="451827A3" w14:textId="77777777" w:rsidR="006005B9" w:rsidRDefault="004E7D11">
      <w:pPr>
        <w:numPr>
          <w:ilvl w:val="0"/>
          <w:numId w:val="7"/>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Imponer las sanciones administrativas que procedan por infracciones a las disposiciones fiscales; </w:t>
      </w:r>
    </w:p>
    <w:p w14:paraId="4AB57B92" w14:textId="77777777" w:rsidR="006005B9" w:rsidRDefault="004E7D11">
      <w:pPr>
        <w:numPr>
          <w:ilvl w:val="0"/>
          <w:numId w:val="7"/>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u w:val="single"/>
        </w:rPr>
        <w:t>Llevar los registros contables, financieros y administrativos de los</w:t>
      </w:r>
      <w:r>
        <w:rPr>
          <w:rFonts w:ascii="Palatino Linotype" w:eastAsia="Palatino Linotype" w:hAnsi="Palatino Linotype" w:cs="Palatino Linotype"/>
          <w:i/>
          <w:color w:val="000000"/>
          <w:sz w:val="22"/>
          <w:szCs w:val="22"/>
        </w:rPr>
        <w:t xml:space="preserve"> ingresos, </w:t>
      </w:r>
      <w:r>
        <w:rPr>
          <w:rFonts w:ascii="Palatino Linotype" w:eastAsia="Palatino Linotype" w:hAnsi="Palatino Linotype" w:cs="Palatino Linotype"/>
          <w:b/>
          <w:i/>
          <w:color w:val="000000"/>
          <w:sz w:val="22"/>
          <w:szCs w:val="22"/>
          <w:u w:val="single"/>
        </w:rPr>
        <w:t>egresos</w:t>
      </w:r>
      <w:r>
        <w:rPr>
          <w:rFonts w:ascii="Palatino Linotype" w:eastAsia="Palatino Linotype" w:hAnsi="Palatino Linotype" w:cs="Palatino Linotype"/>
          <w:i/>
          <w:color w:val="000000"/>
          <w:sz w:val="22"/>
          <w:szCs w:val="22"/>
        </w:rPr>
        <w:t xml:space="preserve">, e inventarios; </w:t>
      </w:r>
    </w:p>
    <w:p w14:paraId="2F526456" w14:textId="77777777" w:rsidR="006005B9" w:rsidRDefault="004E7D11">
      <w:pPr>
        <w:numPr>
          <w:ilvl w:val="0"/>
          <w:numId w:val="7"/>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 xml:space="preserve">Proporcionar oportunamente al Ayuntamiento todos los datos o informes que sean necesarios para la formulación del Presupuesto de Egresos Municipales, vigilando que se ajuste a las disposiciones de la Ley Orgánica Municipal y otros ordenamientos aplicables; </w:t>
      </w:r>
    </w:p>
    <w:p w14:paraId="06DFF7FC" w14:textId="77777777" w:rsidR="006005B9" w:rsidRDefault="004E7D11">
      <w:pPr>
        <w:numPr>
          <w:ilvl w:val="0"/>
          <w:numId w:val="7"/>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 xml:space="preserve">Presentar anualmente al Ayuntamiento un informe de la situación contable financiera de la Tesorería; </w:t>
      </w:r>
    </w:p>
    <w:p w14:paraId="59392FA0" w14:textId="77777777" w:rsidR="006005B9" w:rsidRDefault="004E7D11">
      <w:pPr>
        <w:numPr>
          <w:ilvl w:val="0"/>
          <w:numId w:val="7"/>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Proporcionar para la formulación del proyecto de Presupuesto de Egresos Municipales la información financiera relativa a la solución o en su caso, el pago de los litigios laborales; </w:t>
      </w:r>
    </w:p>
    <w:p w14:paraId="01E4E5FE" w14:textId="77777777" w:rsidR="006005B9" w:rsidRDefault="004E7D11">
      <w:pPr>
        <w:numPr>
          <w:ilvl w:val="0"/>
          <w:numId w:val="7"/>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Diseñar y aprobar las formas oficiales de manifestaciones, avisos y declaraciones y demás documentos requeridos; </w:t>
      </w:r>
    </w:p>
    <w:p w14:paraId="45580515" w14:textId="77777777" w:rsidR="006005B9" w:rsidRDefault="004E7D11">
      <w:pPr>
        <w:numPr>
          <w:ilvl w:val="0"/>
          <w:numId w:val="7"/>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Participar en la formulación de convenios fiscales y ejercer las atribuciones que le correspondan en el ámbito de su competencia; </w:t>
      </w:r>
    </w:p>
    <w:p w14:paraId="5CC7DF3B" w14:textId="77777777" w:rsidR="006005B9" w:rsidRDefault="004E7D11">
      <w:pPr>
        <w:numPr>
          <w:ilvl w:val="0"/>
          <w:numId w:val="7"/>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Proponer al Ayuntamiento la cancelación de cuentas incobrables; </w:t>
      </w:r>
    </w:p>
    <w:p w14:paraId="7ACBBACA" w14:textId="77777777" w:rsidR="006005B9" w:rsidRDefault="004E7D11">
      <w:pPr>
        <w:numPr>
          <w:ilvl w:val="0"/>
          <w:numId w:val="7"/>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Custodiar y ejercer las garantías que se otorguen en favor de la Hacienda Pública; </w:t>
      </w:r>
    </w:p>
    <w:p w14:paraId="74C9C7D9" w14:textId="77777777" w:rsidR="006005B9" w:rsidRDefault="004E7D11">
      <w:pPr>
        <w:numPr>
          <w:ilvl w:val="0"/>
          <w:numId w:val="7"/>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Proponer la política de ingresos de la Tesorería; </w:t>
      </w:r>
    </w:p>
    <w:p w14:paraId="7C04C265" w14:textId="77777777" w:rsidR="006005B9" w:rsidRDefault="004E7D11">
      <w:pPr>
        <w:numPr>
          <w:ilvl w:val="0"/>
          <w:numId w:val="7"/>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Intervenir en la elaboración del programa financiero municipal; </w:t>
      </w:r>
    </w:p>
    <w:p w14:paraId="5DA2928D" w14:textId="77777777" w:rsidR="006005B9" w:rsidRDefault="004E7D11">
      <w:pPr>
        <w:numPr>
          <w:ilvl w:val="0"/>
          <w:numId w:val="7"/>
        </w:numPr>
        <w:pBdr>
          <w:top w:val="nil"/>
          <w:left w:val="nil"/>
          <w:bottom w:val="nil"/>
          <w:right w:val="nil"/>
          <w:between w:val="nil"/>
        </w:pBdr>
        <w:spacing w:before="240" w:after="240" w:line="276" w:lineRule="auto"/>
        <w:ind w:left="567" w:righ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Elaborar y mantener actualizado el padrón de contribuyentes; </w:t>
      </w:r>
    </w:p>
    <w:p w14:paraId="40DD20C9" w14:textId="77777777" w:rsidR="006005B9" w:rsidRDefault="004E7D11">
      <w:pPr>
        <w:numPr>
          <w:ilvl w:val="0"/>
          <w:numId w:val="7"/>
        </w:numPr>
        <w:pBdr>
          <w:top w:val="nil"/>
          <w:left w:val="nil"/>
          <w:bottom w:val="nil"/>
          <w:right w:val="nil"/>
          <w:between w:val="nil"/>
        </w:pBdr>
        <w:spacing w:before="240" w:after="240" w:line="276" w:lineRule="auto"/>
        <w:ind w:left="567" w:righ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Administrar a su inmediato antecesor todos los datos oficiales que se le solicite, para contestar los pliegos de observaciones y alcances que formule y deduzca el Órgano Superior de Fiscalización del Estado de México; </w:t>
      </w:r>
    </w:p>
    <w:p w14:paraId="7E3F98A1" w14:textId="77777777" w:rsidR="006005B9" w:rsidRDefault="004E7D11">
      <w:pPr>
        <w:numPr>
          <w:ilvl w:val="0"/>
          <w:numId w:val="7"/>
        </w:numPr>
        <w:pBdr>
          <w:top w:val="nil"/>
          <w:left w:val="nil"/>
          <w:bottom w:val="nil"/>
          <w:right w:val="nil"/>
          <w:between w:val="nil"/>
        </w:pBdr>
        <w:spacing w:before="240" w:after="240" w:line="276" w:lineRule="auto"/>
        <w:ind w:left="567" w:righ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Solicitar a las instancias competentes, la práctica de revisiones circunstanciadas, de conformidad con las normas que rigen en materia de control y evaluación gubernamental en el ámbito municipal; </w:t>
      </w:r>
    </w:p>
    <w:p w14:paraId="68CF61FB" w14:textId="77777777" w:rsidR="006005B9" w:rsidRDefault="004E7D11">
      <w:pPr>
        <w:numPr>
          <w:ilvl w:val="0"/>
          <w:numId w:val="7"/>
        </w:numPr>
        <w:pBdr>
          <w:top w:val="nil"/>
          <w:left w:val="nil"/>
          <w:bottom w:val="nil"/>
          <w:right w:val="nil"/>
          <w:between w:val="nil"/>
        </w:pBdr>
        <w:spacing w:before="240" w:after="240" w:line="276" w:lineRule="auto"/>
        <w:ind w:left="567" w:righ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Glosar oportunamente las cuentas del Ayuntamiento; </w:t>
      </w:r>
    </w:p>
    <w:p w14:paraId="76EEC002" w14:textId="77777777" w:rsidR="006005B9" w:rsidRDefault="004E7D11">
      <w:pPr>
        <w:numPr>
          <w:ilvl w:val="0"/>
          <w:numId w:val="7"/>
        </w:numPr>
        <w:pBdr>
          <w:top w:val="nil"/>
          <w:left w:val="nil"/>
          <w:bottom w:val="nil"/>
          <w:right w:val="nil"/>
          <w:between w:val="nil"/>
        </w:pBdr>
        <w:spacing w:before="240" w:after="240" w:line="276" w:lineRule="auto"/>
        <w:ind w:left="567" w:righ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Contestar oportunamente los pliegos de observaciones y responsabilidad que haga el Órgano Superior de Fiscalización del Estado de México, así como atender en tiempo y forma las solicitudes de información que éste requiera, informando al Ayuntamiento; </w:t>
      </w:r>
    </w:p>
    <w:p w14:paraId="40490729" w14:textId="77777777" w:rsidR="006005B9" w:rsidRDefault="004E7D11">
      <w:pPr>
        <w:numPr>
          <w:ilvl w:val="0"/>
          <w:numId w:val="7"/>
        </w:numPr>
        <w:pBdr>
          <w:top w:val="nil"/>
          <w:left w:val="nil"/>
          <w:bottom w:val="nil"/>
          <w:right w:val="nil"/>
          <w:between w:val="nil"/>
        </w:pBdr>
        <w:spacing w:before="240" w:after="240" w:line="276" w:lineRule="auto"/>
        <w:ind w:left="567" w:righ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Expedir copias certificadas de los documentos a su cuidado, por acuerdo expreso del Ayuntamiento y cuando se trate de documentación presentada ante el Órgano Superior de Fiscalización del Estado de México; </w:t>
      </w:r>
    </w:p>
    <w:p w14:paraId="4CA4823E" w14:textId="77777777" w:rsidR="006005B9" w:rsidRDefault="004E7D11">
      <w:pPr>
        <w:numPr>
          <w:ilvl w:val="0"/>
          <w:numId w:val="7"/>
        </w:numPr>
        <w:pBdr>
          <w:top w:val="nil"/>
          <w:left w:val="nil"/>
          <w:bottom w:val="nil"/>
          <w:right w:val="nil"/>
          <w:between w:val="nil"/>
        </w:pBdr>
        <w:spacing w:before="240" w:after="240" w:line="276" w:lineRule="auto"/>
        <w:ind w:left="567" w:righ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w:t>
      </w:r>
      <w:r>
        <w:rPr>
          <w:rFonts w:ascii="Palatino Linotype" w:eastAsia="Palatino Linotype" w:hAnsi="Palatino Linotype" w:cs="Palatino Linotype"/>
          <w:i/>
          <w:color w:val="000000"/>
          <w:sz w:val="22"/>
          <w:szCs w:val="22"/>
        </w:rPr>
        <w:lastRenderedPageBreak/>
        <w:t xml:space="preserve">competentes, por la inobservancia de las diversas disposiciones y ordenamientos legales, constituyendo los créditos fiscales correspondientes; </w:t>
      </w:r>
    </w:p>
    <w:p w14:paraId="5E254FE6" w14:textId="77777777" w:rsidR="006005B9" w:rsidRDefault="004E7D11">
      <w:pPr>
        <w:numPr>
          <w:ilvl w:val="0"/>
          <w:numId w:val="7"/>
        </w:numPr>
        <w:pBdr>
          <w:top w:val="nil"/>
          <w:left w:val="nil"/>
          <w:bottom w:val="nil"/>
          <w:right w:val="nil"/>
          <w:between w:val="nil"/>
        </w:pBdr>
        <w:spacing w:before="240" w:after="240" w:line="276" w:lineRule="auto"/>
        <w:ind w:left="567" w:righ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Dar cumplimiento a las leyes, convenios de coordinación fiscal y demás que en materia hacendaria celebre el Ayuntamiento con el Estado;</w:t>
      </w:r>
    </w:p>
    <w:p w14:paraId="5877206A" w14:textId="77777777" w:rsidR="006005B9" w:rsidRDefault="004E7D11">
      <w:pPr>
        <w:numPr>
          <w:ilvl w:val="0"/>
          <w:numId w:val="7"/>
        </w:numPr>
        <w:pBdr>
          <w:top w:val="nil"/>
          <w:left w:val="nil"/>
          <w:bottom w:val="nil"/>
          <w:right w:val="nil"/>
          <w:between w:val="nil"/>
        </w:pBdr>
        <w:spacing w:before="240" w:after="240" w:line="276" w:lineRule="auto"/>
        <w:ind w:left="567" w:righ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Entregar oportunamente al Síndico, el informe mensual que corresponda, a fin de que se revise, y de ser necesario, para que se formulen las observaciones respectivas; y </w:t>
      </w:r>
    </w:p>
    <w:p w14:paraId="6D2377FE" w14:textId="77777777" w:rsidR="006005B9" w:rsidRDefault="004E7D11">
      <w:pPr>
        <w:numPr>
          <w:ilvl w:val="0"/>
          <w:numId w:val="7"/>
        </w:numPr>
        <w:pBdr>
          <w:top w:val="nil"/>
          <w:left w:val="nil"/>
          <w:bottom w:val="nil"/>
          <w:right w:val="nil"/>
          <w:between w:val="nil"/>
        </w:pBdr>
        <w:spacing w:before="240" w:after="240" w:line="276" w:lineRule="auto"/>
        <w:ind w:right="851" w:hanging="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que les señalen las demás disposiciones legales y el Ayuntamiento.”</w:t>
      </w:r>
    </w:p>
    <w:p w14:paraId="04BF4449" w14:textId="77777777" w:rsidR="006005B9" w:rsidRDefault="004E7D1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manera que con lo citado anteriormente, se concluye que si bien es cierto no cuenta con una facultad específica que le obligue a contar con programas sociales, no menos cierto es que es la unidad administrativa al interior del Sujeto Obligado que se encarga de administrar la hacienda pública municipal, así como de llevar los registros contables, financieros y administrativos de los egresos, por ende, se determina que la Tesorería Municipal deberá realizar una búsqueda exhaustiva y razonable para efecto de localizar los documentos en los que obre el corte más reciente de los montos ejercidos por concepto de los programas sociales.</w:t>
      </w:r>
    </w:p>
    <w:p w14:paraId="38AB657C" w14:textId="77777777" w:rsidR="006005B9" w:rsidRDefault="004E7D11">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2.- De la Dirección de Bienestar Social:</w:t>
      </w:r>
    </w:p>
    <w:p w14:paraId="22610C08"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esta unidad administrativa, se tuvo el siguiente pronunciamiento: </w:t>
      </w:r>
    </w:p>
    <w:p w14:paraId="00175B6A" w14:textId="77777777" w:rsidR="006005B9" w:rsidRDefault="004E7D11">
      <w:pPr>
        <w:spacing w:before="240" w:after="240" w:line="276" w:lineRule="auto"/>
        <w:ind w:left="567" w:right="851"/>
        <w:jc w:val="both"/>
        <w:rPr>
          <w:rFonts w:ascii="Palatino Linotype" w:eastAsia="Palatino Linotype" w:hAnsi="Palatino Linotype" w:cs="Palatino Linotype"/>
          <w:i/>
        </w:rPr>
      </w:pPr>
      <w:r>
        <w:rPr>
          <w:rFonts w:ascii="Palatino Linotype" w:eastAsia="Palatino Linotype" w:hAnsi="Palatino Linotype" w:cs="Palatino Linotype"/>
          <w:b/>
          <w:i/>
          <w:u w:val="single"/>
        </w:rPr>
        <w:t xml:space="preserve">“La Dirección de Bienestar Social no opera recursos y hasta el momento no se cuenta con ningún programa social.” </w:t>
      </w:r>
      <w:r>
        <w:rPr>
          <w:rFonts w:ascii="Palatino Linotype" w:eastAsia="Palatino Linotype" w:hAnsi="Palatino Linotype" w:cs="Palatino Linotype"/>
          <w:i/>
        </w:rPr>
        <w:t>(Sic) (Énfasis añadido)</w:t>
      </w:r>
    </w:p>
    <w:p w14:paraId="1B1A9015"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el Bando Municipal en referencia, le delega las siguientes facultades:</w:t>
      </w:r>
    </w:p>
    <w:p w14:paraId="65162D4D" w14:textId="77777777" w:rsidR="006005B9" w:rsidRDefault="004E7D11">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“Artículo 91. La Dirección de Desarrollo Social o Bienestar Social, tiene las siguientes atribuciones: </w:t>
      </w:r>
    </w:p>
    <w:p w14:paraId="1ED4C8E1" w14:textId="77777777" w:rsidR="006005B9" w:rsidRDefault="004E7D11">
      <w:pPr>
        <w:numPr>
          <w:ilvl w:val="0"/>
          <w:numId w:val="1"/>
        </w:numPr>
        <w:pBdr>
          <w:top w:val="nil"/>
          <w:left w:val="nil"/>
          <w:bottom w:val="nil"/>
          <w:right w:val="nil"/>
          <w:between w:val="nil"/>
        </w:pBdr>
        <w:spacing w:before="240" w:after="240" w:line="276" w:lineRule="auto"/>
        <w:ind w:left="567" w:right="851"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Diagnosticar, formular, dirigir, implementar y evaluar la política social del Gobierno Municipal; </w:t>
      </w:r>
    </w:p>
    <w:p w14:paraId="642B1469" w14:textId="77777777" w:rsidR="006005B9" w:rsidRDefault="004E7D11">
      <w:pPr>
        <w:numPr>
          <w:ilvl w:val="0"/>
          <w:numId w:val="1"/>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Cuantificar, determinar y proponer en coordinación con las instancias competentes, los recursos públicos necesarios para generar los programas y acciones que atiendan las necesidades básicas de la población vulnerable del Municipio; </w:t>
      </w:r>
    </w:p>
    <w:p w14:paraId="63BAF495" w14:textId="77777777" w:rsidR="006005B9" w:rsidRDefault="004E7D11">
      <w:pPr>
        <w:numPr>
          <w:ilvl w:val="0"/>
          <w:numId w:val="1"/>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Ejecutar los programas, proyectos y acciones municipales en materia de desarrollo social de manera coordinada con las instancias correspondientes; </w:t>
      </w:r>
    </w:p>
    <w:p w14:paraId="1645DC50" w14:textId="77777777" w:rsidR="006005B9" w:rsidRDefault="004E7D11">
      <w:pPr>
        <w:numPr>
          <w:ilvl w:val="0"/>
          <w:numId w:val="1"/>
        </w:num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Proponer e impulsar acciones y obras para el desarrollo comunitario en coordinación con otras dependencias administrativas del Municipio;</w:t>
      </w:r>
    </w:p>
    <w:p w14:paraId="112196EC" w14:textId="77777777" w:rsidR="006005B9" w:rsidRDefault="004E7D11">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w:t>
      </w:r>
    </w:p>
    <w:p w14:paraId="50A79581" w14:textId="77777777" w:rsidR="006005B9" w:rsidRDefault="004E7D11">
      <w:p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VII.  </w:t>
      </w:r>
      <w:r>
        <w:rPr>
          <w:rFonts w:ascii="Palatino Linotype" w:eastAsia="Palatino Linotype" w:hAnsi="Palatino Linotype" w:cs="Palatino Linotype"/>
          <w:b/>
          <w:i/>
          <w:color w:val="000000"/>
          <w:sz w:val="22"/>
          <w:szCs w:val="22"/>
        </w:rPr>
        <w:t xml:space="preserve">Integrar los padrones respectivos de beneficiarios de los programas de desarrollo social municipal; </w:t>
      </w:r>
    </w:p>
    <w:p w14:paraId="481F516D" w14:textId="77777777" w:rsidR="006005B9" w:rsidRDefault="004E7D11">
      <w:p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VIII. Informar a la ciudadanía sobre las políticas, programas y acciones de desarrollo social que ejecuten, así como la aplicación de los recursos y evaluación de cada uno de estos programas, en términos de las disposiciones jurídicas aplicables; </w:t>
      </w:r>
    </w:p>
    <w:p w14:paraId="74839B16" w14:textId="77777777" w:rsidR="006005B9" w:rsidRDefault="004E7D11">
      <w:p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IX. Concertar acciones con los sectores no gubernamental, social y privado en materia de desarrollo social; </w:t>
      </w:r>
    </w:p>
    <w:p w14:paraId="77E188AF" w14:textId="77777777" w:rsidR="006005B9" w:rsidRDefault="004E7D11">
      <w:p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X. Establecer mecanismos para incluir la participación de la sociedad civil organizada y de la ciudadanía en general para la ejecución de programas y acciones de desarrollo social; </w:t>
      </w:r>
    </w:p>
    <w:p w14:paraId="22459EC8" w14:textId="77777777" w:rsidR="006005B9" w:rsidRDefault="004E7D11">
      <w:pPr>
        <w:pBdr>
          <w:top w:val="nil"/>
          <w:left w:val="nil"/>
          <w:bottom w:val="nil"/>
          <w:right w:val="nil"/>
          <w:between w:val="nil"/>
        </w:pBdr>
        <w:spacing w:before="240" w:after="240"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(Sic) (Énfasis añadido)</w:t>
      </w:r>
    </w:p>
    <w:p w14:paraId="63E92636" w14:textId="77777777" w:rsidR="006005B9" w:rsidRDefault="004E7D1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De manera que con lo citado anteriormente, se tiene que la respuesta fue vertida por la unidad administrativa competente, ello en virtud de que la Dirección de Bienestar Social es la encargada de ejecutar los programas, proyectos y acciones de desarrollo social, informar a la ciudadanía respecto de las políticas, programas y acciones de desarrollo social que ejecuten y la integración de los padrones de beneficiarios de los programas de desarrollo social municipal.</w:t>
      </w:r>
    </w:p>
    <w:p w14:paraId="026BD15E" w14:textId="77777777" w:rsidR="006005B9" w:rsidRDefault="004E7D1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Bajo esta línea de pensamiento, si bien es cierto que en su respuesta, esta Dirección manifestó que a la fecha de la solicitud de información no contaba con programas sociales y no operaba recursos, no menos cierto es que de una interpretación a su requerimiento, se advierte que se trata de los últimos montos ejercidos por concepto de programas sociales, así como de sus padrones de beneficiarios, por lo tanto, no se entiende que se refiera a información generada durante la actual administración sino de aquella que se hubiera generado por última vez, es decir, de manera reciente. Por ello, resulta inexacto este pronunciamiento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y es procedente ordenar que efectúe una búsqueda exhaustiva y razonable al interior de sus archivos para efecto de localizar el documento o documentos en los que obren los últimos montos ejercidos por concepto de programas sociales, así como sus padrones de beneficiarios.</w:t>
      </w:r>
    </w:p>
    <w:p w14:paraId="7D4BBE43" w14:textId="77777777" w:rsidR="006005B9" w:rsidRDefault="004E7D1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3.- Dirección de Desarrollo del Campo</w:t>
      </w:r>
    </w:p>
    <w:p w14:paraId="5DCF1C9B"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Sobre este particular, la Dirección del Campo, expresó lo siguiente:</w:t>
      </w:r>
    </w:p>
    <w:p w14:paraId="6D89586C" w14:textId="77777777" w:rsidR="006005B9" w:rsidRDefault="004E7D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b/>
          <w:i/>
          <w:sz w:val="22"/>
          <w:szCs w:val="22"/>
          <w:u w:val="single"/>
        </w:rPr>
        <w:t>Esta dirección no administra los recursos de los programas sociales</w:t>
      </w:r>
      <w:r>
        <w:rPr>
          <w:rFonts w:ascii="Palatino Linotype" w:eastAsia="Palatino Linotype" w:hAnsi="Palatino Linotype" w:cs="Palatino Linotype"/>
          <w:i/>
          <w:sz w:val="22"/>
          <w:szCs w:val="22"/>
        </w:rPr>
        <w:t xml:space="preserve">, por ende no se cuenta con un corte de caja, sin embargo, </w:t>
      </w:r>
      <w:r>
        <w:rPr>
          <w:rFonts w:ascii="Palatino Linotype" w:eastAsia="Palatino Linotype" w:hAnsi="Palatino Linotype" w:cs="Palatino Linotype"/>
          <w:b/>
          <w:i/>
          <w:sz w:val="22"/>
          <w:szCs w:val="22"/>
          <w:u w:val="single"/>
        </w:rPr>
        <w:t xml:space="preserve">por cuanto hace a los </w:t>
      </w:r>
      <w:r>
        <w:rPr>
          <w:rFonts w:ascii="Palatino Linotype" w:eastAsia="Palatino Linotype" w:hAnsi="Palatino Linotype" w:cs="Palatino Linotype"/>
          <w:b/>
          <w:i/>
          <w:sz w:val="22"/>
          <w:szCs w:val="22"/>
          <w:u w:val="single"/>
        </w:rPr>
        <w:lastRenderedPageBreak/>
        <w:t xml:space="preserve">beneficiarios, conforme a la Ley de Protección de Datos Personales en Posesión de Sujetos Obligados del Estado de México y Municipios, no puede proporcionar dicha información por ser confidencial.” </w:t>
      </w:r>
      <w:r>
        <w:rPr>
          <w:rFonts w:ascii="Palatino Linotype" w:eastAsia="Palatino Linotype" w:hAnsi="Palatino Linotype" w:cs="Palatino Linotype"/>
          <w:i/>
          <w:sz w:val="22"/>
          <w:szCs w:val="22"/>
        </w:rPr>
        <w:t>(Sic) (Énfasis añadido)</w:t>
      </w:r>
    </w:p>
    <w:p w14:paraId="49121993" w14:textId="77777777" w:rsidR="006005B9" w:rsidRDefault="004E7D11">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Puntualizado lo anterior, es importante señalar que si bien es cierto, la Dirección de Desarrollo del Campo no administra los recursos de los programas sociales, en razón de que como ya se abordó en líneas anteriores, compete a la Tesorería Municipal, no escapa de la óptica de este organismo garante que de las constancias que integran el expediente electrónico  relacionado con el recurso de revisión materia de estudio, se colige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niega la competencia para conocer del padrón de beneficiarios, sino por el contrario, con la respuesta pronunciada por el servidor público habilitado asevera que es competente para conocer de la solicitud de información</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actualizándose el supuesto previsto en el artículo 12 de la legislación aplicable en la materia, que es del tenor literal siguiente: </w:t>
      </w:r>
    </w:p>
    <w:p w14:paraId="566BFD6F" w14:textId="77777777" w:rsidR="006005B9" w:rsidRDefault="004E7D11">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w:t>
      </w:r>
      <w:r>
        <w:rPr>
          <w:rFonts w:ascii="Palatino Linotype" w:eastAsia="Palatino Linotype" w:hAnsi="Palatino Linotype" w:cs="Palatino Linotype"/>
          <w:i/>
          <w:sz w:val="22"/>
          <w:szCs w:val="22"/>
        </w:rPr>
        <w:t xml:space="preserve"> en los términos de las disposiciones jurídicas aplicables. </w:t>
      </w:r>
    </w:p>
    <w:p w14:paraId="07E66DC9" w14:textId="77777777" w:rsidR="006005B9" w:rsidRDefault="004E7D11">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2E0E5F0F" w14:textId="77777777" w:rsidR="006005B9" w:rsidRDefault="004E7D11">
      <w:pPr>
        <w:shd w:val="clear" w:color="auto" w:fill="FFFFFF"/>
        <w:spacing w:before="240" w:after="240" w:line="360" w:lineRule="auto"/>
        <w:ind w:right="51"/>
        <w:jc w:val="both"/>
        <w:rPr>
          <w:rFonts w:ascii="Palatino Linotype" w:eastAsia="Palatino Linotype" w:hAnsi="Palatino Linotype" w:cs="Palatino Linotype"/>
          <w:color w:val="222222"/>
        </w:rPr>
      </w:pPr>
      <w:r>
        <w:rPr>
          <w:rFonts w:ascii="Palatino Linotype" w:eastAsia="Palatino Linotype" w:hAnsi="Palatino Linotype" w:cs="Palatino Linotype"/>
        </w:rPr>
        <w:lastRenderedPageBreak/>
        <w:t xml:space="preserve">Se debe resaltar que con las manifestaciones hechas valer por el Sujeto Obligado restringió el derecho de acceso a la información al pretender clasificarla, bajo el argumento de que no puede entregarlo por ser información confidencial. Por lo que </w:t>
      </w:r>
      <w:r>
        <w:rPr>
          <w:rFonts w:ascii="Palatino Linotype" w:eastAsia="Palatino Linotype" w:hAnsi="Palatino Linotype" w:cs="Palatino Linotype"/>
          <w:color w:val="222222"/>
        </w:rPr>
        <w:t xml:space="preserve">debe precisarse que la inexistencia de la información y su clasificación no podrán coexistir. </w:t>
      </w:r>
    </w:p>
    <w:p w14:paraId="78618E46" w14:textId="77777777" w:rsidR="006005B9" w:rsidRDefault="004E7D11">
      <w:pPr>
        <w:shd w:val="clear" w:color="auto" w:fill="FFFFFF"/>
        <w:spacing w:before="240" w:after="240" w:line="360" w:lineRule="auto"/>
        <w:ind w:right="51"/>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A efecto de robustecer lo anterior, sirve de sustento el criterio orientador 29/10 emitido por el Instituto </w:t>
      </w:r>
      <w:r>
        <w:rPr>
          <w:rFonts w:ascii="Palatino Linotype" w:eastAsia="Palatino Linotype" w:hAnsi="Palatino Linotype" w:cs="Palatino Linotype"/>
          <w:color w:val="000000"/>
        </w:rPr>
        <w:t>Nacional de Transparencia, Acceso a la Información y Protección de Datos Personales, INAI</w:t>
      </w:r>
      <w:r>
        <w:rPr>
          <w:rFonts w:ascii="Palatino Linotype" w:eastAsia="Palatino Linotype" w:hAnsi="Palatino Linotype" w:cs="Palatino Linotype"/>
          <w:b/>
          <w:color w:val="222222"/>
        </w:rPr>
        <w:t>, </w:t>
      </w:r>
      <w:r>
        <w:rPr>
          <w:rFonts w:ascii="Palatino Linotype" w:eastAsia="Palatino Linotype" w:hAnsi="Palatino Linotype" w:cs="Palatino Linotype"/>
          <w:color w:val="222222"/>
        </w:rPr>
        <w:t>el cual refiere lo siguiente:</w:t>
      </w:r>
    </w:p>
    <w:p w14:paraId="519C0CBD" w14:textId="77777777" w:rsidR="006005B9" w:rsidRDefault="004E7D11">
      <w:pPr>
        <w:shd w:val="clear" w:color="auto" w:fill="FFFFFF"/>
        <w:spacing w:before="240" w:after="240" w:line="276" w:lineRule="auto"/>
        <w:ind w:left="567" w:right="900"/>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 xml:space="preserve">“La clasificación y la inexistencia de información son conceptos que no pueden coexistir. </w:t>
      </w:r>
      <w:r>
        <w:rPr>
          <w:rFonts w:ascii="Palatino Linotype" w:eastAsia="Palatino Linotype" w:hAnsi="Palatino Linotype" w:cs="Palatino Linotype"/>
          <w:i/>
          <w:color w:val="222222"/>
          <w:sz w:val="22"/>
          <w:szCs w:val="22"/>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w:t>
      </w:r>
      <w:r>
        <w:rPr>
          <w:rFonts w:ascii="Palatino Linotype" w:eastAsia="Palatino Linotype" w:hAnsi="Palatino Linotype" w:cs="Palatino Linotype"/>
          <w:b/>
          <w:i/>
          <w:color w:val="222222"/>
          <w:sz w:val="22"/>
          <w:szCs w:val="22"/>
          <w:u w:val="single"/>
        </w:rPr>
        <w:t>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Pr>
          <w:rFonts w:ascii="Palatino Linotype" w:eastAsia="Palatino Linotype" w:hAnsi="Palatino Linotype" w:cs="Palatino Linotype"/>
          <w:i/>
          <w:color w:val="222222"/>
          <w:sz w:val="22"/>
          <w:szCs w:val="22"/>
        </w:rPr>
        <w:t>"</w:t>
      </w:r>
    </w:p>
    <w:p w14:paraId="6AA18B7E" w14:textId="77777777" w:rsidR="006005B9" w:rsidRDefault="004E7D11">
      <w:pPr>
        <w:shd w:val="clear" w:color="auto" w:fill="FFFFFF"/>
        <w:spacing w:before="240" w:after="240" w:line="276" w:lineRule="auto"/>
        <w:ind w:left="567" w:right="900"/>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(Énfasis añadido)</w:t>
      </w:r>
    </w:p>
    <w:p w14:paraId="527162FF"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esta manera, se procede al análisis de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efecto de determinar si es suficiente para tener por colmado el </w:t>
      </w:r>
      <w:r>
        <w:rPr>
          <w:rFonts w:ascii="Palatino Linotype" w:eastAsia="Palatino Linotype" w:hAnsi="Palatino Linotype" w:cs="Palatino Linotype"/>
        </w:rPr>
        <w:lastRenderedPageBreak/>
        <w:t>derecho de acceso a la información de la parte recurrente, o en su defecto ordenar la entrega del o los documentos que lo satisfagan.</w:t>
      </w:r>
    </w:p>
    <w:p w14:paraId="62EFC500"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esta lógica, para mejor proveer del presente estudio, resulta conveniente traer a colación, los conceptos de información confidencial y de datos personales, los cuales versan de la siguiente manera: </w:t>
      </w:r>
    </w:p>
    <w:p w14:paraId="23656E36" w14:textId="77777777" w:rsidR="006005B9" w:rsidRDefault="004E7D1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 Para los efectos de la presente Ley se entenderá por:</w:t>
      </w:r>
    </w:p>
    <w:p w14:paraId="0541E5F6" w14:textId="77777777" w:rsidR="006005B9" w:rsidRDefault="004E7D1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C1FC7C3" w14:textId="77777777" w:rsidR="006005B9" w:rsidRDefault="004E7D1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Datos personales: </w:t>
      </w:r>
      <w:r>
        <w:rPr>
          <w:rFonts w:ascii="Palatino Linotype" w:eastAsia="Palatino Linotype" w:hAnsi="Palatino Linotype" w:cs="Palatino Linotype"/>
          <w:b/>
          <w:i/>
          <w:sz w:val="22"/>
          <w:szCs w:val="22"/>
        </w:rPr>
        <w:t xml:space="preserve">La información concerniente a una persona, identificada o identificable </w:t>
      </w:r>
      <w:r>
        <w:rPr>
          <w:rFonts w:ascii="Palatino Linotype" w:eastAsia="Palatino Linotype" w:hAnsi="Palatino Linotype" w:cs="Palatino Linotype"/>
          <w:i/>
          <w:sz w:val="22"/>
          <w:szCs w:val="22"/>
        </w:rPr>
        <w:t>según lo dispuesto por la Ley de Protección de Datos Personales del Estado de México;</w:t>
      </w:r>
    </w:p>
    <w:p w14:paraId="7A3F62EC" w14:textId="77777777" w:rsidR="006005B9" w:rsidRDefault="004E7D1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CC2E4D4" w14:textId="77777777" w:rsidR="006005B9" w:rsidRDefault="004E7D1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BD184D7" w14:textId="77777777" w:rsidR="006005B9" w:rsidRDefault="004E7D1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anteriormente citado, se concluye que toda la información relativa a una persona física que le pueda hacer identificada o identificable constituye un dato personal, por consiguiente, se trata de información confidencial, que debe ser protegida por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en ese contexto, todo dato personal susceptible de clasificación debe ser protegido.</w:t>
      </w:r>
    </w:p>
    <w:p w14:paraId="7FE1EE43"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la restricción al derecho de acceso a la información implica necesariamente una clasificación, la cual debe entenderse como el proceso mediante el cual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determina que la información en su poder, actualiza </w:t>
      </w:r>
      <w:r>
        <w:rPr>
          <w:rFonts w:ascii="Palatino Linotype" w:eastAsia="Palatino Linotype" w:hAnsi="Palatino Linotype" w:cs="Palatino Linotype"/>
        </w:rPr>
        <w:lastRenderedPageBreak/>
        <w:t>alguno de los supuestos de reserva o confidencialidad, de conformidad con las normas aplicables.</w:t>
      </w:r>
    </w:p>
    <w:p w14:paraId="197E8F75" w14:textId="77777777" w:rsidR="006005B9" w:rsidRDefault="004E7D11">
      <w:pPr>
        <w:spacing w:before="280" w:after="280" w:line="360" w:lineRule="auto"/>
        <w:jc w:val="both"/>
      </w:pPr>
      <w:r>
        <w:rPr>
          <w:rFonts w:ascii="Palatino Linotype" w:eastAsia="Palatino Linotype" w:hAnsi="Palatino Linotype" w:cs="Palatino Linotype"/>
          <w:color w:val="000000"/>
        </w:rPr>
        <w:t>En efecto, para los casos en los que los Sujetos Obligados adviertan que la información no es susceptible de entregar por estimar que sobreviene una causal de clasificación, les compete la carga de la prueba mediante la debida fundamentación y motivación en el respectivo Acuerdo de Clasificación, ello encuentra sustento en el artículo 131 de la legislación vigente en la entidad, el cual versa de la siguiente manera: </w:t>
      </w:r>
    </w:p>
    <w:p w14:paraId="27522C95" w14:textId="77777777" w:rsidR="006005B9" w:rsidRDefault="004E7D1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“Artículo 131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w:t>
      </w:r>
      <w:r>
        <w:rPr>
          <w:rFonts w:ascii="Palatino Linotype" w:eastAsia="Palatino Linotype" w:hAnsi="Palatino Linotype" w:cs="Palatino Linotype"/>
          <w:i/>
          <w:sz w:val="22"/>
          <w:szCs w:val="22"/>
        </w:rPr>
        <w:t>, de conformidad con lo previsto en la presente Ley.”</w:t>
      </w:r>
    </w:p>
    <w:p w14:paraId="168528FF" w14:textId="77777777" w:rsidR="006005B9" w:rsidRDefault="004E7D11">
      <w:pPr>
        <w:spacing w:before="280" w:after="280"/>
        <w:ind w:left="567" w:right="900"/>
        <w:jc w:val="both"/>
      </w:pPr>
      <w:r>
        <w:rPr>
          <w:rFonts w:ascii="Palatino Linotype" w:eastAsia="Palatino Linotype" w:hAnsi="Palatino Linotype" w:cs="Palatino Linotype"/>
          <w:i/>
          <w:color w:val="000000"/>
          <w:sz w:val="22"/>
          <w:szCs w:val="22"/>
        </w:rPr>
        <w:t xml:space="preserve">Artículo 143. </w:t>
      </w:r>
      <w:r>
        <w:rPr>
          <w:rFonts w:ascii="Palatino Linotype" w:eastAsia="Palatino Linotype" w:hAnsi="Palatino Linotype" w:cs="Palatino Linotype"/>
          <w:b/>
          <w:i/>
          <w:color w:val="000000"/>
          <w:sz w:val="22"/>
          <w:szCs w:val="22"/>
        </w:rPr>
        <w:t>Para los efectos de esta Ley se considera información confidencial, la clasificada como tal, de manera permanente, por su naturaleza, cuando</w:t>
      </w:r>
      <w:r>
        <w:rPr>
          <w:rFonts w:ascii="Palatino Linotype" w:eastAsia="Palatino Linotype" w:hAnsi="Palatino Linotype" w:cs="Palatino Linotype"/>
          <w:i/>
          <w:color w:val="000000"/>
          <w:sz w:val="22"/>
          <w:szCs w:val="22"/>
        </w:rPr>
        <w:t>: </w:t>
      </w:r>
    </w:p>
    <w:p w14:paraId="0D828273" w14:textId="77777777" w:rsidR="006005B9" w:rsidRDefault="004E7D11">
      <w:pPr>
        <w:numPr>
          <w:ilvl w:val="0"/>
          <w:numId w:val="3"/>
        </w:numPr>
        <w:spacing w:before="280" w:after="28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Se refiera a la información privada y los datos personales concernientes a una persona física o jurídico colectiva identificada o identificable; “</w:t>
      </w:r>
    </w:p>
    <w:p w14:paraId="62D33803" w14:textId="77777777" w:rsidR="006005B9" w:rsidRDefault="004E7D11">
      <w:pP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anteriormente expuesto, se colige que la normatividad prevé que para el supuesto de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estime que la información encuadra el supuesto previsto en el artículo 143, fracción I, deberá clasificar la información como confidencial, emitiendo su respectivo acuerdo de clasificación. </w:t>
      </w:r>
    </w:p>
    <w:p w14:paraId="5C18BACE" w14:textId="77777777" w:rsidR="006005B9" w:rsidRDefault="004E7D11">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conviene expresar que en el caso concreto, el </w:t>
      </w:r>
      <w:r>
        <w:rPr>
          <w:rFonts w:ascii="Palatino Linotype" w:eastAsia="Palatino Linotype" w:hAnsi="Palatino Linotype" w:cs="Palatino Linotype"/>
          <w:b/>
        </w:rPr>
        <w:t xml:space="preserve">Sujeto Obligado no observó las formalidades que establece la legislación en la materia respecto a la </w:t>
      </w:r>
      <w:r>
        <w:rPr>
          <w:rFonts w:ascii="Palatino Linotype" w:eastAsia="Palatino Linotype" w:hAnsi="Palatino Linotype" w:cs="Palatino Linotype"/>
          <w:b/>
        </w:rPr>
        <w:lastRenderedPageBreak/>
        <w:t>clasificación de la información</w:t>
      </w:r>
      <w:r>
        <w:rPr>
          <w:rFonts w:ascii="Palatino Linotype" w:eastAsia="Palatino Linotype" w:hAnsi="Palatino Linotype" w:cs="Palatino Linotype"/>
        </w:rPr>
        <w:t xml:space="preserve">, toda vez que de las constancias que obran en el expediente electrónico en el que se actúa, no se advierte que se hubiera remitido el Acuerdo de Clasificación mediante el cual, de manera fundada y motivada se acreditara que la información requerida actualiza el supuesto de clasificación invocado por el servidor público habilitado como razón para limitar el derecho humano de acceso a la información pública. </w:t>
      </w:r>
    </w:p>
    <w:p w14:paraId="3BC36A5F" w14:textId="77777777" w:rsidR="006005B9" w:rsidRDefault="004E7D11">
      <w:pPr>
        <w:spacing w:before="240"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orden de ideas, se advierte que la pretendida clasificación de la información solicitada no reúne los requisitos contenidos en la Ley de Transparencia y Acceso a la Información del Estado de México y Municipios y en los Lineamientos Generales en Materia de Clasificación y Desclasificación de la Información, por lo tanto, el derecho de acceso a la información pública del particular no puede tenerse por atendido.</w:t>
      </w:r>
    </w:p>
    <w:p w14:paraId="52D489D0"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Atento a ello, es importante referir que la fundamentación y motivación consiste en la obligación que tiene todo ente público de expresar los preceptos jurídicos aplicables al asunto motivo del acto y las razones o argumentos de su actuar.</w:t>
      </w:r>
    </w:p>
    <w:p w14:paraId="3EB7DF75"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14:paraId="2F045EC0" w14:textId="77777777" w:rsidR="006005B9" w:rsidRDefault="004E7D11">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FUNDAMENTACIÓN Y MOTIVACIÓN. </w:t>
      </w:r>
      <w:r>
        <w:rPr>
          <w:rFonts w:ascii="Palatino Linotype" w:eastAsia="Palatino Linotype" w:hAnsi="Palatino Linotype" w:cs="Palatino Linotype"/>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55B3BE05"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B8DB096"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5BC647A" w14:textId="77777777" w:rsidR="006005B9" w:rsidRDefault="004E7D11">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Pr>
          <w:rFonts w:ascii="Palatino Linotype" w:eastAsia="Palatino Linotype" w:hAnsi="Palatino Linotype" w:cs="Palatino Linotype"/>
          <w:i/>
          <w:sz w:val="22"/>
          <w:szCs w:val="22"/>
        </w:rPr>
        <w:t xml:space="preserve">. El contenido formal de la garantía de legalidad prevista en el artículo 16 constitucional relativa a la </w:t>
      </w:r>
      <w:r>
        <w:rPr>
          <w:rFonts w:ascii="Palatino Linotype" w:eastAsia="Palatino Linotype" w:hAnsi="Palatino Linotype" w:cs="Palatino Linotype"/>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eastAsia="Palatino Linotype" w:hAnsi="Palatino Linotype" w:cs="Palatino Linotype"/>
          <w:i/>
          <w:sz w:val="22"/>
          <w:szCs w:val="22"/>
        </w:rPr>
        <w:t xml:space="preserve">. Por tanto, </w:t>
      </w:r>
      <w:r>
        <w:rPr>
          <w:rFonts w:ascii="Palatino Linotype" w:eastAsia="Palatino Linotype" w:hAnsi="Palatino Linotype" w:cs="Palatino Linotype"/>
          <w:b/>
          <w:i/>
          <w:sz w:val="22"/>
          <w:szCs w:val="22"/>
        </w:rPr>
        <w:t>no basta que el acto de autoridad apenas observe una motivación pro forma pero de una manera incongruente, insuficiente o imprecisa</w:t>
      </w:r>
      <w:r>
        <w:rPr>
          <w:rFonts w:ascii="Palatino Linotype" w:eastAsia="Palatino Linotype" w:hAnsi="Palatino Linotype" w:cs="Palatino Linotype"/>
          <w:i/>
          <w:sz w:val="22"/>
          <w:szCs w:val="22"/>
        </w:rPr>
        <w:t>, que impida la finalidad del conocimiento, comprobación y defensa pertinente</w:t>
      </w:r>
      <w:r>
        <w:rPr>
          <w:rFonts w:ascii="Palatino Linotype" w:eastAsia="Palatino Linotype" w:hAnsi="Palatino Linotype" w:cs="Palatino Linotype"/>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eastAsia="Palatino Linotype" w:hAnsi="Palatino Linotype" w:cs="Palatino Linotype"/>
          <w:i/>
          <w:sz w:val="22"/>
          <w:szCs w:val="22"/>
        </w:rPr>
        <w:t>.”(Sic)</w:t>
      </w:r>
    </w:p>
    <w:p w14:paraId="17676B13"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58367B4"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esta línea de pensamiento, se tiene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incumplió con las formalidades previstas en los artículos 49, fracción VIII, 122, 130, 132, fracciones I, II y III, 143 en su fracción primera y 149 de la Ley de Transparencia y Acceso a la Información Pública del Estado de México y Municipios en vigor, así como el numeral Cuarto al Décimo Primero de los Lineamientos Generales en materia de Clasificación y Desclasificación de la Información, así como para la elaboración de Versiones Públicas, que literalmente expresan:</w:t>
      </w:r>
    </w:p>
    <w:p w14:paraId="4D2E603F" w14:textId="77777777" w:rsidR="006005B9" w:rsidRDefault="004E7D11">
      <w:pPr>
        <w:spacing w:before="240" w:after="240" w:line="360" w:lineRule="auto"/>
        <w:ind w:left="567"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Ley de Transparencia y Acceso a la Información Pública del Estado de México y Municipios</w:t>
      </w:r>
    </w:p>
    <w:p w14:paraId="072F3478"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14:paraId="38FCA26E"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Aprobar, modificar o revocar la clasificación de la información;</w:t>
      </w:r>
    </w:p>
    <w:p w14:paraId="4EF030B3"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6F891B97" w14:textId="77777777" w:rsidR="006005B9" w:rsidRDefault="004E7D11">
      <w:pPr>
        <w:spacing w:before="240" w:after="24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122. </w:t>
      </w:r>
      <w:r>
        <w:rPr>
          <w:rFonts w:ascii="Palatino Linotype" w:eastAsia="Palatino Linotype" w:hAnsi="Palatino Linotype" w:cs="Palatino Linotype"/>
          <w:b/>
          <w:i/>
          <w:sz w:val="22"/>
          <w:szCs w:val="22"/>
        </w:rPr>
        <w:t xml:space="preserve">La clasificación es el proceso mediante el cual el sujeto obligado determina que la información en su poder </w:t>
      </w:r>
      <w:proofErr w:type="spellStart"/>
      <w:r>
        <w:rPr>
          <w:rFonts w:ascii="Palatino Linotype" w:eastAsia="Palatino Linotype" w:hAnsi="Palatino Linotype" w:cs="Palatino Linotype"/>
          <w:b/>
          <w:i/>
          <w:sz w:val="22"/>
          <w:szCs w:val="22"/>
        </w:rPr>
        <w:t>actualiza</w:t>
      </w:r>
      <w:proofErr w:type="spellEnd"/>
      <w:r>
        <w:rPr>
          <w:rFonts w:ascii="Palatino Linotype" w:eastAsia="Palatino Linotype" w:hAnsi="Palatino Linotype" w:cs="Palatino Linotype"/>
          <w:b/>
          <w:i/>
          <w:sz w:val="22"/>
          <w:szCs w:val="22"/>
        </w:rPr>
        <w:t xml:space="preserve"> alguno de los supuestos de</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 de conformidad con lo dispuesto en el presente título.</w:t>
      </w:r>
    </w:p>
    <w:p w14:paraId="79F46484" w14:textId="77777777" w:rsidR="006005B9" w:rsidRDefault="004E7D11">
      <w:pPr>
        <w:spacing w:before="240" w:after="24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Los supuestos de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reserva o confidencialidad previstos en las leyes deberán ser acordes con las bases, principios y disposiciones establecidos en la Ley General y, en ningún caso, podrán contravenirla.</w:t>
      </w:r>
    </w:p>
    <w:p w14:paraId="2FC1151D" w14:textId="77777777" w:rsidR="006005B9" w:rsidRDefault="004E7D11">
      <w:pPr>
        <w:spacing w:before="240" w:after="24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titulares de las áreas de los sujetos obligados serán los responsables de clasificar la información, de conformidad con lo dispuesto en la presente Ley y demás disposiciones jurídicas aplicables.</w:t>
      </w:r>
    </w:p>
    <w:p w14:paraId="1D53C870"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23D2E6E" w14:textId="77777777" w:rsidR="006005B9" w:rsidRDefault="004E7D11">
      <w:pPr>
        <w:spacing w:before="240" w:after="24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130. </w:t>
      </w:r>
      <w:r>
        <w:rPr>
          <w:rFonts w:ascii="Palatino Linotype" w:eastAsia="Palatino Linotype" w:hAnsi="Palatino Linotype" w:cs="Palatino Linotype"/>
          <w:b/>
          <w:i/>
          <w:sz w:val="22"/>
          <w:szCs w:val="22"/>
        </w:rPr>
        <w:t>Los sujetos obligados deberán aplicar, de manera restrictiva y limitada, las excepciones al derecho de acceso a la información y sólo podrán invocarlas cuando acrediten su procedencia, sin ampliar las excepciones o supuestos de</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 previstos en la Ley General y la presente Ley, aduciendo analogía o mayoría de razón.</w:t>
      </w:r>
    </w:p>
    <w:p w14:paraId="702AFF36"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14:paraId="3C8D9EDF"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reciba una solicitud de acceso a la información;</w:t>
      </w:r>
    </w:p>
    <w:p w14:paraId="2014AC5A" w14:textId="77777777" w:rsidR="006005B9" w:rsidRDefault="004E7D11">
      <w:pPr>
        <w:spacing w:before="240" w:after="24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Se determine mediante resolución de autoridad competente; o</w:t>
      </w:r>
    </w:p>
    <w:p w14:paraId="5424BC48" w14:textId="77777777" w:rsidR="006005B9" w:rsidRDefault="004E7D11">
      <w:pPr>
        <w:spacing w:before="240" w:after="24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Se generen versiones públicas para dar cumplimiento a las obligaciones de transparencia previstas en esta Ley.</w:t>
      </w:r>
    </w:p>
    <w:p w14:paraId="2057E9DA"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7B325E9" w14:textId="77777777" w:rsidR="006005B9" w:rsidRDefault="004E7D11">
      <w:pPr>
        <w:spacing w:before="240" w:after="24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143. </w:t>
      </w:r>
      <w:r>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14:paraId="5EC2540E" w14:textId="77777777" w:rsidR="006005B9" w:rsidRDefault="004E7D11">
      <w:pPr>
        <w:spacing w:before="240" w:after="24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Se refiera a la información privada y los datos personales concernientes a una persona física o </w:t>
      </w:r>
      <w:proofErr w:type="gramStart"/>
      <w:r>
        <w:rPr>
          <w:rFonts w:ascii="Palatino Linotype" w:eastAsia="Palatino Linotype" w:hAnsi="Palatino Linotype" w:cs="Palatino Linotype"/>
          <w:b/>
          <w:i/>
          <w:sz w:val="22"/>
          <w:szCs w:val="22"/>
        </w:rPr>
        <w:t>jurídico</w:t>
      </w:r>
      <w:proofErr w:type="gramEnd"/>
      <w:r>
        <w:rPr>
          <w:rFonts w:ascii="Palatino Linotype" w:eastAsia="Palatino Linotype" w:hAnsi="Palatino Linotype" w:cs="Palatino Linotype"/>
          <w:b/>
          <w:i/>
          <w:sz w:val="22"/>
          <w:szCs w:val="22"/>
        </w:rPr>
        <w:t xml:space="preserve"> colectiva identificada o identificable;</w:t>
      </w:r>
    </w:p>
    <w:p w14:paraId="601F72F4" w14:textId="77777777" w:rsidR="006005B9" w:rsidRDefault="004E7D11">
      <w:pPr>
        <w:spacing w:before="240" w:after="24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3189DAA0" w14:textId="77777777" w:rsidR="006005B9" w:rsidRDefault="004E7D11">
      <w:pPr>
        <w:spacing w:before="240" w:after="24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Artículo 149. </w:t>
      </w:r>
      <w:r>
        <w:rPr>
          <w:rFonts w:ascii="Palatino Linotype" w:eastAsia="Palatino Linotype" w:hAnsi="Palatino Linotype" w:cs="Palatino Linotype"/>
          <w:i/>
          <w:sz w:val="22"/>
          <w:szCs w:val="22"/>
        </w:rPr>
        <w:t>El acuerdo que clasifique la información como confidencial deberá contener un razonamiento lógico en el que demuestre que la información se encuentra en alguna o algunas de las hipótesis previstas en la presente Ley.</w:t>
      </w:r>
      <w:r>
        <w:rPr>
          <w:rFonts w:ascii="Palatino Linotype" w:eastAsia="Palatino Linotype" w:hAnsi="Palatino Linotype" w:cs="Palatino Linotype"/>
          <w:b/>
          <w:i/>
          <w:sz w:val="22"/>
          <w:szCs w:val="22"/>
        </w:rPr>
        <w:t>”</w:t>
      </w:r>
    </w:p>
    <w:p w14:paraId="1094F9C1" w14:textId="77777777" w:rsidR="006005B9" w:rsidRDefault="004E7D11">
      <w:pPr>
        <w:spacing w:before="240" w:after="240" w:line="276" w:lineRule="auto"/>
        <w:ind w:left="851" w:right="90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p>
    <w:p w14:paraId="3E3E1B7C"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FB12AA0"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ABD405F"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95B6D47"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w:t>
      </w:r>
    </w:p>
    <w:p w14:paraId="537C24DE"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C9F3DF3"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6418834B"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14:paraId="1B71C34B"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w:t>
      </w:r>
      <w:r>
        <w:rPr>
          <w:rFonts w:ascii="Palatino Linotype" w:eastAsia="Palatino Linotype" w:hAnsi="Palatino Linotype" w:cs="Palatino Linotype"/>
          <w:i/>
          <w:sz w:val="22"/>
          <w:szCs w:val="22"/>
        </w:rPr>
        <w:t xml:space="preserve"> Se reciba una solicitud de acceso a la información;</w:t>
      </w:r>
    </w:p>
    <w:p w14:paraId="765DCF10"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07DD8935"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8E57B69"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76BC5E15"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3723DE5"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40BD542E"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A534852"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280A42F0"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CB6C02A"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9F6CFF7"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C95263A" w14:textId="77777777" w:rsidR="006005B9" w:rsidRDefault="004E7D1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(Sic)</w:t>
      </w:r>
    </w:p>
    <w:p w14:paraId="50E83D56"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advierte dicho Acuerdo debe exponer de manera clara las razones por las 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14:paraId="7885E3E8" w14:textId="77777777" w:rsidR="006005B9" w:rsidRDefault="004E7D11">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4385290D" w14:textId="77777777" w:rsidR="006005B9" w:rsidRDefault="004E7D11">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684B59B" w14:textId="77777777" w:rsidR="006005B9" w:rsidRDefault="004E7D1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con la respuesta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dejó al solicitante en estado de incertidumbre, al no conocer o comprender por qué se le </w:t>
      </w:r>
      <w:r>
        <w:rPr>
          <w:rFonts w:ascii="Palatino Linotype" w:eastAsia="Palatino Linotype" w:hAnsi="Palatino Linotype" w:cs="Palatino Linotype"/>
        </w:rPr>
        <w:lastRenderedPageBreak/>
        <w:t>negó el acceso a los documentos, violentando con ello el derecho de acceso a la información del solicitante.</w:t>
      </w:r>
    </w:p>
    <w:p w14:paraId="0C37EC01" w14:textId="77777777" w:rsidR="006005B9" w:rsidRDefault="004E7D11">
      <w:pPr>
        <w:spacing w:before="240" w:after="240" w:line="360" w:lineRule="auto"/>
        <w:ind w:right="49"/>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b/>
          <w:u w:val="single"/>
        </w:rPr>
        <w:t>S</w:t>
      </w:r>
      <w:r>
        <w:rPr>
          <w:rFonts w:ascii="Palatino Linotype" w:eastAsia="Palatino Linotype" w:hAnsi="Palatino Linotype" w:cs="Palatino Linotype"/>
          <w:b/>
          <w:color w:val="000000"/>
          <w:u w:val="single"/>
        </w:rPr>
        <w:t>in embargo, no pasa desapercibido para este organismo garante que si el soporte documental constituye información pública, por lo que el acceso a estos documentos es posible mediante la versión pública, la cual se abordará en páginas subsecuentes</w:t>
      </w:r>
      <w:r>
        <w:rPr>
          <w:rFonts w:ascii="Palatino Linotype" w:eastAsia="Palatino Linotype" w:hAnsi="Palatino Linotype" w:cs="Palatino Linotype"/>
          <w:color w:val="000000"/>
        </w:rPr>
        <w:t>, esto es así</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toda vez que la Ley de Transparencia y Acceso a la Información Pública del Estado de México y Municipios, establece expresamente entre sus objetivos, transparentar la gestión pública mediante la difusión de la información y favorecer la rendición de cuentas; por lo que este Instituto considera que procedente la entrega de la información solicitada.</w:t>
      </w:r>
    </w:p>
    <w:p w14:paraId="58659D08" w14:textId="77777777" w:rsidR="006005B9" w:rsidRDefault="004E7D1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4.- Del turno a otras unidades administrativas competentes</w:t>
      </w:r>
    </w:p>
    <w:p w14:paraId="4D461E5D"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teniendo estas premisas en cuenta, debe trasladarse al caso concreto que sobre este requerimiento de información, únicamente se pronunciaron la </w:t>
      </w:r>
      <w:r>
        <w:rPr>
          <w:rFonts w:ascii="Palatino Linotype" w:eastAsia="Palatino Linotype" w:hAnsi="Palatino Linotype" w:cs="Palatino Linotype"/>
          <w:b/>
        </w:rPr>
        <w:t>Tesorería Municipal, la Dirección de Bienestar Social  y la Dirección de Desarrollo del Campo</w:t>
      </w:r>
      <w:r>
        <w:rPr>
          <w:rFonts w:ascii="Palatino Linotype" w:eastAsia="Palatino Linotype" w:hAnsi="Palatino Linotype" w:cs="Palatino Linotype"/>
        </w:rPr>
        <w:t xml:space="preserve"> del Ayuntamiento de Acambay de Ruiz Castañeda, lo cual no satisfizo el derecho de acceso el derecho de acceso a la información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al incumplir el principio de exhaustividad, toda vez que no se advierte una correcta búsqueda exhaustiva y razonable de la información solicitada por el Particular, lo anterior es así, en razón de que compete a los sujetos obligados seguir el procedimiento para la atención a las solicitudes de acceso a la información, establecido en los artículos 151, 160, 162, 163, 164, 165 y 166, de la Ley de </w:t>
      </w:r>
      <w:r>
        <w:rPr>
          <w:rFonts w:ascii="Palatino Linotype" w:eastAsia="Palatino Linotype" w:hAnsi="Palatino Linotype" w:cs="Palatino Linotype"/>
        </w:rPr>
        <w:lastRenderedPageBreak/>
        <w:t xml:space="preserve">Transparencia y Acceso a la Información Pública del Estado de México y Municipios, el cual es el siguiente: </w:t>
      </w:r>
    </w:p>
    <w:p w14:paraId="1607A330" w14:textId="77777777" w:rsidR="006005B9" w:rsidRDefault="004E7D1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3E0C3444" w14:textId="77777777" w:rsidR="006005B9" w:rsidRDefault="004E7D1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753DE7A5" w14:textId="77777777" w:rsidR="006005B9" w:rsidRDefault="004E7D1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62ECA810" w14:textId="77777777" w:rsidR="006005B9" w:rsidRDefault="004E7D1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2BF86939" w14:textId="77777777" w:rsidR="006005B9" w:rsidRDefault="004E7D1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w:t>
      </w:r>
      <w:r>
        <w:rPr>
          <w:rFonts w:ascii="Palatino Linotype" w:eastAsia="Palatino Linotype" w:hAnsi="Palatino Linotype" w:cs="Palatino Linotype"/>
        </w:rPr>
        <w:lastRenderedPageBreak/>
        <w:t xml:space="preserve">deberá ofrecer otras; por lo cual, deberá fundar y motivar la necesidad de modificar el medio de entrega, y </w:t>
      </w:r>
    </w:p>
    <w:p w14:paraId="73E96966" w14:textId="77777777" w:rsidR="006005B9" w:rsidRDefault="004E7D1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C7D6903" w14:textId="77777777" w:rsidR="006005B9" w:rsidRDefault="004E7D1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este orden de ideas,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pudieran contar con la información, la Dirección de Educación,  y Coordinación de los Derechos de las Mujeres, ello de conformidad con lo previsto por el Manual de Procedimiento de la Dirección de Educación y el Manual de Organización de la Coordinación de los Derechos de las Mujeres, por contener la entrega de apoyos de becas municipales, así como formular los programas o proyectos que permitan mejorar las condiciones de las mujeres, dentro del municipio, </w:t>
      </w:r>
      <w:r>
        <w:rPr>
          <w:rFonts w:ascii="Palatino Linotype" w:eastAsia="Palatino Linotype" w:hAnsi="Palatino Linotype" w:cs="Palatino Linotype"/>
          <w:color w:val="000000"/>
        </w:rPr>
        <w:t>preceptos que versan de la siguiente manera:</w:t>
      </w:r>
    </w:p>
    <w:p w14:paraId="523274C6" w14:textId="77777777" w:rsidR="006005B9" w:rsidRDefault="004E7D11">
      <w:pP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Dirección de Educación: </w:t>
      </w:r>
    </w:p>
    <w:p w14:paraId="74B6C437" w14:textId="77777777" w:rsidR="006005B9" w:rsidRDefault="004E7D11">
      <w:pPr>
        <w:spacing w:line="360" w:lineRule="auto"/>
        <w:jc w:val="center"/>
        <w:rPr>
          <w:rFonts w:ascii="Palatino Linotype" w:eastAsia="Palatino Linotype" w:hAnsi="Palatino Linotype" w:cs="Palatino Linotype"/>
        </w:rPr>
      </w:pPr>
      <w:r>
        <w:object w:dxaOrig="7470" w:dyaOrig="9900" w14:anchorId="0173ECA3">
          <v:shape id="_x0000_i1031" type="#_x0000_t75" style="width:373.5pt;height:495.75pt" o:ole="">
            <v:imagedata r:id="rId21" o:title=""/>
          </v:shape>
          <o:OLEObject Type="Embed" ProgID="PBrush" ShapeID="_x0000_i1031" DrawAspect="Content" ObjectID="_1718633720" r:id="rId22"/>
        </w:object>
      </w:r>
    </w:p>
    <w:p w14:paraId="22926E97" w14:textId="77777777" w:rsidR="006005B9" w:rsidRDefault="006005B9">
      <w:pPr>
        <w:spacing w:line="360" w:lineRule="auto"/>
        <w:jc w:val="both"/>
        <w:rPr>
          <w:rFonts w:ascii="Palatino Linotype" w:eastAsia="Palatino Linotype" w:hAnsi="Palatino Linotype" w:cs="Palatino Linotype"/>
        </w:rPr>
      </w:pPr>
    </w:p>
    <w:p w14:paraId="66A94D07" w14:textId="77777777" w:rsidR="006005B9" w:rsidRDefault="004E7D1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Manual de Organización de la Coordinación de los Derechos de las Mujeres:</w:t>
      </w:r>
    </w:p>
    <w:p w14:paraId="07FCEBE6" w14:textId="77777777" w:rsidR="006005B9" w:rsidRDefault="004E7D11">
      <w:pPr>
        <w:spacing w:line="360" w:lineRule="auto"/>
        <w:jc w:val="both"/>
        <w:rPr>
          <w:rFonts w:ascii="Palatino Linotype" w:eastAsia="Palatino Linotype" w:hAnsi="Palatino Linotype" w:cs="Palatino Linotype"/>
          <w:b/>
        </w:rPr>
      </w:pPr>
      <w:r>
        <w:object w:dxaOrig="8790" w:dyaOrig="6810" w14:anchorId="5749D75F">
          <v:shape id="_x0000_i1032" type="#_x0000_t75" style="width:438.75pt;height:340.5pt" o:ole="">
            <v:imagedata r:id="rId23" o:title=""/>
          </v:shape>
          <o:OLEObject Type="Embed" ProgID="PBrush" ShapeID="_x0000_i1032" DrawAspect="Content" ObjectID="_1718633721" r:id="rId24"/>
        </w:object>
      </w:r>
      <w:r>
        <w:rPr>
          <w:noProof/>
          <w:lang w:val="es-MX"/>
        </w:rPr>
        <mc:AlternateContent>
          <mc:Choice Requires="wpg">
            <w:drawing>
              <wp:anchor distT="0" distB="0" distL="114300" distR="114300" simplePos="0" relativeHeight="251658240" behindDoc="0" locked="0" layoutInCell="1" hidden="0" allowOverlap="1" wp14:anchorId="46D82D28" wp14:editId="6E492E12">
                <wp:simplePos x="0" y="0"/>
                <wp:positionH relativeFrom="column">
                  <wp:posOffset>152400</wp:posOffset>
                </wp:positionH>
                <wp:positionV relativeFrom="paragraph">
                  <wp:posOffset>2590800</wp:posOffset>
                </wp:positionV>
                <wp:extent cx="5314950" cy="685800"/>
                <wp:effectExtent l="0" t="0" r="0" b="0"/>
                <wp:wrapNone/>
                <wp:docPr id="84" name="Rectángulo 84"/>
                <wp:cNvGraphicFramePr/>
                <a:graphic xmlns:a="http://schemas.openxmlformats.org/drawingml/2006/main">
                  <a:graphicData uri="http://schemas.microsoft.com/office/word/2010/wordprocessingShape">
                    <wps:wsp>
                      <wps:cNvSpPr/>
                      <wps:spPr>
                        <a:xfrm>
                          <a:off x="2707575" y="3456150"/>
                          <a:ext cx="5276850" cy="647700"/>
                        </a:xfrm>
                        <a:prstGeom prst="rect">
                          <a:avLst/>
                        </a:prstGeom>
                        <a:noFill/>
                        <a:ln w="19050" cap="flat" cmpd="sng">
                          <a:solidFill>
                            <a:srgbClr val="4A7DBA"/>
                          </a:solidFill>
                          <a:prstDash val="solid"/>
                          <a:round/>
                          <a:headEnd type="none" w="sm" len="sm"/>
                          <a:tailEnd type="none" w="sm" len="sm"/>
                        </a:ln>
                      </wps:spPr>
                      <wps:txbx>
                        <w:txbxContent>
                          <w:p w14:paraId="1C8E3EE7" w14:textId="77777777" w:rsidR="006005B9" w:rsidRDefault="006005B9">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152400</wp:posOffset>
                </wp:positionH>
                <wp:positionV relativeFrom="paragraph">
                  <wp:posOffset>2590800</wp:posOffset>
                </wp:positionV>
                <wp:extent cx="5314950" cy="685800"/>
                <wp:effectExtent b="0" l="0" r="0" t="0"/>
                <wp:wrapNone/>
                <wp:docPr id="84" name="image13.png"/>
                <a:graphic>
                  <a:graphicData uri="http://schemas.openxmlformats.org/drawingml/2006/picture">
                    <pic:pic>
                      <pic:nvPicPr>
                        <pic:cNvPr id="0" name="image13.png"/>
                        <pic:cNvPicPr preferRelativeResize="0"/>
                      </pic:nvPicPr>
                      <pic:blipFill>
                        <a:blip r:embed="rId27"/>
                        <a:srcRect/>
                        <a:stretch>
                          <a:fillRect/>
                        </a:stretch>
                      </pic:blipFill>
                      <pic:spPr>
                        <a:xfrm>
                          <a:off x="0" y="0"/>
                          <a:ext cx="5314950" cy="685800"/>
                        </a:xfrm>
                        <a:prstGeom prst="rect"/>
                        <a:ln/>
                      </pic:spPr>
                    </pic:pic>
                  </a:graphicData>
                </a:graphic>
              </wp:anchor>
            </w:drawing>
          </mc:Fallback>
        </mc:AlternateContent>
      </w:r>
    </w:p>
    <w:p w14:paraId="0CF28EAE" w14:textId="77777777" w:rsidR="006005B9" w:rsidRDefault="006005B9">
      <w:pPr>
        <w:spacing w:line="360" w:lineRule="auto"/>
        <w:jc w:val="both"/>
        <w:rPr>
          <w:rFonts w:ascii="Palatino Linotype" w:eastAsia="Palatino Linotype" w:hAnsi="Palatino Linotype" w:cs="Palatino Linotype"/>
        </w:rPr>
      </w:pPr>
    </w:p>
    <w:p w14:paraId="50585E8F" w14:textId="77777777" w:rsidR="006005B9" w:rsidRDefault="004E7D11">
      <w:pPr>
        <w:spacing w:line="360" w:lineRule="auto"/>
        <w:jc w:val="both"/>
        <w:rPr>
          <w:rFonts w:ascii="Palatino Linotype" w:eastAsia="Palatino Linotype" w:hAnsi="Palatino Linotype" w:cs="Palatino Linotype"/>
        </w:rPr>
      </w:pPr>
      <w:r>
        <w:object w:dxaOrig="8790" w:dyaOrig="10035" w14:anchorId="087960E1">
          <v:shape id="_x0000_i1033" type="#_x0000_t75" style="width:438.75pt;height:501.75pt" o:ole="">
            <v:imagedata r:id="rId28" o:title=""/>
          </v:shape>
          <o:OLEObject Type="Embed" ProgID="PBrush" ShapeID="_x0000_i1033" DrawAspect="Content" ObjectID="_1718633722" r:id="rId29"/>
        </w:object>
      </w:r>
      <w:r>
        <w:rPr>
          <w:noProof/>
          <w:lang w:val="es-MX"/>
        </w:rPr>
        <mc:AlternateContent>
          <mc:Choice Requires="wpg">
            <w:drawing>
              <wp:anchor distT="0" distB="0" distL="114300" distR="114300" simplePos="0" relativeHeight="251659264" behindDoc="0" locked="0" layoutInCell="1" hidden="0" allowOverlap="1" wp14:anchorId="3386406D" wp14:editId="40626147">
                <wp:simplePos x="0" y="0"/>
                <wp:positionH relativeFrom="column">
                  <wp:posOffset>-38099</wp:posOffset>
                </wp:positionH>
                <wp:positionV relativeFrom="paragraph">
                  <wp:posOffset>5549900</wp:posOffset>
                </wp:positionV>
                <wp:extent cx="5562600" cy="361950"/>
                <wp:effectExtent l="0" t="0" r="0" b="0"/>
                <wp:wrapNone/>
                <wp:docPr id="83" name="Rectángulo 83"/>
                <wp:cNvGraphicFramePr/>
                <a:graphic xmlns:a="http://schemas.openxmlformats.org/drawingml/2006/main">
                  <a:graphicData uri="http://schemas.microsoft.com/office/word/2010/wordprocessingShape">
                    <wps:wsp>
                      <wps:cNvSpPr/>
                      <wps:spPr>
                        <a:xfrm>
                          <a:off x="2593275" y="3627600"/>
                          <a:ext cx="5505450" cy="304800"/>
                        </a:xfrm>
                        <a:prstGeom prst="rect">
                          <a:avLst/>
                        </a:prstGeom>
                        <a:noFill/>
                        <a:ln w="28575" cap="flat" cmpd="sng">
                          <a:solidFill>
                            <a:srgbClr val="002060"/>
                          </a:solidFill>
                          <a:prstDash val="solid"/>
                          <a:round/>
                          <a:headEnd type="none" w="sm" len="sm"/>
                          <a:tailEnd type="none" w="sm" len="sm"/>
                        </a:ln>
                      </wps:spPr>
                      <wps:txbx>
                        <w:txbxContent>
                          <w:p w14:paraId="32FDACE8" w14:textId="77777777" w:rsidR="006005B9" w:rsidRDefault="006005B9">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-38099</wp:posOffset>
                </wp:positionH>
                <wp:positionV relativeFrom="paragraph">
                  <wp:posOffset>5549900</wp:posOffset>
                </wp:positionV>
                <wp:extent cx="5562600" cy="361950"/>
                <wp:effectExtent b="0" l="0" r="0" t="0"/>
                <wp:wrapNone/>
                <wp:docPr id="83" name="image12.png"/>
                <a:graphic>
                  <a:graphicData uri="http://schemas.openxmlformats.org/drawingml/2006/picture">
                    <pic:pic>
                      <pic:nvPicPr>
                        <pic:cNvPr id="0" name="image12.png"/>
                        <pic:cNvPicPr preferRelativeResize="0"/>
                      </pic:nvPicPr>
                      <pic:blipFill>
                        <a:blip r:embed="rId30"/>
                        <a:srcRect/>
                        <a:stretch>
                          <a:fillRect/>
                        </a:stretch>
                      </pic:blipFill>
                      <pic:spPr>
                        <a:xfrm>
                          <a:off x="0" y="0"/>
                          <a:ext cx="5562600" cy="361950"/>
                        </a:xfrm>
                        <a:prstGeom prst="rect"/>
                        <a:ln/>
                      </pic:spPr>
                    </pic:pic>
                  </a:graphicData>
                </a:graphic>
              </wp:anchor>
            </w:drawing>
          </mc:Fallback>
        </mc:AlternateContent>
      </w:r>
    </w:p>
    <w:p w14:paraId="69307A60" w14:textId="77777777" w:rsidR="006005B9" w:rsidRDefault="004E7D1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anteriormente citado, se concluye que el Sujeto Obligado fue omiso en turnarle la solicitud de información a las áreas competentes, toda vez que como se observa de los manuales en referencia, la Dirección de Educación y Coordinación de los </w:t>
      </w:r>
      <w:r>
        <w:rPr>
          <w:rFonts w:ascii="Palatino Linotype" w:eastAsia="Palatino Linotype" w:hAnsi="Palatino Linotype" w:cs="Palatino Linotype"/>
        </w:rPr>
        <w:lastRenderedPageBreak/>
        <w:t>Derechos de las Mujeres, son unidades administrativas competentes para desarrollar programas sociales, por lo que bajo estas premisas, se concluye que al no turnarse la solicitud de información a esta área competente, no se pudo otorgar un pronunciamiento adecuado y suficiente que colme este requerimiento, por ende, nos encontramos ante una vulneración al derecho de acceso a la información del particular.</w:t>
      </w:r>
    </w:p>
    <w:p w14:paraId="03D39A55"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entregue la información requerida en versión pública de ser procedente, tal como se detalla en el siguiente considerando.</w:t>
      </w:r>
    </w:p>
    <w:p w14:paraId="67D4601B" w14:textId="77777777" w:rsidR="006005B9" w:rsidRDefault="004E7D1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5977D29C" w14:textId="77777777" w:rsidR="006005B9" w:rsidRDefault="004E7D11">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Lo anterior, de conformidad a lo que señalan los artículos 3 fracciones IX, XX, XXI y XLV, 91, 132 fracciones II y III, y 143 </w:t>
      </w:r>
      <w:proofErr w:type="gramStart"/>
      <w:r>
        <w:rPr>
          <w:rFonts w:ascii="Palatino Linotype" w:eastAsia="Palatino Linotype" w:hAnsi="Palatino Linotype" w:cs="Palatino Linotype"/>
        </w:rPr>
        <w:t>fracción</w:t>
      </w:r>
      <w:proofErr w:type="gramEnd"/>
      <w:r>
        <w:rPr>
          <w:rFonts w:ascii="Palatino Linotype" w:eastAsia="Palatino Linotype" w:hAnsi="Palatino Linotype" w:cs="Palatino Linotype"/>
        </w:rPr>
        <w:t xml:space="preserve"> I de la Ley de Transparencia y Acceso a la Información Pública del Estado de México y Municipios que establecen:</w:t>
      </w:r>
    </w:p>
    <w:p w14:paraId="64D78C9A" w14:textId="77777777" w:rsidR="006005B9" w:rsidRDefault="004E7D1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3C39D94C" w14:textId="77777777" w:rsidR="006005B9" w:rsidRDefault="004E7D1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251FAED" w14:textId="77777777" w:rsidR="006005B9" w:rsidRDefault="004E7D1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6E14000E" w14:textId="77777777" w:rsidR="006005B9" w:rsidRDefault="004E7D1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10530E80" w14:textId="77777777" w:rsidR="006005B9" w:rsidRDefault="004E7D1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D601040" w14:textId="77777777" w:rsidR="006005B9" w:rsidRDefault="004E7D1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495C5997" w14:textId="77777777" w:rsidR="006005B9" w:rsidRDefault="004E7D1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6E5D6BC" w14:textId="77777777" w:rsidR="006005B9" w:rsidRDefault="004E7D1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A6BE52D" w14:textId="77777777" w:rsidR="006005B9" w:rsidRDefault="004E7D1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14:paraId="4843EB5B" w14:textId="77777777" w:rsidR="006005B9" w:rsidRDefault="004E7D1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70A8CD22" w14:textId="77777777" w:rsidR="006005B9" w:rsidRDefault="004E7D1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14:paraId="16D291B5" w14:textId="77777777" w:rsidR="006005B9" w:rsidRDefault="004E7D1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14:paraId="272C8613" w14:textId="77777777" w:rsidR="006005B9" w:rsidRDefault="004E7D1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2205F04" w14:textId="77777777" w:rsidR="006005B9" w:rsidRDefault="004E7D1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EEA0DAB" w14:textId="77777777" w:rsidR="006005B9" w:rsidRDefault="004E7D1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Pr>
          <w:rFonts w:ascii="Palatino Linotype" w:eastAsia="Palatino Linotype" w:hAnsi="Palatino Linotype" w:cs="Palatino Linotype"/>
          <w:i/>
          <w:sz w:val="22"/>
          <w:szCs w:val="22"/>
        </w:rPr>
        <w:t>jurídico</w:t>
      </w:r>
      <w:proofErr w:type="gramEnd"/>
      <w:r>
        <w:rPr>
          <w:rFonts w:ascii="Palatino Linotype" w:eastAsia="Palatino Linotype" w:hAnsi="Palatino Linotype" w:cs="Palatino Linotype"/>
          <w:i/>
          <w:sz w:val="22"/>
          <w:szCs w:val="22"/>
        </w:rPr>
        <w:t xml:space="preserve"> colectiva identificada o identificable;</w:t>
      </w:r>
    </w:p>
    <w:p w14:paraId="541B44A4" w14:textId="77777777" w:rsidR="006005B9" w:rsidRDefault="004E7D1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5253A85" w14:textId="77777777" w:rsidR="006005B9" w:rsidRDefault="004E7D1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7042CC37" w14:textId="77777777" w:rsidR="006005B9" w:rsidRDefault="004E7D1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DA15A42" w14:textId="77777777" w:rsidR="006005B9" w:rsidRDefault="004E7D1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2106E9E"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B7078AC"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74D206B8" w14:textId="77777777" w:rsidR="006005B9" w:rsidRDefault="004E7D1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858AF70" w14:textId="77777777" w:rsidR="006005B9" w:rsidRDefault="004E7D1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D4F396C" w14:textId="77777777" w:rsidR="006005B9" w:rsidRDefault="004E7D1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235AC6FE" w14:textId="77777777" w:rsidR="006005B9" w:rsidRDefault="004E7D1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6C90C12F" w14:textId="77777777" w:rsidR="006005B9" w:rsidRDefault="004E7D1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085009C9" w14:textId="77777777" w:rsidR="006005B9" w:rsidRDefault="004E7D1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0194121B" w14:textId="77777777" w:rsidR="006005B9" w:rsidRDefault="004E7D1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28873E1F"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766FA76"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relación directa con ello, los Lineamientos en estudio establecen los formatos para la clasificación parcial y total de los documentos, que atienden a lo siguiente:</w:t>
      </w:r>
    </w:p>
    <w:tbl>
      <w:tblPr>
        <w:tblStyle w:val="a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6005B9" w14:paraId="0E7D36C0" w14:textId="77777777">
        <w:tc>
          <w:tcPr>
            <w:tcW w:w="4253" w:type="dxa"/>
            <w:gridSpan w:val="2"/>
            <w:tcBorders>
              <w:top w:val="nil"/>
              <w:left w:val="nil"/>
              <w:right w:val="nil"/>
            </w:tcBorders>
          </w:tcPr>
          <w:p w14:paraId="74A365FB" w14:textId="77777777" w:rsidR="006005B9" w:rsidRDefault="004E7D1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3B8C3FED" w14:textId="77777777" w:rsidR="006005B9" w:rsidRDefault="004E7D1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6005B9" w14:paraId="4E1431CE" w14:textId="77777777">
        <w:tc>
          <w:tcPr>
            <w:tcW w:w="1134" w:type="dxa"/>
          </w:tcPr>
          <w:p w14:paraId="74AA1A72" w14:textId="77777777" w:rsidR="006005B9" w:rsidRDefault="004E7D1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14:paraId="3CC5782F" w14:textId="77777777" w:rsidR="006005B9" w:rsidRDefault="004E7D1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14:paraId="7EA064C8" w14:textId="77777777" w:rsidR="006005B9" w:rsidRDefault="004E7D1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6A475852" w14:textId="77777777" w:rsidR="006005B9" w:rsidRDefault="004E7D1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6005B9" w14:paraId="3F8D8AEC" w14:textId="77777777">
        <w:tc>
          <w:tcPr>
            <w:tcW w:w="8828" w:type="dxa"/>
            <w:gridSpan w:val="4"/>
          </w:tcPr>
          <w:p w14:paraId="77C79AE0" w14:textId="77777777" w:rsidR="006005B9" w:rsidRDefault="004E7D1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6005B9" w14:paraId="6060C917" w14:textId="77777777">
        <w:tc>
          <w:tcPr>
            <w:tcW w:w="1134" w:type="dxa"/>
          </w:tcPr>
          <w:p w14:paraId="341749D7"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14:paraId="7C78893B"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37358B41"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1C2C08F8"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6005B9" w14:paraId="4E0F3DA4" w14:textId="77777777">
        <w:tc>
          <w:tcPr>
            <w:tcW w:w="1134" w:type="dxa"/>
          </w:tcPr>
          <w:p w14:paraId="7C0F5DA1"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14:paraId="7487E75D"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14:paraId="1CC3E0FC"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219AE350"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6005B9" w14:paraId="1A10012A" w14:textId="77777777">
        <w:tc>
          <w:tcPr>
            <w:tcW w:w="1134" w:type="dxa"/>
          </w:tcPr>
          <w:p w14:paraId="39BCA4A7"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14:paraId="15057FF9"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Pr>
                <w:rFonts w:ascii="Palatino Linotype" w:eastAsia="Palatino Linotype" w:hAnsi="Palatino Linotype" w:cs="Palatino Linotype"/>
                <w:sz w:val="12"/>
                <w:szCs w:val="12"/>
              </w:rPr>
              <w:t>anotarán</w:t>
            </w:r>
            <w:proofErr w:type="gramEnd"/>
            <w:r>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14:paraId="0F0B3D1D"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3D344A37"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6005B9" w14:paraId="7DC47B23" w14:textId="77777777">
        <w:tc>
          <w:tcPr>
            <w:tcW w:w="1134" w:type="dxa"/>
          </w:tcPr>
          <w:p w14:paraId="73097249"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4C72460B"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56F5E0A6"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31B8132D"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6005B9" w14:paraId="65014162" w14:textId="77777777">
        <w:tc>
          <w:tcPr>
            <w:tcW w:w="1134" w:type="dxa"/>
          </w:tcPr>
          <w:p w14:paraId="75B4ED17"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14:paraId="38F88377"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30D84CAA"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7501E6D4"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6005B9" w14:paraId="5851C3A2" w14:textId="77777777">
        <w:tc>
          <w:tcPr>
            <w:tcW w:w="1134" w:type="dxa"/>
          </w:tcPr>
          <w:p w14:paraId="7C363BDE"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14:paraId="47A3A9BC"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6CB37553"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3BA8DDCD"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6005B9" w14:paraId="405827B5" w14:textId="77777777">
        <w:tc>
          <w:tcPr>
            <w:tcW w:w="1134" w:type="dxa"/>
          </w:tcPr>
          <w:p w14:paraId="53CB069A"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2EC9193D"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73DA0416"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0DDBB269"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6005B9" w14:paraId="15E7939E" w14:textId="77777777">
        <w:tc>
          <w:tcPr>
            <w:tcW w:w="1134" w:type="dxa"/>
          </w:tcPr>
          <w:p w14:paraId="10F82220"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14:paraId="1A41D129"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14:paraId="6A01D9D3"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640E5BE0"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6005B9" w14:paraId="0A351736" w14:textId="77777777">
        <w:tc>
          <w:tcPr>
            <w:tcW w:w="1134" w:type="dxa"/>
          </w:tcPr>
          <w:p w14:paraId="7016D5CF"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14:paraId="371555FE"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14:paraId="4890CB69"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75D868B0"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6005B9" w14:paraId="62DE54D8" w14:textId="77777777">
        <w:tc>
          <w:tcPr>
            <w:tcW w:w="1134" w:type="dxa"/>
          </w:tcPr>
          <w:p w14:paraId="31C81C0E"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14:paraId="64E909B8"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14:paraId="5B26C05E"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78AEBEE5"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6005B9" w14:paraId="2212FE10" w14:textId="77777777">
        <w:tc>
          <w:tcPr>
            <w:tcW w:w="1134" w:type="dxa"/>
          </w:tcPr>
          <w:p w14:paraId="0669D3D7" w14:textId="77777777" w:rsidR="006005B9" w:rsidRDefault="006005B9">
            <w:pPr>
              <w:jc w:val="both"/>
              <w:rPr>
                <w:rFonts w:ascii="Palatino Linotype" w:eastAsia="Palatino Linotype" w:hAnsi="Palatino Linotype" w:cs="Palatino Linotype"/>
                <w:b/>
                <w:sz w:val="12"/>
                <w:szCs w:val="12"/>
              </w:rPr>
            </w:pPr>
          </w:p>
        </w:tc>
        <w:tc>
          <w:tcPr>
            <w:tcW w:w="3119" w:type="dxa"/>
          </w:tcPr>
          <w:p w14:paraId="24F08BC4" w14:textId="77777777" w:rsidR="006005B9" w:rsidRDefault="006005B9">
            <w:pPr>
              <w:jc w:val="both"/>
              <w:rPr>
                <w:rFonts w:ascii="Palatino Linotype" w:eastAsia="Palatino Linotype" w:hAnsi="Palatino Linotype" w:cs="Palatino Linotype"/>
                <w:sz w:val="12"/>
                <w:szCs w:val="12"/>
              </w:rPr>
            </w:pPr>
          </w:p>
        </w:tc>
        <w:tc>
          <w:tcPr>
            <w:tcW w:w="1129" w:type="dxa"/>
          </w:tcPr>
          <w:p w14:paraId="3B2E9B92"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061300D1"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En caso que una vez desclasificado el expediente, </w:t>
            </w:r>
            <w:proofErr w:type="spellStart"/>
            <w:r>
              <w:rPr>
                <w:rFonts w:ascii="Palatino Linotype" w:eastAsia="Palatino Linotype" w:hAnsi="Palatino Linotype" w:cs="Palatino Linotype"/>
                <w:sz w:val="12"/>
                <w:szCs w:val="12"/>
              </w:rPr>
              <w:t>subsistanpartes</w:t>
            </w:r>
            <w:proofErr w:type="spellEnd"/>
            <w:r>
              <w:rPr>
                <w:rFonts w:ascii="Palatino Linotype" w:eastAsia="Palatino Linotype" w:hAnsi="Palatino Linotype" w:cs="Palatino Linotype"/>
                <w:sz w:val="12"/>
                <w:szCs w:val="12"/>
              </w:rPr>
              <w:t xml:space="preserve"> o secciones del mismo reservadas o confidenciales, se señalará este hecho.</w:t>
            </w:r>
          </w:p>
        </w:tc>
      </w:tr>
      <w:tr w:rsidR="006005B9" w14:paraId="7CD1BC44" w14:textId="77777777">
        <w:tc>
          <w:tcPr>
            <w:tcW w:w="1134" w:type="dxa"/>
          </w:tcPr>
          <w:p w14:paraId="4DA95EC3" w14:textId="77777777" w:rsidR="006005B9" w:rsidRDefault="006005B9">
            <w:pPr>
              <w:jc w:val="both"/>
              <w:rPr>
                <w:rFonts w:ascii="Palatino Linotype" w:eastAsia="Palatino Linotype" w:hAnsi="Palatino Linotype" w:cs="Palatino Linotype"/>
                <w:b/>
                <w:sz w:val="12"/>
                <w:szCs w:val="12"/>
              </w:rPr>
            </w:pPr>
          </w:p>
        </w:tc>
        <w:tc>
          <w:tcPr>
            <w:tcW w:w="3119" w:type="dxa"/>
          </w:tcPr>
          <w:p w14:paraId="75A54C75" w14:textId="77777777" w:rsidR="006005B9" w:rsidRDefault="006005B9">
            <w:pPr>
              <w:jc w:val="both"/>
              <w:rPr>
                <w:rFonts w:ascii="Palatino Linotype" w:eastAsia="Palatino Linotype" w:hAnsi="Palatino Linotype" w:cs="Palatino Linotype"/>
                <w:sz w:val="12"/>
                <w:szCs w:val="12"/>
              </w:rPr>
            </w:pPr>
          </w:p>
        </w:tc>
        <w:tc>
          <w:tcPr>
            <w:tcW w:w="1129" w:type="dxa"/>
          </w:tcPr>
          <w:p w14:paraId="61731ABD" w14:textId="77777777" w:rsidR="006005B9" w:rsidRDefault="004E7D1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17D5B6C7" w14:textId="77777777" w:rsidR="006005B9" w:rsidRDefault="004E7D1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153083F4"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w:t>
      </w:r>
    </w:p>
    <w:p w14:paraId="0142D5E0" w14:textId="77777777" w:rsidR="006005B9" w:rsidRDefault="004E7D11">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fracciones IV y V de la Constitución Política del Estado Libre y Soberano de México; 2, fracción II; 29, 36 fracciones I y II; 176, 178, 179, </w:t>
      </w:r>
      <w:r>
        <w:rPr>
          <w:rFonts w:ascii="Palatino Linotype" w:eastAsia="Palatino Linotype" w:hAnsi="Palatino Linotype" w:cs="Palatino Linotype"/>
        </w:rPr>
        <w:lastRenderedPageBreak/>
        <w:t>fracción I, 181, 185 de la Ley de Transparencia y Acceso a la Información Pública del Estado de México y Municipios, este Pleno:</w:t>
      </w:r>
    </w:p>
    <w:p w14:paraId="7C13A89F" w14:textId="77777777" w:rsidR="006005B9" w:rsidRDefault="004E7D11">
      <w:pPr>
        <w:numPr>
          <w:ilvl w:val="0"/>
          <w:numId w:val="5"/>
        </w:numPr>
        <w:spacing w:before="240" w:after="24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1938C916" w14:textId="77777777" w:rsidR="006005B9" w:rsidRDefault="004E7D11">
      <w:pPr>
        <w:spacing w:before="240" w:after="240" w:line="360" w:lineRule="auto"/>
        <w:jc w:val="both"/>
        <w:rPr>
          <w:rFonts w:ascii="Palatino Linotype" w:eastAsia="Palatino Linotype" w:hAnsi="Palatino Linotype" w:cs="Palatino Linotype"/>
          <w:b/>
        </w:rPr>
      </w:pPr>
      <w:bookmarkStart w:id="1" w:name="_heading=h.30j0zll" w:colFirst="0" w:colLast="0"/>
      <w:bookmarkEnd w:id="1"/>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fundados </w:t>
      </w:r>
      <w:r>
        <w:rPr>
          <w:rFonts w:ascii="Palatino Linotype" w:eastAsia="Palatino Linotype" w:hAnsi="Palatino Linotype" w:cs="Palatino Linotype"/>
        </w:rPr>
        <w:t xml:space="preserve">los motivos de inconformidad hechos valer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02759/INFOEM/IP/RR/2022, </w:t>
      </w:r>
      <w:r>
        <w:rPr>
          <w:rFonts w:ascii="Palatino Linotype" w:eastAsia="Palatino Linotype" w:hAnsi="Palatino Linotype" w:cs="Palatino Linotype"/>
        </w:rPr>
        <w:t>por lo que, en términos del</w:t>
      </w:r>
      <w:r>
        <w:rPr>
          <w:rFonts w:ascii="Palatino Linotype" w:eastAsia="Palatino Linotype" w:hAnsi="Palatino Linotype" w:cs="Palatino Linotype"/>
          <w:b/>
        </w:rPr>
        <w:t xml:space="preserve"> Considerando Cuarto </w:t>
      </w:r>
      <w:r>
        <w:rPr>
          <w:rFonts w:ascii="Palatino Linotype" w:eastAsia="Palatino Linotype" w:hAnsi="Palatino Linotype" w:cs="Palatino Linotype"/>
        </w:rPr>
        <w:t xml:space="preserve">de la presente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14:paraId="3287109C" w14:textId="77777777" w:rsidR="006005B9" w:rsidRDefault="004E7D11">
      <w:pPr>
        <w:spacing w:before="240" w:after="240" w:line="360" w:lineRule="auto"/>
        <w:jc w:val="both"/>
        <w:rPr>
          <w:rFonts w:ascii="Palatino Linotype" w:eastAsia="Palatino Linotype" w:hAnsi="Palatino Linotype" w:cs="Palatino Linotype"/>
          <w:b/>
          <w:highlight w:val="red"/>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que, haga entrega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al </w:t>
      </w:r>
      <w:r>
        <w:rPr>
          <w:rFonts w:ascii="Palatino Linotype" w:eastAsia="Palatino Linotype" w:hAnsi="Palatino Linotype" w:cs="Palatino Linotype"/>
          <w:b/>
        </w:rPr>
        <w:t xml:space="preserve">Recurrente, vía SAIMEX, </w:t>
      </w:r>
      <w:r>
        <w:rPr>
          <w:rFonts w:ascii="Palatino Linotype" w:eastAsia="Palatino Linotype" w:hAnsi="Palatino Linotype" w:cs="Palatino Linotype"/>
        </w:rPr>
        <w:t xml:space="preserve">en términos de los </w:t>
      </w:r>
      <w:r>
        <w:rPr>
          <w:rFonts w:ascii="Palatino Linotype" w:eastAsia="Palatino Linotype" w:hAnsi="Palatino Linotype" w:cs="Palatino Linotype"/>
          <w:b/>
        </w:rPr>
        <w:t xml:space="preserve">Considerandos Cuarto y Quinto </w:t>
      </w:r>
      <w:r>
        <w:rPr>
          <w:rFonts w:ascii="Palatino Linotype" w:eastAsia="Palatino Linotype" w:hAnsi="Palatino Linotype" w:cs="Palatino Linotype"/>
        </w:rPr>
        <w:t xml:space="preserve">de esta resolución, </w:t>
      </w:r>
      <w:r>
        <w:rPr>
          <w:rFonts w:ascii="Palatino Linotype" w:eastAsia="Palatino Linotype" w:hAnsi="Palatino Linotype" w:cs="Palatino Linotype"/>
          <w:b/>
        </w:rPr>
        <w:t>en versión pública de ser procedente</w:t>
      </w:r>
      <w:r>
        <w:rPr>
          <w:rFonts w:ascii="Palatino Linotype" w:eastAsia="Palatino Linotype" w:hAnsi="Palatino Linotype" w:cs="Palatino Linotype"/>
        </w:rPr>
        <w:t>, de los documentos donde conste o dé cuenta de lo siguiente:</w:t>
      </w:r>
    </w:p>
    <w:p w14:paraId="0294EC52" w14:textId="77777777" w:rsidR="006005B9" w:rsidRDefault="004E7D11" w:rsidP="004E7D11">
      <w:pPr>
        <w:numPr>
          <w:ilvl w:val="0"/>
          <w:numId w:val="4"/>
        </w:numPr>
        <w:pBdr>
          <w:top w:val="nil"/>
          <w:left w:val="nil"/>
          <w:bottom w:val="nil"/>
          <w:right w:val="nil"/>
          <w:between w:val="nil"/>
        </w:pBdr>
        <w:ind w:left="567" w:right="709" w:hanging="141"/>
        <w:jc w:val="both"/>
        <w:rPr>
          <w:rFonts w:ascii="Palatino Linotype" w:eastAsia="Palatino Linotype" w:hAnsi="Palatino Linotype" w:cs="Palatino Linotype"/>
          <w:b/>
          <w:i/>
          <w:color w:val="000000"/>
          <w:sz w:val="22"/>
          <w:szCs w:val="22"/>
        </w:rPr>
      </w:pPr>
      <w:bookmarkStart w:id="2" w:name="_heading=h.gjdgxs" w:colFirst="0" w:colLast="0"/>
      <w:bookmarkEnd w:id="2"/>
      <w:r>
        <w:rPr>
          <w:rFonts w:ascii="Palatino Linotype" w:eastAsia="Palatino Linotype" w:hAnsi="Palatino Linotype" w:cs="Palatino Linotype"/>
          <w:b/>
          <w:i/>
          <w:color w:val="000000"/>
          <w:sz w:val="22"/>
          <w:szCs w:val="22"/>
        </w:rPr>
        <w:t>Último corte de los montos ejercidos por concepto de programas sociales entregados por el municipio, así como su respectivo padrón de beneficiarios.</w:t>
      </w:r>
    </w:p>
    <w:p w14:paraId="263AA962" w14:textId="77777777" w:rsidR="006005B9" w:rsidRDefault="004E7D11">
      <w:pPr>
        <w:pBdr>
          <w:top w:val="nil"/>
          <w:left w:val="nil"/>
          <w:bottom w:val="nil"/>
          <w:right w:val="nil"/>
          <w:between w:val="nil"/>
        </w:pBdr>
        <w:spacing w:before="240" w:after="240"/>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 ser el caso en el que la entrega del documento se dé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Recurrente.</w:t>
      </w:r>
    </w:p>
    <w:p w14:paraId="3380D2CC"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w:t>
      </w:r>
      <w:r>
        <w:rPr>
          <w:rFonts w:ascii="Palatino Linotype" w:eastAsia="Palatino Linotype" w:hAnsi="Palatino Linotype" w:cs="Palatino Linotype"/>
        </w:rPr>
        <w:t>Notifíquese vía</w:t>
      </w:r>
      <w:r>
        <w:rPr>
          <w:rFonts w:ascii="Palatino Linotype" w:eastAsia="Palatino Linotype" w:hAnsi="Palatino Linotype" w:cs="Palatino Linotype"/>
          <w:b/>
        </w:rPr>
        <w:t xml:space="preserve"> Sistema de Acceso a la Información Mexiquense (SAIMEX), </w:t>
      </w:r>
      <w:r>
        <w:rPr>
          <w:rFonts w:ascii="Palatino Linotype" w:eastAsia="Palatino Linotype" w:hAnsi="Palatino Linotype" w:cs="Palatino Linotype"/>
        </w:rPr>
        <w:t xml:space="preserve">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w:t>
      </w:r>
      <w:r>
        <w:rPr>
          <w:rFonts w:ascii="Palatino Linotype" w:eastAsia="Palatino Linotype" w:hAnsi="Palatino Linotype" w:cs="Palatino Linotype"/>
        </w:rPr>
        <w:lastRenderedPageBreak/>
        <w:t>diez días hábiles, debiendo informar a este Instituto en un plazo de tres días hábiles siguientes sobre el cumplimiento dado a la misma.</w:t>
      </w:r>
    </w:p>
    <w:p w14:paraId="70239D72" w14:textId="77777777" w:rsidR="006005B9" w:rsidRDefault="004E7D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15C073E" w14:textId="77777777" w:rsidR="006005B9" w:rsidRDefault="004E7D1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Quinto.  Notifíquese, al recurrente vía Sistema de Acceso a la Información Mexiquense (SAIMEX),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Pr>
          <w:rFonts w:ascii="Palatino Linotype" w:eastAsia="Palatino Linotype" w:hAnsi="Palatino Linotype" w:cs="Palatino Linotype"/>
          <w:b/>
        </w:rPr>
        <w:t>.</w:t>
      </w:r>
    </w:p>
    <w:p w14:paraId="628E8D7E" w14:textId="19494744" w:rsidR="006005B9" w:rsidRDefault="004E7D11">
      <w:pPr>
        <w:spacing w:before="240" w:after="240" w:line="360" w:lineRule="auto"/>
        <w:jc w:val="both"/>
        <w:rPr>
          <w:rFonts w:ascii="Palatino Linotype" w:eastAsia="Palatino Linotype" w:hAnsi="Palatino Linotype" w:cs="Palatino Linotype"/>
        </w:rPr>
        <w:sectPr w:rsidR="006005B9">
          <w:headerReference w:type="default" r:id="rId31"/>
          <w:footerReference w:type="default" r:id="rId32"/>
          <w:headerReference w:type="first" r:id="rId33"/>
          <w:footerReference w:type="first" r:id="rId34"/>
          <w:pgSz w:w="12240" w:h="15840"/>
          <w:pgMar w:top="1417" w:right="1750" w:bottom="1417" w:left="1701" w:header="708" w:footer="708" w:gutter="0"/>
          <w:pgNumType w:start="1"/>
          <w:cols w:space="720"/>
          <w:titlePg/>
        </w:sectPr>
      </w:pPr>
      <w:bookmarkStart w:id="3" w:name="_heading=h.1fob9te" w:colFirst="0" w:colLast="0"/>
      <w:bookmarkEnd w:id="3"/>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710676">
        <w:rPr>
          <w:rFonts w:ascii="Palatino Linotype" w:eastAsia="Palatino Linotype" w:hAnsi="Palatino Linotype" w:cs="Palatino Linotype"/>
        </w:rPr>
        <w:t xml:space="preserve"> SHARON CRISTINA MORALES MARTÍNEZ, </w:t>
      </w:r>
      <w:r>
        <w:rPr>
          <w:rFonts w:ascii="Palatino Linotype" w:eastAsia="Palatino Linotype" w:hAnsi="Palatino Linotype" w:cs="Palatino Linotype"/>
        </w:rPr>
        <w:t xml:space="preserve"> LUIS GUSTAVO PARRA NORIEGA Y GUADALUPE RAMÍREZ PEÑA; EN LA VIGÉSIMA SEGUNDA SESIÓN ORDINARIA CELEBRADA EL QUINCE DE JUNIO DEL DOS MIL VEINTIDÓS, ANTE EL SECRETARIO TÉCNICO DEL PLENO, ALEXIS TAPIA RAMÍREZ.</w:t>
      </w:r>
    </w:p>
    <w:p w14:paraId="11D70EEA" w14:textId="77777777" w:rsidR="006005B9" w:rsidRDefault="006005B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0263EF51" w14:textId="77777777" w:rsidR="006005B9" w:rsidRDefault="006005B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4EE0B4C4" w14:textId="77777777" w:rsidR="006005B9" w:rsidRDefault="006005B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6005B9">
      <w:headerReference w:type="first" r:id="rId35"/>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1748E7" w14:textId="77777777" w:rsidR="0011056F" w:rsidRDefault="0011056F">
      <w:r>
        <w:separator/>
      </w:r>
    </w:p>
  </w:endnote>
  <w:endnote w:type="continuationSeparator" w:id="0">
    <w:p w14:paraId="680C4EFB" w14:textId="77777777" w:rsidR="0011056F" w:rsidRDefault="00110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28F1A" w14:textId="77777777" w:rsidR="006005B9" w:rsidRDefault="004E7D1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155CF">
      <w:rPr>
        <w:rFonts w:ascii="Arial" w:eastAsia="Arial" w:hAnsi="Arial" w:cs="Arial"/>
        <w:b/>
        <w:noProof/>
        <w:color w:val="000000"/>
        <w:sz w:val="20"/>
        <w:szCs w:val="20"/>
      </w:rPr>
      <w:t>54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155CF">
      <w:rPr>
        <w:rFonts w:ascii="Arial" w:eastAsia="Arial" w:hAnsi="Arial" w:cs="Arial"/>
        <w:b/>
        <w:noProof/>
        <w:color w:val="000000"/>
        <w:sz w:val="20"/>
        <w:szCs w:val="20"/>
      </w:rPr>
      <w:t>56</w:t>
    </w:r>
    <w:r>
      <w:rPr>
        <w:rFonts w:ascii="Arial" w:eastAsia="Arial" w:hAnsi="Arial" w:cs="Arial"/>
        <w:b/>
        <w:color w:val="000000"/>
        <w:sz w:val="20"/>
        <w:szCs w:val="20"/>
      </w:rPr>
      <w:fldChar w:fldCharType="end"/>
    </w:r>
  </w:p>
  <w:p w14:paraId="61389C07" w14:textId="77777777" w:rsidR="006005B9" w:rsidRDefault="006005B9">
    <w:pPr>
      <w:pBdr>
        <w:top w:val="nil"/>
        <w:left w:val="nil"/>
        <w:bottom w:val="nil"/>
        <w:right w:val="nil"/>
        <w:between w:val="nil"/>
      </w:pBdr>
      <w:tabs>
        <w:tab w:val="center" w:pos="4252"/>
        <w:tab w:val="right" w:pos="8504"/>
      </w:tabs>
      <w:rPr>
        <w:color w:val="000000"/>
      </w:rPr>
    </w:pPr>
  </w:p>
  <w:p w14:paraId="53C6B29A" w14:textId="77777777" w:rsidR="006005B9" w:rsidRDefault="006005B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44EEA" w14:textId="77777777" w:rsidR="006005B9" w:rsidRDefault="004E7D1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155CF">
      <w:rPr>
        <w:rFonts w:ascii="Arial" w:eastAsia="Arial" w:hAnsi="Arial" w:cs="Arial"/>
        <w:b/>
        <w:noProof/>
        <w:color w:val="000000"/>
        <w:sz w:val="20"/>
        <w:szCs w:val="20"/>
      </w:rPr>
      <w:t>56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155CF">
      <w:rPr>
        <w:rFonts w:ascii="Arial" w:eastAsia="Arial" w:hAnsi="Arial" w:cs="Arial"/>
        <w:b/>
        <w:noProof/>
        <w:color w:val="000000"/>
        <w:sz w:val="20"/>
        <w:szCs w:val="20"/>
      </w:rPr>
      <w:t>56</w:t>
    </w:r>
    <w:r>
      <w:rPr>
        <w:rFonts w:ascii="Arial" w:eastAsia="Arial" w:hAnsi="Arial" w:cs="Arial"/>
        <w:b/>
        <w:color w:val="000000"/>
        <w:sz w:val="20"/>
        <w:szCs w:val="20"/>
      </w:rPr>
      <w:fldChar w:fldCharType="end"/>
    </w:r>
  </w:p>
  <w:p w14:paraId="252426D9" w14:textId="77777777" w:rsidR="006005B9" w:rsidRDefault="006005B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98A4B" w14:textId="77777777" w:rsidR="0011056F" w:rsidRDefault="0011056F">
      <w:r>
        <w:separator/>
      </w:r>
    </w:p>
  </w:footnote>
  <w:footnote w:type="continuationSeparator" w:id="0">
    <w:p w14:paraId="26B43A2F" w14:textId="77777777" w:rsidR="0011056F" w:rsidRDefault="0011056F">
      <w:r>
        <w:continuationSeparator/>
      </w:r>
    </w:p>
  </w:footnote>
  <w:footnote w:id="1">
    <w:p w14:paraId="1C0E6AED" w14:textId="77777777" w:rsidR="006005B9" w:rsidRDefault="004E7D1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028D332" w14:textId="77777777" w:rsidR="006005B9" w:rsidRDefault="004E7D1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FF54F" w14:textId="77777777" w:rsidR="006005B9" w:rsidRDefault="004E7D11">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F42D853" wp14:editId="1271A080">
          <wp:simplePos x="0" y="0"/>
          <wp:positionH relativeFrom="column">
            <wp:posOffset>-1080130</wp:posOffset>
          </wp:positionH>
          <wp:positionV relativeFrom="paragraph">
            <wp:posOffset>-345435</wp:posOffset>
          </wp:positionV>
          <wp:extent cx="7635600" cy="9943200"/>
          <wp:effectExtent l="0" t="0" r="0" b="0"/>
          <wp:wrapNone/>
          <wp:docPr id="8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e"/>
      <w:tblW w:w="6240" w:type="dxa"/>
      <w:tblInd w:w="3746" w:type="dxa"/>
      <w:tblLayout w:type="fixed"/>
      <w:tblLook w:val="0400" w:firstRow="0" w:lastRow="0" w:firstColumn="0" w:lastColumn="0" w:noHBand="0" w:noVBand="1"/>
    </w:tblPr>
    <w:tblGrid>
      <w:gridCol w:w="2553"/>
      <w:gridCol w:w="3687"/>
    </w:tblGrid>
    <w:tr w:rsidR="006005B9" w14:paraId="2DF30D58" w14:textId="77777777">
      <w:tc>
        <w:tcPr>
          <w:tcW w:w="2553" w:type="dxa"/>
          <w:vAlign w:val="center"/>
        </w:tcPr>
        <w:p w14:paraId="7CC2A9F8" w14:textId="77777777" w:rsidR="006005B9" w:rsidRDefault="004E7D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52FF79DE" w14:textId="77777777" w:rsidR="006005B9" w:rsidRDefault="004E7D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02759/INFOEM/IP/RR/2022</w:t>
          </w:r>
        </w:p>
      </w:tc>
    </w:tr>
    <w:tr w:rsidR="006005B9" w14:paraId="00BB946B" w14:textId="77777777">
      <w:trPr>
        <w:trHeight w:val="228"/>
      </w:trPr>
      <w:tc>
        <w:tcPr>
          <w:tcW w:w="2553" w:type="dxa"/>
          <w:vAlign w:val="center"/>
        </w:tcPr>
        <w:p w14:paraId="6053BEAF" w14:textId="77777777" w:rsidR="006005B9" w:rsidRDefault="004E7D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07C737FD" w14:textId="77777777" w:rsidR="006005B9" w:rsidRDefault="004E7D11">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Acambay de Ruíz Castañeda</w:t>
          </w:r>
        </w:p>
      </w:tc>
    </w:tr>
    <w:tr w:rsidR="006005B9" w14:paraId="77B0FE40" w14:textId="77777777">
      <w:tc>
        <w:tcPr>
          <w:tcW w:w="2553" w:type="dxa"/>
          <w:vAlign w:val="center"/>
        </w:tcPr>
        <w:p w14:paraId="3739867E" w14:textId="77777777" w:rsidR="006005B9" w:rsidRDefault="004E7D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34E95D67" w14:textId="77777777" w:rsidR="006005B9" w:rsidRDefault="004E7D11">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C16C22D" w14:textId="77777777" w:rsidR="006005B9" w:rsidRDefault="004E7D1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14:paraId="70242BF6" w14:textId="77777777" w:rsidR="006005B9" w:rsidRDefault="006005B9">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3B2CF" w14:textId="77777777" w:rsidR="006005B9" w:rsidRDefault="004E7D11">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2C2718C1" wp14:editId="72ED7E2D">
          <wp:simplePos x="0" y="0"/>
          <wp:positionH relativeFrom="column">
            <wp:posOffset>-1080129</wp:posOffset>
          </wp:positionH>
          <wp:positionV relativeFrom="paragraph">
            <wp:posOffset>-343529</wp:posOffset>
          </wp:positionV>
          <wp:extent cx="7635600" cy="9943200"/>
          <wp:effectExtent l="0" t="0" r="0" b="0"/>
          <wp:wrapNone/>
          <wp:docPr id="8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d"/>
      <w:tblW w:w="6240" w:type="dxa"/>
      <w:tblInd w:w="3685" w:type="dxa"/>
      <w:tblLayout w:type="fixed"/>
      <w:tblLook w:val="0400" w:firstRow="0" w:lastRow="0" w:firstColumn="0" w:lastColumn="0" w:noHBand="0" w:noVBand="1"/>
    </w:tblPr>
    <w:tblGrid>
      <w:gridCol w:w="2553"/>
      <w:gridCol w:w="3687"/>
    </w:tblGrid>
    <w:tr w:rsidR="006005B9" w14:paraId="3C11D380" w14:textId="77777777">
      <w:tc>
        <w:tcPr>
          <w:tcW w:w="2553" w:type="dxa"/>
          <w:vAlign w:val="center"/>
        </w:tcPr>
        <w:p w14:paraId="645F5EB4" w14:textId="77777777" w:rsidR="006005B9" w:rsidRDefault="004E7D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39C0FF60" w14:textId="77777777" w:rsidR="006005B9" w:rsidRDefault="004E7D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02759/INFOEM/IP/RR/2022</w:t>
          </w:r>
        </w:p>
      </w:tc>
    </w:tr>
    <w:tr w:rsidR="006005B9" w14:paraId="578B811F" w14:textId="77777777">
      <w:tc>
        <w:tcPr>
          <w:tcW w:w="2553" w:type="dxa"/>
          <w:vAlign w:val="center"/>
        </w:tcPr>
        <w:p w14:paraId="12EBB63C" w14:textId="77777777" w:rsidR="006005B9" w:rsidRDefault="004E7D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77BAE260" w14:textId="28AA74E4" w:rsidR="006005B9" w:rsidRDefault="00E155CF">
          <w:pPr>
            <w:ind w:right="59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XXXXXXX XX XXXXXXXXXXXXX </w:t>
          </w:r>
          <w:r w:rsidRPr="00E155CF">
            <w:rPr>
              <w:rFonts w:ascii="Palatino Linotype" w:eastAsia="Palatino Linotype" w:hAnsi="Palatino Linotype" w:cs="Palatino Linotype"/>
              <w:b/>
              <w:sz w:val="22"/>
              <w:szCs w:val="22"/>
            </w:rPr>
            <w:t>XX XXXXXXXXXXXXX</w:t>
          </w:r>
        </w:p>
      </w:tc>
    </w:tr>
    <w:tr w:rsidR="006005B9" w14:paraId="2D79A1D5" w14:textId="77777777">
      <w:trPr>
        <w:trHeight w:val="228"/>
      </w:trPr>
      <w:tc>
        <w:tcPr>
          <w:tcW w:w="2553" w:type="dxa"/>
          <w:vAlign w:val="center"/>
        </w:tcPr>
        <w:p w14:paraId="1DE57308" w14:textId="77777777" w:rsidR="006005B9" w:rsidRDefault="004E7D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067ABB8C" w14:textId="77777777" w:rsidR="006005B9" w:rsidRDefault="004E7D11">
          <w:pPr>
            <w:ind w:right="59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Acambay de Ruíz Castañeda</w:t>
          </w:r>
        </w:p>
      </w:tc>
    </w:tr>
    <w:tr w:rsidR="006005B9" w14:paraId="383D4A72" w14:textId="77777777">
      <w:tc>
        <w:tcPr>
          <w:tcW w:w="2553" w:type="dxa"/>
          <w:vAlign w:val="center"/>
        </w:tcPr>
        <w:p w14:paraId="2E423628" w14:textId="77777777" w:rsidR="006005B9" w:rsidRDefault="004E7D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3D2464D6" w14:textId="77777777" w:rsidR="006005B9" w:rsidRDefault="004E7D11">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25DD60D" w14:textId="77777777" w:rsidR="006005B9" w:rsidRDefault="006005B9">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12431" w14:textId="77777777" w:rsidR="006005B9" w:rsidRDefault="004E7D11">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08F651A2" w14:textId="77777777" w:rsidR="006005B9" w:rsidRDefault="006005B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64819"/>
    <w:multiLevelType w:val="multilevel"/>
    <w:tmpl w:val="79A8C45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A707B4"/>
    <w:multiLevelType w:val="multilevel"/>
    <w:tmpl w:val="84B0CEC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B24E8C"/>
    <w:multiLevelType w:val="multilevel"/>
    <w:tmpl w:val="25FCBCB4"/>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57FF2541"/>
    <w:multiLevelType w:val="multilevel"/>
    <w:tmpl w:val="BA7CBAA4"/>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5AB10552"/>
    <w:multiLevelType w:val="multilevel"/>
    <w:tmpl w:val="ACD85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901C38"/>
    <w:multiLevelType w:val="multilevel"/>
    <w:tmpl w:val="6E787736"/>
    <w:lvl w:ilvl="0">
      <w:start w:val="1"/>
      <w:numFmt w:val="upperRoman"/>
      <w:lvlText w:val="%1."/>
      <w:lvlJc w:val="left"/>
      <w:pPr>
        <w:ind w:left="1288" w:hanging="719"/>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64CA5C81"/>
    <w:multiLevelType w:val="multilevel"/>
    <w:tmpl w:val="087A7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1A3400"/>
    <w:multiLevelType w:val="multilevel"/>
    <w:tmpl w:val="476EA73A"/>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3"/>
  </w:num>
  <w:num w:numId="3">
    <w:abstractNumId w:val="7"/>
  </w:num>
  <w:num w:numId="4">
    <w:abstractNumId w:val="6"/>
  </w:num>
  <w:num w:numId="5">
    <w:abstractNumId w:val="1"/>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5B9"/>
    <w:rsid w:val="0011056F"/>
    <w:rsid w:val="004E7D11"/>
    <w:rsid w:val="006005B9"/>
    <w:rsid w:val="006B75C7"/>
    <w:rsid w:val="00710676"/>
    <w:rsid w:val="00B15985"/>
    <w:rsid w:val="00E155CF"/>
    <w:rsid w:val="00ED1F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180BB"/>
  <w15:docId w15:val="{4ADC2A28-F6DE-4D7B-8796-FAEC1D287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E8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B001C4"/>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oleObject" Target="embeddings/oleObject7.bin"/><Relationship Id="rId27" Type="http://schemas.openxmlformats.org/officeDocument/2006/relationships/image" Target="media/image13.png"/><Relationship Id="rId30" Type="http://schemas.openxmlformats.org/officeDocument/2006/relationships/image" Target="media/image12.png"/><Relationship Id="rId35"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7/34DQhBaODKE3pGQyWFimQpcQ==">AMUW2mX7rvzTE2ymYzHxAUbCrWCMmBrn9XAKXIF4I9Vy2IFSnqacKQ/NBPUR9qhpQzPC6RFQlVs+emxc1lLQTESSDkqsKeK2Hd6tMGa/FTBSiiBC/IKMI4051L723hjYsi0qaaljYZgO17CkV3YhS5voRfALNvp3Wg==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56</Pages>
  <Words>11992</Words>
  <Characters>65957</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5</cp:revision>
  <dcterms:created xsi:type="dcterms:W3CDTF">2022-06-16T00:26:00Z</dcterms:created>
  <dcterms:modified xsi:type="dcterms:W3CDTF">2022-07-06T22:29:00Z</dcterms:modified>
</cp:coreProperties>
</file>