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5DBFE0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F14B1F">
        <w:rPr>
          <w:rFonts w:ascii="Palatino Linotype" w:hAnsi="Palatino Linotype"/>
        </w:rPr>
        <w:t>veinticuatro</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5A005E23"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315E83">
        <w:rPr>
          <w:rFonts w:ascii="Palatino Linotype" w:hAnsi="Palatino Linotype"/>
          <w:b/>
          <w:lang w:val="es-ES_tradnl"/>
        </w:rPr>
        <w:t>12472</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promovid</w:t>
      </w:r>
      <w:r w:rsidR="00315E83">
        <w:rPr>
          <w:rFonts w:ascii="Palatino Linotype" w:hAnsi="Palatino Linotype"/>
        </w:rPr>
        <w:t>o por una persona de manera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64B92">
        <w:rPr>
          <w:rFonts w:ascii="Palatino Linotype" w:hAnsi="Palatino Linotype" w:cs="Arial"/>
          <w:b/>
          <w:color w:val="000000" w:themeColor="text1"/>
          <w:lang w:val="es-ES"/>
        </w:rPr>
        <w:t>L</w:t>
      </w:r>
      <w:r w:rsidR="00E2213E">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315E83" w:rsidRPr="00315E83">
        <w:rPr>
          <w:rFonts w:ascii="Palatino Linotype" w:hAnsi="Palatino Linotype" w:cs="Arial"/>
          <w:b/>
        </w:rPr>
        <w:t>Ayuntamiento de Otumba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47913E12"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315E83">
        <w:rPr>
          <w:rFonts w:ascii="Palatino Linotype" w:hAnsi="Palatino Linotype"/>
          <w:b/>
          <w:bCs/>
          <w:lang w:val="es-ES"/>
        </w:rPr>
        <w:t xml:space="preserve">treinta y uno de mayo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C26A58" w:rsidRPr="00C26A58">
        <w:rPr>
          <w:rFonts w:ascii="Palatino Linotype" w:hAnsi="Palatino Linotype" w:cs="Arial"/>
          <w:b/>
          <w:bCs/>
        </w:rPr>
        <w:t>00101/OTUMBA/IP/2022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474F5A27" w14:textId="77777777" w:rsidR="008821CD" w:rsidRDefault="008821CD" w:rsidP="00803B7B">
      <w:pPr>
        <w:tabs>
          <w:tab w:val="left" w:pos="851"/>
        </w:tabs>
        <w:ind w:left="851" w:right="901"/>
        <w:jc w:val="both"/>
        <w:rPr>
          <w:rFonts w:ascii="Palatino Linotype" w:hAnsi="Palatino Linotype" w:cs="Arial"/>
          <w:i/>
          <w:sz w:val="22"/>
          <w:szCs w:val="22"/>
        </w:rPr>
      </w:pPr>
    </w:p>
    <w:p w14:paraId="13BC2DF0" w14:textId="642E5181"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C26A58" w:rsidRPr="00C26A58">
        <w:rPr>
          <w:rFonts w:ascii="Palatino Linotype" w:hAnsi="Palatino Linotype" w:cs="Arial"/>
          <w:i/>
          <w:sz w:val="22"/>
          <w:szCs w:val="22"/>
        </w:rPr>
        <w:t>Recibos de nomina de todo el personal del ayuntamiento y del DIF municipal del mes de mayo del año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75448B2" w14:textId="77777777" w:rsidR="00264B92" w:rsidRDefault="00264B92" w:rsidP="00A606B9">
      <w:pPr>
        <w:tabs>
          <w:tab w:val="left" w:pos="851"/>
        </w:tabs>
        <w:ind w:left="851" w:right="901"/>
        <w:jc w:val="both"/>
        <w:rPr>
          <w:rFonts w:ascii="Palatino Linotype" w:hAnsi="Palatino Linotype" w:cs="Arial"/>
          <w:sz w:val="28"/>
          <w:szCs w:val="28"/>
        </w:rPr>
      </w:pPr>
    </w:p>
    <w:p w14:paraId="4F9AF5CF" w14:textId="77777777" w:rsidR="001E554E" w:rsidRDefault="001E554E" w:rsidP="00A606B9">
      <w:pPr>
        <w:tabs>
          <w:tab w:val="left" w:pos="851"/>
        </w:tabs>
        <w:ind w:left="851" w:right="901"/>
        <w:jc w:val="both"/>
        <w:rPr>
          <w:rFonts w:ascii="Palatino Linotype" w:hAnsi="Palatino Linotype" w:cs="Arial"/>
          <w:sz w:val="28"/>
          <w:szCs w:val="28"/>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7C5C322C" w14:textId="77777777" w:rsidR="00E2213E" w:rsidRDefault="00E2213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750B4576" w14:textId="3707399D"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1E554E">
        <w:rPr>
          <w:rFonts w:ascii="Palatino Linotype" w:hAnsi="Palatino Linotype"/>
          <w:b/>
          <w:color w:val="000000" w:themeColor="text1"/>
        </w:rPr>
        <w:t xml:space="preserve">treinta y uno 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w:t>
      </w:r>
      <w:r w:rsidR="001E554E">
        <w:rPr>
          <w:rFonts w:ascii="Palatino Linotype" w:hAnsi="Palatino Linotype"/>
          <w:color w:val="000000" w:themeColor="text1"/>
        </w:rPr>
        <w:t xml:space="preserve"> </w:t>
      </w:r>
      <w:r w:rsidR="00836441">
        <w:rPr>
          <w:rFonts w:ascii="Palatino Linotype" w:hAnsi="Palatino Linotype"/>
          <w:color w:val="000000" w:themeColor="text1"/>
        </w:rPr>
        <w:t>l</w:t>
      </w:r>
      <w:r w:rsidR="001E554E">
        <w:rPr>
          <w:rFonts w:ascii="Palatino Linotype" w:hAnsi="Palatino Linotype"/>
          <w:color w:val="000000" w:themeColor="text1"/>
        </w:rPr>
        <w:t>os</w:t>
      </w:r>
      <w:r w:rsidRPr="00980A79">
        <w:rPr>
          <w:rFonts w:ascii="Palatino Linotype" w:hAnsi="Palatino Linotype"/>
          <w:color w:val="000000" w:themeColor="text1"/>
        </w:rPr>
        <w:t xml:space="preserve"> servidor</w:t>
      </w:r>
      <w:r w:rsidR="001E554E">
        <w:rPr>
          <w:rFonts w:ascii="Palatino Linotype" w:hAnsi="Palatino Linotype"/>
          <w:color w:val="000000" w:themeColor="text1"/>
        </w:rPr>
        <w:t>es</w:t>
      </w:r>
      <w:r w:rsidRPr="00980A79">
        <w:rPr>
          <w:rFonts w:ascii="Palatino Linotype" w:hAnsi="Palatino Linotype"/>
          <w:color w:val="000000" w:themeColor="text1"/>
        </w:rPr>
        <w:t xml:space="preserve"> público</w:t>
      </w:r>
      <w:r w:rsidR="001E554E">
        <w:rPr>
          <w:rFonts w:ascii="Palatino Linotype" w:hAnsi="Palatino Linotype"/>
          <w:color w:val="000000" w:themeColor="text1"/>
        </w:rPr>
        <w:t>s</w:t>
      </w:r>
      <w:r w:rsidRPr="00980A79">
        <w:rPr>
          <w:rFonts w:ascii="Palatino Linotype" w:hAnsi="Palatino Linotype"/>
          <w:color w:val="000000" w:themeColor="text1"/>
        </w:rPr>
        <w:t xml:space="preserve"> habilitado</w:t>
      </w:r>
      <w:r w:rsidR="001E554E">
        <w:rPr>
          <w:rFonts w:ascii="Palatino Linotype" w:hAnsi="Palatino Linotype"/>
          <w:color w:val="000000" w:themeColor="text1"/>
        </w:rPr>
        <w:t>s</w:t>
      </w:r>
      <w:r w:rsidRPr="00980A79">
        <w:rPr>
          <w:rFonts w:ascii="Palatino Linotype" w:hAnsi="Palatino Linotype"/>
          <w:color w:val="000000" w:themeColor="text1"/>
        </w:rPr>
        <w:t xml:space="preserve"> que estimó pertinente</w:t>
      </w:r>
      <w:r w:rsidR="001E554E">
        <w:rPr>
          <w:rFonts w:ascii="Palatino Linotype" w:hAnsi="Palatino Linotype"/>
          <w:color w:val="000000" w:themeColor="text1"/>
        </w:rPr>
        <w:t>s</w:t>
      </w:r>
      <w:r w:rsidRPr="00980A79">
        <w:rPr>
          <w:rFonts w:ascii="Palatino Linotype" w:hAnsi="Palatino Linotype"/>
          <w:color w:val="000000" w:themeColor="text1"/>
        </w:rPr>
        <w:t>,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56C2D513" w:rsidR="00A606B9" w:rsidRDefault="001E554E" w:rsidP="00F67B0E">
      <w:pPr>
        <w:spacing w:line="360" w:lineRule="auto"/>
        <w:jc w:val="both"/>
        <w:rPr>
          <w:rFonts w:ascii="Palatino Linotype" w:hAnsi="Palatino Linotype"/>
          <w:color w:val="000000" w:themeColor="text1"/>
        </w:rPr>
      </w:pPr>
      <w:r>
        <w:rPr>
          <w:noProof/>
          <w:lang w:eastAsia="es-MX"/>
        </w:rPr>
        <w:drawing>
          <wp:inline distT="0" distB="0" distL="0" distR="0" wp14:anchorId="0B753098" wp14:editId="347EC3E1">
            <wp:extent cx="5791835" cy="6565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6590"/>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7C085C67" w14:textId="77777777" w:rsidR="00CC529B" w:rsidRPr="00336D3F" w:rsidRDefault="00CC529B"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527B53FC" w14:textId="358993A5" w:rsidR="00F65BD0" w:rsidRDefault="000171D8" w:rsidP="008821C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CC529B">
        <w:rPr>
          <w:rFonts w:ascii="Palatino Linotype" w:hAnsi="Palatino Linotype" w:cs="Arial"/>
          <w:b/>
          <w:color w:val="000000" w:themeColor="text1"/>
        </w:rPr>
        <w:t xml:space="preserve">siete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CC529B">
        <w:rPr>
          <w:rFonts w:ascii="Palatino Linotype" w:hAnsi="Palatino Linotype" w:cs="Arial"/>
          <w:b/>
          <w:color w:val="000000" w:themeColor="text1"/>
          <w:lang w:val="es-ES"/>
        </w:rPr>
        <w:t>12527</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1E554E">
        <w:rPr>
          <w:rFonts w:ascii="Palatino Linotype" w:hAnsi="Palatino Linotype" w:cs="Arial"/>
          <w:color w:val="000000" w:themeColor="text1"/>
        </w:rPr>
        <w:t xml:space="preserve"> </w:t>
      </w:r>
      <w:r w:rsidR="001E554E" w:rsidRPr="001E554E">
        <w:rPr>
          <w:rFonts w:ascii="Palatino Linotype" w:hAnsi="Palatino Linotype" w:cs="Arial"/>
          <w:color w:val="000000" w:themeColor="text1"/>
        </w:rPr>
        <w:t>a</w:t>
      </w:r>
      <w:r w:rsidR="006425E8" w:rsidRPr="001E554E">
        <w:rPr>
          <w:rFonts w:ascii="Palatino Linotype" w:hAnsi="Palatino Linotype" w:cs="Arial"/>
          <w:color w:val="000000" w:themeColor="text1"/>
          <w:lang w:val="es-419"/>
        </w:rPr>
        <w:t>cto</w:t>
      </w:r>
      <w:r w:rsidR="008821CD" w:rsidRPr="001E554E">
        <w:rPr>
          <w:rFonts w:ascii="Palatino Linotype" w:hAnsi="Palatino Linotype" w:cs="Arial"/>
          <w:color w:val="000000" w:themeColor="text1"/>
        </w:rPr>
        <w:t xml:space="preserve"> impugnado</w:t>
      </w:r>
      <w:r w:rsidR="001E554E">
        <w:rPr>
          <w:rFonts w:ascii="Palatino Linotype" w:hAnsi="Palatino Linotype" w:cs="Arial"/>
          <w:color w:val="000000" w:themeColor="text1"/>
        </w:rPr>
        <w:t xml:space="preserve"> y </w:t>
      </w:r>
      <w:r w:rsidR="001E554E" w:rsidRPr="001E554E">
        <w:rPr>
          <w:rFonts w:ascii="Palatino Linotype" w:hAnsi="Palatino Linotype" w:cs="Arial"/>
          <w:color w:val="000000" w:themeColor="text1"/>
        </w:rPr>
        <w:t>como razones o motivos de inconformidad</w:t>
      </w:r>
      <w:r w:rsidR="00F65BD0">
        <w:rPr>
          <w:rFonts w:ascii="Palatino Linotype" w:hAnsi="Palatino Linotype" w:cs="Arial"/>
          <w:color w:val="000000" w:themeColor="text1"/>
        </w:rPr>
        <w:t>:</w:t>
      </w:r>
    </w:p>
    <w:p w14:paraId="79F1EE7D" w14:textId="77777777" w:rsidR="001E554E" w:rsidRDefault="001E554E" w:rsidP="008821CD">
      <w:pPr>
        <w:spacing w:line="360" w:lineRule="auto"/>
        <w:jc w:val="both"/>
        <w:rPr>
          <w:rFonts w:ascii="Palatino Linotype" w:hAnsi="Palatino Linotype" w:cs="Arial"/>
          <w:color w:val="000000" w:themeColor="text1"/>
        </w:rPr>
      </w:pPr>
    </w:p>
    <w:p w14:paraId="555CB0FD" w14:textId="630A1409" w:rsidR="00F65BD0" w:rsidRDefault="00F65BD0" w:rsidP="00F65BD0">
      <w:pPr>
        <w:tabs>
          <w:tab w:val="left" w:pos="851"/>
        </w:tabs>
        <w:ind w:left="851" w:right="90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1E554E" w:rsidRPr="001E554E">
        <w:rPr>
          <w:rFonts w:ascii="Palatino Linotype" w:hAnsi="Palatino Linotype" w:cs="Arial"/>
          <w:i/>
          <w:color w:val="000000" w:themeColor="text1"/>
          <w:sz w:val="22"/>
          <w:szCs w:val="22"/>
        </w:rPr>
        <w:t>no contesto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B616098"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1E554E">
        <w:rPr>
          <w:rFonts w:ascii="Palatino Linotype" w:hAnsi="Palatino Linotype" w:cs="Arial"/>
          <w:b/>
          <w:color w:val="000000" w:themeColor="text1"/>
        </w:rPr>
        <w:t xml:space="preserve">seis de julio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160C9940"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E554E">
        <w:rPr>
          <w:rFonts w:ascii="Palatino Linotype" w:hAnsi="Palatino Linotype" w:cs="Arial"/>
          <w:b/>
          <w:color w:val="000000" w:themeColor="text1"/>
        </w:rPr>
        <w:t>ocho</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3D916F5" w14:textId="77777777" w:rsidR="00360770" w:rsidRDefault="00360770"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50432814" w:rsidR="000171D8" w:rsidRDefault="00360770" w:rsidP="0066637D">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F95CC5">
        <w:rPr>
          <w:rFonts w:ascii="Palatino Linotype" w:eastAsia="Arial Unicode MS" w:hAnsi="Palatino Linotype" w:cs="Arial"/>
        </w:rPr>
        <w:t xml:space="preserve"> </w:t>
      </w:r>
      <w:r>
        <w:rPr>
          <w:rFonts w:ascii="Palatino Linotype" w:eastAsia="Arial Unicode MS" w:hAnsi="Palatino Linotype" w:cs="Arial"/>
        </w:rPr>
        <w:t>l</w:t>
      </w:r>
      <w:r w:rsidR="00F95CC5">
        <w:rPr>
          <w:rFonts w:ascii="Palatino Linotype" w:eastAsia="Arial Unicode MS" w:hAnsi="Palatino Linotype" w:cs="Arial"/>
        </w:rPr>
        <w:t>a</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w:t>
      </w:r>
      <w:r>
        <w:rPr>
          <w:rFonts w:ascii="Palatino Linotype" w:eastAsia="Arial Unicode MS" w:hAnsi="Palatino Linotype" w:cs="Arial"/>
        </w:rPr>
        <w:lastRenderedPageBreak/>
        <w:t xml:space="preserve">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 </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2BBAF849" w14:textId="00AB56C5" w:rsidR="00F65BD0" w:rsidRDefault="001E554E" w:rsidP="00360770">
      <w:pPr>
        <w:pStyle w:val="Prrafodelista"/>
        <w:spacing w:line="360" w:lineRule="auto"/>
        <w:ind w:left="0"/>
        <w:jc w:val="center"/>
        <w:rPr>
          <w:rFonts w:ascii="Palatino Linotype" w:hAnsi="Palatino Linotype" w:cs="Arial"/>
          <w:b/>
          <w:bCs/>
          <w:lang w:val="es-419"/>
        </w:rPr>
      </w:pPr>
      <w:r>
        <w:rPr>
          <w:noProof/>
          <w:lang w:eastAsia="es-MX"/>
        </w:rPr>
        <w:drawing>
          <wp:inline distT="0" distB="0" distL="0" distR="0" wp14:anchorId="482C6296" wp14:editId="35F68937">
            <wp:extent cx="5791835" cy="13442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4295"/>
                    </a:xfrm>
                    <a:prstGeom prst="rect">
                      <a:avLst/>
                    </a:prstGeom>
                  </pic:spPr>
                </pic:pic>
              </a:graphicData>
            </a:graphic>
          </wp:inline>
        </w:drawing>
      </w:r>
    </w:p>
    <w:p w14:paraId="609912AF" w14:textId="77777777" w:rsidR="00F65BD0" w:rsidRDefault="00F65BD0" w:rsidP="0066637D">
      <w:pPr>
        <w:pStyle w:val="Prrafodelista"/>
        <w:spacing w:line="360" w:lineRule="auto"/>
        <w:ind w:left="0"/>
        <w:jc w:val="both"/>
        <w:rPr>
          <w:rFonts w:ascii="Palatino Linotype" w:hAnsi="Palatino Linotype" w:cs="Arial"/>
          <w:b/>
          <w:bCs/>
          <w:lang w:val="es-419"/>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725C5E69"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60770">
        <w:rPr>
          <w:rFonts w:ascii="Palatino Linotype" w:hAnsi="Palatino Linotype"/>
          <w:b/>
          <w:bCs/>
          <w:color w:val="000000" w:themeColor="text1"/>
        </w:rPr>
        <w:t>cuatro</w:t>
      </w:r>
      <w:r w:rsidR="00461B8F">
        <w:rPr>
          <w:rFonts w:ascii="Palatino Linotype" w:hAnsi="Palatino Linotype"/>
          <w:b/>
          <w:bCs/>
          <w:color w:val="000000" w:themeColor="text1"/>
        </w:rPr>
        <w:t xml:space="preserve">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984657">
        <w:rPr>
          <w:rFonts w:ascii="Palatino Linotype" w:hAnsi="Palatino Linotype"/>
          <w:color w:val="000000" w:themeColor="text1"/>
        </w:rPr>
        <w:lastRenderedPageBreak/>
        <w:t>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F95CC5" w:rsidRDefault="00461B8F"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3C2E3044"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Pr="00F65BD0" w:rsidRDefault="00FC3AA3" w:rsidP="005C250B">
      <w:pPr>
        <w:autoSpaceDE w:val="0"/>
        <w:autoSpaceDN w:val="0"/>
        <w:adjustRightInd w:val="0"/>
        <w:spacing w:line="360" w:lineRule="auto"/>
        <w:ind w:right="49"/>
        <w:jc w:val="both"/>
        <w:rPr>
          <w:rFonts w:ascii="Palatino Linotype" w:hAnsi="Palatino Linotype" w:cs="Arial"/>
          <w:color w:val="000000" w:themeColor="text1"/>
          <w:sz w:val="16"/>
          <w:szCs w:val="16"/>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252F9124" w14:textId="77777777" w:rsidR="00360770" w:rsidRDefault="00360770"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04D2F9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CDFE939" w14:textId="77777777" w:rsidR="00360770" w:rsidRDefault="00360770"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60093E79" w14:textId="77777777" w:rsidR="0052764E" w:rsidRDefault="0052764E" w:rsidP="0052764E">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DAEA41D" w14:textId="77777777" w:rsidR="0052764E" w:rsidRDefault="0052764E" w:rsidP="0052764E">
      <w:pPr>
        <w:autoSpaceDE w:val="0"/>
        <w:autoSpaceDN w:val="0"/>
        <w:adjustRightInd w:val="0"/>
        <w:spacing w:line="360" w:lineRule="auto"/>
        <w:ind w:right="49"/>
        <w:jc w:val="both"/>
        <w:rPr>
          <w:rFonts w:ascii="Palatino Linotype" w:hAnsi="Palatino Linotype" w:cs="Arial"/>
          <w:lang w:val="es-ES"/>
        </w:rPr>
      </w:pPr>
    </w:p>
    <w:p w14:paraId="0FDAC58E" w14:textId="77777777" w:rsidR="0052764E" w:rsidRDefault="0052764E" w:rsidP="0052764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56D983F8" w14:textId="77777777" w:rsidR="0052764E" w:rsidRDefault="0052764E" w:rsidP="0052764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1A8A173" w14:textId="77777777" w:rsidR="0052764E" w:rsidRDefault="0052764E" w:rsidP="0052764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6D46A93E" w14:textId="77777777" w:rsidR="0052764E" w:rsidRDefault="0052764E" w:rsidP="0052764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AD7A217" w14:textId="77777777" w:rsidR="0052764E" w:rsidRDefault="0052764E" w:rsidP="0052764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4D721BDB" w14:textId="77777777" w:rsidR="0052764E" w:rsidRDefault="0052764E" w:rsidP="0052764E">
      <w:pPr>
        <w:tabs>
          <w:tab w:val="left" w:pos="851"/>
        </w:tabs>
        <w:ind w:right="901"/>
        <w:jc w:val="both"/>
        <w:rPr>
          <w:rFonts w:ascii="Palatino Linotype" w:hAnsi="Palatino Linotype"/>
          <w:i/>
          <w:sz w:val="22"/>
          <w:szCs w:val="22"/>
          <w:lang w:val="es-ES"/>
        </w:rPr>
      </w:pPr>
    </w:p>
    <w:p w14:paraId="2DA36FAF" w14:textId="77777777" w:rsidR="0052764E" w:rsidRDefault="0052764E" w:rsidP="0052764E">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72005F38" w14:textId="77777777" w:rsidR="0052764E" w:rsidRDefault="0052764E" w:rsidP="0052764E">
      <w:pPr>
        <w:spacing w:line="360" w:lineRule="auto"/>
        <w:jc w:val="both"/>
        <w:rPr>
          <w:rFonts w:ascii="Palatino Linotype" w:hAnsi="Palatino Linotype"/>
          <w:lang w:val="es-ES"/>
        </w:rPr>
      </w:pPr>
    </w:p>
    <w:p w14:paraId="1351CE99" w14:textId="77777777" w:rsidR="0052764E" w:rsidRDefault="0052764E" w:rsidP="0052764E">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46F82BF" w14:textId="77777777" w:rsidR="0052764E" w:rsidRDefault="0052764E" w:rsidP="0052764E">
      <w:pPr>
        <w:spacing w:line="360" w:lineRule="auto"/>
        <w:jc w:val="both"/>
        <w:rPr>
          <w:rFonts w:ascii="Palatino Linotype" w:hAnsi="Palatino Linotype" w:cs="Arial"/>
          <w:color w:val="000000"/>
          <w:lang w:val="es-ES"/>
        </w:rPr>
      </w:pPr>
    </w:p>
    <w:p w14:paraId="04F7B7F3" w14:textId="77777777" w:rsidR="0052764E" w:rsidRDefault="0052764E" w:rsidP="0052764E">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E58A199" w14:textId="77777777" w:rsidR="0052764E" w:rsidRDefault="0052764E" w:rsidP="0052764E">
      <w:pPr>
        <w:tabs>
          <w:tab w:val="left" w:pos="851"/>
        </w:tabs>
        <w:ind w:left="851" w:right="901"/>
        <w:jc w:val="both"/>
        <w:rPr>
          <w:rFonts w:ascii="Palatino Linotype" w:hAnsi="Palatino Linotype"/>
          <w:sz w:val="22"/>
          <w:szCs w:val="22"/>
          <w:lang w:val="es-ES"/>
        </w:rPr>
      </w:pPr>
    </w:p>
    <w:p w14:paraId="55F8BA33" w14:textId="3AE1F0CE" w:rsidR="00F95CC5" w:rsidRPr="0052764E" w:rsidRDefault="0052764E" w:rsidP="0052764E">
      <w:pPr>
        <w:spacing w:line="360" w:lineRule="auto"/>
        <w:jc w:val="both"/>
        <w:rPr>
          <w:rFonts w:ascii="Palatino Linotype" w:hAnsi="Palatino Linotype"/>
          <w:lang w:val="es-ES"/>
        </w:rPr>
      </w:pPr>
      <w:r>
        <w:rPr>
          <w:rFonts w:ascii="Palatino Linotype" w:hAnsi="Palatino Linotype"/>
          <w:lang w:val="es-ES"/>
        </w:rPr>
        <w:lastRenderedPageBreak/>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4179621"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54DE0F86" w14:textId="77777777" w:rsidR="0052764E" w:rsidRDefault="0052764E" w:rsidP="005C250B">
      <w:pPr>
        <w:jc w:val="both"/>
        <w:rPr>
          <w:rFonts w:ascii="Palatino Linotype" w:hAnsi="Palatino Linotype" w:cs="Arial"/>
          <w:color w:val="000000" w:themeColor="text1"/>
          <w:sz w:val="22"/>
          <w:szCs w:val="22"/>
          <w:lang w:val="es-ES"/>
        </w:rPr>
      </w:pPr>
    </w:p>
    <w:p w14:paraId="0417360B" w14:textId="006F549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420C2379" w14:textId="77777777" w:rsidR="00F95CC5" w:rsidRDefault="00F95CC5" w:rsidP="005C250B">
      <w:pPr>
        <w:spacing w:line="360" w:lineRule="auto"/>
        <w:jc w:val="both"/>
        <w:rPr>
          <w:rFonts w:ascii="Palatino Linotype" w:hAnsi="Palatino Linotype"/>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Pr>
          <w:rFonts w:ascii="Palatino Linotype" w:hAnsi="Palatino Linotype" w:cs="Arial"/>
          <w:i/>
          <w:sz w:val="22"/>
          <w:szCs w:val="22"/>
          <w:lang w:eastAsia="es-MX"/>
        </w:rPr>
        <w:lastRenderedPageBreak/>
        <w:t xml:space="preserve">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95CC5" w:rsidRDefault="005C250B" w:rsidP="005C250B">
      <w:pPr>
        <w:jc w:val="both"/>
        <w:rPr>
          <w:rFonts w:ascii="Palatino Linotype" w:hAnsi="Palatino Linotype"/>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461B8F"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F95CC5"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EE5C562" w14:textId="77777777" w:rsidR="008821CD" w:rsidRDefault="008821CD"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F95CC5"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C70E500" w14:textId="77777777" w:rsidR="00F95CC5" w:rsidRDefault="00F95CC5"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0DEAD8" w14:textId="77777777" w:rsidR="00F95CC5" w:rsidRDefault="00F95CC5"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4AF74300" w14:textId="77777777" w:rsidR="00F95CC5" w:rsidRDefault="00F95CC5" w:rsidP="005C250B">
      <w:pPr>
        <w:ind w:left="851" w:right="901"/>
        <w:jc w:val="center"/>
        <w:rPr>
          <w:rFonts w:ascii="Palatino Linotype" w:hAnsi="Palatino Linotype" w:cs="Arial"/>
          <w:sz w:val="22"/>
          <w:szCs w:val="22"/>
          <w:lang w:eastAsia="es-MX"/>
        </w:rPr>
      </w:pPr>
    </w:p>
    <w:p w14:paraId="0AD22B5F" w14:textId="77777777" w:rsidR="00F95CC5" w:rsidRDefault="00F95CC5"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Pr="00F95CC5" w:rsidRDefault="00336D3F" w:rsidP="005C250B">
      <w:pPr>
        <w:autoSpaceDE w:val="0"/>
        <w:autoSpaceDN w:val="0"/>
        <w:adjustRightInd w:val="0"/>
        <w:ind w:right="51"/>
        <w:jc w:val="both"/>
        <w:rPr>
          <w:rFonts w:ascii="Palatino Linotype" w:hAnsi="Palatino Linotype"/>
          <w:sz w:val="16"/>
          <w:szCs w:val="16"/>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95CC5"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1C9FBE0" w14:textId="77777777" w:rsidR="00F95CC5" w:rsidRDefault="00F95CC5"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821CD"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821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Pr="00461B8F" w:rsidRDefault="005C250B" w:rsidP="005C250B">
      <w:pPr>
        <w:ind w:left="851" w:right="902"/>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Pr="00461B8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461B8F"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EEC1798" w14:textId="77777777" w:rsidR="00461B8F" w:rsidRPr="00461B8F" w:rsidRDefault="00461B8F" w:rsidP="005C250B">
      <w:pPr>
        <w:spacing w:line="360" w:lineRule="auto"/>
        <w:jc w:val="both"/>
        <w:rPr>
          <w:rFonts w:ascii="Palatino Linotype" w:eastAsia="Calibri" w:hAnsi="Palatino Linotype"/>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D01C8C" w14:textId="77777777" w:rsidR="00461B8F" w:rsidRDefault="00461B8F"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901EA66" w14:textId="77777777" w:rsidR="008821CD" w:rsidRDefault="008821CD"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3BD6A338" w14:textId="77777777" w:rsidR="00F95CC5" w:rsidRDefault="00F95CC5"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2CBC678C" w14:textId="77777777" w:rsidR="00461B8F" w:rsidRDefault="00461B8F"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D4838A9"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238F86F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D7B6E1D"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52764E">
        <w:rPr>
          <w:rFonts w:ascii="Palatino Linotype" w:hAnsi="Palatino Linotype"/>
          <w:b/>
        </w:rPr>
        <w:t>124</w:t>
      </w:r>
      <w:r w:rsidR="00F65BD0">
        <w:rPr>
          <w:rFonts w:ascii="Palatino Linotype" w:hAnsi="Palatino Linotype"/>
          <w:b/>
        </w:rPr>
        <w:t>7</w:t>
      </w:r>
      <w:r w:rsidR="0052764E">
        <w:rPr>
          <w:rFonts w:ascii="Palatino Linotype" w:hAnsi="Palatino Linotype"/>
          <w:b/>
        </w:rPr>
        <w:t>2</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3FCE63B8" w14:textId="77777777" w:rsidR="00461B8F" w:rsidRDefault="00461B8F"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2ABDF74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738CED8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69029CDB" w14:textId="77777777" w:rsidR="00461B8F" w:rsidRPr="00984657" w:rsidRDefault="00461B8F"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B537C3D"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DEF2908"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BD4853F"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308BA4C"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0DFCB8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490C72D"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35D2DB"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E6D64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06B0D42"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14B1F">
        <w:rPr>
          <w:rFonts w:ascii="Palatino Linotype" w:hAnsi="Palatino Linotype" w:cs="Arial"/>
          <w:color w:val="000000" w:themeColor="text1"/>
        </w:rPr>
        <w:t>TRIGÉSIMA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F14B1F">
        <w:rPr>
          <w:rFonts w:ascii="Palatino Linotype" w:hAnsi="Palatino Linotype" w:cs="Arial"/>
          <w:color w:val="000000" w:themeColor="text1"/>
        </w:rPr>
        <w:t>VEINTICUATRO D</w:t>
      </w:r>
      <w:r w:rsidR="00264B92">
        <w:rPr>
          <w:rFonts w:ascii="Palatino Linotype" w:hAnsi="Palatino Linotype" w:cs="Arial"/>
          <w:color w:val="000000" w:themeColor="text1"/>
        </w:rPr>
        <w:t>E</w:t>
      </w:r>
      <w:r w:rsidR="00551BDC">
        <w:rPr>
          <w:rFonts w:ascii="Palatino Linotype" w:hAnsi="Palatino Linotype" w:cs="Arial"/>
          <w:color w:val="000000" w:themeColor="text1"/>
        </w:rPr>
        <w:t xml:space="preserv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bookmarkStart w:id="1" w:name="_GoBack"/>
      <w:bookmarkEnd w:id="1"/>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84B35" w14:textId="77777777" w:rsidR="006733D5" w:rsidRDefault="006733D5" w:rsidP="00C80F8C">
      <w:r>
        <w:separator/>
      </w:r>
    </w:p>
  </w:endnote>
  <w:endnote w:type="continuationSeparator" w:id="0">
    <w:p w14:paraId="5665B35B" w14:textId="77777777" w:rsidR="006733D5" w:rsidRDefault="006733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0A67">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0A6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0A6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0A6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D6CE" w14:textId="77777777" w:rsidR="006733D5" w:rsidRDefault="006733D5" w:rsidP="00C80F8C">
      <w:r>
        <w:separator/>
      </w:r>
    </w:p>
  </w:footnote>
  <w:footnote w:type="continuationSeparator" w:id="0">
    <w:p w14:paraId="77F8B882" w14:textId="77777777" w:rsidR="006733D5" w:rsidRDefault="006733D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CD0A6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CD0A6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73D4CAC" w:rsidR="00F74502" w:rsidRPr="00664658" w:rsidRDefault="00B43ADE"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315E83">
            <w:rPr>
              <w:rFonts w:ascii="Palatino Linotype" w:hAnsi="Palatino Linotype"/>
              <w:b/>
              <w:sz w:val="22"/>
              <w:szCs w:val="22"/>
              <w:lang w:val="es-ES_tradnl"/>
            </w:rPr>
            <w:t>2472</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B54B46" w:rsidR="00F74502" w:rsidRPr="00C77536" w:rsidRDefault="00315E83" w:rsidP="002007FC">
          <w:pPr>
            <w:jc w:val="both"/>
            <w:rPr>
              <w:lang w:val="es-419"/>
            </w:rPr>
          </w:pPr>
          <w:r w:rsidRPr="00315E83">
            <w:rPr>
              <w:rFonts w:ascii="Palatino Linotype" w:hAnsi="Palatino Linotype"/>
              <w:b/>
              <w:sz w:val="22"/>
              <w:szCs w:val="22"/>
              <w:lang w:val="es-ES_tradnl"/>
            </w:rPr>
            <w:t>Ayuntamiento de Otumba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CD0A6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7B82620" w:rsidR="00F74502" w:rsidRPr="008F2CCC" w:rsidRDefault="001F140A"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315E83">
            <w:rPr>
              <w:rFonts w:ascii="Palatino Linotype" w:hAnsi="Palatino Linotype"/>
              <w:b/>
              <w:sz w:val="22"/>
              <w:szCs w:val="22"/>
              <w:lang w:val="es-ES_tradnl"/>
            </w:rPr>
            <w:t>2472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D6ACC6F"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6E1EB69" w:rsidR="00F74502" w:rsidRPr="00F67B0E" w:rsidRDefault="00315E83" w:rsidP="002007FC">
          <w:pPr>
            <w:jc w:val="both"/>
            <w:rPr>
              <w:lang w:val="es-419"/>
            </w:rPr>
          </w:pPr>
          <w:r w:rsidRPr="00315E83">
            <w:rPr>
              <w:rFonts w:ascii="Palatino Linotype" w:hAnsi="Palatino Linotype"/>
              <w:b/>
              <w:sz w:val="22"/>
              <w:szCs w:val="22"/>
              <w:lang w:val="es-ES_tradnl"/>
            </w:rPr>
            <w:t>Ayuntamiento de Otumba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554E"/>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D65"/>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92"/>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E8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B74"/>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077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D0"/>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7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64E"/>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D"/>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3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87"/>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1FF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3C4F"/>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5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9B"/>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0A67"/>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13E"/>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B1F"/>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D0"/>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CC5"/>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356088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8591-61C7-4FD0-9992-D6AFCB55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8479</Words>
  <Characters>46639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2022-08-26T18:50:00Z</cp:lastPrinted>
  <dcterms:created xsi:type="dcterms:W3CDTF">2022-08-18T17:29:00Z</dcterms:created>
  <dcterms:modified xsi:type="dcterms:W3CDTF">2022-08-26T18:50:00Z</dcterms:modified>
</cp:coreProperties>
</file>