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DB9" w:rsidRDefault="00EE3D91">
      <w:pPr>
        <w:spacing w:before="240" w:after="240" w:line="360" w:lineRule="auto"/>
        <w:ind w:right="333"/>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nueve de marzo de dos mil veintidós</w:t>
      </w:r>
      <w:r>
        <w:rPr>
          <w:rFonts w:ascii="Palatino Linotype" w:eastAsia="Palatino Linotype" w:hAnsi="Palatino Linotype" w:cs="Palatino Linotype"/>
        </w:rPr>
        <w:t>.</w:t>
      </w:r>
    </w:p>
    <w:p w:rsidR="00780DB9" w:rsidRDefault="00EE3D91">
      <w:pPr>
        <w:spacing w:before="240" w:after="240" w:line="360" w:lineRule="auto"/>
        <w:ind w:right="333"/>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 xml:space="preserve">00284/INFOEM/IP/RR/2022 </w:t>
      </w:r>
      <w:r>
        <w:rPr>
          <w:rFonts w:ascii="Palatino Linotype" w:eastAsia="Palatino Linotype" w:hAnsi="Palatino Linotype" w:cs="Palatino Linotype"/>
        </w:rPr>
        <w:t xml:space="preserve">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00323/CAMEM/IP/2021, </w:t>
      </w:r>
      <w:r>
        <w:rPr>
          <w:rFonts w:ascii="Palatino Linotype" w:eastAsia="Palatino Linotype" w:hAnsi="Palatino Linotype" w:cs="Palatino Linotype"/>
        </w:rPr>
        <w:t xml:space="preserve">por parte de la </w:t>
      </w:r>
      <w:r>
        <w:rPr>
          <w:rFonts w:ascii="Palatino Linotype" w:eastAsia="Palatino Linotype" w:hAnsi="Palatino Linotype" w:cs="Palatino Linotype"/>
          <w:b/>
        </w:rPr>
        <w:t xml:space="preserve"> Comisión de Conciliación y Arbitraje Médico del Estado de México,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rsidR="00780DB9" w:rsidRDefault="00EE3D91">
      <w:pPr>
        <w:numPr>
          <w:ilvl w:val="0"/>
          <w:numId w:val="1"/>
        </w:numPr>
        <w:spacing w:before="240" w:after="240" w:line="360" w:lineRule="auto"/>
        <w:ind w:left="1077" w:right="900" w:hanging="368"/>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780DB9" w:rsidRDefault="00EE3D91">
      <w:pPr>
        <w:spacing w:before="240" w:after="240" w:line="360" w:lineRule="auto"/>
        <w:ind w:right="333"/>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trece de</w:t>
      </w:r>
      <w:r>
        <w:rPr>
          <w:rFonts w:ascii="Palatino Linotype" w:eastAsia="Palatino Linotype" w:hAnsi="Palatino Linotype" w:cs="Palatino Linotype"/>
        </w:rPr>
        <w:t xml:space="preserve"> </w:t>
      </w:r>
      <w:r>
        <w:rPr>
          <w:rFonts w:ascii="Palatino Linotype" w:eastAsia="Palatino Linotype" w:hAnsi="Palatino Linotype" w:cs="Palatino Linotype"/>
          <w:b/>
        </w:rPr>
        <w:t>diciembre de</w:t>
      </w:r>
      <w:r>
        <w:rPr>
          <w:rFonts w:ascii="Palatino Linotype" w:eastAsia="Palatino Linotype" w:hAnsi="Palatino Linotype" w:cs="Palatino Linotype"/>
        </w:rPr>
        <w:t xml:space="preserve"> </w:t>
      </w:r>
      <w:r>
        <w:rPr>
          <w:rFonts w:ascii="Palatino Linotype" w:eastAsia="Palatino Linotype" w:hAnsi="Palatino Linotype" w:cs="Palatino Linotype"/>
          <w:b/>
        </w:rPr>
        <w:t>dos mil veintiuno</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formuló  una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780DB9" w:rsidRDefault="00EE3D91">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“Saber sí ahora si pagarán a tiempo las nóminas 23 y 24 del 2021 y la estúpida de María de Jesús se retrasará en los pagos.” (Sic) </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2. Respuesta.</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diecisiete de enero de dos mil veintidós</w:t>
      </w:r>
      <w:r>
        <w:rPr>
          <w:rFonts w:ascii="Palatino Linotype" w:eastAsia="Palatino Linotype" w:hAnsi="Palatino Linotype" w:cs="Palatino Linotype"/>
        </w:rPr>
        <w:t xml:space="preserve">, el Sujeto Obligado otorgó respuesta a la solicitud sustancialmente en los siguientes términos: </w:t>
      </w:r>
    </w:p>
    <w:tbl>
      <w:tblPr>
        <w:tblStyle w:val="a"/>
        <w:tblW w:w="12102" w:type="dxa"/>
        <w:tblInd w:w="-142" w:type="dxa"/>
        <w:tblLayout w:type="fixed"/>
        <w:tblLook w:val="0400" w:firstRow="0" w:lastRow="0" w:firstColumn="0" w:lastColumn="0" w:noHBand="0" w:noVBand="1"/>
      </w:tblPr>
      <w:tblGrid>
        <w:gridCol w:w="12102"/>
      </w:tblGrid>
      <w:tr w:rsidR="00780DB9">
        <w:trPr>
          <w:trHeight w:val="150"/>
        </w:trPr>
        <w:tc>
          <w:tcPr>
            <w:tcW w:w="12102" w:type="dxa"/>
            <w:vAlign w:val="center"/>
          </w:tcPr>
          <w:p w:rsidR="00780DB9" w:rsidRDefault="00EE3D91">
            <w:pPr>
              <w:spacing w:before="240" w:after="240" w:line="276" w:lineRule="auto"/>
              <w:ind w:left="568" w:right="359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80DB9" w:rsidRDefault="00EE3D91">
            <w:pPr>
              <w:spacing w:before="240" w:after="240" w:line="276" w:lineRule="auto"/>
              <w:ind w:left="568" w:right="359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En respuesta a su solicitud de información número 00323/CAMEM/IP/2021, “Saber sí ahora si pagarán a tiempo las nóminas 23 y 24 del 2021 y la estúpida de María de Jesús se retrasará en los pagos” </w:t>
            </w:r>
            <w:r>
              <w:rPr>
                <w:rFonts w:ascii="Palatino Linotype" w:eastAsia="Palatino Linotype" w:hAnsi="Palatino Linotype" w:cs="Palatino Linotype"/>
                <w:b/>
                <w:i/>
                <w:sz w:val="22"/>
                <w:szCs w:val="22"/>
                <w:u w:val="single"/>
              </w:rPr>
              <w:t>al respecto me permito comunicar a usted que su requerimiento no es específico</w:t>
            </w:r>
            <w:r>
              <w:rPr>
                <w:rFonts w:ascii="Palatino Linotype" w:eastAsia="Palatino Linotype" w:hAnsi="Palatino Linotype" w:cs="Palatino Linotype"/>
                <w:b/>
                <w:i/>
                <w:sz w:val="22"/>
                <w:szCs w:val="22"/>
              </w:rPr>
              <w:t>; lo anterior, con fundamento en la Ley de Transparencia y Acceso a la Información Pública del Estado de México y Municipios que establece lo siguiente: Artículo 12.- “</w:t>
            </w:r>
            <w:r>
              <w:rPr>
                <w:rFonts w:ascii="Palatino Linotype" w:eastAsia="Palatino Linotype" w:hAnsi="Palatino Linotype" w:cs="Palatino Linotype"/>
                <w:i/>
                <w:sz w:val="22"/>
                <w:szCs w:val="22"/>
              </w:rPr>
              <w:t>…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rsidR="00780DB9" w:rsidRDefault="00EE3D91">
            <w:pPr>
              <w:spacing w:before="240" w:after="240" w:line="276" w:lineRule="auto"/>
              <w:ind w:left="568" w:right="359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780DB9" w:rsidRDefault="00EE3D91">
            <w:pPr>
              <w:spacing w:before="240" w:after="240" w:line="276" w:lineRule="auto"/>
              <w:ind w:left="568" w:right="359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LCA EDUARDO GONZAGA PALMA” (Sic)</w:t>
            </w:r>
          </w:p>
          <w:p w:rsidR="00780DB9" w:rsidRDefault="00EE3D91">
            <w:pPr>
              <w:spacing w:before="240" w:after="240" w:line="276" w:lineRule="auto"/>
              <w:ind w:left="568" w:right="359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tc>
      </w:tr>
    </w:tbl>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w:t>
      </w:r>
      <w:proofErr w:type="gramStart"/>
      <w:r>
        <w:rPr>
          <w:rFonts w:ascii="Palatino Linotype" w:eastAsia="Palatino Linotype" w:hAnsi="Palatino Linotype" w:cs="Palatino Linotype"/>
        </w:rPr>
        <w:t>del</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citado con antelación, a través del SAIMEX en fecha </w:t>
      </w:r>
      <w:r>
        <w:rPr>
          <w:rFonts w:ascii="Palatino Linotype" w:eastAsia="Palatino Linotype" w:hAnsi="Palatino Linotype" w:cs="Palatino Linotype"/>
          <w:b/>
        </w:rPr>
        <w:t>veinticuatro de enero de dos mil veintidós</w:t>
      </w:r>
      <w:r>
        <w:rPr>
          <w:rFonts w:ascii="Palatino Linotype" w:eastAsia="Palatino Linotype" w:hAnsi="Palatino Linotype" w:cs="Palatino Linotype"/>
        </w:rPr>
        <w:t>, expresando lo siguiente:</w:t>
      </w:r>
    </w:p>
    <w:p w:rsidR="00780DB9" w:rsidRDefault="00EE3D9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a) Acto impugnado.</w:t>
      </w:r>
    </w:p>
    <w:p w:rsidR="00780DB9" w:rsidRDefault="00EE3D91">
      <w:pPr>
        <w:spacing w:before="240" w:after="240" w:line="360"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 INFORMACIÓN.” (Sic)</w:t>
      </w:r>
    </w:p>
    <w:p w:rsidR="00780DB9" w:rsidRDefault="00EE3D9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780DB9" w:rsidRDefault="00EE3D91">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entrega la información siendo que la solicité por este medio, precisa que se encuentra en sus instalaciones pero tiene la obligación de entregarla como yo la pido.” (Sic) </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para su análisis, estudio, elaboración del proyecto y presentación ante el Pleno de este Instituto.</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E</w:t>
      </w:r>
      <w:r>
        <w:rPr>
          <w:rFonts w:ascii="Palatino Linotype" w:eastAsia="Palatino Linotype" w:hAnsi="Palatino Linotype" w:cs="Palatino Linotype"/>
          <w:color w:val="000000"/>
        </w:rPr>
        <w:t xml:space="preserve">l </w:t>
      </w:r>
      <w:r>
        <w:rPr>
          <w:rFonts w:ascii="Palatino Linotype" w:eastAsia="Palatino Linotype" w:hAnsi="Palatino Linotype" w:cs="Palatino Linotype"/>
          <w:b/>
          <w:color w:val="000000"/>
        </w:rPr>
        <w:t>veintisiete de enero de dos 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mediante el archivo </w:t>
      </w:r>
      <w:r>
        <w:rPr>
          <w:rFonts w:ascii="Palatino Linotype" w:eastAsia="Palatino Linotype" w:hAnsi="Palatino Linotype" w:cs="Palatino Linotype"/>
        </w:rPr>
        <w:lastRenderedPageBreak/>
        <w:t>electrónico denominado “</w:t>
      </w:r>
      <w:r>
        <w:rPr>
          <w:rFonts w:ascii="Palatino Linotype" w:eastAsia="Palatino Linotype" w:hAnsi="Palatino Linotype" w:cs="Palatino Linotype"/>
          <w:b/>
          <w:i/>
        </w:rPr>
        <w:t>Recurso de Revisión 00284.pdf”</w:t>
      </w:r>
      <w:r>
        <w:rPr>
          <w:rFonts w:ascii="Palatino Linotype" w:eastAsia="Palatino Linotype" w:hAnsi="Palatino Linotype" w:cs="Palatino Linotype"/>
        </w:rPr>
        <w:t xml:space="preserve">, el cual se puso a la vista del particular mediante acuerdo de fecha tres de marzo de dos mil veintidós, asimismo por cuanto al particular, se tiene que no emitió pronunciamiento alguno, por lo que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 efecto.</w:t>
      </w:r>
    </w:p>
    <w:p w:rsidR="00780DB9" w:rsidRDefault="00EE3D91" w:rsidP="00EE3D91">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0" distB="0" distL="0" distR="0">
            <wp:extent cx="4810125" cy="5695950"/>
            <wp:effectExtent l="0" t="0" r="9525"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10125" cy="5695950"/>
                    </a:xfrm>
                    <a:prstGeom prst="rect">
                      <a:avLst/>
                    </a:prstGeom>
                    <a:ln/>
                  </pic:spPr>
                </pic:pic>
              </a:graphicData>
            </a:graphic>
          </wp:inline>
        </w:drawing>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color w:val="000000"/>
        </w:rPr>
        <w:t>nueve de marzo del dos 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780DB9" w:rsidRDefault="00EE3D91">
      <w:pPr>
        <w:numPr>
          <w:ilvl w:val="0"/>
          <w:numId w:val="1"/>
        </w:numPr>
        <w:spacing w:before="240" w:after="240" w:line="360" w:lineRule="auto"/>
        <w:ind w:left="142" w:hanging="426"/>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w:t>
      </w:r>
    </w:p>
    <w:p w:rsidR="00780DB9" w:rsidRDefault="00EE3D9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presentes recurso de revisión interpuesto,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780DB9" w:rsidRDefault="00EE3D91">
      <w:pPr>
        <w:spacing w:before="240" w:after="24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 en los artículos 178 y 180 de la Ley de Transparencia y Acceso a la Información Pública del Estado de México y Municipios. </w:t>
      </w:r>
    </w:p>
    <w:p w:rsidR="00780DB9" w:rsidRDefault="00EE3D9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contados a partir de la fecha en que el Sujeto Obligado emitió la respuesta, toda vez que ésta fue pronunciada el día </w:t>
      </w:r>
      <w:r>
        <w:rPr>
          <w:rFonts w:ascii="Palatino Linotype" w:eastAsia="Palatino Linotype" w:hAnsi="Palatino Linotype" w:cs="Palatino Linotype"/>
          <w:b/>
          <w:color w:val="000000"/>
        </w:rPr>
        <w:t>diecisiete de enero de dos mil veintidós</w:t>
      </w:r>
      <w:r>
        <w:rPr>
          <w:rFonts w:ascii="Palatino Linotype" w:eastAsia="Palatino Linotype" w:hAnsi="Palatino Linotype" w:cs="Palatino Linotype"/>
          <w:color w:val="000000"/>
        </w:rPr>
        <w:t xml:space="preserve">, mientras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interpuso el recurso de revisión el</w:t>
      </w:r>
      <w:r>
        <w:rPr>
          <w:rFonts w:ascii="Palatino Linotype" w:eastAsia="Palatino Linotype" w:hAnsi="Palatino Linotype" w:cs="Palatino Linotype"/>
          <w:b/>
          <w:color w:val="000000"/>
        </w:rPr>
        <w:t xml:space="preserve"> veinticuatro de enero del dos mil veintidós</w:t>
      </w:r>
      <w:r>
        <w:rPr>
          <w:rFonts w:ascii="Palatino Linotype" w:eastAsia="Palatino Linotype" w:hAnsi="Palatino Linotype" w:cs="Palatino Linotype"/>
          <w:b/>
          <w:color w:val="002060"/>
        </w:rPr>
        <w:t>,</w:t>
      </w:r>
      <w:r>
        <w:rPr>
          <w:rFonts w:ascii="Palatino Linotype" w:eastAsia="Palatino Linotype" w:hAnsi="Palatino Linotype" w:cs="Palatino Linotype"/>
          <w:b/>
          <w:color w:val="C00000"/>
        </w:rPr>
        <w:t xml:space="preserve"> </w:t>
      </w:r>
      <w:r>
        <w:rPr>
          <w:rFonts w:ascii="Palatino Linotype" w:eastAsia="Palatino Linotype" w:hAnsi="Palatino Linotype" w:cs="Palatino Linotype"/>
          <w:color w:val="000000"/>
        </w:rPr>
        <w:t xml:space="preserve">esto es, al </w:t>
      </w:r>
      <w:r>
        <w:rPr>
          <w:rFonts w:ascii="Palatino Linotype" w:eastAsia="Palatino Linotype" w:hAnsi="Palatino Linotype" w:cs="Palatino Linotype"/>
          <w:b/>
          <w:color w:val="000000"/>
        </w:rPr>
        <w:t xml:space="preserve">quinto día hábil </w:t>
      </w:r>
      <w:r>
        <w:rPr>
          <w:rFonts w:ascii="Palatino Linotype" w:eastAsia="Palatino Linotype" w:hAnsi="Palatino Linotype" w:cs="Palatino Linotype"/>
          <w:color w:val="000000"/>
        </w:rPr>
        <w:t xml:space="preserve">después de conocer la respuesta, luego entonces, se encuentra dentro de los márgenes temporales previstos por la normatividad vigente. </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del formato de interposición del recurso, se advierte que el artículo 180 de la Ley de Transparencia y Acceso a la Información Pública del Estado de México y Municipios, establece los siguientes elementos formales para la presentación del recurso:</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180.</w:t>
      </w:r>
      <w:r>
        <w:rPr>
          <w:rFonts w:ascii="Palatino Linotype" w:eastAsia="Palatino Linotype" w:hAnsi="Palatino Linotype" w:cs="Palatino Linotype"/>
          <w:i/>
          <w:sz w:val="20"/>
          <w:szCs w:val="20"/>
        </w:rPr>
        <w:t xml:space="preserve"> El recurso de revisión contendrá: </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80DB9" w:rsidRDefault="00EE3D91">
      <w:pPr>
        <w:spacing w:after="120"/>
        <w:ind w:left="567" w:right="902"/>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0"/>
          <w:szCs w:val="20"/>
          <w:u w:val="single"/>
        </w:rPr>
        <w:t xml:space="preserve">II. El nombre del solicitante que recurre o de su representante y, en su caso, del tercero interesado, así como la dirección o medio que señale para recibir notificaciones; </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En caso de que el recurso se interponga de manera electrónica no será indispensable que contengan los requisitos establecidos en las fracciones II, IV, VII y VIII.”</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181 del citado ordenamiento dispone, que:</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181.</w:t>
      </w:r>
      <w:r>
        <w:rPr>
          <w:rFonts w:ascii="Palatino Linotype" w:eastAsia="Palatino Linotype" w:hAnsi="Palatino Linotype" w:cs="Palatino Linotype"/>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780DB9" w:rsidRDefault="00EE3D91">
      <w:pPr>
        <w:spacing w:after="12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780DB9" w:rsidRDefault="00EE3D91">
      <w:pPr>
        <w:spacing w:after="120"/>
        <w:ind w:left="567" w:right="902"/>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Para el caso de interposición del recurso de revisión a través de la Plataforma Nacional o la plataforma que para tales efectos habilite el Instituto, éste podrá solicitar al particular subsane las deficiencias por ese medio.”</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Sobre el particular, de la revisión al expediente electrónico del SAIMEX se desprende que la parte solicitante, en ejercicio de su derecho de acceso a la información pública, y ahora recurrente, no </w:t>
      </w:r>
      <w:r>
        <w:rPr>
          <w:rFonts w:ascii="Palatino Linotype" w:eastAsia="Palatino Linotype" w:hAnsi="Palatino Linotype" w:cs="Palatino Linotype"/>
          <w:color w:val="000000"/>
        </w:rPr>
        <w:t xml:space="preserve">proporcionó datos que lo hagan identificable, por ende no se </w:t>
      </w:r>
      <w:r>
        <w:rPr>
          <w:rFonts w:ascii="Palatino Linotype" w:eastAsia="Palatino Linotype" w:hAnsi="Palatino Linotype" w:cs="Palatino Linotype"/>
          <w:color w:val="000000"/>
        </w:rPr>
        <w:lastRenderedPageBreak/>
        <w:t>tiene certeza sobre su identidad</w:t>
      </w:r>
      <w:r>
        <w:rPr>
          <w:rFonts w:ascii="Palatino Linotype" w:eastAsia="Palatino Linotype" w:hAnsi="Palatino Linotype" w:cs="Palatino Linotype"/>
        </w:rPr>
        <w:t>, lo que en estricto sentido provoca que no se colmen los requisitos establecidos en el citado artículo 180 de la Ley de Transparencia.</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Empero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eastAsia="Palatino Linotype" w:hAnsi="Palatino Linotype" w:cs="Palatino Linotype"/>
          <w:i/>
        </w:rPr>
        <w:t>sine qua non</w:t>
      </w:r>
      <w:r>
        <w:rPr>
          <w:rFonts w:ascii="Palatino Linotype" w:eastAsia="Palatino Linotype" w:hAnsi="Palatino Linotype" w:cs="Palatino Linotype"/>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Para efectos de lo dispuesto en el presente artículo se observará lo siguiente: </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A. Para el ejercicio del derecho de acceso a la información, la Federación, los Estados y el Distrito Federal, en el ámbito de sus respectivas competencias, se regirán por los siguientes principios y bases: </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La información que se refiere a la vida privada y los datos personales será protegida en los términos y con las excepciones que fijen las leyes. </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III. Toda persona, sin necesidad de acreditar interés alguno o justificar su utilización, tendrá acceso gratuito a la información pública, a sus datos personales o a la rectificación de éstos. </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IV. Se establecerán mecanismos de acceso a la información y procedimientos de revisión expeditos que se sustanciarán ante los organismos autónomos especializados e imparciales que establece esta Constitución.” </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Este derecho se regirá por los principios y bases siguientes:</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Pr>
          <w:rFonts w:ascii="Palatino Linotype" w:eastAsia="Palatino Linotype" w:hAnsi="Palatino Linotype" w:cs="Palatino Linotype"/>
          <w:i/>
          <w:sz w:val="20"/>
          <w:szCs w:val="20"/>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III. Toda persona, sin necesidad de acreditar interés alguno o justificar su utilización, tendrá acceso gratuito a la información pública, a sus datos personales o a la rectificación de éstos;</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780DB9" w:rsidRDefault="00EE3D91">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Estados Unidos Mexicanos, se destaca lo siguiente:</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Las normas relativas a los derechos humanos se interpretarán de conformidad con esta Constitución y con los tratados internacionales de la materia favoreciendo en todo tiempo a las personas la protección más amplia.</w:t>
      </w:r>
    </w:p>
    <w:p w:rsidR="00780DB9" w:rsidRDefault="00EE3D91">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En esa virtud, de una interpretación sistemática, armónica y progresiva del derecho humano de acceso a la información pública se reitera que toda persona, sin necesidad </w:t>
      </w:r>
      <w:r>
        <w:rPr>
          <w:rFonts w:ascii="Palatino Linotype" w:eastAsia="Palatino Linotype" w:hAnsi="Palatino Linotype" w:cs="Palatino Linotype"/>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Robustece lo anterior, el Criterio 6/2014 del entonces Instituto Federal de Acceso a la Información y Protección de Datos, el cual se reproduce para una mayor referencia:</w:t>
      </w:r>
    </w:p>
    <w:p w:rsidR="00780DB9" w:rsidRDefault="00EE3D91">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0"/>
          <w:szCs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se estima que el requerimiento relativo al nombre como presupuesto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lastRenderedPageBreak/>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80DB9" w:rsidRDefault="00EE3D91">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dado lo expuesto y fundado con anterioridad, se estima que el requisito relativo al nombre del recurrente no constituye un presupuesto indispensable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mismo, se concluye la </w:t>
      </w:r>
      <w:r>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rsidR="00780DB9" w:rsidRDefault="00EE3D91">
      <w:pPr>
        <w:spacing w:before="240" w:after="240" w:line="360" w:lineRule="auto"/>
        <w:ind w:right="-9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después de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780DB9" w:rsidRDefault="00EE3D9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Dentro de este marco, se advierte que resulta procedente la interposición del recurso, de acuerdo a lo que disponen los artículos 176 y 179 fracción VIII del ordenamiento legal citado, que establecen los supuestos en que puede interponerse el recurso de revisión:</w:t>
      </w:r>
    </w:p>
    <w:p w:rsidR="00780DB9" w:rsidRDefault="00EE3D91">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b/>
          <w:i/>
          <w:sz w:val="22"/>
          <w:szCs w:val="22"/>
        </w:rPr>
        <w:t xml:space="preserve">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780DB9" w:rsidRDefault="00EE3D91">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Bookman Old Style" w:eastAsia="Bookman Old Style" w:hAnsi="Bookman Old Style" w:cs="Bookman Old Styl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780DB9" w:rsidRDefault="00EE3D91">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780DB9" w:rsidRDefault="00EE3D91">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consecuencia resulta conforme a derecho entrar al estudio de fondo y resolver el presente medio de impugnación.</w:t>
      </w:r>
    </w:p>
    <w:p w:rsidR="00780DB9" w:rsidRDefault="00EE3D91">
      <w:pPr>
        <w:spacing w:before="240" w:after="240" w:line="360" w:lineRule="auto"/>
        <w:jc w:val="both"/>
      </w:pPr>
      <w:r>
        <w:rPr>
          <w:rFonts w:ascii="Palatino Linotype" w:eastAsia="Palatino Linotype" w:hAnsi="Palatino Linotype" w:cs="Palatino Linotype"/>
          <w:b/>
          <w:color w:val="000000"/>
        </w:rPr>
        <w:t>Tercero. Análisis de las causales de sobreseimiento del recurso de revisión.</w:t>
      </w:r>
      <w:r>
        <w:t xml:space="preserve"> </w:t>
      </w:r>
      <w:r>
        <w:rPr>
          <w:rFonts w:ascii="Palatino Linotype" w:eastAsia="Palatino Linotype" w:hAnsi="Palatino Linotype" w:cs="Palatino Linotype"/>
          <w:color w:val="000000"/>
        </w:rPr>
        <w:t xml:space="preserve">Es menester resaltar que en el procedimiento de acceso a la información pública y de los medios de impugnación de la materia, se advierten diversos supuestos de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80DB9" w:rsidRDefault="00EE3D91">
      <w:pPr>
        <w:spacing w:line="360" w:lineRule="auto"/>
        <w:jc w:val="both"/>
      </w:pPr>
      <w:r>
        <w:rPr>
          <w:rFonts w:ascii="Palatino Linotype" w:eastAsia="Palatino Linotype" w:hAnsi="Palatino Linotype" w:cs="Palatino Linotype"/>
          <w:color w:val="000000"/>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780DB9" w:rsidRDefault="00780DB9"/>
    <w:p w:rsidR="00780DB9" w:rsidRDefault="00EE3D91">
      <w:pPr>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se advierte del contenido de la solicitud de información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peticiona lo siguiente:</w:t>
      </w:r>
    </w:p>
    <w:p w:rsidR="00780DB9" w:rsidRDefault="00780DB9">
      <w:pPr>
        <w:spacing w:before="120" w:after="120"/>
        <w:ind w:right="-234"/>
        <w:jc w:val="both"/>
      </w:pPr>
    </w:p>
    <w:p w:rsidR="00780DB9" w:rsidRDefault="00EE3D91">
      <w:pPr>
        <w:spacing w:before="120" w:after="120"/>
        <w:ind w:left="425" w:right="346"/>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000000"/>
        </w:rPr>
        <w:t>“Saber sí ahora si pagarán a tiempo las nóminas 23 y 24 del 2021 y la estúpida de María de Jesús se retrasará en los pagos.” (Sic)</w:t>
      </w:r>
    </w:p>
    <w:p w:rsidR="00780DB9" w:rsidRDefault="00780DB9">
      <w:pPr>
        <w:spacing w:before="120" w:after="120"/>
        <w:ind w:right="-234"/>
        <w:jc w:val="both"/>
      </w:pPr>
    </w:p>
    <w:p w:rsidR="00780DB9" w:rsidRDefault="00EE3D91">
      <w:pPr>
        <w:spacing w:after="160" w:line="360" w:lineRule="auto"/>
        <w:jc w:val="both"/>
      </w:pPr>
      <w:r>
        <w:rPr>
          <w:rFonts w:ascii="Palatino Linotype" w:eastAsia="Palatino Linotype" w:hAnsi="Palatino Linotype" w:cs="Palatino Linotype"/>
          <w:color w:val="000000"/>
        </w:rPr>
        <w:t xml:space="preserve">Acotado lo anterior, de las constancias que integran el expediente, se observa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respuesta señaló:</w:t>
      </w:r>
    </w:p>
    <w:p w:rsidR="00780DB9" w:rsidRDefault="00EE3D91">
      <w:pPr>
        <w:spacing w:after="16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su solicitud de información número 00323/CAMEM/IP/2021, “Saber sí ahora si pagarán a tiempo las nóminas 23 y 24 del 2021 y la estúpida de María de Jesús se retrasará en los pagos</w:t>
      </w:r>
      <w:r>
        <w:rPr>
          <w:rFonts w:ascii="Palatino Linotype" w:eastAsia="Palatino Linotype" w:hAnsi="Palatino Linotype" w:cs="Palatino Linotype"/>
          <w:b/>
          <w:i/>
          <w:color w:val="000000"/>
          <w:sz w:val="22"/>
          <w:szCs w:val="22"/>
        </w:rPr>
        <w:t>” al respecto me permito comunicar a usted que su requerimiento no es específico</w:t>
      </w:r>
      <w:r>
        <w:rPr>
          <w:rFonts w:ascii="Palatino Linotype" w:eastAsia="Palatino Linotype" w:hAnsi="Palatino Linotype" w:cs="Palatino Linotype"/>
          <w:i/>
          <w:color w:val="000000"/>
          <w:sz w:val="22"/>
          <w:szCs w:val="22"/>
        </w:rPr>
        <w:t>; lo anterior, con fundamento en la Ley de Transparencia y Acceso a la Información Pública del Estado de México y Municipios que establece lo siguiente: Artículo 12.-…” (Sic)</w:t>
      </w:r>
    </w:p>
    <w:p w:rsidR="00780DB9" w:rsidRDefault="00EE3D91">
      <w:pPr>
        <w:spacing w:after="160" w:line="360" w:lineRule="auto"/>
        <w:jc w:val="both"/>
      </w:pPr>
      <w:r>
        <w:rPr>
          <w:rFonts w:ascii="Palatino Linotype" w:eastAsia="Palatino Linotype" w:hAnsi="Palatino Linotype" w:cs="Palatino Linotype"/>
          <w:color w:val="000000"/>
        </w:rPr>
        <w:t xml:space="preserve">Ahora bien, inconforme con la solicitud de aclaración,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interpone el presente recurso de revisión, señalando como acto impugnado </w:t>
      </w:r>
      <w:r>
        <w:rPr>
          <w:rFonts w:ascii="Palatino Linotype" w:eastAsia="Palatino Linotype" w:hAnsi="Palatino Linotype" w:cs="Palatino Linotype"/>
          <w:i/>
          <w:color w:val="000000"/>
        </w:rPr>
        <w:t xml:space="preserve">“NO ENTREGA INFORMACIÓN.” </w:t>
      </w:r>
      <w:r>
        <w:rPr>
          <w:rFonts w:ascii="Palatino Linotype" w:eastAsia="Palatino Linotype" w:hAnsi="Palatino Linotype" w:cs="Palatino Linotype"/>
          <w:color w:val="000000"/>
        </w:rPr>
        <w:t>y razones o motivos de inconformidad:</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i/>
          <w:color w:val="000000"/>
        </w:rPr>
        <w:t xml:space="preserve">“No entrega la información siendo que la solicité por este medio, </w:t>
      </w:r>
      <w:r>
        <w:rPr>
          <w:rFonts w:ascii="Palatino Linotype" w:eastAsia="Palatino Linotype" w:hAnsi="Palatino Linotype" w:cs="Palatino Linotype"/>
          <w:b/>
          <w:i/>
          <w:color w:val="000000"/>
          <w:u w:val="single"/>
        </w:rPr>
        <w:t>precisa que se encuentra en sus instalaciones pero tiene la obligación de entregarla como yo la pido.”</w:t>
      </w:r>
      <w:r>
        <w:rPr>
          <w:rFonts w:ascii="Palatino Linotype" w:eastAsia="Palatino Linotype" w:hAnsi="Palatino Linotype" w:cs="Palatino Linotype"/>
          <w:color w:val="000000"/>
        </w:rPr>
        <w:t xml:space="preserve"> razones o motivos de inconformidad que encuadran en lo establecido en la fracción VIII del artículo 179 de la Ley de Transparencia y Acceso a la Información Pública del Estado de México y Municipios, los cuales establecen lo siguiente:</w:t>
      </w:r>
    </w:p>
    <w:p w:rsidR="00780DB9" w:rsidRDefault="00780DB9"/>
    <w:p w:rsidR="00780DB9" w:rsidRDefault="00EE3D91">
      <w:pPr>
        <w:spacing w:after="160"/>
        <w:ind w:left="567" w:right="616"/>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780DB9" w:rsidRDefault="00EE3D91">
      <w:pPr>
        <w:spacing w:after="160"/>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780DB9" w:rsidRDefault="00EE3D91">
      <w:pPr>
        <w:spacing w:after="160"/>
        <w:ind w:left="567" w:right="616"/>
        <w:jc w:val="both"/>
        <w:rPr>
          <w:b/>
          <w:color w:val="000000"/>
        </w:rPr>
      </w:pPr>
      <w:r>
        <w:rPr>
          <w:rFonts w:ascii="Palatino Linotype" w:eastAsia="Palatino Linotype" w:hAnsi="Palatino Linotype" w:cs="Palatino Linotype"/>
          <w:b/>
          <w:i/>
          <w:color w:val="000000"/>
          <w:sz w:val="22"/>
          <w:szCs w:val="22"/>
        </w:rPr>
        <w:t>VIII. La notificación, entrega o puesta a disposición de información en una modalidad o formato distinto al solicitado;”</w:t>
      </w:r>
    </w:p>
    <w:p w:rsidR="00780DB9" w:rsidRDefault="00780DB9"/>
    <w:p w:rsidR="00780DB9" w:rsidRDefault="00EE3D91">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Atentos a las razones o motivos de inconformidad, resulta necesario señalar respecto al cambio de modalidad 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la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rsidR="00780DB9" w:rsidRDefault="00780DB9">
      <w:pPr>
        <w:spacing w:before="160" w:line="360" w:lineRule="auto"/>
        <w:ind w:right="-28"/>
        <w:jc w:val="both"/>
        <w:rPr>
          <w:rFonts w:ascii="Palatino Linotype" w:eastAsia="Palatino Linotype" w:hAnsi="Palatino Linotype" w:cs="Palatino Linotype"/>
        </w:rPr>
      </w:pPr>
    </w:p>
    <w:p w:rsidR="00780DB9" w:rsidRDefault="00EE3D91">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780DB9" w:rsidRDefault="00780DB9">
      <w:pPr>
        <w:spacing w:line="360" w:lineRule="auto"/>
        <w:ind w:right="-28"/>
        <w:jc w:val="both"/>
        <w:rPr>
          <w:rFonts w:ascii="Palatino Linotype" w:eastAsia="Palatino Linotype" w:hAnsi="Palatino Linotype" w:cs="Palatino Linotype"/>
        </w:rPr>
      </w:pPr>
    </w:p>
    <w:p w:rsidR="00780DB9" w:rsidRDefault="00EE3D9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al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780DB9" w:rsidRDefault="00EE3D91">
      <w:pPr>
        <w:spacing w:before="240" w:after="240" w:line="276"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780DB9" w:rsidRDefault="00EE3D9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w:t>
      </w:r>
      <w:r>
        <w:rPr>
          <w:rFonts w:ascii="Palatino Linotype" w:eastAsia="Palatino Linotype" w:hAnsi="Palatino Linotype" w:cs="Palatino Linotype"/>
        </w:rPr>
        <w:lastRenderedPageBreak/>
        <w:t xml:space="preserve">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rsidR="00780DB9" w:rsidRDefault="00EE3D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al aludir la imposibilidad de entregar la información, el Ente Recurrido, debe proporcionar el Acta en donde su Comité de Transparencia, validará el cambio de modalidad solicitado.</w:t>
      </w:r>
    </w:p>
    <w:p w:rsidR="00780DB9" w:rsidRDefault="00EE3D9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780DB9" w:rsidRDefault="00EE3D91">
      <w:pPr>
        <w:numPr>
          <w:ilvl w:val="0"/>
          <w:numId w:val="2"/>
        </w:num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rsidR="00780DB9" w:rsidRDefault="00780DB9">
      <w:pPr>
        <w:spacing w:line="360" w:lineRule="auto"/>
        <w:ind w:left="720"/>
        <w:jc w:val="both"/>
        <w:rPr>
          <w:rFonts w:ascii="Palatino Linotype" w:eastAsia="Palatino Linotype" w:hAnsi="Palatino Linotype" w:cs="Palatino Linotype"/>
        </w:rPr>
      </w:pPr>
    </w:p>
    <w:p w:rsidR="00780DB9" w:rsidRDefault="00EE3D91">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rsidR="00780DB9" w:rsidRDefault="00780DB9">
      <w:pPr>
        <w:spacing w:line="360" w:lineRule="auto"/>
        <w:ind w:left="720"/>
        <w:rPr>
          <w:rFonts w:ascii="Palatino Linotype" w:eastAsia="Palatino Linotype" w:hAnsi="Palatino Linotype" w:cs="Palatino Linotype"/>
        </w:rPr>
      </w:pPr>
    </w:p>
    <w:p w:rsidR="00780DB9" w:rsidRDefault="00EE3D91">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rsidR="00780DB9" w:rsidRDefault="00780DB9">
      <w:pPr>
        <w:spacing w:line="360" w:lineRule="auto"/>
        <w:ind w:right="-28"/>
        <w:jc w:val="both"/>
        <w:rPr>
          <w:rFonts w:ascii="Palatino Linotype" w:eastAsia="Palatino Linotype" w:hAnsi="Palatino Linotype" w:cs="Palatino Linotype"/>
          <w:color w:val="000000"/>
        </w:rPr>
      </w:pPr>
    </w:p>
    <w:p w:rsidR="00780DB9" w:rsidRDefault="00EE3D91">
      <w:pPr>
        <w:spacing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consiguiente, en el presente asunto no se advierte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haya pretendido realizar un cambio de modalidad a consulta directa. </w:t>
      </w:r>
    </w:p>
    <w:p w:rsidR="00780DB9" w:rsidRDefault="00780DB9">
      <w:pPr>
        <w:spacing w:after="160"/>
        <w:jc w:val="both"/>
        <w:rPr>
          <w:rFonts w:ascii="Palatino Linotype" w:eastAsia="Palatino Linotype" w:hAnsi="Palatino Linotype" w:cs="Palatino Linotype"/>
          <w:color w:val="000000"/>
        </w:rPr>
      </w:pPr>
    </w:p>
    <w:p w:rsidR="00780DB9" w:rsidRDefault="00EE3D91">
      <w:pPr>
        <w:spacing w:after="160" w:line="360" w:lineRule="auto"/>
        <w:jc w:val="both"/>
      </w:pPr>
      <w:r>
        <w:rPr>
          <w:rFonts w:ascii="Palatino Linotype" w:eastAsia="Palatino Linotype" w:hAnsi="Palatino Linotype" w:cs="Palatino Linotype"/>
          <w:color w:val="000000"/>
        </w:rPr>
        <w:t xml:space="preserve">Ahora bien, en el caso particular, como quedó precisado en párrafos anteriores,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señaló que </w:t>
      </w:r>
      <w:r>
        <w:rPr>
          <w:rFonts w:ascii="Palatino Linotype" w:eastAsia="Palatino Linotype" w:hAnsi="Palatino Linotype" w:cs="Palatino Linotype"/>
          <w:b/>
          <w:color w:val="000000"/>
        </w:rPr>
        <w:t>el requerimiento no era específico y que en términos del artículo 12 y 24 de la ley de transparencia los sujetos obligados solo proporcionaran la información que obre en sus archivos,  sobre el cual se inconforma, sin que se aprecie que pretenda cambiar la modalidad de entrega de la información</w:t>
      </w:r>
      <w:r>
        <w:rPr>
          <w:rFonts w:ascii="Palatino Linotype" w:eastAsia="Palatino Linotype" w:hAnsi="Palatino Linotype" w:cs="Palatino Linotype"/>
          <w:color w:val="000000"/>
        </w:rPr>
        <w:t xml:space="preserve">, como lo refiere en sus motivos de inconformidad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w:t>
      </w:r>
    </w:p>
    <w:p w:rsidR="00780DB9" w:rsidRDefault="00EE3D91">
      <w:pP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esa virtud, si bien las razones o motivos de inconformidad se encuentran fundados para la procedencia de la interposición del recurso de revisión, al encuadrar en la hipótesis normativa de la fracción VIII del artículo 179 de la Ley de Transparencia Local, para la interposición del recurso de revisión, cuando se impugne el cambio de modalidad; también lo es que los mismos resultan inoperantes en el caso particular, toda vez que como quedó acreditado en párrafos anteriores, de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 se advierte que pretenda cambiar la modalidad de entrega de la información</w:t>
      </w:r>
      <w:r>
        <w:rPr>
          <w:rFonts w:ascii="Palatino Linotype" w:eastAsia="Palatino Linotype" w:hAnsi="Palatino Linotype" w:cs="Palatino Linotype"/>
          <w:color w:val="000000"/>
        </w:rPr>
        <w:t xml:space="preserve">, al manifestar que el requerimiento no es específico. </w:t>
      </w:r>
    </w:p>
    <w:p w:rsidR="00780DB9" w:rsidRDefault="00EE3D91">
      <w:pP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Aunado a lo anterior, no debemos perder de vista que mediante informe justificado,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subsanó su acto de respuesta inicial y manifestó lo siguiente: </w:t>
      </w:r>
    </w:p>
    <w:p w:rsidR="00780DB9" w:rsidRDefault="00EE3D91">
      <w:pP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eastAsia="es-MX"/>
        </w:rPr>
        <w:lastRenderedPageBreak/>
        <w:drawing>
          <wp:inline distT="0" distB="0" distL="0" distR="0">
            <wp:extent cx="5505450" cy="2371725"/>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1867" b="11071"/>
                    <a:stretch>
                      <a:fillRect/>
                    </a:stretch>
                  </pic:blipFill>
                  <pic:spPr>
                    <a:xfrm>
                      <a:off x="0" y="0"/>
                      <a:ext cx="5505450" cy="2371725"/>
                    </a:xfrm>
                    <a:prstGeom prst="rect">
                      <a:avLst/>
                    </a:prstGeom>
                    <a:ln/>
                  </pic:spPr>
                </pic:pic>
              </a:graphicData>
            </a:graphic>
          </wp:inline>
        </w:drawing>
      </w:r>
    </w:p>
    <w:p w:rsidR="00780DB9" w:rsidRDefault="00EE3D91">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Consecuentemente, se precisa que dichos pronunciamientos fueron vertidos por el Servidor Público Habilitado Competente, ello en razón de que la Unidad de Apoyo Administrativo es la unidad administrativa encargada de los recursos financieros, sirve de sustento la siguiente cita al Manual General de Organización de la Comisión de Conciliación y Arbitraje Médico del Estado de México:</w:t>
      </w:r>
    </w:p>
    <w:p w:rsidR="00780DB9" w:rsidRDefault="00780DB9">
      <w:pPr>
        <w:spacing w:line="360" w:lineRule="auto"/>
        <w:ind w:right="49"/>
        <w:jc w:val="both"/>
        <w:rPr>
          <w:rFonts w:ascii="Palatino Linotype" w:eastAsia="Palatino Linotype" w:hAnsi="Palatino Linotype" w:cs="Palatino Linotype"/>
          <w:color w:val="222222"/>
        </w:rPr>
      </w:pP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“211C10300 UNIDAD DE APOYO ADMINISTRATIVO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OBJETIVO: Gestionar, Administrar y Proporcionar con oportunidad el capital humano, así como los recursos materiales, servicios generales y recursos financieros, requeridos por las unidades administrativas de la Comisión para el desarrollo de sus funciones, atendiendo los criterios de eficiencia, racionalidad y disciplina presupuestales.</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FUNCIONES: </w:t>
      </w:r>
    </w:p>
    <w:p w:rsidR="00780DB9" w:rsidRDefault="00EE3D91">
      <w:pPr>
        <w:ind w:left="567" w:right="900"/>
        <w:jc w:val="both"/>
        <w:rPr>
          <w:rFonts w:ascii="Palatino Linotype" w:eastAsia="Palatino Linotype" w:hAnsi="Palatino Linotype" w:cs="Palatino Linotype"/>
          <w:b/>
          <w:i/>
          <w:color w:val="222222"/>
          <w:sz w:val="22"/>
          <w:szCs w:val="22"/>
        </w:rPr>
      </w:pPr>
      <w:r>
        <w:rPr>
          <w:rFonts w:ascii="Palatino Linotype" w:eastAsia="Palatino Linotype" w:hAnsi="Palatino Linotype" w:cs="Palatino Linotype"/>
          <w:b/>
          <w:i/>
          <w:color w:val="222222"/>
          <w:sz w:val="22"/>
          <w:szCs w:val="22"/>
        </w:rPr>
        <w:t xml:space="preserve">Planear, organizar y controlar el aprovisionamiento de los recursos materiales y financieros, estableciendo una coordinación estrecha con las dependencias correspondientes.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Formular el proyecto de presupuesto anual de egresos de la Comisión, en coordinación con las unidades administrativas del organismo y presentarlo a la o al Comisionado para su aprobación.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lastRenderedPageBreak/>
        <w:t xml:space="preserve">Integrar el programa anual de adquisiciones, arrendamientos, mantenimientos y servicios generales de la Comisión, con base en los lineamientos que en la materia emita la Secretaría de Finanzas.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Realizar las acciones de registro, mantenimiento y conservación de los bienes muebles, inmuebles y equipo asignado a las unidades administrativas de la Comisión.</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 Efectuar los trámites de altas, bajas, cambios, permisos, licencias y demás incidencias del personal adscrito a la Comisión. </w:t>
      </w:r>
    </w:p>
    <w:p w:rsidR="00780DB9" w:rsidRDefault="00EE3D91">
      <w:pPr>
        <w:ind w:left="567" w:right="900"/>
        <w:jc w:val="both"/>
        <w:rPr>
          <w:rFonts w:ascii="Palatino Linotype" w:eastAsia="Palatino Linotype" w:hAnsi="Palatino Linotype" w:cs="Palatino Linotype"/>
          <w:b/>
          <w:i/>
          <w:color w:val="222222"/>
          <w:sz w:val="22"/>
          <w:szCs w:val="22"/>
        </w:rPr>
      </w:pPr>
      <w:r>
        <w:rPr>
          <w:rFonts w:ascii="Palatino Linotype" w:eastAsia="Palatino Linotype" w:hAnsi="Palatino Linotype" w:cs="Palatino Linotype"/>
          <w:b/>
          <w:i/>
          <w:color w:val="222222"/>
          <w:sz w:val="22"/>
          <w:szCs w:val="22"/>
        </w:rPr>
        <w:t xml:space="preserve">Dirigir las actividades relativas al reclutamiento, selección, contratación, inducción, capacitación y desarrollo del personal de la Comisión, así como el control de incidencias, pago de remuneraciones y demás actividades relativas al manejo de personal.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Mantener actualizada la plantilla de plazas de la Comisión, así como los expedientes de personal bajo su adscripción.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Mantener informado a la o al Comisionado sobre el avance y comportamiento del ejercicio del presupuesto de gasto corriente y de inversión, así como atender los requerimientos de información presupuestal y financiera que le sean solicitados. Cumplir y vigilar que se observen las disposiciones de racionalidad, austeridad y disciplina presupuestales, así como los lineamientos, políticas y demás normas administrativas emitidas. </w:t>
      </w:r>
    </w:p>
    <w:p w:rsidR="00780DB9" w:rsidRDefault="00EE3D91">
      <w:pPr>
        <w:ind w:left="567" w:right="900"/>
        <w:jc w:val="both"/>
        <w:rPr>
          <w:rFonts w:ascii="Palatino Linotype" w:eastAsia="Palatino Linotype" w:hAnsi="Palatino Linotype" w:cs="Palatino Linotype"/>
          <w:b/>
          <w:i/>
          <w:color w:val="222222"/>
          <w:sz w:val="22"/>
          <w:szCs w:val="22"/>
        </w:rPr>
      </w:pPr>
      <w:r>
        <w:rPr>
          <w:rFonts w:ascii="Palatino Linotype" w:eastAsia="Palatino Linotype" w:hAnsi="Palatino Linotype" w:cs="Palatino Linotype"/>
          <w:b/>
          <w:i/>
          <w:color w:val="222222"/>
          <w:sz w:val="22"/>
          <w:szCs w:val="22"/>
        </w:rPr>
        <w:t xml:space="preserve">Vigilar la suficiencia y disponibilidad de efectivo que requiera la Comisión para el desarrollo de sus funciones. </w:t>
      </w:r>
    </w:p>
    <w:p w:rsidR="00780DB9" w:rsidRDefault="00EE3D91">
      <w:pPr>
        <w:ind w:left="567" w:right="900"/>
        <w:jc w:val="both"/>
        <w:rPr>
          <w:rFonts w:ascii="Palatino Linotype" w:eastAsia="Palatino Linotype" w:hAnsi="Palatino Linotype" w:cs="Palatino Linotype"/>
          <w:b/>
          <w:i/>
          <w:color w:val="222222"/>
          <w:sz w:val="22"/>
          <w:szCs w:val="22"/>
        </w:rPr>
      </w:pPr>
      <w:r>
        <w:rPr>
          <w:rFonts w:ascii="Palatino Linotype" w:eastAsia="Palatino Linotype" w:hAnsi="Palatino Linotype" w:cs="Palatino Linotype"/>
          <w:b/>
          <w:i/>
          <w:color w:val="222222"/>
          <w:sz w:val="22"/>
          <w:szCs w:val="22"/>
        </w:rPr>
        <w:t xml:space="preserve">Formular los estados financieros y los reportes relativos al ejercicio del presupuesto de la Comisión, de conformidad con la normatividad vigente en la materia. </w:t>
      </w:r>
    </w:p>
    <w:p w:rsidR="00780DB9" w:rsidRDefault="00EE3D91">
      <w:pPr>
        <w:ind w:left="567" w:right="900"/>
        <w:jc w:val="both"/>
        <w:rPr>
          <w:rFonts w:ascii="Palatino Linotype" w:eastAsia="Palatino Linotype" w:hAnsi="Palatino Linotype" w:cs="Palatino Linotype"/>
          <w:b/>
          <w:i/>
          <w:color w:val="222222"/>
          <w:sz w:val="22"/>
          <w:szCs w:val="22"/>
        </w:rPr>
      </w:pPr>
      <w:r>
        <w:rPr>
          <w:rFonts w:ascii="Palatino Linotype" w:eastAsia="Palatino Linotype" w:hAnsi="Palatino Linotype" w:cs="Palatino Linotype"/>
          <w:b/>
          <w:i/>
          <w:color w:val="222222"/>
          <w:sz w:val="22"/>
          <w:szCs w:val="22"/>
        </w:rPr>
        <w:t xml:space="preserve">Recopilar e integrar la información financiera que se requiera para la formulación de la cuenta pública.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Verificar que los contratos, estimaciones y adquisiciones de bienes y servicios cumplan con la normatividad vigente en la materia, así como con lo presupuestado y con los programas establecidos.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Coordinar la elaboración y actualización permanente de los manuales de organización y procedimientos de las unidades administrativas que integran la Comisión.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Realizar los pagos a las y los proveedores de bienes y servicios, de conformidad con la normatividad en la materia.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Proporcionar los servicios generales y de apoyo requeridos para eventos oficiales de la Comisión.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lastRenderedPageBreak/>
        <w:t xml:space="preserve">Programar y realizar el seguimiento a las metas programático-presupuestales de cada área, a efecto de elaborar los informes mensuales, trimestrales y anuales que den cuenta de las actividades desarrolladas por la Comisión.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Participar en los Comités de Adquisiciones y Servicios y en el de Arrendamientos, Adquisiciones de Inmuebles y Enajenaciones.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 xml:space="preserve">Comprobar que los bienes muebles, vehículos, equipos e inmuebles se encuentren asegurados en la modalidad que corresponda y de conformidad con la disponibilidad presupuestal respectiva. </w:t>
      </w:r>
    </w:p>
    <w:p w:rsidR="00780DB9" w:rsidRDefault="00EE3D91">
      <w:pPr>
        <w:ind w:left="567" w:right="900"/>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Desarrollar las demás funciones inherentes al área de su competencia.”</w:t>
      </w:r>
    </w:p>
    <w:p w:rsidR="00780DB9" w:rsidRDefault="00780DB9">
      <w:pPr>
        <w:ind w:left="567" w:right="900"/>
        <w:jc w:val="both"/>
        <w:rPr>
          <w:rFonts w:ascii="Palatino Linotype" w:eastAsia="Palatino Linotype" w:hAnsi="Palatino Linotype" w:cs="Palatino Linotype"/>
          <w:i/>
          <w:color w:val="222222"/>
          <w:sz w:val="22"/>
          <w:szCs w:val="22"/>
        </w:rPr>
      </w:pPr>
    </w:p>
    <w:p w:rsidR="00780DB9" w:rsidRDefault="00EE3D9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Por lo que al haber realizado la búsqueda exhaustiva y razonable en los archivos y al haberse pronunciado el Servidor Público Competente de la Unidad de Apoyo Administrativo, </w:t>
      </w:r>
      <w:r>
        <w:rPr>
          <w:rFonts w:ascii="Palatino Linotype" w:eastAsia="Palatino Linotype" w:hAnsi="Palatino Linotype" w:cs="Palatino Linotype"/>
        </w:rPr>
        <w:t>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rsidR="00780DB9" w:rsidRDefault="00780DB9">
      <w:pPr>
        <w:tabs>
          <w:tab w:val="left" w:pos="709"/>
        </w:tabs>
        <w:ind w:left="567" w:right="1324"/>
        <w:jc w:val="both"/>
        <w:rPr>
          <w:rFonts w:ascii="Palatino Linotype" w:eastAsia="Palatino Linotype" w:hAnsi="Palatino Linotype" w:cs="Palatino Linotype"/>
          <w:b/>
          <w:i/>
          <w:sz w:val="22"/>
          <w:szCs w:val="22"/>
        </w:rPr>
      </w:pPr>
    </w:p>
    <w:p w:rsidR="00780DB9" w:rsidRDefault="00EE3D91">
      <w:pPr>
        <w:tabs>
          <w:tab w:val="left" w:pos="709"/>
        </w:tabs>
        <w:ind w:left="567" w:right="132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Pr>
          <w:rFonts w:ascii="Palatino Linotype" w:eastAsia="Palatino Linotype" w:hAnsi="Palatino Linotype" w:cs="Palatino Linotype"/>
          <w:i/>
          <w:sz w:val="22"/>
          <w:szCs w:val="22"/>
        </w:rPr>
        <w:lastRenderedPageBreak/>
        <w:t>Instituto Federal de Acceso a la Información y Protección de Datos conocer, vía recurso revisión, al respecto.</w:t>
      </w:r>
      <w:r>
        <w:rPr>
          <w:rFonts w:ascii="Palatino Linotype" w:eastAsia="Palatino Linotype" w:hAnsi="Palatino Linotype" w:cs="Palatino Linotype"/>
          <w:b/>
          <w:i/>
          <w:sz w:val="22"/>
          <w:szCs w:val="22"/>
        </w:rPr>
        <w:t>”</w:t>
      </w:r>
    </w:p>
    <w:p w:rsidR="00780DB9" w:rsidRDefault="00780DB9">
      <w:pPr>
        <w:spacing w:line="360" w:lineRule="auto"/>
        <w:jc w:val="both"/>
        <w:rPr>
          <w:rFonts w:ascii="Palatino Linotype" w:eastAsia="Palatino Linotype" w:hAnsi="Palatino Linotype" w:cs="Palatino Linotype"/>
        </w:rPr>
      </w:pPr>
    </w:p>
    <w:p w:rsidR="00780DB9" w:rsidRDefault="00EE3D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el artículo 4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dispositivo legal en comento que a la letra señala:</w:t>
      </w:r>
    </w:p>
    <w:p w:rsidR="00780DB9" w:rsidRDefault="00780DB9">
      <w:pPr>
        <w:spacing w:line="360" w:lineRule="auto"/>
        <w:ind w:left="426"/>
        <w:jc w:val="both"/>
        <w:rPr>
          <w:rFonts w:ascii="Palatino Linotype" w:eastAsia="Palatino Linotype" w:hAnsi="Palatino Linotype" w:cs="Palatino Linotype"/>
        </w:rPr>
      </w:pPr>
    </w:p>
    <w:p w:rsidR="00780DB9" w:rsidRDefault="00EE3D91">
      <w:pPr>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780DB9" w:rsidRDefault="00780DB9">
      <w:pPr>
        <w:spacing w:line="360" w:lineRule="auto"/>
        <w:ind w:left="426"/>
        <w:jc w:val="both"/>
        <w:rPr>
          <w:rFonts w:ascii="Palatino Linotype" w:eastAsia="Palatino Linotype" w:hAnsi="Palatino Linotype" w:cs="Palatino Linotype"/>
        </w:rPr>
      </w:pPr>
    </w:p>
    <w:p w:rsidR="00780DB9" w:rsidRDefault="00EE3D9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Numerales que compelen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apegarse en todo momento a los criterios ya expuestos, impidiendo a este Órgano Colegiado cuestionar la veracidad de la información.</w:t>
      </w:r>
    </w:p>
    <w:p w:rsidR="00780DB9" w:rsidRDefault="00780DB9">
      <w:pPr>
        <w:spacing w:line="360" w:lineRule="auto"/>
        <w:jc w:val="both"/>
        <w:rPr>
          <w:rFonts w:ascii="Palatino Linotype" w:eastAsia="Palatino Linotype" w:hAnsi="Palatino Linotype" w:cs="Palatino Linotype"/>
        </w:rPr>
      </w:pPr>
    </w:p>
    <w:p w:rsidR="00780DB9" w:rsidRPr="00EE3D91" w:rsidRDefault="00EE3D91">
      <w:pP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orden de ideas, podemos llegar a la conclusión de la inexistencia del acto reclamado, al acreditarse con las constancias que integran el expediente,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pretendió cambiar la modalidad de entrega de la información</w:t>
      </w:r>
      <w:r>
        <w:rPr>
          <w:rFonts w:ascii="Palatino Linotype" w:eastAsia="Palatino Linotype" w:hAnsi="Palatino Linotype" w:cs="Palatino Linotype"/>
        </w:rPr>
        <w:t xml:space="preserve">. </w:t>
      </w:r>
    </w:p>
    <w:p w:rsidR="00780DB9" w:rsidRDefault="00EE3D91">
      <w:pPr>
        <w:spacing w:after="160" w:line="360" w:lineRule="auto"/>
        <w:jc w:val="both"/>
      </w:pPr>
      <w:r>
        <w:rPr>
          <w:rFonts w:ascii="Palatino Linotype" w:eastAsia="Palatino Linotype" w:hAnsi="Palatino Linotype" w:cs="Palatino Linotype"/>
          <w:color w:val="000000"/>
        </w:rPr>
        <w:t xml:space="preserve">Por consiguiente, en estricto derecho la alegación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780DB9" w:rsidRDefault="00EE3D91">
      <w:pPr>
        <w:spacing w:after="160" w:line="360" w:lineRule="auto"/>
        <w:jc w:val="both"/>
      </w:pPr>
      <w:r>
        <w:rPr>
          <w:rFonts w:ascii="Palatino Linotype" w:eastAsia="Palatino Linotype" w:hAnsi="Palatino Linotype" w:cs="Palatino Linotype"/>
          <w:color w:val="000000"/>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rsidR="00780DB9" w:rsidRDefault="00780DB9"/>
    <w:p w:rsidR="00780DB9" w:rsidRDefault="00EE3D91">
      <w:pPr>
        <w:spacing w:after="160"/>
        <w:ind w:left="567" w:right="616"/>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w:t>
      </w:r>
      <w:r>
        <w:rPr>
          <w:rFonts w:ascii="Palatino Linotype" w:eastAsia="Palatino Linotype" w:hAnsi="Palatino Linotype" w:cs="Palatino Linotype"/>
          <w:i/>
          <w:color w:val="000000"/>
          <w:sz w:val="22"/>
          <w:szCs w:val="22"/>
          <w:u w:val="single"/>
        </w:rPr>
        <w:t>sobreseído</w:t>
      </w:r>
      <w:r>
        <w:rPr>
          <w:rFonts w:ascii="Palatino Linotype" w:eastAsia="Palatino Linotype" w:hAnsi="Palatino Linotype" w:cs="Palatino Linotype"/>
          <w:i/>
          <w:color w:val="000000"/>
          <w:sz w:val="22"/>
          <w:szCs w:val="22"/>
        </w:rPr>
        <w:t>, en todo o en parte, cuando una vez admitido, se actualicen alguno de los siguientes supuestos:</w:t>
      </w:r>
    </w:p>
    <w:p w:rsidR="00780DB9" w:rsidRDefault="00EE3D91">
      <w:pPr>
        <w:spacing w:after="160"/>
        <w:ind w:left="567" w:right="616"/>
        <w:jc w:val="both"/>
      </w:pPr>
      <w:r>
        <w:rPr>
          <w:rFonts w:ascii="Palatino Linotype" w:eastAsia="Palatino Linotype" w:hAnsi="Palatino Linotype" w:cs="Palatino Linotype"/>
          <w:i/>
          <w:color w:val="000000"/>
          <w:sz w:val="22"/>
          <w:szCs w:val="22"/>
        </w:rPr>
        <w:lastRenderedPageBreak/>
        <w:t>(…)</w:t>
      </w:r>
    </w:p>
    <w:p w:rsidR="00780DB9" w:rsidRDefault="00EE3D91">
      <w:pPr>
        <w:spacing w:after="160"/>
        <w:ind w:left="567" w:right="616"/>
        <w:jc w:val="both"/>
      </w:pPr>
      <w:r>
        <w:rPr>
          <w:rFonts w:ascii="Palatino Linotype" w:eastAsia="Palatino Linotype" w:hAnsi="Palatino Linotype" w:cs="Palatino Linotype"/>
          <w:i/>
          <w:color w:val="000000"/>
          <w:sz w:val="22"/>
          <w:szCs w:val="22"/>
        </w:rPr>
        <w:t>V. Cuando por cualquier motivo quede sin materia el recurso.</w:t>
      </w:r>
      <w:r>
        <w:rPr>
          <w:rFonts w:ascii="Palatino Linotype" w:eastAsia="Palatino Linotype" w:hAnsi="Palatino Linotype" w:cs="Palatino Linotype"/>
          <w:i/>
          <w:color w:val="000000"/>
          <w:sz w:val="22"/>
          <w:szCs w:val="22"/>
        </w:rPr>
        <w:br/>
        <w:t xml:space="preserve"> (…)”</w:t>
      </w:r>
    </w:p>
    <w:p w:rsidR="00780DB9" w:rsidRDefault="00EE3D91">
      <w:pPr>
        <w:spacing w:after="160"/>
        <w:ind w:right="616"/>
        <w:rPr>
          <w:i/>
        </w:rPr>
      </w:pPr>
      <w:r>
        <w:rPr>
          <w:rFonts w:ascii="Palatino Linotype" w:eastAsia="Palatino Linotype" w:hAnsi="Palatino Linotype" w:cs="Palatino Linotype"/>
          <w:i/>
          <w:color w:val="000000"/>
          <w:sz w:val="22"/>
          <w:szCs w:val="22"/>
        </w:rPr>
        <w:t xml:space="preserve">          (Énfasis añadido)</w:t>
      </w:r>
    </w:p>
    <w:p w:rsidR="00780DB9" w:rsidRDefault="00EE3D91">
      <w:pPr>
        <w:spacing w:after="160" w:line="360" w:lineRule="auto"/>
        <w:jc w:val="both"/>
      </w:pPr>
      <w:r>
        <w:rPr>
          <w:rFonts w:ascii="Palatino Linotype" w:eastAsia="Palatino Linotype" w:hAnsi="Palatino Linotype" w:cs="Palatino Linotype"/>
          <w:color w:val="000000"/>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en ningún momento pretendió cambiar la modalidad de entrega la información peticionada.</w:t>
      </w:r>
    </w:p>
    <w:p w:rsidR="00780DB9" w:rsidRDefault="00780DB9">
      <w:pPr>
        <w:spacing w:line="360" w:lineRule="auto"/>
        <w:jc w:val="both"/>
        <w:rPr>
          <w:rFonts w:ascii="Palatino Linotype" w:eastAsia="Palatino Linotype" w:hAnsi="Palatino Linotype" w:cs="Palatino Linotype"/>
        </w:rPr>
      </w:pPr>
    </w:p>
    <w:p w:rsidR="00780DB9" w:rsidRDefault="00EE3D91">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 xml:space="preserve">Bajo ese tenor y en términos de los artículos 186 fracción I, y 192, fracción V este Pleno determina el </w:t>
      </w:r>
      <w:r>
        <w:rPr>
          <w:rFonts w:ascii="Palatino Linotype" w:eastAsia="Palatino Linotype" w:hAnsi="Palatino Linotype" w:cs="Palatino Linotype"/>
          <w:b/>
        </w:rPr>
        <w:t xml:space="preserve">SOBRESEIMIENTO </w:t>
      </w:r>
      <w:r>
        <w:rPr>
          <w:rFonts w:ascii="Palatino Linotype" w:eastAsia="Palatino Linotype" w:hAnsi="Palatino Linotype" w:cs="Palatino Linotype"/>
        </w:rPr>
        <w:t>del presente recurso de revisión, toda vez que la afectación al derecho de acceso a la información pública establecido constitucionalmente a favor del particular, ha sido resarcida.</w:t>
      </w:r>
    </w:p>
    <w:p w:rsidR="00780DB9" w:rsidRDefault="00780DB9">
      <w:pPr>
        <w:spacing w:line="360" w:lineRule="auto"/>
        <w:jc w:val="both"/>
        <w:rPr>
          <w:rFonts w:ascii="Palatino Linotype" w:eastAsia="Palatino Linotype" w:hAnsi="Palatino Linotype" w:cs="Palatino Linotype"/>
        </w:rPr>
      </w:pPr>
    </w:p>
    <w:p w:rsidR="00780DB9" w:rsidRDefault="00EE3D91">
      <w:pP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w:t>
      </w:r>
      <w:r>
        <w:rPr>
          <w:rFonts w:ascii="Palatino Linotype" w:eastAsia="Palatino Linotype" w:hAnsi="Palatino Linotype" w:cs="Palatino Linotype"/>
          <w:b/>
          <w:color w:val="000000"/>
        </w:rPr>
        <w:t xml:space="preserve">con fundamento en la segunda hipótesis de la fracción I del artículo 186, </w:t>
      </w:r>
      <w:r>
        <w:rPr>
          <w:rFonts w:ascii="Palatino Linotype" w:eastAsia="Palatino Linotype" w:hAnsi="Palatino Linotype" w:cs="Palatino Linotype"/>
          <w:color w:val="000000"/>
        </w:rPr>
        <w:t xml:space="preserve">de la Ley de Transparencia y Acceso a la Información Pública del Estado de México y Municipios, se </w:t>
      </w:r>
      <w:r>
        <w:rPr>
          <w:rFonts w:ascii="Palatino Linotype" w:eastAsia="Palatino Linotype" w:hAnsi="Palatino Linotype" w:cs="Palatino Linotype"/>
          <w:b/>
          <w:color w:val="000000"/>
        </w:rPr>
        <w:t xml:space="preserve">SOBRESEE </w:t>
      </w:r>
      <w:r>
        <w:rPr>
          <w:rFonts w:ascii="Palatino Linotype" w:eastAsia="Palatino Linotype" w:hAnsi="Palatino Linotype" w:cs="Palatino Linotype"/>
          <w:color w:val="000000"/>
        </w:rPr>
        <w:t xml:space="preserve">el recurso de revisión </w:t>
      </w:r>
      <w:r>
        <w:rPr>
          <w:rFonts w:ascii="Palatino Linotype" w:eastAsia="Palatino Linotype" w:hAnsi="Palatino Linotype" w:cs="Palatino Linotype"/>
          <w:b/>
          <w:color w:val="000000"/>
        </w:rPr>
        <w:t>00284/INFOEM/IP/RR/2022</w:t>
      </w:r>
      <w:r>
        <w:rPr>
          <w:rFonts w:ascii="Palatino Linotype" w:eastAsia="Palatino Linotype" w:hAnsi="Palatino Linotype" w:cs="Palatino Linotype"/>
          <w:color w:val="000000"/>
        </w:rPr>
        <w:t>, que ha sido materia del presente fallo.</w:t>
      </w:r>
    </w:p>
    <w:p w:rsidR="00780DB9" w:rsidRDefault="00EE3D91">
      <w:pPr>
        <w:spacing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sin antes mencionar que se advierte que el particular pretendía tener acceso a </w:t>
      </w:r>
      <w:r>
        <w:rPr>
          <w:rFonts w:ascii="Palatino Linotype" w:eastAsia="Palatino Linotype" w:hAnsi="Palatino Linotype" w:cs="Palatino Linotype"/>
          <w:i/>
          <w:color w:val="000000"/>
        </w:rPr>
        <w:t xml:space="preserve">“Saber sí ahora si pagarán a tiempo las nóminas 23 y 24 del 2021, </w:t>
      </w:r>
      <w:r>
        <w:rPr>
          <w:rFonts w:ascii="Palatino Linotype" w:eastAsia="Palatino Linotype" w:hAnsi="Palatino Linotype" w:cs="Palatino Linotype"/>
          <w:color w:val="000000"/>
        </w:rPr>
        <w:t>debe precisarse que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en esta circunstancia nos encontramos en el ejercicio del derecho de petición </w:t>
      </w:r>
      <w:r>
        <w:rPr>
          <w:rFonts w:ascii="Palatino Linotype" w:eastAsia="Palatino Linotype" w:hAnsi="Palatino Linotype" w:cs="Palatino Linotype"/>
          <w:color w:val="000000"/>
        </w:rPr>
        <w:lastRenderedPageBreak/>
        <w:t>consagrado en el numeral 8 de nuestra Carta Magna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y no de acceso a la información pública, toda vez que el Recurrente emitió un pronunciamiento que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r>
        <w:rPr>
          <w:rFonts w:ascii="Palatino Linotype" w:eastAsia="Palatino Linotype" w:hAnsi="Palatino Linotype" w:cs="Palatino Linotype"/>
        </w:rPr>
        <w:t xml:space="preserve">, no obstante el Sujeto Obligado mediante informe justificado contesta dicho cuestionamiento. </w:t>
      </w:r>
    </w:p>
    <w:p w:rsidR="00780DB9" w:rsidRDefault="00EE3D91">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Finalmente, no pasa inadvertido para este Pleno que en la solicitud de información que ahora se estudia, se presentaron faltas de respeto a servidor público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por lo que se insta </w:t>
      </w:r>
      <w:r>
        <w:rPr>
          <w:rFonts w:ascii="Palatino Linotype" w:eastAsia="Palatino Linotype" w:hAnsi="Palatino Linotype" w:cs="Palatino Linotype"/>
          <w:b/>
          <w:color w:val="000000"/>
        </w:rPr>
        <w:t>al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a dirigirse de forma respetuosa y pacífica, bajo las siguientes consideraciones: </w:t>
      </w:r>
    </w:p>
    <w:p w:rsidR="00780DB9" w:rsidRDefault="00EE3D91">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 </w:t>
      </w:r>
    </w:p>
    <w:p w:rsidR="00780DB9" w:rsidRDefault="00EE3D91">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Es menester primeramente señalar que tanto el derecho de acceso a la información pública y el derecho de petición consagrados respectivamente en el los artículos 6° y 8° de la Constitución Política de los Estados Unidos Mexicanos, son derechos fundamentales ubicados en el capítulo de los derechos de seguridad jurídica, ambos tienen como fin primordial garantizar que la autoridad atienda las peticiones y </w:t>
      </w:r>
      <w:r>
        <w:rPr>
          <w:rFonts w:ascii="Palatino Linotype" w:eastAsia="Palatino Linotype" w:hAnsi="Palatino Linotype" w:cs="Palatino Linotype"/>
          <w:color w:val="222222"/>
        </w:rPr>
        <w:lastRenderedPageBreak/>
        <w:t>solicitudes de las personas, ambos se vinculan entre sí, pues garantizan a los gobernados el derecho a que se les dé respuesta a sus peticiones, tal como lo establece la siguiente tesis: </w:t>
      </w:r>
    </w:p>
    <w:p w:rsidR="00780DB9" w:rsidRDefault="00780DB9">
      <w:pPr>
        <w:pBdr>
          <w:top w:val="nil"/>
          <w:left w:val="nil"/>
          <w:bottom w:val="nil"/>
          <w:right w:val="nil"/>
          <w:between w:val="nil"/>
        </w:pBdr>
        <w:shd w:val="clear" w:color="auto" w:fill="FFFFFF"/>
        <w:jc w:val="both"/>
        <w:rPr>
          <w:color w:val="000000"/>
        </w:rPr>
      </w:pP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b/>
          <w:i/>
          <w:color w:val="222222"/>
          <w:sz w:val="22"/>
          <w:szCs w:val="22"/>
        </w:rPr>
        <w:t> “DERECHO DE PETICIÓN. SU RELACIÓN DE SINERGIA CON EL DERECHO A LA INFORMACIÓN.</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El derecho de petición consagrado en el artículo 8o. constitucional implica la obligación de las autoridades de dictar a una petición hecha por escrito, esté bien o mal formulada, un acuerdo, también por escrito que debe hacerse saber en breve término al peticionario. Por su parte, el artículo 6o. de la propia Constitución Federal establece que el derecho a la información será garantizado por el Estado. Ambos derechos, reconocidos además en tratados internacionales y leyes reglamentarias,</w:t>
      </w:r>
      <w:r>
        <w:rPr>
          <w:rFonts w:ascii="Palatino Linotype" w:eastAsia="Palatino Linotype" w:hAnsi="Palatino Linotype" w:cs="Palatino Linotype"/>
          <w:b/>
          <w:i/>
          <w:color w:val="222222"/>
          <w:sz w:val="22"/>
          <w:szCs w:val="22"/>
        </w:rPr>
        <w:t xml:space="preserve"> </w:t>
      </w:r>
      <w:r>
        <w:rPr>
          <w:rFonts w:ascii="Palatino Linotype" w:eastAsia="Palatino Linotype" w:hAnsi="Palatino Linotype" w:cs="Palatino Linotype"/>
          <w:b/>
          <w:i/>
          <w:color w:val="222222"/>
          <w:sz w:val="22"/>
          <w:szCs w:val="22"/>
          <w:u w:val="single"/>
        </w:rPr>
        <w:t>se encuentran vinculados y relacionados en la medida que garantizan a los gobernados el derecho</w:t>
      </w:r>
      <w:r>
        <w:rPr>
          <w:rFonts w:ascii="Palatino Linotype" w:eastAsia="Palatino Linotype" w:hAnsi="Palatino Linotype" w:cs="Palatino Linotype"/>
          <w:i/>
          <w:color w:val="222222"/>
          <w:sz w:val="22"/>
          <w:szCs w:val="22"/>
        </w:rPr>
        <w:t>,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CUARTO TRIBUNAL COLEGIADO EN MATERIA ADMINISTRATIVA DEL PRIMER CIRCUITO.</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I.4o.A.435 A </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Amparo en revisión 795/2003. Comité Vecinal de la Colonia del Valle Sur. 21 de abril de 2004. Unanimidad de votos. Ponente: Jean Claude </w:t>
      </w:r>
      <w:proofErr w:type="spellStart"/>
      <w:r>
        <w:rPr>
          <w:rFonts w:ascii="Palatino Linotype" w:eastAsia="Palatino Linotype" w:hAnsi="Palatino Linotype" w:cs="Palatino Linotype"/>
          <w:i/>
          <w:color w:val="222222"/>
          <w:sz w:val="22"/>
          <w:szCs w:val="22"/>
        </w:rPr>
        <w:t>Tron</w:t>
      </w:r>
      <w:proofErr w:type="spellEnd"/>
      <w:r>
        <w:rPr>
          <w:rFonts w:ascii="Palatino Linotype" w:eastAsia="Palatino Linotype" w:hAnsi="Palatino Linotype" w:cs="Palatino Linotype"/>
          <w:i/>
          <w:color w:val="222222"/>
          <w:sz w:val="22"/>
          <w:szCs w:val="22"/>
        </w:rPr>
        <w:t xml:space="preserve"> </w:t>
      </w:r>
      <w:proofErr w:type="spellStart"/>
      <w:r>
        <w:rPr>
          <w:rFonts w:ascii="Palatino Linotype" w:eastAsia="Palatino Linotype" w:hAnsi="Palatino Linotype" w:cs="Palatino Linotype"/>
          <w:i/>
          <w:color w:val="222222"/>
          <w:sz w:val="22"/>
          <w:szCs w:val="22"/>
        </w:rPr>
        <w:t>Petit</w:t>
      </w:r>
      <w:proofErr w:type="spellEnd"/>
      <w:r>
        <w:rPr>
          <w:rFonts w:ascii="Palatino Linotype" w:eastAsia="Palatino Linotype" w:hAnsi="Palatino Linotype" w:cs="Palatino Linotype"/>
          <w:i/>
          <w:color w:val="222222"/>
          <w:sz w:val="22"/>
          <w:szCs w:val="22"/>
        </w:rPr>
        <w:t>. Secretario: Alfredo A. Martínez Jiménez.</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Instancia: Tribunales Colegiados de Circuito. Fuente: Semanario Judicial de la Federación y su Gaceta, Novena </w:t>
      </w:r>
      <w:proofErr w:type="spellStart"/>
      <w:r>
        <w:rPr>
          <w:rFonts w:ascii="Palatino Linotype" w:eastAsia="Palatino Linotype" w:hAnsi="Palatino Linotype" w:cs="Palatino Linotype"/>
          <w:i/>
          <w:color w:val="222222"/>
          <w:sz w:val="22"/>
          <w:szCs w:val="22"/>
        </w:rPr>
        <w:t>Epoca</w:t>
      </w:r>
      <w:proofErr w:type="spellEnd"/>
      <w:r>
        <w:rPr>
          <w:rFonts w:ascii="Palatino Linotype" w:eastAsia="Palatino Linotype" w:hAnsi="Palatino Linotype" w:cs="Palatino Linotype"/>
          <w:i/>
          <w:color w:val="222222"/>
          <w:sz w:val="22"/>
          <w:szCs w:val="22"/>
        </w:rPr>
        <w:t>. Tomo XX, Agosto de 2004. Pág. 1589. Tesis Aislada.”</w:t>
      </w:r>
    </w:p>
    <w:p w:rsidR="00780DB9" w:rsidRDefault="00EE3D91">
      <w:pPr>
        <w:pBdr>
          <w:top w:val="nil"/>
          <w:left w:val="nil"/>
          <w:bottom w:val="nil"/>
          <w:right w:val="nil"/>
          <w:between w:val="nil"/>
        </w:pBdr>
        <w:shd w:val="clear" w:color="auto" w:fill="FFFFFF"/>
        <w:spacing w:before="280" w:after="280" w:line="360" w:lineRule="auto"/>
        <w:ind w:right="-28"/>
        <w:jc w:val="both"/>
        <w:rPr>
          <w:color w:val="000000"/>
        </w:rPr>
      </w:pPr>
      <w:r>
        <w:rPr>
          <w:rFonts w:ascii="Palatino Linotype" w:eastAsia="Palatino Linotype" w:hAnsi="Palatino Linotype" w:cs="Palatino Linotype"/>
          <w:color w:val="222222"/>
        </w:rPr>
        <w:t>Por lo que en esta tesitura, al respecto es de mencionar que sirve como analogía  al Derecho de Acceso a la información lo relacionado con los elementos para el  ejercicio del Derecho de petición, en donde la petición en nuestro caso solicitud debe formularse de manera pacífica y respetuosa, y de acuerdo a los elementos siguientes;</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b/>
          <w:i/>
          <w:color w:val="222222"/>
          <w:sz w:val="22"/>
          <w:szCs w:val="22"/>
        </w:rPr>
        <w:lastRenderedPageBreak/>
        <w:t>“DERECHO DE PETICIÓN, SUS ELEMENTOS.</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El denominado "derecho de petición", acorde con los criterios de los Tribunales del Poder Judicial de la Federación, es la garantía individual consagrada en el artículo 8o. constitucional, en función de la cual cualquier gobernado que presente una petición ante una autoridad, tiene derecho a recibir una respuesta. Su ejercicio por el particular y la correlativa obligación de la autoridad de producir una respuesta, se caracterizan por los elementos que enseguida se enlistan: A. La petición: debe </w:t>
      </w:r>
      <w:r>
        <w:rPr>
          <w:rFonts w:ascii="Palatino Linotype" w:eastAsia="Palatino Linotype" w:hAnsi="Palatino Linotype" w:cs="Palatino Linotype"/>
          <w:b/>
          <w:i/>
          <w:color w:val="222222"/>
          <w:sz w:val="22"/>
          <w:szCs w:val="22"/>
          <w:u w:val="single"/>
        </w:rPr>
        <w:t>formularse de manera pacífica y respetuosa;</w:t>
      </w:r>
      <w:r>
        <w:rPr>
          <w:rFonts w:ascii="Palatino Linotype" w:eastAsia="Palatino Linotype" w:hAnsi="Palatino Linotype" w:cs="Palatino Linotype"/>
          <w:i/>
          <w:color w:val="222222"/>
          <w:sz w:val="22"/>
          <w:szCs w:val="22"/>
        </w:rPr>
        <w:t xml:space="preserve"> ser dirigida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tendrá que ser congruente con la petición; la autoridad debe notificar el acuerdo recaído a la petición en forma personal al gobernado en el domicilio que señaló para tales efectos; no existe obligación de resolver en determinado sentido, esto es, el ejercicio del derecho de petición no constriñe a la autoridad ante quien se formuló, a que provea necesariamente de conformidad lo solicitado por el </w:t>
      </w:r>
      <w:proofErr w:type="spellStart"/>
      <w:r>
        <w:rPr>
          <w:rFonts w:ascii="Palatino Linotype" w:eastAsia="Palatino Linotype" w:hAnsi="Palatino Linotype" w:cs="Palatino Linotype"/>
          <w:i/>
          <w:color w:val="222222"/>
          <w:sz w:val="22"/>
          <w:szCs w:val="22"/>
        </w:rPr>
        <w:t>promovente</w:t>
      </w:r>
      <w:proofErr w:type="spellEnd"/>
      <w:r>
        <w:rPr>
          <w:rFonts w:ascii="Palatino Linotype" w:eastAsia="Palatino Linotype" w:hAnsi="Palatino Linotype" w:cs="Palatino Linotype"/>
          <w:i/>
          <w:color w:val="222222"/>
          <w:sz w:val="22"/>
          <w:szCs w:val="22"/>
        </w:rPr>
        <w:t>, sino que está en libertad de resolver de conformidad con los ordenamientos legales que resulten aplicables al caso; y, la respuesta o trámite que se dé a la petición debe ser comunicado precisamente por la autoridad ante quien se ejercitó el derecho, y no por autoridad diversa, sin que sea jurídicamente válido considerar que la notificación de la respuesta a que se refiere el segundo párrafo del artículo 8o. constitucional se tenga por hecha a partir de las notificaciones o de la vista que se practiquen con motivo del juicio de amparo.</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PRIMER TRIBUNAL COLEGIADO EN MATERIAS PENAL Y ADMINISTRATIVA DEL VIGÉSIMO PRIMER CIRCUITO.</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XXI.1o.P.A.36 A </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Amparo en revisión 225/2005. Luis Alberto Sánchez Cruz. 2 de junio de 2005. Unanimidad de votos. Ponente: Guillermo Sánchez </w:t>
      </w:r>
      <w:proofErr w:type="spellStart"/>
      <w:r>
        <w:rPr>
          <w:rFonts w:ascii="Palatino Linotype" w:eastAsia="Palatino Linotype" w:hAnsi="Palatino Linotype" w:cs="Palatino Linotype"/>
          <w:i/>
          <w:color w:val="222222"/>
          <w:sz w:val="22"/>
          <w:szCs w:val="22"/>
        </w:rPr>
        <w:t>Birrueta</w:t>
      </w:r>
      <w:proofErr w:type="spellEnd"/>
      <w:r>
        <w:rPr>
          <w:rFonts w:ascii="Palatino Linotype" w:eastAsia="Palatino Linotype" w:hAnsi="Palatino Linotype" w:cs="Palatino Linotype"/>
          <w:i/>
          <w:color w:val="222222"/>
          <w:sz w:val="22"/>
          <w:szCs w:val="22"/>
        </w:rPr>
        <w:t xml:space="preserve">. Secretaria: Gloria </w:t>
      </w:r>
      <w:proofErr w:type="spellStart"/>
      <w:r>
        <w:rPr>
          <w:rFonts w:ascii="Palatino Linotype" w:eastAsia="Palatino Linotype" w:hAnsi="Palatino Linotype" w:cs="Palatino Linotype"/>
          <w:i/>
          <w:color w:val="222222"/>
          <w:sz w:val="22"/>
          <w:szCs w:val="22"/>
        </w:rPr>
        <w:t>Avecia</w:t>
      </w:r>
      <w:proofErr w:type="spellEnd"/>
      <w:r>
        <w:rPr>
          <w:rFonts w:ascii="Palatino Linotype" w:eastAsia="Palatino Linotype" w:hAnsi="Palatino Linotype" w:cs="Palatino Linotype"/>
          <w:i/>
          <w:color w:val="222222"/>
          <w:sz w:val="22"/>
          <w:szCs w:val="22"/>
        </w:rPr>
        <w:t xml:space="preserve"> Solano.</w:t>
      </w:r>
    </w:p>
    <w:p w:rsidR="00780DB9" w:rsidRDefault="00EE3D91">
      <w:pPr>
        <w:pBdr>
          <w:top w:val="nil"/>
          <w:left w:val="nil"/>
          <w:bottom w:val="nil"/>
          <w:right w:val="nil"/>
          <w:between w:val="nil"/>
        </w:pBdr>
        <w:shd w:val="clear" w:color="auto" w:fill="FFFFFF"/>
        <w:ind w:left="567" w:right="1106"/>
        <w:jc w:val="both"/>
        <w:rPr>
          <w:color w:val="000000"/>
        </w:rPr>
      </w:pPr>
      <w:r>
        <w:rPr>
          <w:rFonts w:ascii="Palatino Linotype" w:eastAsia="Palatino Linotype" w:hAnsi="Palatino Linotype" w:cs="Palatino Linotype"/>
          <w:i/>
          <w:color w:val="222222"/>
          <w:sz w:val="22"/>
          <w:szCs w:val="22"/>
        </w:rPr>
        <w:t xml:space="preserve">Instancia: Tribunales Colegiados de Circuito. Fuente: Semanario Judicial de la Federación y su Gaceta, Novena </w:t>
      </w:r>
      <w:proofErr w:type="spellStart"/>
      <w:r>
        <w:rPr>
          <w:rFonts w:ascii="Palatino Linotype" w:eastAsia="Palatino Linotype" w:hAnsi="Palatino Linotype" w:cs="Palatino Linotype"/>
          <w:i/>
          <w:color w:val="222222"/>
          <w:sz w:val="22"/>
          <w:szCs w:val="22"/>
        </w:rPr>
        <w:t>Epoca</w:t>
      </w:r>
      <w:proofErr w:type="spellEnd"/>
      <w:r>
        <w:rPr>
          <w:rFonts w:ascii="Palatino Linotype" w:eastAsia="Palatino Linotype" w:hAnsi="Palatino Linotype" w:cs="Palatino Linotype"/>
          <w:i/>
          <w:color w:val="222222"/>
          <w:sz w:val="22"/>
          <w:szCs w:val="22"/>
        </w:rPr>
        <w:t>. Tomo XXII, Agosto de 2005. Pág. 1897. Tesis Aislada.</w:t>
      </w:r>
    </w:p>
    <w:p w:rsidR="00780DB9" w:rsidRDefault="00EE3D91">
      <w:pPr>
        <w:pBdr>
          <w:top w:val="nil"/>
          <w:left w:val="nil"/>
          <w:bottom w:val="nil"/>
          <w:right w:val="nil"/>
          <w:between w:val="nil"/>
        </w:pBdr>
        <w:shd w:val="clear" w:color="auto" w:fill="FFFFFF"/>
        <w:ind w:left="720"/>
        <w:rPr>
          <w:color w:val="000000"/>
        </w:rPr>
      </w:pPr>
      <w:r>
        <w:rPr>
          <w:rFonts w:ascii="Palatino Linotype" w:eastAsia="Palatino Linotype" w:hAnsi="Palatino Linotype" w:cs="Palatino Linotype"/>
          <w:color w:val="222222"/>
        </w:rPr>
        <w:t> </w:t>
      </w:r>
    </w:p>
    <w:p w:rsidR="00780DB9" w:rsidRDefault="00EE3D91">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 xml:space="preserve">Ahora bien, es de precisar que si bien es cierto el artículo 6° de la Constitución Política de los Estados Unidos Mexicanos no contempla como requisito para el </w:t>
      </w:r>
      <w:r>
        <w:rPr>
          <w:rFonts w:ascii="Palatino Linotype" w:eastAsia="Palatino Linotype" w:hAnsi="Palatino Linotype" w:cs="Palatino Linotype"/>
          <w:color w:val="222222"/>
        </w:rPr>
        <w:lastRenderedPageBreak/>
        <w:t xml:space="preserve">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w:t>
      </w:r>
      <w:r>
        <w:rPr>
          <w:rFonts w:ascii="Palatino Linotype" w:eastAsia="Palatino Linotype" w:hAnsi="Palatino Linotype" w:cs="Palatino Linotype"/>
          <w:b/>
          <w:color w:val="222222"/>
          <w:u w:val="single"/>
        </w:rPr>
        <w:t>deben regirse por los principios de respeto y en forma pacífica.</w:t>
      </w:r>
      <w:r>
        <w:rPr>
          <w:rFonts w:ascii="Palatino Linotype" w:eastAsia="Palatino Linotype" w:hAnsi="Palatino Linotype" w:cs="Palatino Linotype"/>
          <w:color w:val="222222"/>
          <w:u w:val="single"/>
        </w:rPr>
        <w:t> </w:t>
      </w:r>
    </w:p>
    <w:p w:rsidR="00780DB9" w:rsidRDefault="00EE3D91">
      <w:pPr>
        <w:pBdr>
          <w:top w:val="nil"/>
          <w:left w:val="nil"/>
          <w:bottom w:val="nil"/>
          <w:right w:val="nil"/>
          <w:between w:val="nil"/>
        </w:pBdr>
        <w:shd w:val="clear" w:color="auto" w:fill="FFFFFF"/>
        <w:spacing w:line="360" w:lineRule="auto"/>
        <w:ind w:left="720"/>
        <w:rPr>
          <w:color w:val="000000"/>
        </w:rPr>
      </w:pPr>
      <w:r>
        <w:rPr>
          <w:rFonts w:ascii="Palatino Linotype" w:eastAsia="Palatino Linotype" w:hAnsi="Palatino Linotype" w:cs="Palatino Linotype"/>
          <w:color w:val="222222"/>
        </w:rPr>
        <w:t> </w:t>
      </w:r>
    </w:p>
    <w:p w:rsidR="00780DB9" w:rsidRDefault="00EE3D91">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Por lo tanto, el derecho de acceso a la información pública la solicitud debe ejercerse de </w:t>
      </w:r>
      <w:r>
        <w:rPr>
          <w:rFonts w:ascii="Palatino Linotype" w:eastAsia="Palatino Linotype" w:hAnsi="Palatino Linotype" w:cs="Palatino Linotype"/>
          <w:b/>
          <w:color w:val="222222"/>
          <w:u w:val="single"/>
        </w:rPr>
        <w:t>manera pacífica y respetuosa, absteniéndose el solicitante de proferir ofensas o recurrir a la violencia o amenazas para intimidar a la autoridad</w:t>
      </w:r>
      <w:r>
        <w:rPr>
          <w:rFonts w:ascii="Palatino Linotype" w:eastAsia="Palatino Linotype" w:hAnsi="Palatino Linotype" w:cs="Palatino Linotype"/>
          <w:color w:val="222222"/>
        </w:rPr>
        <w:t>.</w:t>
      </w:r>
    </w:p>
    <w:p w:rsidR="00780DB9" w:rsidRDefault="00EE3D91">
      <w:pPr>
        <w:pBdr>
          <w:top w:val="nil"/>
          <w:left w:val="nil"/>
          <w:bottom w:val="nil"/>
          <w:right w:val="nil"/>
          <w:between w:val="nil"/>
        </w:pBdr>
        <w:shd w:val="clear" w:color="auto" w:fill="FFFFFF"/>
        <w:spacing w:line="360" w:lineRule="auto"/>
        <w:jc w:val="both"/>
        <w:rPr>
          <w:color w:val="000000"/>
        </w:rPr>
      </w:pPr>
      <w:r>
        <w:rPr>
          <w:color w:val="000000"/>
        </w:rPr>
        <w:t> </w:t>
      </w:r>
    </w:p>
    <w:p w:rsidR="00780DB9" w:rsidRDefault="00EE3D91">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En ese sentido, sirve de apoyo en la parte conducente, el siguiente criterio jurisprudencial:</w:t>
      </w:r>
    </w:p>
    <w:p w:rsidR="00780DB9" w:rsidRDefault="00EE3D91">
      <w:pPr>
        <w:pBdr>
          <w:top w:val="nil"/>
          <w:left w:val="nil"/>
          <w:bottom w:val="nil"/>
          <w:right w:val="nil"/>
          <w:between w:val="nil"/>
        </w:pBdr>
        <w:shd w:val="clear" w:color="auto" w:fill="FFFFFF"/>
        <w:jc w:val="both"/>
        <w:rPr>
          <w:color w:val="000000"/>
        </w:rPr>
      </w:pPr>
      <w:r>
        <w:rPr>
          <w:color w:val="000000"/>
        </w:rPr>
        <w:t> </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DERECHO A LA INFORMACIÓN. NO DEBE REBASAR LOS LÍMITES PREVISTOS POR LOS ARTÍCULOS 6o., 7o. Y 24 CONSTITUCIONALES.</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 </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b/>
          <w:i/>
          <w:color w:val="222222"/>
          <w:sz w:val="22"/>
          <w:szCs w:val="22"/>
        </w:rPr>
        <w:t xml:space="preserve">El derecho a la información tiene como límites el decoro, el honor, </w:t>
      </w:r>
      <w:r>
        <w:rPr>
          <w:rFonts w:ascii="Palatino Linotype" w:eastAsia="Palatino Linotype" w:hAnsi="Palatino Linotype" w:cs="Palatino Linotype"/>
          <w:b/>
          <w:i/>
          <w:color w:val="222222"/>
          <w:sz w:val="22"/>
          <w:szCs w:val="22"/>
          <w:u w:val="single"/>
        </w:rPr>
        <w:t>el respeto</w:t>
      </w:r>
      <w:r>
        <w:rPr>
          <w:rFonts w:ascii="Palatino Linotype" w:eastAsia="Palatino Linotype" w:hAnsi="Palatino Linotype" w:cs="Palatino Linotype"/>
          <w:b/>
          <w:i/>
          <w:color w:val="222222"/>
          <w:sz w:val="22"/>
          <w:szCs w:val="22"/>
        </w:rPr>
        <w:t>,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Pr>
          <w:rFonts w:ascii="Palatino Linotype" w:eastAsia="Palatino Linotype" w:hAnsi="Palatino Linotype" w:cs="Palatino Linotype"/>
          <w:i/>
          <w:color w:val="222222"/>
          <w:sz w:val="22"/>
          <w:szCs w:val="22"/>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w:t>
      </w:r>
      <w:r>
        <w:rPr>
          <w:rFonts w:ascii="Palatino Linotype" w:eastAsia="Palatino Linotype" w:hAnsi="Palatino Linotype" w:cs="Palatino Linotype"/>
          <w:i/>
          <w:color w:val="222222"/>
          <w:sz w:val="22"/>
          <w:szCs w:val="22"/>
        </w:rPr>
        <w:lastRenderedPageBreak/>
        <w:t xml:space="preserve">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w:t>
      </w:r>
      <w:r>
        <w:rPr>
          <w:rFonts w:ascii="Palatino Linotype" w:eastAsia="Palatino Linotype" w:hAnsi="Palatino Linotype" w:cs="Palatino Linotype"/>
          <w:i/>
          <w:color w:val="222222"/>
          <w:sz w:val="22"/>
          <w:szCs w:val="22"/>
        </w:rPr>
        <w:lastRenderedPageBreak/>
        <w:t xml:space="preserve">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w:t>
      </w:r>
      <w:r>
        <w:rPr>
          <w:rFonts w:ascii="Palatino Linotype" w:eastAsia="Palatino Linotype" w:hAnsi="Palatino Linotype" w:cs="Palatino Linotype"/>
          <w:b/>
          <w:i/>
          <w:color w:val="222222"/>
          <w:sz w:val="22"/>
          <w:szCs w:val="22"/>
          <w:u w:val="single"/>
        </w:rPr>
        <w:t>en el respeto mutuo y en el cumplimiento de los deberes que tienen por base la dignidad humana y los derechos de la persona</w:t>
      </w:r>
      <w:r>
        <w:rPr>
          <w:rFonts w:ascii="Palatino Linotype" w:eastAsia="Palatino Linotype" w:hAnsi="Palatino Linotype" w:cs="Palatino Linotype"/>
          <w:i/>
          <w:color w:val="222222"/>
          <w:sz w:val="22"/>
          <w:szCs w:val="22"/>
        </w:rPr>
        <w:t>;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rsidR="00780DB9" w:rsidRDefault="00EE3D91">
      <w:pPr>
        <w:pBdr>
          <w:top w:val="nil"/>
          <w:left w:val="nil"/>
          <w:bottom w:val="nil"/>
          <w:right w:val="nil"/>
          <w:between w:val="nil"/>
        </w:pBdr>
        <w:shd w:val="clear" w:color="auto" w:fill="FFFFFF"/>
        <w:ind w:left="709" w:right="567"/>
        <w:jc w:val="both"/>
        <w:rPr>
          <w:color w:val="000000"/>
        </w:rPr>
      </w:pPr>
      <w:r>
        <w:rPr>
          <w:color w:val="000000"/>
        </w:rPr>
        <w:t> </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Amparo directo 8633/99. </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Marco Antonio Rascón Córdova. 8 de marzo de 2001. </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Unanimidad de votos. </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Ponente: Neófito López Ramos. </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 xml:space="preserve">Secretario: Rómulo Amadeo Figueroa </w:t>
      </w:r>
      <w:proofErr w:type="spellStart"/>
      <w:r>
        <w:rPr>
          <w:rFonts w:ascii="Palatino Linotype" w:eastAsia="Palatino Linotype" w:hAnsi="Palatino Linotype" w:cs="Palatino Linotype"/>
          <w:i/>
          <w:color w:val="222222"/>
          <w:sz w:val="22"/>
          <w:szCs w:val="22"/>
        </w:rPr>
        <w:t>Salmorán</w:t>
      </w:r>
      <w:proofErr w:type="spellEnd"/>
      <w:r>
        <w:rPr>
          <w:rFonts w:ascii="Palatino Linotype" w:eastAsia="Palatino Linotype" w:hAnsi="Palatino Linotype" w:cs="Palatino Linotype"/>
          <w:i/>
          <w:color w:val="222222"/>
          <w:sz w:val="22"/>
          <w:szCs w:val="22"/>
        </w:rPr>
        <w:t>.</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 Novena Época, Semanario Judicial de la Federación y su Gaceta, Tomo XIV, Septiembre de 2001, Tesis: I.3o.C.244 C, Página: 1309.”</w:t>
      </w:r>
    </w:p>
    <w:p w:rsidR="00780DB9" w:rsidRDefault="00EE3D91">
      <w:pPr>
        <w:pBdr>
          <w:top w:val="nil"/>
          <w:left w:val="nil"/>
          <w:bottom w:val="nil"/>
          <w:right w:val="nil"/>
          <w:between w:val="nil"/>
        </w:pBdr>
        <w:shd w:val="clear" w:color="auto" w:fill="FFFFFF"/>
        <w:ind w:left="709" w:right="567"/>
        <w:jc w:val="both"/>
        <w:rPr>
          <w:color w:val="000000"/>
        </w:rPr>
      </w:pPr>
      <w:r>
        <w:rPr>
          <w:rFonts w:ascii="Palatino Linotype" w:eastAsia="Palatino Linotype" w:hAnsi="Palatino Linotype" w:cs="Palatino Linotype"/>
          <w:i/>
          <w:color w:val="222222"/>
          <w:sz w:val="22"/>
          <w:szCs w:val="22"/>
        </w:rPr>
        <w:t> </w:t>
      </w:r>
    </w:p>
    <w:p w:rsidR="00780DB9" w:rsidRDefault="00EE3D91">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 xml:space="preserve">Lo anterior, derivado de que en la solicitud de información se </w:t>
      </w:r>
      <w:proofErr w:type="gramStart"/>
      <w:r>
        <w:rPr>
          <w:rFonts w:ascii="Palatino Linotype" w:eastAsia="Palatino Linotype" w:hAnsi="Palatino Linotype" w:cs="Palatino Linotype"/>
          <w:color w:val="222222"/>
        </w:rPr>
        <w:t>realizaron</w:t>
      </w:r>
      <w:proofErr w:type="gramEnd"/>
      <w:r>
        <w:rPr>
          <w:rFonts w:ascii="Palatino Linotype" w:eastAsia="Palatino Linotype" w:hAnsi="Palatino Linotype" w:cs="Palatino Linotype"/>
          <w:color w:val="222222"/>
        </w:rPr>
        <w:t xml:space="preserve"> manifestaciones y faltas de respeto. En ese sentido es oportuno señalar que si bien es cierto los artículos 6° y 8° de la Constitución Política de los Estados Unidos Mexicanos tienen como fin garantizar que la autoridad atienda las peticiones y </w:t>
      </w:r>
      <w:r>
        <w:rPr>
          <w:rFonts w:ascii="Palatino Linotype" w:eastAsia="Palatino Linotype" w:hAnsi="Palatino Linotype" w:cs="Palatino Linotype"/>
          <w:color w:val="222222"/>
        </w:rPr>
        <w:lastRenderedPageBreak/>
        <w:t>solicitudes de información de las personas, también es imperante que los particulares en el ejercicio del derecho de petición</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b/>
          <w:color w:val="222222"/>
          <w:u w:val="single"/>
        </w:rPr>
        <w:t>dirijan los escritos o solicitudes a la autoridad dentro de un margen de respeto, tal como lo dispone el artículo 8° constitucional</w:t>
      </w:r>
      <w:r>
        <w:rPr>
          <w:rFonts w:ascii="Palatino Linotype" w:eastAsia="Palatino Linotype" w:hAnsi="Palatino Linotype" w:cs="Palatino Linotype"/>
          <w:color w:val="222222"/>
        </w:rPr>
        <w:t>, que por afinidad es aplicable para el ejercicio de derecho de acceso a la información, debiéndose redactar de manera pacífica y respetuosa las solicitudes de información.</w:t>
      </w:r>
    </w:p>
    <w:p w:rsidR="00780DB9" w:rsidRPr="00EE3D91" w:rsidRDefault="00EE3D91" w:rsidP="00EE3D91">
      <w:pPr>
        <w:pBdr>
          <w:top w:val="nil"/>
          <w:left w:val="nil"/>
          <w:bottom w:val="nil"/>
          <w:right w:val="nil"/>
          <w:between w:val="nil"/>
        </w:pBdr>
        <w:shd w:val="clear" w:color="auto" w:fill="FFFFFF"/>
        <w:spacing w:line="360" w:lineRule="auto"/>
        <w:jc w:val="both"/>
        <w:rPr>
          <w:color w:val="000000"/>
        </w:rPr>
      </w:pPr>
      <w:r>
        <w:rPr>
          <w:rFonts w:ascii="Palatino Linotype" w:eastAsia="Palatino Linotype" w:hAnsi="Palatino Linotype" w:cs="Palatino Linotype"/>
          <w:color w:val="222222"/>
        </w:rPr>
        <w:t>Situación que no ocurrió, por lo que se conmina al particular a que en subsecuentes solicitudes de información que tuviera a bien realizar, las formule de manera pacífica y respetuosa.</w:t>
      </w:r>
    </w:p>
    <w:p w:rsidR="00780DB9" w:rsidRDefault="00EE3D91">
      <w:pPr>
        <w:spacing w:after="160" w:line="360" w:lineRule="auto"/>
        <w:jc w:val="both"/>
      </w:pPr>
      <w:r>
        <w:rPr>
          <w:rFonts w:ascii="Palatino Linotype" w:eastAsia="Palatino Linotype" w:hAnsi="Palatino Linotype" w:cs="Palatino Linotype"/>
          <w:color w:val="000000"/>
        </w:rPr>
        <w:t>Por lo antes expuesto y fundado es de resolverse y,</w:t>
      </w:r>
    </w:p>
    <w:p w:rsidR="00780DB9" w:rsidRDefault="00780DB9"/>
    <w:p w:rsidR="00780DB9" w:rsidRDefault="00EE3D91">
      <w:pPr>
        <w:spacing w:after="160"/>
        <w:jc w:val="center"/>
      </w:pPr>
      <w:r>
        <w:rPr>
          <w:rFonts w:ascii="Palatino Linotype" w:eastAsia="Palatino Linotype" w:hAnsi="Palatino Linotype" w:cs="Palatino Linotype"/>
          <w:b/>
          <w:color w:val="000000"/>
          <w:sz w:val="28"/>
          <w:szCs w:val="28"/>
        </w:rPr>
        <w:t>SE    RESUELVE</w:t>
      </w:r>
    </w:p>
    <w:p w:rsidR="00780DB9" w:rsidRDefault="00EE3D9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w:t>
      </w:r>
      <w:r>
        <w:rPr>
          <w:rFonts w:ascii="Palatino Linotype" w:eastAsia="Palatino Linotype" w:hAnsi="Palatino Linotype" w:cs="Palatino Linotype"/>
          <w:b/>
        </w:rPr>
        <w:t xml:space="preserve">00284/INFOEM/IP/RR/2022, </w:t>
      </w:r>
      <w:r>
        <w:rPr>
          <w:rFonts w:ascii="Palatino Linotype" w:eastAsia="Palatino Linotype" w:hAnsi="Palatino Linotype" w:cs="Palatino Linotype"/>
        </w:rPr>
        <w:t xml:space="preserve">por quedarse sin materia, en términos de lo expuesto en el Considerando </w:t>
      </w:r>
      <w:r>
        <w:rPr>
          <w:rFonts w:ascii="Palatino Linotype" w:eastAsia="Palatino Linotype" w:hAnsi="Palatino Linotype" w:cs="Palatino Linotype"/>
          <w:b/>
        </w:rPr>
        <w:t>Tercero</w:t>
      </w:r>
      <w:r>
        <w:rPr>
          <w:rFonts w:ascii="Palatino Linotype" w:eastAsia="Palatino Linotype" w:hAnsi="Palatino Linotype" w:cs="Palatino Linotype"/>
        </w:rPr>
        <w:t xml:space="preserve"> de la presente resolución.</w:t>
      </w:r>
    </w:p>
    <w:p w:rsidR="00780DB9" w:rsidRDefault="00EE3D9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 al Titular de la Unidad de Transparencia, vía Sistema de Acceso a la Información Mexiquense (SAIMEX)</w:t>
      </w:r>
      <w:r>
        <w:rPr>
          <w:rFonts w:ascii="Palatino Linotype" w:eastAsia="Palatino Linotype" w:hAnsi="Palatino Linotype" w:cs="Palatino Linotype"/>
        </w:rPr>
        <w:t>, para su conocimiento.</w:t>
      </w:r>
    </w:p>
    <w:p w:rsidR="00780DB9" w:rsidRDefault="00EE3D91">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highlight w:val="white"/>
        </w:rPr>
        <w:t>Tercero.</w:t>
      </w:r>
      <w:r>
        <w:rPr>
          <w:rFonts w:ascii="Palatino Linotype" w:eastAsia="Palatino Linotype" w:hAnsi="Palatino Linotype" w:cs="Palatino Linotype"/>
          <w:b/>
          <w:sz w:val="28"/>
          <w:szCs w:val="28"/>
          <w:highlight w:val="white"/>
        </w:rPr>
        <w:t xml:space="preserve"> </w:t>
      </w:r>
      <w:r>
        <w:rPr>
          <w:rFonts w:ascii="Palatino Linotype" w:eastAsia="Palatino Linotype" w:hAnsi="Palatino Linotype" w:cs="Palatino Linotype"/>
          <w:b/>
        </w:rPr>
        <w:t>Notifíquese vía Sistema de Acceso a la Información Mexiquense (SAIMEX)</w:t>
      </w:r>
      <w:r>
        <w:rPr>
          <w:rFonts w:ascii="Palatino Linotype" w:eastAsia="Palatino Linotype" w:hAnsi="Palatino Linotype" w:cs="Palatino Linotype"/>
          <w:b/>
          <w:color w:val="000000"/>
        </w:rPr>
        <w:t>,</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rPr>
        <w:t xml:space="preserve">la presente resolución a la parte recurrente, así como, que de conformidad con lo establecido en el artículo 196 de la Ley de Transparencia y Acceso a la Información Pública del Estado de México y Municipios,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w:t>
      </w:r>
    </w:p>
    <w:p w:rsidR="00780DB9" w:rsidRDefault="00EE3D91">
      <w:pPr>
        <w:spacing w:after="160" w:line="360" w:lineRule="auto"/>
        <w:jc w:val="both"/>
        <w:sectPr w:rsidR="00780DB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color w:val="000000"/>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2674620</wp:posOffset>
                </wp:positionV>
                <wp:extent cx="5057775" cy="44767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057775" cy="447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CFE9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10.6pt" to="405.45pt,5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" strokecolor="black [3200]" strokeweight=".5pt">
                <v:stroke joinstyle="miter"/>
              </v:line>
            </w:pict>
          </mc:Fallback>
        </mc:AlternateContent>
      </w:r>
      <w:r>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ANTE EL SECRETARIO TÉCNICO DEL PLENO, ALEXIS TAPIA RAMÍREZ.</w:t>
      </w:r>
    </w:p>
    <w:p w:rsidR="00780DB9" w:rsidRDefault="00780DB9">
      <w:pPr>
        <w:spacing w:before="240" w:after="240" w:line="360" w:lineRule="auto"/>
        <w:jc w:val="both"/>
        <w:rPr>
          <w:rFonts w:ascii="Palatino Linotype" w:eastAsia="Palatino Linotype" w:hAnsi="Palatino Linotype" w:cs="Palatino Linotype"/>
        </w:rPr>
      </w:pPr>
    </w:p>
    <w:sectPr w:rsidR="00780DB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B5" w:rsidRDefault="00EE3D91">
      <w:r>
        <w:separator/>
      </w:r>
    </w:p>
  </w:endnote>
  <w:endnote w:type="continuationSeparator" w:id="0">
    <w:p w:rsidR="00C510B5" w:rsidRDefault="00E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B9" w:rsidRDefault="00EE3D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43B4">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43B4">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780DB9" w:rsidRDefault="00780DB9">
    <w:pPr>
      <w:pBdr>
        <w:top w:val="nil"/>
        <w:left w:val="nil"/>
        <w:bottom w:val="nil"/>
        <w:right w:val="nil"/>
        <w:between w:val="nil"/>
      </w:pBdr>
      <w:tabs>
        <w:tab w:val="center" w:pos="4252"/>
        <w:tab w:val="right" w:pos="8504"/>
      </w:tabs>
      <w:rPr>
        <w:color w:val="000000"/>
      </w:rPr>
    </w:pPr>
  </w:p>
  <w:p w:rsidR="00780DB9" w:rsidRDefault="00780DB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B9" w:rsidRDefault="00EE3D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43B4">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43B4">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780DB9" w:rsidRDefault="00780DB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B5" w:rsidRDefault="00EE3D91">
      <w:r>
        <w:separator/>
      </w:r>
    </w:p>
  </w:footnote>
  <w:footnote w:type="continuationSeparator" w:id="0">
    <w:p w:rsidR="00C510B5" w:rsidRDefault="00EE3D91">
      <w:r>
        <w:continuationSeparator/>
      </w:r>
    </w:p>
  </w:footnote>
  <w:footnote w:id="1">
    <w:p w:rsidR="00780DB9" w:rsidRDefault="00EE3D91">
      <w:pPr>
        <w:jc w:val="both"/>
        <w:rPr>
          <w:rFonts w:ascii="Palatino Linotype" w:eastAsia="Palatino Linotype" w:hAnsi="Palatino Linotype" w:cs="Palatino Linotype"/>
          <w:sz w:val="16"/>
          <w:szCs w:val="16"/>
        </w:rPr>
      </w:pPr>
      <w:r>
        <w:rPr>
          <w:vertAlign w:val="superscript"/>
        </w:rPr>
        <w:footnoteRef/>
      </w:r>
      <w:r>
        <w:t xml:space="preserve"> </w:t>
      </w:r>
      <w:r>
        <w:rPr>
          <w:rFonts w:ascii="Palatino Linotype" w:eastAsia="Palatino Linotype" w:hAnsi="Palatino Linotype" w:cs="Palatino Linotype"/>
          <w:sz w:val="16"/>
          <w:szCs w:val="16"/>
        </w:rPr>
        <w:t xml:space="preserve">Derecho de Petición, el Maestro Ignacio Burgoa Orihuela refiere: </w:t>
      </w:r>
    </w:p>
    <w:p w:rsidR="00780DB9" w:rsidRDefault="00EE3D91">
      <w:pPr>
        <w:ind w:left="851" w:right="901"/>
        <w:jc w:val="both"/>
        <w:rPr>
          <w:rFonts w:ascii="Palatino Linotype" w:eastAsia="Palatino Linotype" w:hAnsi="Palatino Linotype" w:cs="Palatino Linotype"/>
          <w:i/>
          <w:sz w:val="16"/>
          <w:szCs w:val="16"/>
        </w:rPr>
      </w:pPr>
      <w:r>
        <w:rPr>
          <w:rFonts w:ascii="Palatino Linotype" w:eastAsia="Palatino Linotype" w:hAnsi="Palatino Linotype" w:cs="Palatino Linotype"/>
          <w:b/>
          <w:sz w:val="16"/>
          <w:szCs w:val="16"/>
        </w:rPr>
        <w:t>“</w:t>
      </w:r>
      <w:r>
        <w:rPr>
          <w:rFonts w:ascii="Palatino Linotype" w:eastAsia="Palatino Linotype" w:hAnsi="Palatino Linotype" w:cs="Palatino Linotype"/>
          <w:sz w:val="16"/>
          <w:szCs w:val="16"/>
        </w:rPr>
        <w:t>…</w:t>
      </w:r>
      <w:r>
        <w:rPr>
          <w:rFonts w:ascii="Palatino Linotype" w:eastAsia="Palatino Linotype" w:hAnsi="Palatino Linotype" w:cs="Palatino Linotype"/>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Pr>
          <w:rFonts w:ascii="Palatino Linotype" w:eastAsia="Palatino Linotype" w:hAnsi="Palatino Linotype" w:cs="Palatino Linotype"/>
          <w:i/>
          <w:sz w:val="16"/>
          <w:szCs w:val="16"/>
        </w:rPr>
        <w:t>.</w:t>
      </w:r>
      <w:r>
        <w:rPr>
          <w:rFonts w:ascii="Palatino Linotype" w:eastAsia="Palatino Linotype" w:hAnsi="Palatino Linotype" w:cs="Palatino Linotype"/>
          <w:b/>
          <w:i/>
          <w:sz w:val="16"/>
          <w:szCs w:val="16"/>
        </w:rPr>
        <w:t>“</w:t>
      </w:r>
      <w:proofErr w:type="gramEnd"/>
      <w:r>
        <w:rPr>
          <w:rFonts w:ascii="Palatino Linotype" w:eastAsia="Palatino Linotype" w:hAnsi="Palatino Linotype" w:cs="Palatino Linotype"/>
          <w:i/>
          <w:sz w:val="16"/>
          <w:szCs w:val="16"/>
        </w:rPr>
        <w:t xml:space="preserve"> (sic)</w:t>
      </w:r>
    </w:p>
    <w:p w:rsidR="00780DB9" w:rsidRDefault="00780DB9">
      <w:pPr>
        <w:pBdr>
          <w:top w:val="nil"/>
          <w:left w:val="nil"/>
          <w:bottom w:val="nil"/>
          <w:right w:val="nil"/>
          <w:between w:val="nil"/>
        </w:pBdr>
        <w:rPr>
          <w:rFonts w:ascii="Calibri" w:eastAsia="Calibri" w:hAnsi="Calibri" w:cs="Calibri"/>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B9" w:rsidRDefault="00EE3D91">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2408B5D1" wp14:editId="7D33D456">
          <wp:simplePos x="0" y="0"/>
          <wp:positionH relativeFrom="page">
            <wp:align>right</wp:align>
          </wp:positionH>
          <wp:positionV relativeFrom="paragraph">
            <wp:posOffset>-311785</wp:posOffset>
          </wp:positionV>
          <wp:extent cx="7635163" cy="9944100"/>
          <wp:effectExtent l="0" t="0" r="4445" b="0"/>
          <wp:wrapNone/>
          <wp:docPr id="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1"/>
      <w:tblW w:w="5528" w:type="dxa"/>
      <w:tblInd w:w="3261" w:type="dxa"/>
      <w:tblLayout w:type="fixed"/>
      <w:tblLook w:val="0400" w:firstRow="0" w:lastRow="0" w:firstColumn="0" w:lastColumn="0" w:noHBand="0" w:noVBand="1"/>
    </w:tblPr>
    <w:tblGrid>
      <w:gridCol w:w="2552"/>
      <w:gridCol w:w="2976"/>
    </w:tblGrid>
    <w:tr w:rsidR="00780DB9">
      <w:tc>
        <w:tcPr>
          <w:tcW w:w="2552" w:type="dxa"/>
          <w:vAlign w:val="center"/>
        </w:tcPr>
        <w:p w:rsidR="00780DB9" w:rsidRDefault="00EE3D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780DB9" w:rsidRDefault="00EE3D9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00284/INFOEM/IP/RR/2022</w:t>
          </w:r>
        </w:p>
      </w:tc>
    </w:tr>
    <w:tr w:rsidR="00780DB9">
      <w:trPr>
        <w:trHeight w:val="228"/>
      </w:trPr>
      <w:tc>
        <w:tcPr>
          <w:tcW w:w="2552" w:type="dxa"/>
          <w:vAlign w:val="center"/>
        </w:tcPr>
        <w:p w:rsidR="00780DB9" w:rsidRDefault="00EE3D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780DB9" w:rsidRDefault="00EE3D91">
          <w:pPr>
            <w:ind w:right="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 Conciliación y Arbitraje Médico del Estado de México</w:t>
          </w:r>
        </w:p>
      </w:tc>
    </w:tr>
    <w:tr w:rsidR="00780DB9">
      <w:tc>
        <w:tcPr>
          <w:tcW w:w="2552" w:type="dxa"/>
          <w:vAlign w:val="center"/>
        </w:tcPr>
        <w:p w:rsidR="00780DB9" w:rsidRDefault="00EE3D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780DB9" w:rsidRDefault="00EE3D9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80DB9" w:rsidRDefault="00EE3D9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B9" w:rsidRDefault="00EE3D9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eastAsia="es-MX"/>
      </w:rPr>
      <w:drawing>
        <wp:anchor distT="0" distB="0" distL="0" distR="0" simplePos="0" relativeHeight="251659264" behindDoc="1" locked="0" layoutInCell="1" hidden="0" allowOverlap="1" wp14:anchorId="2B64A154" wp14:editId="4E8DE03E">
          <wp:simplePos x="0" y="0"/>
          <wp:positionH relativeFrom="page">
            <wp:align>left</wp:align>
          </wp:positionH>
          <wp:positionV relativeFrom="paragraph">
            <wp:posOffset>-304800</wp:posOffset>
          </wp:positionV>
          <wp:extent cx="7635600" cy="9943200"/>
          <wp:effectExtent l="0" t="0" r="3810" b="1270"/>
          <wp:wrapNone/>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r>
      <w:rPr>
        <w:rFonts w:ascii="Calibri" w:eastAsia="Calibri" w:hAnsi="Calibri" w:cs="Calibri"/>
        <w:color w:val="000000"/>
      </w:rPr>
      <w:t xml:space="preserve">                                  </w:t>
    </w:r>
  </w:p>
  <w:tbl>
    <w:tblPr>
      <w:tblStyle w:val="a0"/>
      <w:tblW w:w="6238" w:type="dxa"/>
      <w:tblInd w:w="3119" w:type="dxa"/>
      <w:tblLayout w:type="fixed"/>
      <w:tblLook w:val="0400" w:firstRow="0" w:lastRow="0" w:firstColumn="0" w:lastColumn="0" w:noHBand="0" w:noVBand="1"/>
    </w:tblPr>
    <w:tblGrid>
      <w:gridCol w:w="2551"/>
      <w:gridCol w:w="3687"/>
    </w:tblGrid>
    <w:tr w:rsidR="00780DB9">
      <w:tc>
        <w:tcPr>
          <w:tcW w:w="2551" w:type="dxa"/>
          <w:vAlign w:val="center"/>
        </w:tcPr>
        <w:p w:rsidR="00780DB9" w:rsidRDefault="00EE3D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780DB9" w:rsidRDefault="00EE3D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00284/INFOEM/IP/RR/2022</w:t>
          </w:r>
        </w:p>
      </w:tc>
    </w:tr>
    <w:tr w:rsidR="00780DB9">
      <w:tc>
        <w:tcPr>
          <w:tcW w:w="2551" w:type="dxa"/>
          <w:vAlign w:val="center"/>
        </w:tcPr>
        <w:p w:rsidR="00780DB9" w:rsidRDefault="00EE3D9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Recurrente: </w:t>
          </w:r>
        </w:p>
      </w:tc>
      <w:tc>
        <w:tcPr>
          <w:tcW w:w="3687" w:type="dxa"/>
          <w:vAlign w:val="center"/>
        </w:tcPr>
        <w:p w:rsidR="00780DB9" w:rsidRDefault="00780DB9">
          <w:pPr>
            <w:jc w:val="both"/>
            <w:rPr>
              <w:rFonts w:ascii="Palatino Linotype" w:eastAsia="Palatino Linotype" w:hAnsi="Palatino Linotype" w:cs="Palatino Linotype"/>
              <w:b/>
              <w:sz w:val="21"/>
              <w:szCs w:val="21"/>
            </w:rPr>
          </w:pPr>
        </w:p>
      </w:tc>
    </w:tr>
    <w:tr w:rsidR="00780DB9">
      <w:trPr>
        <w:trHeight w:val="228"/>
      </w:trPr>
      <w:tc>
        <w:tcPr>
          <w:tcW w:w="2551" w:type="dxa"/>
          <w:vAlign w:val="center"/>
        </w:tcPr>
        <w:p w:rsidR="00780DB9" w:rsidRDefault="00EE3D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780DB9" w:rsidRDefault="00EE3D91">
          <w:pPr>
            <w:ind w:right="885"/>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Comisión de Conciliación y Arbitraje Médico del Estado de México</w:t>
          </w:r>
        </w:p>
      </w:tc>
    </w:tr>
    <w:tr w:rsidR="00780DB9">
      <w:tc>
        <w:tcPr>
          <w:tcW w:w="2551" w:type="dxa"/>
          <w:vAlign w:val="center"/>
        </w:tcPr>
        <w:p w:rsidR="00780DB9" w:rsidRDefault="00EE3D9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780DB9" w:rsidRDefault="00EE3D9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780DB9" w:rsidRDefault="00780DB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B9" w:rsidRDefault="00EE3D9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10052"/>
    <w:multiLevelType w:val="multilevel"/>
    <w:tmpl w:val="FD2C16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F62F51"/>
    <w:multiLevelType w:val="multilevel"/>
    <w:tmpl w:val="BFA22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B9"/>
    <w:rsid w:val="00780DB9"/>
    <w:rsid w:val="00B543B4"/>
    <w:rsid w:val="00C510B5"/>
    <w:rsid w:val="00EE3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A3818-CA98-407D-BB5C-B560F2E1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65F"/>
    <w:rPr>
      <w:lang w:eastAsia="es-ES"/>
    </w:rPr>
  </w:style>
  <w:style w:type="paragraph" w:styleId="Ttulo1">
    <w:name w:val="heading 1"/>
    <w:basedOn w:val="Normal"/>
    <w:next w:val="Normal"/>
    <w:link w:val="Ttulo1Car"/>
    <w:uiPriority w:val="9"/>
    <w:qFormat/>
    <w:rsid w:val="00303B2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F13CBB"/>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B229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B2292"/>
    <w:rPr>
      <w:rFonts w:eastAsiaTheme="minorEastAsia"/>
      <w:sz w:val="24"/>
      <w:szCs w:val="24"/>
      <w:lang w:val="es-ES_tradnl" w:eastAsia="es-ES"/>
    </w:rPr>
  </w:style>
  <w:style w:type="paragraph" w:styleId="Piedepgina">
    <w:name w:val="footer"/>
    <w:basedOn w:val="Normal"/>
    <w:link w:val="PiedepginaCar"/>
    <w:uiPriority w:val="99"/>
    <w:unhideWhenUsed/>
    <w:rsid w:val="005B229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B2292"/>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2292"/>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2292"/>
    <w:pPr>
      <w:ind w:left="708"/>
    </w:pPr>
    <w:rPr>
      <w:sz w:val="22"/>
      <w:szCs w:val="22"/>
      <w:lang w:eastAsia="en-US"/>
    </w:rPr>
  </w:style>
  <w:style w:type="table" w:styleId="Tablaconcuadrcula">
    <w:name w:val="Table Grid"/>
    <w:basedOn w:val="Tablanormal"/>
    <w:uiPriority w:val="59"/>
    <w:rsid w:val="005B2292"/>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B2292"/>
  </w:style>
  <w:style w:type="character" w:customStyle="1" w:styleId="apple-converted-space">
    <w:name w:val="apple-converted-space"/>
    <w:basedOn w:val="Fuentedeprrafopredeter"/>
    <w:rsid w:val="005B2292"/>
  </w:style>
  <w:style w:type="character" w:styleId="Hipervnculo">
    <w:name w:val="Hyperlink"/>
    <w:basedOn w:val="Fuentedeprrafopredeter"/>
    <w:uiPriority w:val="99"/>
    <w:unhideWhenUsed/>
    <w:rsid w:val="005B2292"/>
    <w:rPr>
      <w:color w:val="0000FF"/>
      <w:u w:val="single"/>
    </w:rPr>
  </w:style>
  <w:style w:type="paragraph" w:customStyle="1" w:styleId="paragraph">
    <w:name w:val="paragraph"/>
    <w:basedOn w:val="Normal"/>
    <w:rsid w:val="005B2292"/>
    <w:pPr>
      <w:spacing w:before="100" w:beforeAutospacing="1" w:after="100" w:afterAutospacing="1"/>
    </w:pPr>
    <w:rPr>
      <w:lang w:eastAsia="es-MX"/>
    </w:rPr>
  </w:style>
  <w:style w:type="paragraph" w:styleId="Sinespaciado">
    <w:name w:val="No Spacing"/>
    <w:aliases w:val="Francesa"/>
    <w:link w:val="SinespaciadoCar"/>
    <w:uiPriority w:val="1"/>
    <w:qFormat/>
    <w:rsid w:val="005B2292"/>
    <w:rPr>
      <w:lang w:eastAsia="es-ES"/>
    </w:rPr>
  </w:style>
  <w:style w:type="character" w:customStyle="1" w:styleId="SinespaciadoCar">
    <w:name w:val="Sin espaciado Car"/>
    <w:aliases w:val="Francesa Car"/>
    <w:link w:val="Sinespaciado"/>
    <w:uiPriority w:val="1"/>
    <w:locked/>
    <w:rsid w:val="005B2292"/>
    <w:rPr>
      <w:rFonts w:ascii="Times New Roman" w:eastAsia="Times New Roman" w:hAnsi="Times New Roman" w:cs="Times New Roman"/>
      <w:sz w:val="24"/>
      <w:szCs w:val="24"/>
      <w:lang w:val="es-MX"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229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229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B2292"/>
    <w:rPr>
      <w:sz w:val="20"/>
      <w:szCs w:val="20"/>
      <w:lang w:val="es-MX"/>
    </w:rPr>
  </w:style>
  <w:style w:type="paragraph" w:styleId="z-Principiodelformulario">
    <w:name w:val="HTML Top of Form"/>
    <w:basedOn w:val="Normal"/>
    <w:next w:val="Normal"/>
    <w:link w:val="z-PrincipiodelformularioCar"/>
    <w:hidden/>
    <w:uiPriority w:val="99"/>
    <w:semiHidden/>
    <w:unhideWhenUsed/>
    <w:rsid w:val="001429B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429B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1429B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1429B1"/>
    <w:rPr>
      <w:rFonts w:ascii="Arial" w:eastAsia="Times New Roman" w:hAnsi="Arial" w:cs="Arial"/>
      <w:vanish/>
      <w:sz w:val="16"/>
      <w:szCs w:val="16"/>
      <w:lang w:eastAsia="es-ES"/>
    </w:rPr>
  </w:style>
  <w:style w:type="character" w:styleId="nfasisintenso">
    <w:name w:val="Intense Emphasis"/>
    <w:basedOn w:val="Fuentedeprrafopredeter"/>
    <w:uiPriority w:val="21"/>
    <w:qFormat/>
    <w:rsid w:val="0005620C"/>
    <w:rPr>
      <w:i/>
      <w:iCs/>
      <w:color w:val="5B9BD5" w:themeColor="accent1"/>
    </w:rPr>
  </w:style>
  <w:style w:type="table" w:customStyle="1" w:styleId="Tablaconcuadrcula1">
    <w:name w:val="Tabla con cuadrícula1"/>
    <w:basedOn w:val="Tablanormal"/>
    <w:next w:val="Tablaconcuadrcula"/>
    <w:uiPriority w:val="39"/>
    <w:rsid w:val="002D5368"/>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03B21"/>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B21"/>
    <w:rPr>
      <w:rFonts w:ascii="Tahoma" w:eastAsia="Times New Roman" w:hAnsi="Tahoma" w:cs="Tahoma"/>
      <w:sz w:val="16"/>
      <w:szCs w:val="16"/>
      <w:lang w:eastAsia="es-ES"/>
    </w:rPr>
  </w:style>
  <w:style w:type="character" w:customStyle="1" w:styleId="Ttulo1Car">
    <w:name w:val="Título 1 Car"/>
    <w:basedOn w:val="Fuentedeprrafopredeter"/>
    <w:link w:val="Ttulo1"/>
    <w:uiPriority w:val="9"/>
    <w:rsid w:val="00303B21"/>
    <w:rPr>
      <w:rFonts w:asciiTheme="majorHAnsi" w:eastAsiaTheme="majorEastAsia" w:hAnsiTheme="majorHAnsi" w:cstheme="majorBidi"/>
      <w:b/>
      <w:bCs/>
      <w:color w:val="2E74B5" w:themeColor="accent1" w:themeShade="BF"/>
      <w:sz w:val="28"/>
      <w:szCs w:val="28"/>
      <w:lang w:eastAsia="es-ES"/>
    </w:rPr>
  </w:style>
  <w:style w:type="table" w:customStyle="1" w:styleId="Tablaconcuadrcula2">
    <w:name w:val="Tabla con cuadrícula2"/>
    <w:basedOn w:val="Tablanormal"/>
    <w:next w:val="Tablaconcuadrcula"/>
    <w:uiPriority w:val="59"/>
    <w:rsid w:val="00255CC3"/>
    <w:rPr>
      <w:rFonts w:eastAsia="MS Mincho"/>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nfasis11">
    <w:name w:val="Tabla de lista 1 clara - Énfasis 11"/>
    <w:basedOn w:val="Tablanormal"/>
    <w:uiPriority w:val="46"/>
    <w:rsid w:val="00255CC3"/>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4Car">
    <w:name w:val="Título 4 Car"/>
    <w:basedOn w:val="Fuentedeprrafopredeter"/>
    <w:link w:val="Ttulo4"/>
    <w:uiPriority w:val="9"/>
    <w:semiHidden/>
    <w:rsid w:val="00F13CBB"/>
    <w:rPr>
      <w:rFonts w:asciiTheme="majorHAnsi" w:eastAsiaTheme="majorEastAsia" w:hAnsiTheme="majorHAnsi" w:cstheme="majorBidi"/>
      <w:i/>
      <w:iCs/>
      <w:color w:val="2E74B5" w:themeColor="accent1" w:themeShade="BF"/>
      <w:sz w:val="24"/>
      <w:szCs w:val="24"/>
      <w:lang w:eastAsia="es-ES"/>
    </w:rPr>
  </w:style>
  <w:style w:type="table" w:customStyle="1" w:styleId="Tabladelista1clara-nfasis121">
    <w:name w:val="Tabla de lista 1 clara - Énfasis 121"/>
    <w:basedOn w:val="Tablanormal"/>
    <w:next w:val="Tabladelista1clara-nfasis1"/>
    <w:uiPriority w:val="46"/>
    <w:rsid w:val="0063318C"/>
    <w:rPr>
      <w:rFonts w:eastAsia="MS Mincho"/>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63318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8C3AE1"/>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7TLbgefYAEOh2M6rBIPD6B0gjg==">AMUW2mWorDOitA9KfCqfQSrF1DvxTS77jNo6g37TFY3a3fdgB3WHTNPGSqQrhrhVfBjJJhir3QYdFDzCi8sJoP7SETMZ2Av2GFkYEtclHt1dh+iZx79EqjZQdcXtgxPRVxUb0CyUegbE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8880</Words>
  <Characters>48845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sonyy</dc:creator>
  <cp:lastModifiedBy>USUARIO</cp:lastModifiedBy>
  <cp:revision>2</cp:revision>
  <dcterms:created xsi:type="dcterms:W3CDTF">2022-04-04T22:30:00Z</dcterms:created>
  <dcterms:modified xsi:type="dcterms:W3CDTF">2022-04-04T22:30:00Z</dcterms:modified>
</cp:coreProperties>
</file>