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F46DE"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diez de agosto de dos mil veintidós. </w:t>
      </w:r>
    </w:p>
    <w:p w14:paraId="400E81D9" w14:textId="77777777" w:rsidR="00E62A55" w:rsidRDefault="00E62A55">
      <w:pPr>
        <w:spacing w:line="360" w:lineRule="auto"/>
        <w:jc w:val="both"/>
        <w:rPr>
          <w:rFonts w:ascii="Palatino Linotype" w:eastAsia="Palatino Linotype" w:hAnsi="Palatino Linotype" w:cs="Palatino Linotype"/>
        </w:rPr>
      </w:pPr>
    </w:p>
    <w:p w14:paraId="07983B73" w14:textId="108EF8EC"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VISTO</w:t>
      </w:r>
      <w:r>
        <w:rPr>
          <w:rFonts w:ascii="Palatino Linotype" w:eastAsia="Palatino Linotype" w:hAnsi="Palatino Linotype" w:cs="Palatino Linotype"/>
        </w:rPr>
        <w:t xml:space="preserve"> el expediente formado con motivo del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07647/INFOEM/IP/RR/2022, </w:t>
      </w:r>
      <w:r>
        <w:rPr>
          <w:rFonts w:ascii="Palatino Linotype" w:eastAsia="Palatino Linotype" w:hAnsi="Palatino Linotype" w:cs="Palatino Linotype"/>
        </w:rPr>
        <w:t xml:space="preserve">promovido por el </w:t>
      </w:r>
      <w:r>
        <w:rPr>
          <w:rFonts w:ascii="Palatino Linotype" w:eastAsia="Palatino Linotype" w:hAnsi="Palatino Linotype" w:cs="Palatino Linotype"/>
          <w:b/>
        </w:rPr>
        <w:t xml:space="preserve">C. </w:t>
      </w:r>
      <w:bookmarkStart w:id="0" w:name="_GoBack"/>
      <w:bookmarkEnd w:id="0"/>
      <w:r w:rsidR="00103907">
        <w:rPr>
          <w:rFonts w:ascii="Palatino Linotype" w:eastAsia="Palatino Linotype" w:hAnsi="Palatino Linotype" w:cs="Palatino Linotype"/>
          <w:b/>
        </w:rPr>
        <w:t>XXXXX XXXXXX XXXXXXXXXX</w:t>
      </w:r>
      <w:r>
        <w:rPr>
          <w:rFonts w:ascii="Palatino Linotype" w:eastAsia="Palatino Linotype" w:hAnsi="Palatino Linotype" w:cs="Palatino Linotype"/>
        </w:rPr>
        <w:t xml:space="preserve">, a quien en lo sucesivo se le denominara como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del </w:t>
      </w:r>
      <w:r w:rsidRPr="008F7204">
        <w:rPr>
          <w:rFonts w:ascii="Palatino Linotype" w:eastAsia="Palatino Linotype" w:hAnsi="Palatino Linotype" w:cs="Palatino Linotype"/>
          <w:b/>
        </w:rPr>
        <w:t>Ayuntamiento de Toluca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subsecuente se le denominará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 siguiente:</w:t>
      </w:r>
    </w:p>
    <w:p w14:paraId="762D678B" w14:textId="77777777" w:rsidR="00E62A55" w:rsidRDefault="00343347">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ANTECEDENTES</w:t>
      </w:r>
    </w:p>
    <w:p w14:paraId="46EA2540" w14:textId="77777777" w:rsidR="00E62A55" w:rsidRDefault="00E62A55">
      <w:pPr>
        <w:rPr>
          <w:rFonts w:ascii="Palatino Linotype" w:eastAsia="Palatino Linotype" w:hAnsi="Palatino Linotype" w:cs="Palatino Linotype"/>
          <w:b/>
        </w:rPr>
      </w:pPr>
    </w:p>
    <w:p w14:paraId="1FA3D581" w14:textId="77777777" w:rsidR="00E62A55" w:rsidRDefault="0034334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Pr>
          <w:rFonts w:ascii="Palatino Linotype" w:eastAsia="Palatino Linotype" w:hAnsi="Palatino Linotype" w:cs="Palatino Linotype"/>
          <w:b/>
          <w:sz w:val="28"/>
          <w:szCs w:val="28"/>
        </w:rPr>
        <w:t>I.</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Solicitud de Información</w:t>
      </w:r>
    </w:p>
    <w:p w14:paraId="6B4273C0" w14:textId="77777777" w:rsidR="00E62A55" w:rsidRDefault="00343347">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Pr>
          <w:rFonts w:ascii="Palatino Linotype" w:eastAsia="Palatino Linotype" w:hAnsi="Palatino Linotype" w:cs="Palatino Linotype"/>
        </w:rPr>
        <w:t xml:space="preserve"> En fecha cuatro de abril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a través del Sistema de Acceso a la Información Mexiquense, en lo subsecuente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 solicitud de acceso a la información pública, a la que se le asignó el número de expediente </w:t>
      </w:r>
      <w:r>
        <w:rPr>
          <w:rFonts w:ascii="Palatino Linotype" w:eastAsia="Palatino Linotype" w:hAnsi="Palatino Linotype" w:cs="Palatino Linotype"/>
          <w:b/>
        </w:rPr>
        <w:t xml:space="preserve">00911/TOLUCA/IP/2022, </w:t>
      </w:r>
      <w:r>
        <w:rPr>
          <w:rFonts w:ascii="Palatino Linotype" w:eastAsia="Palatino Linotype" w:hAnsi="Palatino Linotype" w:cs="Palatino Linotype"/>
        </w:rPr>
        <w:t>requirió, lo siguiente:</w:t>
      </w:r>
    </w:p>
    <w:p w14:paraId="6F5F8E4C" w14:textId="77777777" w:rsidR="00E62A55" w:rsidRDefault="00343347">
      <w:pPr>
        <w:ind w:left="850" w:right="899"/>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“Solicito el nombre completo de los propietarios y suplentes de las planillas ganadoras de las Delegaciones de Toluca.” (sic)</w:t>
      </w:r>
    </w:p>
    <w:p w14:paraId="3FE2FC0F" w14:textId="77777777" w:rsidR="00E62A55" w:rsidRDefault="00E62A55">
      <w:pPr>
        <w:tabs>
          <w:tab w:val="left" w:pos="851"/>
        </w:tabs>
        <w:ind w:right="901"/>
        <w:jc w:val="both"/>
        <w:rPr>
          <w:rFonts w:ascii="Palatino Linotype" w:eastAsia="Palatino Linotype" w:hAnsi="Palatino Linotype" w:cs="Palatino Linotype"/>
          <w:sz w:val="22"/>
          <w:szCs w:val="22"/>
        </w:rPr>
      </w:pPr>
    </w:p>
    <w:p w14:paraId="01ECAE6F" w14:textId="77777777" w:rsidR="00E62A55" w:rsidRDefault="00343347">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6FEC89C6" w14:textId="77777777" w:rsidR="00E62A55" w:rsidRDefault="00E62A55">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606E6CA3" w14:textId="77777777" w:rsidR="00E62A55" w:rsidRDefault="00343347">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II. Turno de requerimiento del Sujeto Obligado</w:t>
      </w:r>
    </w:p>
    <w:p w14:paraId="074A95CA"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los expedientes electrónicos del SAIMEX advierte en fecha cuatro de abril del dos mil veintidós el  turno de requerimiento hecho al servidor público habilitado que estimó competente, en términos de lo establecido por el artículo 162 de la Ley de Transparencia y Acceso a la Información Pública del Estado de México y Municipios.</w:t>
      </w:r>
    </w:p>
    <w:p w14:paraId="5361216D" w14:textId="77777777" w:rsidR="00E62A55" w:rsidRDefault="00343347">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 </w:t>
      </w:r>
    </w:p>
    <w:p w14:paraId="504C3188" w14:textId="77777777" w:rsidR="00E62A55" w:rsidRDefault="00343347">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III. Respuesta del Sujeto Obligado</w:t>
      </w:r>
    </w:p>
    <w:p w14:paraId="16150D91"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constancias que obran en el expediente electrónico del SAIMEX se observa que en fecha dos de mayo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pública en los términos siguientes: </w:t>
      </w:r>
    </w:p>
    <w:p w14:paraId="40B64160" w14:textId="77777777" w:rsidR="00E62A55" w:rsidRDefault="00343347">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F6E794" w14:textId="77777777" w:rsidR="00E62A55" w:rsidRDefault="00343347">
      <w:pPr>
        <w:ind w:left="850" w:right="89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En atención a la solicitud de información número 00911/TOLUCA/IP/2022, me permito adjuntar al presente la respuesta correspondiente. Sin más por el momento, le envío un cordial saludo”(Sic)</w:t>
      </w:r>
    </w:p>
    <w:p w14:paraId="5D1EDB3A" w14:textId="77777777" w:rsidR="00E62A55" w:rsidRDefault="00E62A55">
      <w:pPr>
        <w:spacing w:line="360" w:lineRule="auto"/>
        <w:jc w:val="both"/>
        <w:rPr>
          <w:rFonts w:ascii="Palatino Linotype" w:eastAsia="Palatino Linotype" w:hAnsi="Palatino Linotype" w:cs="Palatino Linotype"/>
        </w:rPr>
      </w:pPr>
    </w:p>
    <w:p w14:paraId="03CD1E56"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dos documentos, el primero de nombre “</w:t>
      </w:r>
      <w:r>
        <w:rPr>
          <w:rFonts w:ascii="Palatino Linotype" w:eastAsia="Palatino Linotype" w:hAnsi="Palatino Linotype" w:cs="Palatino Linotype"/>
          <w:i/>
        </w:rPr>
        <w:t xml:space="preserve">911” </w:t>
      </w:r>
      <w:r>
        <w:rPr>
          <w:rFonts w:ascii="Palatino Linotype" w:eastAsia="Palatino Linotype" w:hAnsi="Palatino Linotype" w:cs="Palatino Linotype"/>
        </w:rPr>
        <w:t xml:space="preserve">el cual contiene la respuesta formal emitida por la Titular de la Unidad de Transparencia del </w:t>
      </w:r>
      <w:r>
        <w:rPr>
          <w:rFonts w:ascii="Palatino Linotype" w:eastAsia="Palatino Linotype" w:hAnsi="Palatino Linotype" w:cs="Palatino Linotype"/>
          <w:b/>
        </w:rPr>
        <w:t xml:space="preserve">SUEJTO OBLIGADO, </w:t>
      </w:r>
      <w:r>
        <w:rPr>
          <w:rFonts w:ascii="Palatino Linotype" w:eastAsia="Palatino Linotype" w:hAnsi="Palatino Linotype" w:cs="Palatino Linotype"/>
        </w:rPr>
        <w:t xml:space="preserve">señalando remitir la información que obra en sus archivos. </w:t>
      </w:r>
    </w:p>
    <w:p w14:paraId="6F1169AF" w14:textId="77777777" w:rsidR="00E62A55" w:rsidRDefault="00E62A55">
      <w:pPr>
        <w:spacing w:line="360" w:lineRule="auto"/>
        <w:jc w:val="both"/>
        <w:rPr>
          <w:rFonts w:ascii="Palatino Linotype" w:eastAsia="Palatino Linotype" w:hAnsi="Palatino Linotype" w:cs="Palatino Linotype"/>
        </w:rPr>
      </w:pPr>
    </w:p>
    <w:p w14:paraId="0A10515E"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segundo documento denominado  “</w:t>
      </w:r>
      <w:r>
        <w:rPr>
          <w:rFonts w:ascii="Palatino Linotype" w:eastAsia="Palatino Linotype" w:hAnsi="Palatino Linotype" w:cs="Palatino Linotype"/>
          <w:i/>
        </w:rPr>
        <w:t xml:space="preserve">DIRECTORIO DELEGADOS (1).pdf” </w:t>
      </w:r>
      <w:r>
        <w:rPr>
          <w:rFonts w:ascii="Palatino Linotype" w:eastAsia="Palatino Linotype" w:hAnsi="Palatino Linotype" w:cs="Palatino Linotype"/>
        </w:rPr>
        <w:t xml:space="preserve"> de cuyo contenido se advierte el Directorio de Delegados Municipales de la Administración 2022- 2025. </w:t>
      </w:r>
    </w:p>
    <w:p w14:paraId="2F0E411E"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0E4D7B1" w14:textId="77777777" w:rsidR="00E62A55" w:rsidRDefault="00343347">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 xml:space="preserve">IV.  Del </w:t>
      </w:r>
      <w:r w:rsidR="002B55E3">
        <w:rPr>
          <w:rFonts w:ascii="Palatino Linotype" w:eastAsia="Palatino Linotype" w:hAnsi="Palatino Linotype" w:cs="Palatino Linotype"/>
          <w:b/>
          <w:sz w:val="28"/>
          <w:szCs w:val="28"/>
        </w:rPr>
        <w:t>Recurso de Revisión</w:t>
      </w:r>
      <w:r>
        <w:rPr>
          <w:rFonts w:ascii="Palatino Linotype" w:eastAsia="Palatino Linotype" w:hAnsi="Palatino Linotype" w:cs="Palatino Linotype"/>
          <w:b/>
        </w:rPr>
        <w:t>.</w:t>
      </w:r>
    </w:p>
    <w:p w14:paraId="76337930" w14:textId="77777777" w:rsidR="00E62A55" w:rsidRDefault="0034334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Inconforme con la respuesta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el once de mayo de dos mil veintidós,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interpuso el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El cual fue registrado en </w:t>
      </w:r>
      <w:r>
        <w:rPr>
          <w:rFonts w:ascii="Palatino Linotype" w:eastAsia="Palatino Linotype" w:hAnsi="Palatino Linotype" w:cs="Palatino Linotype"/>
          <w:b/>
        </w:rPr>
        <w:t>EL SAIMEX</w:t>
      </w:r>
      <w:r>
        <w:rPr>
          <w:rFonts w:ascii="Palatino Linotype" w:eastAsia="Palatino Linotype" w:hAnsi="Palatino Linotype" w:cs="Palatino Linotype"/>
        </w:rPr>
        <w:t xml:space="preserve"> y se le asignó el número de expediente </w:t>
      </w:r>
      <w:r>
        <w:rPr>
          <w:rFonts w:ascii="Palatino Linotype" w:eastAsia="Palatino Linotype" w:hAnsi="Palatino Linotype" w:cs="Palatino Linotype"/>
          <w:b/>
        </w:rPr>
        <w:t xml:space="preserve">07647/INFOEM/IP/RR/2022, </w:t>
      </w:r>
      <w:r>
        <w:rPr>
          <w:rFonts w:ascii="Palatino Linotype" w:eastAsia="Palatino Linotype" w:hAnsi="Palatino Linotype" w:cs="Palatino Linotype"/>
        </w:rPr>
        <w:t xml:space="preserve">donde los motivos de agravio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fueron los siguientes:</w:t>
      </w:r>
    </w:p>
    <w:p w14:paraId="2FBD291D" w14:textId="77777777" w:rsidR="00E62A55" w:rsidRDefault="00E62A55">
      <w:pPr>
        <w:widowControl w:val="0"/>
        <w:spacing w:line="360" w:lineRule="auto"/>
        <w:jc w:val="both"/>
        <w:rPr>
          <w:rFonts w:ascii="Palatino Linotype" w:eastAsia="Palatino Linotype" w:hAnsi="Palatino Linotype" w:cs="Palatino Linotype"/>
        </w:rPr>
      </w:pPr>
    </w:p>
    <w:p w14:paraId="06DF0EFC" w14:textId="77777777" w:rsidR="00E62A55" w:rsidRDefault="00343347">
      <w:pPr>
        <w:spacing w:line="360" w:lineRule="auto"/>
        <w:ind w:left="-57" w:right="-57"/>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Acto Impugnado:</w:t>
      </w:r>
      <w:r>
        <w:rPr>
          <w:b/>
          <w:u w:val="single"/>
        </w:rPr>
        <w:t xml:space="preserve"> </w:t>
      </w:r>
    </w:p>
    <w:p w14:paraId="364E9E08" w14:textId="77777777" w:rsidR="00E62A55" w:rsidRDefault="00343347">
      <w:pPr>
        <w:tabs>
          <w:tab w:val="left" w:pos="709"/>
        </w:tabs>
        <w:spacing w:before="66"/>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“Respuesta incompleta”(sic)</w:t>
      </w:r>
    </w:p>
    <w:p w14:paraId="01117380" w14:textId="77777777" w:rsidR="00E62A55" w:rsidRDefault="00E62A55">
      <w:pPr>
        <w:ind w:right="899"/>
        <w:jc w:val="both"/>
        <w:rPr>
          <w:rFonts w:ascii="Palatino Linotype" w:eastAsia="Palatino Linotype" w:hAnsi="Palatino Linotype" w:cs="Palatino Linotype"/>
        </w:rPr>
      </w:pPr>
    </w:p>
    <w:p w14:paraId="158899C5" w14:textId="77777777" w:rsidR="00E62A55" w:rsidRDefault="00343347">
      <w:pPr>
        <w:spacing w:line="360" w:lineRule="auto"/>
        <w:ind w:right="49"/>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Razones o motivos de inconformidad:</w:t>
      </w:r>
    </w:p>
    <w:p w14:paraId="347FCABF" w14:textId="77777777" w:rsidR="00E62A55" w:rsidRDefault="00343347">
      <w:pPr>
        <w:tabs>
          <w:tab w:val="left" w:pos="709"/>
        </w:tabs>
        <w:spacing w:before="66"/>
        <w:ind w:left="850" w:right="899"/>
        <w:jc w:val="both"/>
        <w:rPr>
          <w:rFonts w:ascii="Palatino Linotype" w:eastAsia="Palatino Linotype" w:hAnsi="Palatino Linotype" w:cs="Palatino Linotype"/>
          <w:b/>
          <w:u w:val="single"/>
        </w:rPr>
      </w:pPr>
      <w:r>
        <w:rPr>
          <w:rFonts w:ascii="Palatino Linotype" w:eastAsia="Palatino Linotype" w:hAnsi="Palatino Linotype" w:cs="Palatino Linotype"/>
          <w:i/>
          <w:sz w:val="22"/>
          <w:szCs w:val="22"/>
        </w:rPr>
        <w:t>“No me entregaron todo lo que solicite vía transparencia..”(sic)</w:t>
      </w:r>
    </w:p>
    <w:p w14:paraId="2591DEDD" w14:textId="77777777" w:rsidR="00E62A55" w:rsidRDefault="00E62A55">
      <w:pPr>
        <w:spacing w:line="360" w:lineRule="auto"/>
        <w:jc w:val="both"/>
        <w:rPr>
          <w:rFonts w:ascii="Palatino Linotype" w:eastAsia="Palatino Linotype" w:hAnsi="Palatino Linotype" w:cs="Palatino Linotype"/>
          <w:b/>
          <w:sz w:val="28"/>
          <w:szCs w:val="28"/>
        </w:rPr>
      </w:pPr>
    </w:p>
    <w:p w14:paraId="681F7B78" w14:textId="77777777" w:rsidR="00E62A55" w:rsidRDefault="00343347">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V. Del turno del </w:t>
      </w:r>
      <w:r w:rsidR="002B55E3">
        <w:rPr>
          <w:rFonts w:ascii="Palatino Linotype" w:eastAsia="Palatino Linotype" w:hAnsi="Palatino Linotype" w:cs="Palatino Linotype"/>
          <w:b/>
          <w:sz w:val="28"/>
          <w:szCs w:val="28"/>
        </w:rPr>
        <w:t>Recurso de Revisión</w:t>
      </w:r>
      <w:r>
        <w:rPr>
          <w:rFonts w:ascii="Palatino Linotype" w:eastAsia="Palatino Linotype" w:hAnsi="Palatino Linotype" w:cs="Palatino Linotype"/>
          <w:b/>
          <w:sz w:val="28"/>
          <w:szCs w:val="28"/>
        </w:rPr>
        <w:t xml:space="preserve">. </w:t>
      </w:r>
    </w:p>
    <w:p w14:paraId="1AD08F1D"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once de mayo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Pr>
          <w:rFonts w:ascii="Palatino Linotype" w:eastAsia="Palatino Linotype" w:hAnsi="Palatino Linotype" w:cs="Palatino Linotype"/>
          <w:b/>
        </w:rPr>
        <w:t>Comisionada Sharon Cristina Morales Martínez</w:t>
      </w:r>
      <w:r>
        <w:rPr>
          <w:rFonts w:ascii="Palatino Linotype" w:eastAsia="Palatino Linotype" w:hAnsi="Palatino Linotype" w:cs="Palatino Linotype"/>
        </w:rPr>
        <w:t>; a efecto de decretar su admisión o desechamiento.</w:t>
      </w:r>
    </w:p>
    <w:p w14:paraId="4E0F0587" w14:textId="77777777" w:rsidR="00E62A55" w:rsidRDefault="00343347">
      <w:pPr>
        <w:tabs>
          <w:tab w:val="center" w:pos="4252"/>
          <w:tab w:val="right" w:pos="8504"/>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a) Admisión del </w:t>
      </w:r>
      <w:r w:rsidR="002B55E3">
        <w:rPr>
          <w:rFonts w:ascii="Palatino Linotype" w:eastAsia="Palatino Linotype" w:hAnsi="Palatino Linotype" w:cs="Palatino Linotype"/>
          <w:b/>
        </w:rPr>
        <w:t>Recurso de Revisión</w:t>
      </w:r>
    </w:p>
    <w:p w14:paraId="3153FC83" w14:textId="77777777" w:rsidR="00E62A55" w:rsidRDefault="00343347">
      <w:pPr>
        <w:tabs>
          <w:tab w:val="center" w:pos="4252"/>
          <w:tab w:val="right" w:pos="8504"/>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las constancias que obran en el expediente electrónico del</w:t>
      </w:r>
      <w:r>
        <w:rPr>
          <w:rFonts w:ascii="Palatino Linotype" w:eastAsia="Palatino Linotype" w:hAnsi="Palatino Linotype" w:cs="Palatino Linotype"/>
          <w:b/>
        </w:rPr>
        <w:t xml:space="preserve"> SAIMEX</w:t>
      </w:r>
      <w:r>
        <w:rPr>
          <w:rFonts w:ascii="Palatino Linotype" w:eastAsia="Palatino Linotype" w:hAnsi="Palatino Linotype" w:cs="Palatino Linotype"/>
        </w:rPr>
        <w:t xml:space="preserve">, se advierte que en fecha doce de mayo de dos mil veintidós, se acordó la admisión a trámite del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que nos ocupa; así como la integración del expediente respectivo, mismo que se puso a disposición de las partes, para que en un plazo máximo de siete días hábiles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manifestara lo que a su derecho conviniera, a efecto de presentar pruebas y alegatos; así como, para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rindiera el correspondiente</w:t>
      </w:r>
      <w:r>
        <w:rPr>
          <w:rFonts w:ascii="Palatino Linotype" w:eastAsia="Palatino Linotype" w:hAnsi="Palatino Linotype" w:cs="Palatino Linotype"/>
          <w:b/>
        </w:rPr>
        <w:t xml:space="preserve"> </w:t>
      </w:r>
      <w:r>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7E0AF9B7" w14:textId="77777777" w:rsidR="00E62A55" w:rsidRDefault="00E62A55">
      <w:pPr>
        <w:tabs>
          <w:tab w:val="center" w:pos="4252"/>
          <w:tab w:val="right" w:pos="8504"/>
        </w:tabs>
        <w:spacing w:line="360" w:lineRule="auto"/>
        <w:jc w:val="both"/>
        <w:rPr>
          <w:rFonts w:ascii="Palatino Linotype" w:eastAsia="Palatino Linotype" w:hAnsi="Palatino Linotype" w:cs="Palatino Linotype"/>
        </w:rPr>
      </w:pPr>
    </w:p>
    <w:p w14:paraId="061AD04E" w14:textId="77777777" w:rsidR="00E62A55" w:rsidRDefault="0034334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Informe Justificado</w:t>
      </w:r>
    </w:p>
    <w:p w14:paraId="4DB5E653" w14:textId="77777777" w:rsidR="00E62A55" w:rsidRDefault="00343347">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las constancias que obran en el expediente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presentó manifestaciones que a su derecho convinieran. </w:t>
      </w:r>
    </w:p>
    <w:p w14:paraId="5651DB83" w14:textId="77777777" w:rsidR="00E62A55" w:rsidRDefault="00E62A55">
      <w:pPr>
        <w:widowControl w:val="0"/>
        <w:tabs>
          <w:tab w:val="left" w:pos="0"/>
        </w:tabs>
        <w:spacing w:line="360" w:lineRule="auto"/>
        <w:jc w:val="both"/>
        <w:rPr>
          <w:rFonts w:ascii="Palatino Linotype" w:eastAsia="Palatino Linotype" w:hAnsi="Palatino Linotype" w:cs="Palatino Linotype"/>
        </w:rPr>
      </w:pPr>
    </w:p>
    <w:p w14:paraId="1D5F16DF" w14:textId="77777777" w:rsidR="00E62A55" w:rsidRDefault="00343347">
      <w:pPr>
        <w:widowControl w:val="0"/>
        <w:tabs>
          <w:tab w:val="left" w:pos="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remitió el archivo denominado </w:t>
      </w:r>
      <w:r>
        <w:rPr>
          <w:rFonts w:ascii="Palatino Linotype" w:eastAsia="Palatino Linotype" w:hAnsi="Palatino Linotype" w:cs="Palatino Linotype"/>
          <w:i/>
        </w:rPr>
        <w:t xml:space="preserve">IRR 7647_2022.pdf, </w:t>
      </w:r>
      <w:r>
        <w:rPr>
          <w:rFonts w:ascii="Palatino Linotype" w:eastAsia="Palatino Linotype" w:hAnsi="Palatino Linotype" w:cs="Palatino Linotype"/>
        </w:rPr>
        <w:t xml:space="preserve">mismo que contiene el Informe Justificado emitido por la Titular de la Unidad de Transparencia quien ratificó su respuesta inicial, pronunciarse respecto de los motivos de inconformidad del particular señalando que la </w:t>
      </w:r>
      <w:r w:rsidR="002B55E3">
        <w:rPr>
          <w:rFonts w:ascii="Palatino Linotype" w:eastAsia="Palatino Linotype" w:hAnsi="Palatino Linotype" w:cs="Palatino Linotype"/>
        </w:rPr>
        <w:t>información</w:t>
      </w:r>
      <w:r>
        <w:rPr>
          <w:rFonts w:ascii="Palatino Linotype" w:eastAsia="Palatino Linotype" w:hAnsi="Palatino Linotype" w:cs="Palatino Linotype"/>
        </w:rPr>
        <w:t xml:space="preserve"> fue puesta </w:t>
      </w:r>
      <w:r>
        <w:rPr>
          <w:rFonts w:ascii="Palatino Linotype" w:eastAsia="Palatino Linotype" w:hAnsi="Palatino Linotype" w:cs="Palatino Linotype"/>
        </w:rPr>
        <w:lastRenderedPageBreak/>
        <w:t xml:space="preserve">a disposición del particular completa y en atención a lo que obra en sus archivos  </w:t>
      </w:r>
    </w:p>
    <w:p w14:paraId="63FD1A2A" w14:textId="77777777" w:rsidR="00E62A55" w:rsidRDefault="00E62A55">
      <w:pPr>
        <w:widowControl w:val="0"/>
        <w:tabs>
          <w:tab w:val="left" w:pos="0"/>
        </w:tabs>
        <w:spacing w:line="360" w:lineRule="auto"/>
        <w:jc w:val="both"/>
        <w:rPr>
          <w:rFonts w:ascii="Palatino Linotype" w:eastAsia="Palatino Linotype" w:hAnsi="Palatino Linotype" w:cs="Palatino Linotype"/>
          <w:b/>
        </w:rPr>
      </w:pPr>
    </w:p>
    <w:p w14:paraId="7FE19D16" w14:textId="77777777" w:rsidR="00E62A55" w:rsidRDefault="00343347">
      <w:pPr>
        <w:widowControl w:val="0"/>
        <w:tabs>
          <w:tab w:val="left" w:pos="0"/>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De la ampliación </w:t>
      </w:r>
    </w:p>
    <w:p w14:paraId="0D546169"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cinco de julio de dos mil veintidós, se notificó el acuerdo de ampliación de plazo para resolver el presente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7929BBE7" w14:textId="77777777" w:rsidR="00E62A55" w:rsidRDefault="00E62A55">
      <w:pPr>
        <w:shd w:val="clear" w:color="auto" w:fill="FFFFFF"/>
        <w:spacing w:line="392" w:lineRule="auto"/>
        <w:jc w:val="both"/>
        <w:rPr>
          <w:rFonts w:ascii="Palatino Linotype" w:eastAsia="Palatino Linotype" w:hAnsi="Palatino Linotype" w:cs="Palatino Linotype"/>
        </w:rPr>
      </w:pPr>
    </w:p>
    <w:p w14:paraId="511A870D"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1BBDA90"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EBC7BD0"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Pr>
          <w:rFonts w:ascii="Palatino Linotype" w:eastAsia="Palatino Linotype" w:hAnsi="Palatino Linotype" w:cs="Palatino Linotype"/>
        </w:rPr>
        <w:lastRenderedPageBreak/>
        <w:t>establecidos por diversos órganos jurisdiccionales federales, aplicables también en procedimientos análogos, como el que nos ocupa.</w:t>
      </w:r>
    </w:p>
    <w:p w14:paraId="3FE6A891"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EDD9088"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4FE5A51"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CDBB603"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E249BC"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7B33976C"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0544FA2E" w14:textId="77777777" w:rsidR="00E62A55" w:rsidRDefault="00343347">
      <w:pPr>
        <w:shd w:val="clear" w:color="auto" w:fill="FFFFFF"/>
        <w:spacing w:before="200" w:after="200" w:line="360" w:lineRule="auto"/>
        <w:ind w:left="992"/>
        <w:jc w:val="both"/>
        <w:rPr>
          <w:rFonts w:ascii="Palatino Linotype" w:eastAsia="Palatino Linotype" w:hAnsi="Palatino Linotype" w:cs="Palatino Linotype"/>
        </w:rPr>
      </w:pPr>
      <w:r>
        <w:rPr>
          <w:rFonts w:ascii="Palatino Linotype" w:eastAsia="Palatino Linotype" w:hAnsi="Palatino Linotype" w:cs="Palatino Linotype"/>
        </w:rPr>
        <w:t xml:space="preserve">a) Complejidad del Asunto: La complejidad de la prueba, la pluralidad de sujetos procesales, el tiempo transcurrido, las características y contexto del recurso. </w:t>
      </w:r>
    </w:p>
    <w:p w14:paraId="423E7893" w14:textId="77777777" w:rsidR="00E62A55" w:rsidRDefault="00343347">
      <w:pPr>
        <w:shd w:val="clear" w:color="auto" w:fill="FFFFFF"/>
        <w:spacing w:before="200" w:after="200" w:line="360" w:lineRule="auto"/>
        <w:ind w:left="992"/>
        <w:jc w:val="both"/>
        <w:rPr>
          <w:rFonts w:ascii="Palatino Linotype" w:eastAsia="Palatino Linotype" w:hAnsi="Palatino Linotype" w:cs="Palatino Linotype"/>
        </w:rPr>
      </w:pPr>
      <w:r>
        <w:rPr>
          <w:rFonts w:ascii="Palatino Linotype" w:eastAsia="Palatino Linotype" w:hAnsi="Palatino Linotype" w:cs="Palatino Linotype"/>
        </w:rPr>
        <w:t xml:space="preserve">b) Actividad Procesal del interesado. Acciones u omisiones del interesado. </w:t>
      </w:r>
    </w:p>
    <w:p w14:paraId="71A46C47" w14:textId="77777777" w:rsidR="00E62A55" w:rsidRDefault="00343347">
      <w:pPr>
        <w:shd w:val="clear" w:color="auto" w:fill="FFFFFF"/>
        <w:spacing w:before="200" w:after="200" w:line="360" w:lineRule="auto"/>
        <w:ind w:left="992"/>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 Conducta de la Autoridad: Las Acciones u omisiones realizadas en el procedimiento. Así como si la autoridad actuó con la debida diligencia. </w:t>
      </w:r>
    </w:p>
    <w:p w14:paraId="4BDAC791" w14:textId="77777777" w:rsidR="00E62A55" w:rsidRDefault="00343347">
      <w:pPr>
        <w:shd w:val="clear" w:color="auto" w:fill="FFFFFF"/>
        <w:spacing w:line="360" w:lineRule="auto"/>
        <w:ind w:left="992"/>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2326F58C" w14:textId="77777777" w:rsidR="00E62A55" w:rsidRDefault="0034334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8A6B69B"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B81B5F"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17FED4CB"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del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Semanario Judicial de la Federación con el registro digital 205635.</w:t>
      </w:r>
    </w:p>
    <w:p w14:paraId="26363BF3" w14:textId="77777777" w:rsidR="00E62A55" w:rsidRDefault="00343347">
      <w:pPr>
        <w:shd w:val="clear" w:color="auto" w:fill="FFFFFF"/>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09A6A8B4"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w:t>
      </w:r>
      <w:r>
        <w:rPr>
          <w:rFonts w:ascii="Palatino Linotype" w:eastAsia="Palatino Linotype" w:hAnsi="Palatino Linotype" w:cs="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A2C98C"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551AD6A0"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1A89F01"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CE8ABE6"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5177BC9"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0F49C2C"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31808C5" w14:textId="77777777" w:rsidR="00E62A55" w:rsidRDefault="00343347">
      <w:pPr>
        <w:shd w:val="clear" w:color="auto" w:fill="FFFFFF"/>
        <w:spacing w:line="392"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3C153DAA"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i/>
        </w:rPr>
        <w:lastRenderedPageBreak/>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15EB8345" w14:textId="77777777" w:rsidR="00E62A55" w:rsidRDefault="00343347">
      <w:pPr>
        <w:shd w:val="clear" w:color="auto" w:fill="FFFFFF"/>
        <w:spacing w:line="392"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07179FBF" w14:textId="77777777" w:rsidR="00E62A55" w:rsidRDefault="00343347">
      <w:pPr>
        <w:shd w:val="clear" w:color="auto" w:fill="FFFFFF"/>
        <w:spacing w:line="392"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0582646" w14:textId="77777777" w:rsidR="00E62A55" w:rsidRDefault="00E62A55">
      <w:pPr>
        <w:spacing w:line="360" w:lineRule="auto"/>
        <w:jc w:val="both"/>
        <w:rPr>
          <w:rFonts w:ascii="Palatino Linotype" w:eastAsia="Palatino Linotype" w:hAnsi="Palatino Linotype" w:cs="Palatino Linotype"/>
          <w:b/>
        </w:rPr>
      </w:pPr>
    </w:p>
    <w:p w14:paraId="40C114A3" w14:textId="77777777" w:rsidR="00E62A55" w:rsidRDefault="0034334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 Cierre de Instrucción</w:t>
      </w:r>
    </w:p>
    <w:p w14:paraId="4A417673"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una vez analizado el estado procesal que guarda el expediente, en fecha </w:t>
      </w:r>
      <w:r w:rsidR="008F7204">
        <w:rPr>
          <w:rFonts w:ascii="Palatino Linotype" w:eastAsia="Palatino Linotype" w:hAnsi="Palatino Linotype" w:cs="Palatino Linotype"/>
        </w:rPr>
        <w:t>cuatro</w:t>
      </w:r>
      <w:r>
        <w:rPr>
          <w:rFonts w:ascii="Palatino Linotype" w:eastAsia="Palatino Linotype" w:hAnsi="Palatino Linotype" w:cs="Palatino Linotype"/>
        </w:rPr>
        <w:t xml:space="preserve"> de agosto de dos mil veintidós,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C69ED52" w14:textId="77777777" w:rsidR="00E62A55" w:rsidRDefault="00E62A55">
      <w:pPr>
        <w:spacing w:line="360" w:lineRule="auto"/>
        <w:jc w:val="both"/>
        <w:rPr>
          <w:rFonts w:ascii="Palatino Linotype" w:eastAsia="Palatino Linotype" w:hAnsi="Palatino Linotype" w:cs="Palatino Linotype"/>
        </w:rPr>
      </w:pPr>
    </w:p>
    <w:p w14:paraId="16C250F0" w14:textId="77777777" w:rsidR="00E62A55" w:rsidRDefault="00343347">
      <w:pPr>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CONSIDERANDO</w:t>
      </w:r>
    </w:p>
    <w:p w14:paraId="37A7BB1D" w14:textId="77777777" w:rsidR="00E62A55" w:rsidRDefault="00E62A55">
      <w:pPr>
        <w:jc w:val="center"/>
        <w:rPr>
          <w:rFonts w:ascii="Palatino Linotype" w:eastAsia="Palatino Linotype" w:hAnsi="Palatino Linotype" w:cs="Palatino Linotype"/>
          <w:b/>
          <w:sz w:val="28"/>
          <w:szCs w:val="28"/>
        </w:rPr>
      </w:pPr>
    </w:p>
    <w:p w14:paraId="38C21CA8" w14:textId="77777777" w:rsidR="00E62A55" w:rsidRDefault="00343347">
      <w:pPr>
        <w:widowControl w:val="0"/>
        <w:tabs>
          <w:tab w:val="left" w:pos="1701"/>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Competencia</w:t>
      </w:r>
      <w:r>
        <w:rPr>
          <w:rFonts w:ascii="Palatino Linotype" w:eastAsia="Palatino Linotype" w:hAnsi="Palatino Linotype" w:cs="Palatino Linotype"/>
        </w:rPr>
        <w:t>.</w:t>
      </w:r>
      <w:r>
        <w:rPr>
          <w:rFonts w:ascii="Palatino Linotype" w:eastAsia="Palatino Linotype" w:hAnsi="Palatino Linotype" w:cs="Palatino Linotype"/>
          <w:b/>
        </w:rPr>
        <w:t xml:space="preserve"> </w:t>
      </w:r>
    </w:p>
    <w:p w14:paraId="09D219B3" w14:textId="77777777" w:rsidR="00E62A55" w:rsidRDefault="0034334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Pr>
          <w:rFonts w:ascii="Palatino Linotype" w:eastAsia="Palatino Linotype" w:hAnsi="Palatino Linotype" w:cs="Palatino Linotype"/>
        </w:rPr>
        <w:lastRenderedPageBreak/>
        <w:t xml:space="preserve">el presente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C309223" w14:textId="77777777" w:rsidR="00E62A55" w:rsidRDefault="00E62A55">
      <w:pPr>
        <w:spacing w:line="360" w:lineRule="auto"/>
        <w:jc w:val="both"/>
        <w:rPr>
          <w:rFonts w:ascii="Palatino Linotype" w:eastAsia="Palatino Linotype" w:hAnsi="Palatino Linotype" w:cs="Palatino Linotype"/>
          <w:b/>
          <w:sz w:val="28"/>
          <w:szCs w:val="28"/>
        </w:rPr>
      </w:pPr>
    </w:p>
    <w:p w14:paraId="4E6325B3" w14:textId="77777777" w:rsidR="00E62A55" w:rsidRDefault="0034334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b/>
        </w:rPr>
        <w:t xml:space="preserve">. Interés. </w:t>
      </w:r>
    </w:p>
    <w:p w14:paraId="4CAA2DD3" w14:textId="77777777" w:rsidR="00E62A55" w:rsidRDefault="00343347">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El</w:t>
      </w:r>
      <w:r>
        <w:rPr>
          <w:rFonts w:ascii="Palatino Linotype" w:eastAsia="Palatino Linotype" w:hAnsi="Palatino Linotype" w:cs="Palatino Linotype"/>
          <w:color w:val="000000"/>
        </w:rPr>
        <w:t xml:space="preserve"> </w:t>
      </w:r>
      <w:r w:rsidR="002B55E3">
        <w:rPr>
          <w:rFonts w:ascii="Palatino Linotype" w:eastAsia="Palatino Linotype" w:hAnsi="Palatino Linotype" w:cs="Palatino Linotype"/>
          <w:color w:val="000000"/>
        </w:rPr>
        <w:t>Recurso de Revisión</w:t>
      </w:r>
      <w:r>
        <w:rPr>
          <w:rFonts w:ascii="Palatino Linotype" w:eastAsia="Palatino Linotype" w:hAnsi="Palatino Linotype" w:cs="Palatino Linotype"/>
          <w:color w:val="000000"/>
        </w:rPr>
        <w:t xml:space="preserve"> materia del presente estudio fue interpuesto por parte legítima, en atención a que se presentó por </w:t>
      </w:r>
      <w:r>
        <w:rPr>
          <w:rFonts w:ascii="Palatino Linotype" w:eastAsia="Palatino Linotype" w:hAnsi="Palatino Linotype" w:cs="Palatino Linotype"/>
          <w:b/>
        </w:rPr>
        <w:t>EL</w:t>
      </w:r>
      <w:r>
        <w:rPr>
          <w:rFonts w:ascii="Palatino Linotype" w:eastAsia="Palatino Linotype" w:hAnsi="Palatino Linotype" w:cs="Palatino Linotype"/>
          <w:b/>
          <w:color w:val="000000"/>
        </w:rPr>
        <w:t xml:space="preserve"> RECURRENTE,</w:t>
      </w:r>
      <w:r>
        <w:rPr>
          <w:rFonts w:ascii="Palatino Linotype" w:eastAsia="Palatino Linotype" w:hAnsi="Palatino Linotype" w:cs="Palatino Linotype"/>
          <w:color w:val="000000"/>
        </w:rPr>
        <w:t xml:space="preserve"> quien es la misma persona que formuló la solicitud de acceso a la información pública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pues para ello, es necesario que el particular ingrese al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mediante la utilización de su clave de usuario y contraseña.</w:t>
      </w:r>
    </w:p>
    <w:p w14:paraId="37ACE3C6" w14:textId="77777777" w:rsidR="00E62A55" w:rsidRDefault="00E62A55">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EAB00E3" w14:textId="77777777" w:rsidR="00E62A55" w:rsidRDefault="00343347">
      <w:pPr>
        <w:tabs>
          <w:tab w:val="center" w:pos="4252"/>
          <w:tab w:val="right" w:pos="8504"/>
        </w:tabs>
        <w:spacing w:line="360" w:lineRule="auto"/>
        <w:ind w:left="-57"/>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color w:val="000000"/>
        </w:rPr>
        <w:t>Oportunidad</w:t>
      </w:r>
      <w:r>
        <w:rPr>
          <w:rFonts w:ascii="Palatino Linotype" w:eastAsia="Palatino Linotype" w:hAnsi="Palatino Linotype" w:cs="Palatino Linotype"/>
          <w:color w:val="000000"/>
        </w:rPr>
        <w:t xml:space="preserve">. </w:t>
      </w:r>
    </w:p>
    <w:p w14:paraId="014DFC21" w14:textId="77777777" w:rsidR="00E62A55" w:rsidRDefault="00343347">
      <w:pPr>
        <w:widowControl w:val="0"/>
        <w:tabs>
          <w:tab w:val="left" w:pos="1701"/>
        </w:tabs>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fue interpuesto dentro del plazo de quince días hábiles, contados a partir del día siguiente al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7CE349D" w14:textId="77777777" w:rsidR="00E62A55" w:rsidRDefault="00E62A55">
      <w:pPr>
        <w:ind w:left="720" w:right="709"/>
        <w:jc w:val="both"/>
        <w:rPr>
          <w:rFonts w:ascii="Palatino Linotype" w:eastAsia="Palatino Linotype" w:hAnsi="Palatino Linotype" w:cs="Palatino Linotype"/>
          <w:i/>
          <w:sz w:val="22"/>
          <w:szCs w:val="22"/>
        </w:rPr>
      </w:pPr>
    </w:p>
    <w:p w14:paraId="2CC52E79"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2B55E3">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2394A938" w14:textId="77777777" w:rsidR="00E62A55" w:rsidRDefault="00E62A55">
      <w:pPr>
        <w:ind w:left="851" w:right="899"/>
        <w:jc w:val="both"/>
        <w:rPr>
          <w:rFonts w:ascii="Palatino Linotype" w:eastAsia="Palatino Linotype" w:hAnsi="Palatino Linotype" w:cs="Palatino Linotype"/>
          <w:i/>
          <w:sz w:val="22"/>
          <w:szCs w:val="22"/>
        </w:rPr>
      </w:pPr>
    </w:p>
    <w:p w14:paraId="192C8F97"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D8D6590" w14:textId="77777777" w:rsidR="00E62A55" w:rsidRDefault="00E62A55">
      <w:pPr>
        <w:ind w:left="851" w:right="899"/>
        <w:jc w:val="both"/>
        <w:rPr>
          <w:rFonts w:ascii="Palatino Linotype" w:eastAsia="Palatino Linotype" w:hAnsi="Palatino Linotype" w:cs="Palatino Linotype"/>
          <w:i/>
          <w:sz w:val="22"/>
          <w:szCs w:val="22"/>
        </w:rPr>
      </w:pPr>
    </w:p>
    <w:p w14:paraId="147E355F"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el caso de que se interponga ante la Unidad de Transparencia, ésta deberá remitir el </w:t>
      </w:r>
      <w:r w:rsidR="002B55E3">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al Instituto a más tardar al día siguiente de haberlo recibido.”</w:t>
      </w:r>
    </w:p>
    <w:p w14:paraId="48D23675" w14:textId="77777777" w:rsidR="00E62A55" w:rsidRDefault="00E62A55">
      <w:pPr>
        <w:ind w:left="720" w:right="709"/>
        <w:jc w:val="both"/>
        <w:rPr>
          <w:rFonts w:ascii="Palatino Linotype" w:eastAsia="Palatino Linotype" w:hAnsi="Palatino Linotype" w:cs="Palatino Linotype"/>
          <w:i/>
          <w:sz w:val="22"/>
          <w:szCs w:val="22"/>
        </w:rPr>
      </w:pPr>
    </w:p>
    <w:p w14:paraId="43800224" w14:textId="77777777" w:rsidR="00E62A55" w:rsidRDefault="00343347">
      <w:pPr>
        <w:spacing w:line="360" w:lineRule="auto"/>
        <w:jc w:val="both"/>
        <w:rPr>
          <w:rFonts w:ascii="Palatino Linotype" w:eastAsia="Palatino Linotype" w:hAnsi="Palatino Linotype" w:cs="Palatino Linotype"/>
        </w:rPr>
      </w:pPr>
      <w:bookmarkStart w:id="4" w:name="_heading=h.2et92p0" w:colFirst="0" w:colLast="0"/>
      <w:bookmarkEnd w:id="4"/>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dos de mayo de dos mil veintidós</w:t>
      </w:r>
      <w:r>
        <w:rPr>
          <w:rFonts w:ascii="Palatino Linotype" w:eastAsia="Palatino Linotype" w:hAnsi="Palatino Linotype" w:cs="Palatino Linotype"/>
        </w:rPr>
        <w:t xml:space="preserve">, así el plazo de quince días hábiles que el artículo 178 de la Ley de la materia otorga al </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respectivo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transcurrió del</w:t>
      </w:r>
      <w:r>
        <w:rPr>
          <w:rFonts w:ascii="Palatino Linotype" w:eastAsia="Palatino Linotype" w:hAnsi="Palatino Linotype" w:cs="Palatino Linotype"/>
          <w:b/>
        </w:rPr>
        <w:t xml:space="preserve"> tres al veinticuatro de mayo de dos mil veintidós, </w:t>
      </w:r>
      <w:r>
        <w:rPr>
          <w:rFonts w:ascii="Palatino Linotype" w:eastAsia="Palatino Linotype" w:hAnsi="Palatino Linotype" w:cs="Palatino Linotype"/>
        </w:rPr>
        <w:t xml:space="preserve">sin contemplar en el cómputo los días siete, ocho, catorce, quince, veintiuno y veintidós de mayo, por corresponder a sábados y domingos, considerados como días inhábiles, en términos del artículo 3, fracción X de la Ley de Transparencia y Acceso a la Información Pública del Estado de México y Municipios. Exceptuando además de dicho plazo el día cinco de mayo por ser considerado como día inhábil  por suspensión de labores en términos del Calendario Oficial en Materia de Transparencia, Acceso a la Información Pública y Protección de Datos Personales del Estado de México y Municipios, así como de labores del Instituto </w:t>
      </w:r>
      <w:r>
        <w:rPr>
          <w:rFonts w:ascii="Palatino Linotype" w:eastAsia="Palatino Linotype" w:hAnsi="Palatino Linotype" w:cs="Palatino Linotype"/>
        </w:rPr>
        <w:lastRenderedPageBreak/>
        <w:t>para el año dos mil veintidós y enero dos mil veintitrés, publicado en el Periódico Oficial “Gaceta del Gobierno”, el veintidós de diciembre de dos mil veintiuno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20DEFE8A" w14:textId="77777777" w:rsidR="00E62A55" w:rsidRDefault="00E62A55">
      <w:pPr>
        <w:spacing w:line="360" w:lineRule="auto"/>
        <w:jc w:val="both"/>
        <w:rPr>
          <w:rFonts w:ascii="Palatino Linotype" w:eastAsia="Palatino Linotype" w:hAnsi="Palatino Linotype" w:cs="Palatino Linotype"/>
        </w:rPr>
      </w:pPr>
      <w:bookmarkStart w:id="5" w:name="_heading=h.orkc3o7h9xbv" w:colFirst="0" w:colLast="0"/>
      <w:bookmarkEnd w:id="5"/>
    </w:p>
    <w:p w14:paraId="25D7B758" w14:textId="77777777" w:rsidR="00E62A55" w:rsidRDefault="00343347">
      <w:pPr>
        <w:spacing w:line="360" w:lineRule="auto"/>
        <w:ind w:left="-5" w:hanging="10"/>
        <w:jc w:val="both"/>
        <w:rPr>
          <w:rFonts w:ascii="Palatino Linotype" w:eastAsia="Palatino Linotype" w:hAnsi="Palatino Linotype" w:cs="Palatino Linotype"/>
        </w:rPr>
      </w:pPr>
      <w:r>
        <w:rPr>
          <w:rFonts w:ascii="Palatino Linotype" w:eastAsia="Palatino Linotype" w:hAnsi="Palatino Linotype" w:cs="Palatino Linotype"/>
        </w:rPr>
        <w:t xml:space="preserve">En ese tenor,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presentó el medio de impugnación, el once de mayo de dos mil veintidós, luego entonces debe considerarse en tiempo.</w:t>
      </w:r>
    </w:p>
    <w:p w14:paraId="5FA1822F" w14:textId="77777777" w:rsidR="00E62A55" w:rsidRDefault="00E62A55">
      <w:pPr>
        <w:spacing w:line="360" w:lineRule="auto"/>
        <w:ind w:right="49"/>
        <w:jc w:val="both"/>
        <w:rPr>
          <w:rFonts w:ascii="Palatino Linotype" w:eastAsia="Palatino Linotype" w:hAnsi="Palatino Linotype" w:cs="Palatino Linotype"/>
          <w:b/>
          <w:sz w:val="28"/>
          <w:szCs w:val="28"/>
        </w:rPr>
      </w:pPr>
    </w:p>
    <w:p w14:paraId="520C2F66" w14:textId="77777777" w:rsidR="00E62A55" w:rsidRDefault="00343347">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b/>
        </w:rPr>
        <w:t xml:space="preserve">. Procedibilidad. </w:t>
      </w:r>
    </w:p>
    <w:p w14:paraId="38832C3B" w14:textId="77777777" w:rsidR="00E62A55" w:rsidRDefault="0034334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que en el presente Recurso de </w:t>
      </w:r>
      <w:r w:rsidR="002B55E3">
        <w:rPr>
          <w:rFonts w:ascii="Palatino Linotype" w:eastAsia="Palatino Linotype" w:hAnsi="Palatino Linotype" w:cs="Palatino Linotype"/>
        </w:rPr>
        <w:t>Revisión</w:t>
      </w:r>
      <w:r>
        <w:rPr>
          <w:rFonts w:ascii="Palatino Linotype" w:eastAsia="Palatino Linotype" w:hAnsi="Palatino Linotype" w:cs="Palatino Linotype"/>
        </w:rPr>
        <w:t xml:space="preserve"> se satisfacen los </w:t>
      </w:r>
      <w:r w:rsidR="002B55E3">
        <w:rPr>
          <w:rFonts w:ascii="Palatino Linotype" w:eastAsia="Palatino Linotype" w:hAnsi="Palatino Linotype" w:cs="Palatino Linotype"/>
        </w:rPr>
        <w:t>requisitos</w:t>
      </w:r>
      <w:r>
        <w:rPr>
          <w:rFonts w:ascii="Palatino Linotype" w:eastAsia="Palatino Linotype" w:hAnsi="Palatino Linotype" w:cs="Palatino Linotype"/>
        </w:rPr>
        <w:t xml:space="preserve"> establecidos en el 180 de la Ley de Transparencia y Acceso a la Información Pública del Estado de México y Municipios, mismo que es del tenor </w:t>
      </w:r>
      <w:r w:rsidR="002B55E3">
        <w:rPr>
          <w:rFonts w:ascii="Palatino Linotype" w:eastAsia="Palatino Linotype" w:hAnsi="Palatino Linotype" w:cs="Palatino Linotype"/>
        </w:rPr>
        <w:t>siguiente</w:t>
      </w:r>
      <w:r>
        <w:rPr>
          <w:rFonts w:ascii="Palatino Linotype" w:eastAsia="Palatino Linotype" w:hAnsi="Palatino Linotype" w:cs="Palatino Linotype"/>
        </w:rPr>
        <w:t xml:space="preserve">: </w:t>
      </w:r>
    </w:p>
    <w:p w14:paraId="1B44948D" w14:textId="77777777" w:rsidR="00E62A55" w:rsidRDefault="00E62A55">
      <w:pPr>
        <w:ind w:right="49"/>
        <w:jc w:val="both"/>
        <w:rPr>
          <w:rFonts w:ascii="Palatino Linotype" w:eastAsia="Palatino Linotype" w:hAnsi="Palatino Linotype" w:cs="Palatino Linotype"/>
        </w:rPr>
      </w:pPr>
    </w:p>
    <w:p w14:paraId="310392C8" w14:textId="77777777" w:rsidR="00E62A55" w:rsidRDefault="00343347">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 xml:space="preserve">El </w:t>
      </w:r>
      <w:r w:rsidR="002B55E3">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contendrá:</w:t>
      </w:r>
      <w:r>
        <w:rPr>
          <w:rFonts w:ascii="Palatino Linotype" w:eastAsia="Palatino Linotype" w:hAnsi="Palatino Linotype" w:cs="Palatino Linotype"/>
          <w:b/>
          <w:i/>
          <w:sz w:val="22"/>
          <w:szCs w:val="22"/>
        </w:rPr>
        <w:t xml:space="preserve"> </w:t>
      </w:r>
    </w:p>
    <w:p w14:paraId="7122C6EA" w14:textId="77777777" w:rsidR="00E62A55" w:rsidRDefault="00343347">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E35EB0E" w14:textId="77777777" w:rsidR="00E62A55" w:rsidRDefault="00343347">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55874F3A" w14:textId="77777777" w:rsidR="00E62A55" w:rsidRDefault="00343347">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42F7476D" w14:textId="77777777" w:rsidR="00E62A55" w:rsidRDefault="00343347">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237BF4E5" w14:textId="77777777" w:rsidR="00E62A55" w:rsidRDefault="00E62A55">
      <w:pPr>
        <w:spacing w:line="360" w:lineRule="auto"/>
        <w:jc w:val="both"/>
        <w:rPr>
          <w:rFonts w:ascii="Palatino Linotype" w:eastAsia="Palatino Linotype" w:hAnsi="Palatino Linotype" w:cs="Palatino Linotype"/>
        </w:rPr>
      </w:pPr>
    </w:p>
    <w:p w14:paraId="656EB5ED" w14:textId="77777777" w:rsidR="00E62A55" w:rsidRDefault="0034334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rPr>
        <w:t xml:space="preserve">. Estudio y resolución del asunto. </w:t>
      </w:r>
    </w:p>
    <w:p w14:paraId="634642E7" w14:textId="77777777" w:rsidR="00E62A55" w:rsidRDefault="0034334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importante recordar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nombre completo de los propietarios y suplentes de las planillas ganadoras de las Delegaciones de Toluca.</w:t>
      </w:r>
    </w:p>
    <w:p w14:paraId="198170C9" w14:textId="77777777" w:rsidR="00E62A55" w:rsidRDefault="00E62A55">
      <w:pPr>
        <w:tabs>
          <w:tab w:val="left" w:pos="709"/>
        </w:tabs>
        <w:spacing w:line="360" w:lineRule="auto"/>
        <w:jc w:val="both"/>
        <w:rPr>
          <w:rFonts w:ascii="Palatino Linotype" w:eastAsia="Palatino Linotype" w:hAnsi="Palatino Linotype" w:cs="Palatino Linotype"/>
        </w:rPr>
      </w:pPr>
    </w:p>
    <w:p w14:paraId="15D092D5"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 lo cual en respuesta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entregó el archivo denominado “</w:t>
      </w:r>
      <w:r>
        <w:rPr>
          <w:rFonts w:ascii="Palatino Linotype" w:eastAsia="Palatino Linotype" w:hAnsi="Palatino Linotype" w:cs="Palatino Linotype"/>
          <w:i/>
        </w:rPr>
        <w:t xml:space="preserve">DIRECTORIO DELEGADOS (1).pdf” </w:t>
      </w:r>
      <w:r>
        <w:rPr>
          <w:rFonts w:ascii="Palatino Linotype" w:eastAsia="Palatino Linotype" w:hAnsi="Palatino Linotype" w:cs="Palatino Linotype"/>
        </w:rPr>
        <w:t xml:space="preserve"> de cuyo contenido se advierte el Directorio de Delegados Municipales de la Administración 2022- 2025</w:t>
      </w:r>
    </w:p>
    <w:p w14:paraId="7D9DB79D" w14:textId="77777777" w:rsidR="00E62A55" w:rsidRDefault="00E62A55">
      <w:pPr>
        <w:spacing w:line="360" w:lineRule="auto"/>
        <w:jc w:val="both"/>
        <w:rPr>
          <w:rFonts w:ascii="Palatino Linotype" w:eastAsia="Palatino Linotype" w:hAnsi="Palatino Linotype" w:cs="Palatino Linotype"/>
        </w:rPr>
      </w:pPr>
    </w:p>
    <w:p w14:paraId="2699F1C1" w14:textId="77777777" w:rsidR="002B55E3"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con la respuesta el particular </w:t>
      </w:r>
      <w:r w:rsidR="002B55E3">
        <w:rPr>
          <w:rFonts w:ascii="Palatino Linotype" w:eastAsia="Palatino Linotype" w:hAnsi="Palatino Linotype" w:cs="Palatino Linotype"/>
        </w:rPr>
        <w:t>interpuso</w:t>
      </w:r>
      <w:r>
        <w:rPr>
          <w:rFonts w:ascii="Palatino Linotype" w:eastAsia="Palatino Linotype" w:hAnsi="Palatino Linotype" w:cs="Palatino Linotype"/>
        </w:rPr>
        <w:t xml:space="preserve"> el presente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señalando que no le fue entregada la </w:t>
      </w:r>
      <w:r w:rsidR="002B55E3">
        <w:rPr>
          <w:rFonts w:ascii="Palatino Linotype" w:eastAsia="Palatino Linotype" w:hAnsi="Palatino Linotype" w:cs="Palatino Linotype"/>
        </w:rPr>
        <w:t>información</w:t>
      </w:r>
      <w:r>
        <w:rPr>
          <w:rFonts w:ascii="Palatino Linotype" w:eastAsia="Palatino Linotype" w:hAnsi="Palatino Linotype" w:cs="Palatino Linotype"/>
        </w:rPr>
        <w:t xml:space="preserve"> </w:t>
      </w:r>
      <w:r w:rsidR="002B55E3">
        <w:rPr>
          <w:rFonts w:ascii="Palatino Linotype" w:eastAsia="Palatino Linotype" w:hAnsi="Palatino Linotype" w:cs="Palatino Linotype"/>
        </w:rPr>
        <w:t>solicitada</w:t>
      </w:r>
      <w:r>
        <w:rPr>
          <w:rFonts w:ascii="Palatino Linotype" w:eastAsia="Palatino Linotype" w:hAnsi="Palatino Linotype" w:cs="Palatino Linotype"/>
        </w:rPr>
        <w:t xml:space="preserve"> de forma completa. </w:t>
      </w:r>
    </w:p>
    <w:p w14:paraId="7ADC4C5B" w14:textId="77777777" w:rsidR="002B55E3" w:rsidRDefault="002B55E3">
      <w:pPr>
        <w:spacing w:line="360" w:lineRule="auto"/>
        <w:jc w:val="both"/>
        <w:rPr>
          <w:rFonts w:ascii="Palatino Linotype" w:eastAsia="Palatino Linotype" w:hAnsi="Palatino Linotype" w:cs="Palatino Linotype"/>
        </w:rPr>
      </w:pPr>
    </w:p>
    <w:p w14:paraId="706A37B1"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que en consecuencia actualiza la causal de procedencia del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establecida en el artículo 179 fracción V  que establece: </w:t>
      </w:r>
    </w:p>
    <w:p w14:paraId="35E76C39" w14:textId="77777777" w:rsidR="00E62A55" w:rsidRDefault="00E62A55">
      <w:pPr>
        <w:spacing w:line="360" w:lineRule="auto"/>
        <w:jc w:val="both"/>
        <w:rPr>
          <w:rFonts w:ascii="Palatino Linotype" w:eastAsia="Palatino Linotype" w:hAnsi="Palatino Linotype" w:cs="Palatino Linotype"/>
        </w:rPr>
      </w:pPr>
    </w:p>
    <w:p w14:paraId="0A2FA858" w14:textId="77777777" w:rsidR="00E62A55" w:rsidRDefault="00343347">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w:t>
      </w:r>
      <w:r w:rsidR="002B55E3">
        <w:rPr>
          <w:rFonts w:ascii="Palatino Linotype" w:eastAsia="Palatino Linotype" w:hAnsi="Palatino Linotype" w:cs="Palatino Linotype"/>
          <w:i/>
          <w:sz w:val="22"/>
          <w:szCs w:val="22"/>
        </w:rPr>
        <w:t>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 y procederá en contra de las siguientes causas: </w:t>
      </w:r>
    </w:p>
    <w:p w14:paraId="6159DF14" w14:textId="77777777" w:rsidR="00E62A55" w:rsidRDefault="00343347">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entrega de información incompleta;”</w:t>
      </w:r>
    </w:p>
    <w:p w14:paraId="4FCFFB6D" w14:textId="77777777" w:rsidR="00E62A55" w:rsidRDefault="00343347">
      <w:pPr>
        <w:ind w:left="850"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(énfasis añadido)</w:t>
      </w:r>
    </w:p>
    <w:p w14:paraId="78ED536B" w14:textId="77777777" w:rsidR="00E62A55" w:rsidRDefault="00E62A55">
      <w:pPr>
        <w:tabs>
          <w:tab w:val="left" w:pos="709"/>
        </w:tabs>
        <w:spacing w:line="360" w:lineRule="auto"/>
        <w:ind w:right="49"/>
        <w:jc w:val="both"/>
        <w:rPr>
          <w:rFonts w:ascii="Palatino Linotype" w:eastAsia="Palatino Linotype" w:hAnsi="Palatino Linotype" w:cs="Palatino Linotype"/>
        </w:rPr>
      </w:pPr>
    </w:p>
    <w:p w14:paraId="43A6335F" w14:textId="77777777" w:rsidR="00E62A55" w:rsidRDefault="00343347">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Luego entonces, resulta procedente analizar las constancias que integran el expediente electrónico del SAIMEX para determinar si con la información aportada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puede tener por atendido el derecho de Acceso a la Información pública del </w:t>
      </w:r>
      <w:r w:rsidR="002B55E3">
        <w:rPr>
          <w:rFonts w:ascii="Palatino Linotype" w:eastAsia="Palatino Linotype" w:hAnsi="Palatino Linotype" w:cs="Palatino Linotype"/>
        </w:rPr>
        <w:t xml:space="preserve">particular. </w:t>
      </w:r>
    </w:p>
    <w:p w14:paraId="5A0D94F5" w14:textId="77777777" w:rsidR="00E62A55" w:rsidRDefault="00E62A55">
      <w:pPr>
        <w:tabs>
          <w:tab w:val="left" w:pos="709"/>
        </w:tabs>
        <w:spacing w:line="360" w:lineRule="auto"/>
        <w:ind w:right="49"/>
        <w:jc w:val="both"/>
        <w:rPr>
          <w:rFonts w:ascii="Palatino Linotype" w:eastAsia="Palatino Linotype" w:hAnsi="Palatino Linotype" w:cs="Palatino Linotype"/>
        </w:rPr>
      </w:pPr>
    </w:p>
    <w:p w14:paraId="561865DA" w14:textId="77777777" w:rsidR="00E62A55" w:rsidRDefault="00343347">
      <w:pPr>
        <w:tabs>
          <w:tab w:val="left" w:pos="709"/>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la Ley de Transparencia y Acceso a la Información Pública del Estado de México y Municipios que en su artículo 4, dice que toda la información generada, obtenida, adquirida, transformada, administrada o en posesión de los sujetos </w:t>
      </w:r>
      <w:r>
        <w:rPr>
          <w:rFonts w:ascii="Palatino Linotype" w:eastAsia="Palatino Linotype" w:hAnsi="Palatino Linotype" w:cs="Palatino Linotype"/>
        </w:rPr>
        <w:lastRenderedPageBreak/>
        <w:t>obligados es pública y accesible de manera permanente a cualquier persona, privilegiando el principio de máxima publicidad, como así lo establece dicha determinación, que a continuación se transcribe para un mejor entendimiento:</w:t>
      </w:r>
    </w:p>
    <w:p w14:paraId="010836CA" w14:textId="77777777" w:rsidR="00E62A55" w:rsidRDefault="00343347">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32A87A6" w14:textId="77777777" w:rsidR="00E62A55" w:rsidRDefault="0034334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1A2C1DA" w14:textId="77777777" w:rsidR="00E62A55" w:rsidRDefault="00343347">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5BF37F4E" w14:textId="77777777" w:rsidR="00E62A55" w:rsidRDefault="00E62A55">
      <w:pPr>
        <w:spacing w:line="360" w:lineRule="auto"/>
        <w:jc w:val="both"/>
        <w:rPr>
          <w:rFonts w:ascii="Palatino Linotype" w:eastAsia="Palatino Linotype" w:hAnsi="Palatino Linotype" w:cs="Palatino Linotype"/>
        </w:rPr>
      </w:pPr>
    </w:p>
    <w:p w14:paraId="2767B0E3"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FF9BE1E" w14:textId="77777777" w:rsidR="00E62A55" w:rsidRDefault="0034334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AFF73F1" w14:textId="77777777" w:rsidR="00E62A55" w:rsidRDefault="00E62A55">
      <w:pPr>
        <w:ind w:left="567" w:right="758"/>
        <w:jc w:val="both"/>
        <w:rPr>
          <w:rFonts w:ascii="Palatino Linotype" w:eastAsia="Palatino Linotype" w:hAnsi="Palatino Linotype" w:cs="Palatino Linotype"/>
          <w:i/>
          <w:sz w:val="22"/>
          <w:szCs w:val="22"/>
        </w:rPr>
      </w:pPr>
    </w:p>
    <w:p w14:paraId="750FC5BB" w14:textId="77777777" w:rsidR="00E62A55" w:rsidRDefault="00343347">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9218753" w14:textId="77777777" w:rsidR="00E62A55" w:rsidRDefault="00E62A55">
      <w:pPr>
        <w:spacing w:line="360" w:lineRule="auto"/>
        <w:ind w:right="-93"/>
        <w:jc w:val="both"/>
        <w:rPr>
          <w:rFonts w:ascii="Palatino Linotype" w:eastAsia="Palatino Linotype" w:hAnsi="Palatino Linotype" w:cs="Palatino Linotype"/>
        </w:rPr>
      </w:pPr>
    </w:p>
    <w:p w14:paraId="165166AD" w14:textId="77777777" w:rsidR="00E62A55" w:rsidRDefault="00343347">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BDCC780" w14:textId="77777777" w:rsidR="00E62A55" w:rsidRDefault="00E62A55">
      <w:pPr>
        <w:spacing w:line="360" w:lineRule="auto"/>
        <w:ind w:right="-93"/>
        <w:jc w:val="both"/>
        <w:rPr>
          <w:rFonts w:ascii="Palatino Linotype" w:eastAsia="Palatino Linotype" w:hAnsi="Palatino Linotype" w:cs="Palatino Linotype"/>
        </w:rPr>
      </w:pPr>
    </w:p>
    <w:p w14:paraId="6FDE4C5E" w14:textId="77777777" w:rsidR="00E62A55" w:rsidRDefault="0034334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rPr>
        <w:t xml:space="preserve"> </w:t>
      </w:r>
    </w:p>
    <w:p w14:paraId="3E24AE4E" w14:textId="77777777" w:rsidR="00E62A55" w:rsidRDefault="00E62A55">
      <w:pPr>
        <w:ind w:left="851" w:right="850"/>
        <w:jc w:val="both"/>
        <w:rPr>
          <w:rFonts w:ascii="Palatino Linotype" w:eastAsia="Palatino Linotype" w:hAnsi="Palatino Linotype" w:cs="Palatino Linotype"/>
        </w:rPr>
      </w:pPr>
    </w:p>
    <w:p w14:paraId="203FBF6E" w14:textId="77777777" w:rsidR="00E62A55" w:rsidRDefault="00343347">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No existe obligación de elaborar documentos ad hoc para atender las solicitudes de acceso a la información.</w:t>
      </w:r>
      <w:r>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89F9150" w14:textId="77777777" w:rsidR="00E62A55" w:rsidRDefault="00E62A55">
      <w:pPr>
        <w:spacing w:line="360" w:lineRule="auto"/>
        <w:ind w:right="-93"/>
        <w:jc w:val="both"/>
        <w:rPr>
          <w:rFonts w:ascii="Palatino Linotype" w:eastAsia="Palatino Linotype" w:hAnsi="Palatino Linotype" w:cs="Palatino Linotype"/>
        </w:rPr>
      </w:pPr>
    </w:p>
    <w:p w14:paraId="2C96864D"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5AB0274" w14:textId="77777777" w:rsidR="00E62A55" w:rsidRDefault="00E62A55">
      <w:pPr>
        <w:spacing w:line="360" w:lineRule="auto"/>
        <w:jc w:val="both"/>
        <w:rPr>
          <w:rFonts w:ascii="Palatino Linotype" w:eastAsia="Palatino Linotype" w:hAnsi="Palatino Linotype" w:cs="Palatino Linotype"/>
        </w:rPr>
      </w:pPr>
    </w:p>
    <w:p w14:paraId="2C89E4BF" w14:textId="77777777" w:rsidR="00E62A55" w:rsidRDefault="0034334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194D9A" w14:textId="77777777" w:rsidR="00E62A55" w:rsidRDefault="00E62A55">
      <w:pPr>
        <w:spacing w:line="360" w:lineRule="auto"/>
        <w:ind w:right="49"/>
        <w:jc w:val="both"/>
        <w:rPr>
          <w:rFonts w:ascii="Palatino Linotype" w:eastAsia="Palatino Linotype" w:hAnsi="Palatino Linotype" w:cs="Palatino Linotype"/>
        </w:rPr>
      </w:pPr>
    </w:p>
    <w:p w14:paraId="02C2DB19"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14:paraId="085C12DF" w14:textId="77777777" w:rsidR="00E62A55" w:rsidRDefault="00E62A55">
      <w:pPr>
        <w:ind w:left="851" w:right="899"/>
        <w:jc w:val="both"/>
        <w:rPr>
          <w:rFonts w:ascii="Palatino Linotype" w:eastAsia="Palatino Linotype" w:hAnsi="Palatino Linotype" w:cs="Palatino Linotype"/>
          <w:i/>
          <w:sz w:val="22"/>
          <w:szCs w:val="22"/>
        </w:rPr>
      </w:pPr>
    </w:p>
    <w:p w14:paraId="4F4C9EC0"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972FCE3"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B5C7684"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53B8EEE" w14:textId="77777777" w:rsidR="00E62A55" w:rsidRDefault="00E62A55">
      <w:pPr>
        <w:ind w:left="851" w:right="899"/>
        <w:jc w:val="both"/>
        <w:rPr>
          <w:rFonts w:ascii="Palatino Linotype" w:eastAsia="Palatino Linotype" w:hAnsi="Palatino Linotype" w:cs="Palatino Linotype"/>
          <w:sz w:val="22"/>
          <w:szCs w:val="22"/>
        </w:rPr>
      </w:pPr>
    </w:p>
    <w:p w14:paraId="58E7064B"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1E9502D" w14:textId="77777777" w:rsidR="00E62A55" w:rsidRDefault="00E62A55">
      <w:pPr>
        <w:ind w:left="851" w:right="899"/>
        <w:jc w:val="both"/>
        <w:rPr>
          <w:rFonts w:ascii="Palatino Linotype" w:eastAsia="Palatino Linotype" w:hAnsi="Palatino Linotype" w:cs="Palatino Linotype"/>
        </w:rPr>
      </w:pPr>
    </w:p>
    <w:p w14:paraId="5EB59B86" w14:textId="77777777" w:rsidR="00E62A55" w:rsidRDefault="0034334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781C40F6"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EF52309"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D4E1245" w14:textId="77777777" w:rsidR="00E62A55" w:rsidRDefault="00343347">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71FC09A" w14:textId="77777777" w:rsidR="00E62A55" w:rsidRDefault="00343347">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282C9E20" w14:textId="77777777" w:rsidR="00E62A55" w:rsidRDefault="00343347">
      <w:pPr>
        <w:ind w:left="851"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2BB04B8" w14:textId="77777777" w:rsidR="00E62A55" w:rsidRDefault="003433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 en mente es dable recordar que, en respuesta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hizo entrega  del Directorio de Delegados Municipales para la administración 2022- 2025, en el cual se encuentran enlistados los nombres y apellidos de los Delegados </w:t>
      </w:r>
      <w:r w:rsidR="002B55E3">
        <w:rPr>
          <w:rFonts w:ascii="Palatino Linotype" w:eastAsia="Palatino Linotype" w:hAnsi="Palatino Linotype" w:cs="Palatino Linotype"/>
        </w:rPr>
        <w:t>Propietarios y</w:t>
      </w:r>
      <w:r>
        <w:rPr>
          <w:rFonts w:ascii="Palatino Linotype" w:eastAsia="Palatino Linotype" w:hAnsi="Palatino Linotype" w:cs="Palatino Linotype"/>
        </w:rPr>
        <w:t xml:space="preserve"> </w:t>
      </w:r>
      <w:r w:rsidR="002B55E3">
        <w:rPr>
          <w:rFonts w:ascii="Palatino Linotype" w:eastAsia="Palatino Linotype" w:hAnsi="Palatino Linotype" w:cs="Palatino Linotype"/>
        </w:rPr>
        <w:t>Suplentes</w:t>
      </w:r>
      <w:r>
        <w:rPr>
          <w:rFonts w:ascii="Palatino Linotype" w:eastAsia="Palatino Linotype" w:hAnsi="Palatino Linotype" w:cs="Palatino Linotype"/>
        </w:rPr>
        <w:t xml:space="preserve"> de 48 delegaciones, tal y como se puede apreciar de la captura de pantalla que se inserta a continuación:</w:t>
      </w:r>
    </w:p>
    <w:p w14:paraId="6BB0F18A" w14:textId="77777777" w:rsidR="00E62A55" w:rsidRDefault="003433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114300" distB="114300" distL="114300" distR="114300" wp14:anchorId="6B605A38" wp14:editId="6A71FD5E">
            <wp:extent cx="5686425" cy="3074593"/>
            <wp:effectExtent l="0" t="0" r="0" b="0"/>
            <wp:docPr id="3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1323" b="34553"/>
                    <a:stretch>
                      <a:fillRect/>
                    </a:stretch>
                  </pic:blipFill>
                  <pic:spPr>
                    <a:xfrm>
                      <a:off x="0" y="0"/>
                      <a:ext cx="5686425" cy="3074593"/>
                    </a:xfrm>
                    <a:prstGeom prst="rect">
                      <a:avLst/>
                    </a:prstGeom>
                    <a:ln/>
                  </pic:spPr>
                </pic:pic>
              </a:graphicData>
            </a:graphic>
          </wp:inline>
        </w:drawing>
      </w:r>
    </w:p>
    <w:p w14:paraId="7E2F2E25" w14:textId="77777777" w:rsidR="00E62A55" w:rsidRDefault="003433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documento remitido en respuesta se pueden apreciar los nombres del primero, segundo y tercer delegados, tanto propietarios como suplentes. </w:t>
      </w:r>
    </w:p>
    <w:p w14:paraId="730A3ABF" w14:textId="77777777" w:rsidR="00E62A55" w:rsidRDefault="0034334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Atento a lo anterior y toda vez que la inconformidad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versa en que le fue entregada la información </w:t>
      </w:r>
      <w:r w:rsidR="002B55E3">
        <w:rPr>
          <w:rFonts w:ascii="Palatino Linotype" w:eastAsia="Palatino Linotype" w:hAnsi="Palatino Linotype" w:cs="Palatino Linotype"/>
        </w:rPr>
        <w:t>completa,</w:t>
      </w:r>
      <w:r>
        <w:rPr>
          <w:rFonts w:ascii="Palatino Linotype" w:eastAsia="Palatino Linotype" w:hAnsi="Palatino Linotype" w:cs="Palatino Linotype"/>
        </w:rPr>
        <w:t xml:space="preserve"> conviene citar el contenido del artículo 13 del Bando Municipal de Toluca, el cual establece lo siguiente:  </w:t>
      </w:r>
    </w:p>
    <w:p w14:paraId="6A7CB495" w14:textId="77777777" w:rsidR="00E62A55" w:rsidRDefault="00343347">
      <w:pPr>
        <w:spacing w:before="280" w:after="28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w:t>
      </w:r>
      <w:r>
        <w:rPr>
          <w:rFonts w:ascii="Palatino Linotype" w:eastAsia="Palatino Linotype" w:hAnsi="Palatino Linotype" w:cs="Palatino Linotype"/>
          <w:i/>
          <w:sz w:val="22"/>
          <w:szCs w:val="22"/>
        </w:rPr>
        <w:t xml:space="preserve">. Para el cumplimiento de sus funciones políticas y administrativas, el Municipio cuenta con la siguiente división territorial: 85 circunscripciones territoriales divididas en </w:t>
      </w:r>
      <w:r>
        <w:rPr>
          <w:rFonts w:ascii="Palatino Linotype" w:eastAsia="Palatino Linotype" w:hAnsi="Palatino Linotype" w:cs="Palatino Linotype"/>
          <w:b/>
          <w:i/>
          <w:sz w:val="22"/>
          <w:szCs w:val="22"/>
        </w:rPr>
        <w:t>48 delegaciones, 38 subdelegaciones y 281 unidades territoriales básicas,</w:t>
      </w:r>
      <w:r>
        <w:rPr>
          <w:rFonts w:ascii="Palatino Linotype" w:eastAsia="Palatino Linotype" w:hAnsi="Palatino Linotype" w:cs="Palatino Linotype"/>
          <w:i/>
          <w:sz w:val="22"/>
          <w:szCs w:val="22"/>
        </w:rPr>
        <w:t xml:space="preserve"> estableciéndose una codificación denominada Clave Única Municipal, de acuerdo con los criterios de población, continuidad geográfica, vías de comunicación, servicios públicos e identidad local, organizadas de la siguiente forma …</w:t>
      </w:r>
    </w:p>
    <w:p w14:paraId="4D28BA6E" w14:textId="77777777" w:rsidR="00E62A55" w:rsidRDefault="00343347">
      <w:pPr>
        <w:spacing w:before="280" w:after="28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Del precepto citado se advierte que el Municipio de Toluca se divide en 48 delegaciones, 38 subdelegaciones y 281 unidades territoriales básicas. De igual manera el artículo antes referido enlista las 48 delegaciones, siendo estas las siguientes: </w:t>
      </w:r>
    </w:p>
    <w:p w14:paraId="2E84E2EE" w14:textId="77777777" w:rsidR="00E62A55" w:rsidRDefault="00343347">
      <w:pPr>
        <w:numPr>
          <w:ilvl w:val="0"/>
          <w:numId w:val="1"/>
        </w:numPr>
        <w:spacing w:before="280"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Centro Histórico</w:t>
      </w:r>
    </w:p>
    <w:p w14:paraId="3B029D8D"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Barrios Tradicionales</w:t>
      </w:r>
    </w:p>
    <w:p w14:paraId="6E6302EF"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Árbol de Las Manitas</w:t>
      </w:r>
    </w:p>
    <w:p w14:paraId="67748D6C"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La Maquinita</w:t>
      </w:r>
    </w:p>
    <w:p w14:paraId="7D625926"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Independencia</w:t>
      </w:r>
    </w:p>
    <w:p w14:paraId="4102FCBE"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Sebastián</w:t>
      </w:r>
    </w:p>
    <w:p w14:paraId="2AA6DB44"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Universidad</w:t>
      </w:r>
    </w:p>
    <w:p w14:paraId="5E369C2A"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Santa María de Las Rosas</w:t>
      </w:r>
    </w:p>
    <w:p w14:paraId="7011D6A4"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Del Parque</w:t>
      </w:r>
    </w:p>
    <w:p w14:paraId="7764342E"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Metropolitana</w:t>
      </w:r>
    </w:p>
    <w:p w14:paraId="5A32CA69"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Colón </w:t>
      </w:r>
    </w:p>
    <w:p w14:paraId="698C082A"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Moderna de la Cruz</w:t>
      </w:r>
    </w:p>
    <w:p w14:paraId="3C223449"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Felipe Chávez Becerril</w:t>
      </w:r>
    </w:p>
    <w:p w14:paraId="073CA61F"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Seminario Conciliar</w:t>
      </w:r>
    </w:p>
    <w:p w14:paraId="3CBD9F52"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Seminario 2 de Marzo</w:t>
      </w:r>
    </w:p>
    <w:p w14:paraId="5195DF22"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Seminario Las Torres</w:t>
      </w:r>
    </w:p>
    <w:p w14:paraId="7D9E0D17"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Morelos</w:t>
      </w:r>
    </w:p>
    <w:p w14:paraId="33692138"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Ciudad Universitaria</w:t>
      </w:r>
    </w:p>
    <w:p w14:paraId="632C308B"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Nueva Oxtotitlán</w:t>
      </w:r>
    </w:p>
    <w:p w14:paraId="314F1E1D"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Adolfo López Mateos</w:t>
      </w:r>
    </w:p>
    <w:p w14:paraId="4342FB4D"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Sánchez</w:t>
      </w:r>
    </w:p>
    <w:p w14:paraId="7BAF9EB9"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Cacalomacán</w:t>
      </w:r>
    </w:p>
    <w:p w14:paraId="1B6912AD"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Calixtlahuaca</w:t>
      </w:r>
    </w:p>
    <w:p w14:paraId="28FE26E1"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Capultitlán</w:t>
      </w:r>
    </w:p>
    <w:p w14:paraId="392649C6"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Andrés Cuexcontitlán</w:t>
      </w:r>
    </w:p>
    <w:p w14:paraId="0CE90813"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Antonio Buenavista</w:t>
      </w:r>
    </w:p>
    <w:p w14:paraId="62E77DE4"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Buenaventura</w:t>
      </w:r>
    </w:p>
    <w:p w14:paraId="65D58E7C"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Cristóbal Huichochitlán</w:t>
      </w:r>
    </w:p>
    <w:p w14:paraId="4CC81226"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Felipe Tlalmimilolpan</w:t>
      </w:r>
    </w:p>
    <w:p w14:paraId="326D133F"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Juan Tilapa</w:t>
      </w:r>
    </w:p>
    <w:p w14:paraId="1D8830C1"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Lorenzo Tepaltitlán</w:t>
      </w:r>
    </w:p>
    <w:p w14:paraId="0CC31FED"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Marcos Yachihuacaltepec</w:t>
      </w:r>
    </w:p>
    <w:p w14:paraId="34AC8956"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lastRenderedPageBreak/>
        <w:t>San Martín Toltepec</w:t>
      </w:r>
    </w:p>
    <w:p w14:paraId="5A1D7199"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Mateo Otzacatipan</w:t>
      </w:r>
    </w:p>
    <w:p w14:paraId="369BCDC1"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Mateo Oxtotitlán</w:t>
      </w:r>
    </w:p>
    <w:p w14:paraId="1231306B"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Pablo Autopan</w:t>
      </w:r>
    </w:p>
    <w:p w14:paraId="041B4168"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 Pedro Totoltepec</w:t>
      </w:r>
    </w:p>
    <w:p w14:paraId="24A8DFAA"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Santa Ana Tlapaltitlán</w:t>
      </w:r>
    </w:p>
    <w:p w14:paraId="7D994F07"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Santa Cruz Atzcapotzaltongo</w:t>
      </w:r>
    </w:p>
    <w:p w14:paraId="7D79AA50"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Santa María Totoltepec</w:t>
      </w:r>
    </w:p>
    <w:p w14:paraId="3F87B91F"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Santiago Miltepec</w:t>
      </w:r>
    </w:p>
    <w:p w14:paraId="54D5B00E"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Santiago Tlacotepec</w:t>
      </w:r>
    </w:p>
    <w:p w14:paraId="24CFE21A"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 xml:space="preserve">Santiago Tlaxomulco </w:t>
      </w:r>
    </w:p>
    <w:p w14:paraId="5621D131"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 xml:space="preserve">Tecaxic </w:t>
      </w:r>
    </w:p>
    <w:p w14:paraId="6A632528"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Tlachaloya</w:t>
      </w:r>
    </w:p>
    <w:p w14:paraId="78955FFF"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 xml:space="preserve">San Cayetano Morelos </w:t>
      </w:r>
    </w:p>
    <w:p w14:paraId="1590AC21" w14:textId="77777777" w:rsidR="00E62A55" w:rsidRDefault="00343347">
      <w:pPr>
        <w:numPr>
          <w:ilvl w:val="0"/>
          <w:numId w:val="1"/>
        </w:numPr>
        <w:spacing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El Cerrillo Vista Hermosa</w:t>
      </w:r>
    </w:p>
    <w:p w14:paraId="6A283671" w14:textId="77777777" w:rsidR="00E62A55" w:rsidRDefault="00343347">
      <w:pPr>
        <w:numPr>
          <w:ilvl w:val="0"/>
          <w:numId w:val="1"/>
        </w:numPr>
        <w:spacing w:after="280" w:line="360" w:lineRule="auto"/>
        <w:ind w:right="899"/>
        <w:jc w:val="both"/>
        <w:rPr>
          <w:rFonts w:ascii="Palatino Linotype" w:eastAsia="Palatino Linotype" w:hAnsi="Palatino Linotype" w:cs="Palatino Linotype"/>
        </w:rPr>
      </w:pPr>
      <w:r>
        <w:rPr>
          <w:rFonts w:ascii="Palatino Linotype" w:eastAsia="Palatino Linotype" w:hAnsi="Palatino Linotype" w:cs="Palatino Linotype"/>
        </w:rPr>
        <w:t>Sauces</w:t>
      </w:r>
    </w:p>
    <w:p w14:paraId="23BD7FB1" w14:textId="77777777" w:rsidR="00E62A55" w:rsidRDefault="0034334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anterior lo,  la información remitida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su respuesta primigenia y la cual fue reiterada mediante el Informe Justificado, concuerda con lo establecido por el Bando Municipal de Toluca  ya que el documento entregado contiene las 48 delegaciones con sus respectivos delegados, como se aprecia de la siguiente imagen:</w:t>
      </w:r>
    </w:p>
    <w:p w14:paraId="37D87FB2" w14:textId="77777777" w:rsidR="00E62A55" w:rsidRDefault="0034334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inline distT="114300" distB="114300" distL="114300" distR="114300" wp14:anchorId="3211F610" wp14:editId="76198167">
            <wp:extent cx="5791200" cy="4409886"/>
            <wp:effectExtent l="0" t="0" r="0" b="0"/>
            <wp:docPr id="36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91200" cy="4409886"/>
                    </a:xfrm>
                    <a:prstGeom prst="rect">
                      <a:avLst/>
                    </a:prstGeom>
                    <a:ln/>
                  </pic:spPr>
                </pic:pic>
              </a:graphicData>
            </a:graphic>
          </wp:inline>
        </w:drawing>
      </w:r>
    </w:p>
    <w:p w14:paraId="07A793B4" w14:textId="77777777" w:rsidR="00E62A55" w:rsidRDefault="00343347">
      <w:pPr>
        <w:spacing w:line="360" w:lineRule="auto"/>
        <w:jc w:val="both"/>
        <w:rPr>
          <w:rFonts w:ascii="Palatino Linotype" w:eastAsia="Palatino Linotype" w:hAnsi="Palatino Linotype" w:cs="Palatino Linotype"/>
          <w:b/>
        </w:rPr>
      </w:pPr>
      <w:bookmarkStart w:id="6" w:name="_heading=h.v5y4wt34g4w3" w:colFirst="0" w:colLast="0"/>
      <w:bookmarkEnd w:id="6"/>
      <w:r>
        <w:rPr>
          <w:rFonts w:ascii="Palatino Linotype" w:eastAsia="Palatino Linotype" w:hAnsi="Palatino Linotype" w:cs="Palatino Linotype"/>
        </w:rPr>
        <w:t>Luego entonces, si el particular solicitó la Plantilla con los nombres de los Delegados Municipales  propietarios y suplentes</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de lo antes señalado se puede advertir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atendió la solicitud de información pública, al remitir de forma puntual la información requerida por el ahora </w:t>
      </w:r>
      <w:r>
        <w:rPr>
          <w:rFonts w:ascii="Palatino Linotype" w:eastAsia="Palatino Linotype" w:hAnsi="Palatino Linotype" w:cs="Palatino Linotype"/>
          <w:b/>
        </w:rPr>
        <w:t xml:space="preserve">RECURRENTE. </w:t>
      </w:r>
    </w:p>
    <w:p w14:paraId="42DA112B" w14:textId="77777777" w:rsidR="00E62A55" w:rsidRDefault="00E62A55">
      <w:pPr>
        <w:spacing w:line="360" w:lineRule="auto"/>
        <w:ind w:right="49"/>
        <w:jc w:val="both"/>
        <w:rPr>
          <w:rFonts w:ascii="Palatino Linotype" w:eastAsia="Palatino Linotype" w:hAnsi="Palatino Linotype" w:cs="Palatino Linotype"/>
          <w:b/>
        </w:rPr>
      </w:pPr>
    </w:p>
    <w:p w14:paraId="42D181FA" w14:textId="77777777" w:rsidR="00E62A55" w:rsidRDefault="0034334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relación a lo señalado en el párrafo que antecede y a fin de robustecer la determinación que se asentará en la presente resolución, conviene citar el criterio </w:t>
      </w:r>
      <w:r>
        <w:rPr>
          <w:rFonts w:ascii="Palatino Linotype" w:eastAsia="Palatino Linotype" w:hAnsi="Palatino Linotype" w:cs="Palatino Linotype"/>
        </w:rPr>
        <w:lastRenderedPageBreak/>
        <w:t>orientador 002/2017 del INAI, y la tesis 1a. CCCXXVII/2014 (10a.) emitida por la Primera Sala de la Suprema Corte de Justicia de la Nación, cuyo tenor es el siguiente:</w:t>
      </w:r>
    </w:p>
    <w:p w14:paraId="7A74281D" w14:textId="77777777" w:rsidR="00E62A55" w:rsidRDefault="00E62A55">
      <w:pPr>
        <w:ind w:right="902"/>
        <w:jc w:val="both"/>
        <w:rPr>
          <w:rFonts w:ascii="Palatino Linotype" w:eastAsia="Palatino Linotype" w:hAnsi="Palatino Linotype" w:cs="Palatino Linotype"/>
        </w:rPr>
      </w:pPr>
    </w:p>
    <w:p w14:paraId="5533C7A3" w14:textId="77777777" w:rsidR="00E62A55" w:rsidRDefault="0034334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Congruencia y exhaustividad</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Sus alcances para garantizar el derecho de acceso a la información.</w:t>
      </w:r>
      <w:r>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3E7E8FA8" w14:textId="77777777" w:rsidR="00E62A55" w:rsidRDefault="00E62A55">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7" w:name="_heading=h.h5f6uylknmte" w:colFirst="0" w:colLast="0"/>
      <w:bookmarkEnd w:id="7"/>
    </w:p>
    <w:p w14:paraId="1859F8E6" w14:textId="77777777" w:rsidR="00E62A55" w:rsidRDefault="00343347">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4EAE535D" w14:textId="77777777" w:rsidR="00E62A55" w:rsidRDefault="00343347">
      <w:pPr>
        <w:spacing w:before="280" w:after="280" w:line="360" w:lineRule="auto"/>
        <w:jc w:val="both"/>
      </w:pPr>
      <w:r>
        <w:rPr>
          <w:rFonts w:ascii="Palatino Linotype" w:eastAsia="Palatino Linotype" w:hAnsi="Palatino Linotype" w:cs="Palatino Linotype"/>
        </w:rPr>
        <w:t xml:space="preserve">Aunado a ello, es importante señalar  que al haber existido un pronunciamiento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competente, a fin de dar respuesta a la solicitud planteada, este Instituto no está facultado para manifestarse sobre la veracidad de la información proporcionada, lo anterior, conforme al artículo 36 de la Ley de la Materia. </w:t>
      </w:r>
    </w:p>
    <w:p w14:paraId="10C0FF63" w14:textId="77777777" w:rsidR="00E62A55" w:rsidRDefault="00343347">
      <w:pPr>
        <w:spacing w:before="280" w:after="280" w:line="360" w:lineRule="auto"/>
        <w:jc w:val="both"/>
      </w:pPr>
      <w:r>
        <w:rPr>
          <w:rFonts w:ascii="Palatino Linotype" w:eastAsia="Palatino Linotype" w:hAnsi="Palatino Linotype" w:cs="Palatino Linotype"/>
        </w:rPr>
        <w:lastRenderedPageBreak/>
        <w:t>Sirve de sustento a lo anterior, el criterio 31/10 emitido por el entonces Instituto Federal de Acceso a la Información y Protección de Datos, ahora Instituto Nacional de Acceso a la Información y Protección de Datos,  el cual refiere: </w:t>
      </w:r>
    </w:p>
    <w:p w14:paraId="57124252" w14:textId="77777777" w:rsidR="00E62A55" w:rsidRDefault="00343347">
      <w:pPr>
        <w:ind w:left="851"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p w14:paraId="728716F5" w14:textId="77777777" w:rsidR="00E62A55" w:rsidRDefault="00E62A55">
      <w:pPr>
        <w:ind w:left="851" w:right="1041"/>
        <w:jc w:val="both"/>
        <w:rPr>
          <w:rFonts w:ascii="Palatino Linotype" w:eastAsia="Palatino Linotype" w:hAnsi="Palatino Linotype" w:cs="Palatino Linotype"/>
          <w:i/>
          <w:sz w:val="22"/>
          <w:szCs w:val="22"/>
        </w:rPr>
      </w:pPr>
    </w:p>
    <w:p w14:paraId="4388A6AC" w14:textId="77777777" w:rsidR="00E62A55" w:rsidRDefault="00E62A55">
      <w:pPr>
        <w:widowControl w:val="0"/>
        <w:tabs>
          <w:tab w:val="left" w:pos="1701"/>
          <w:tab w:val="left" w:pos="1843"/>
        </w:tabs>
        <w:spacing w:line="360" w:lineRule="auto"/>
        <w:ind w:right="49"/>
        <w:jc w:val="both"/>
        <w:rPr>
          <w:rFonts w:ascii="Palatino Linotype" w:eastAsia="Palatino Linotype" w:hAnsi="Palatino Linotype" w:cs="Palatino Linotype"/>
        </w:rPr>
      </w:pPr>
    </w:p>
    <w:p w14:paraId="6C6EDD16" w14:textId="77777777" w:rsidR="00E62A55" w:rsidRDefault="00343347">
      <w:pPr>
        <w:widowControl w:val="0"/>
        <w:tabs>
          <w:tab w:val="left" w:pos="1701"/>
          <w:tab w:val="left" w:pos="184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Instituto considera que el derecho de acceso a la información del particular fue atendido y por tanto es dable señalar que los motivos de inconformidad vertidos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 xml:space="preserve">infundados </w:t>
      </w:r>
      <w:r>
        <w:rPr>
          <w:rFonts w:ascii="Palatino Linotype" w:eastAsia="Palatino Linotype" w:hAnsi="Palatino Linotype" w:cs="Palatino Linotype"/>
        </w:rPr>
        <w:t xml:space="preserve">y se determina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dada por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materia del presente recurso. </w:t>
      </w:r>
    </w:p>
    <w:p w14:paraId="74249591" w14:textId="77777777" w:rsidR="00E62A55" w:rsidRDefault="00E62A55">
      <w:pPr>
        <w:spacing w:before="280" w:after="280" w:line="360" w:lineRule="auto"/>
        <w:jc w:val="both"/>
        <w:rPr>
          <w:rFonts w:ascii="Palatino Linotype" w:eastAsia="Palatino Linotype" w:hAnsi="Palatino Linotype" w:cs="Palatino Linotype"/>
        </w:rPr>
      </w:pPr>
    </w:p>
    <w:p w14:paraId="3A8AD031" w14:textId="77777777" w:rsidR="00E62A55" w:rsidRDefault="00E62A55">
      <w:pPr>
        <w:spacing w:line="360" w:lineRule="auto"/>
        <w:jc w:val="both"/>
        <w:rPr>
          <w:rFonts w:ascii="Palatino Linotype" w:eastAsia="Palatino Linotype" w:hAnsi="Palatino Linotype" w:cs="Palatino Linotype"/>
        </w:rPr>
      </w:pPr>
    </w:p>
    <w:p w14:paraId="7A61ACA8"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1029A677" w14:textId="77777777" w:rsidR="00E62A55" w:rsidRDefault="00E62A55">
      <w:pPr>
        <w:spacing w:line="360" w:lineRule="auto"/>
        <w:jc w:val="center"/>
        <w:rPr>
          <w:rFonts w:ascii="Palatino Linotype" w:eastAsia="Palatino Linotype" w:hAnsi="Palatino Linotype" w:cs="Palatino Linotype"/>
          <w:b/>
          <w:sz w:val="26"/>
          <w:szCs w:val="26"/>
        </w:rPr>
      </w:pPr>
    </w:p>
    <w:p w14:paraId="28E3D968" w14:textId="77777777" w:rsidR="00E62A55" w:rsidRDefault="00343347">
      <w:pPr>
        <w:spacing w:line="360" w:lineRule="auto"/>
        <w:jc w:val="center"/>
        <w:rPr>
          <w:rFonts w:ascii="Palatino Linotype" w:eastAsia="Palatino Linotype" w:hAnsi="Palatino Linotype" w:cs="Palatino Linotype"/>
          <w:b/>
          <w:sz w:val="26"/>
          <w:szCs w:val="26"/>
        </w:rPr>
      </w:pPr>
      <w:r>
        <w:rPr>
          <w:rFonts w:ascii="Palatino Linotype" w:eastAsia="Palatino Linotype" w:hAnsi="Palatino Linotype" w:cs="Palatino Linotype"/>
          <w:b/>
          <w:sz w:val="26"/>
          <w:szCs w:val="26"/>
        </w:rPr>
        <w:t>RESUELVE</w:t>
      </w:r>
    </w:p>
    <w:p w14:paraId="48182AC5" w14:textId="77777777" w:rsidR="00E62A55" w:rsidRDefault="0034334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manifestaciones hechas valer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el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w:t>
      </w:r>
      <w:r>
        <w:rPr>
          <w:rFonts w:ascii="Palatino Linotype" w:eastAsia="Palatino Linotype" w:hAnsi="Palatino Linotype" w:cs="Palatino Linotype"/>
          <w:b/>
        </w:rPr>
        <w:t>07647/INFOEM/IP/RR/2022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w:t>
      </w:r>
    </w:p>
    <w:p w14:paraId="622DA60D" w14:textId="77777777" w:rsidR="00E62A55" w:rsidRDefault="00E62A55">
      <w:pPr>
        <w:spacing w:line="360" w:lineRule="auto"/>
        <w:ind w:right="49"/>
        <w:jc w:val="both"/>
        <w:rPr>
          <w:rFonts w:ascii="Palatino Linotype" w:eastAsia="Palatino Linotype" w:hAnsi="Palatino Linotype" w:cs="Palatino Linotype"/>
        </w:rPr>
      </w:pPr>
    </w:p>
    <w:p w14:paraId="0C481C70" w14:textId="77777777" w:rsidR="00E62A55" w:rsidRDefault="0034334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CONFIRMA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otorgada a la solicitud de acceso a la información pública que dio origen al </w:t>
      </w:r>
      <w:r w:rsidR="002B55E3">
        <w:rPr>
          <w:rFonts w:ascii="Palatino Linotype" w:eastAsia="Palatino Linotype" w:hAnsi="Palatino Linotype" w:cs="Palatino Linotype"/>
        </w:rPr>
        <w:t>Recurso de Revisión</w:t>
      </w:r>
      <w:r>
        <w:rPr>
          <w:rFonts w:ascii="Palatino Linotype" w:eastAsia="Palatino Linotype" w:hAnsi="Palatino Linotype" w:cs="Palatino Linotype"/>
        </w:rPr>
        <w:t xml:space="preserve"> con número </w:t>
      </w:r>
      <w:r>
        <w:rPr>
          <w:rFonts w:ascii="Palatino Linotype" w:eastAsia="Palatino Linotype" w:hAnsi="Palatino Linotype" w:cs="Palatino Linotype"/>
          <w:b/>
        </w:rPr>
        <w:t>0</w:t>
      </w:r>
      <w:r w:rsidR="002B55E3">
        <w:rPr>
          <w:rFonts w:ascii="Palatino Linotype" w:eastAsia="Palatino Linotype" w:hAnsi="Palatino Linotype" w:cs="Palatino Linotype"/>
          <w:b/>
        </w:rPr>
        <w:t>7647</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w:t>
      </w:r>
    </w:p>
    <w:p w14:paraId="4577B4C0" w14:textId="77777777" w:rsidR="00E62A55" w:rsidRDefault="0034334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1C5E0F35" w14:textId="77777777" w:rsidR="00E62A55" w:rsidRDefault="0034334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 a través del Sistema de Acceso a la Información Mexiquense (SAIMEX). </w:t>
      </w:r>
    </w:p>
    <w:p w14:paraId="5F7A157B" w14:textId="77777777" w:rsidR="00E62A55" w:rsidRDefault="0034334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6996F67C" w14:textId="77777777" w:rsidR="00E62A55" w:rsidRDefault="0034334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Pr>
          <w:rFonts w:ascii="Palatino Linotype" w:eastAsia="Palatino Linotype" w:hAnsi="Palatino Linotype" w:cs="Palatino Linotype"/>
        </w:rPr>
        <w:t xml:space="preserve"> al</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la presente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w:t>
      </w:r>
    </w:p>
    <w:p w14:paraId="5F7AD4FA" w14:textId="77777777" w:rsidR="00E62A55" w:rsidRDefault="0034334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w:t>
      </w:r>
    </w:p>
    <w:p w14:paraId="0649642C" w14:textId="77777777" w:rsidR="00E62A55" w:rsidRDefault="00343347">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QUINTO. Hágase del conocimiento</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vía Juicio de Amparo en los términos de las leyes aplicables.</w:t>
      </w:r>
    </w:p>
    <w:p w14:paraId="4894AE4C" w14:textId="77777777" w:rsidR="00E62A55" w:rsidRDefault="00E62A55">
      <w:pPr>
        <w:spacing w:line="360" w:lineRule="auto"/>
        <w:jc w:val="both"/>
        <w:rPr>
          <w:rFonts w:ascii="Palatino Linotype" w:eastAsia="Palatino Linotype" w:hAnsi="Palatino Linotype" w:cs="Palatino Linotype"/>
        </w:rPr>
      </w:pPr>
    </w:p>
    <w:p w14:paraId="0AEF69F0" w14:textId="77777777" w:rsidR="00E62A55" w:rsidRDefault="0034334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8F7204">
        <w:rPr>
          <w:rFonts w:ascii="Palatino Linotype" w:eastAsia="Palatino Linotype" w:hAnsi="Palatino Linotype" w:cs="Palatino Linotype"/>
        </w:rPr>
        <w:t xml:space="preserve">OCTAVA </w:t>
      </w:r>
      <w:r>
        <w:rPr>
          <w:rFonts w:ascii="Palatino Linotype" w:eastAsia="Palatino Linotype" w:hAnsi="Palatino Linotype" w:cs="Palatino Linotype"/>
        </w:rPr>
        <w:t xml:space="preserve">SESIÓN ORDINARIA CELEBRADA EL </w:t>
      </w:r>
      <w:r w:rsidR="008F7204">
        <w:rPr>
          <w:rFonts w:ascii="Palatino Linotype" w:eastAsia="Palatino Linotype" w:hAnsi="Palatino Linotype" w:cs="Palatino Linotype"/>
        </w:rPr>
        <w:t xml:space="preserve">DIEZ DE AGOSTO </w:t>
      </w:r>
      <w:r>
        <w:rPr>
          <w:rFonts w:ascii="Palatino Linotype" w:eastAsia="Palatino Linotype" w:hAnsi="Palatino Linotype" w:cs="Palatino Linotype"/>
        </w:rPr>
        <w:t>DE DOS MIL VEINTIDÓS, ANTE EL SECRETARIO TÉCNICO DEL PLENO, ALEXIS TAPIA RAMÍREZ.</w:t>
      </w:r>
    </w:p>
    <w:p w14:paraId="1DBFC4E0" w14:textId="77777777" w:rsidR="00E62A55" w:rsidRDefault="00343347">
      <w:pPr>
        <w:spacing w:line="360" w:lineRule="auto"/>
        <w:jc w:val="both"/>
        <w:rPr>
          <w:rFonts w:ascii="Palatino Linotype" w:eastAsia="Palatino Linotype" w:hAnsi="Palatino Linotype" w:cs="Palatino Linotype"/>
          <w:sz w:val="14"/>
          <w:szCs w:val="14"/>
        </w:rPr>
      </w:pPr>
      <w:r>
        <w:rPr>
          <w:rFonts w:ascii="Palatino Linotype" w:eastAsia="Palatino Linotype" w:hAnsi="Palatino Linotype" w:cs="Palatino Linotype"/>
          <w:sz w:val="14"/>
          <w:szCs w:val="14"/>
        </w:rPr>
        <w:t>SCMM/BLA/DEMF/PMRE</w:t>
      </w:r>
    </w:p>
    <w:p w14:paraId="60F0910D" w14:textId="77777777" w:rsidR="00E62A55" w:rsidRDefault="00343347">
      <w:pPr>
        <w:rPr>
          <w:rFonts w:ascii="Palatino Linotype" w:eastAsia="Palatino Linotype" w:hAnsi="Palatino Linotype" w:cs="Palatino Linotype"/>
        </w:rPr>
      </w:pPr>
      <w:r>
        <w:br w:type="page"/>
      </w:r>
    </w:p>
    <w:p w14:paraId="07F98B19" w14:textId="77777777" w:rsidR="00E62A55" w:rsidRDefault="00E62A55">
      <w:pPr>
        <w:spacing w:line="360" w:lineRule="auto"/>
        <w:jc w:val="both"/>
        <w:rPr>
          <w:rFonts w:ascii="Palatino Linotype" w:eastAsia="Palatino Linotype" w:hAnsi="Palatino Linotype" w:cs="Palatino Linotype"/>
        </w:rPr>
      </w:pPr>
    </w:p>
    <w:p w14:paraId="0B59FCBA" w14:textId="77777777" w:rsidR="00E62A55" w:rsidRDefault="00E62A55">
      <w:pPr>
        <w:spacing w:line="360" w:lineRule="auto"/>
        <w:jc w:val="both"/>
        <w:rPr>
          <w:rFonts w:ascii="Palatino Linotype" w:eastAsia="Palatino Linotype" w:hAnsi="Palatino Linotype" w:cs="Palatino Linotype"/>
        </w:rPr>
      </w:pPr>
    </w:p>
    <w:p w14:paraId="1641195B" w14:textId="77777777" w:rsidR="00E62A55" w:rsidRDefault="00E62A55">
      <w:pPr>
        <w:spacing w:line="360" w:lineRule="auto"/>
        <w:jc w:val="both"/>
        <w:rPr>
          <w:rFonts w:ascii="Palatino Linotype" w:eastAsia="Palatino Linotype" w:hAnsi="Palatino Linotype" w:cs="Palatino Linotype"/>
        </w:rPr>
      </w:pPr>
    </w:p>
    <w:p w14:paraId="5A766ADC" w14:textId="77777777" w:rsidR="00E62A55" w:rsidRDefault="00E62A55">
      <w:pPr>
        <w:spacing w:line="360" w:lineRule="auto"/>
        <w:jc w:val="both"/>
        <w:rPr>
          <w:rFonts w:ascii="Palatino Linotype" w:eastAsia="Palatino Linotype" w:hAnsi="Palatino Linotype" w:cs="Palatino Linotype"/>
        </w:rPr>
      </w:pPr>
    </w:p>
    <w:p w14:paraId="0BEE599C" w14:textId="77777777" w:rsidR="00E62A55" w:rsidRDefault="00E62A55">
      <w:pPr>
        <w:spacing w:line="360" w:lineRule="auto"/>
        <w:jc w:val="both"/>
        <w:rPr>
          <w:rFonts w:ascii="Palatino Linotype" w:eastAsia="Palatino Linotype" w:hAnsi="Palatino Linotype" w:cs="Palatino Linotype"/>
        </w:rPr>
      </w:pPr>
    </w:p>
    <w:p w14:paraId="51F0676C" w14:textId="77777777" w:rsidR="00E62A55" w:rsidRDefault="00E62A55">
      <w:pPr>
        <w:spacing w:line="360" w:lineRule="auto"/>
        <w:jc w:val="both"/>
        <w:rPr>
          <w:rFonts w:ascii="Palatino Linotype" w:eastAsia="Palatino Linotype" w:hAnsi="Palatino Linotype" w:cs="Palatino Linotype"/>
        </w:rPr>
      </w:pPr>
    </w:p>
    <w:p w14:paraId="0EBC8B74" w14:textId="77777777" w:rsidR="00E62A55" w:rsidRDefault="00E62A55">
      <w:pPr>
        <w:spacing w:line="360" w:lineRule="auto"/>
        <w:jc w:val="both"/>
        <w:rPr>
          <w:rFonts w:ascii="Palatino Linotype" w:eastAsia="Palatino Linotype" w:hAnsi="Palatino Linotype" w:cs="Palatino Linotype"/>
        </w:rPr>
      </w:pPr>
    </w:p>
    <w:p w14:paraId="723EA639" w14:textId="77777777" w:rsidR="00E62A55" w:rsidRDefault="00E62A55">
      <w:pPr>
        <w:spacing w:line="360" w:lineRule="auto"/>
        <w:jc w:val="both"/>
        <w:rPr>
          <w:rFonts w:ascii="Palatino Linotype" w:eastAsia="Palatino Linotype" w:hAnsi="Palatino Linotype" w:cs="Palatino Linotype"/>
        </w:rPr>
      </w:pPr>
    </w:p>
    <w:p w14:paraId="687BC4AD" w14:textId="77777777" w:rsidR="00E62A55" w:rsidRDefault="00E62A55">
      <w:pPr>
        <w:spacing w:line="360" w:lineRule="auto"/>
        <w:jc w:val="both"/>
        <w:rPr>
          <w:rFonts w:ascii="Palatino Linotype" w:eastAsia="Palatino Linotype" w:hAnsi="Palatino Linotype" w:cs="Palatino Linotype"/>
        </w:rPr>
      </w:pPr>
    </w:p>
    <w:p w14:paraId="6F35174F" w14:textId="77777777" w:rsidR="00E62A55" w:rsidRDefault="00E62A55">
      <w:pPr>
        <w:spacing w:line="360" w:lineRule="auto"/>
        <w:jc w:val="both"/>
        <w:rPr>
          <w:rFonts w:ascii="Palatino Linotype" w:eastAsia="Palatino Linotype" w:hAnsi="Palatino Linotype" w:cs="Palatino Linotype"/>
        </w:rPr>
      </w:pPr>
    </w:p>
    <w:p w14:paraId="62CC1234" w14:textId="77777777" w:rsidR="00E62A55" w:rsidRDefault="00E62A55">
      <w:pPr>
        <w:spacing w:line="360" w:lineRule="auto"/>
        <w:jc w:val="both"/>
        <w:rPr>
          <w:rFonts w:ascii="Palatino Linotype" w:eastAsia="Palatino Linotype" w:hAnsi="Palatino Linotype" w:cs="Palatino Linotype"/>
        </w:rPr>
      </w:pPr>
    </w:p>
    <w:p w14:paraId="49E3534B" w14:textId="77777777" w:rsidR="00E62A55" w:rsidRDefault="00E62A55">
      <w:pPr>
        <w:spacing w:line="360" w:lineRule="auto"/>
        <w:jc w:val="both"/>
        <w:rPr>
          <w:rFonts w:ascii="Palatino Linotype" w:eastAsia="Palatino Linotype" w:hAnsi="Palatino Linotype" w:cs="Palatino Linotype"/>
        </w:rPr>
      </w:pPr>
    </w:p>
    <w:p w14:paraId="30FF4E7F" w14:textId="77777777" w:rsidR="00E62A55" w:rsidRDefault="00E62A55">
      <w:pPr>
        <w:spacing w:line="360" w:lineRule="auto"/>
        <w:jc w:val="both"/>
        <w:rPr>
          <w:rFonts w:ascii="Palatino Linotype" w:eastAsia="Palatino Linotype" w:hAnsi="Palatino Linotype" w:cs="Palatino Linotype"/>
        </w:rPr>
      </w:pPr>
    </w:p>
    <w:p w14:paraId="4D732757" w14:textId="77777777" w:rsidR="00E62A55" w:rsidRDefault="00E62A55">
      <w:pPr>
        <w:spacing w:line="360" w:lineRule="auto"/>
        <w:jc w:val="both"/>
        <w:rPr>
          <w:rFonts w:ascii="Palatino Linotype" w:eastAsia="Palatino Linotype" w:hAnsi="Palatino Linotype" w:cs="Palatino Linotype"/>
        </w:rPr>
      </w:pPr>
    </w:p>
    <w:p w14:paraId="55B92034" w14:textId="77777777" w:rsidR="00E62A55" w:rsidRDefault="00E62A55">
      <w:pPr>
        <w:spacing w:line="360" w:lineRule="auto"/>
        <w:jc w:val="both"/>
        <w:rPr>
          <w:rFonts w:ascii="Palatino Linotype" w:eastAsia="Palatino Linotype" w:hAnsi="Palatino Linotype" w:cs="Palatino Linotype"/>
        </w:rPr>
      </w:pPr>
    </w:p>
    <w:p w14:paraId="3A153E70" w14:textId="77777777" w:rsidR="00E62A55" w:rsidRDefault="00E62A55">
      <w:pPr>
        <w:spacing w:line="360" w:lineRule="auto"/>
        <w:jc w:val="both"/>
        <w:rPr>
          <w:rFonts w:ascii="Palatino Linotype" w:eastAsia="Palatino Linotype" w:hAnsi="Palatino Linotype" w:cs="Palatino Linotype"/>
        </w:rPr>
      </w:pPr>
    </w:p>
    <w:p w14:paraId="5C091678" w14:textId="77777777" w:rsidR="00E62A55" w:rsidRDefault="00E62A55">
      <w:pPr>
        <w:spacing w:line="360" w:lineRule="auto"/>
        <w:jc w:val="both"/>
        <w:rPr>
          <w:rFonts w:ascii="Palatino Linotype" w:eastAsia="Palatino Linotype" w:hAnsi="Palatino Linotype" w:cs="Palatino Linotype"/>
        </w:rPr>
      </w:pPr>
    </w:p>
    <w:p w14:paraId="63AFD3E1" w14:textId="77777777" w:rsidR="00E62A55" w:rsidRDefault="00E62A55">
      <w:pPr>
        <w:spacing w:line="360" w:lineRule="auto"/>
        <w:jc w:val="both"/>
        <w:rPr>
          <w:rFonts w:ascii="Palatino Linotype" w:eastAsia="Palatino Linotype" w:hAnsi="Palatino Linotype" w:cs="Palatino Linotype"/>
        </w:rPr>
      </w:pPr>
    </w:p>
    <w:sectPr w:rsidR="00E62A55">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2DD9A" w14:textId="77777777" w:rsidR="00FD01EA" w:rsidRDefault="00FD01EA">
      <w:r>
        <w:separator/>
      </w:r>
    </w:p>
  </w:endnote>
  <w:endnote w:type="continuationSeparator" w:id="0">
    <w:p w14:paraId="702391BC" w14:textId="77777777" w:rsidR="00FD01EA" w:rsidRDefault="00FD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notTrueType/>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notTrueType/>
    <w:pitch w:val="variable"/>
    <w:sig w:usb0="E00002FF" w:usb1="5000785B" w:usb2="00000000" w:usb3="00000000" w:csb0="0000019F" w:csb1="00000000"/>
  </w:font>
  <w:font w:name="palatino">
    <w:panose1 w:val="00000000000000000000"/>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E9C2" w14:textId="77777777" w:rsidR="00E62A55" w:rsidRDefault="0034334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F7204">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F7204">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E16D" w14:textId="77777777" w:rsidR="00E62A55" w:rsidRDefault="0034334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F720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F7204">
      <w:rPr>
        <w:rFonts w:ascii="Palatino Linotype" w:eastAsia="Palatino Linotype" w:hAnsi="Palatino Linotype" w:cs="Palatino Linotype"/>
        <w:noProof/>
        <w:color w:val="000000"/>
        <w:sz w:val="22"/>
        <w:szCs w:val="22"/>
      </w:rPr>
      <w:t>27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85861" w14:textId="77777777" w:rsidR="00FD01EA" w:rsidRDefault="00FD01EA">
      <w:r>
        <w:separator/>
      </w:r>
    </w:p>
  </w:footnote>
  <w:footnote w:type="continuationSeparator" w:id="0">
    <w:p w14:paraId="34778657" w14:textId="77777777" w:rsidR="00FD01EA" w:rsidRDefault="00FD01EA">
      <w:r>
        <w:continuationSeparator/>
      </w:r>
    </w:p>
  </w:footnote>
  <w:footnote w:id="1">
    <w:p w14:paraId="3000889F" w14:textId="77777777" w:rsidR="00E62A55" w:rsidRDefault="0034334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E6ECE" w14:textId="77777777" w:rsidR="00E62A55" w:rsidRDefault="00FD01E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2338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1497" w14:textId="77777777" w:rsidR="00E62A55" w:rsidRDefault="00FD01E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CFA4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fffd"/>
      <w:tblW w:w="9534" w:type="dxa"/>
      <w:tblInd w:w="-142" w:type="dxa"/>
      <w:tblLayout w:type="fixed"/>
      <w:tblLook w:val="0400" w:firstRow="0" w:lastRow="0" w:firstColumn="0" w:lastColumn="0" w:noHBand="0" w:noVBand="1"/>
    </w:tblPr>
    <w:tblGrid>
      <w:gridCol w:w="3261"/>
      <w:gridCol w:w="2551"/>
      <w:gridCol w:w="3722"/>
    </w:tblGrid>
    <w:tr w:rsidR="00E62A55" w14:paraId="7EE1F0A9" w14:textId="77777777">
      <w:tc>
        <w:tcPr>
          <w:tcW w:w="3261" w:type="dxa"/>
          <w:vMerge w:val="restart"/>
        </w:tcPr>
        <w:p w14:paraId="10D4D6F9"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828FB9B" wp14:editId="07495EF3">
                <wp:extent cx="1692162" cy="852673"/>
                <wp:effectExtent l="0" t="0" r="0" b="0"/>
                <wp:docPr id="3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047DA82"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F969513" w14:textId="77777777" w:rsidR="00E62A55" w:rsidRDefault="00343347">
          <w:pPr>
            <w:jc w:val="both"/>
            <w:rPr>
              <w:rFonts w:ascii="Palatino Linotype" w:eastAsia="Palatino Linotype" w:hAnsi="Palatino Linotype" w:cs="Palatino Linotype"/>
              <w:b/>
            </w:rPr>
          </w:pPr>
          <w:r>
            <w:rPr>
              <w:rFonts w:ascii="Palatino Linotype" w:eastAsia="Palatino Linotype" w:hAnsi="Palatino Linotype" w:cs="Palatino Linotype"/>
              <w:b/>
            </w:rPr>
            <w:t>07647/INFOEM/IP/RR/2022</w:t>
          </w:r>
        </w:p>
      </w:tc>
    </w:tr>
    <w:tr w:rsidR="00E62A55" w14:paraId="29BB1558" w14:textId="77777777">
      <w:tc>
        <w:tcPr>
          <w:tcW w:w="3261" w:type="dxa"/>
          <w:vMerge/>
        </w:tcPr>
        <w:p w14:paraId="3CDA7FDA" w14:textId="77777777" w:rsidR="00E62A55" w:rsidRDefault="00E62A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5679CCC"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2F70658" w14:textId="77777777" w:rsidR="00E62A55" w:rsidRDefault="0034334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E62A55" w14:paraId="65FE29F4" w14:textId="77777777">
      <w:trPr>
        <w:trHeight w:val="790"/>
      </w:trPr>
      <w:tc>
        <w:tcPr>
          <w:tcW w:w="3261" w:type="dxa"/>
          <w:vMerge/>
        </w:tcPr>
        <w:p w14:paraId="092E8D5D" w14:textId="77777777" w:rsidR="00E62A55" w:rsidRDefault="00E62A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9F1EBB2"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0EBED5F" w14:textId="77777777" w:rsidR="00E62A55" w:rsidRDefault="0034334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29C6AAD" w14:textId="77777777" w:rsidR="00E62A55" w:rsidRDefault="00E62A5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1210" w14:textId="77777777" w:rsidR="00E62A55" w:rsidRDefault="00FD01E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4CC4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fffc"/>
      <w:tblW w:w="9900" w:type="dxa"/>
      <w:tblInd w:w="-833" w:type="dxa"/>
      <w:tblLayout w:type="fixed"/>
      <w:tblLook w:val="0400" w:firstRow="0" w:lastRow="0" w:firstColumn="0" w:lastColumn="0" w:noHBand="0" w:noVBand="1"/>
    </w:tblPr>
    <w:tblGrid>
      <w:gridCol w:w="3805"/>
      <w:gridCol w:w="3000"/>
      <w:gridCol w:w="3095"/>
    </w:tblGrid>
    <w:tr w:rsidR="00E62A55" w14:paraId="67E56164" w14:textId="77777777">
      <w:tc>
        <w:tcPr>
          <w:tcW w:w="3805" w:type="dxa"/>
          <w:vMerge w:val="restart"/>
          <w:shd w:val="clear" w:color="auto" w:fill="auto"/>
        </w:tcPr>
        <w:p w14:paraId="5C0ABCEA" w14:textId="77777777" w:rsidR="00E62A55" w:rsidRDefault="0034334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C52C925" wp14:editId="1EFB7692">
                <wp:extent cx="1692162" cy="852673"/>
                <wp:effectExtent l="0" t="0" r="0" b="0"/>
                <wp:docPr id="3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2FE3354"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D03DA96" w14:textId="77777777" w:rsidR="00E62A55" w:rsidRDefault="0034334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07647/INFOEM/IP/RR/2022 </w:t>
          </w:r>
        </w:p>
      </w:tc>
    </w:tr>
    <w:tr w:rsidR="00E62A55" w14:paraId="75246C2D" w14:textId="77777777">
      <w:tc>
        <w:tcPr>
          <w:tcW w:w="3805" w:type="dxa"/>
          <w:vMerge/>
          <w:shd w:val="clear" w:color="auto" w:fill="auto"/>
        </w:tcPr>
        <w:p w14:paraId="65D61C4E" w14:textId="77777777" w:rsidR="00E62A55" w:rsidRDefault="00E62A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208DA83"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8B3CF4D" w14:textId="06A54108" w:rsidR="00E62A55" w:rsidRDefault="00103907">
          <w:pPr>
            <w:jc w:val="both"/>
            <w:rPr>
              <w:rFonts w:ascii="Palatino Linotype" w:eastAsia="Palatino Linotype" w:hAnsi="Palatino Linotype" w:cs="Palatino Linotype"/>
              <w:b/>
            </w:rPr>
          </w:pPr>
          <w:r>
            <w:rPr>
              <w:rFonts w:ascii="Palatino Linotype" w:eastAsia="Palatino Linotype" w:hAnsi="Palatino Linotype" w:cs="Palatino Linotype"/>
              <w:b/>
            </w:rPr>
            <w:t>XXXXX XXXXXX XXXXXXXXXX</w:t>
          </w:r>
        </w:p>
      </w:tc>
    </w:tr>
    <w:tr w:rsidR="00E62A55" w14:paraId="70A8D771" w14:textId="77777777">
      <w:trPr>
        <w:trHeight w:val="228"/>
      </w:trPr>
      <w:tc>
        <w:tcPr>
          <w:tcW w:w="3805" w:type="dxa"/>
          <w:vMerge/>
          <w:shd w:val="clear" w:color="auto" w:fill="auto"/>
        </w:tcPr>
        <w:p w14:paraId="1156E4D3" w14:textId="77777777" w:rsidR="00E62A55" w:rsidRDefault="00E62A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D952A79"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6E8B4A28" w14:textId="77777777" w:rsidR="00E62A55" w:rsidRDefault="0034334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Toluca </w:t>
          </w:r>
        </w:p>
      </w:tc>
    </w:tr>
    <w:tr w:rsidR="00E62A55" w14:paraId="5DC9D485" w14:textId="77777777">
      <w:tc>
        <w:tcPr>
          <w:tcW w:w="3805" w:type="dxa"/>
          <w:vMerge/>
          <w:shd w:val="clear" w:color="auto" w:fill="auto"/>
        </w:tcPr>
        <w:p w14:paraId="185DEE15" w14:textId="77777777" w:rsidR="00E62A55" w:rsidRDefault="00E62A55">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68361FC" w14:textId="77777777" w:rsidR="00E62A55" w:rsidRDefault="0034334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952EFE4" w14:textId="77777777" w:rsidR="00E62A55" w:rsidRDefault="0034334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22EAD23A" w14:textId="77777777" w:rsidR="00E62A55" w:rsidRDefault="00E62A55">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26B"/>
    <w:multiLevelType w:val="multilevel"/>
    <w:tmpl w:val="2B62D8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55"/>
    <w:rsid w:val="00103907"/>
    <w:rsid w:val="001E6F3F"/>
    <w:rsid w:val="002B55E3"/>
    <w:rsid w:val="00343347"/>
    <w:rsid w:val="008F7204"/>
    <w:rsid w:val="00A6695E"/>
    <w:rsid w:val="00E36472"/>
    <w:rsid w:val="00E62A55"/>
    <w:rsid w:val="00FD01EA"/>
    <w:rsid w:val="00FD4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6303FE"/>
  <w15:docId w15:val="{09E6D6D4-8E4E-49FD-A2A2-136D8C6B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7"/>
    <w:tblPr>
      <w:tblStyleRowBandSize w:val="1"/>
      <w:tblStyleColBandSize w:val="1"/>
      <w:tblCellMar>
        <w:top w:w="100" w:type="dxa"/>
        <w:left w:w="100" w:type="dxa"/>
        <w:bottom w:w="100" w:type="dxa"/>
        <w:right w:w="100" w:type="dxa"/>
      </w:tblCellMar>
    </w:tblPr>
  </w:style>
  <w:style w:type="table" w:customStyle="1" w:styleId="a0">
    <w:basedOn w:val="TableNormalff7"/>
    <w:tblPr>
      <w:tblStyleRowBandSize w:val="1"/>
      <w:tblStyleColBandSize w:val="1"/>
      <w:tblCellMar>
        <w:left w:w="115" w:type="dxa"/>
        <w:right w:w="115" w:type="dxa"/>
      </w:tblCellMar>
    </w:tblPr>
  </w:style>
  <w:style w:type="table" w:customStyle="1" w:styleId="a1">
    <w:basedOn w:val="TableNormalff7"/>
    <w:tblPr>
      <w:tblStyleRowBandSize w:val="1"/>
      <w:tblStyleColBandSize w:val="1"/>
      <w:tblCellMar>
        <w:left w:w="115" w:type="dxa"/>
        <w:right w:w="115" w:type="dxa"/>
      </w:tblCellMar>
    </w:tblPr>
  </w:style>
  <w:style w:type="table" w:customStyle="1" w:styleId="a2">
    <w:basedOn w:val="TableNormalff7"/>
    <w:tblPr>
      <w:tblStyleRowBandSize w:val="1"/>
      <w:tblStyleColBandSize w:val="1"/>
      <w:tblCellMar>
        <w:left w:w="115" w:type="dxa"/>
        <w:right w:w="115" w:type="dxa"/>
      </w:tblCellMar>
    </w:tblPr>
  </w:style>
  <w:style w:type="table" w:customStyle="1" w:styleId="a3">
    <w:basedOn w:val="TableNormalff7"/>
    <w:tblPr>
      <w:tblStyleRowBandSize w:val="1"/>
      <w:tblStyleColBandSize w:val="1"/>
      <w:tblCellMar>
        <w:left w:w="115" w:type="dxa"/>
        <w:right w:w="115" w:type="dxa"/>
      </w:tblCellMar>
    </w:tblPr>
  </w:style>
  <w:style w:type="table" w:customStyle="1" w:styleId="a4">
    <w:basedOn w:val="TableNormalff7"/>
    <w:tblPr>
      <w:tblStyleRowBandSize w:val="1"/>
      <w:tblStyleColBandSize w:val="1"/>
      <w:tblCellMar>
        <w:left w:w="115" w:type="dxa"/>
        <w:right w:w="115" w:type="dxa"/>
      </w:tblCellMar>
    </w:tblPr>
  </w:style>
  <w:style w:type="table" w:customStyle="1" w:styleId="a5">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7"/>
    <w:tblPr>
      <w:tblStyleRowBandSize w:val="1"/>
      <w:tblStyleColBandSize w:val="1"/>
      <w:tblCellMar>
        <w:left w:w="115" w:type="dxa"/>
        <w:right w:w="115" w:type="dxa"/>
      </w:tblCellMar>
    </w:tblPr>
  </w:style>
  <w:style w:type="table" w:customStyle="1" w:styleId="a7">
    <w:basedOn w:val="TableNormalff7"/>
    <w:tblPr>
      <w:tblStyleRowBandSize w:val="1"/>
      <w:tblStyleColBandSize w:val="1"/>
      <w:tblCellMar>
        <w:left w:w="115" w:type="dxa"/>
        <w:right w:w="115" w:type="dxa"/>
      </w:tblCellMar>
    </w:tblPr>
  </w:style>
  <w:style w:type="table" w:customStyle="1" w:styleId="a8">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6"/>
    <w:tblPr>
      <w:tblStyleRowBandSize w:val="1"/>
      <w:tblStyleColBandSize w:val="1"/>
      <w:tblCellMar>
        <w:left w:w="115" w:type="dxa"/>
        <w:right w:w="115" w:type="dxa"/>
      </w:tblCellMar>
    </w:tblPr>
  </w:style>
  <w:style w:type="table" w:customStyle="1" w:styleId="afff3">
    <w:basedOn w:val="TableNormalf6"/>
    <w:tblPr>
      <w:tblStyleRowBandSize w:val="1"/>
      <w:tblStyleColBandSize w:val="1"/>
      <w:tblCellMar>
        <w:top w:w="100" w:type="dxa"/>
        <w:left w:w="100" w:type="dxa"/>
        <w:bottom w:w="100" w:type="dxa"/>
        <w:right w:w="100" w:type="dxa"/>
      </w:tblCellMar>
    </w:tblPr>
  </w:style>
  <w:style w:type="table" w:customStyle="1" w:styleId="a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6"/>
    <w:tblPr>
      <w:tblStyleRowBandSize w:val="1"/>
      <w:tblStyleColBandSize w:val="1"/>
      <w:tblCellMar>
        <w:top w:w="100" w:type="dxa"/>
        <w:left w:w="100" w:type="dxa"/>
        <w:bottom w:w="100" w:type="dxa"/>
        <w:right w:w="100" w:type="dxa"/>
      </w:tblCellMar>
    </w:tblPr>
  </w:style>
  <w:style w:type="table" w:customStyle="1" w:styleId="a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6"/>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del+rqwlZt/0eRwkeVoaTPHGw==">AMUW2mUaFd2vzLveP+Cjz8HZfxuptlV+0TJBjUf3gWH+GBQEHFzvieoMCSPFgdiGpDYksiYklRCifG8yaDfSep8P7t8viBw7UKR08HrXQrhIYmT2EUNiLWko7lA1jYU6+sT74eNNVKj4EfJllf/2UNMuvHc5vs//APwBFXMX+P1hXRh7NrAlHpqwPxYT3fWB2RLh149hl9jDR3wD99Brg7v11w6NF0M5qLxwzKB8Shp052Bcs829EYQ=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5166</Words>
  <Characters>28419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4</cp:revision>
  <cp:lastPrinted>2022-08-12T00:50:00Z</cp:lastPrinted>
  <dcterms:created xsi:type="dcterms:W3CDTF">2022-08-11T00:27:00Z</dcterms:created>
  <dcterms:modified xsi:type="dcterms:W3CDTF">2022-08-29T23:50:00Z</dcterms:modified>
</cp:coreProperties>
</file>