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C3E33" w:rsidR="00177EE1" w:rsidP="006A1A4E" w:rsidRDefault="00177EE1" w14:paraId="2EE49F4E" w14:textId="651FC6FB">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Instituto</w:t>
      </w:r>
      <w:r w:rsidRPr="008C3E33" w:rsidR="00083A1D">
        <w:rPr>
          <w:rFonts w:eastAsia="Calibri" w:cs="Tahoma"/>
          <w:bCs/>
          <w:color w:val="000000"/>
        </w:rPr>
        <w:t xml:space="preserve"> </w:t>
      </w:r>
      <w:r w:rsidRPr="008C3E33">
        <w:rPr>
          <w:rFonts w:eastAsia="Calibri" w:cs="Tahoma"/>
          <w:bCs/>
          <w:color w:val="000000"/>
        </w:rPr>
        <w:t>de</w:t>
      </w:r>
      <w:r w:rsidRPr="008C3E33" w:rsidR="00083A1D">
        <w:rPr>
          <w:rFonts w:eastAsia="Calibri" w:cs="Tahoma"/>
          <w:bCs/>
          <w:color w:val="000000"/>
        </w:rPr>
        <w:t xml:space="preserve"> </w:t>
      </w:r>
      <w:r w:rsidRPr="008C3E33">
        <w:rPr>
          <w:rFonts w:eastAsia="Calibri" w:cs="Tahoma"/>
          <w:bCs/>
          <w:color w:val="000000"/>
        </w:rPr>
        <w:t>Transparencia,</w:t>
      </w:r>
      <w:r w:rsidRPr="008C3E33" w:rsidR="00083A1D">
        <w:rPr>
          <w:rFonts w:eastAsia="Calibri" w:cs="Tahoma"/>
          <w:bCs/>
          <w:color w:val="000000"/>
        </w:rPr>
        <w:t xml:space="preserve"> </w:t>
      </w:r>
      <w:r w:rsidRPr="008C3E33">
        <w:rPr>
          <w:rFonts w:eastAsia="Calibri" w:cs="Tahoma"/>
          <w:bCs/>
          <w:color w:val="000000"/>
        </w:rPr>
        <w:t>Acceso</w:t>
      </w:r>
      <w:r w:rsidRPr="008C3E33" w:rsidR="00083A1D">
        <w:rPr>
          <w:rFonts w:eastAsia="Calibri" w:cs="Tahoma"/>
          <w:bCs/>
          <w:color w:val="000000"/>
        </w:rPr>
        <w:t xml:space="preserve"> </w:t>
      </w:r>
      <w:r w:rsidRPr="008C3E33">
        <w:rPr>
          <w:rFonts w:eastAsia="Calibri" w:cs="Tahoma"/>
          <w:bCs/>
          <w:color w:val="000000"/>
        </w:rPr>
        <w:t>a</w:t>
      </w:r>
      <w:r w:rsidRPr="008C3E33" w:rsidR="00083A1D">
        <w:rPr>
          <w:rFonts w:eastAsia="Calibri" w:cs="Tahoma"/>
          <w:bCs/>
          <w:color w:val="000000"/>
        </w:rPr>
        <w:t xml:space="preserve"> </w:t>
      </w:r>
      <w:r w:rsidRPr="008C3E33">
        <w:rPr>
          <w:rFonts w:eastAsia="Calibri" w:cs="Tahoma"/>
          <w:bCs/>
          <w:color w:val="000000"/>
        </w:rPr>
        <w:t>la</w:t>
      </w:r>
      <w:r w:rsidRPr="008C3E33" w:rsidR="00083A1D">
        <w:rPr>
          <w:rFonts w:eastAsia="Calibri" w:cs="Tahoma"/>
          <w:bCs/>
          <w:color w:val="000000"/>
        </w:rPr>
        <w:t xml:space="preserve"> </w:t>
      </w:r>
      <w:r w:rsidRPr="008C3E33">
        <w:rPr>
          <w:rFonts w:eastAsia="Calibri" w:cs="Tahoma"/>
          <w:bCs/>
          <w:color w:val="000000"/>
        </w:rPr>
        <w:t>Información</w:t>
      </w:r>
      <w:r w:rsidRPr="008C3E33" w:rsidR="00083A1D">
        <w:rPr>
          <w:rFonts w:eastAsia="Calibri" w:cs="Tahoma"/>
          <w:bCs/>
          <w:color w:val="000000"/>
        </w:rPr>
        <w:t xml:space="preserve"> </w:t>
      </w:r>
      <w:r w:rsidRPr="008C3E33">
        <w:rPr>
          <w:rFonts w:eastAsia="Calibri" w:cs="Tahoma"/>
          <w:bCs/>
          <w:color w:val="000000"/>
        </w:rPr>
        <w:t>Pública</w:t>
      </w:r>
      <w:r w:rsidRPr="008C3E33" w:rsidR="00083A1D">
        <w:rPr>
          <w:rFonts w:eastAsia="Calibri" w:cs="Tahoma"/>
          <w:bCs/>
          <w:color w:val="000000"/>
        </w:rPr>
        <w:t xml:space="preserve"> </w:t>
      </w:r>
      <w:r w:rsidRPr="008C3E33">
        <w:rPr>
          <w:rFonts w:eastAsia="Calibri" w:cs="Tahoma"/>
          <w:bCs/>
          <w:color w:val="000000"/>
        </w:rPr>
        <w:t>y</w:t>
      </w:r>
      <w:r w:rsidRPr="008C3E33" w:rsidR="00083A1D">
        <w:rPr>
          <w:rFonts w:eastAsia="Calibri" w:cs="Tahoma"/>
          <w:bCs/>
          <w:color w:val="000000"/>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00177CD4">
        <w:rPr>
          <w:rFonts w:eastAsia="Times New Roman" w:cs="Tahoma"/>
          <w:bCs/>
          <w:color w:val="auto"/>
          <w:lang w:eastAsia="es-ES"/>
        </w:rPr>
        <w:t xml:space="preserve">dieciocho </w:t>
      </w:r>
      <w:r w:rsidRPr="00416CFE">
        <w:rPr>
          <w:rFonts w:eastAsia="Times New Roman" w:cs="Tahoma"/>
          <w:bCs/>
          <w:color w:val="auto"/>
          <w:lang w:eastAsia="es-ES"/>
        </w:rPr>
        <w:t>de</w:t>
      </w:r>
      <w:r w:rsidRPr="00416CFE" w:rsidR="00083A1D">
        <w:rPr>
          <w:rFonts w:eastAsia="Times New Roman" w:cs="Tahoma"/>
          <w:bCs/>
          <w:color w:val="auto"/>
          <w:lang w:eastAsia="es-ES"/>
        </w:rPr>
        <w:t xml:space="preserve"> </w:t>
      </w:r>
      <w:r w:rsidR="00177CD4">
        <w:rPr>
          <w:rFonts w:eastAsia="Times New Roman" w:cs="Tahoma"/>
          <w:bCs/>
          <w:color w:val="auto"/>
          <w:lang w:eastAsia="es-ES"/>
        </w:rPr>
        <w:t>mayo</w:t>
      </w:r>
      <w:r w:rsidRPr="00416CFE" w:rsidR="00083A1D">
        <w:rPr>
          <w:rFonts w:eastAsia="Times New Roman" w:cs="Tahoma"/>
          <w:bCs/>
          <w:color w:val="auto"/>
          <w:lang w:eastAsia="es-ES"/>
        </w:rPr>
        <w:t xml:space="preserve"> </w:t>
      </w:r>
      <w:r w:rsidRPr="00416CFE">
        <w:rPr>
          <w:rFonts w:eastAsia="Times New Roman" w:cs="Tahoma"/>
          <w:bCs/>
          <w:color w:val="auto"/>
          <w:lang w:eastAsia="es-ES"/>
        </w:rPr>
        <w:t>de</w:t>
      </w:r>
      <w:r w:rsidRPr="00416CFE" w:rsidR="00083A1D">
        <w:rPr>
          <w:rFonts w:eastAsia="Times New Roman" w:cs="Tahoma"/>
          <w:bCs/>
          <w:color w:val="auto"/>
          <w:lang w:eastAsia="es-ES"/>
        </w:rPr>
        <w:t xml:space="preserve"> </w:t>
      </w:r>
      <w:r w:rsidRPr="00416CFE">
        <w:rPr>
          <w:rFonts w:eastAsia="Times New Roman" w:cs="Tahoma"/>
          <w:bCs/>
          <w:color w:val="auto"/>
          <w:lang w:eastAsia="es-ES"/>
        </w:rPr>
        <w:t>dos</w:t>
      </w:r>
      <w:r w:rsidRPr="00416CFE" w:rsidR="00083A1D">
        <w:rPr>
          <w:rFonts w:eastAsia="Times New Roman" w:cs="Tahoma"/>
          <w:bCs/>
          <w:color w:val="auto"/>
          <w:lang w:eastAsia="es-ES"/>
        </w:rPr>
        <w:t xml:space="preserve"> </w:t>
      </w:r>
      <w:r w:rsidRPr="00416CFE">
        <w:rPr>
          <w:rFonts w:eastAsia="Times New Roman" w:cs="Tahoma"/>
          <w:bCs/>
          <w:color w:val="auto"/>
          <w:lang w:eastAsia="es-ES"/>
        </w:rPr>
        <w:t>mil</w:t>
      </w:r>
      <w:r w:rsidRPr="00416CFE" w:rsidR="00083A1D">
        <w:rPr>
          <w:rFonts w:eastAsia="Times New Roman" w:cs="Tahoma"/>
          <w:bCs/>
          <w:color w:val="auto"/>
          <w:lang w:eastAsia="es-ES"/>
        </w:rPr>
        <w:t xml:space="preserve"> </w:t>
      </w:r>
      <w:r w:rsidRPr="00416CFE" w:rsidR="00BF3CE5">
        <w:rPr>
          <w:rFonts w:eastAsia="Times New Roman" w:cs="Tahoma"/>
          <w:bCs/>
          <w:color w:val="auto"/>
          <w:lang w:eastAsia="es-ES"/>
        </w:rPr>
        <w:t>veintidó</w:t>
      </w:r>
      <w:r w:rsidRPr="00416CFE" w:rsidR="00D86A27">
        <w:rPr>
          <w:rFonts w:eastAsia="Times New Roman" w:cs="Tahoma"/>
          <w:bCs/>
          <w:color w:val="auto"/>
          <w:lang w:eastAsia="es-ES"/>
        </w:rPr>
        <w:t>s</w:t>
      </w:r>
      <w:r w:rsidR="00D86A27">
        <w:rPr>
          <w:rFonts w:eastAsia="Times New Roman" w:cs="Tahoma"/>
          <w:bCs/>
          <w:color w:val="auto"/>
          <w:lang w:eastAsia="es-ES"/>
        </w:rPr>
        <w:t>.</w:t>
      </w:r>
    </w:p>
    <w:p w:rsidRPr="008C3E33" w:rsidR="00177EE1" w:rsidP="006A1A4E"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6A1A4E" w:rsidRDefault="00177EE1" w14:paraId="536348C3" w14:textId="4AAAF7DA">
      <w:pPr>
        <w:spacing w:after="0" w:line="360" w:lineRule="auto"/>
        <w:rPr>
          <w:rFonts w:eastAsia="Calibri" w:cs="Tahoma"/>
          <w:color w:val="0D0D0D"/>
        </w:rPr>
      </w:pPr>
      <w:r w:rsidRPr="5F5472C6" w:rsidR="5F5472C6">
        <w:rPr>
          <w:rFonts w:eastAsia="Times New Roman" w:cs="Tahoma"/>
          <w:b w:val="1"/>
          <w:bCs w:val="1"/>
          <w:color w:val="auto"/>
          <w:lang w:eastAsia="es-ES"/>
        </w:rPr>
        <w:t>VISTO</w:t>
      </w:r>
      <w:r w:rsidRPr="5F5472C6" w:rsidR="5F5472C6">
        <w:rPr>
          <w:rFonts w:eastAsia="Calibri" w:cs="Tahoma"/>
          <w:color w:val="0D0D0D" w:themeColor="text1" w:themeTint="F2" w:themeShade="FF"/>
        </w:rPr>
        <w:t xml:space="preserve"> el expediente conformado con motivo del Recurso de Revisión </w:t>
      </w:r>
      <w:r w:rsidRPr="5F5472C6" w:rsidR="5F5472C6">
        <w:rPr>
          <w:rFonts w:eastAsia="Calibri" w:cs="Tahoma"/>
          <w:b w:val="1"/>
          <w:bCs w:val="1"/>
          <w:color w:val="0D0D0D" w:themeColor="text1" w:themeTint="F2" w:themeShade="FF"/>
        </w:rPr>
        <w:t>01861/INFOEM/IP/RR/2022</w:t>
      </w:r>
      <w:r w:rsidRPr="5F5472C6" w:rsidR="5F5472C6">
        <w:rPr>
          <w:rFonts w:eastAsia="Calibri" w:cs="Tahoma"/>
          <w:color w:val="000000" w:themeColor="text1" w:themeTint="FF" w:themeShade="FF"/>
        </w:rPr>
        <w:t xml:space="preserve">, interpuesto por  </w:t>
      </w:r>
      <w:r w:rsidRPr="5F5472C6" w:rsidR="5F5472C6">
        <w:rPr>
          <w:rFonts w:eastAsia="Calibri" w:cs="Tahoma"/>
          <w:color w:val="000000" w:themeColor="text1" w:themeTint="FF" w:themeShade="FF"/>
          <w:highlight w:val="black"/>
        </w:rPr>
        <w:t>XXXXXXXXXXXXXXX</w:t>
      </w:r>
      <w:r w:rsidRPr="5F5472C6" w:rsidR="5F5472C6">
        <w:rPr>
          <w:rFonts w:eastAsia="Calibri" w:cs="Tahoma"/>
          <w:color w:val="000000" w:themeColor="text1" w:themeTint="FF" w:themeShade="FF"/>
        </w:rPr>
        <w:t xml:space="preserve">, en lo sucesivo, el </w:t>
      </w:r>
      <w:r w:rsidRPr="5F5472C6" w:rsidR="5F5472C6">
        <w:rPr>
          <w:rFonts w:eastAsia="Calibri" w:cs="Tahoma"/>
          <w:color w:val="0D0D0D" w:themeColor="text1" w:themeTint="F2" w:themeShade="FF"/>
        </w:rPr>
        <w:t>Recurrente o Particular, en contra de la respuesta del Sujeto Obligado,</w:t>
      </w:r>
      <w:r w:rsidRPr="5F5472C6" w:rsidR="5F5472C6">
        <w:rPr>
          <w:rFonts w:eastAsia="Calibri" w:cs="Tahoma"/>
          <w:color w:val="000000" w:themeColor="text1" w:themeTint="FF" w:themeShade="FF"/>
        </w:rPr>
        <w:t xml:space="preserve"> Ayuntamiento de Toluca, a la solicitud de acceso a la información </w:t>
      </w:r>
      <w:r w:rsidRPr="5F5472C6" w:rsidR="5F5472C6">
        <w:rPr>
          <w:rFonts w:eastAsia="Calibri" w:cs="Tahoma"/>
          <w:b w:val="1"/>
          <w:bCs w:val="1"/>
          <w:color w:val="0D0D0D" w:themeColor="text1" w:themeTint="F2" w:themeShade="FF"/>
        </w:rPr>
        <w:t>00333/TOLUCA/IP/2022</w:t>
      </w:r>
      <w:r w:rsidRPr="5F5472C6" w:rsidR="5F5472C6">
        <w:rPr>
          <w:rFonts w:eastAsia="Calibri" w:cs="Tahoma"/>
          <w:color w:val="000000" w:themeColor="text1" w:themeTint="FF" w:themeShade="FF"/>
        </w:rPr>
        <w:t>, se emite la presente Resolución, con base en los Antecedentes y Considerandos que se exponen a continuación:</w:t>
      </w:r>
    </w:p>
    <w:p w:rsidRPr="008C3E33" w:rsidR="00177EE1" w:rsidP="006A1A4E" w:rsidRDefault="00177EE1" w14:paraId="22EB31FD" w14:textId="77777777">
      <w:pPr>
        <w:spacing w:after="0" w:line="360" w:lineRule="auto"/>
        <w:rPr>
          <w:rFonts w:eastAsia="Calibri" w:cs="Tahoma"/>
          <w:color w:val="000000"/>
        </w:rPr>
      </w:pPr>
    </w:p>
    <w:p w:rsidRPr="008C3E33" w:rsidR="00177EE1" w:rsidP="006A1A4E"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6A1A4E" w:rsidRDefault="00177EE1" w14:paraId="20C21A2D" w14:textId="77777777">
      <w:pPr>
        <w:spacing w:after="0" w:line="360" w:lineRule="auto"/>
      </w:pPr>
    </w:p>
    <w:p w:rsidRPr="008C3E33" w:rsidR="00177EE1" w:rsidP="006A1A4E"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6A1A4E" w:rsidRDefault="00177EE1" w14:paraId="42D9A1F3" w14:textId="77777777">
      <w:pPr>
        <w:tabs>
          <w:tab w:val="left" w:pos="567"/>
        </w:tabs>
        <w:spacing w:after="0" w:line="360" w:lineRule="auto"/>
        <w:rPr>
          <w:rFonts w:eastAsia="Times New Roman" w:cs="Tahoma"/>
          <w:color w:val="auto"/>
          <w:lang w:eastAsia="es-ES"/>
        </w:rPr>
      </w:pPr>
    </w:p>
    <w:p w:rsidRPr="008C3E33" w:rsidR="00177EE1" w:rsidP="006A1A4E" w:rsidRDefault="00177EE1" w14:paraId="3226BEF2" w14:textId="1F6F6F27">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003247BD">
        <w:rPr>
          <w:rFonts w:eastAsia="Times New Roman" w:cs="Tahoma"/>
          <w:color w:val="auto"/>
          <w:lang w:eastAsia="es-ES"/>
        </w:rPr>
        <w:t>veinticuatro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005D417E">
        <w:rPr>
          <w:rFonts w:eastAsia="Times New Roman" w:cs="Tahoma"/>
          <w:color w:val="auto"/>
          <w:lang w:eastAsia="es-ES"/>
        </w:rPr>
        <w:t>enero</w:t>
      </w:r>
      <w:r w:rsidRPr="008C3E33" w:rsidR="00715EC4">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005D417E">
        <w:rPr>
          <w:rFonts w:eastAsia="Times New Roman" w:cs="Tahoma"/>
          <w:color w:val="auto"/>
          <w:lang w:eastAsia="es-ES"/>
        </w:rPr>
        <w:t>veintidós</w:t>
      </w:r>
      <w:r w:rsidRPr="008C3E33">
        <w:rPr>
          <w:rFonts w:eastAsia="Times New Roman" w:cs="Tahoma"/>
          <w:color w:val="auto"/>
          <w:lang w:eastAsia="es-ES"/>
        </w:rPr>
        <w:t>,</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sidR="002032FB">
        <w:rPr>
          <w:rFonts w:eastAsia="Times New Roman" w:cs="Tahoma"/>
          <w:color w:val="auto"/>
          <w:lang w:eastAsia="es-ES"/>
        </w:rPr>
        <w:t>a través Sistema de Acceso a la Información Mexiquense (SAIMEX)</w:t>
      </w:r>
      <w:r w:rsidRPr="008C3E33">
        <w:rPr>
          <w:rFonts w:eastAsia="Times New Roman" w:cs="Tahoma"/>
          <w:color w:val="auto"/>
          <w:lang w:eastAsia="es-ES"/>
        </w:rPr>
        <w:t>,</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Pr="008C3E33" w:rsidR="00083A1D">
        <w:rPr>
          <w:rFonts w:eastAsia="Times New Roman" w:cs="Tahoma"/>
          <w:color w:val="auto"/>
          <w:lang w:eastAsia="es-ES"/>
        </w:rPr>
        <w:t xml:space="preserve"> </w:t>
      </w:r>
      <w:r w:rsidRPr="008C3E33" w:rsidR="0015161E">
        <w:rPr>
          <w:rFonts w:eastAsia="Times New Roman" w:cs="Tahoma"/>
          <w:color w:val="auto"/>
          <w:lang w:eastAsia="es-ES"/>
        </w:rPr>
        <w:t xml:space="preserve">la </w:t>
      </w:r>
      <w:r w:rsidR="005D417E">
        <w:rPr>
          <w:rFonts w:eastAsia="Calibri" w:cs="Tahoma"/>
          <w:color w:val="000000"/>
        </w:rPr>
        <w:t>Ayuntamiento de Toluca</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6A1A4E" w:rsidRDefault="00177EE1" w14:paraId="13781153" w14:textId="77777777">
      <w:pPr>
        <w:spacing w:after="0" w:line="360" w:lineRule="auto"/>
        <w:rPr>
          <w:rFonts w:eastAsia="Calibri" w:cs="Tahoma"/>
        </w:rPr>
      </w:pPr>
    </w:p>
    <w:p w:rsidRPr="005024F5" w:rsidR="00177EE1" w:rsidP="006A1A4E" w:rsidRDefault="00177EE1" w14:paraId="003D549A" w14:textId="77777777">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rsidRPr="00177CD4" w:rsidR="00177CD4" w:rsidP="006A1A4E" w:rsidRDefault="00177CD4" w14:paraId="63AB3A1B" w14:textId="09D07F54">
      <w:pPr>
        <w:spacing w:after="0" w:line="360" w:lineRule="auto"/>
        <w:ind w:left="567" w:right="567"/>
        <w:rPr>
          <w:rFonts w:eastAsia="Times New Roman" w:cs="Arial"/>
          <w:bCs/>
          <w:i/>
          <w:iCs/>
          <w:color w:val="auto"/>
          <w:sz w:val="20"/>
          <w:lang w:eastAsia="es-ES"/>
        </w:rPr>
      </w:pPr>
      <w:r w:rsidRPr="00177CD4">
        <w:rPr>
          <w:rFonts w:eastAsia="Times New Roman" w:cs="Arial"/>
          <w:bCs/>
          <w:i/>
          <w:iCs/>
          <w:color w:val="auto"/>
          <w:sz w:val="20"/>
          <w:lang w:eastAsia="es-ES"/>
        </w:rPr>
        <w:t>Según el documento denominado “Acuerdo por el que se dan a conocer las participaciones federales y estatales pagadas a los municipios del Estado de México correspondientes al periodo de octubre a diciembre del ejercicio fiscal 2021”, contenido en la Gaceta de Gobierno correspondiente a enero de 2022, recientemente publicado por el gobierno estatal. Solicito el listado de los montos recibidos de esas participaciones a partir del año 2019 a enero del 2022. Comprobantes de dichas transferencias. Adedudos a Isemym, Luz y Fuerza del año 2019 a enero del 2022. Montos pagados a Iseemym y luz y fuerza desde el año 2019 a 2022. Todo en relación al ayuntamiento de Toluca (servidores publicos), edificios del ayuntamiento y rentados y alumbrado público,</w:t>
      </w:r>
    </w:p>
    <w:p w:rsidR="00177CD4" w:rsidP="006A1A4E" w:rsidRDefault="00177CD4" w14:paraId="1EB16607" w14:textId="16A3C9FA">
      <w:pPr>
        <w:spacing w:after="0" w:line="360" w:lineRule="auto"/>
        <w:ind w:left="567" w:right="567"/>
        <w:rPr>
          <w:rFonts w:ascii="Verdana" w:hAnsi="Verdana"/>
          <w:color w:val="000000"/>
          <w:sz w:val="14"/>
          <w:szCs w:val="14"/>
        </w:rPr>
      </w:pPr>
    </w:p>
    <w:p w:rsidR="00177CD4" w:rsidP="006A1A4E" w:rsidRDefault="00177CD4" w14:paraId="24882E79" w14:textId="77777777">
      <w:pPr>
        <w:spacing w:after="0" w:line="360" w:lineRule="auto"/>
        <w:ind w:left="567" w:right="567"/>
        <w:rPr>
          <w:rFonts w:eastAsia="Times New Roman" w:cs="Arial"/>
          <w:bCs/>
          <w:i/>
          <w:iCs/>
          <w:color w:val="auto"/>
          <w:sz w:val="20"/>
          <w:lang w:eastAsia="es-ES"/>
        </w:rPr>
      </w:pPr>
    </w:p>
    <w:p w:rsidRPr="008C3E33" w:rsidR="00177EE1" w:rsidP="006A1A4E" w:rsidRDefault="00177EE1" w14:paraId="6DDD3FE0" w14:textId="585145D7">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Pr="008C3E33" w:rsidR="00177EE1" w:rsidP="006A1A4E" w:rsidRDefault="005D417E" w14:paraId="5BE866F0" w14:textId="6A0BC516">
      <w:pPr>
        <w:spacing w:after="0" w:line="360" w:lineRule="auto"/>
        <w:ind w:left="567" w:right="567"/>
        <w:rPr>
          <w:rFonts w:eastAsia="Times New Roman" w:cs="Arial"/>
          <w:bCs/>
          <w:i/>
          <w:iCs/>
          <w:color w:val="auto"/>
          <w:sz w:val="20"/>
          <w:lang w:eastAsia="es-ES"/>
        </w:rPr>
      </w:pPr>
      <w:r w:rsidRPr="005D417E">
        <w:rPr>
          <w:rFonts w:eastAsia="Times New Roman" w:cs="Arial"/>
          <w:bCs/>
          <w:i/>
          <w:iCs/>
          <w:color w:val="auto"/>
          <w:sz w:val="20"/>
          <w:lang w:eastAsia="es-ES"/>
        </w:rPr>
        <w:t>A través del SAIMEX</w:t>
      </w:r>
      <w:r w:rsidRPr="008C3E33" w:rsidR="00177EE1">
        <w:rPr>
          <w:rFonts w:eastAsia="Times New Roman" w:cs="Arial"/>
          <w:bCs/>
          <w:i/>
          <w:iCs/>
          <w:color w:val="auto"/>
          <w:sz w:val="20"/>
          <w:lang w:eastAsia="es-ES"/>
        </w:rPr>
        <w:t>”</w:t>
      </w:r>
    </w:p>
    <w:p w:rsidR="00780CDD" w:rsidP="006A1A4E" w:rsidRDefault="00780CDD" w14:paraId="34F6C667" w14:textId="7C411DCA">
      <w:pPr>
        <w:autoSpaceDE w:val="0"/>
        <w:autoSpaceDN w:val="0"/>
        <w:adjustRightInd w:val="0"/>
        <w:spacing w:after="0" w:line="360" w:lineRule="auto"/>
        <w:rPr>
          <w:rFonts w:cs="Tahoma"/>
          <w:b/>
        </w:rPr>
      </w:pPr>
    </w:p>
    <w:p w:rsidRPr="008C3E33" w:rsidR="002327BA" w:rsidP="006A1A4E" w:rsidRDefault="002327BA" w14:paraId="2A077202" w14:textId="08620F6F">
      <w:pPr>
        <w:autoSpaceDE w:val="0"/>
        <w:autoSpaceDN w:val="0"/>
        <w:adjustRightInd w:val="0"/>
        <w:spacing w:after="0" w:line="360" w:lineRule="auto"/>
        <w:rPr>
          <w:b/>
          <w:bCs/>
        </w:rPr>
      </w:pPr>
      <w:r w:rsidRPr="008C3E33">
        <w:rPr>
          <w:rFonts w:cs="Tahoma"/>
          <w:b/>
        </w:rPr>
        <w:t>II.</w:t>
      </w:r>
      <w:r w:rsidRPr="008C3E33" w:rsidR="00083A1D">
        <w:rPr>
          <w:b/>
          <w:bCs/>
        </w:rPr>
        <w:t xml:space="preserve"> </w:t>
      </w:r>
      <w:r w:rsidRPr="008C3E33">
        <w:rPr>
          <w:b/>
          <w:bCs/>
        </w:rPr>
        <w:t>Respuesta</w:t>
      </w:r>
      <w:r w:rsidRPr="008C3E33" w:rsidR="00083A1D">
        <w:rPr>
          <w:b/>
          <w:bCs/>
        </w:rPr>
        <w:t xml:space="preserve"> </w:t>
      </w:r>
      <w:r w:rsidRPr="008C3E33">
        <w:rPr>
          <w:b/>
          <w:bCs/>
        </w:rPr>
        <w:t>del</w:t>
      </w:r>
      <w:r w:rsidRPr="008C3E33" w:rsidR="00083A1D">
        <w:rPr>
          <w:b/>
          <w:bCs/>
        </w:rPr>
        <w:t xml:space="preserve"> </w:t>
      </w:r>
      <w:r w:rsidRPr="008C3E33">
        <w:rPr>
          <w:b/>
          <w:bCs/>
        </w:rPr>
        <w:t>Sujeto</w:t>
      </w:r>
      <w:r w:rsidRPr="008C3E33" w:rsidR="00083A1D">
        <w:rPr>
          <w:b/>
          <w:bCs/>
        </w:rPr>
        <w:t xml:space="preserve"> </w:t>
      </w:r>
      <w:r w:rsidRPr="008C3E33">
        <w:rPr>
          <w:b/>
          <w:bCs/>
        </w:rPr>
        <w:t>Obligado.</w:t>
      </w:r>
      <w:r w:rsidRPr="008C3E33" w:rsidR="00083A1D">
        <w:rPr>
          <w:b/>
          <w:bCs/>
        </w:rPr>
        <w:t xml:space="preserve"> </w:t>
      </w:r>
    </w:p>
    <w:p w:rsidRPr="008C3E33" w:rsidR="008D28FA" w:rsidP="006A1A4E" w:rsidRDefault="008D28FA" w14:paraId="16936CFF" w14:textId="4A7D649C">
      <w:pPr>
        <w:autoSpaceDE w:val="0"/>
        <w:autoSpaceDN w:val="0"/>
        <w:adjustRightInd w:val="0"/>
        <w:spacing w:after="0" w:line="360" w:lineRule="auto"/>
        <w:rPr>
          <w:b/>
          <w:bCs/>
        </w:rPr>
      </w:pPr>
    </w:p>
    <w:p w:rsidRPr="008C3E33" w:rsidR="002327BA" w:rsidP="006A1A4E" w:rsidRDefault="00715EC4" w14:paraId="6AD892AA" w14:textId="32885E24">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3247BD">
        <w:rPr>
          <w:rFonts w:cs="Tahoma"/>
        </w:rPr>
        <w:t>veinticuatro de febrero</w:t>
      </w:r>
      <w:r w:rsidR="005D417E">
        <w:rPr>
          <w:rFonts w:cs="Tahoma"/>
        </w:rPr>
        <w:t xml:space="preserve"> 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005D417E">
        <w:rPr>
          <w:rFonts w:cs="Tahoma"/>
        </w:rPr>
        <w:t>veintidós</w:t>
      </w:r>
      <w:r w:rsidRPr="008C3E33" w:rsidR="002A1D89">
        <w:rPr>
          <w:rFonts w:cs="Tahoma"/>
        </w:rPr>
        <w:t>,</w:t>
      </w:r>
      <w:r w:rsidRPr="008C3E33" w:rsidR="00083A1D">
        <w:rPr>
          <w:rFonts w:cs="Tahoma"/>
        </w:rPr>
        <w:t xml:space="preserve"> </w:t>
      </w:r>
      <w:r w:rsidR="005E79B6">
        <w:rPr>
          <w:rFonts w:cs="Tahoma"/>
        </w:rPr>
        <w:t>la Titular de la Unidad de Transparencia del Ayuntamiento</w:t>
      </w:r>
      <w:r w:rsidR="005D417E">
        <w:rPr>
          <w:rFonts w:eastAsia="Calibri" w:cs="Tahoma"/>
          <w:color w:val="000000"/>
        </w:rPr>
        <w:t xml:space="preserve"> de Toluca</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Pr="008C3E33" w:rsidR="00965A88">
        <w:rPr>
          <w:rFonts w:eastAsia="Times New Roman" w:cs="Tahoma"/>
          <w:color w:val="auto"/>
          <w:lang w:eastAsia="es-ES"/>
        </w:rPr>
        <w:t xml:space="preserve">en </w:t>
      </w:r>
      <w:r w:rsidR="002E4ABA">
        <w:rPr>
          <w:rFonts w:eastAsia="Times New Roman" w:cs="Tahoma"/>
          <w:color w:val="auto"/>
          <w:lang w:eastAsia="es-ES"/>
        </w:rPr>
        <w:t>los siguientes términos</w:t>
      </w:r>
      <w:r w:rsidRPr="008C3E33" w:rsidR="00965A88">
        <w:rPr>
          <w:rFonts w:eastAsia="Times New Roman" w:cs="Tahoma"/>
          <w:color w:val="auto"/>
          <w:lang w:eastAsia="es-ES"/>
        </w:rPr>
        <w:t>:</w:t>
      </w:r>
    </w:p>
    <w:p w:rsidRPr="008C3E33" w:rsidR="008D28FA" w:rsidP="006A1A4E" w:rsidRDefault="008D28FA" w14:paraId="28B9B55B" w14:textId="77777777">
      <w:pPr>
        <w:autoSpaceDE w:val="0"/>
        <w:autoSpaceDN w:val="0"/>
        <w:adjustRightInd w:val="0"/>
        <w:spacing w:after="0" w:line="360" w:lineRule="auto"/>
        <w:rPr>
          <w:color w:val="000000"/>
          <w:sz w:val="18"/>
          <w:szCs w:val="18"/>
        </w:rPr>
      </w:pPr>
    </w:p>
    <w:p w:rsidRPr="008C3E33" w:rsidR="003D5544" w:rsidP="006A1A4E" w:rsidRDefault="005024F5" w14:paraId="103C5514" w14:textId="62F184E8">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Pr="005E79B6" w:rsidR="005E79B6">
        <w:rPr>
          <w:rFonts w:eastAsia="Times New Roman" w:cs="Arial"/>
          <w:bCs/>
          <w:i/>
          <w:iCs/>
          <w:color w:val="auto"/>
          <w:sz w:val="20"/>
          <w:lang w:eastAsia="es-ES"/>
        </w:rPr>
        <w:t>En atención a la solicitud de información número 00158/TOLUCA/IP/2022, me permito adjuntar al presente la respuesta correspondiente. Sin más por el momento, le envío un cordial saludo</w:t>
      </w:r>
      <w:r w:rsidRPr="00604A22" w:rsidR="00604A22">
        <w:rPr>
          <w:rFonts w:eastAsia="Times New Roman" w:cs="Arial"/>
          <w:bCs/>
          <w:i/>
          <w:iCs/>
          <w:color w:val="auto"/>
          <w:sz w:val="20"/>
          <w:lang w:eastAsia="es-ES"/>
        </w:rPr>
        <w:t>.</w:t>
      </w:r>
      <w:r w:rsidR="005E79B6">
        <w:rPr>
          <w:rFonts w:eastAsia="Times New Roman" w:cs="Arial"/>
          <w:bCs/>
          <w:i/>
          <w:iCs/>
          <w:color w:val="auto"/>
          <w:sz w:val="20"/>
          <w:lang w:eastAsia="es-ES"/>
        </w:rPr>
        <w:t xml:space="preserve">” </w:t>
      </w:r>
    </w:p>
    <w:p w:rsidRPr="00604A22" w:rsidR="009016C6" w:rsidP="006A1A4E" w:rsidRDefault="009016C6" w14:paraId="0340490E" w14:textId="77777777">
      <w:pPr>
        <w:spacing w:after="0" w:line="360" w:lineRule="auto"/>
        <w:ind w:left="567" w:right="567"/>
        <w:rPr>
          <w:rFonts w:eastAsia="Times New Roman" w:cs="Arial"/>
          <w:bCs/>
          <w:i/>
          <w:iCs/>
          <w:color w:val="auto"/>
          <w:sz w:val="20"/>
          <w:lang w:eastAsia="es-ES"/>
        </w:rPr>
      </w:pPr>
    </w:p>
    <w:p w:rsidR="00230091" w:rsidP="006A1A4E" w:rsidRDefault="00604A22" w14:paraId="1BB5CFA8" w14:textId="0EC9AF01">
      <w:pPr>
        <w:spacing w:after="0" w:line="360" w:lineRule="auto"/>
        <w:rPr>
          <w:bCs/>
          <w:lang w:val="es-ES"/>
        </w:rPr>
      </w:pPr>
      <w:r w:rsidRPr="00ED2149">
        <w:rPr>
          <w:bCs/>
          <w:lang w:val="es-ES"/>
        </w:rPr>
        <w:t xml:space="preserve">A la respuesta, adjuntó </w:t>
      </w:r>
      <w:r w:rsidR="005E79B6">
        <w:rPr>
          <w:bCs/>
          <w:lang w:val="es-ES"/>
        </w:rPr>
        <w:t>dos documentos, a través de los que respondió a la solicitud en los siguientes términos:</w:t>
      </w:r>
    </w:p>
    <w:p w:rsidR="005E79B6" w:rsidP="006A1A4E" w:rsidRDefault="005E79B6" w14:paraId="6A4B75AE" w14:textId="6BEE7684">
      <w:pPr>
        <w:spacing w:after="0" w:line="360" w:lineRule="auto"/>
        <w:rPr>
          <w:bCs/>
          <w:lang w:val="es-ES"/>
        </w:rPr>
      </w:pPr>
    </w:p>
    <w:p w:rsidRPr="001613D0" w:rsidR="001613D0" w:rsidP="006A1A4E" w:rsidRDefault="00AC7FEF" w14:paraId="3BAC6C8D" w14:textId="574D7C45">
      <w:pPr>
        <w:pStyle w:val="Prrafodelista"/>
        <w:numPr>
          <w:ilvl w:val="0"/>
          <w:numId w:val="43"/>
        </w:numPr>
        <w:spacing w:line="360" w:lineRule="auto"/>
        <w:ind w:left="709" w:right="567"/>
        <w:jc w:val="both"/>
        <w:rPr>
          <w:rFonts w:cs="Arial"/>
          <w:bCs/>
        </w:rPr>
      </w:pPr>
      <w:r w:rsidRPr="001613D0">
        <w:rPr>
          <w:rFonts w:ascii="Palatino Linotype" w:hAnsi="Palatino Linotype" w:cs="Arial"/>
          <w:b/>
        </w:rPr>
        <w:t>CONSTANCIAS Y DEUDA saimex 00333.pdf.</w:t>
      </w:r>
      <w:r w:rsidR="001613D0">
        <w:rPr>
          <w:rFonts w:ascii="Palatino Linotype" w:hAnsi="Palatino Linotype" w:cs="Arial"/>
          <w:b/>
        </w:rPr>
        <w:t xml:space="preserve"> </w:t>
      </w:r>
      <w:r w:rsidRPr="001613D0" w:rsidR="001613D0">
        <w:rPr>
          <w:rFonts w:ascii="Palatino Linotype" w:hAnsi="Palatino Linotype" w:cs="Arial"/>
          <w:bCs/>
        </w:rPr>
        <w:t>Documento que consiste en cuarenta y cuatro fojas</w:t>
      </w:r>
      <w:r w:rsidR="001613D0">
        <w:rPr>
          <w:rFonts w:ascii="Palatino Linotype" w:hAnsi="Palatino Linotype" w:cs="Arial"/>
          <w:bCs/>
        </w:rPr>
        <w:t xml:space="preserve"> que contiene constancias fiscales.</w:t>
      </w:r>
    </w:p>
    <w:p w:rsidRPr="001613D0" w:rsidR="001613D0" w:rsidP="006A1A4E" w:rsidRDefault="001613D0" w14:paraId="52A53B8E" w14:textId="77777777">
      <w:pPr>
        <w:pStyle w:val="Prrafodelista"/>
        <w:spacing w:line="360" w:lineRule="auto"/>
        <w:ind w:left="709" w:right="567"/>
        <w:jc w:val="both"/>
        <w:rPr>
          <w:rFonts w:cs="Arial"/>
          <w:bCs/>
        </w:rPr>
      </w:pPr>
    </w:p>
    <w:p w:rsidR="001613D0" w:rsidP="006A1A4E" w:rsidRDefault="00AC7FEF" w14:paraId="41788664" w14:textId="7F8ED7C8">
      <w:pPr>
        <w:pStyle w:val="Prrafodelista"/>
        <w:numPr>
          <w:ilvl w:val="0"/>
          <w:numId w:val="43"/>
        </w:numPr>
        <w:spacing w:line="360" w:lineRule="auto"/>
        <w:ind w:left="709" w:right="49"/>
        <w:jc w:val="both"/>
        <w:rPr>
          <w:rFonts w:ascii="Palatino Linotype" w:hAnsi="Palatino Linotype" w:cs="Arial"/>
          <w:b/>
        </w:rPr>
      </w:pPr>
      <w:r w:rsidRPr="00AC7FEF">
        <w:rPr>
          <w:rFonts w:ascii="Palatino Linotype" w:hAnsi="Palatino Linotype" w:cs="Arial"/>
          <w:b/>
        </w:rPr>
        <w:t>Saimex 00333.pdf</w:t>
      </w:r>
      <w:r>
        <w:rPr>
          <w:rFonts w:ascii="Palatino Linotype" w:hAnsi="Palatino Linotype" w:cs="Arial"/>
          <w:b/>
        </w:rPr>
        <w:t>.</w:t>
      </w:r>
      <w:r w:rsidR="003A722C">
        <w:rPr>
          <w:rFonts w:ascii="Palatino Linotype" w:hAnsi="Palatino Linotype" w:cs="Arial"/>
          <w:b/>
        </w:rPr>
        <w:t xml:space="preserve"> </w:t>
      </w:r>
      <w:r w:rsidRPr="001613D0" w:rsidR="001613D0">
        <w:rPr>
          <w:rFonts w:ascii="Palatino Linotype" w:hAnsi="Palatino Linotype" w:cs="Arial"/>
          <w:bCs/>
        </w:rPr>
        <w:t>Documento que contiene tres fojas, que dan cuenta de la siguiente:</w:t>
      </w:r>
    </w:p>
    <w:p w:rsidR="00E458B9" w:rsidP="006A1A4E" w:rsidRDefault="009826DE" w14:paraId="4E7BB501" w14:textId="778434CF">
      <w:pPr>
        <w:spacing w:after="0" w:line="360" w:lineRule="auto"/>
        <w:ind w:right="567"/>
        <w:rPr>
          <w:rFonts w:eastAsia="Times New Roman" w:cs="Arial"/>
          <w:bCs/>
          <w:i/>
          <w:iCs/>
          <w:color w:val="auto"/>
          <w:sz w:val="20"/>
          <w:lang w:eastAsia="es-ES"/>
        </w:rPr>
      </w:pPr>
      <w:r>
        <w:rPr>
          <w:rFonts w:eastAsia="Times New Roman" w:cs="Arial"/>
          <w:bCs/>
          <w:i/>
          <w:iCs/>
          <w:noProof/>
          <w:color w:val="auto"/>
          <w:sz w:val="20"/>
          <w:lang w:eastAsia="es-ES"/>
        </w:rPr>
        <mc:AlternateContent>
          <mc:Choice Requires="wps">
            <w:drawing>
              <wp:anchor distT="0" distB="0" distL="114300" distR="114300" simplePos="0" relativeHeight="251660288" behindDoc="0" locked="0" layoutInCell="1" allowOverlap="1" wp14:anchorId="25EAD8D8" wp14:editId="072CEFDD">
                <wp:simplePos x="0" y="0"/>
                <wp:positionH relativeFrom="margin">
                  <wp:align>left</wp:align>
                </wp:positionH>
                <wp:positionV relativeFrom="paragraph">
                  <wp:posOffset>433070</wp:posOffset>
                </wp:positionV>
                <wp:extent cx="5727700" cy="1562100"/>
                <wp:effectExtent l="0" t="0" r="25400" b="19050"/>
                <wp:wrapNone/>
                <wp:docPr id="11" name="Conector recto 11"/>
                <wp:cNvGraphicFramePr/>
                <a:graphic xmlns:a="http://schemas.openxmlformats.org/drawingml/2006/main">
                  <a:graphicData uri="http://schemas.microsoft.com/office/word/2010/wordprocessingShape">
                    <wps:wsp>
                      <wps:cNvCnPr/>
                      <wps:spPr>
                        <a:xfrm>
                          <a:off x="0" y="0"/>
                          <a:ext cx="5727700" cy="1562100"/>
                        </a:xfrm>
                        <a:prstGeom prst="line">
                          <a:avLst/>
                        </a:prstGeom>
                        <a:ln w="9525">
                          <a:solidFill>
                            <a:schemeClr val="accent1">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dd6ee [1300]" from="0,34.1pt" to="451pt,157.1pt" w14:anchorId="2C31F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">
                <v:stroke joinstyle="miter"/>
                <w10:wrap anchorx="margin"/>
              </v:line>
            </w:pict>
          </mc:Fallback>
        </mc:AlternateContent>
      </w:r>
    </w:p>
    <w:p w:rsidR="001613D0" w:rsidP="006A1A4E" w:rsidRDefault="001613D0" w14:paraId="5E06017B" w14:textId="61DDC81C">
      <w:pPr>
        <w:spacing w:after="0" w:line="360" w:lineRule="auto"/>
        <w:ind w:right="49"/>
        <w:jc w:val="center"/>
        <w:rPr>
          <w:rFonts w:eastAsia="Times New Roman" w:cs="Arial"/>
          <w:bCs/>
          <w:i/>
          <w:iCs/>
          <w:color w:val="auto"/>
          <w:sz w:val="20"/>
          <w:lang w:eastAsia="es-ES"/>
        </w:rPr>
      </w:pPr>
      <w:r>
        <w:rPr>
          <w:noProof/>
        </w:rPr>
        <w:lastRenderedPageBreak/>
        <w:drawing>
          <wp:inline distT="0" distB="0" distL="0" distR="0" wp14:anchorId="1452CCD1" wp14:editId="017FE790">
            <wp:extent cx="5827395" cy="6457743"/>
            <wp:effectExtent l="0" t="0" r="1905" b="635"/>
            <wp:docPr id="8" name="Imagen 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Word&#10;&#10;Descripción generada automáticamente"/>
                    <pic:cNvPicPr/>
                  </pic:nvPicPr>
                  <pic:blipFill rotWithShape="1">
                    <a:blip r:embed="rId8"/>
                    <a:srcRect l="32494" t="26277" r="33794" b="7274"/>
                    <a:stretch/>
                  </pic:blipFill>
                  <pic:spPr bwMode="auto">
                    <a:xfrm>
                      <a:off x="0" y="0"/>
                      <a:ext cx="5839062" cy="6470672"/>
                    </a:xfrm>
                    <a:prstGeom prst="rect">
                      <a:avLst/>
                    </a:prstGeom>
                    <a:ln>
                      <a:noFill/>
                    </a:ln>
                    <a:extLst>
                      <a:ext uri="{53640926-AAD7-44D8-BBD7-CCE9431645EC}">
                        <a14:shadowObscured xmlns:a14="http://schemas.microsoft.com/office/drawing/2010/main"/>
                      </a:ext>
                    </a:extLst>
                  </pic:spPr>
                </pic:pic>
              </a:graphicData>
            </a:graphic>
          </wp:inline>
        </w:drawing>
      </w:r>
    </w:p>
    <w:p w:rsidR="001613D0" w:rsidP="006A1A4E" w:rsidRDefault="001613D0" w14:paraId="1B682E6E" w14:textId="7AFAC3F9">
      <w:pPr>
        <w:spacing w:after="0" w:line="360" w:lineRule="auto"/>
        <w:ind w:right="567"/>
        <w:rPr>
          <w:rFonts w:eastAsia="Times New Roman" w:cs="Arial"/>
          <w:bCs/>
          <w:i/>
          <w:iCs/>
          <w:color w:val="auto"/>
          <w:sz w:val="20"/>
          <w:lang w:eastAsia="es-ES"/>
        </w:rPr>
      </w:pPr>
    </w:p>
    <w:p w:rsidR="009826DE" w:rsidP="006A1A4E" w:rsidRDefault="009826DE" w14:paraId="013D2FD5" w14:textId="59DD09C9">
      <w:pPr>
        <w:spacing w:after="0" w:line="360" w:lineRule="auto"/>
        <w:ind w:right="-93"/>
        <w:rPr>
          <w:rFonts w:eastAsia="Times New Roman" w:cs="Arial"/>
          <w:bCs/>
          <w:i/>
          <w:iCs/>
          <w:color w:val="auto"/>
          <w:sz w:val="20"/>
          <w:lang w:eastAsia="es-ES"/>
        </w:rPr>
      </w:pPr>
      <w:r>
        <w:rPr>
          <w:noProof/>
        </w:rPr>
        <w:lastRenderedPageBreak/>
        <w:drawing>
          <wp:inline distT="0" distB="0" distL="0" distR="0" wp14:anchorId="0FCD4FB2" wp14:editId="40180A99">
            <wp:extent cx="5836124" cy="7524750"/>
            <wp:effectExtent l="0" t="0" r="0" b="0"/>
            <wp:docPr id="9" name="Imagen 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Word&#10;&#10;Descripción generada automáticamente"/>
                    <pic:cNvPicPr/>
                  </pic:nvPicPr>
                  <pic:blipFill rotWithShape="1">
                    <a:blip r:embed="rId9"/>
                    <a:srcRect l="33220" t="20184" r="34382" b="5519"/>
                    <a:stretch/>
                  </pic:blipFill>
                  <pic:spPr bwMode="auto">
                    <a:xfrm>
                      <a:off x="0" y="0"/>
                      <a:ext cx="5847684" cy="7539655"/>
                    </a:xfrm>
                    <a:prstGeom prst="rect">
                      <a:avLst/>
                    </a:prstGeom>
                    <a:ln>
                      <a:noFill/>
                    </a:ln>
                    <a:extLst>
                      <a:ext uri="{53640926-AAD7-44D8-BBD7-CCE9431645EC}">
                        <a14:shadowObscured xmlns:a14="http://schemas.microsoft.com/office/drawing/2010/main"/>
                      </a:ext>
                    </a:extLst>
                  </pic:spPr>
                </pic:pic>
              </a:graphicData>
            </a:graphic>
          </wp:inline>
        </w:drawing>
      </w:r>
    </w:p>
    <w:p w:rsidR="009826DE" w:rsidP="006A1A4E" w:rsidRDefault="009826DE" w14:paraId="4D328BA6" w14:textId="43FA74BB">
      <w:pPr>
        <w:spacing w:after="0" w:line="360" w:lineRule="auto"/>
        <w:ind w:right="49"/>
        <w:jc w:val="center"/>
        <w:rPr>
          <w:rFonts w:eastAsia="Times New Roman" w:cs="Arial"/>
          <w:bCs/>
          <w:i/>
          <w:iCs/>
          <w:color w:val="auto"/>
          <w:sz w:val="20"/>
          <w:lang w:eastAsia="es-ES"/>
        </w:rPr>
      </w:pPr>
      <w:r>
        <w:rPr>
          <w:noProof/>
        </w:rPr>
        <w:lastRenderedPageBreak/>
        <w:drawing>
          <wp:inline distT="0" distB="0" distL="0" distR="0" wp14:anchorId="7A5D0EEF" wp14:editId="2F8D27F5">
            <wp:extent cx="5619750" cy="3972075"/>
            <wp:effectExtent l="0" t="0" r="0" b="9525"/>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10"/>
                    <a:srcRect l="34042" t="38904" r="34547" b="21607"/>
                    <a:stretch/>
                  </pic:blipFill>
                  <pic:spPr bwMode="auto">
                    <a:xfrm>
                      <a:off x="0" y="0"/>
                      <a:ext cx="5644403" cy="3989500"/>
                    </a:xfrm>
                    <a:prstGeom prst="rect">
                      <a:avLst/>
                    </a:prstGeom>
                    <a:ln>
                      <a:noFill/>
                    </a:ln>
                    <a:extLst>
                      <a:ext uri="{53640926-AAD7-44D8-BBD7-CCE9431645EC}">
                        <a14:shadowObscured xmlns:a14="http://schemas.microsoft.com/office/drawing/2010/main"/>
                      </a:ext>
                    </a:extLst>
                  </pic:spPr>
                </pic:pic>
              </a:graphicData>
            </a:graphic>
          </wp:inline>
        </w:drawing>
      </w:r>
    </w:p>
    <w:p w:rsidRPr="00CD6465" w:rsidR="009826DE" w:rsidP="006A1A4E" w:rsidRDefault="009826DE" w14:paraId="72B5EB5C" w14:textId="77777777">
      <w:pPr>
        <w:spacing w:after="0" w:line="360" w:lineRule="auto"/>
        <w:ind w:right="567"/>
        <w:rPr>
          <w:rFonts w:eastAsia="Times New Roman" w:cs="Arial"/>
          <w:bCs/>
          <w:i/>
          <w:iCs/>
          <w:color w:val="auto"/>
          <w:sz w:val="20"/>
          <w:lang w:eastAsia="es-ES"/>
        </w:rPr>
      </w:pPr>
    </w:p>
    <w:p w:rsidRPr="008C3E33" w:rsidR="00C43E6D" w:rsidP="006A1A4E" w:rsidRDefault="00A97427" w14:paraId="25DD4DC9" w14:textId="76E35B9F">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Pr="008C3E33" w:rsidR="00027A38">
        <w:rPr>
          <w:rFonts w:eastAsia="Times New Roman" w:cs="Tahoma"/>
          <w:b/>
          <w:color w:val="auto"/>
          <w:lang w:eastAsia="es-ES"/>
        </w:rPr>
        <w:t xml:space="preserve">. </w:t>
      </w:r>
      <w:r w:rsidRPr="008C3E33" w:rsidR="00027A38">
        <w:rPr>
          <w:rFonts w:eastAsia="Calibri" w:cs="Tahoma"/>
          <w:b/>
          <w:color w:val="000000"/>
        </w:rPr>
        <w:t xml:space="preserve">Interposición del Recurso de Revisión. </w:t>
      </w:r>
    </w:p>
    <w:p w:rsidRPr="008C3E33" w:rsidR="00177EE1" w:rsidP="006A1A4E" w:rsidRDefault="00177EE1" w14:paraId="35FDE0B3" w14:textId="77777777">
      <w:pPr>
        <w:spacing w:after="0" w:line="240" w:lineRule="auto"/>
        <w:rPr>
          <w:bCs/>
        </w:rPr>
      </w:pPr>
    </w:p>
    <w:p w:rsidRPr="008C3E33" w:rsidR="00177EE1" w:rsidP="006A1A4E" w:rsidRDefault="00177EE1" w14:paraId="67A21435" w14:textId="216180EA">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00966DF6">
        <w:rPr>
          <w:bCs/>
        </w:rPr>
        <w:t>treinta y uno</w:t>
      </w:r>
      <w:r w:rsidRPr="008C3E33" w:rsidR="00090CC5">
        <w:rPr>
          <w:bCs/>
        </w:rPr>
        <w:t xml:space="preserve"> </w:t>
      </w:r>
      <w:r w:rsidRPr="008C3E33" w:rsidR="00C57549">
        <w:rPr>
          <w:bCs/>
        </w:rPr>
        <w:t>de</w:t>
      </w:r>
      <w:r w:rsidRPr="008C3E33" w:rsidR="00027A38">
        <w:rPr>
          <w:bCs/>
        </w:rPr>
        <w:t xml:space="preserve"> </w:t>
      </w:r>
      <w:r w:rsidR="0048144B">
        <w:rPr>
          <w:bCs/>
        </w:rPr>
        <w:t>enero</w:t>
      </w:r>
      <w:r w:rsidRPr="008C3E33" w:rsidR="00027A38">
        <w:rPr>
          <w:bCs/>
        </w:rPr>
        <w:t xml:space="preserve"> de dos mil veinti</w:t>
      </w:r>
      <w:r w:rsidR="0048144B">
        <w:rPr>
          <w:bCs/>
        </w:rPr>
        <w:t>dós</w:t>
      </w:r>
      <w:r w:rsidRPr="008C3E33" w:rsidR="00027A38">
        <w:rPr>
          <w:bCs/>
        </w:rPr>
        <w:t xml:space="preserve">,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w:t>
      </w:r>
      <w:r w:rsidR="006F084E">
        <w:rPr>
          <w:bCs/>
        </w:rPr>
        <w:t>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0048144B">
        <w:rPr>
          <w:bCs/>
          <w:lang w:val="es-ES"/>
        </w:rPr>
        <w:t xml:space="preserve">, </w:t>
      </w:r>
      <w:r w:rsidR="00C12DBB">
        <w:rPr>
          <w:bCs/>
          <w:lang w:val="es-ES"/>
        </w:rPr>
        <w:t>Recurso de Revisión interpuesto por la parte Recurrente</w:t>
      </w:r>
      <w:r w:rsidR="00C12DBB">
        <w:t xml:space="preserve">, </w:t>
      </w:r>
      <w:r w:rsidRPr="008C3E33">
        <w:rPr>
          <w:bCs/>
        </w:rPr>
        <w:t>en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6A1A4E" w:rsidRDefault="00177EE1" w14:paraId="4FEE25A5" w14:textId="77777777">
      <w:pPr>
        <w:spacing w:after="0" w:line="360" w:lineRule="auto"/>
        <w:rPr>
          <w:bCs/>
        </w:rPr>
      </w:pPr>
    </w:p>
    <w:p w:rsidRPr="008C3E33" w:rsidR="00177EE1" w:rsidP="006A1A4E" w:rsidRDefault="00177EE1" w14:paraId="7E271676" w14:textId="77777777">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Pr="00966DF6" w:rsidR="00177EE1" w:rsidP="006A1A4E" w:rsidRDefault="009826DE" w14:paraId="3C959FCF" w14:textId="5A508CF3">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Información Incompleta</w:t>
      </w:r>
      <w:r w:rsidRPr="00966DF6" w:rsidR="007B47E8">
        <w:rPr>
          <w:rFonts w:eastAsia="Times New Roman" w:cs="Arial"/>
          <w:bCs/>
          <w:i/>
          <w:iCs/>
          <w:color w:val="auto"/>
          <w:sz w:val="20"/>
          <w:lang w:eastAsia="es-ES"/>
        </w:rPr>
        <w:t>”.</w:t>
      </w:r>
      <w:r w:rsidRPr="00966DF6" w:rsidR="00083A1D">
        <w:rPr>
          <w:rFonts w:eastAsia="Times New Roman" w:cs="Arial"/>
          <w:bCs/>
          <w:i/>
          <w:iCs/>
          <w:color w:val="auto"/>
          <w:sz w:val="20"/>
          <w:lang w:eastAsia="es-ES"/>
        </w:rPr>
        <w:t xml:space="preserve"> </w:t>
      </w:r>
      <w:r w:rsidRPr="00966DF6" w:rsidR="00177EE1">
        <w:rPr>
          <w:rFonts w:eastAsia="Times New Roman" w:cs="Arial"/>
          <w:bCs/>
          <w:i/>
          <w:iCs/>
          <w:color w:val="auto"/>
          <w:sz w:val="20"/>
          <w:lang w:eastAsia="es-ES"/>
        </w:rPr>
        <w:t>(Sic.)</w:t>
      </w:r>
    </w:p>
    <w:p w:rsidRPr="008C3E33" w:rsidR="00177EE1" w:rsidP="006A1A4E" w:rsidRDefault="00177EE1" w14:paraId="53209440" w14:textId="77777777">
      <w:pPr>
        <w:spacing w:after="0" w:line="360" w:lineRule="auto"/>
        <w:ind w:left="567" w:right="567"/>
        <w:rPr>
          <w:i/>
          <w:sz w:val="20"/>
          <w:szCs w:val="20"/>
        </w:rPr>
      </w:pPr>
    </w:p>
    <w:p w:rsidRPr="008C3E33" w:rsidR="00177EE1" w:rsidP="006A1A4E" w:rsidRDefault="00177EE1" w14:paraId="23E4431A" w14:textId="77777777">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p>
    <w:p w:rsidRPr="00966DF6" w:rsidR="00177EE1" w:rsidP="006A1A4E" w:rsidRDefault="009826DE" w14:paraId="06EF0CD9" w14:textId="1F06DECB">
      <w:pPr>
        <w:spacing w:after="0" w:line="360" w:lineRule="auto"/>
        <w:ind w:left="567" w:right="567"/>
        <w:rPr>
          <w:rFonts w:eastAsia="Times New Roman" w:cs="Arial"/>
          <w:bCs/>
          <w:i/>
          <w:iCs/>
          <w:color w:val="auto"/>
          <w:sz w:val="20"/>
          <w:lang w:eastAsia="es-ES"/>
        </w:rPr>
      </w:pPr>
      <w:r w:rsidRPr="009826DE">
        <w:rPr>
          <w:rFonts w:eastAsia="Times New Roman" w:cs="Arial"/>
          <w:bCs/>
          <w:i/>
          <w:iCs/>
          <w:color w:val="auto"/>
          <w:sz w:val="20"/>
          <w:lang w:eastAsia="es-ES"/>
        </w:rPr>
        <w:t>No me entregaron los oficios de respuesta de las areas que atendieron la solicitud, por tal motivo la INFORMACIÓN entregada carece de toda veracidad.</w:t>
      </w:r>
      <w:r w:rsidRPr="00966DF6" w:rsidR="00177EE1">
        <w:rPr>
          <w:rFonts w:eastAsia="Times New Roman" w:cs="Arial"/>
          <w:bCs/>
          <w:i/>
          <w:iCs/>
          <w:color w:val="auto"/>
          <w:sz w:val="20"/>
          <w:lang w:eastAsia="es-ES"/>
        </w:rPr>
        <w:t>”</w:t>
      </w:r>
      <w:r w:rsidRPr="00966DF6" w:rsidR="00083A1D">
        <w:rPr>
          <w:rFonts w:eastAsia="Times New Roman" w:cs="Arial"/>
          <w:bCs/>
          <w:i/>
          <w:iCs/>
          <w:color w:val="auto"/>
          <w:sz w:val="20"/>
          <w:lang w:eastAsia="es-ES"/>
        </w:rPr>
        <w:t xml:space="preserve"> </w:t>
      </w:r>
      <w:r w:rsidRPr="00966DF6" w:rsidR="00177EE1">
        <w:rPr>
          <w:rFonts w:eastAsia="Times New Roman" w:cs="Arial"/>
          <w:bCs/>
          <w:i/>
          <w:iCs/>
          <w:color w:val="auto"/>
          <w:sz w:val="20"/>
          <w:lang w:eastAsia="es-ES"/>
        </w:rPr>
        <w:t>(Sic.)</w:t>
      </w:r>
    </w:p>
    <w:p w:rsidR="00177EE1" w:rsidP="006A1A4E" w:rsidRDefault="00177EE1" w14:paraId="1BCC907D" w14:textId="5931F82F">
      <w:pPr>
        <w:spacing w:after="0" w:line="360" w:lineRule="auto"/>
      </w:pPr>
    </w:p>
    <w:p w:rsidR="00177EE1" w:rsidP="006A1A4E" w:rsidRDefault="00A97427" w14:paraId="11CFD2F8" w14:textId="30C38E01">
      <w:pPr>
        <w:spacing w:after="0" w:line="360" w:lineRule="auto"/>
        <w:rPr>
          <w:b/>
          <w:bCs/>
        </w:rPr>
      </w:pPr>
      <w:r>
        <w:rPr>
          <w:b/>
        </w:rPr>
        <w:t>I</w:t>
      </w:r>
      <w:r w:rsidRPr="008C3E33" w:rsidR="00177EE1">
        <w:rPr>
          <w:b/>
        </w:rPr>
        <w:t>V.</w:t>
      </w:r>
      <w:r w:rsidRPr="008C3E33" w:rsidR="00083A1D">
        <w:rPr>
          <w:b/>
        </w:rPr>
        <w:t xml:space="preserve"> </w:t>
      </w:r>
      <w:r w:rsidRPr="008C3E33" w:rsidR="00177EE1">
        <w:rPr>
          <w:b/>
          <w:bCs/>
        </w:rPr>
        <w:t>Trámite</w:t>
      </w:r>
      <w:r w:rsidRPr="008C3E33" w:rsidR="00083A1D">
        <w:rPr>
          <w:b/>
          <w:bCs/>
        </w:rPr>
        <w:t xml:space="preserve"> </w:t>
      </w:r>
      <w:r w:rsidRPr="008C3E33" w:rsidR="00177EE1">
        <w:rPr>
          <w:b/>
          <w:bCs/>
        </w:rPr>
        <w:t>del</w:t>
      </w:r>
      <w:r w:rsidRPr="008C3E33" w:rsidR="00083A1D">
        <w:rPr>
          <w:b/>
          <w:bCs/>
        </w:rPr>
        <w:t xml:space="preserve"> </w:t>
      </w:r>
      <w:r w:rsidRPr="008C3E33" w:rsidR="00177EE1">
        <w:rPr>
          <w:b/>
        </w:rPr>
        <w:t>Recurso</w:t>
      </w:r>
      <w:r w:rsidRPr="008C3E33" w:rsidR="00083A1D">
        <w:rPr>
          <w:b/>
        </w:rPr>
        <w:t xml:space="preserve"> </w:t>
      </w:r>
      <w:r w:rsidRPr="008C3E33" w:rsidR="00177EE1">
        <w:rPr>
          <w:b/>
        </w:rPr>
        <w:t>de</w:t>
      </w:r>
      <w:r w:rsidRPr="008C3E33" w:rsidR="00083A1D">
        <w:rPr>
          <w:b/>
        </w:rPr>
        <w:t xml:space="preserve"> </w:t>
      </w:r>
      <w:r w:rsidRPr="008C3E33" w:rsidR="00177EE1">
        <w:rPr>
          <w:b/>
        </w:rPr>
        <w:t>Revisión</w:t>
      </w:r>
      <w:r w:rsidRPr="008C3E33" w:rsidR="00083A1D">
        <w:rPr>
          <w:b/>
        </w:rPr>
        <w:t xml:space="preserve"> </w:t>
      </w:r>
      <w:r w:rsidRPr="008C3E33" w:rsidR="00177EE1">
        <w:rPr>
          <w:b/>
          <w:bCs/>
        </w:rPr>
        <w:t>ante</w:t>
      </w:r>
      <w:r w:rsidRPr="008C3E33" w:rsidR="00083A1D">
        <w:rPr>
          <w:b/>
          <w:bCs/>
        </w:rPr>
        <w:t xml:space="preserve"> </w:t>
      </w:r>
      <w:r w:rsidRPr="008C3E33" w:rsidR="00177EE1">
        <w:rPr>
          <w:b/>
          <w:bCs/>
        </w:rPr>
        <w:t>este</w:t>
      </w:r>
      <w:r w:rsidRPr="008C3E33" w:rsidR="00083A1D">
        <w:rPr>
          <w:b/>
          <w:bCs/>
        </w:rPr>
        <w:t xml:space="preserve"> </w:t>
      </w:r>
      <w:r w:rsidRPr="008C3E33" w:rsidR="00177EE1">
        <w:rPr>
          <w:b/>
          <w:bCs/>
        </w:rPr>
        <w:t>Instituto.</w:t>
      </w:r>
    </w:p>
    <w:p w:rsidRPr="008C3E33" w:rsidR="007A3549" w:rsidP="006A1A4E" w:rsidRDefault="007A3549" w14:paraId="592B90EB" w14:textId="77777777">
      <w:pPr>
        <w:spacing w:after="0" w:line="360" w:lineRule="auto"/>
        <w:rPr>
          <w:b/>
          <w:bCs/>
        </w:rPr>
      </w:pPr>
    </w:p>
    <w:p w:rsidRPr="008C3E33" w:rsidR="00177EE1" w:rsidP="006A1A4E" w:rsidRDefault="00177EE1" w14:paraId="7DF2DECC" w14:textId="5FDC9D34">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003247BD">
        <w:rPr>
          <w:bCs/>
        </w:rPr>
        <w:t xml:space="preserve">veinticuatro de febrero </w:t>
      </w:r>
      <w:r w:rsidRPr="008C3E33" w:rsidR="00027A38">
        <w:rPr>
          <w:bCs/>
        </w:rPr>
        <w:t>de dos mil veinti</w:t>
      </w:r>
      <w:r w:rsidR="0080433B">
        <w:rPr>
          <w:bCs/>
        </w:rPr>
        <w:t>dós</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007A3D34">
        <w:rPr>
          <w:b/>
          <w:bCs/>
        </w:rPr>
        <w:t>01861/INFOEM/IP/RR/2022</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6A1A4E" w:rsidRDefault="00177EE1" w14:paraId="695A4473" w14:textId="77777777">
      <w:pPr>
        <w:spacing w:after="0" w:line="360" w:lineRule="auto"/>
        <w:rPr>
          <w:bCs/>
        </w:rPr>
      </w:pPr>
    </w:p>
    <w:p w:rsidRPr="008C3E33" w:rsidR="00177EE1" w:rsidP="006A1A4E" w:rsidRDefault="00177EE1" w14:paraId="4700D1DC" w14:textId="4FFA9719">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 xml:space="preserve">Mediante acuerdo de </w:t>
      </w:r>
      <w:r w:rsidR="003247BD">
        <w:rPr>
          <w:bCs/>
          <w:lang w:val="es-ES_tradnl"/>
        </w:rPr>
        <w:t>primero</w:t>
      </w:r>
      <w:r w:rsidRPr="008C3E33" w:rsidR="00031EC8">
        <w:rPr>
          <w:bCs/>
          <w:lang w:val="es-ES_tradnl"/>
        </w:rPr>
        <w:t xml:space="preserve"> de </w:t>
      </w:r>
      <w:r w:rsidR="003247BD">
        <w:rPr>
          <w:bCs/>
          <w:lang w:val="es-ES_tradnl"/>
        </w:rPr>
        <w:t>marzo</w:t>
      </w:r>
      <w:r w:rsidRPr="008C3E33" w:rsidR="00031EC8">
        <w:rPr>
          <w:bCs/>
          <w:lang w:val="es-ES_tradnl"/>
        </w:rPr>
        <w:t xml:space="preserve"> del dos mil veinti</w:t>
      </w:r>
      <w:r w:rsidR="0080433B">
        <w:rPr>
          <w:bCs/>
          <w:lang w:val="es-ES_tradnl"/>
        </w:rPr>
        <w:t>dós</w:t>
      </w:r>
      <w:r w:rsidR="00966DF6">
        <w:rPr>
          <w:bCs/>
          <w:lang w:val="es-ES_tradnl"/>
        </w:rPr>
        <w:t xml:space="preserve">, notificado </w:t>
      </w:r>
      <w:r w:rsidR="003247BD">
        <w:rPr>
          <w:bCs/>
          <w:lang w:val="es-ES_tradnl"/>
        </w:rPr>
        <w:t>en la misma fecha</w:t>
      </w:r>
      <w:r w:rsidR="007E6A4F">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mismo</w:t>
      </w:r>
      <w:r w:rsidRPr="008C3E33" w:rsidR="00083A1D">
        <w:rPr>
          <w:bCs/>
          <w:lang w:val="es-ES_tradnl"/>
        </w:rPr>
        <w:t xml:space="preserve"> </w:t>
      </w:r>
      <w:r w:rsidRPr="008C3E33">
        <w:rPr>
          <w:bCs/>
          <w:lang w:val="es-ES_tradnl"/>
        </w:rPr>
        <w:t>día,</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8C3E33" w:rsidR="00177EE1" w:rsidP="006A1A4E" w:rsidRDefault="00177EE1" w14:paraId="057FB5D9" w14:textId="77777777">
      <w:pPr>
        <w:spacing w:after="0" w:line="360" w:lineRule="auto"/>
      </w:pPr>
    </w:p>
    <w:p w:rsidR="006F61A0" w:rsidP="006A1A4E" w:rsidRDefault="00177EE1" w14:paraId="79D2FF9D" w14:textId="716CCE9A">
      <w:pPr>
        <w:spacing w:after="0" w:line="360" w:lineRule="auto"/>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007E6A4F">
        <w:t xml:space="preserve">En fecha </w:t>
      </w:r>
      <w:r w:rsidR="007A3D34">
        <w:t>once</w:t>
      </w:r>
      <w:r w:rsidRPr="008C3E33" w:rsidR="00F6245F">
        <w:t xml:space="preserve"> de </w:t>
      </w:r>
      <w:r w:rsidR="007A3D34">
        <w:t>marzo</w:t>
      </w:r>
      <w:r w:rsidR="007E6A4F">
        <w:t xml:space="preserve"> </w:t>
      </w:r>
      <w:r w:rsidRPr="008C3E33" w:rsidR="00F6245F">
        <w:t>de dos mil veinti</w:t>
      </w:r>
      <w:r w:rsidR="0080433B">
        <w:t>dós</w:t>
      </w:r>
      <w:r w:rsidRPr="008C3E33" w:rsidR="00F6245F">
        <w:t>, el Sujeto Obligado remitió</w:t>
      </w:r>
      <w:r w:rsidR="007E6A4F">
        <w:t xml:space="preserve"> </w:t>
      </w:r>
      <w:r w:rsidRPr="008C3E33" w:rsidR="00F6245F">
        <w:t>Informe Justificado</w:t>
      </w:r>
      <w:r w:rsidR="007A3D34">
        <w:t>, puesto a la vista del Particular el nueve de mayo de la misma anualidad,</w:t>
      </w:r>
      <w:r w:rsidR="008F6FA2">
        <w:t xml:space="preserve"> que da cuenta de lo siguiente:</w:t>
      </w:r>
    </w:p>
    <w:p w:rsidR="007E6A4F" w:rsidP="006A1A4E" w:rsidRDefault="007E6A4F" w14:paraId="36AB3601" w14:textId="614398CE">
      <w:pPr>
        <w:spacing w:after="0" w:line="360" w:lineRule="auto"/>
      </w:pPr>
    </w:p>
    <w:p w:rsidRPr="007A3D34" w:rsidR="00FA642F" w:rsidP="006A1A4E" w:rsidRDefault="007A3D34" w14:paraId="66ABFAA2" w14:textId="7AD92A1B">
      <w:pPr>
        <w:pStyle w:val="Prrafodelista"/>
        <w:numPr>
          <w:ilvl w:val="0"/>
          <w:numId w:val="32"/>
        </w:numPr>
        <w:spacing w:line="360" w:lineRule="auto"/>
        <w:jc w:val="both"/>
        <w:rPr>
          <w:b/>
          <w:bCs/>
        </w:rPr>
      </w:pPr>
      <w:r w:rsidRPr="007A3D34">
        <w:rPr>
          <w:rFonts w:ascii="Palatino Linotype" w:hAnsi="Palatino Linotype" w:eastAsiaTheme="minorHAnsi" w:cstheme="minorBidi"/>
          <w:b/>
          <w:bCs/>
          <w:color w:val="000000" w:themeColor="text1"/>
          <w:szCs w:val="22"/>
          <w:lang w:eastAsia="en-US"/>
        </w:rPr>
        <w:t>Informe_001861_2022.pdf.</w:t>
      </w:r>
      <w:r>
        <w:rPr>
          <w:rFonts w:ascii="Palatino Linotype" w:hAnsi="Palatino Linotype" w:eastAsiaTheme="minorHAnsi" w:cstheme="minorBidi"/>
          <w:b/>
          <w:bCs/>
          <w:color w:val="000000" w:themeColor="text1"/>
          <w:szCs w:val="22"/>
          <w:lang w:eastAsia="en-US"/>
        </w:rPr>
        <w:t xml:space="preserve"> </w:t>
      </w:r>
      <w:r w:rsidRPr="007A3D34" w:rsidR="008F6FA2">
        <w:rPr>
          <w:rFonts w:ascii="Palatino Linotype" w:hAnsi="Palatino Linotype" w:eastAsiaTheme="minorHAnsi" w:cstheme="minorBidi"/>
          <w:color w:val="000000" w:themeColor="text1"/>
          <w:szCs w:val="22"/>
          <w:lang w:eastAsia="en-US"/>
        </w:rPr>
        <w:t>Documento que contiene diez fojas,</w:t>
      </w:r>
      <w:r w:rsidRPr="007A3D34" w:rsidR="00E05527">
        <w:rPr>
          <w:rFonts w:ascii="Palatino Linotype" w:hAnsi="Palatino Linotype" w:eastAsiaTheme="minorHAnsi" w:cstheme="minorBidi"/>
          <w:color w:val="000000" w:themeColor="text1"/>
          <w:szCs w:val="22"/>
          <w:lang w:eastAsia="en-US"/>
        </w:rPr>
        <w:t xml:space="preserve"> por el que el Sujeto Obligado rindió informe justificado</w:t>
      </w:r>
      <w:r>
        <w:rPr>
          <w:rFonts w:ascii="Palatino Linotype" w:hAnsi="Palatino Linotype" w:eastAsiaTheme="minorHAnsi" w:cstheme="minorBidi"/>
          <w:color w:val="000000" w:themeColor="text1"/>
          <w:szCs w:val="22"/>
          <w:lang w:eastAsia="en-US"/>
        </w:rPr>
        <w:t xml:space="preserve"> por el cual, de manera central solicitó a este Organismo Garante, confirmar la respuesta otorgada.</w:t>
      </w:r>
    </w:p>
    <w:p w:rsidRPr="007A3D34" w:rsidR="007A3D34" w:rsidP="006A1A4E" w:rsidRDefault="007A3D34" w14:paraId="1FBF9C20" w14:textId="77777777">
      <w:pPr>
        <w:spacing w:after="0" w:line="360" w:lineRule="auto"/>
        <w:ind w:left="360"/>
        <w:rPr>
          <w:b/>
          <w:bCs/>
        </w:rPr>
      </w:pPr>
    </w:p>
    <w:p w:rsidR="00CF238C" w:rsidP="006A1A4E" w:rsidRDefault="00002216" w14:paraId="0AE4A481" w14:textId="53F561E9">
      <w:pPr>
        <w:spacing w:after="0" w:line="360" w:lineRule="auto"/>
        <w:rPr>
          <w:rFonts w:eastAsia="Palatino Linotype" w:cs="Palatino Linotype"/>
          <w:lang w:val="es-ES"/>
        </w:rPr>
      </w:pPr>
      <w:r w:rsidRPr="008C3E33">
        <w:rPr>
          <w:rFonts w:eastAsia="Palatino Linotype" w:cs="Palatino Linotype"/>
          <w:b/>
          <w:bCs/>
          <w:lang w:val="es-ES"/>
        </w:rPr>
        <w:lastRenderedPageBreak/>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Pr="00E52CFB" w:rsidR="00E52CFB">
        <w:rPr>
          <w:rFonts w:eastAsia="Palatino Linotype" w:cs="Palatino Linotype"/>
          <w:lang w:val="es-ES"/>
        </w:rPr>
        <w:t xml:space="preserve">El particular, </w:t>
      </w:r>
      <w:r w:rsidR="00E52CFB">
        <w:rPr>
          <w:rFonts w:eastAsia="Palatino Linotype" w:cs="Palatino Linotype"/>
          <w:lang w:val="es-ES"/>
        </w:rPr>
        <w:t>no</w:t>
      </w:r>
      <w:r w:rsidRPr="00E52CFB" w:rsidR="00E52CFB">
        <w:rPr>
          <w:rFonts w:eastAsia="Palatino Linotype" w:cs="Palatino Linotype"/>
          <w:lang w:val="es-ES"/>
        </w:rPr>
        <w:t xml:space="preserve"> realizó pronunciamiento alguno, transcurrido el plazo para aportar elementos favorables al ejercicio de su derecho de acceso</w:t>
      </w:r>
      <w:r w:rsidR="00E52CFB">
        <w:rPr>
          <w:rFonts w:eastAsia="Palatino Linotype" w:cs="Palatino Linotype"/>
          <w:lang w:val="es-ES"/>
        </w:rPr>
        <w:t>.</w:t>
      </w:r>
    </w:p>
    <w:p w:rsidR="00A94ABD" w:rsidP="006A1A4E" w:rsidRDefault="00A94ABD" w14:paraId="07B9FE57" w14:textId="055F0928">
      <w:pPr>
        <w:spacing w:after="0" w:line="360" w:lineRule="auto"/>
        <w:rPr>
          <w:rFonts w:eastAsia="Palatino Linotype" w:cs="Palatino Linotype"/>
          <w:lang w:val="es-ES"/>
        </w:rPr>
      </w:pPr>
    </w:p>
    <w:p w:rsidRPr="008C3E33" w:rsidR="00A97427" w:rsidP="006A1A4E" w:rsidRDefault="006E3E2F" w14:paraId="7A988DA6" w14:textId="14CCABB8">
      <w:pPr>
        <w:spacing w:after="0" w:line="360" w:lineRule="auto"/>
        <w:rPr>
          <w:rFonts w:eastAsia="Palatino Linotype" w:cs="Palatino Linotype"/>
          <w:lang w:val="es-ES"/>
        </w:rPr>
      </w:pPr>
      <w:r>
        <w:rPr>
          <w:rFonts w:eastAsia="Palatino Linotype" w:cs="Palatino Linotype"/>
          <w:b/>
          <w:bCs/>
          <w:lang w:val="es-ES"/>
        </w:rPr>
        <w:t>e</w:t>
      </w:r>
      <w:r w:rsidRPr="00A97427" w:rsidR="00A97427">
        <w:rPr>
          <w:rFonts w:eastAsia="Palatino Linotype" w:cs="Palatino Linotype"/>
          <w:b/>
          <w:bCs/>
          <w:lang w:val="es-ES"/>
        </w:rPr>
        <w:t>) Ampliación de plazo</w:t>
      </w:r>
      <w:r w:rsidR="00A97427">
        <w:rPr>
          <w:rFonts w:eastAsia="Palatino Linotype" w:cs="Palatino Linotype"/>
          <w:lang w:val="es-ES"/>
        </w:rPr>
        <w:t xml:space="preserve">. </w:t>
      </w:r>
      <w:r w:rsidR="007A3D34">
        <w:rPr>
          <w:rFonts w:eastAsia="Palatino Linotype" w:cs="Palatino Linotype"/>
          <w:lang w:val="es-ES"/>
        </w:rPr>
        <w:t>Por acuerdo de veinte de abril</w:t>
      </w:r>
      <w:r w:rsidRPr="00277DD0" w:rsidR="00A97427">
        <w:rPr>
          <w:rFonts w:eastAsia="Palatino Linotype" w:cs="Palatino Linotype"/>
          <w:lang w:val="es-ES"/>
        </w:rPr>
        <w:t xml:space="preserve">, se aprobó la ampliación de plazo </w:t>
      </w:r>
      <w:r w:rsidR="007A3D34">
        <w:t xml:space="preserve">por un periodo de quince días, el plazo para resolver el citado medio de Impugnación, con el fin de contar con los elementos suficientes </w:t>
      </w:r>
      <w:r w:rsidR="006A1A4E">
        <w:t>esto es, para allegarse de</w:t>
      </w:r>
      <w:r w:rsidR="007A3D34">
        <w:t xml:space="preserve"> la información necesaria </w:t>
      </w:r>
      <w:r w:rsidR="006A1A4E">
        <w:t>para</w:t>
      </w:r>
      <w:r w:rsidR="007A3D34">
        <w:t xml:space="preserve"> analizar, estudiar y resolver el fondo del</w:t>
      </w:r>
      <w:r w:rsidR="006A1A4E">
        <w:t xml:space="preserve"> asunto, </w:t>
      </w:r>
      <w:r w:rsidR="00250D7E">
        <w:rPr>
          <w:rFonts w:eastAsia="Palatino Linotype" w:cs="Palatino Linotype"/>
          <w:lang w:val="es-ES"/>
        </w:rPr>
        <w:t xml:space="preserve">acuerdo notificado a través del Sistema de Acceso a la Información Mexiquense </w:t>
      </w:r>
      <w:r w:rsidR="006A1A4E">
        <w:rPr>
          <w:rFonts w:eastAsia="Palatino Linotype" w:cs="Palatino Linotype"/>
          <w:lang w:val="es-ES"/>
        </w:rPr>
        <w:t>el nueve de mayo del dos mil veintidós.</w:t>
      </w:r>
    </w:p>
    <w:p w:rsidRPr="008C3E33" w:rsidR="00177EE1" w:rsidP="006A1A4E" w:rsidRDefault="00177EE1" w14:paraId="71760501" w14:textId="77777777">
      <w:pPr>
        <w:spacing w:after="0" w:line="360" w:lineRule="auto"/>
        <w:rPr>
          <w:rFonts w:eastAsia="Palatino Linotype" w:cs="Palatino Linotype"/>
          <w:b/>
          <w:bCs/>
        </w:rPr>
      </w:pPr>
    </w:p>
    <w:p w:rsidRPr="008C3E33" w:rsidR="00177EE1" w:rsidP="006A1A4E" w:rsidRDefault="006E3E2F" w14:paraId="57AAF05F" w14:textId="7BDB1890">
      <w:pPr>
        <w:spacing w:after="0" w:line="360" w:lineRule="auto"/>
        <w:rPr>
          <w:rFonts w:eastAsia="Palatino Linotype" w:cs="Palatino Linotype"/>
          <w:b/>
          <w:bCs/>
        </w:rPr>
      </w:pPr>
      <w:r>
        <w:rPr>
          <w:rFonts w:eastAsia="Times New Roman" w:cs="Tahoma"/>
          <w:b/>
          <w:color w:val="auto"/>
          <w:szCs w:val="24"/>
          <w:lang w:eastAsia="es-ES"/>
        </w:rPr>
        <w:t>f</w:t>
      </w:r>
      <w:r w:rsidRPr="008C3E33" w:rsidR="00177EE1">
        <w:rPr>
          <w:rFonts w:eastAsia="Times New Roman" w:cs="Tahoma"/>
          <w:b/>
          <w:color w:val="auto"/>
          <w:szCs w:val="24"/>
          <w:lang w:eastAsia="es-ES"/>
        </w:rPr>
        <w:t>)</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Cierre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de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006A1A4E">
        <w:rPr>
          <w:rFonts w:eastAsia="Times New Roman" w:cs="Tahoma"/>
          <w:color w:val="auto"/>
          <w:szCs w:val="24"/>
          <w:lang w:val="es-ES" w:eastAsia="es-ES"/>
        </w:rPr>
        <w:t>trece</w:t>
      </w:r>
      <w:r w:rsidRPr="00277DD0" w:rsidR="008C49F0">
        <w:rPr>
          <w:rFonts w:eastAsia="Times New Roman" w:cs="Tahoma"/>
          <w:color w:val="auto"/>
          <w:szCs w:val="24"/>
          <w:lang w:val="es-ES" w:eastAsia="es-ES"/>
        </w:rPr>
        <w:t xml:space="preserve"> de </w:t>
      </w:r>
      <w:r w:rsidR="006A1A4E">
        <w:rPr>
          <w:rFonts w:eastAsia="Times New Roman" w:cs="Tahoma"/>
          <w:color w:val="auto"/>
          <w:szCs w:val="24"/>
          <w:lang w:val="es-ES" w:eastAsia="es-ES"/>
        </w:rPr>
        <w:t>mayo</w:t>
      </w:r>
      <w:r w:rsidRPr="008C3E33" w:rsidR="00AD126E">
        <w:rPr>
          <w:rFonts w:eastAsia="Times New Roman" w:cs="Tahoma"/>
          <w:color w:val="auto"/>
          <w:szCs w:val="24"/>
          <w:lang w:eastAsia="es-ES"/>
        </w:rPr>
        <w:t xml:space="preserve"> </w:t>
      </w:r>
      <w:r w:rsidRPr="008C3E33" w:rsidR="00177EE1">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dos</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mil</w:t>
      </w:r>
      <w:r w:rsidRPr="008C3E33" w:rsidR="00083A1D">
        <w:rPr>
          <w:rFonts w:eastAsia="Times New Roman" w:cs="Tahoma"/>
          <w:color w:val="auto"/>
          <w:szCs w:val="24"/>
          <w:lang w:val="es-ES" w:eastAsia="es-ES"/>
        </w:rPr>
        <w:t xml:space="preserve"> </w:t>
      </w:r>
      <w:r w:rsidRPr="008C3E33" w:rsidR="008C49F0">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Pr="008C3E33" w:rsidR="00177EE1">
        <w:rPr>
          <w:rFonts w:eastAsia="Times New Roman" w:cs="Tahoma"/>
          <w:color w:val="auto"/>
          <w:szCs w:val="24"/>
          <w:lang w:eastAsia="es-ES"/>
        </w:rPr>
        <w:t>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existir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emitió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acuerdo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medio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cual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declaró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cerrada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determinó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pasar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términos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dispuesto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artículos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185,</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fracciones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VIII,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sidR="00177EE1">
        <w:rPr>
          <w:rFonts w:eastAsia="Palatino Linotype" w:cs="Palatino Linotype"/>
          <w:lang w:val="es-ES"/>
        </w:rPr>
        <w:t>acto</w:t>
      </w:r>
      <w:r w:rsidRPr="008C3E33" w:rsidR="00083A1D">
        <w:rPr>
          <w:rFonts w:eastAsia="Palatino Linotype" w:cs="Palatino Linotype"/>
          <w:lang w:val="es-ES"/>
        </w:rPr>
        <w:t xml:space="preserve"> </w:t>
      </w:r>
      <w:r w:rsidRPr="008C3E33" w:rsidR="00177EE1">
        <w:rPr>
          <w:rFonts w:eastAsia="Palatino Linotype" w:cs="Palatino Linotype"/>
          <w:lang w:val="es-ES"/>
        </w:rPr>
        <w:t>que</w:t>
      </w:r>
      <w:r w:rsidRPr="008C3E33" w:rsidR="00083A1D">
        <w:rPr>
          <w:rFonts w:eastAsia="Palatino Linotype" w:cs="Palatino Linotype"/>
          <w:lang w:val="es-ES"/>
        </w:rPr>
        <w:t xml:space="preserve"> </w:t>
      </w:r>
      <w:r w:rsidRPr="008C3E33" w:rsidR="00177EE1">
        <w:rPr>
          <w:rFonts w:eastAsia="Palatino Linotype" w:cs="Palatino Linotype"/>
          <w:lang w:val="es-ES"/>
        </w:rPr>
        <w:t>fue</w:t>
      </w:r>
      <w:r w:rsidRPr="008C3E33" w:rsidR="00083A1D">
        <w:rPr>
          <w:rFonts w:eastAsia="Palatino Linotype" w:cs="Palatino Linotype"/>
          <w:lang w:val="es-ES"/>
        </w:rPr>
        <w:t xml:space="preserve"> </w:t>
      </w:r>
      <w:r w:rsidRPr="008C3E33" w:rsidR="00177EE1">
        <w:rPr>
          <w:rFonts w:eastAsia="Palatino Linotype" w:cs="Palatino Linotype"/>
          <w:lang w:val="es-ES"/>
        </w:rPr>
        <w:t>notificado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las</w:t>
      </w:r>
      <w:r w:rsidRPr="008C3E33" w:rsidR="00083A1D">
        <w:rPr>
          <w:rFonts w:eastAsia="Palatino Linotype" w:cs="Palatino Linotype"/>
          <w:lang w:val="es-ES"/>
        </w:rPr>
        <w:t xml:space="preserve"> </w:t>
      </w:r>
      <w:r w:rsidRPr="008C3E33" w:rsidR="00177EE1">
        <w:rPr>
          <w:rFonts w:eastAsia="Palatino Linotype" w:cs="Palatino Linotype"/>
          <w:lang w:val="es-ES"/>
        </w:rPr>
        <w:t>partes,</w:t>
      </w:r>
      <w:r w:rsidRPr="008C3E33" w:rsidR="00083A1D">
        <w:rPr>
          <w:rFonts w:eastAsia="Palatino Linotype" w:cs="Palatino Linotype"/>
          <w:lang w:val="es-ES"/>
        </w:rPr>
        <w:t xml:space="preserve"> </w:t>
      </w:r>
      <w:r w:rsidRPr="008C3E33" w:rsidR="00177EE1">
        <w:rPr>
          <w:rFonts w:eastAsia="Palatino Linotype" w:cs="Palatino Linotype"/>
          <w:lang w:val="es-ES"/>
        </w:rPr>
        <w:t>mediante</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Sistema</w:t>
      </w:r>
      <w:r w:rsidRPr="008C3E33" w:rsidR="00083A1D">
        <w:rPr>
          <w:rFonts w:eastAsia="Palatino Linotype" w:cs="Palatino Linotype"/>
          <w:lang w:val="es-ES"/>
        </w:rPr>
        <w:t xml:space="preserve"> </w:t>
      </w:r>
      <w:r w:rsidRPr="008C3E33" w:rsidR="00177EE1">
        <w:rPr>
          <w:rFonts w:eastAsia="Palatino Linotype" w:cs="Palatino Linotype"/>
          <w:lang w:val="es-ES"/>
        </w:rPr>
        <w:t>de</w:t>
      </w:r>
      <w:r w:rsidRPr="008C3E33" w:rsidR="00083A1D">
        <w:rPr>
          <w:rFonts w:eastAsia="Palatino Linotype" w:cs="Palatino Linotype"/>
          <w:lang w:val="es-ES"/>
        </w:rPr>
        <w:t xml:space="preserve"> </w:t>
      </w:r>
      <w:r w:rsidRPr="008C3E33" w:rsidR="00177EE1">
        <w:rPr>
          <w:rFonts w:eastAsia="Palatino Linotype" w:cs="Palatino Linotype"/>
          <w:lang w:val="es-ES"/>
        </w:rPr>
        <w:t>Acceso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w:t>
      </w:r>
      <w:r w:rsidRPr="008C3E33" w:rsidR="00083A1D">
        <w:rPr>
          <w:rFonts w:eastAsia="Palatino Linotype" w:cs="Palatino Linotype"/>
          <w:lang w:val="es-ES"/>
        </w:rPr>
        <w:t xml:space="preserve"> </w:t>
      </w:r>
      <w:r w:rsidRPr="008C3E33" w:rsidR="00177EE1">
        <w:rPr>
          <w:rFonts w:eastAsia="Palatino Linotype" w:cs="Palatino Linotype"/>
          <w:lang w:val="es-ES"/>
        </w:rPr>
        <w:t>Información</w:t>
      </w:r>
      <w:r w:rsidRPr="008C3E33" w:rsidR="00083A1D">
        <w:rPr>
          <w:rFonts w:eastAsia="Palatino Linotype" w:cs="Palatino Linotype"/>
          <w:lang w:val="es-ES"/>
        </w:rPr>
        <w:t xml:space="preserve"> </w:t>
      </w:r>
      <w:r w:rsidRPr="008C3E33" w:rsidR="00177EE1">
        <w:rPr>
          <w:rFonts w:eastAsia="Palatino Linotype" w:cs="Palatino Linotype"/>
          <w:lang w:val="es-ES"/>
        </w:rPr>
        <w:t>Mexiquense</w:t>
      </w:r>
      <w:r w:rsidRPr="008C3E33" w:rsidR="00083A1D">
        <w:rPr>
          <w:rFonts w:eastAsia="Palatino Linotype" w:cs="Palatino Linotype"/>
          <w:lang w:val="es-ES"/>
        </w:rPr>
        <w:t xml:space="preserve"> </w:t>
      </w:r>
      <w:r w:rsidRPr="008C3E33" w:rsidR="00177EE1">
        <w:rPr>
          <w:rFonts w:eastAsia="Palatino Linotype" w:cs="Palatino Linotype"/>
          <w:lang w:val="es-ES"/>
        </w:rPr>
        <w:t>(SAIMEX),</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mismo</w:t>
      </w:r>
      <w:r w:rsidRPr="008C3E33" w:rsidR="00083A1D">
        <w:rPr>
          <w:rFonts w:eastAsia="Palatino Linotype" w:cs="Palatino Linotype"/>
          <w:lang w:val="es-ES"/>
        </w:rPr>
        <w:t xml:space="preserve"> </w:t>
      </w:r>
      <w:r w:rsidRPr="008C3E33" w:rsidR="00177EE1">
        <w:rPr>
          <w:rFonts w:eastAsia="Palatino Linotype" w:cs="Palatino Linotype"/>
          <w:lang w:val="es-ES"/>
        </w:rPr>
        <w:t>día.</w:t>
      </w:r>
    </w:p>
    <w:p w:rsidRPr="008C3E33" w:rsidR="00177EE1" w:rsidP="006A1A4E" w:rsidRDefault="00177EE1" w14:paraId="53D453D6" w14:textId="77777777">
      <w:pPr>
        <w:spacing w:after="0" w:line="360" w:lineRule="auto"/>
        <w:rPr>
          <w:rFonts w:eastAsia="Times New Roman" w:cs="Tahoma"/>
          <w:color w:val="auto"/>
          <w:szCs w:val="24"/>
          <w:lang w:eastAsia="es-ES"/>
        </w:rPr>
      </w:pPr>
    </w:p>
    <w:p w:rsidRPr="008C3E33" w:rsidR="00177EE1" w:rsidP="006A1A4E" w:rsidRDefault="000C4C4B" w14:paraId="13A12517" w14:textId="5DBE4440">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Pr="008C3E33" w:rsidR="00177EE1" w:rsidP="006A1A4E" w:rsidRDefault="00177EE1" w14:paraId="2818AFDC" w14:textId="77777777">
      <w:pPr>
        <w:spacing w:after="0" w:line="360" w:lineRule="auto"/>
        <w:rPr>
          <w:rFonts w:eastAsia="Times New Roman" w:cs="Tahoma"/>
          <w:bCs/>
          <w:iCs/>
          <w:color w:val="auto"/>
          <w:lang w:val="es-ES" w:eastAsia="es-ES"/>
        </w:rPr>
      </w:pPr>
    </w:p>
    <w:p w:rsidRPr="00521872" w:rsidR="006A1A4E" w:rsidP="006A1A4E" w:rsidRDefault="006A1A4E" w14:paraId="229FE83F" w14:textId="77777777">
      <w:pPr>
        <w:spacing w:after="0" w:line="360" w:lineRule="auto"/>
        <w:jc w:val="center"/>
        <w:rPr>
          <w:rFonts w:cs="Tahoma"/>
          <w:b/>
          <w:lang w:val="es-ES"/>
        </w:rPr>
      </w:pPr>
      <w:r w:rsidRPr="00521872">
        <w:rPr>
          <w:rFonts w:cs="Tahoma"/>
          <w:b/>
          <w:lang w:val="es-ES"/>
        </w:rPr>
        <w:t>C O N S I D E R A N D O S:</w:t>
      </w:r>
    </w:p>
    <w:p w:rsidRPr="00521872" w:rsidR="006A1A4E" w:rsidP="006A1A4E" w:rsidRDefault="006A1A4E" w14:paraId="6B9D8BD4" w14:textId="77777777">
      <w:pPr>
        <w:spacing w:after="0" w:line="360" w:lineRule="auto"/>
        <w:rPr>
          <w:b/>
        </w:rPr>
      </w:pPr>
    </w:p>
    <w:p w:rsidRPr="00521872" w:rsidR="006A1A4E" w:rsidP="006A1A4E" w:rsidRDefault="006A1A4E" w14:paraId="160A4725" w14:textId="77777777">
      <w:pPr>
        <w:autoSpaceDE w:val="0"/>
        <w:autoSpaceDN w:val="0"/>
        <w:adjustRightInd w:val="0"/>
        <w:spacing w:after="0" w:line="360" w:lineRule="auto"/>
        <w:rPr>
          <w:rFonts w:cs="Tahoma"/>
          <w:b/>
          <w:lang w:val="es-ES"/>
        </w:rPr>
      </w:pPr>
      <w:r w:rsidRPr="00521872">
        <w:rPr>
          <w:rFonts w:eastAsia="Calibri" w:cs="Tahoma"/>
          <w:b/>
          <w:color w:val="000000"/>
          <w:lang w:val="es-ES" w:eastAsia="es-MX"/>
        </w:rPr>
        <w:t>PRIMERO</w:t>
      </w:r>
      <w:r w:rsidRPr="00521872">
        <w:rPr>
          <w:rFonts w:eastAsia="Calibri" w:cs="Tahoma"/>
          <w:color w:val="000000"/>
          <w:lang w:val="es-ES" w:eastAsia="es-MX"/>
        </w:rPr>
        <w:t xml:space="preserve">. </w:t>
      </w:r>
      <w:r w:rsidRPr="00521872">
        <w:rPr>
          <w:rFonts w:cs="Tahoma"/>
          <w:b/>
          <w:lang w:val="es-ES"/>
        </w:rPr>
        <w:t>Competencia.</w:t>
      </w:r>
    </w:p>
    <w:p w:rsidRPr="00521872" w:rsidR="006A1A4E" w:rsidP="006A1A4E" w:rsidRDefault="006A1A4E" w14:paraId="23580520" w14:textId="77777777">
      <w:pPr>
        <w:autoSpaceDE w:val="0"/>
        <w:autoSpaceDN w:val="0"/>
        <w:adjustRightInd w:val="0"/>
        <w:spacing w:after="0" w:line="360" w:lineRule="auto"/>
        <w:rPr>
          <w:rFonts w:cs="Tahoma"/>
          <w:b/>
          <w:lang w:val="es-ES"/>
        </w:rPr>
      </w:pPr>
    </w:p>
    <w:p w:rsidRPr="00521872" w:rsidR="006A1A4E" w:rsidP="006A1A4E" w:rsidRDefault="006A1A4E" w14:paraId="02C95653" w14:textId="77777777">
      <w:pPr>
        <w:spacing w:after="0" w:line="360" w:lineRule="auto"/>
        <w:rPr>
          <w:rFonts w:cs="Tahoma"/>
          <w:bCs/>
        </w:rPr>
      </w:pPr>
      <w:r w:rsidRPr="00521872">
        <w:rPr>
          <w:rFonts w:cs="Tahoma"/>
          <w:bC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w:t>
      </w:r>
      <w:r w:rsidRPr="00521872">
        <w:rPr>
          <w:rFonts w:cs="Tahoma"/>
          <w:bCs/>
        </w:rPr>
        <w:lastRenderedPageBreak/>
        <w:t>artículos 6°, apartado A, de la Constitución Política de los Estados Unidos Mexicanos; 5°, párrafos trigésimo</w:t>
      </w:r>
      <w:r w:rsidRPr="00521872">
        <w:rPr>
          <w:rFonts w:cs="Tahoma"/>
          <w:bCs/>
          <w:lang w:val="x-none"/>
        </w:rPr>
        <w:t>, trigésimo primero</w:t>
      </w:r>
      <w:r w:rsidRPr="00521872">
        <w:rPr>
          <w:rFonts w:cs="Tahoma"/>
          <w:bC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21872">
        <w:rPr>
          <w:bCs/>
        </w:rPr>
        <w:t xml:space="preserve"> 7°, </w:t>
      </w:r>
      <w:r w:rsidRPr="00521872">
        <w:rPr>
          <w:rFonts w:cs="Tahoma"/>
          <w:bCs/>
        </w:rPr>
        <w:t>9°, fracciones I y XXIV y 11 del Reglamento Interior del Instituto de Transparencia, Acceso a la Información Pública y Protección de Datos Personales del Estado de México y Municipios.</w:t>
      </w:r>
    </w:p>
    <w:p w:rsidRPr="00521872" w:rsidR="006A1A4E" w:rsidP="006A1A4E" w:rsidRDefault="006A1A4E" w14:paraId="01015C63" w14:textId="77777777">
      <w:pPr>
        <w:spacing w:after="0" w:line="360" w:lineRule="auto"/>
        <w:rPr>
          <w:rFonts w:cs="Tahoma"/>
          <w:bCs/>
        </w:rPr>
      </w:pPr>
    </w:p>
    <w:p w:rsidRPr="00521872" w:rsidR="006A1A4E" w:rsidP="006A1A4E" w:rsidRDefault="006A1A4E" w14:paraId="2C41F838" w14:textId="77777777">
      <w:pPr>
        <w:autoSpaceDE w:val="0"/>
        <w:autoSpaceDN w:val="0"/>
        <w:adjustRightInd w:val="0"/>
        <w:spacing w:after="0" w:line="360" w:lineRule="auto"/>
        <w:rPr>
          <w:rFonts w:cs="Tahoma"/>
          <w:lang w:val="es-ES"/>
        </w:rPr>
      </w:pPr>
      <w:r w:rsidRPr="00521872">
        <w:rPr>
          <w:rFonts w:eastAsia="Calibri" w:cs="Tahoma"/>
          <w:b/>
          <w:color w:val="000000"/>
          <w:lang w:val="es-ES" w:eastAsia="es-MX"/>
        </w:rPr>
        <w:t>SEGUNDO</w:t>
      </w:r>
      <w:r w:rsidRPr="00521872">
        <w:rPr>
          <w:rFonts w:eastAsia="Calibri" w:cs="Tahoma"/>
          <w:color w:val="000000"/>
          <w:lang w:val="es-ES" w:eastAsia="es-MX"/>
        </w:rPr>
        <w:t xml:space="preserve">. </w:t>
      </w:r>
      <w:r w:rsidRPr="00521872">
        <w:rPr>
          <w:rFonts w:cs="Tahoma"/>
          <w:b/>
          <w:lang w:val="es-ES"/>
        </w:rPr>
        <w:t xml:space="preserve">Causales de improcedencia </w:t>
      </w:r>
    </w:p>
    <w:p w:rsidRPr="00521872" w:rsidR="006A1A4E" w:rsidP="006A1A4E" w:rsidRDefault="006A1A4E" w14:paraId="79DC33EE" w14:textId="77777777">
      <w:pPr>
        <w:autoSpaceDE w:val="0"/>
        <w:autoSpaceDN w:val="0"/>
        <w:adjustRightInd w:val="0"/>
        <w:spacing w:after="0" w:line="360" w:lineRule="auto"/>
        <w:rPr>
          <w:rFonts w:cs="Tahoma"/>
          <w:lang w:val="es-ES"/>
        </w:rPr>
      </w:pPr>
    </w:p>
    <w:p w:rsidRPr="00521872" w:rsidR="006A1A4E" w:rsidP="006A1A4E" w:rsidRDefault="006A1A4E" w14:paraId="0FC13C58" w14:textId="77777777">
      <w:pPr>
        <w:autoSpaceDE w:val="0"/>
        <w:autoSpaceDN w:val="0"/>
        <w:adjustRightInd w:val="0"/>
        <w:spacing w:after="0" w:line="360" w:lineRule="auto"/>
        <w:rPr>
          <w:rFonts w:eastAsia="Calibri" w:cs="Tahoma"/>
          <w:color w:val="000000"/>
          <w:lang w:val="es-ES" w:eastAsia="es-MX"/>
        </w:rPr>
      </w:pPr>
      <w:r w:rsidRPr="00521872">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21872">
        <w:rPr>
          <w:rFonts w:eastAsia="Calibri" w:cs="Tahoma"/>
          <w:b/>
          <w:bCs/>
          <w:color w:val="000000"/>
          <w:lang w:eastAsia="es-MX"/>
        </w:rPr>
        <w:t xml:space="preserve"> </w:t>
      </w:r>
      <w:r w:rsidRPr="00521872">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521872" w:rsidR="006A1A4E" w:rsidP="006A1A4E" w:rsidRDefault="006A1A4E" w14:paraId="0334B60B" w14:textId="77777777">
      <w:pPr>
        <w:autoSpaceDE w:val="0"/>
        <w:autoSpaceDN w:val="0"/>
        <w:adjustRightInd w:val="0"/>
        <w:spacing w:after="0" w:line="360" w:lineRule="auto"/>
        <w:rPr>
          <w:rFonts w:eastAsia="Calibri" w:cs="Tahoma"/>
          <w:color w:val="000000"/>
          <w:lang w:eastAsia="es-MX"/>
        </w:rPr>
      </w:pPr>
    </w:p>
    <w:p w:rsidRPr="00521872" w:rsidR="006A1A4E" w:rsidP="006A1A4E" w:rsidRDefault="006A1A4E" w14:paraId="18386EB5" w14:textId="08F7B330">
      <w:pPr>
        <w:autoSpaceDE w:val="0"/>
        <w:autoSpaceDN w:val="0"/>
        <w:adjustRightInd w:val="0"/>
        <w:spacing w:after="0" w:line="360" w:lineRule="auto"/>
        <w:rPr>
          <w:rFonts w:eastAsia="Calibri" w:cs="Tahoma"/>
          <w:color w:val="000000"/>
          <w:lang w:eastAsia="es-MX"/>
        </w:rPr>
      </w:pPr>
      <w:r w:rsidRPr="00521872">
        <w:rPr>
          <w:rFonts w:eastAsia="Calibri" w:cs="Tahoma"/>
          <w:color w:val="000000"/>
          <w:lang w:eastAsia="es-MX"/>
        </w:rPr>
        <w:t>En el presente caso, este Instituto no tiene conocimiento de que se encuentre en trámite algún medio de defensa presentado por el Recurrente ante otra instancia; no existió prevención alguna</w:t>
      </w:r>
      <w:r w:rsidR="00AA3BF2">
        <w:rPr>
          <w:rFonts w:eastAsia="Calibri" w:cs="Tahoma"/>
          <w:color w:val="000000"/>
          <w:lang w:eastAsia="es-MX"/>
        </w:rPr>
        <w:t xml:space="preserve"> </w:t>
      </w:r>
      <w:r w:rsidRPr="00521872">
        <w:rPr>
          <w:rFonts w:eastAsia="Calibri" w:cs="Tahoma"/>
          <w:color w:val="000000"/>
          <w:lang w:eastAsia="es-MX"/>
        </w:rPr>
        <w:t>y fue presentado en tiempo.</w:t>
      </w:r>
    </w:p>
    <w:p w:rsidRPr="00521872" w:rsidR="006A1A4E" w:rsidP="006A1A4E" w:rsidRDefault="006A1A4E" w14:paraId="47FBDDC3" w14:textId="77777777">
      <w:pPr>
        <w:autoSpaceDE w:val="0"/>
        <w:autoSpaceDN w:val="0"/>
        <w:adjustRightInd w:val="0"/>
        <w:spacing w:after="0" w:line="360" w:lineRule="auto"/>
        <w:rPr>
          <w:rFonts w:eastAsia="Calibri" w:cs="Tahoma"/>
          <w:color w:val="000000"/>
          <w:lang w:eastAsia="es-MX"/>
        </w:rPr>
      </w:pPr>
    </w:p>
    <w:p w:rsidR="005B11BA" w:rsidP="006A1A4E" w:rsidRDefault="006A1A4E" w14:paraId="0BB9C9CE" w14:textId="0D6C4050">
      <w:pPr>
        <w:spacing w:after="0" w:line="360" w:lineRule="auto"/>
        <w:rPr>
          <w:rFonts w:eastAsia="Calibri" w:cs="Tahoma"/>
          <w:color w:val="000000"/>
          <w:lang w:eastAsia="es-MX"/>
        </w:rPr>
      </w:pPr>
      <w:r w:rsidRPr="00521872">
        <w:rPr>
          <w:rFonts w:eastAsia="Calibri" w:cs="Tahoma"/>
          <w:color w:val="000000"/>
          <w:lang w:eastAsia="es-MX"/>
        </w:rPr>
        <w:t xml:space="preserve">En este orden de ideas, se identifica que el Particular, amplió su solicitud y por ello se actualiza la causal de improcedencia contemplada en el artículo 191, </w:t>
      </w:r>
      <w:r w:rsidR="00AA3BF2">
        <w:rPr>
          <w:rFonts w:eastAsia="Calibri" w:cs="Tahoma"/>
          <w:color w:val="000000"/>
          <w:lang w:eastAsia="es-MX"/>
        </w:rPr>
        <w:t>fracciones V y</w:t>
      </w:r>
      <w:r w:rsidRPr="00521872">
        <w:rPr>
          <w:rFonts w:eastAsia="Calibri" w:cs="Tahoma"/>
          <w:color w:val="000000"/>
          <w:lang w:eastAsia="es-MX"/>
        </w:rPr>
        <w:t xml:space="preserve"> VII de la Ley de Transparencia y Acceso a la Información Pública del Estado de México, que contempla</w:t>
      </w:r>
      <w:r w:rsidR="00AA3BF2">
        <w:rPr>
          <w:rFonts w:eastAsia="Calibri" w:cs="Tahoma"/>
          <w:color w:val="000000"/>
          <w:lang w:eastAsia="es-MX"/>
        </w:rPr>
        <w:t>n</w:t>
      </w:r>
      <w:r w:rsidRPr="00521872">
        <w:rPr>
          <w:rFonts w:eastAsia="Calibri" w:cs="Tahoma"/>
          <w:color w:val="000000"/>
          <w:lang w:eastAsia="es-MX"/>
        </w:rPr>
        <w:t xml:space="preserve"> que el </w:t>
      </w:r>
      <w:r w:rsidRPr="00521872">
        <w:rPr>
          <w:rFonts w:eastAsia="Calibri" w:cs="Tahoma"/>
          <w:color w:val="000000"/>
          <w:lang w:eastAsia="es-MX"/>
        </w:rPr>
        <w:lastRenderedPageBreak/>
        <w:t xml:space="preserve">recurso será desechado por improcedente cuando </w:t>
      </w:r>
      <w:r w:rsidRPr="00AA3BF2" w:rsidR="00AA3BF2">
        <w:rPr>
          <w:rFonts w:eastAsia="Calibri" w:cs="Tahoma"/>
          <w:b/>
          <w:bCs/>
          <w:color w:val="000000"/>
          <w:lang w:eastAsia="es-MX"/>
        </w:rPr>
        <w:t>–se impugne la veracidad de la información proporcionada</w:t>
      </w:r>
      <w:r w:rsidR="00AA3BF2">
        <w:rPr>
          <w:rFonts w:eastAsia="Calibri" w:cs="Tahoma"/>
          <w:b/>
          <w:bCs/>
          <w:color w:val="000000"/>
          <w:lang w:eastAsia="es-MX"/>
        </w:rPr>
        <w:t xml:space="preserve">- </w:t>
      </w:r>
      <w:r w:rsidRPr="00AA3BF2" w:rsidR="00AA3BF2">
        <w:rPr>
          <w:rFonts w:eastAsia="Calibri" w:cs="Tahoma"/>
          <w:color w:val="000000"/>
          <w:lang w:eastAsia="es-MX"/>
        </w:rPr>
        <w:t xml:space="preserve">así como cuando </w:t>
      </w:r>
      <w:r w:rsidRPr="00521872">
        <w:rPr>
          <w:rFonts w:eastAsia="Calibri" w:cs="Tahoma"/>
          <w:b/>
          <w:bCs/>
          <w:color w:val="000000"/>
          <w:lang w:eastAsia="es-MX"/>
        </w:rPr>
        <w:t>-el recurrente amplíe su solicitud en el recurso de revisión, únicamente respecto de los nuevos contenidos</w:t>
      </w:r>
      <w:r w:rsidRPr="00521872">
        <w:rPr>
          <w:rFonts w:eastAsia="Calibri" w:cs="Tahoma"/>
          <w:color w:val="000000"/>
          <w:lang w:eastAsia="es-MX"/>
        </w:rPr>
        <w:t>-.</w:t>
      </w:r>
    </w:p>
    <w:p w:rsidRPr="008C3E33" w:rsidR="006A1A4E" w:rsidP="006A1A4E" w:rsidRDefault="006A1A4E" w14:paraId="09DAA7A4" w14:textId="77777777">
      <w:pPr>
        <w:spacing w:after="0" w:line="360" w:lineRule="auto"/>
        <w:rPr>
          <w:rFonts w:eastAsia="Times New Roman" w:cs="Tahoma"/>
          <w:b/>
          <w:bCs/>
          <w:color w:val="auto"/>
          <w:lang w:eastAsia="es-ES"/>
        </w:rPr>
      </w:pPr>
    </w:p>
    <w:p w:rsidR="00A41909" w:rsidP="006A1A4E" w:rsidRDefault="00A41909" w14:paraId="1096E374" w14:textId="77777777">
      <w:pPr>
        <w:autoSpaceDE w:val="0"/>
        <w:autoSpaceDN w:val="0"/>
        <w:adjustRightInd w:val="0"/>
        <w:spacing w:after="0" w:line="360" w:lineRule="auto"/>
        <w:rPr>
          <w:rFonts w:eastAsia="Calibri" w:cs="Tahoma"/>
          <w:b/>
          <w:color w:val="000000"/>
          <w:szCs w:val="24"/>
          <w:lang w:val="es-ES" w:eastAsia="es-MX"/>
        </w:rPr>
      </w:pPr>
      <w:r>
        <w:rPr>
          <w:rFonts w:eastAsia="Calibri" w:cs="Tahoma"/>
          <w:b/>
          <w:color w:val="000000"/>
          <w:szCs w:val="24"/>
          <w:lang w:val="es-ES" w:eastAsia="es-MX"/>
        </w:rPr>
        <w:t xml:space="preserve">TERCERO. Causales de sobreseimiento. </w:t>
      </w:r>
    </w:p>
    <w:p w:rsidRPr="00AA3BF2" w:rsidR="00A41909" w:rsidP="00AA3BF2" w:rsidRDefault="00A41909" w14:paraId="07A089D9" w14:textId="77777777">
      <w:pPr>
        <w:autoSpaceDE w:val="0"/>
        <w:autoSpaceDN w:val="0"/>
        <w:adjustRightInd w:val="0"/>
        <w:spacing w:after="0" w:line="360" w:lineRule="auto"/>
        <w:rPr>
          <w:rFonts w:eastAsia="Calibri" w:cs="Tahoma"/>
          <w:color w:val="000000"/>
          <w:lang w:eastAsia="es-MX"/>
        </w:rPr>
      </w:pPr>
    </w:p>
    <w:p w:rsidRPr="00AA3BF2" w:rsidR="00A41909" w:rsidP="00AA3BF2" w:rsidRDefault="00A41909" w14:paraId="34D4FFDB" w14:textId="77777777">
      <w:pPr>
        <w:autoSpaceDE w:val="0"/>
        <w:autoSpaceDN w:val="0"/>
        <w:adjustRightInd w:val="0"/>
        <w:spacing w:after="0" w:line="360" w:lineRule="auto"/>
        <w:rPr>
          <w:rFonts w:eastAsia="Calibri" w:cs="Tahoma"/>
          <w:color w:val="000000"/>
          <w:lang w:eastAsia="es-MX"/>
        </w:rPr>
      </w:pPr>
      <w:r w:rsidRPr="00AA3BF2">
        <w:rPr>
          <w:rFonts w:eastAsia="Calibri" w:cs="Tahoma"/>
          <w:color w:val="000000"/>
          <w:lang w:eastAsia="es-MX"/>
        </w:rPr>
        <w:t>Por ser de previo y especial pronunciamiento, este Instituto analiza si se actualiza alguna causal de sobreseimiento.</w:t>
      </w:r>
    </w:p>
    <w:p w:rsidRPr="00AA3BF2" w:rsidR="00A41909" w:rsidP="00AA3BF2" w:rsidRDefault="00A41909" w14:paraId="6A684CF9" w14:textId="77777777">
      <w:pPr>
        <w:autoSpaceDE w:val="0"/>
        <w:autoSpaceDN w:val="0"/>
        <w:adjustRightInd w:val="0"/>
        <w:spacing w:after="0" w:line="360" w:lineRule="auto"/>
        <w:rPr>
          <w:rFonts w:eastAsia="Calibri" w:cs="Tahoma"/>
          <w:color w:val="000000"/>
          <w:lang w:eastAsia="es-MX"/>
        </w:rPr>
      </w:pPr>
    </w:p>
    <w:p w:rsidRPr="00AA3BF2" w:rsidR="00AA3BF2" w:rsidP="00AA3BF2" w:rsidRDefault="00AA3BF2" w14:paraId="2B5F36A9" w14:textId="11CD6C43">
      <w:pPr>
        <w:autoSpaceDE w:val="0"/>
        <w:autoSpaceDN w:val="0"/>
        <w:adjustRightInd w:val="0"/>
        <w:spacing w:after="0" w:line="360" w:lineRule="auto"/>
        <w:rPr>
          <w:rFonts w:eastAsia="Calibri" w:cs="Tahoma"/>
          <w:color w:val="000000"/>
          <w:lang w:eastAsia="es-MX"/>
        </w:rPr>
      </w:pPr>
      <w:r w:rsidRPr="00AA3BF2">
        <w:rPr>
          <w:rFonts w:eastAsia="Calibri" w:cs="Tahoma"/>
          <w:color w:val="000000"/>
          <w:lang w:eastAsia="es-MX"/>
        </w:rPr>
        <w:t>El artículo 192, fracción IV, de la Ley Transparencia y Acceso a la Información Pública del Estado de México y Municipios, contempla que el recurso será sobreseído, en todo o en parte, cuando –admitido el recurso de revisión, aparezca alguna causal de improcedencia en los términos de la presente Ley-, que en el caso que nos ocupa, es lo relativo a la causal de procedencia contemplado en el artículo 191 de la Ley invocada, por dos aspectos, el primero, dudar de la veracidad de la información y el segundo, la ampliación de su solicitud, a través de los cuales, requirió nuevos contenidos.</w:t>
      </w:r>
    </w:p>
    <w:p w:rsidRPr="00AA3BF2" w:rsidR="003E0154" w:rsidP="00AA3BF2" w:rsidRDefault="003E0154" w14:paraId="6532845C" w14:textId="5E0CAA24">
      <w:pPr>
        <w:autoSpaceDE w:val="0"/>
        <w:autoSpaceDN w:val="0"/>
        <w:adjustRightInd w:val="0"/>
        <w:spacing w:after="0" w:line="360" w:lineRule="auto"/>
        <w:rPr>
          <w:rFonts w:eastAsia="Calibri" w:cs="Tahoma"/>
          <w:color w:val="000000"/>
          <w:lang w:eastAsia="es-MX"/>
        </w:rPr>
      </w:pPr>
    </w:p>
    <w:p w:rsidRPr="00AA3BF2" w:rsidR="00AA3BF2" w:rsidP="00AA3BF2" w:rsidRDefault="00AA3BF2" w14:paraId="1AC8BC5B" w14:textId="77777777">
      <w:pPr>
        <w:autoSpaceDE w:val="0"/>
        <w:autoSpaceDN w:val="0"/>
        <w:adjustRightInd w:val="0"/>
        <w:spacing w:after="0" w:line="360" w:lineRule="auto"/>
        <w:rPr>
          <w:rFonts w:eastAsia="Calibri" w:cs="Tahoma"/>
          <w:color w:val="000000"/>
          <w:lang w:eastAsia="es-MX"/>
        </w:rPr>
      </w:pPr>
      <w:r w:rsidRPr="00AA3BF2">
        <w:rPr>
          <w:rFonts w:eastAsia="Calibri" w:cs="Tahoma"/>
          <w:color w:val="000000"/>
          <w:lang w:eastAsia="es-MX"/>
        </w:rPr>
        <w:t xml:space="preserve">Es entonces que se identifica que el Particular no se inconformó de la información aportada, sino de la falta de entrega de los oficios que sirvan para acreditar la búsqueda exhaustiva y razonable, por lo que en primer aspecto es importante delimitar, que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Pr="00AA3BF2" w:rsidR="00AA3BF2" w:rsidP="00AA3BF2" w:rsidRDefault="00AA3BF2" w14:paraId="21EEB45F" w14:textId="77777777">
      <w:pPr>
        <w:autoSpaceDE w:val="0"/>
        <w:autoSpaceDN w:val="0"/>
        <w:adjustRightInd w:val="0"/>
        <w:spacing w:after="0" w:line="360" w:lineRule="auto"/>
        <w:rPr>
          <w:rFonts w:eastAsia="Calibri" w:cs="Tahoma"/>
          <w:color w:val="000000"/>
          <w:lang w:eastAsia="es-MX"/>
        </w:rPr>
      </w:pPr>
    </w:p>
    <w:p w:rsidRPr="00AA3BF2" w:rsidR="00AA3BF2" w:rsidP="00AA3BF2" w:rsidRDefault="00AA3BF2" w14:paraId="5D8A54A9" w14:textId="77777777">
      <w:pPr>
        <w:autoSpaceDE w:val="0"/>
        <w:autoSpaceDN w:val="0"/>
        <w:adjustRightInd w:val="0"/>
        <w:spacing w:after="0" w:line="360" w:lineRule="auto"/>
        <w:rPr>
          <w:rFonts w:eastAsia="Calibri" w:cs="Tahoma"/>
          <w:color w:val="000000"/>
          <w:lang w:eastAsia="es-MX"/>
        </w:rPr>
      </w:pPr>
      <w:r w:rsidRPr="00AA3BF2">
        <w:rPr>
          <w:rFonts w:eastAsia="Calibri" w:cs="Tahoma"/>
          <w:color w:val="000000"/>
          <w:lang w:eastAsia="es-MX"/>
        </w:rPr>
        <w:lastRenderedPageBreak/>
        <w:t>Resulta relevante traer a colación el Criterio 01/20, emitido por el Instituto Nacional de Transparencia, Acceso a la Información y Protección de Datos Personales, que establece lo siguiente:</w:t>
      </w:r>
    </w:p>
    <w:p w:rsidRPr="00AA3BF2" w:rsidR="00AA3BF2" w:rsidP="00AA3BF2" w:rsidRDefault="00AA3BF2" w14:paraId="1EDEC16C" w14:textId="77777777">
      <w:pPr>
        <w:autoSpaceDE w:val="0"/>
        <w:autoSpaceDN w:val="0"/>
        <w:adjustRightInd w:val="0"/>
        <w:spacing w:after="0" w:line="360" w:lineRule="auto"/>
        <w:rPr>
          <w:rFonts w:eastAsia="Calibri" w:cs="Tahoma"/>
          <w:color w:val="000000"/>
          <w:lang w:eastAsia="es-MX"/>
        </w:rPr>
      </w:pPr>
    </w:p>
    <w:p w:rsidRPr="00521872" w:rsidR="00AA3BF2" w:rsidP="00AA3BF2" w:rsidRDefault="00AA3BF2" w14:paraId="62AF0088" w14:textId="77777777">
      <w:pPr>
        <w:spacing w:line="360" w:lineRule="auto"/>
        <w:ind w:left="567" w:right="567"/>
        <w:rPr>
          <w:rFonts w:cs="Tahoma"/>
          <w:bCs/>
          <w:i/>
          <w:color w:val="000000"/>
        </w:rPr>
      </w:pPr>
      <w:r w:rsidRPr="00521872">
        <w:rPr>
          <w:rFonts w:cs="Tahoma"/>
          <w:b/>
          <w:bCs/>
          <w:i/>
          <w:color w:val="000000"/>
        </w:rPr>
        <w:t xml:space="preserve">“Actos consentidos tácitamente. Improcedencia de su análisis. </w:t>
      </w:r>
      <w:r w:rsidRPr="00521872">
        <w:rPr>
          <w:rFonts w:cs="Tahoma"/>
          <w:bCs/>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AA3BF2" w:rsidR="00AA3BF2" w:rsidP="00AA3BF2" w:rsidRDefault="00AA3BF2" w14:paraId="6EB4595D" w14:textId="77777777">
      <w:pPr>
        <w:autoSpaceDE w:val="0"/>
        <w:autoSpaceDN w:val="0"/>
        <w:adjustRightInd w:val="0"/>
        <w:spacing w:after="0" w:line="360" w:lineRule="auto"/>
        <w:rPr>
          <w:rFonts w:eastAsia="Calibri" w:cs="Tahoma"/>
          <w:color w:val="000000"/>
          <w:lang w:eastAsia="es-MX"/>
        </w:rPr>
      </w:pPr>
    </w:p>
    <w:p w:rsidR="00525E3E" w:rsidP="006A1A4E" w:rsidRDefault="00525E3E" w14:paraId="48960107" w14:textId="6E257C08">
      <w:pPr>
        <w:autoSpaceDE w:val="0"/>
        <w:autoSpaceDN w:val="0"/>
        <w:adjustRightInd w:val="0"/>
        <w:spacing w:after="0" w:line="360" w:lineRule="auto"/>
        <w:rPr>
          <w:rFonts w:cs="Tahoma"/>
        </w:rPr>
      </w:pPr>
      <w:r>
        <w:rPr>
          <w:rFonts w:cs="Tahoma"/>
        </w:rPr>
        <w:t xml:space="preserve">Sobre esta respuesta, el Particular se inconformó de que no le fueron entregado los oficios </w:t>
      </w:r>
      <w:r w:rsidR="0022443A">
        <w:rPr>
          <w:rFonts w:cs="Tahoma"/>
        </w:rPr>
        <w:t>turnados y por ello, atenta contra la veracidad de la respuesta, es decir, que la respuesta</w:t>
      </w:r>
      <w:r>
        <w:rPr>
          <w:rFonts w:cs="Tahoma"/>
        </w:rPr>
        <w:t xml:space="preserve"> </w:t>
      </w:r>
      <w:r w:rsidR="0022443A">
        <w:rPr>
          <w:rFonts w:cs="Tahoma"/>
        </w:rPr>
        <w:t>carece</w:t>
      </w:r>
      <w:r>
        <w:rPr>
          <w:rFonts w:cs="Tahoma"/>
        </w:rPr>
        <w:t xml:space="preserve"> de validez. </w:t>
      </w:r>
    </w:p>
    <w:p w:rsidR="00525E3E" w:rsidP="006A1A4E" w:rsidRDefault="00525E3E" w14:paraId="0270F1CC" w14:textId="41F8D608">
      <w:pPr>
        <w:autoSpaceDE w:val="0"/>
        <w:autoSpaceDN w:val="0"/>
        <w:adjustRightInd w:val="0"/>
        <w:spacing w:after="0" w:line="360" w:lineRule="auto"/>
        <w:rPr>
          <w:rFonts w:cs="Tahoma"/>
        </w:rPr>
      </w:pPr>
    </w:p>
    <w:p w:rsidR="00A95274" w:rsidP="006A1A4E" w:rsidRDefault="0022443A" w14:paraId="37B99F29" w14:textId="715E0103">
      <w:pPr>
        <w:autoSpaceDE w:val="0"/>
        <w:autoSpaceDN w:val="0"/>
        <w:adjustRightInd w:val="0"/>
        <w:spacing w:after="0" w:line="360" w:lineRule="auto"/>
        <w:rPr>
          <w:rFonts w:cs="Tahoma"/>
          <w:bCs/>
          <w:iCs/>
          <w:color w:val="000000"/>
        </w:rPr>
      </w:pPr>
      <w:r>
        <w:rPr>
          <w:rFonts w:eastAsia="Calibri" w:cs="Tahoma"/>
          <w:bCs/>
          <w:color w:val="000000"/>
          <w:szCs w:val="24"/>
          <w:lang w:eastAsia="es-MX"/>
        </w:rPr>
        <w:t>E</w:t>
      </w:r>
      <w:r w:rsidR="00A95274">
        <w:rPr>
          <w:rFonts w:eastAsia="Calibri" w:cs="Tahoma"/>
          <w:bCs/>
          <w:color w:val="000000"/>
          <w:szCs w:val="24"/>
          <w:lang w:eastAsia="es-MX"/>
        </w:rPr>
        <w:t xml:space="preserve">l Particular no se inconformó de la información aportada, sino de la falta de entrega de los oficios que sirvan para acreditar la búsqueda exhaustiva y razonable, por lo que en primer aspecto es importante delimitar, que </w:t>
      </w:r>
      <w:r w:rsidR="00A95274">
        <w:rPr>
          <w:rFonts w:cs="Tahoma"/>
          <w:bCs/>
          <w:iCs/>
          <w:color w:val="000000"/>
        </w:rPr>
        <w:t>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00A95274">
        <w:rPr>
          <w:rFonts w:cs="Tahoma"/>
          <w:b/>
          <w:bCs/>
          <w:iCs/>
          <w:color w:val="000000"/>
        </w:rPr>
        <w:t xml:space="preserve"> quedaron firmes. </w:t>
      </w:r>
    </w:p>
    <w:p w:rsidR="00A95274" w:rsidP="006A1A4E" w:rsidRDefault="00A95274" w14:paraId="671BC268" w14:textId="77777777">
      <w:pPr>
        <w:spacing w:after="0" w:line="360" w:lineRule="auto"/>
        <w:rPr>
          <w:rFonts w:cs="Tahoma"/>
          <w:bCs/>
          <w:iCs/>
          <w:color w:val="000000"/>
          <w:lang w:val="es-ES"/>
        </w:rPr>
      </w:pPr>
    </w:p>
    <w:p w:rsidR="00A95274" w:rsidP="006A1A4E" w:rsidRDefault="00A95274" w14:paraId="2EFDF9CE" w14:textId="7710F175">
      <w:pPr>
        <w:spacing w:after="0" w:line="360" w:lineRule="auto"/>
        <w:rPr>
          <w:rFonts w:cs="Tahoma"/>
          <w:bCs/>
          <w:iCs/>
          <w:color w:val="000000"/>
          <w:lang w:val="es-ES"/>
        </w:rPr>
      </w:pPr>
      <w:r>
        <w:rPr>
          <w:rFonts w:cs="Tahoma"/>
          <w:bCs/>
          <w:iCs/>
          <w:color w:val="000000"/>
          <w:lang w:val="es-ES"/>
        </w:rPr>
        <w:t>Resulta relevante traer a colación el Criterio 01/20, emitido por el Instituto Nacional de Transparencia, Acceso a la Información y Protección de Datos Personales, que establece lo siguiente:</w:t>
      </w:r>
    </w:p>
    <w:p w:rsidR="00A95274" w:rsidP="006A1A4E" w:rsidRDefault="00A95274" w14:paraId="60652E7F" w14:textId="77777777">
      <w:pPr>
        <w:spacing w:after="0" w:line="360" w:lineRule="auto"/>
        <w:rPr>
          <w:rFonts w:cs="Tahoma"/>
          <w:bCs/>
          <w:iCs/>
          <w:color w:val="000000"/>
          <w:sz w:val="20"/>
          <w:lang w:val="es-ES"/>
        </w:rPr>
      </w:pPr>
    </w:p>
    <w:p w:rsidR="00A95274" w:rsidP="006A1A4E" w:rsidRDefault="00A95274" w14:paraId="24B5B619" w14:textId="77777777">
      <w:pPr>
        <w:spacing w:after="0" w:line="360" w:lineRule="auto"/>
        <w:ind w:left="567" w:right="567"/>
        <w:rPr>
          <w:rFonts w:cs="Tahoma"/>
          <w:bCs/>
          <w:i/>
          <w:color w:val="000000"/>
          <w:sz w:val="20"/>
        </w:rPr>
      </w:pPr>
      <w:r>
        <w:rPr>
          <w:rFonts w:cs="Tahoma"/>
          <w:b/>
          <w:bCs/>
          <w:i/>
          <w:color w:val="000000"/>
          <w:sz w:val="20"/>
        </w:rPr>
        <w:t xml:space="preserve">“Actos consentidos tácitamente. Improcedencia de su análisis. </w:t>
      </w:r>
      <w:r>
        <w:rPr>
          <w:rFonts w:cs="Tahoma"/>
          <w:bCs/>
          <w:i/>
          <w:color w:val="000000"/>
          <w:sz w:val="20"/>
        </w:rPr>
        <w:t xml:space="preserve">Si en su recurso de revisión, la persona recurrente no expresó inconformidad alguna con ciertas partes de la respuesta otorgada, se </w:t>
      </w:r>
      <w:r>
        <w:rPr>
          <w:rFonts w:cs="Tahoma"/>
          <w:bCs/>
          <w:i/>
          <w:color w:val="000000"/>
          <w:sz w:val="20"/>
        </w:rPr>
        <w:lastRenderedPageBreak/>
        <w:t>entienden tácitamente consentidas, por ende, no deben formar parte del estudio de fondo de la resolución que emite el Instituto.”</w:t>
      </w:r>
    </w:p>
    <w:p w:rsidR="00A95274" w:rsidP="006A1A4E" w:rsidRDefault="00A95274" w14:paraId="6A17AF80" w14:textId="77777777">
      <w:pPr>
        <w:spacing w:after="0" w:line="360" w:lineRule="auto"/>
        <w:rPr>
          <w:rFonts w:cs="Tahoma"/>
          <w:bCs/>
          <w:iCs/>
          <w:color w:val="000000"/>
          <w:lang w:val="es-ES"/>
        </w:rPr>
      </w:pPr>
    </w:p>
    <w:p w:rsidR="007D7ACE" w:rsidP="0022443A" w:rsidRDefault="00A95274" w14:paraId="01632B36" w14:textId="06AEF340">
      <w:pPr>
        <w:spacing w:after="0" w:line="360" w:lineRule="auto"/>
        <w:rPr>
          <w:rFonts w:cs="Tahoma"/>
        </w:rPr>
      </w:pPr>
      <w:r>
        <w:rPr>
          <w:rFonts w:cs="Tahoma"/>
          <w:bCs/>
          <w:iCs/>
          <w:color w:val="000000"/>
          <w:lang w:val="es-ES"/>
        </w:rPr>
        <w:t>Es por ello, que al resultar improcedente entrar al análisis de las partes de la respuesta del Sujeto Obligado que no fueron impugnadas por el Recurrente, únicamente se debe analizar lo que refiere al turno realizado a las áreas señaladas por el Particular</w:t>
      </w:r>
      <w:r w:rsidR="0022443A">
        <w:rPr>
          <w:rFonts w:cs="Tahoma"/>
          <w:bCs/>
          <w:iCs/>
          <w:color w:val="000000"/>
          <w:lang w:val="es-ES"/>
        </w:rPr>
        <w:t>.</w:t>
      </w:r>
    </w:p>
    <w:p w:rsidR="007D7ACE" w:rsidP="006A1A4E" w:rsidRDefault="007D7ACE" w14:paraId="368A171B" w14:textId="6AA52B4A">
      <w:pPr>
        <w:autoSpaceDE w:val="0"/>
        <w:autoSpaceDN w:val="0"/>
        <w:adjustRightInd w:val="0"/>
        <w:spacing w:after="0" w:line="360" w:lineRule="auto"/>
        <w:rPr>
          <w:rFonts w:cs="Tahoma"/>
        </w:rPr>
      </w:pPr>
    </w:p>
    <w:p w:rsidR="007D7ACE" w:rsidP="006A1A4E" w:rsidRDefault="0022443A" w14:paraId="47C4FA5F" w14:textId="00AEAED0">
      <w:pPr>
        <w:spacing w:after="0" w:line="360" w:lineRule="auto"/>
        <w:rPr>
          <w:rFonts w:cs="Tahoma"/>
          <w:bCs/>
          <w:iCs/>
          <w:color w:val="000000"/>
        </w:rPr>
      </w:pPr>
      <w:r>
        <w:rPr>
          <w:rFonts w:cs="Tahoma"/>
          <w:bCs/>
          <w:iCs/>
          <w:color w:val="000000"/>
        </w:rPr>
        <w:t>En un primer aspecto</w:t>
      </w:r>
      <w:r w:rsidR="007D7ACE">
        <w:rPr>
          <w:rFonts w:cs="Tahoma"/>
          <w:bCs/>
          <w:iCs/>
          <w:color w:val="000000"/>
        </w:rPr>
        <w:t>, por lo que refiere al contenido de los documentos</w:t>
      </w:r>
      <w:r w:rsidR="000F2A05">
        <w:rPr>
          <w:rFonts w:cs="Tahoma"/>
          <w:bCs/>
          <w:iCs/>
          <w:color w:val="000000"/>
        </w:rPr>
        <w:t xml:space="preserve"> no es dable dudar de su veracidad,</w:t>
      </w:r>
      <w:r w:rsidR="007D7ACE">
        <w:rPr>
          <w:rFonts w:cs="Tahoma"/>
          <w:bCs/>
          <w:iCs/>
          <w:color w:val="000000"/>
        </w:rPr>
        <w:t xml:space="preserve"> para lo que sirve traer el criterio 31/10 del </w:t>
      </w:r>
      <w:r w:rsidRPr="002F68EB" w:rsidR="007D7ACE">
        <w:rPr>
          <w:rFonts w:cs="Tahoma"/>
          <w:bCs/>
          <w:iCs/>
          <w:color w:val="000000"/>
        </w:rPr>
        <w:t>Instituto Federal de Acceso a la Información y Protección de Datos</w:t>
      </w:r>
      <w:r w:rsidR="007D7ACE">
        <w:rPr>
          <w:rFonts w:cs="Tahoma"/>
          <w:bCs/>
          <w:iCs/>
          <w:color w:val="000000"/>
        </w:rPr>
        <w:t xml:space="preserve"> (IFAI), actualmente Instituto Nacional de Transparencia, Acceso a la Información Pública y Protección de Datos Personales del Estado de México y Municipios (INAI), cuyo rubro y texto establecen:</w:t>
      </w:r>
    </w:p>
    <w:p w:rsidR="007D7ACE" w:rsidP="006A1A4E" w:rsidRDefault="007D7ACE" w14:paraId="6AC5E50D" w14:textId="77777777">
      <w:pPr>
        <w:spacing w:after="0" w:line="360" w:lineRule="auto"/>
        <w:rPr>
          <w:rFonts w:cs="Tahoma"/>
          <w:bCs/>
          <w:iCs/>
          <w:color w:val="000000"/>
        </w:rPr>
      </w:pPr>
    </w:p>
    <w:p w:rsidRPr="002F68EB" w:rsidR="007D7ACE" w:rsidP="006A1A4E" w:rsidRDefault="007D7ACE" w14:paraId="44F11C0F" w14:textId="77777777">
      <w:pPr>
        <w:spacing w:after="0" w:line="360" w:lineRule="auto"/>
        <w:ind w:left="567" w:right="616"/>
        <w:rPr>
          <w:rFonts w:cs="Tahoma"/>
          <w:bCs/>
          <w:i/>
          <w:color w:val="000000"/>
          <w:sz w:val="20"/>
          <w:szCs w:val="20"/>
          <w:lang w:val="es-ES"/>
        </w:rPr>
      </w:pPr>
      <w:r w:rsidRPr="002F68EB">
        <w:rPr>
          <w:rFonts w:cs="Tahoma"/>
          <w:b/>
          <w:i/>
          <w:color w:val="000000"/>
          <w:sz w:val="20"/>
          <w:szCs w:val="20"/>
          <w:lang w:val="es-ES"/>
        </w:rPr>
        <w:t>El Instituto Federal de Acceso a la Información y Protección de Datos no cuenta con facultades para pronunciarse respecto de la veracidad de los documentos proporcionados por los sujetos obligados.</w:t>
      </w:r>
      <w:r w:rsidRPr="002F68EB">
        <w:rPr>
          <w:rFonts w:cs="Tahoma"/>
          <w:bCs/>
          <w:i/>
          <w:color w:val="000000"/>
          <w:sz w:val="20"/>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D7ACE" w:rsidP="006A1A4E" w:rsidRDefault="007D7ACE" w14:paraId="70CE3A7F" w14:textId="48751F74">
      <w:pPr>
        <w:spacing w:after="0" w:line="360" w:lineRule="auto"/>
        <w:rPr>
          <w:rFonts w:cs="Tahoma"/>
          <w:bCs/>
          <w:iCs/>
          <w:color w:val="000000"/>
        </w:rPr>
      </w:pPr>
    </w:p>
    <w:p w:rsidR="0022443A" w:rsidP="006A1A4E" w:rsidRDefault="0022443A" w14:paraId="50448054" w14:textId="0235D644">
      <w:pPr>
        <w:spacing w:after="0" w:line="360" w:lineRule="auto"/>
        <w:rPr>
          <w:rFonts w:cs="Tahoma"/>
          <w:bCs/>
          <w:iCs/>
          <w:color w:val="000000"/>
        </w:rPr>
      </w:pPr>
      <w:r>
        <w:rPr>
          <w:rFonts w:cs="Tahoma"/>
          <w:bCs/>
          <w:iCs/>
          <w:color w:val="000000"/>
        </w:rPr>
        <w:t xml:space="preserve">Es entonces que por cuanto refiere dudar de la veracidad, la Ley de Transparencia vigente en la entidad, lo contempla como una causal de improcedencia de conformidad a su artículo 191, </w:t>
      </w:r>
      <w:r>
        <w:rPr>
          <w:rFonts w:cs="Tahoma"/>
          <w:bCs/>
          <w:iCs/>
          <w:color w:val="000000"/>
        </w:rPr>
        <w:lastRenderedPageBreak/>
        <w:t>fracción</w:t>
      </w:r>
      <w:r w:rsidR="00D96805">
        <w:rPr>
          <w:rFonts w:cs="Tahoma"/>
          <w:bCs/>
          <w:iCs/>
          <w:color w:val="000000"/>
        </w:rPr>
        <w:t xml:space="preserve"> V, que contempla que </w:t>
      </w:r>
      <w:r w:rsidRPr="00D96805" w:rsidR="00D96805">
        <w:rPr>
          <w:rFonts w:cs="Tahoma"/>
          <w:bCs/>
          <w:iCs/>
          <w:color w:val="000000"/>
        </w:rPr>
        <w:t xml:space="preserve">recurso será desechado por improcedente cuando </w:t>
      </w:r>
      <w:r w:rsidR="00D96805">
        <w:rPr>
          <w:rFonts w:cs="Tahoma"/>
          <w:bCs/>
          <w:iCs/>
          <w:color w:val="000000"/>
        </w:rPr>
        <w:t>s</w:t>
      </w:r>
      <w:r w:rsidRPr="00D96805" w:rsidR="00D96805">
        <w:rPr>
          <w:rFonts w:cs="Tahoma"/>
          <w:bCs/>
          <w:iCs/>
          <w:color w:val="000000"/>
        </w:rPr>
        <w:t>e impugne la veracidad de la información proporcionada</w:t>
      </w:r>
      <w:r w:rsidR="00D96805">
        <w:rPr>
          <w:rFonts w:cs="Tahoma"/>
          <w:bCs/>
          <w:iCs/>
          <w:color w:val="000000"/>
        </w:rPr>
        <w:t>.</w:t>
      </w:r>
    </w:p>
    <w:p w:rsidR="0022443A" w:rsidP="006A1A4E" w:rsidRDefault="0022443A" w14:paraId="544BCD31" w14:textId="77777777">
      <w:pPr>
        <w:spacing w:after="0" w:line="360" w:lineRule="auto"/>
        <w:rPr>
          <w:rFonts w:cs="Tahoma"/>
          <w:bCs/>
          <w:iCs/>
          <w:color w:val="000000"/>
        </w:rPr>
      </w:pPr>
    </w:p>
    <w:p w:rsidRPr="00521872" w:rsidR="00E22ED4" w:rsidP="00E22ED4" w:rsidRDefault="00E22ED4" w14:paraId="4BED90AE" w14:textId="2FD8FC9A">
      <w:pPr>
        <w:spacing w:after="0" w:line="360" w:lineRule="auto"/>
        <w:rPr>
          <w:rFonts w:cs="Tahoma"/>
        </w:rPr>
      </w:pPr>
      <w:r>
        <w:rPr>
          <w:rFonts w:cs="Tahoma"/>
          <w:bCs/>
          <w:iCs/>
          <w:color w:val="000000"/>
        </w:rPr>
        <w:t>En otro orden de ideas, el Particular se inconformó de que no le fueron entregados los oficios que sirvieron para turnar la solicitud al interior del Sujeto Obligado, lo que no formó parte de su solicitud primigenia,</w:t>
      </w:r>
      <w:r w:rsidRPr="00521872">
        <w:rPr>
          <w:rFonts w:cs="Tahoma"/>
        </w:rPr>
        <w:t xml:space="preserve"> por lo que la Ley contempla el sobreseimiento del asunto, ante la interposición del recurso de revisión cuando este implique un </w:t>
      </w:r>
      <w:r w:rsidRPr="00521872">
        <w:rPr>
          <w:rFonts w:cs="Tahoma"/>
          <w:i/>
          <w:iCs/>
        </w:rPr>
        <w:t>plus petito</w:t>
      </w:r>
      <w:r w:rsidRPr="00521872">
        <w:rPr>
          <w:rFonts w:cs="Tahoma"/>
        </w:rPr>
        <w:t xml:space="preserve"> o ampliación a la solicitud primigenia, para lo que también se invoca el criterio histórico 27/10 del ahora Instituto Nacional de Transparencia, Acceso a la Información Pública y Protección de Datos Personales (INAI), que lleva por rubro y texto:</w:t>
      </w:r>
    </w:p>
    <w:p w:rsidRPr="00521872" w:rsidR="00E22ED4" w:rsidP="00E22ED4" w:rsidRDefault="00E22ED4" w14:paraId="73D4522D" w14:textId="77777777">
      <w:pPr>
        <w:autoSpaceDE w:val="0"/>
        <w:autoSpaceDN w:val="0"/>
        <w:adjustRightInd w:val="0"/>
        <w:spacing w:line="360" w:lineRule="auto"/>
        <w:rPr>
          <w:rFonts w:cs="Tahoma"/>
        </w:rPr>
      </w:pPr>
    </w:p>
    <w:p w:rsidRPr="00521872" w:rsidR="00E22ED4" w:rsidP="00E22ED4" w:rsidRDefault="00E22ED4" w14:paraId="336188ED" w14:textId="77777777">
      <w:pPr>
        <w:tabs>
          <w:tab w:val="left" w:pos="4667"/>
        </w:tabs>
        <w:spacing w:line="360" w:lineRule="auto"/>
        <w:ind w:left="567" w:right="567"/>
        <w:rPr>
          <w:rFonts w:cs="Tahoma"/>
          <w:bCs/>
          <w:i/>
        </w:rPr>
      </w:pPr>
      <w:r w:rsidRPr="00521872">
        <w:rPr>
          <w:rFonts w:cs="Tahoma"/>
          <w:b/>
          <w:i/>
        </w:rPr>
        <w:t>Es improcedente ampliar las solicitudes de acceso a información pública o datos personales, a través de la interposición del recurso de revisión</w:t>
      </w:r>
      <w:r w:rsidRPr="00521872">
        <w:rPr>
          <w:rFonts w:cs="Tahoma"/>
          <w:bCs/>
          <w:i/>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Pr="00E22ED4" w:rsidR="00E22ED4" w:rsidP="00E22ED4" w:rsidRDefault="00E22ED4" w14:paraId="3FCEBA40" w14:textId="77777777">
      <w:pPr>
        <w:spacing w:after="0" w:line="360" w:lineRule="auto"/>
        <w:rPr>
          <w:rFonts w:cs="Tahoma"/>
          <w:bCs/>
          <w:iCs/>
          <w:color w:val="000000"/>
        </w:rPr>
      </w:pPr>
    </w:p>
    <w:p w:rsidR="00E22ED4" w:rsidP="00E22ED4" w:rsidRDefault="00E22ED4" w14:paraId="78CBEE08" w14:textId="5340CB89">
      <w:pPr>
        <w:spacing w:after="0" w:line="360" w:lineRule="auto"/>
        <w:rPr>
          <w:rFonts w:cs="Tahoma"/>
          <w:bCs/>
          <w:iCs/>
          <w:color w:val="000000"/>
        </w:rPr>
      </w:pPr>
      <w:r w:rsidRPr="00E22ED4">
        <w:rPr>
          <w:rFonts w:cs="Tahoma"/>
          <w:bCs/>
          <w:iCs/>
          <w:color w:val="000000"/>
        </w:rPr>
        <w:t>Es por ello</w:t>
      </w:r>
      <w:r w:rsidR="007A7D09">
        <w:rPr>
          <w:rFonts w:cs="Tahoma"/>
          <w:bCs/>
          <w:iCs/>
          <w:color w:val="000000"/>
        </w:rPr>
        <w:t>,</w:t>
      </w:r>
      <w:r w:rsidRPr="00E22ED4">
        <w:rPr>
          <w:rFonts w:cs="Tahoma"/>
          <w:bCs/>
          <w:iCs/>
          <w:color w:val="000000"/>
        </w:rPr>
        <w:t xml:space="preserve"> que</w:t>
      </w:r>
      <w:r w:rsidR="007A7D09">
        <w:rPr>
          <w:rFonts w:cs="Tahoma"/>
          <w:bCs/>
          <w:iCs/>
          <w:color w:val="000000"/>
        </w:rPr>
        <w:t>,</w:t>
      </w:r>
      <w:r w:rsidRPr="00E22ED4">
        <w:rPr>
          <w:rFonts w:cs="Tahoma"/>
          <w:bCs/>
          <w:iCs/>
          <w:color w:val="000000"/>
        </w:rPr>
        <w:t xml:space="preserve"> ambos de los motivos de inconformidad se consideran como improcedente, y por ello se dejan a salvo los derechos del Particular para interponer o realizar una nueva solicitud y en este acto, se les informa a las partes, que el sobreseimiento, no permite entrar al estudio del fondo del asunto a este Organismo Garante.</w:t>
      </w:r>
    </w:p>
    <w:p w:rsidRPr="00E22ED4" w:rsidR="00E22ED4" w:rsidP="00E22ED4" w:rsidRDefault="00E22ED4" w14:paraId="5D069C5F" w14:textId="77777777">
      <w:pPr>
        <w:spacing w:after="0" w:line="360" w:lineRule="auto"/>
        <w:rPr>
          <w:rFonts w:cs="Tahoma"/>
          <w:bCs/>
          <w:iCs/>
          <w:color w:val="000000"/>
        </w:rPr>
      </w:pPr>
    </w:p>
    <w:p w:rsidRPr="007A7D09" w:rsidR="007A7D09" w:rsidP="007A7D09" w:rsidRDefault="003E0C35" w14:paraId="0BDF709F" w14:textId="68F8F8FA">
      <w:pPr>
        <w:spacing w:after="0" w:line="360" w:lineRule="auto"/>
        <w:rPr>
          <w:rFonts w:cs="Tahoma"/>
          <w:bCs/>
          <w:iCs/>
          <w:color w:val="000000"/>
        </w:rPr>
      </w:pPr>
      <w:r w:rsidRPr="00E22ED4">
        <w:rPr>
          <w:rFonts w:cs="Tahoma"/>
          <w:bCs/>
          <w:iCs/>
          <w:color w:val="000000"/>
        </w:rPr>
        <w:t>Por lo expuesto, se SOBRESEE el presente asunto, e</w:t>
      </w:r>
      <w:r w:rsidRPr="00E22ED4" w:rsidR="00750933">
        <w:rPr>
          <w:rFonts w:cs="Tahoma"/>
          <w:bCs/>
          <w:iCs/>
          <w:color w:val="000000"/>
        </w:rPr>
        <w:t xml:space="preserve">n términos </w:t>
      </w:r>
      <w:r w:rsidR="00E22ED4">
        <w:rPr>
          <w:rFonts w:cs="Tahoma"/>
          <w:bCs/>
          <w:iCs/>
          <w:color w:val="000000"/>
        </w:rPr>
        <w:t>de los</w:t>
      </w:r>
      <w:r w:rsidRPr="00E22ED4">
        <w:rPr>
          <w:rFonts w:cs="Tahoma"/>
          <w:bCs/>
          <w:iCs/>
          <w:color w:val="000000"/>
        </w:rPr>
        <w:t xml:space="preserve"> </w:t>
      </w:r>
      <w:r w:rsidRPr="00E22ED4" w:rsidR="00750933">
        <w:rPr>
          <w:rFonts w:cs="Tahoma"/>
          <w:bCs/>
          <w:iCs/>
          <w:color w:val="000000"/>
        </w:rPr>
        <w:t xml:space="preserve">artículo 192, fracción </w:t>
      </w:r>
      <w:r w:rsidR="00E22ED4">
        <w:rPr>
          <w:rFonts w:cs="Tahoma"/>
          <w:bCs/>
          <w:iCs/>
          <w:color w:val="000000"/>
        </w:rPr>
        <w:t xml:space="preserve">IV con relación al 191, fracciones V y VII </w:t>
      </w:r>
      <w:r w:rsidRPr="00E22ED4">
        <w:rPr>
          <w:rFonts w:cs="Tahoma"/>
          <w:bCs/>
          <w:iCs/>
          <w:color w:val="000000"/>
        </w:rPr>
        <w:t>de</w:t>
      </w:r>
      <w:r w:rsidRPr="00E22ED4" w:rsidR="00750933">
        <w:rPr>
          <w:rFonts w:cs="Tahoma"/>
          <w:bCs/>
          <w:iCs/>
          <w:color w:val="000000"/>
        </w:rPr>
        <w:t xml:space="preserve"> la Ley de Transparencia y Acceso a la Información Pública del Estado de México y Municipios</w:t>
      </w:r>
      <w:r w:rsidRPr="00E22ED4">
        <w:rPr>
          <w:rFonts w:cs="Tahoma"/>
          <w:bCs/>
          <w:iCs/>
          <w:color w:val="000000"/>
        </w:rPr>
        <w:t xml:space="preserve">, que establece que </w:t>
      </w:r>
      <w:r w:rsidRPr="00E22ED4" w:rsidR="00750933">
        <w:rPr>
          <w:rFonts w:cs="Tahoma"/>
          <w:bCs/>
          <w:iCs/>
          <w:color w:val="000000"/>
        </w:rPr>
        <w:t>el recurso es sobreseído</w:t>
      </w:r>
      <w:r w:rsidRPr="003E0C35" w:rsidR="00750933">
        <w:rPr>
          <w:rFonts w:cs="Tahoma"/>
          <w:lang w:val="es-ES"/>
        </w:rPr>
        <w:t xml:space="preserve"> toda vez </w:t>
      </w:r>
      <w:r w:rsidRPr="003E0C35" w:rsidR="00750933">
        <w:rPr>
          <w:rFonts w:cs="Tahoma"/>
          <w:lang w:val="es-ES"/>
        </w:rPr>
        <w:lastRenderedPageBreak/>
        <w:t>que una vez admitido</w:t>
      </w:r>
      <w:r w:rsidRPr="003E0C35">
        <w:rPr>
          <w:rFonts w:cs="Tahoma"/>
          <w:lang w:val="es-ES"/>
        </w:rPr>
        <w:t xml:space="preserve"> </w:t>
      </w:r>
      <w:r w:rsidRPr="003E0C35">
        <w:rPr>
          <w:rFonts w:cs="Tahoma"/>
          <w:b/>
          <w:bCs/>
          <w:lang w:val="es-ES"/>
        </w:rPr>
        <w:t>-</w:t>
      </w:r>
      <w:r w:rsidRPr="00E22ED4" w:rsidR="00E22ED4">
        <w:rPr>
          <w:rFonts w:cs="Tahoma"/>
          <w:b/>
          <w:iCs/>
          <w:color w:val="000000"/>
        </w:rPr>
        <w:t>aparezca alguna causal de improcedencia</w:t>
      </w:r>
      <w:r w:rsidRPr="00E22ED4" w:rsidR="006E3E2F">
        <w:rPr>
          <w:rFonts w:cs="Tahoma"/>
          <w:bCs/>
          <w:iCs/>
          <w:color w:val="000000"/>
        </w:rPr>
        <w:t>-</w:t>
      </w:r>
      <w:r w:rsidR="00E22ED4">
        <w:rPr>
          <w:rFonts w:cs="Tahoma"/>
          <w:bCs/>
          <w:iCs/>
          <w:color w:val="000000"/>
        </w:rPr>
        <w:t xml:space="preserve"> y en ese sentido, acontecieron las que contemplan que </w:t>
      </w:r>
      <w:r w:rsidR="007A7D09">
        <w:rPr>
          <w:rFonts w:cs="Tahoma"/>
          <w:bCs/>
          <w:iCs/>
          <w:color w:val="000000"/>
        </w:rPr>
        <w:t>e</w:t>
      </w:r>
      <w:r w:rsidRPr="007A7D09" w:rsidR="007A7D09">
        <w:rPr>
          <w:rFonts w:cs="Tahoma"/>
          <w:bCs/>
          <w:iCs/>
          <w:color w:val="000000"/>
        </w:rPr>
        <w:t>l recurso será desechado por improcedente cuando</w:t>
      </w:r>
      <w:r w:rsidR="007A7D09">
        <w:rPr>
          <w:rFonts w:cs="Tahoma"/>
          <w:bCs/>
          <w:iCs/>
          <w:color w:val="000000"/>
        </w:rPr>
        <w:t xml:space="preserve"> </w:t>
      </w:r>
      <w:r w:rsidRPr="007A7D09" w:rsidR="007A7D09">
        <w:rPr>
          <w:rFonts w:cs="Tahoma"/>
          <w:b/>
          <w:iCs/>
          <w:color w:val="000000"/>
        </w:rPr>
        <w:t>-se impugne la veracidad de la información proporcionada-</w:t>
      </w:r>
      <w:r w:rsidRPr="007A7D09" w:rsidR="007A7D09">
        <w:rPr>
          <w:rFonts w:cs="Tahoma"/>
          <w:bCs/>
          <w:iCs/>
          <w:color w:val="000000"/>
        </w:rPr>
        <w:t xml:space="preserve"> y </w:t>
      </w:r>
      <w:r w:rsidRPr="007A7D09" w:rsidR="007A7D09">
        <w:rPr>
          <w:rFonts w:cs="Tahoma"/>
          <w:b/>
          <w:iCs/>
          <w:color w:val="000000"/>
        </w:rPr>
        <w:t>–el recurrente amplíe su solicitud en el recurso de revisión-</w:t>
      </w:r>
      <w:r w:rsidRPr="007A7D09" w:rsidR="007A7D09">
        <w:rPr>
          <w:rFonts w:cs="Tahoma"/>
          <w:bCs/>
          <w:iCs/>
          <w:color w:val="000000"/>
        </w:rPr>
        <w:t>.</w:t>
      </w:r>
    </w:p>
    <w:p w:rsidR="006E3E2F" w:rsidP="006A1A4E" w:rsidRDefault="006E3E2F" w14:paraId="7211FDC5" w14:textId="77777777">
      <w:pPr>
        <w:autoSpaceDE w:val="0"/>
        <w:autoSpaceDN w:val="0"/>
        <w:adjustRightInd w:val="0"/>
        <w:spacing w:after="0" w:line="360" w:lineRule="auto"/>
        <w:rPr>
          <w:rFonts w:cs="Tahoma"/>
          <w:b/>
          <w:lang w:val="es-ES"/>
        </w:rPr>
      </w:pPr>
    </w:p>
    <w:p w:rsidRPr="002853E3" w:rsidR="00750933" w:rsidP="006A1A4E" w:rsidRDefault="00750933" w14:paraId="3935F679" w14:textId="4493B84B">
      <w:pPr>
        <w:autoSpaceDE w:val="0"/>
        <w:autoSpaceDN w:val="0"/>
        <w:adjustRightInd w:val="0"/>
        <w:spacing w:after="0" w:line="360" w:lineRule="auto"/>
        <w:rPr>
          <w:rFonts w:cs="Tahoma"/>
          <w:b/>
          <w:lang w:val="es-ES"/>
        </w:rPr>
      </w:pPr>
      <w:r w:rsidRPr="002853E3">
        <w:rPr>
          <w:rFonts w:cs="Tahoma"/>
          <w:b/>
          <w:lang w:val="es-ES"/>
        </w:rPr>
        <w:t xml:space="preserve">CUARTO. Decisión. </w:t>
      </w:r>
    </w:p>
    <w:p w:rsidRPr="002853E3" w:rsidR="00750933" w:rsidP="006A1A4E" w:rsidRDefault="00750933" w14:paraId="663D6509" w14:textId="77777777">
      <w:pPr>
        <w:autoSpaceDE w:val="0"/>
        <w:autoSpaceDN w:val="0"/>
        <w:adjustRightInd w:val="0"/>
        <w:spacing w:after="0" w:line="360" w:lineRule="auto"/>
        <w:rPr>
          <w:rFonts w:cs="Tahoma"/>
          <w:b/>
          <w:lang w:val="es-ES"/>
        </w:rPr>
      </w:pPr>
    </w:p>
    <w:p w:rsidRPr="002853E3" w:rsidR="00750933" w:rsidP="006A1A4E" w:rsidRDefault="00750933" w14:paraId="5C59E562" w14:textId="573F9DE5">
      <w:pPr>
        <w:autoSpaceDE w:val="0"/>
        <w:autoSpaceDN w:val="0"/>
        <w:adjustRightInd w:val="0"/>
        <w:spacing w:after="0" w:line="360" w:lineRule="auto"/>
        <w:rPr>
          <w:rFonts w:cs="Tahoma"/>
          <w:bCs/>
          <w:lang w:val="es-ES"/>
        </w:rPr>
      </w:pPr>
      <w:r w:rsidRPr="002853E3">
        <w:rPr>
          <w:rFonts w:cs="Tahoma"/>
          <w:bCs/>
          <w:lang w:val="es-ES"/>
        </w:rPr>
        <w:t>Con fundamento en lo dispuesto en el artículo 186, fracción I</w:t>
      </w:r>
      <w:r>
        <w:rPr>
          <w:rFonts w:cs="Tahoma"/>
          <w:bCs/>
          <w:lang w:val="es-ES"/>
        </w:rPr>
        <w:t>,</w:t>
      </w:r>
      <w:r w:rsidRPr="002853E3">
        <w:rPr>
          <w:rFonts w:cs="Tahoma"/>
          <w:bCs/>
          <w:lang w:val="es-ES"/>
        </w:rPr>
        <w:t xml:space="preserve"> de la Ley de Transparencia y Acceso a la Información Pública del Estado de México y Municipios, se considera procedente </w:t>
      </w:r>
      <w:r w:rsidRPr="002853E3">
        <w:rPr>
          <w:rFonts w:cs="Tahoma"/>
          <w:b/>
          <w:lang w:val="es-ES"/>
        </w:rPr>
        <w:t>SOBRESEER</w:t>
      </w:r>
      <w:r w:rsidRPr="002853E3">
        <w:rPr>
          <w:rFonts w:cs="Tahoma"/>
          <w:bCs/>
          <w:lang w:val="es-ES"/>
        </w:rPr>
        <w:t xml:space="preserve"> </w:t>
      </w:r>
      <w:r>
        <w:rPr>
          <w:rFonts w:cs="Tahoma"/>
          <w:bCs/>
          <w:lang w:val="es-ES"/>
        </w:rPr>
        <w:t>el Recurso de Revisión</w:t>
      </w:r>
      <w:r w:rsidRPr="002853E3">
        <w:rPr>
          <w:rFonts w:cs="Tahoma"/>
          <w:bCs/>
          <w:lang w:val="es-ES"/>
        </w:rPr>
        <w:t xml:space="preserve">, en virtud de que se actualiza la hipótesis normativa prevista en la fracción </w:t>
      </w:r>
      <w:r w:rsidR="007A7D09">
        <w:rPr>
          <w:rFonts w:cs="Tahoma"/>
          <w:bCs/>
          <w:lang w:val="es-ES"/>
        </w:rPr>
        <w:t>IV</w:t>
      </w:r>
      <w:r w:rsidRPr="002853E3">
        <w:rPr>
          <w:rFonts w:cs="Tahoma"/>
          <w:bCs/>
          <w:lang w:val="es-ES"/>
        </w:rPr>
        <w:t>, del artículo 192</w:t>
      </w:r>
      <w:r w:rsidR="003E0C35">
        <w:rPr>
          <w:rFonts w:cs="Tahoma"/>
          <w:bCs/>
          <w:lang w:val="es-ES"/>
        </w:rPr>
        <w:t xml:space="preserve"> </w:t>
      </w:r>
      <w:r w:rsidRPr="002853E3">
        <w:rPr>
          <w:rFonts w:cs="Tahoma"/>
          <w:bCs/>
          <w:lang w:val="es-ES"/>
        </w:rPr>
        <w:t>del citado ordenamiento legal</w:t>
      </w:r>
      <w:r w:rsidR="007A7D09">
        <w:rPr>
          <w:rFonts w:cs="Tahoma"/>
          <w:bCs/>
          <w:lang w:val="es-ES"/>
        </w:rPr>
        <w:t>, en relación con las causales de improcedencia, del artículo 191, fracciones V y VII de la Ley en cita</w:t>
      </w:r>
      <w:r w:rsidRPr="002853E3">
        <w:rPr>
          <w:rFonts w:cs="Tahoma"/>
          <w:bCs/>
          <w:lang w:val="es-ES"/>
        </w:rPr>
        <w:t>.</w:t>
      </w:r>
    </w:p>
    <w:p w:rsidR="00750933" w:rsidP="006A1A4E" w:rsidRDefault="00750933" w14:paraId="7FC1B5A4" w14:textId="77777777">
      <w:pPr>
        <w:autoSpaceDE w:val="0"/>
        <w:autoSpaceDN w:val="0"/>
        <w:adjustRightInd w:val="0"/>
        <w:spacing w:after="0" w:line="360" w:lineRule="auto"/>
        <w:rPr>
          <w:rFonts w:cs="Tahoma"/>
          <w:b/>
          <w:lang w:val="es-ES"/>
        </w:rPr>
      </w:pPr>
    </w:p>
    <w:p w:rsidRPr="00BF7A48" w:rsidR="00750933" w:rsidP="006A1A4E" w:rsidRDefault="00750933" w14:paraId="45625B00" w14:textId="77777777">
      <w:pPr>
        <w:autoSpaceDE w:val="0"/>
        <w:autoSpaceDN w:val="0"/>
        <w:adjustRightInd w:val="0"/>
        <w:spacing w:after="0" w:line="360" w:lineRule="auto"/>
        <w:rPr>
          <w:rFonts w:cs="Tahoma"/>
          <w:b/>
          <w:iCs/>
        </w:rPr>
      </w:pPr>
      <w:r w:rsidRPr="00BF7A48">
        <w:rPr>
          <w:rFonts w:cs="Tahoma"/>
          <w:b/>
          <w:iCs/>
        </w:rPr>
        <w:t>Términos de la Resolución para conocimiento del Particular.</w:t>
      </w:r>
    </w:p>
    <w:p w:rsidRPr="00BF7A48" w:rsidR="00750933" w:rsidP="006A1A4E" w:rsidRDefault="00750933" w14:paraId="6949E3BE" w14:textId="77777777">
      <w:pPr>
        <w:autoSpaceDE w:val="0"/>
        <w:autoSpaceDN w:val="0"/>
        <w:adjustRightInd w:val="0"/>
        <w:spacing w:after="0" w:line="360" w:lineRule="auto"/>
        <w:rPr>
          <w:rFonts w:cs="Tahoma"/>
          <w:b/>
          <w:bCs/>
          <w:iCs/>
        </w:rPr>
      </w:pPr>
    </w:p>
    <w:p w:rsidRPr="00521872" w:rsidR="007A7D09" w:rsidP="007A7D09" w:rsidRDefault="007A7D09" w14:paraId="3CAE28BD" w14:textId="566796BF">
      <w:pPr>
        <w:autoSpaceDE w:val="0"/>
        <w:autoSpaceDN w:val="0"/>
        <w:adjustRightInd w:val="0"/>
        <w:spacing w:line="360" w:lineRule="auto"/>
        <w:rPr>
          <w:rFonts w:cs="Tahoma"/>
          <w:iCs/>
        </w:rPr>
      </w:pPr>
      <w:r w:rsidRPr="00521872">
        <w:rPr>
          <w:rFonts w:cs="Tahoma"/>
          <w:iCs/>
        </w:rPr>
        <w:t>Se le hace del conocimiento al Particular que los motivos de inconformidad planteados son elementos novedosos a la solicitud, los que no fueron planteados en una primera etapa</w:t>
      </w:r>
      <w:r>
        <w:rPr>
          <w:rFonts w:cs="Tahoma"/>
          <w:iCs/>
        </w:rPr>
        <w:t>, así como el argumento de que la información carece de veracidad</w:t>
      </w:r>
      <w:r w:rsidRPr="00521872">
        <w:rPr>
          <w:rFonts w:cs="Tahoma"/>
          <w:iCs/>
        </w:rPr>
        <w:t>, por lo que no es dable entrar al estudio del asunto y por ello, tampoco la entrega de información.</w:t>
      </w:r>
    </w:p>
    <w:p w:rsidRPr="007A7D09" w:rsidR="00563E14" w:rsidP="006A1A4E" w:rsidRDefault="00563E14" w14:paraId="0AD6FAF0" w14:textId="77777777">
      <w:pPr>
        <w:autoSpaceDE w:val="0"/>
        <w:autoSpaceDN w:val="0"/>
        <w:adjustRightInd w:val="0"/>
        <w:spacing w:after="0" w:line="360" w:lineRule="auto"/>
        <w:rPr>
          <w:rFonts w:cs="Tahoma"/>
          <w:iCs/>
          <w:u w:val="single"/>
        </w:rPr>
      </w:pPr>
    </w:p>
    <w:p w:rsidRPr="006C7D68" w:rsidR="00750933" w:rsidP="006A1A4E" w:rsidRDefault="00750933" w14:paraId="3F767203" w14:textId="005653BC">
      <w:pPr>
        <w:autoSpaceDE w:val="0"/>
        <w:autoSpaceDN w:val="0"/>
        <w:adjustRightInd w:val="0"/>
        <w:spacing w:after="0" w:line="360" w:lineRule="auto"/>
        <w:rPr>
          <w:rFonts w:cs="Tahoma"/>
          <w:iCs/>
          <w:u w:val="single"/>
        </w:rPr>
      </w:pPr>
      <w:r w:rsidRPr="006C7D68">
        <w:rPr>
          <w:rFonts w:cs="Tahoma"/>
          <w:iCs/>
          <w:u w:val="single"/>
          <w:lang w:val="x-none"/>
        </w:rPr>
        <w:t>F</w:t>
      </w:r>
      <w:r w:rsidRPr="006C7D68">
        <w:rPr>
          <w:rFonts w:cs="Tahoma"/>
          <w:iCs/>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BF7A48" w:rsidR="00750933" w:rsidP="006A1A4E" w:rsidRDefault="00750933" w14:paraId="3E00B222" w14:textId="77777777">
      <w:pPr>
        <w:autoSpaceDE w:val="0"/>
        <w:autoSpaceDN w:val="0"/>
        <w:adjustRightInd w:val="0"/>
        <w:spacing w:after="0" w:line="360" w:lineRule="auto"/>
        <w:rPr>
          <w:rFonts w:cs="Tahoma"/>
          <w:b/>
        </w:rPr>
      </w:pPr>
    </w:p>
    <w:p w:rsidRPr="00FC3F47" w:rsidR="00750933" w:rsidP="006A1A4E" w:rsidRDefault="00750933" w14:paraId="3BBEA269" w14:textId="77777777">
      <w:pPr>
        <w:autoSpaceDE w:val="0"/>
        <w:autoSpaceDN w:val="0"/>
        <w:adjustRightInd w:val="0"/>
        <w:spacing w:after="0" w:line="360" w:lineRule="auto"/>
        <w:rPr>
          <w:rFonts w:eastAsia="Calibri" w:cs="Tahoma"/>
          <w:bCs/>
          <w:iCs/>
          <w:color w:val="000000"/>
          <w:szCs w:val="24"/>
          <w:lang w:eastAsia="es-MX"/>
        </w:rPr>
      </w:pPr>
      <w:r w:rsidRPr="00FC3F47">
        <w:rPr>
          <w:rFonts w:eastAsia="Calibri" w:cs="Tahoma"/>
          <w:bCs/>
          <w:iCs/>
          <w:color w:val="000000"/>
          <w:szCs w:val="24"/>
          <w:lang w:eastAsia="es-MX"/>
        </w:rPr>
        <w:t xml:space="preserve">Por lo antes expuesto y fundado. </w:t>
      </w:r>
    </w:p>
    <w:p w:rsidRPr="00FC3F47" w:rsidR="00750933" w:rsidP="006A1A4E" w:rsidRDefault="00750933" w14:paraId="1B696ABE" w14:textId="77777777">
      <w:pPr>
        <w:autoSpaceDE w:val="0"/>
        <w:autoSpaceDN w:val="0"/>
        <w:adjustRightInd w:val="0"/>
        <w:spacing w:after="0" w:line="360" w:lineRule="auto"/>
        <w:rPr>
          <w:rFonts w:eastAsia="Calibri" w:cs="Tahoma"/>
          <w:bCs/>
          <w:iCs/>
          <w:color w:val="000000"/>
          <w:szCs w:val="24"/>
          <w:lang w:eastAsia="es-MX"/>
        </w:rPr>
      </w:pPr>
    </w:p>
    <w:p w:rsidRPr="00FC3F47" w:rsidR="00750933" w:rsidP="006A1A4E" w:rsidRDefault="00750933" w14:paraId="3630B146" w14:textId="77777777">
      <w:pPr>
        <w:autoSpaceDE w:val="0"/>
        <w:autoSpaceDN w:val="0"/>
        <w:adjustRightInd w:val="0"/>
        <w:spacing w:after="0" w:line="360" w:lineRule="auto"/>
        <w:jc w:val="center"/>
        <w:rPr>
          <w:rFonts w:eastAsia="Calibri" w:cs="Tahoma"/>
          <w:b/>
          <w:bCs/>
          <w:iCs/>
          <w:color w:val="000000"/>
          <w:szCs w:val="24"/>
          <w:lang w:eastAsia="es-MX"/>
        </w:rPr>
      </w:pPr>
      <w:r w:rsidRPr="00FC3F47">
        <w:rPr>
          <w:rFonts w:eastAsia="Calibri" w:cs="Tahoma"/>
          <w:b/>
          <w:bCs/>
          <w:iCs/>
          <w:color w:val="000000"/>
          <w:szCs w:val="24"/>
          <w:lang w:eastAsia="es-MX"/>
        </w:rPr>
        <w:t>R E S U E L V E:</w:t>
      </w:r>
    </w:p>
    <w:p w:rsidRPr="00FC3F47" w:rsidR="00750933" w:rsidP="006A1A4E" w:rsidRDefault="00750933" w14:paraId="050D9164" w14:textId="77777777">
      <w:pPr>
        <w:autoSpaceDE w:val="0"/>
        <w:autoSpaceDN w:val="0"/>
        <w:adjustRightInd w:val="0"/>
        <w:spacing w:after="0" w:line="360" w:lineRule="auto"/>
        <w:rPr>
          <w:rFonts w:eastAsia="Calibri" w:cs="Tahoma"/>
          <w:bCs/>
          <w:color w:val="000000"/>
          <w:szCs w:val="24"/>
          <w:lang w:val="es-ES" w:eastAsia="es-MX"/>
        </w:rPr>
      </w:pPr>
    </w:p>
    <w:p w:rsidRPr="00FC3F47" w:rsidR="00750933" w:rsidP="006A1A4E" w:rsidRDefault="00750933" w14:paraId="748F5D53" w14:textId="55C7EF78">
      <w:pPr>
        <w:autoSpaceDE w:val="0"/>
        <w:autoSpaceDN w:val="0"/>
        <w:adjustRightInd w:val="0"/>
        <w:spacing w:after="0" w:line="360" w:lineRule="auto"/>
        <w:rPr>
          <w:rFonts w:eastAsia="Calibri" w:cs="Tahoma"/>
        </w:rPr>
      </w:pPr>
      <w:r w:rsidRPr="00FC3F47">
        <w:rPr>
          <w:rFonts w:eastAsia="Calibri" w:cs="Tahoma"/>
          <w:b/>
          <w:bCs/>
          <w:iCs/>
          <w:color w:val="000000"/>
          <w:szCs w:val="24"/>
          <w:lang w:eastAsia="es-MX"/>
        </w:rPr>
        <w:t xml:space="preserve">PRIMERO. </w:t>
      </w:r>
      <w:r w:rsidRPr="00FC3F47">
        <w:rPr>
          <w:rFonts w:eastAsia="Calibri" w:cs="Tahoma"/>
          <w:bCs/>
          <w:iCs/>
          <w:color w:val="000000"/>
          <w:szCs w:val="24"/>
          <w:lang w:eastAsia="es-MX"/>
        </w:rPr>
        <w:t xml:space="preserve">Se </w:t>
      </w:r>
      <w:r w:rsidRPr="00FC3F47">
        <w:rPr>
          <w:rFonts w:eastAsia="Calibri" w:cs="Tahoma"/>
          <w:b/>
          <w:bCs/>
          <w:iCs/>
          <w:color w:val="000000"/>
          <w:szCs w:val="24"/>
          <w:lang w:eastAsia="es-MX"/>
        </w:rPr>
        <w:t>SOBRESE</w:t>
      </w:r>
      <w:r>
        <w:rPr>
          <w:rFonts w:eastAsia="Calibri" w:cs="Tahoma"/>
          <w:b/>
          <w:bCs/>
          <w:iCs/>
          <w:color w:val="000000"/>
          <w:szCs w:val="24"/>
          <w:lang w:eastAsia="es-MX"/>
        </w:rPr>
        <w:t xml:space="preserve">E </w:t>
      </w:r>
      <w:r>
        <w:rPr>
          <w:rFonts w:eastAsia="Calibri" w:cs="Tahoma"/>
          <w:bCs/>
          <w:iCs/>
          <w:color w:val="000000"/>
          <w:szCs w:val="24"/>
          <w:lang w:eastAsia="es-MX"/>
        </w:rPr>
        <w:t xml:space="preserve">el Recurso de Revisión con número </w:t>
      </w:r>
      <w:r w:rsidR="007A3D34">
        <w:rPr>
          <w:rFonts w:eastAsia="Calibri" w:cs="Tahoma"/>
          <w:b/>
          <w:bCs/>
        </w:rPr>
        <w:t>01861/INFOEM/IP/RR/2022</w:t>
      </w:r>
      <w:r>
        <w:rPr>
          <w:rFonts w:eastAsia="Calibri" w:cs="Tahoma"/>
        </w:rPr>
        <w:t xml:space="preserve">, </w:t>
      </w:r>
      <w:r w:rsidRPr="00521872" w:rsidR="007A7D09">
        <w:rPr>
          <w:rFonts w:eastAsia="Calibri" w:cs="Tahoma"/>
        </w:rPr>
        <w:t>por actualizarse la</w:t>
      </w:r>
      <w:r w:rsidR="007A7D09">
        <w:rPr>
          <w:rFonts w:eastAsia="Calibri" w:cs="Tahoma"/>
        </w:rPr>
        <w:t>s</w:t>
      </w:r>
      <w:r w:rsidRPr="00521872" w:rsidR="007A7D09">
        <w:rPr>
          <w:rFonts w:eastAsia="Calibri" w:cs="Tahoma"/>
        </w:rPr>
        <w:t xml:space="preserve"> causal</w:t>
      </w:r>
      <w:r w:rsidR="007A7D09">
        <w:rPr>
          <w:rFonts w:eastAsia="Calibri" w:cs="Tahoma"/>
        </w:rPr>
        <w:t>es</w:t>
      </w:r>
      <w:r w:rsidRPr="00521872" w:rsidR="007A7D09">
        <w:rPr>
          <w:rFonts w:eastAsia="Calibri" w:cs="Tahoma"/>
        </w:rPr>
        <w:t xml:space="preserve"> de improcedencia prevista</w:t>
      </w:r>
      <w:r w:rsidR="007A7D09">
        <w:rPr>
          <w:rFonts w:eastAsia="Calibri" w:cs="Tahoma"/>
        </w:rPr>
        <w:t>s</w:t>
      </w:r>
      <w:r w:rsidRPr="00521872" w:rsidR="007A7D09">
        <w:rPr>
          <w:rFonts w:eastAsia="Calibri" w:cs="Tahoma"/>
        </w:rPr>
        <w:t xml:space="preserve"> en el artículo 191, </w:t>
      </w:r>
      <w:r w:rsidR="007A7D09">
        <w:rPr>
          <w:rFonts w:eastAsia="Calibri" w:cs="Tahoma"/>
        </w:rPr>
        <w:t>fracciones V y</w:t>
      </w:r>
      <w:r w:rsidRPr="00521872" w:rsidR="007A7D09">
        <w:rPr>
          <w:rFonts w:eastAsia="Calibri" w:cs="Tahoma"/>
        </w:rPr>
        <w:t xml:space="preserve"> VII, de la </w:t>
      </w:r>
      <w:r w:rsidR="008F4B97">
        <w:rPr>
          <w:rFonts w:eastAsia="Calibri" w:cs="Tahoma"/>
        </w:rPr>
        <w:t>L</w:t>
      </w:r>
      <w:r w:rsidRPr="00521872" w:rsidR="007A7D09">
        <w:rPr>
          <w:rFonts w:eastAsia="Calibri" w:cs="Tahoma"/>
        </w:rPr>
        <w:t xml:space="preserve">ey </w:t>
      </w:r>
      <w:r w:rsidRPr="00FC3F47" w:rsidR="008F4B97">
        <w:rPr>
          <w:rFonts w:eastAsia="Calibri" w:cs="Tahoma"/>
          <w:bCs/>
          <w:iCs/>
          <w:color w:val="000000"/>
          <w:szCs w:val="24"/>
          <w:lang w:eastAsia="es-MX"/>
        </w:rPr>
        <w:t>de Transparencia y Acceso a la Información Pública del Estado de México y Municipios</w:t>
      </w:r>
      <w:r w:rsidRPr="00521872" w:rsidR="007A7D09">
        <w:rPr>
          <w:rFonts w:eastAsia="Calibri" w:cs="Tahoma"/>
        </w:rPr>
        <w:t xml:space="preserve">, en términos del Considerando </w:t>
      </w:r>
      <w:r w:rsidRPr="008F4B97" w:rsidR="007A7D09">
        <w:rPr>
          <w:rFonts w:eastAsia="Calibri" w:cs="Tahoma"/>
        </w:rPr>
        <w:t>TERCERO</w:t>
      </w:r>
      <w:r w:rsidRPr="00521872" w:rsidR="007A7D09">
        <w:rPr>
          <w:rFonts w:eastAsia="Calibri" w:cs="Tahoma"/>
        </w:rPr>
        <w:t xml:space="preserve"> de la presente resolución.</w:t>
      </w:r>
      <w:r w:rsidRPr="00521872" w:rsidR="007A7D09">
        <w:rPr>
          <w:rStyle w:val="eop"/>
          <w:color w:val="000000"/>
          <w:shd w:val="clear" w:color="auto" w:fill="FFFFFF"/>
        </w:rPr>
        <w:t> </w:t>
      </w:r>
    </w:p>
    <w:p w:rsidRPr="00FC3F47" w:rsidR="00750933" w:rsidP="006A1A4E" w:rsidRDefault="00750933" w14:paraId="3AFC3B9A" w14:textId="77777777">
      <w:pPr>
        <w:autoSpaceDE w:val="0"/>
        <w:autoSpaceDN w:val="0"/>
        <w:adjustRightInd w:val="0"/>
        <w:spacing w:after="0" w:line="360" w:lineRule="auto"/>
        <w:rPr>
          <w:rFonts w:eastAsia="Calibri" w:cs="Tahoma"/>
          <w:bCs/>
          <w:i/>
          <w:iCs/>
          <w:color w:val="000000"/>
          <w:szCs w:val="24"/>
          <w:lang w:eastAsia="es-MX"/>
        </w:rPr>
      </w:pPr>
    </w:p>
    <w:p w:rsidRPr="00FC3F47" w:rsidR="00750933" w:rsidP="006A1A4E" w:rsidRDefault="00750933" w14:paraId="798765EC" w14:textId="7E3E0AC2">
      <w:pPr>
        <w:autoSpaceDE w:val="0"/>
        <w:autoSpaceDN w:val="0"/>
        <w:adjustRightInd w:val="0"/>
        <w:spacing w:after="0" w:line="360" w:lineRule="auto"/>
        <w:rPr>
          <w:rFonts w:eastAsia="Calibri" w:cs="Tahoma"/>
          <w:bCs/>
          <w:iCs/>
          <w:color w:val="000000"/>
          <w:szCs w:val="24"/>
          <w:lang w:eastAsia="es-MX"/>
        </w:rPr>
      </w:pPr>
      <w:r w:rsidRPr="00FC3F47">
        <w:rPr>
          <w:rFonts w:eastAsia="Calibri" w:cs="Tahoma"/>
          <w:b/>
          <w:bCs/>
          <w:iCs/>
          <w:color w:val="000000"/>
          <w:szCs w:val="24"/>
          <w:lang w:eastAsia="es-MX"/>
        </w:rPr>
        <w:t xml:space="preserve">SEGUNDO. NOTIFÍQUESE </w:t>
      </w:r>
      <w:r w:rsidRPr="00FC3F47">
        <w:rPr>
          <w:rFonts w:eastAsia="Calibri" w:cs="Tahoma"/>
          <w:bCs/>
          <w:iCs/>
          <w:color w:val="000000"/>
          <w:szCs w:val="24"/>
          <w:lang w:eastAsia="es-MX"/>
        </w:rPr>
        <w:t>la presente Resolución al Titular de la Unidad de Transparencia del Sujeto Obligado</w:t>
      </w:r>
      <w:r>
        <w:rPr>
          <w:rFonts w:eastAsia="Calibri" w:cs="Tahoma"/>
          <w:bCs/>
          <w:iCs/>
          <w:color w:val="000000"/>
          <w:szCs w:val="24"/>
          <w:lang w:eastAsia="es-MX"/>
        </w:rPr>
        <w:t xml:space="preserve"> a través del Sistema de Acceso a la Información Mexiquense (SAIMEX)</w:t>
      </w:r>
      <w:r w:rsidR="00563E14">
        <w:rPr>
          <w:rFonts w:eastAsia="Calibri" w:cs="Tahoma"/>
          <w:bCs/>
          <w:iCs/>
          <w:color w:val="000000"/>
          <w:szCs w:val="24"/>
          <w:lang w:eastAsia="es-MX"/>
        </w:rPr>
        <w:t>.</w:t>
      </w:r>
    </w:p>
    <w:p w:rsidRPr="00FC3F47" w:rsidR="00750933" w:rsidP="006A1A4E" w:rsidRDefault="00750933" w14:paraId="5A5E0CEA" w14:textId="77777777">
      <w:pPr>
        <w:autoSpaceDE w:val="0"/>
        <w:autoSpaceDN w:val="0"/>
        <w:adjustRightInd w:val="0"/>
        <w:spacing w:after="0" w:line="360" w:lineRule="auto"/>
        <w:rPr>
          <w:rFonts w:eastAsia="Calibri" w:cs="Tahoma"/>
          <w:bCs/>
          <w:i/>
          <w:iCs/>
          <w:color w:val="000000"/>
          <w:szCs w:val="24"/>
          <w:lang w:eastAsia="es-MX"/>
        </w:rPr>
      </w:pPr>
    </w:p>
    <w:p w:rsidRPr="00FC3F47" w:rsidR="00750933" w:rsidP="006A1A4E" w:rsidRDefault="00750933" w14:paraId="65224259" w14:textId="63D8AF88">
      <w:pPr>
        <w:autoSpaceDE w:val="0"/>
        <w:autoSpaceDN w:val="0"/>
        <w:adjustRightInd w:val="0"/>
        <w:spacing w:after="0" w:line="360" w:lineRule="auto"/>
        <w:rPr>
          <w:rFonts w:eastAsia="Calibri" w:cs="Tahoma"/>
          <w:b/>
          <w:bCs/>
          <w:iCs/>
          <w:color w:val="000000"/>
          <w:szCs w:val="24"/>
          <w:lang w:eastAsia="es-MX"/>
        </w:rPr>
      </w:pPr>
      <w:r w:rsidRPr="00FC3F47">
        <w:rPr>
          <w:rFonts w:eastAsia="Calibri" w:cs="Tahoma"/>
          <w:b/>
          <w:bCs/>
          <w:iCs/>
          <w:color w:val="000000"/>
          <w:szCs w:val="24"/>
          <w:lang w:eastAsia="es-MX"/>
        </w:rPr>
        <w:t xml:space="preserve">TERCERO. NOTIFÍQUESE </w:t>
      </w:r>
      <w:r w:rsidRPr="00FC3F47">
        <w:rPr>
          <w:rFonts w:eastAsia="Calibri" w:cs="Tahoma"/>
          <w:bCs/>
          <w:iCs/>
          <w:color w:val="000000"/>
          <w:szCs w:val="24"/>
          <w:lang w:eastAsia="es-MX"/>
        </w:rPr>
        <w:t>al Recurrente la presente Resolución</w:t>
      </w:r>
      <w:r>
        <w:rPr>
          <w:rFonts w:eastAsia="Calibri" w:cs="Tahoma"/>
          <w:bCs/>
          <w:iCs/>
          <w:color w:val="000000"/>
          <w:szCs w:val="24"/>
          <w:lang w:eastAsia="es-MX"/>
        </w:rPr>
        <w:t xml:space="preserve"> a través del Sistema de Acceso a la Información Mexiquense (SAIMEX)</w:t>
      </w:r>
      <w:r w:rsidR="00563E14">
        <w:rPr>
          <w:rFonts w:eastAsia="Calibri" w:cs="Tahoma"/>
          <w:bCs/>
          <w:iCs/>
          <w:color w:val="000000"/>
          <w:szCs w:val="24"/>
          <w:lang w:eastAsia="es-MX"/>
        </w:rPr>
        <w:t>;</w:t>
      </w:r>
      <w:r w:rsidRPr="00FC3F47">
        <w:rPr>
          <w:rFonts w:eastAsia="Calibri" w:cs="Tahoma"/>
          <w:bCs/>
          <w:iCs/>
          <w:color w:val="000000"/>
          <w:szCs w:val="24"/>
          <w:lang w:eastAsia="es-MX"/>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C3E33" w:rsidR="00750933" w:rsidP="006A1A4E" w:rsidRDefault="00750933" w14:paraId="6E584C43" w14:textId="77777777">
      <w:pPr>
        <w:spacing w:after="0" w:line="360" w:lineRule="auto"/>
        <w:rPr>
          <w:rFonts w:cs="Tahoma"/>
        </w:rPr>
      </w:pPr>
    </w:p>
    <w:p w:rsidR="008F1965" w:rsidP="006A1A4E" w:rsidRDefault="00750933" w14:paraId="34EE0DC2" w14:textId="38CE6A47">
      <w:pPr>
        <w:spacing w:after="0" w:line="360" w:lineRule="auto"/>
        <w:rPr>
          <w:rFonts w:eastAsia="Calibri" w:cs="Tahoma"/>
          <w:bCs/>
        </w:rPr>
      </w:pPr>
      <w:r w:rsidRPr="008C3E33">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63E14">
        <w:rPr>
          <w:rFonts w:eastAsia="Calibri" w:cs="Tahoma"/>
          <w:bCs/>
        </w:rPr>
        <w:t xml:space="preserve">DÉCIMA </w:t>
      </w:r>
      <w:r w:rsidR="003247BD">
        <w:rPr>
          <w:rFonts w:eastAsia="Calibri" w:cs="Tahoma"/>
          <w:bCs/>
        </w:rPr>
        <w:t>OCTAVA</w:t>
      </w:r>
      <w:r w:rsidRPr="008C3E33">
        <w:rPr>
          <w:rFonts w:eastAsia="Calibri" w:cs="Tahoma"/>
          <w:bCs/>
        </w:rPr>
        <w:t xml:space="preserve"> </w:t>
      </w:r>
      <w:r w:rsidRPr="008C3E33" w:rsidR="008F1965">
        <w:rPr>
          <w:rFonts w:eastAsia="Calibri" w:cs="Tahoma"/>
          <w:bCs/>
        </w:rPr>
        <w:t>SESIÓN ORDINARIA</w:t>
      </w:r>
      <w:r w:rsidRPr="008C3E33">
        <w:rPr>
          <w:rFonts w:eastAsia="Calibri" w:cs="Tahoma"/>
          <w:bCs/>
        </w:rPr>
        <w:t xml:space="preserve">, CELEBRADA EL </w:t>
      </w:r>
      <w:r w:rsidR="007A7D09">
        <w:rPr>
          <w:rFonts w:eastAsia="Calibri" w:cs="Tahoma"/>
          <w:bCs/>
        </w:rPr>
        <w:t>DIECIOCHO</w:t>
      </w:r>
      <w:r>
        <w:rPr>
          <w:rFonts w:eastAsia="Calibri" w:cs="Tahoma"/>
          <w:bCs/>
        </w:rPr>
        <w:t xml:space="preserve"> </w:t>
      </w:r>
      <w:r w:rsidRPr="008C3E33">
        <w:rPr>
          <w:rFonts w:eastAsia="Calibri" w:cs="Tahoma"/>
          <w:bCs/>
        </w:rPr>
        <w:t xml:space="preserve">DE </w:t>
      </w:r>
      <w:r w:rsidR="007A7D09">
        <w:rPr>
          <w:rFonts w:eastAsia="Calibri" w:cs="Tahoma"/>
          <w:bCs/>
        </w:rPr>
        <w:t>MAYO</w:t>
      </w:r>
      <w:r w:rsidRPr="008C3E33">
        <w:rPr>
          <w:rFonts w:eastAsia="Calibri" w:cs="Tahoma"/>
          <w:bCs/>
        </w:rPr>
        <w:t xml:space="preserve"> DE DOS MIL VEINTIDÓS, ANTE EL SECRETARIO TÉCNICO DEL PLENO ALEXIS TAPIA RAMÍREZ.</w:t>
      </w:r>
    </w:p>
    <w:p w:rsidR="008F1965" w:rsidP="006A1A4E" w:rsidRDefault="008F1965" w14:paraId="0258F20A" w14:textId="77777777">
      <w:pPr>
        <w:spacing w:after="0"/>
        <w:jc w:val="left"/>
        <w:rPr>
          <w:rFonts w:eastAsia="Calibri" w:cs="Tahoma"/>
          <w:bCs/>
        </w:rPr>
      </w:pPr>
      <w:r>
        <w:rPr>
          <w:rFonts w:eastAsia="Calibri" w:cs="Tahoma"/>
          <w:bCs/>
        </w:rPr>
        <w:br w:type="page"/>
      </w:r>
    </w:p>
    <w:p w:rsidRPr="00BF3CE5" w:rsidR="00177EE1" w:rsidP="006A1A4E" w:rsidRDefault="00177EE1" w14:paraId="627F436A" w14:textId="77777777">
      <w:pPr>
        <w:spacing w:after="0" w:line="360" w:lineRule="auto"/>
        <w:rPr>
          <w:rFonts w:eastAsia="Calibri" w:cs="Tahoma"/>
          <w:bCs/>
        </w:rPr>
      </w:pPr>
    </w:p>
    <w:sectPr w:rsidRPr="00BF3CE5" w:rsidR="00177EE1" w:rsidSect="00177EE1">
      <w:headerReference w:type="even" r:id="rId11"/>
      <w:headerReference w:type="default" r:id="rId12"/>
      <w:footerReference w:type="even" r:id="rId13"/>
      <w:footerReference w:type="default" r:id="rId14"/>
      <w:headerReference w:type="first" r:id="rId15"/>
      <w:footerReference w:type="first" r:id="rId16"/>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1F0A" w:rsidP="00177EE1" w:rsidRDefault="002E1F0A" w14:paraId="19E2910F" w14:textId="77777777">
      <w:pPr>
        <w:spacing w:after="0" w:line="240" w:lineRule="auto"/>
      </w:pPr>
      <w:r>
        <w:separator/>
      </w:r>
    </w:p>
  </w:endnote>
  <w:endnote w:type="continuationSeparator" w:id="0">
    <w:p w:rsidR="002E1F0A" w:rsidP="00177EE1" w:rsidRDefault="002E1F0A" w14:paraId="6D8104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1F0A" w:rsidP="00177EE1" w:rsidRDefault="002E1F0A" w14:paraId="727C20F4" w14:textId="77777777">
      <w:pPr>
        <w:spacing w:after="0" w:line="240" w:lineRule="auto"/>
      </w:pPr>
      <w:r>
        <w:separator/>
      </w:r>
    </w:p>
  </w:footnote>
  <w:footnote w:type="continuationSeparator" w:id="0">
    <w:p w:rsidR="002E1F0A" w:rsidP="00177EE1" w:rsidRDefault="002E1F0A" w14:paraId="3F97F5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6C4AB1"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7A3D34" w14:paraId="4682C08D" w14:textId="4EE856C6">
          <w:pPr>
            <w:tabs>
              <w:tab w:val="right" w:pos="8838"/>
            </w:tabs>
            <w:ind w:left="-28" w:right="454"/>
            <w:rPr>
              <w:rFonts w:eastAsia="Calibri" w:cs="Tahoma"/>
            </w:rPr>
          </w:pPr>
          <w:r>
            <w:rPr>
              <w:rFonts w:eastAsia="Calibri" w:cs="Tahoma"/>
              <w:bCs/>
              <w:lang w:val="es-MX"/>
            </w:rPr>
            <w:t>01861</w:t>
          </w:r>
          <w:r w:rsidR="00D104FE">
            <w:rPr>
              <w:rFonts w:eastAsia="Calibri" w:cs="Tahoma"/>
              <w:bCs/>
              <w:lang w:val="es-MX"/>
            </w:rPr>
            <w:t>/INFOEM/IP/RR/202</w:t>
          </w:r>
          <w:r w:rsidR="0080433B">
            <w:rPr>
              <w:rFonts w:eastAsia="Calibri" w:cs="Tahoma"/>
              <w:bCs/>
              <w:lang w:val="es-MX"/>
            </w:rPr>
            <w:t>2</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5D417E" w14:paraId="687FCF16" w14:textId="2070C2BF">
          <w:pPr>
            <w:tabs>
              <w:tab w:val="right" w:pos="8838"/>
            </w:tabs>
            <w:ind w:right="454"/>
            <w:rPr>
              <w:rFonts w:eastAsia="Calibri" w:cs="Tahoma"/>
              <w:lang w:val="es-MX"/>
            </w:rPr>
          </w:pPr>
          <w:r>
            <w:rPr>
              <w:rFonts w:eastAsia="Calibri" w:cs="Tahoma"/>
              <w:bCs/>
              <w:lang w:val="es-MX"/>
            </w:rPr>
            <w:t>Ayuntamiento de Toluca</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6C4AB1"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5F5472C6"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5F5472C6"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5D60D5" w14:paraId="446B26B0" w14:textId="220136E6">
                <w:pPr>
                  <w:tabs>
                    <w:tab w:val="right" w:pos="8838"/>
                  </w:tabs>
                  <w:ind w:left="-28" w:right="774"/>
                  <w:rPr>
                    <w:rFonts w:eastAsia="Calibri" w:cs="Tahoma"/>
                    <w:bCs/>
                    <w:lang w:val="es-MX"/>
                  </w:rPr>
                </w:pPr>
                <w:r>
                  <w:rPr>
                    <w:rFonts w:eastAsia="Calibri" w:cs="Tahoma"/>
                    <w:bCs/>
                    <w:lang w:val="es-MX"/>
                  </w:rPr>
                  <w:t>01861</w:t>
                </w:r>
                <w:r w:rsidR="004D309D">
                  <w:rPr>
                    <w:rFonts w:eastAsia="Calibri" w:cs="Tahoma"/>
                    <w:bCs/>
                    <w:lang w:val="es-MX"/>
                  </w:rPr>
                  <w:t>/</w:t>
                </w:r>
                <w:r w:rsidRPr="00177EE1" w:rsidR="000138A1">
                  <w:rPr>
                    <w:rFonts w:eastAsia="Calibri" w:cs="Tahoma"/>
                    <w:bCs/>
                    <w:lang w:val="es-MX"/>
                  </w:rPr>
                  <w:t>INFOEM/IP/RR/202</w:t>
                </w:r>
                <w:r w:rsidR="00B454AD">
                  <w:rPr>
                    <w:rFonts w:eastAsia="Calibri" w:cs="Tahoma"/>
                    <w:bCs/>
                    <w:lang w:val="es-MX"/>
                  </w:rPr>
                  <w:t>2</w:t>
                </w:r>
              </w:p>
            </w:tc>
          </w:tr>
          <w:tr w:rsidR="000138A1" w:rsidTr="5F5472C6"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5F5472C6" w:rsidRDefault="006C4AB1" w14:paraId="66275329" w14:textId="14FADBF2">
                <w:pPr>
                  <w:pStyle w:val="Normal"/>
                  <w:tabs>
                    <w:tab w:val="right" w:leader="none" w:pos="8838"/>
                  </w:tabs>
                  <w:bidi w:val="0"/>
                  <w:spacing w:before="0" w:beforeAutospacing="off" w:after="0" w:afterAutospacing="off" w:line="259" w:lineRule="auto"/>
                  <w:ind w:left="-28" w:right="774"/>
                  <w:jc w:val="both"/>
                  <w:rPr>
                    <w:rFonts w:eastAsia="Calibri" w:cs="Tahoma"/>
                    <w:highlight w:val="black"/>
                    <w:lang w:val="es-MX"/>
                  </w:rPr>
                </w:pPr>
                <w:r w:rsidRPr="5F5472C6" w:rsidR="5F5472C6">
                  <w:rPr>
                    <w:rFonts w:eastAsia="Calibri" w:cs="Tahoma"/>
                    <w:highlight w:val="black"/>
                    <w:lang w:val="es-MX"/>
                  </w:rPr>
                  <w:t>XXXXXXXXXXXXXX</w:t>
                </w:r>
              </w:p>
            </w:tc>
          </w:tr>
          <w:tr w:rsidR="000138A1" w:rsidTr="5F5472C6"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5D417E" w14:paraId="6CCA2CAC" w14:textId="3BF349FC">
                <w:pPr>
                  <w:tabs>
                    <w:tab w:val="right" w:pos="8838"/>
                  </w:tabs>
                  <w:ind w:left="-28" w:right="774"/>
                  <w:rPr>
                    <w:rFonts w:eastAsia="Calibri" w:cs="Tahoma"/>
                    <w:bCs/>
                    <w:lang w:val="es-MX"/>
                  </w:rPr>
                </w:pPr>
                <w:r>
                  <w:rPr>
                    <w:rFonts w:eastAsia="Calibri" w:cs="Tahoma"/>
                    <w:bCs/>
                    <w:lang w:val="es-MX"/>
                  </w:rPr>
                  <w:t>Ayuntamiento de Toluca</w:t>
                </w:r>
              </w:p>
            </w:tc>
          </w:tr>
          <w:tr w:rsidR="000138A1" w:rsidTr="5F5472C6"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6C4AB1"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F1497"/>
    <w:multiLevelType w:val="hybridMultilevel"/>
    <w:tmpl w:val="3FE83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980820"/>
    <w:multiLevelType w:val="hybridMultilevel"/>
    <w:tmpl w:val="BF467F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4BA67D2"/>
    <w:multiLevelType w:val="hybridMultilevel"/>
    <w:tmpl w:val="DBDC3494"/>
    <w:lvl w:ilvl="0" w:tplc="FFFFFFFF">
      <w:start w:val="1"/>
      <w:numFmt w:val="decimal"/>
      <w:lvlText w:val="%1."/>
      <w:lvlJc w:val="left"/>
      <w:pPr>
        <w:ind w:left="720" w:hanging="360"/>
      </w:pPr>
      <w:rPr>
        <w:rFonts w:ascii="Palatino Linotype" w:hAnsi="Palatino Linotype" w:eastAsia="Calibri" w:cs="Tahom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15BD22AE"/>
    <w:multiLevelType w:val="hybridMultilevel"/>
    <w:tmpl w:val="39BE95C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6" w15:restartNumberingAfterBreak="0">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81038"/>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105B6B"/>
    <w:multiLevelType w:val="hybridMultilevel"/>
    <w:tmpl w:val="F85A286C"/>
    <w:lvl w:ilvl="0" w:tplc="FBF8FEE4">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985847"/>
    <w:multiLevelType w:val="hybridMultilevel"/>
    <w:tmpl w:val="D2C4696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8438B9"/>
    <w:multiLevelType w:val="hybridMultilevel"/>
    <w:tmpl w:val="61709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3205A"/>
    <w:multiLevelType w:val="hybridMultilevel"/>
    <w:tmpl w:val="9AE4A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E31500"/>
    <w:multiLevelType w:val="hybridMultilevel"/>
    <w:tmpl w:val="F1BEC7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2E49E3"/>
    <w:multiLevelType w:val="hybridMultilevel"/>
    <w:tmpl w:val="225C7868"/>
    <w:lvl w:ilvl="0" w:tplc="A61C1734">
      <w:start w:val="1"/>
      <w:numFmt w:val="lowerLetter"/>
      <w:lvlText w:val="%1)"/>
      <w:lvlJc w:val="left"/>
      <w:pPr>
        <w:ind w:left="1068" w:hanging="360"/>
      </w:pPr>
      <w:rPr>
        <w:rFonts w:hint="default" w:ascii="Palatino Linotype" w:hAnsi="Palatino Linotyp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A2B40"/>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C77B51"/>
    <w:multiLevelType w:val="hybridMultilevel"/>
    <w:tmpl w:val="6E52B976"/>
    <w:lvl w:ilvl="0" w:tplc="FFFFFFFF">
      <w:start w:val="1"/>
      <w:numFmt w:val="decimal"/>
      <w:lvlText w:val="%1."/>
      <w:lvlJc w:val="left"/>
      <w:pPr>
        <w:ind w:left="720" w:hanging="360"/>
      </w:pPr>
      <w:rPr>
        <w:rFonts w:ascii="Palatino Linotype" w:hAnsi="Palatino Linotype" w:eastAsia="Calibri" w:cs="Tahoma"/>
      </w:rPr>
    </w:lvl>
    <w:lvl w:ilvl="1" w:tplc="08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D954B2B"/>
    <w:multiLevelType w:val="hybridMultilevel"/>
    <w:tmpl w:val="DBDC3494"/>
    <w:lvl w:ilvl="0" w:tplc="9E2C9526">
      <w:start w:val="1"/>
      <w:numFmt w:val="decimal"/>
      <w:lvlText w:val="%1."/>
      <w:lvlJc w:val="left"/>
      <w:pPr>
        <w:ind w:left="720" w:hanging="360"/>
      </w:pPr>
      <w:rPr>
        <w:rFonts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6715D7"/>
    <w:multiLevelType w:val="hybridMultilevel"/>
    <w:tmpl w:val="32381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851CD0"/>
    <w:multiLevelType w:val="hybridMultilevel"/>
    <w:tmpl w:val="388CBF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7E4937"/>
    <w:multiLevelType w:val="hybridMultilevel"/>
    <w:tmpl w:val="113EEBB0"/>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28" w15:restartNumberingAfterBreak="0">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5196ECA"/>
    <w:multiLevelType w:val="hybridMultilevel"/>
    <w:tmpl w:val="225C7868"/>
    <w:lvl w:ilvl="0" w:tplc="FFFFFFFF">
      <w:start w:val="1"/>
      <w:numFmt w:val="lowerLetter"/>
      <w:lvlText w:val="%1)"/>
      <w:lvlJc w:val="left"/>
      <w:pPr>
        <w:ind w:left="1068" w:hanging="360"/>
      </w:pPr>
      <w:rPr>
        <w:rFonts w:hint="default" w:ascii="Palatino Linotype" w:hAnsi="Palatino Linotyp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6E4B74"/>
    <w:multiLevelType w:val="hybridMultilevel"/>
    <w:tmpl w:val="F16C637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4" w15:restartNumberingAfterBreak="0">
    <w:nsid w:val="5BD661E7"/>
    <w:multiLevelType w:val="hybridMultilevel"/>
    <w:tmpl w:val="4B80E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5E64B5"/>
    <w:multiLevelType w:val="hybridMultilevel"/>
    <w:tmpl w:val="28964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51E798D"/>
    <w:multiLevelType w:val="hybridMultilevel"/>
    <w:tmpl w:val="A8D45B0C"/>
    <w:lvl w:ilvl="0" w:tplc="4758836A">
      <w:start w:val="1"/>
      <w:numFmt w:val="decimal"/>
      <w:lvlText w:val="%1."/>
      <w:lvlJc w:val="left"/>
      <w:pPr>
        <w:ind w:left="720" w:hanging="360"/>
      </w:pPr>
      <w:rPr>
        <w:rFonts w:ascii="Palatino Linotype" w:hAnsi="Palatino Linotype" w:eastAsia="Calibri"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70D304F"/>
    <w:multiLevelType w:val="hybridMultilevel"/>
    <w:tmpl w:val="1ABE3FE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BFA155E"/>
    <w:multiLevelType w:val="hybridMultilevel"/>
    <w:tmpl w:val="E45C3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8A64380"/>
    <w:multiLevelType w:val="hybridMultilevel"/>
    <w:tmpl w:val="2F369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D60C41"/>
    <w:multiLevelType w:val="hybridMultilevel"/>
    <w:tmpl w:val="772691A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3" w15:restartNumberingAfterBreak="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83305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3993849">
    <w:abstractNumId w:val="13"/>
  </w:num>
  <w:num w:numId="3" w16cid:durableId="1077246078">
    <w:abstractNumId w:val="36"/>
  </w:num>
  <w:num w:numId="4" w16cid:durableId="1045761998">
    <w:abstractNumId w:val="39"/>
  </w:num>
  <w:num w:numId="5" w16cid:durableId="1136994017">
    <w:abstractNumId w:val="5"/>
  </w:num>
  <w:num w:numId="6" w16cid:durableId="747925083">
    <w:abstractNumId w:val="18"/>
  </w:num>
  <w:num w:numId="7" w16cid:durableId="1391420795">
    <w:abstractNumId w:val="27"/>
  </w:num>
  <w:num w:numId="8" w16cid:durableId="1713458145">
    <w:abstractNumId w:val="40"/>
  </w:num>
  <w:num w:numId="9" w16cid:durableId="1514341837">
    <w:abstractNumId w:val="30"/>
  </w:num>
  <w:num w:numId="10" w16cid:durableId="62990855">
    <w:abstractNumId w:val="38"/>
  </w:num>
  <w:num w:numId="11" w16cid:durableId="414326727">
    <w:abstractNumId w:val="2"/>
  </w:num>
  <w:num w:numId="12" w16cid:durableId="1539658258">
    <w:abstractNumId w:val="31"/>
  </w:num>
  <w:num w:numId="13" w16cid:durableId="682510699">
    <w:abstractNumId w:val="28"/>
  </w:num>
  <w:num w:numId="14" w16cid:durableId="2096397519">
    <w:abstractNumId w:val="10"/>
  </w:num>
  <w:num w:numId="15" w16cid:durableId="181169590">
    <w:abstractNumId w:val="43"/>
  </w:num>
  <w:num w:numId="16" w16cid:durableId="800000393">
    <w:abstractNumId w:val="1"/>
  </w:num>
  <w:num w:numId="17" w16cid:durableId="872570359">
    <w:abstractNumId w:val="6"/>
  </w:num>
  <w:num w:numId="18" w16cid:durableId="1805849599">
    <w:abstractNumId w:val="22"/>
  </w:num>
  <w:num w:numId="19" w16cid:durableId="221522863">
    <w:abstractNumId w:val="14"/>
  </w:num>
  <w:num w:numId="20" w16cid:durableId="136843981">
    <w:abstractNumId w:val="15"/>
  </w:num>
  <w:num w:numId="21" w16cid:durableId="558635487">
    <w:abstractNumId w:val="32"/>
  </w:num>
  <w:num w:numId="22" w16cid:durableId="960302120">
    <w:abstractNumId w:val="23"/>
  </w:num>
  <w:num w:numId="23" w16cid:durableId="876964531">
    <w:abstractNumId w:val="0"/>
  </w:num>
  <w:num w:numId="24" w16cid:durableId="1292053325">
    <w:abstractNumId w:val="8"/>
  </w:num>
  <w:num w:numId="25" w16cid:durableId="1340691972">
    <w:abstractNumId w:val="19"/>
  </w:num>
  <w:num w:numId="26" w16cid:durableId="342241397">
    <w:abstractNumId w:val="21"/>
  </w:num>
  <w:num w:numId="27" w16cid:durableId="800922767">
    <w:abstractNumId w:val="7"/>
  </w:num>
  <w:num w:numId="28" w16cid:durableId="782502249">
    <w:abstractNumId w:val="25"/>
  </w:num>
  <w:num w:numId="29" w16cid:durableId="1037659934">
    <w:abstractNumId w:val="34"/>
  </w:num>
  <w:num w:numId="30" w16cid:durableId="790124988">
    <w:abstractNumId w:val="4"/>
  </w:num>
  <w:num w:numId="31" w16cid:durableId="634215408">
    <w:abstractNumId w:val="20"/>
  </w:num>
  <w:num w:numId="32" w16cid:durableId="845440964">
    <w:abstractNumId w:val="3"/>
  </w:num>
  <w:num w:numId="33" w16cid:durableId="859660749">
    <w:abstractNumId w:val="42"/>
  </w:num>
  <w:num w:numId="34" w16cid:durableId="1170222319">
    <w:abstractNumId w:val="12"/>
  </w:num>
  <w:num w:numId="35" w16cid:durableId="862061903">
    <w:abstractNumId w:val="24"/>
  </w:num>
  <w:num w:numId="36" w16cid:durableId="224074795">
    <w:abstractNumId w:val="35"/>
  </w:num>
  <w:num w:numId="37" w16cid:durableId="1686981173">
    <w:abstractNumId w:val="16"/>
  </w:num>
  <w:num w:numId="38" w16cid:durableId="1281111549">
    <w:abstractNumId w:val="26"/>
  </w:num>
  <w:num w:numId="39" w16cid:durableId="758673595">
    <w:abstractNumId w:val="29"/>
  </w:num>
  <w:num w:numId="40" w16cid:durableId="206071740">
    <w:abstractNumId w:val="11"/>
  </w:num>
  <w:num w:numId="41" w16cid:durableId="1047946262">
    <w:abstractNumId w:val="37"/>
  </w:num>
  <w:num w:numId="42" w16cid:durableId="685713745">
    <w:abstractNumId w:val="17"/>
  </w:num>
  <w:num w:numId="43" w16cid:durableId="761341084">
    <w:abstractNumId w:val="33"/>
  </w:num>
  <w:num w:numId="44" w16cid:durableId="1763525289">
    <w:abstractNumId w:val="41"/>
  </w:num>
  <w:num w:numId="45" w16cid:durableId="34525677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17A08"/>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1027"/>
    <w:rsid w:val="000729C1"/>
    <w:rsid w:val="000771BD"/>
    <w:rsid w:val="00083A1D"/>
    <w:rsid w:val="00083B5E"/>
    <w:rsid w:val="00084C42"/>
    <w:rsid w:val="000865C1"/>
    <w:rsid w:val="00086FC3"/>
    <w:rsid w:val="00087ECD"/>
    <w:rsid w:val="00090CC5"/>
    <w:rsid w:val="00093CFD"/>
    <w:rsid w:val="000B2670"/>
    <w:rsid w:val="000B7B66"/>
    <w:rsid w:val="000C12E8"/>
    <w:rsid w:val="000C4C4B"/>
    <w:rsid w:val="000C5572"/>
    <w:rsid w:val="000E01DA"/>
    <w:rsid w:val="000E0B2A"/>
    <w:rsid w:val="000E4556"/>
    <w:rsid w:val="000F2A05"/>
    <w:rsid w:val="000F3119"/>
    <w:rsid w:val="00100D0B"/>
    <w:rsid w:val="00110E75"/>
    <w:rsid w:val="00115246"/>
    <w:rsid w:val="00115B9F"/>
    <w:rsid w:val="00120AC3"/>
    <w:rsid w:val="00122733"/>
    <w:rsid w:val="00122C11"/>
    <w:rsid w:val="0013054B"/>
    <w:rsid w:val="00131964"/>
    <w:rsid w:val="00133F4D"/>
    <w:rsid w:val="00135EC3"/>
    <w:rsid w:val="0014355A"/>
    <w:rsid w:val="0014587C"/>
    <w:rsid w:val="0015161E"/>
    <w:rsid w:val="001613D0"/>
    <w:rsid w:val="00161EC1"/>
    <w:rsid w:val="00163ACC"/>
    <w:rsid w:val="00177CD4"/>
    <w:rsid w:val="00177EE1"/>
    <w:rsid w:val="001823A5"/>
    <w:rsid w:val="0018480F"/>
    <w:rsid w:val="0018595C"/>
    <w:rsid w:val="0018660C"/>
    <w:rsid w:val="001964D1"/>
    <w:rsid w:val="001A04C7"/>
    <w:rsid w:val="001B00F9"/>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32FB"/>
    <w:rsid w:val="002033C8"/>
    <w:rsid w:val="0021058D"/>
    <w:rsid w:val="00222783"/>
    <w:rsid w:val="0022443A"/>
    <w:rsid w:val="00230091"/>
    <w:rsid w:val="0023050A"/>
    <w:rsid w:val="002327BA"/>
    <w:rsid w:val="0024298A"/>
    <w:rsid w:val="00244F3B"/>
    <w:rsid w:val="00250C94"/>
    <w:rsid w:val="00250D7E"/>
    <w:rsid w:val="002578B4"/>
    <w:rsid w:val="002719E0"/>
    <w:rsid w:val="00277DD0"/>
    <w:rsid w:val="002A1D89"/>
    <w:rsid w:val="002A28F5"/>
    <w:rsid w:val="002A4B81"/>
    <w:rsid w:val="002A6678"/>
    <w:rsid w:val="002B32D0"/>
    <w:rsid w:val="002B5936"/>
    <w:rsid w:val="002B5EAA"/>
    <w:rsid w:val="002C32B8"/>
    <w:rsid w:val="002C3793"/>
    <w:rsid w:val="002D6448"/>
    <w:rsid w:val="002E1F0A"/>
    <w:rsid w:val="002E200D"/>
    <w:rsid w:val="002E209B"/>
    <w:rsid w:val="002E3580"/>
    <w:rsid w:val="002E4ABA"/>
    <w:rsid w:val="002E51C7"/>
    <w:rsid w:val="002E621C"/>
    <w:rsid w:val="002F09A8"/>
    <w:rsid w:val="002F0D2C"/>
    <w:rsid w:val="002F321D"/>
    <w:rsid w:val="003066D7"/>
    <w:rsid w:val="003122FF"/>
    <w:rsid w:val="00320937"/>
    <w:rsid w:val="00323C69"/>
    <w:rsid w:val="003247BD"/>
    <w:rsid w:val="00324B5E"/>
    <w:rsid w:val="00330DCB"/>
    <w:rsid w:val="003325BC"/>
    <w:rsid w:val="00335F68"/>
    <w:rsid w:val="00344A25"/>
    <w:rsid w:val="00344C1B"/>
    <w:rsid w:val="0034694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75C8"/>
    <w:rsid w:val="003D05EC"/>
    <w:rsid w:val="003D4BC5"/>
    <w:rsid w:val="003D5544"/>
    <w:rsid w:val="003E0154"/>
    <w:rsid w:val="003E0C35"/>
    <w:rsid w:val="003E2DEC"/>
    <w:rsid w:val="003E3B71"/>
    <w:rsid w:val="003E4248"/>
    <w:rsid w:val="004028B1"/>
    <w:rsid w:val="00413B07"/>
    <w:rsid w:val="00413BC2"/>
    <w:rsid w:val="00415D6D"/>
    <w:rsid w:val="00416A62"/>
    <w:rsid w:val="00416CFE"/>
    <w:rsid w:val="0043267B"/>
    <w:rsid w:val="00441871"/>
    <w:rsid w:val="00446762"/>
    <w:rsid w:val="00451709"/>
    <w:rsid w:val="00457B4D"/>
    <w:rsid w:val="00466B01"/>
    <w:rsid w:val="00472B74"/>
    <w:rsid w:val="00474EA5"/>
    <w:rsid w:val="0047525A"/>
    <w:rsid w:val="0047580B"/>
    <w:rsid w:val="00475AFC"/>
    <w:rsid w:val="0048144B"/>
    <w:rsid w:val="00484A44"/>
    <w:rsid w:val="0048610B"/>
    <w:rsid w:val="00495EC7"/>
    <w:rsid w:val="00496B69"/>
    <w:rsid w:val="00497753"/>
    <w:rsid w:val="004A2567"/>
    <w:rsid w:val="004A5273"/>
    <w:rsid w:val="004A6307"/>
    <w:rsid w:val="004A6F0D"/>
    <w:rsid w:val="004A79BF"/>
    <w:rsid w:val="004C0D2B"/>
    <w:rsid w:val="004C675B"/>
    <w:rsid w:val="004C7573"/>
    <w:rsid w:val="004D18C5"/>
    <w:rsid w:val="004D26D4"/>
    <w:rsid w:val="004D309D"/>
    <w:rsid w:val="004D5AFE"/>
    <w:rsid w:val="004D6871"/>
    <w:rsid w:val="004E06D1"/>
    <w:rsid w:val="004E33BF"/>
    <w:rsid w:val="004E57DE"/>
    <w:rsid w:val="004F04AF"/>
    <w:rsid w:val="004F3A36"/>
    <w:rsid w:val="004F7473"/>
    <w:rsid w:val="005024F5"/>
    <w:rsid w:val="00506612"/>
    <w:rsid w:val="00507B00"/>
    <w:rsid w:val="00507DB2"/>
    <w:rsid w:val="00511313"/>
    <w:rsid w:val="005119BA"/>
    <w:rsid w:val="0052515B"/>
    <w:rsid w:val="00525E3E"/>
    <w:rsid w:val="00526ADA"/>
    <w:rsid w:val="00536C46"/>
    <w:rsid w:val="00542518"/>
    <w:rsid w:val="00543DD3"/>
    <w:rsid w:val="005455F0"/>
    <w:rsid w:val="00553373"/>
    <w:rsid w:val="00563E14"/>
    <w:rsid w:val="00565961"/>
    <w:rsid w:val="00565D8A"/>
    <w:rsid w:val="00566770"/>
    <w:rsid w:val="00571AE3"/>
    <w:rsid w:val="0058059A"/>
    <w:rsid w:val="00580A65"/>
    <w:rsid w:val="00581C11"/>
    <w:rsid w:val="0058662F"/>
    <w:rsid w:val="005952F9"/>
    <w:rsid w:val="00597D76"/>
    <w:rsid w:val="005A1AB3"/>
    <w:rsid w:val="005A7EFD"/>
    <w:rsid w:val="005B11BA"/>
    <w:rsid w:val="005B6E78"/>
    <w:rsid w:val="005C3E12"/>
    <w:rsid w:val="005C6C49"/>
    <w:rsid w:val="005D417E"/>
    <w:rsid w:val="005D60D5"/>
    <w:rsid w:val="005E79B6"/>
    <w:rsid w:val="005F10E8"/>
    <w:rsid w:val="005F13F5"/>
    <w:rsid w:val="005F1DE6"/>
    <w:rsid w:val="005F2591"/>
    <w:rsid w:val="005F4CDB"/>
    <w:rsid w:val="005F6DF6"/>
    <w:rsid w:val="00604A22"/>
    <w:rsid w:val="006075F9"/>
    <w:rsid w:val="00610D46"/>
    <w:rsid w:val="00611B39"/>
    <w:rsid w:val="00612598"/>
    <w:rsid w:val="00614CD3"/>
    <w:rsid w:val="00622C21"/>
    <w:rsid w:val="0062723B"/>
    <w:rsid w:val="00631A7E"/>
    <w:rsid w:val="0063423F"/>
    <w:rsid w:val="00635C41"/>
    <w:rsid w:val="006470EC"/>
    <w:rsid w:val="006515EA"/>
    <w:rsid w:val="00652141"/>
    <w:rsid w:val="0065630E"/>
    <w:rsid w:val="006574AF"/>
    <w:rsid w:val="00657EB2"/>
    <w:rsid w:val="00660E17"/>
    <w:rsid w:val="00674BC6"/>
    <w:rsid w:val="0068059B"/>
    <w:rsid w:val="00683E9F"/>
    <w:rsid w:val="006946CA"/>
    <w:rsid w:val="00695CCE"/>
    <w:rsid w:val="006A1A4E"/>
    <w:rsid w:val="006A5D9B"/>
    <w:rsid w:val="006A79DB"/>
    <w:rsid w:val="006B01CE"/>
    <w:rsid w:val="006B4237"/>
    <w:rsid w:val="006B52B1"/>
    <w:rsid w:val="006C181C"/>
    <w:rsid w:val="006C4AB1"/>
    <w:rsid w:val="006D1F3D"/>
    <w:rsid w:val="006D45F7"/>
    <w:rsid w:val="006D4803"/>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0933"/>
    <w:rsid w:val="00753965"/>
    <w:rsid w:val="00761513"/>
    <w:rsid w:val="0076721B"/>
    <w:rsid w:val="007711AE"/>
    <w:rsid w:val="00780A43"/>
    <w:rsid w:val="00780CDD"/>
    <w:rsid w:val="00785C4E"/>
    <w:rsid w:val="0078647E"/>
    <w:rsid w:val="00790365"/>
    <w:rsid w:val="00793151"/>
    <w:rsid w:val="00793D23"/>
    <w:rsid w:val="00794E01"/>
    <w:rsid w:val="00795EE6"/>
    <w:rsid w:val="007A2D2E"/>
    <w:rsid w:val="007A33E9"/>
    <w:rsid w:val="007A3549"/>
    <w:rsid w:val="007A3D34"/>
    <w:rsid w:val="007A4EAD"/>
    <w:rsid w:val="007A7D09"/>
    <w:rsid w:val="007B0A01"/>
    <w:rsid w:val="007B4464"/>
    <w:rsid w:val="007B47E8"/>
    <w:rsid w:val="007B4D05"/>
    <w:rsid w:val="007C001F"/>
    <w:rsid w:val="007C1329"/>
    <w:rsid w:val="007C7235"/>
    <w:rsid w:val="007D7ACE"/>
    <w:rsid w:val="007E3CF9"/>
    <w:rsid w:val="007E6A4F"/>
    <w:rsid w:val="007F0F82"/>
    <w:rsid w:val="007F2CFB"/>
    <w:rsid w:val="007F3280"/>
    <w:rsid w:val="0080433B"/>
    <w:rsid w:val="008072B5"/>
    <w:rsid w:val="00810CC5"/>
    <w:rsid w:val="008114D3"/>
    <w:rsid w:val="008118B9"/>
    <w:rsid w:val="00817A97"/>
    <w:rsid w:val="008205DB"/>
    <w:rsid w:val="00822F15"/>
    <w:rsid w:val="0082323D"/>
    <w:rsid w:val="008319A5"/>
    <w:rsid w:val="00833476"/>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7628"/>
    <w:rsid w:val="0087799B"/>
    <w:rsid w:val="00880331"/>
    <w:rsid w:val="008827A8"/>
    <w:rsid w:val="00894FB3"/>
    <w:rsid w:val="00895F51"/>
    <w:rsid w:val="008A0568"/>
    <w:rsid w:val="008A6F3C"/>
    <w:rsid w:val="008A72A3"/>
    <w:rsid w:val="008B2ECC"/>
    <w:rsid w:val="008B343B"/>
    <w:rsid w:val="008B4335"/>
    <w:rsid w:val="008B511C"/>
    <w:rsid w:val="008C3AFE"/>
    <w:rsid w:val="008C3E33"/>
    <w:rsid w:val="008C49F0"/>
    <w:rsid w:val="008D170A"/>
    <w:rsid w:val="008D28FA"/>
    <w:rsid w:val="008D4D60"/>
    <w:rsid w:val="008D60AF"/>
    <w:rsid w:val="008D73CC"/>
    <w:rsid w:val="008F1450"/>
    <w:rsid w:val="008F1965"/>
    <w:rsid w:val="008F44EF"/>
    <w:rsid w:val="008F4B97"/>
    <w:rsid w:val="008F6FA2"/>
    <w:rsid w:val="009016C6"/>
    <w:rsid w:val="0090519F"/>
    <w:rsid w:val="00916742"/>
    <w:rsid w:val="0092376B"/>
    <w:rsid w:val="0092528B"/>
    <w:rsid w:val="00926117"/>
    <w:rsid w:val="00941CCB"/>
    <w:rsid w:val="00944020"/>
    <w:rsid w:val="00947D1B"/>
    <w:rsid w:val="00952F80"/>
    <w:rsid w:val="009535BB"/>
    <w:rsid w:val="00953B73"/>
    <w:rsid w:val="00956037"/>
    <w:rsid w:val="00961EEA"/>
    <w:rsid w:val="0096559A"/>
    <w:rsid w:val="00965A88"/>
    <w:rsid w:val="00966DF6"/>
    <w:rsid w:val="0097214C"/>
    <w:rsid w:val="00972403"/>
    <w:rsid w:val="00974B80"/>
    <w:rsid w:val="009826DE"/>
    <w:rsid w:val="00987ADD"/>
    <w:rsid w:val="009922AB"/>
    <w:rsid w:val="0099450A"/>
    <w:rsid w:val="009946DF"/>
    <w:rsid w:val="00995C33"/>
    <w:rsid w:val="00996A2D"/>
    <w:rsid w:val="009A2914"/>
    <w:rsid w:val="009A5BF7"/>
    <w:rsid w:val="009B6F47"/>
    <w:rsid w:val="009C1CBF"/>
    <w:rsid w:val="009C4EE3"/>
    <w:rsid w:val="009C6967"/>
    <w:rsid w:val="009D0299"/>
    <w:rsid w:val="009E2E7D"/>
    <w:rsid w:val="009E35A2"/>
    <w:rsid w:val="009E3D25"/>
    <w:rsid w:val="009F1F5F"/>
    <w:rsid w:val="009F3964"/>
    <w:rsid w:val="009F51B9"/>
    <w:rsid w:val="00A004FF"/>
    <w:rsid w:val="00A105CB"/>
    <w:rsid w:val="00A23BF6"/>
    <w:rsid w:val="00A24961"/>
    <w:rsid w:val="00A25072"/>
    <w:rsid w:val="00A26293"/>
    <w:rsid w:val="00A339EE"/>
    <w:rsid w:val="00A41909"/>
    <w:rsid w:val="00A42A9F"/>
    <w:rsid w:val="00A43C9B"/>
    <w:rsid w:val="00A57448"/>
    <w:rsid w:val="00A64001"/>
    <w:rsid w:val="00A64E71"/>
    <w:rsid w:val="00A658CC"/>
    <w:rsid w:val="00A729A4"/>
    <w:rsid w:val="00A73F84"/>
    <w:rsid w:val="00A74863"/>
    <w:rsid w:val="00A85A3D"/>
    <w:rsid w:val="00A86400"/>
    <w:rsid w:val="00A94ABD"/>
    <w:rsid w:val="00A95274"/>
    <w:rsid w:val="00A97427"/>
    <w:rsid w:val="00AA122A"/>
    <w:rsid w:val="00AA3BF2"/>
    <w:rsid w:val="00AB1456"/>
    <w:rsid w:val="00AB2075"/>
    <w:rsid w:val="00AB726B"/>
    <w:rsid w:val="00AC1B37"/>
    <w:rsid w:val="00AC5BFA"/>
    <w:rsid w:val="00AC7FEF"/>
    <w:rsid w:val="00AD126E"/>
    <w:rsid w:val="00AD2E6B"/>
    <w:rsid w:val="00AD4342"/>
    <w:rsid w:val="00AD4515"/>
    <w:rsid w:val="00AD4724"/>
    <w:rsid w:val="00AE79CC"/>
    <w:rsid w:val="00AF1681"/>
    <w:rsid w:val="00B018D5"/>
    <w:rsid w:val="00B074FA"/>
    <w:rsid w:val="00B10983"/>
    <w:rsid w:val="00B15E71"/>
    <w:rsid w:val="00B22E8C"/>
    <w:rsid w:val="00B2558F"/>
    <w:rsid w:val="00B25B63"/>
    <w:rsid w:val="00B264AA"/>
    <w:rsid w:val="00B3007D"/>
    <w:rsid w:val="00B33E48"/>
    <w:rsid w:val="00B352E1"/>
    <w:rsid w:val="00B42AF7"/>
    <w:rsid w:val="00B42F99"/>
    <w:rsid w:val="00B43395"/>
    <w:rsid w:val="00B454AD"/>
    <w:rsid w:val="00B46522"/>
    <w:rsid w:val="00B46BAE"/>
    <w:rsid w:val="00B51C54"/>
    <w:rsid w:val="00B540C7"/>
    <w:rsid w:val="00B57251"/>
    <w:rsid w:val="00B7431D"/>
    <w:rsid w:val="00B75E73"/>
    <w:rsid w:val="00B81288"/>
    <w:rsid w:val="00B81563"/>
    <w:rsid w:val="00B851B9"/>
    <w:rsid w:val="00B941BE"/>
    <w:rsid w:val="00B94F75"/>
    <w:rsid w:val="00B97E2E"/>
    <w:rsid w:val="00BB074A"/>
    <w:rsid w:val="00BB5B1D"/>
    <w:rsid w:val="00BC1C70"/>
    <w:rsid w:val="00BC6E9B"/>
    <w:rsid w:val="00BD1443"/>
    <w:rsid w:val="00BD65B4"/>
    <w:rsid w:val="00BE0D27"/>
    <w:rsid w:val="00BE31EE"/>
    <w:rsid w:val="00BE7923"/>
    <w:rsid w:val="00BF232D"/>
    <w:rsid w:val="00BF2357"/>
    <w:rsid w:val="00BF3CE5"/>
    <w:rsid w:val="00C12DBB"/>
    <w:rsid w:val="00C16681"/>
    <w:rsid w:val="00C228DD"/>
    <w:rsid w:val="00C245A3"/>
    <w:rsid w:val="00C2686E"/>
    <w:rsid w:val="00C272DD"/>
    <w:rsid w:val="00C3351A"/>
    <w:rsid w:val="00C34041"/>
    <w:rsid w:val="00C40EA1"/>
    <w:rsid w:val="00C41F1C"/>
    <w:rsid w:val="00C42E70"/>
    <w:rsid w:val="00C43E6D"/>
    <w:rsid w:val="00C47A64"/>
    <w:rsid w:val="00C54A31"/>
    <w:rsid w:val="00C57549"/>
    <w:rsid w:val="00C67F40"/>
    <w:rsid w:val="00C75990"/>
    <w:rsid w:val="00C8074A"/>
    <w:rsid w:val="00C81AFC"/>
    <w:rsid w:val="00C838D5"/>
    <w:rsid w:val="00C85CFE"/>
    <w:rsid w:val="00C87028"/>
    <w:rsid w:val="00C91C48"/>
    <w:rsid w:val="00C92D37"/>
    <w:rsid w:val="00CB24EC"/>
    <w:rsid w:val="00CB48FF"/>
    <w:rsid w:val="00CC18D4"/>
    <w:rsid w:val="00CC3386"/>
    <w:rsid w:val="00CC40EC"/>
    <w:rsid w:val="00CC4112"/>
    <w:rsid w:val="00CC5BEA"/>
    <w:rsid w:val="00CD6465"/>
    <w:rsid w:val="00CE1635"/>
    <w:rsid w:val="00CE1848"/>
    <w:rsid w:val="00CE7001"/>
    <w:rsid w:val="00CF05EB"/>
    <w:rsid w:val="00CF0A54"/>
    <w:rsid w:val="00CF1D43"/>
    <w:rsid w:val="00CF238C"/>
    <w:rsid w:val="00CF4E3B"/>
    <w:rsid w:val="00CF6396"/>
    <w:rsid w:val="00D01E4B"/>
    <w:rsid w:val="00D104FE"/>
    <w:rsid w:val="00D10CAF"/>
    <w:rsid w:val="00D22916"/>
    <w:rsid w:val="00D229EB"/>
    <w:rsid w:val="00D2663C"/>
    <w:rsid w:val="00D30F98"/>
    <w:rsid w:val="00D3266A"/>
    <w:rsid w:val="00D42F25"/>
    <w:rsid w:val="00D4344C"/>
    <w:rsid w:val="00D44B3F"/>
    <w:rsid w:val="00D46612"/>
    <w:rsid w:val="00D50333"/>
    <w:rsid w:val="00D57658"/>
    <w:rsid w:val="00D74BE5"/>
    <w:rsid w:val="00D80E7B"/>
    <w:rsid w:val="00D83CCC"/>
    <w:rsid w:val="00D86A27"/>
    <w:rsid w:val="00D873C5"/>
    <w:rsid w:val="00D90A81"/>
    <w:rsid w:val="00D93327"/>
    <w:rsid w:val="00D939BA"/>
    <w:rsid w:val="00D96805"/>
    <w:rsid w:val="00DA22B2"/>
    <w:rsid w:val="00DA7A18"/>
    <w:rsid w:val="00DB31A7"/>
    <w:rsid w:val="00DC280B"/>
    <w:rsid w:val="00DC477A"/>
    <w:rsid w:val="00DC612B"/>
    <w:rsid w:val="00DD2332"/>
    <w:rsid w:val="00DD43EF"/>
    <w:rsid w:val="00DE565F"/>
    <w:rsid w:val="00DF308F"/>
    <w:rsid w:val="00DF7B12"/>
    <w:rsid w:val="00E05527"/>
    <w:rsid w:val="00E0708A"/>
    <w:rsid w:val="00E1007C"/>
    <w:rsid w:val="00E12FFA"/>
    <w:rsid w:val="00E21FBA"/>
    <w:rsid w:val="00E22ED4"/>
    <w:rsid w:val="00E3469A"/>
    <w:rsid w:val="00E3672B"/>
    <w:rsid w:val="00E408E0"/>
    <w:rsid w:val="00E458B9"/>
    <w:rsid w:val="00E52CFB"/>
    <w:rsid w:val="00E54F49"/>
    <w:rsid w:val="00E62CC2"/>
    <w:rsid w:val="00E73FC7"/>
    <w:rsid w:val="00E75BF0"/>
    <w:rsid w:val="00E80352"/>
    <w:rsid w:val="00E8133F"/>
    <w:rsid w:val="00E9028C"/>
    <w:rsid w:val="00E9673B"/>
    <w:rsid w:val="00E96974"/>
    <w:rsid w:val="00E970B9"/>
    <w:rsid w:val="00EA310D"/>
    <w:rsid w:val="00EA3749"/>
    <w:rsid w:val="00EA47F5"/>
    <w:rsid w:val="00EA5EB0"/>
    <w:rsid w:val="00EB627F"/>
    <w:rsid w:val="00EB78CD"/>
    <w:rsid w:val="00EC72C5"/>
    <w:rsid w:val="00ED1568"/>
    <w:rsid w:val="00ED2149"/>
    <w:rsid w:val="00ED2212"/>
    <w:rsid w:val="00ED37CC"/>
    <w:rsid w:val="00ED6672"/>
    <w:rsid w:val="00EE0F9D"/>
    <w:rsid w:val="00EF0010"/>
    <w:rsid w:val="00EF046F"/>
    <w:rsid w:val="00EF0DF1"/>
    <w:rsid w:val="00EF45E1"/>
    <w:rsid w:val="00F0356C"/>
    <w:rsid w:val="00F0435E"/>
    <w:rsid w:val="00F1445B"/>
    <w:rsid w:val="00F14603"/>
    <w:rsid w:val="00F22515"/>
    <w:rsid w:val="00F25512"/>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959"/>
    <w:rsid w:val="00F7440B"/>
    <w:rsid w:val="00F77E2F"/>
    <w:rsid w:val="00F80EAA"/>
    <w:rsid w:val="00F830AA"/>
    <w:rsid w:val="00F83483"/>
    <w:rsid w:val="00F86A9A"/>
    <w:rsid w:val="00F919B6"/>
    <w:rsid w:val="00F953E7"/>
    <w:rsid w:val="00F96891"/>
    <w:rsid w:val="00FA152E"/>
    <w:rsid w:val="00FA1ABC"/>
    <w:rsid w:val="00FA642F"/>
    <w:rsid w:val="00FB1DA2"/>
    <w:rsid w:val="00FB424D"/>
    <w:rsid w:val="00FB4D49"/>
    <w:rsid w:val="00FB62D8"/>
    <w:rsid w:val="00FB79D5"/>
    <w:rsid w:val="00FB7D89"/>
    <w:rsid w:val="00FC3BAC"/>
    <w:rsid w:val="00FC3FC4"/>
    <w:rsid w:val="00FC47BF"/>
    <w:rsid w:val="00FC6291"/>
    <w:rsid w:val="00FE1FAB"/>
    <w:rsid w:val="00FE3931"/>
    <w:rsid w:val="00FE3B73"/>
    <w:rsid w:val="00FF0A82"/>
    <w:rsid w:val="00FF2EE1"/>
    <w:rsid w:val="5F5472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glossaryDocument" Target="glossary/document.xml" Id="R547149f574824f7a"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e9211c-573e-4b79-b6ae-40328d0b1cc8}"/>
      </w:docPartPr>
      <w:docPartBody>
        <w:p w14:paraId="7445F53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5</revision>
  <dcterms:created xsi:type="dcterms:W3CDTF">2022-05-13T04:21:00.0000000Z</dcterms:created>
  <dcterms:modified xsi:type="dcterms:W3CDTF">2022-05-26T23:11:07.2007975Z</dcterms:modified>
</coreProperties>
</file>