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3484" w:rsidRDefault="001B0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Resolución del Pleno del Instituto de Transparencia, Acceso a la Información Pública y Protección de Datos Personales del Estado de México y Municipios, con domicilio en Metepec, Estado de México, de fecha veintisiete de abril del dos mil veintidós.</w:t>
      </w:r>
    </w:p>
    <w:p w:rsidR="002D3484" w:rsidRDefault="001B0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01079/INFOEM/IP/RR/2022</w:t>
      </w:r>
      <w:r>
        <w:rPr>
          <w:rFonts w:ascii="Palatino Linotype" w:eastAsia="Palatino Linotype" w:hAnsi="Palatino Linotype" w:cs="Palatino Linotype"/>
        </w:rPr>
        <w:t xml:space="preserve">, interpuesto por </w:t>
      </w:r>
      <w:r>
        <w:rPr>
          <w:rFonts w:ascii="Palatino Linotype" w:eastAsia="Palatino Linotype" w:hAnsi="Palatino Linotype" w:cs="Palatino Linotype"/>
          <w:b/>
        </w:rPr>
        <w:t>un particular que no proporciono su nombre</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de información con número de folio </w:t>
      </w:r>
      <w:r>
        <w:rPr>
          <w:rFonts w:ascii="Palatino Linotype" w:eastAsia="Palatino Linotype" w:hAnsi="Palatino Linotype" w:cs="Palatino Linotype"/>
          <w:b/>
        </w:rPr>
        <w:t>00088/NAUCALP</w:t>
      </w:r>
      <w:r>
        <w:rPr>
          <w:rFonts w:ascii="Palatino Linotype" w:eastAsia="Palatino Linotype" w:hAnsi="Palatino Linotype" w:cs="Palatino Linotype"/>
          <w:b/>
        </w:rPr>
        <w:t xml:space="preserve">A/IP/2022, </w:t>
      </w:r>
      <w:r>
        <w:rPr>
          <w:rFonts w:ascii="Palatino Linotype" w:eastAsia="Palatino Linotype" w:hAnsi="Palatino Linotype" w:cs="Palatino Linotype"/>
        </w:rPr>
        <w:t xml:space="preserve">por parte del </w:t>
      </w:r>
      <w:r>
        <w:rPr>
          <w:rFonts w:ascii="Palatino Linotype" w:eastAsia="Palatino Linotype" w:hAnsi="Palatino Linotype" w:cs="Palatino Linotype"/>
          <w:b/>
        </w:rPr>
        <w:t xml:space="preserve">Ayuntamiento de Naucalpan de Juárez,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rsidR="002D3484" w:rsidRDefault="001B014F">
      <w:pPr>
        <w:numPr>
          <w:ilvl w:val="0"/>
          <w:numId w:val="1"/>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rsidR="002D3484" w:rsidRDefault="001B0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Con fecha veintiocho </w:t>
      </w:r>
      <w:r>
        <w:rPr>
          <w:rFonts w:ascii="Palatino Linotype" w:eastAsia="Palatino Linotype" w:hAnsi="Palatino Linotype" w:cs="Palatino Linotype"/>
        </w:rPr>
        <w:t xml:space="preserve">de enero del dos mil veintidós,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rsidR="002D3484" w:rsidRDefault="001B014F">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“NÚMEROS DE CUENTAS BANCARI</w:t>
      </w:r>
      <w:r>
        <w:rPr>
          <w:rFonts w:ascii="Palatino Linotype" w:eastAsia="Palatino Linotype" w:hAnsi="Palatino Linotype" w:cs="Palatino Linotype"/>
          <w:i/>
          <w:sz w:val="22"/>
          <w:szCs w:val="22"/>
        </w:rPr>
        <w:t>AS INCLUYENDO LAS FEDERALES, INDICANDO CUANTO DINERO HAY EN CADA UNA DE ELLAS Y AQUE BANCO PERTENECEN, ADJUNTANDO DOCUMENTO VERIDICO QUE ACREDITE SU RESPUESTA” (Sic)</w:t>
      </w:r>
    </w:p>
    <w:p w:rsidR="002D3484" w:rsidRDefault="001B0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rsidR="002D3484" w:rsidRDefault="001B0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Co</w:t>
      </w:r>
      <w:r>
        <w:rPr>
          <w:rFonts w:ascii="Palatino Linotype" w:eastAsia="Palatino Linotype" w:hAnsi="Palatino Linotype" w:cs="Palatino Linotype"/>
        </w:rPr>
        <w:t xml:space="preserve">n fecha dieciocho de febrero del dos mil veintidós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 solicitud de acceso a la información a través del SAIMEX, la cual versa como sigue:</w:t>
      </w:r>
    </w:p>
    <w:p w:rsidR="002D3484" w:rsidRDefault="001B014F">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rPr>
        <w:t>“</w:t>
      </w:r>
      <w:r>
        <w:rPr>
          <w:rFonts w:ascii="Palatino Linotype" w:eastAsia="Palatino Linotype" w:hAnsi="Palatino Linotype" w:cs="Palatino Linotype"/>
          <w:i/>
          <w:color w:val="000000"/>
          <w:sz w:val="22"/>
          <w:szCs w:val="22"/>
        </w:rPr>
        <w:t>En respuesta a la solicitud recibida, nos permitimos hacer de su conocimiento</w:t>
      </w:r>
      <w:r>
        <w:rPr>
          <w:rFonts w:ascii="Palatino Linotype" w:eastAsia="Palatino Linotype" w:hAnsi="Palatino Linotype" w:cs="Palatino Linotype"/>
          <w:i/>
          <w:color w:val="000000"/>
          <w:sz w:val="22"/>
          <w:szCs w:val="22"/>
        </w:rPr>
        <w:t xml:space="preserve"> que con fundamento en el artículo 53, Fracciones: II, V y VI de la Ley de Transparencia y Acceso a la Información Pública del Estado de México y Municipios, le contestamos que:</w:t>
      </w:r>
    </w:p>
    <w:p w:rsidR="002D3484" w:rsidRDefault="001B014F">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Solicitante de la información: En atención al folio de solicitud ingresa mediante Sistema de Información Mexiquense (SAIMEX) número 00088/NAUCALPAN/IP/2022, y dando cumplimiento a lo establecido por el artículo 9 y 140 de la Ley de Transparencia Acceso a l</w:t>
      </w:r>
      <w:r>
        <w:rPr>
          <w:rFonts w:ascii="Palatino Linotype" w:eastAsia="Palatino Linotype" w:hAnsi="Palatino Linotype" w:cs="Palatino Linotype"/>
          <w:i/>
          <w:color w:val="000000"/>
          <w:sz w:val="22"/>
          <w:szCs w:val="22"/>
        </w:rPr>
        <w:t xml:space="preserve">a Información Pública del Estado de México y Municipios. Me permito hacer de su conocimiento que con respecto a la información solicitada y para los efectos procedentes me permito comunicarle que la información referente a la información solicitada, </w:t>
      </w:r>
      <w:r>
        <w:rPr>
          <w:rFonts w:ascii="Palatino Linotype" w:eastAsia="Palatino Linotype" w:hAnsi="Palatino Linotype" w:cs="Palatino Linotype"/>
          <w:b/>
          <w:i/>
          <w:color w:val="000000"/>
          <w:sz w:val="22"/>
          <w:szCs w:val="22"/>
          <w:u w:val="single"/>
        </w:rPr>
        <w:t>el Com</w:t>
      </w:r>
      <w:r>
        <w:rPr>
          <w:rFonts w:ascii="Palatino Linotype" w:eastAsia="Palatino Linotype" w:hAnsi="Palatino Linotype" w:cs="Palatino Linotype"/>
          <w:b/>
          <w:i/>
          <w:color w:val="000000"/>
          <w:sz w:val="22"/>
          <w:szCs w:val="22"/>
          <w:u w:val="single"/>
        </w:rPr>
        <w:t>ité de Transparencia en su Primera Sesión Extraordinaria de fecha 18 de febrero de 2022 confirmo la Información como Reserva Total</w:t>
      </w:r>
      <w:r>
        <w:rPr>
          <w:rFonts w:ascii="Palatino Linotype" w:eastAsia="Palatino Linotype" w:hAnsi="Palatino Linotype" w:cs="Palatino Linotype"/>
          <w:i/>
          <w:color w:val="000000"/>
          <w:sz w:val="22"/>
          <w:szCs w:val="22"/>
        </w:rPr>
        <w:t xml:space="preserve"> con acuerdo número CT/NAU/ACTA-EXT-001/2022/ SEGUNDO . Sin otro particular de momento quedo de usted.</w:t>
      </w:r>
    </w:p>
    <w:p w:rsidR="002D3484" w:rsidRDefault="001B014F">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rsidR="002D3484" w:rsidRDefault="001B014F">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 JONATHAN</w:t>
      </w:r>
      <w:r>
        <w:rPr>
          <w:rFonts w:ascii="Palatino Linotype" w:eastAsia="Palatino Linotype" w:hAnsi="Palatino Linotype" w:cs="Palatino Linotype"/>
          <w:i/>
          <w:color w:val="000000"/>
          <w:sz w:val="22"/>
          <w:szCs w:val="22"/>
        </w:rPr>
        <w:t xml:space="preserve"> CHÁVEZ NAV” (Sic)</w:t>
      </w:r>
    </w:p>
    <w:p w:rsidR="002D3484" w:rsidRDefault="002D3484">
      <w:pPr>
        <w:spacing w:line="360" w:lineRule="auto"/>
        <w:jc w:val="both"/>
        <w:rPr>
          <w:rFonts w:ascii="Palatino Linotype" w:eastAsia="Palatino Linotype" w:hAnsi="Palatino Linotype" w:cs="Palatino Linotype"/>
        </w:rPr>
      </w:pPr>
    </w:p>
    <w:p w:rsidR="002D3484" w:rsidRDefault="001B0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el solicitante con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interpuso el recurso de revisión a través del SAIMEX en fecha veintidós de febrero del dos mil veintidós, a través del cual expresó</w:t>
      </w:r>
      <w:r>
        <w:rPr>
          <w:rFonts w:ascii="Palatino Linotype" w:eastAsia="Palatino Linotype" w:hAnsi="Palatino Linotype" w:cs="Palatino Linotype"/>
        </w:rPr>
        <w:t xml:space="preserve"> lo siguiente:</w:t>
      </w:r>
    </w:p>
    <w:p w:rsidR="002D3484" w:rsidRDefault="002D3484">
      <w:pPr>
        <w:spacing w:line="360" w:lineRule="auto"/>
        <w:jc w:val="both"/>
        <w:rPr>
          <w:rFonts w:ascii="Palatino Linotype" w:eastAsia="Palatino Linotype" w:hAnsi="Palatino Linotype" w:cs="Palatino Linotype"/>
        </w:rPr>
      </w:pPr>
    </w:p>
    <w:p w:rsidR="002D3484" w:rsidRDefault="001B014F">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2D3484" w:rsidRDefault="001B014F">
      <w:pPr>
        <w:spacing w:after="240"/>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“Me niegan la información” (Sic)</w:t>
      </w:r>
    </w:p>
    <w:p w:rsidR="002D3484" w:rsidRDefault="001B014F">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2D3484" w:rsidRDefault="001B014F">
      <w:pPr>
        <w:spacing w:after="240"/>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“Reservan información que es pública negándome el acceso a ella” (Sic)</w:t>
      </w:r>
    </w:p>
    <w:p w:rsidR="002D3484" w:rsidRDefault="001B014F">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Pr>
          <w:rFonts w:ascii="Palatino Linotype" w:eastAsia="Palatino Linotype" w:hAnsi="Palatino Linotype" w:cs="Palatino Linotype"/>
          <w:b/>
        </w:rPr>
        <w:t xml:space="preserve">01079/INFOEM/IP/RR/2022 </w:t>
      </w:r>
      <w:r>
        <w:rPr>
          <w:rFonts w:ascii="Palatino Linotype" w:eastAsia="Palatino Linotype" w:hAnsi="Palatino Linotype" w:cs="Palatino Linotype"/>
        </w:rPr>
        <w:t>se turnó</w:t>
      </w:r>
      <w:r>
        <w:rPr>
          <w:rFonts w:ascii="Palatino Linotype" w:eastAsia="Palatino Linotype" w:hAnsi="Palatino Linotype" w:cs="Palatino Linotype"/>
          <w:b/>
        </w:rPr>
        <w:t xml:space="preserve"> </w:t>
      </w:r>
      <w:r>
        <w:rPr>
          <w:rFonts w:ascii="Palatino Linotype" w:eastAsia="Palatino Linotype" w:hAnsi="Palatino Linotype" w:cs="Palatino Linotype"/>
        </w:rPr>
        <w:t>por el sistema electrónico del Instituto de Transp</w:t>
      </w:r>
      <w:r>
        <w:rPr>
          <w:rFonts w:ascii="Palatino Linotype" w:eastAsia="Palatino Linotype" w:hAnsi="Palatino Linotype" w:cs="Palatino Linotype"/>
        </w:rPr>
        <w:t xml:space="preserve">arencia, Acceso a la Información Pública y Protección de Datos Personales del Estado de México y Municipios, a la Comisionada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su análisis, estudio, elaboración del proyecto y presentación ante el Pleno de este Instituto.</w:t>
      </w:r>
    </w:p>
    <w:p w:rsidR="002D3484" w:rsidRDefault="002D3484">
      <w:pPr>
        <w:spacing w:line="360" w:lineRule="auto"/>
        <w:jc w:val="both"/>
        <w:rPr>
          <w:rFonts w:ascii="Palatino Linotype" w:eastAsia="Palatino Linotype" w:hAnsi="Palatino Linotype" w:cs="Palatino Linotype"/>
        </w:rPr>
      </w:pPr>
    </w:p>
    <w:p w:rsidR="002D3484" w:rsidRDefault="001B0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5. Ad</w:t>
      </w:r>
      <w:r>
        <w:rPr>
          <w:rFonts w:ascii="Palatino Linotype" w:eastAsia="Palatino Linotype" w:hAnsi="Palatino Linotype" w:cs="Palatino Linotype"/>
          <w:b/>
        </w:rPr>
        <w:t xml:space="preserve">misión del recurso de revisión: </w:t>
      </w:r>
      <w:r>
        <w:rPr>
          <w:rFonts w:ascii="Palatino Linotype" w:eastAsia="Palatino Linotype" w:hAnsi="Palatino Linotype" w:cs="Palatino Linotype"/>
        </w:rPr>
        <w:t>En fecha veinticinco de febrero del dos mil veintidós, la Comisionada ponente, admitió a trámite el recurso de revisión que ahora se resuelve, dando un plazo máximo de siete días hábiles para que las partes manifestaran lo q</w:t>
      </w:r>
      <w:r>
        <w:rPr>
          <w:rFonts w:ascii="Palatino Linotype" w:eastAsia="Palatino Linotype" w:hAnsi="Palatino Linotype" w:cs="Palatino Linotype"/>
        </w:rPr>
        <w:t xml:space="preserve">ue a su derecho resultara conveniente, ofrecieran pruebas, formularan alegatos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 </w:t>
      </w:r>
    </w:p>
    <w:p w:rsidR="002D3484" w:rsidRDefault="002D3484">
      <w:pPr>
        <w:spacing w:after="240" w:line="360" w:lineRule="auto"/>
        <w:jc w:val="both"/>
        <w:rPr>
          <w:rFonts w:ascii="Palatino Linotype" w:eastAsia="Palatino Linotype" w:hAnsi="Palatino Linotype" w:cs="Palatino Linotype"/>
          <w:b/>
        </w:rPr>
      </w:pPr>
    </w:p>
    <w:p w:rsidR="002D3484" w:rsidRDefault="001B0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De las constancias que integran el expediente en que se actúa se advierte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w:t>
      </w:r>
      <w:r>
        <w:rPr>
          <w:rFonts w:ascii="Palatino Linotype" w:eastAsia="Palatino Linotype" w:hAnsi="Palatino Linotype" w:cs="Palatino Linotype"/>
        </w:rPr>
        <w:t>ue omisa en presentar alegatos o manifestación alguna.</w:t>
      </w:r>
    </w:p>
    <w:p w:rsidR="002D3484" w:rsidRDefault="002D3484">
      <w:pPr>
        <w:spacing w:line="360" w:lineRule="auto"/>
        <w:jc w:val="both"/>
        <w:rPr>
          <w:rFonts w:ascii="Palatino Linotype" w:eastAsia="Palatino Linotype" w:hAnsi="Palatino Linotype" w:cs="Palatino Linotype"/>
        </w:rPr>
      </w:pPr>
    </w:p>
    <w:p w:rsidR="002D3484" w:rsidRDefault="001B0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fecha ocho de marzo del año dos mil veintidós, remitió los archivos electrónicos siguientes:</w:t>
      </w:r>
    </w:p>
    <w:p w:rsidR="002D3484" w:rsidRDefault="002D3484">
      <w:pPr>
        <w:spacing w:line="360" w:lineRule="auto"/>
        <w:jc w:val="both"/>
        <w:rPr>
          <w:rFonts w:ascii="Palatino Linotype" w:eastAsia="Palatino Linotype" w:hAnsi="Palatino Linotype" w:cs="Palatino Linotype"/>
        </w:rPr>
      </w:pPr>
    </w:p>
    <w:p w:rsidR="002D3484" w:rsidRDefault="001B0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8">
        <w:r>
          <w:rPr>
            <w:rFonts w:ascii="Palatino Linotype" w:eastAsia="Palatino Linotype" w:hAnsi="Palatino Linotype" w:cs="Palatino Linotype"/>
          </w:rPr>
          <w:t xml:space="preserve"> </w:t>
        </w:r>
      </w:hyperlink>
      <w:hyperlink r:id="rId9">
        <w:r>
          <w:rPr>
            <w:rFonts w:ascii="Palatino Linotype" w:eastAsia="Palatino Linotype" w:hAnsi="Palatino Linotype" w:cs="Palatino Linotype"/>
          </w:rPr>
          <w:t>acta 1° sesion extraordinaria.pdf</w:t>
        </w:r>
      </w:hyperlink>
      <w:r>
        <w:rPr>
          <w:rFonts w:ascii="Palatino Linotype" w:eastAsia="Palatino Linotype" w:hAnsi="Palatino Linotype" w:cs="Palatino Linotype"/>
        </w:rPr>
        <w:t>”, el cual contiene el acta de la primer ses</w:t>
      </w:r>
      <w:r>
        <w:rPr>
          <w:rFonts w:ascii="Palatino Linotype" w:eastAsia="Palatino Linotype" w:hAnsi="Palatino Linotype" w:cs="Palatino Linotype"/>
        </w:rPr>
        <w:t xml:space="preserve">ión extraordinaria del Comité de Transparencia del Sujeto Obligado, de fecha dieciocho de febrero del año en curso a través del cual se aprobó el acuerdo número </w:t>
      </w:r>
      <w:r>
        <w:rPr>
          <w:rFonts w:ascii="Palatino Linotype" w:eastAsia="Palatino Linotype" w:hAnsi="Palatino Linotype" w:cs="Palatino Linotype"/>
        </w:rPr>
        <w:lastRenderedPageBreak/>
        <w:t>CT/NAU/ACTA-EXT-001/2022/SEGUNDO, con el cual se aprobó la reserva de las cuentas bancarias que</w:t>
      </w:r>
      <w:r>
        <w:rPr>
          <w:rFonts w:ascii="Palatino Linotype" w:eastAsia="Palatino Linotype" w:hAnsi="Palatino Linotype" w:cs="Palatino Linotype"/>
        </w:rPr>
        <w:t xml:space="preserve"> no se encuentran embargadas por el término de tres años. </w:t>
      </w:r>
    </w:p>
    <w:p w:rsidR="002D3484" w:rsidRDefault="002D3484">
      <w:pPr>
        <w:spacing w:line="360" w:lineRule="auto"/>
        <w:jc w:val="both"/>
        <w:rPr>
          <w:rFonts w:ascii="Palatino Linotype" w:eastAsia="Palatino Linotype" w:hAnsi="Palatino Linotype" w:cs="Palatino Linotype"/>
        </w:rPr>
      </w:pPr>
    </w:p>
    <w:p w:rsidR="002D3484" w:rsidRDefault="001B0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hyperlink r:id="rId10">
        <w:r>
          <w:rPr>
            <w:rFonts w:ascii="Palatino Linotype" w:eastAsia="Palatino Linotype" w:hAnsi="Palatino Linotype" w:cs="Palatino Linotype"/>
          </w:rPr>
          <w:t>01079-2022.pdf</w:t>
        </w:r>
      </w:hyperlink>
      <w:r>
        <w:rPr>
          <w:rFonts w:ascii="Palatino Linotype" w:eastAsia="Palatino Linotype" w:hAnsi="Palatino Linotype" w:cs="Palatino Linotype"/>
        </w:rPr>
        <w:t>”, el cual contiene el oficio número EMYA/60/2021, a través del cual el encargado del des</w:t>
      </w:r>
      <w:r>
        <w:rPr>
          <w:rFonts w:ascii="Palatino Linotype" w:eastAsia="Palatino Linotype" w:hAnsi="Palatino Linotype" w:cs="Palatino Linotype"/>
        </w:rPr>
        <w:t xml:space="preserve">pacho de la unidad de transparencia y acceso a la información pública, informó la clasificación de la información porque estima que no puede ser de dominio público, derivado a que podría dar uso inadecuado de la misma, ya que si bien no se encuentra en su </w:t>
      </w:r>
      <w:r>
        <w:rPr>
          <w:rFonts w:ascii="Palatino Linotype" w:eastAsia="Palatino Linotype" w:hAnsi="Palatino Linotype" w:cs="Palatino Linotype"/>
        </w:rPr>
        <w:t>totalidad embargadas, esto vulneraría al Ayuntamiento de Naucalpan de Juárez y por lo tanto quedaría en total estado de indefensión a cualquier situación jurídica ya que derivado de los diversos juicios en contra de éste Ayuntamiento ha sufrido embargos de</w:t>
      </w:r>
      <w:r>
        <w:rPr>
          <w:rFonts w:ascii="Palatino Linotype" w:eastAsia="Palatino Linotype" w:hAnsi="Palatino Linotype" w:cs="Palatino Linotype"/>
        </w:rPr>
        <w:t xml:space="preserve"> cuentas de naturaleza imposibilitando el uso del recurso, de acuerdo al fundamento legal que señala en el mismo oficio. </w:t>
      </w:r>
    </w:p>
    <w:p w:rsidR="002D3484" w:rsidRDefault="002D3484">
      <w:pPr>
        <w:spacing w:line="360" w:lineRule="auto"/>
        <w:jc w:val="both"/>
        <w:rPr>
          <w:rFonts w:ascii="Palatino Linotype" w:eastAsia="Palatino Linotype" w:hAnsi="Palatino Linotype" w:cs="Palatino Linotype"/>
        </w:rPr>
      </w:pPr>
    </w:p>
    <w:p w:rsidR="002D3484" w:rsidRDefault="001B0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Archivos electrónicos que en fecha ocho de abril del dos mil veintidós, se pusieron a la vista del recurrente, en términos de la frac</w:t>
      </w:r>
      <w:r>
        <w:rPr>
          <w:rFonts w:ascii="Palatino Linotype" w:eastAsia="Palatino Linotype" w:hAnsi="Palatino Linotype" w:cs="Palatino Linotype"/>
        </w:rPr>
        <w:t xml:space="preserve">ción III del artículo 185 de la Ley de Transparencia y Acceso a la Información Pública del Estado de México y Municipios; para que en el término de tres días manifestara lo que a su derecho convenga respecto de la modificación a la falta de respuesta; sin </w:t>
      </w:r>
      <w:r>
        <w:rPr>
          <w:rFonts w:ascii="Palatino Linotype" w:eastAsia="Palatino Linotype" w:hAnsi="Palatino Linotype" w:cs="Palatino Linotype"/>
        </w:rPr>
        <w:t xml:space="preserve">que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hiciera manifestación alguna.</w:t>
      </w:r>
    </w:p>
    <w:p w:rsidR="002D3484" w:rsidRDefault="002D3484">
      <w:pPr>
        <w:spacing w:after="240" w:line="360" w:lineRule="auto"/>
        <w:jc w:val="both"/>
        <w:rPr>
          <w:rFonts w:ascii="Palatino Linotype" w:eastAsia="Palatino Linotype" w:hAnsi="Palatino Linotype" w:cs="Palatino Linotype"/>
        </w:rPr>
      </w:pPr>
    </w:p>
    <w:p w:rsidR="002D3484" w:rsidRDefault="001B014F">
      <w:pPr>
        <w:widowControl w:val="0"/>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7.- Ampliación del plazo.</w:t>
      </w:r>
      <w:r>
        <w:rPr>
          <w:rFonts w:ascii="Palatino Linotype" w:eastAsia="Palatino Linotype" w:hAnsi="Palatino Linotype" w:cs="Palatino Linotype"/>
        </w:rPr>
        <w:t xml:space="preserve"> En fecha veinte de abril del año dos mil veintidós, con fundamento en el artículo 181, párrafo tercero de la Ley de Transparencia y Acceso a la Información Pública del Estado de Méx</w:t>
      </w:r>
      <w:r>
        <w:rPr>
          <w:rFonts w:ascii="Palatino Linotype" w:eastAsia="Palatino Linotype" w:hAnsi="Palatino Linotype" w:cs="Palatino Linotype"/>
        </w:rPr>
        <w:t>ico y Municipios, se acordó la ampliación del plazo para su resolución.</w:t>
      </w:r>
      <w:r>
        <w:rPr>
          <w:rFonts w:ascii="Palatino Linotype" w:eastAsia="Palatino Linotype" w:hAnsi="Palatino Linotype" w:cs="Palatino Linotype"/>
          <w:b/>
        </w:rPr>
        <w:t xml:space="preserve"> </w:t>
      </w:r>
    </w:p>
    <w:p w:rsidR="002D3484" w:rsidRDefault="001B014F">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8. Cierre de instrucción. </w:t>
      </w:r>
      <w:r>
        <w:rPr>
          <w:rFonts w:ascii="Palatino Linotype" w:eastAsia="Palatino Linotype" w:hAnsi="Palatino Linotype" w:cs="Palatino Linotype"/>
        </w:rPr>
        <w:t>En fecha veintiuno de abril del dos mil veintidós la Comisionada ponente determinó el cierre de instrucción en términos de la fracción VI del artículo 185 de</w:t>
      </w:r>
      <w:r>
        <w:rPr>
          <w:rFonts w:ascii="Palatino Linotype" w:eastAsia="Palatino Linotype" w:hAnsi="Palatino Linotype" w:cs="Palatino Linotype"/>
        </w:rPr>
        <w:t xml:space="preserve"> la Ley de Transparencia y Acceso a la Información Pública del Estado de México y Municipios. </w:t>
      </w:r>
    </w:p>
    <w:p w:rsidR="002D3484" w:rsidRDefault="001B0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w:t>
      </w:r>
      <w:r>
        <w:rPr>
          <w:rFonts w:ascii="Palatino Linotype" w:eastAsia="Palatino Linotype" w:hAnsi="Palatino Linotype" w:cs="Palatino Linotype"/>
        </w:rPr>
        <w:t xml:space="preserve"> proceda, de acuerdo con los siguientes: </w:t>
      </w:r>
    </w:p>
    <w:p w:rsidR="002D3484" w:rsidRDefault="001B014F">
      <w:pPr>
        <w:widowControl w:val="0"/>
        <w:pBdr>
          <w:top w:val="nil"/>
          <w:left w:val="nil"/>
          <w:bottom w:val="nil"/>
          <w:right w:val="nil"/>
          <w:between w:val="nil"/>
        </w:pBdr>
        <w:tabs>
          <w:tab w:val="left" w:pos="709"/>
        </w:tabs>
        <w:spacing w:before="12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II</w:t>
      </w:r>
      <w:r>
        <w:rPr>
          <w:rFonts w:ascii="Palatino Linotype" w:eastAsia="Palatino Linotype" w:hAnsi="Palatino Linotype" w:cs="Palatino Linotype"/>
          <w:b/>
          <w:color w:val="000000"/>
        </w:rPr>
        <w:tab/>
        <w:t>C O N S I D E R A N D O:</w:t>
      </w:r>
    </w:p>
    <w:p w:rsidR="002D3484" w:rsidRDefault="001B014F">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El Instituto de Transparencia, Acceso a la Información Pública y Protección de Datos Personales del Estado de México y Municipios, es competente para conocer y resolver el presente recurso de revisión interpuesto por la parte recurrente, conforme a lo disp</w:t>
      </w:r>
      <w:r>
        <w:rPr>
          <w:rFonts w:ascii="Palatino Linotype" w:eastAsia="Palatino Linotype" w:hAnsi="Palatino Linotype" w:cs="Palatino Linotype"/>
          <w:highlight w:val="white"/>
        </w:rPr>
        <w:t>uesto en los artículos 6, apartado A de la Constitución Política de los Estados Unidos Mexicanos; 5, párrafos trigésimo, trigésimo primero y trigésimo segundo, fracciones IV y V de la Constitución Política del Estado Libre y Soberano de México; 1, 2, fracc</w:t>
      </w:r>
      <w:r>
        <w:rPr>
          <w:rFonts w:ascii="Palatino Linotype" w:eastAsia="Palatino Linotype" w:hAnsi="Palatino Linotype" w:cs="Palatino Linotype"/>
          <w:highlight w:val="white"/>
        </w:rPr>
        <w:t xml:space="preserve">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w:t>
      </w:r>
      <w:r>
        <w:rPr>
          <w:rFonts w:ascii="Palatino Linotype" w:eastAsia="Palatino Linotype" w:hAnsi="Palatino Linotype" w:cs="Palatino Linotype"/>
          <w:highlight w:val="white"/>
        </w:rPr>
        <w:t>, Acceso a la Información Pública y Protección de Datos Personales del Estado de México y Municipios.</w:t>
      </w:r>
    </w:p>
    <w:p w:rsidR="002D3484" w:rsidRDefault="001B0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De conformidad con los requisitos de Oportunidad y Procedibilidad que debe reunir el recurs</w:t>
      </w:r>
      <w:r>
        <w:rPr>
          <w:rFonts w:ascii="Palatino Linotype" w:eastAsia="Palatino Linotype" w:hAnsi="Palatino Linotype" w:cs="Palatino Linotype"/>
        </w:rPr>
        <w:t xml:space="preserve">o de revisión interpuesto, previstos en los artículos 178 y 180 de la Ley de Transparencia y Acceso a la Información Pública del Estado de México y Municipios; </w:t>
      </w:r>
      <w:r>
        <w:rPr>
          <w:rFonts w:ascii="Palatino Linotype" w:eastAsia="Palatino Linotype" w:hAnsi="Palatino Linotype" w:cs="Palatino Linotype"/>
        </w:rPr>
        <w:lastRenderedPageBreak/>
        <w:t xml:space="preserve">en la especie se advierte que el presente medio de impugnación fue interpuesto dentro del plazo </w:t>
      </w:r>
      <w:r>
        <w:rPr>
          <w:rFonts w:ascii="Palatino Linotype" w:eastAsia="Palatino Linotype" w:hAnsi="Palatino Linotype" w:cs="Palatino Linotype"/>
        </w:rPr>
        <w:t xml:space="preserve">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el solicitante en fecha dieciocho de febrero del año dos mil veintidós y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su recurso de revi</w:t>
      </w:r>
      <w:r>
        <w:rPr>
          <w:rFonts w:ascii="Palatino Linotype" w:eastAsia="Palatino Linotype" w:hAnsi="Palatino Linotype" w:cs="Palatino Linotype"/>
        </w:rPr>
        <w:t>sión el veintidós del mismo mes y año, esto es al segundo día hábil siguiente de aquel en que tuvo conocimiento de la respuesta</w:t>
      </w:r>
      <w:r>
        <w:rPr>
          <w:rFonts w:ascii="Palatino Linotype" w:eastAsia="Palatino Linotype" w:hAnsi="Palatino Linotype" w:cs="Palatino Linotype"/>
          <w:highlight w:val="white"/>
        </w:rPr>
        <w:t>;</w:t>
      </w:r>
      <w:r>
        <w:rPr>
          <w:rFonts w:ascii="Palatino Linotype" w:eastAsia="Palatino Linotype" w:hAnsi="Palatino Linotype" w:cs="Palatino Linotype"/>
        </w:rPr>
        <w:t xml:space="preserve"> evidenciándose que la interposición del recurso se encuentra dentro de los márgenes temporales previstos en el citado precepto </w:t>
      </w:r>
      <w:r>
        <w:rPr>
          <w:rFonts w:ascii="Palatino Linotype" w:eastAsia="Palatino Linotype" w:hAnsi="Palatino Linotype" w:cs="Palatino Linotype"/>
        </w:rPr>
        <w:t>legal.</w:t>
      </w:r>
    </w:p>
    <w:p w:rsidR="002D3484" w:rsidRDefault="001B014F">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Al mismo tiempo, tras la revisión del formato de interposición del recurso</w:t>
      </w:r>
      <w:r>
        <w:rPr>
          <w:rFonts w:ascii="Palatino Linotype" w:eastAsia="Palatino Linotype" w:hAnsi="Palatino Linotype" w:cs="Palatino Linotype"/>
        </w:rPr>
        <w:t xml:space="preserve">, es de suma importancia señalar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r>
        <w:rPr>
          <w:rFonts w:ascii="Palatino Linotype" w:eastAsia="Palatino Linotype" w:hAnsi="Palatino Linotype" w:cs="Palatino Linotype"/>
          <w:b/>
        </w:rPr>
        <w:t>no proporcionó su nombre</w:t>
      </w:r>
      <w:r>
        <w:rPr>
          <w:rFonts w:ascii="Palatino Linotype" w:eastAsia="Palatino Linotype" w:hAnsi="Palatino Linotype" w:cs="Palatino Linotype"/>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w:t>
      </w:r>
      <w:r>
        <w:rPr>
          <w:rFonts w:ascii="Palatino Linotype" w:eastAsia="Palatino Linotype" w:hAnsi="Palatino Linotype" w:cs="Palatino Linotype"/>
        </w:rPr>
        <w:t>rrafo de la Ley de Transparencia y Acceso a la Información Pública del Estado de México y Municipios que establece lo siguiente:</w:t>
      </w:r>
    </w:p>
    <w:p w:rsidR="002D3484" w:rsidRDefault="002D3484">
      <w:pPr>
        <w:ind w:left="567" w:right="474"/>
        <w:jc w:val="both"/>
        <w:rPr>
          <w:rFonts w:ascii="Palatino Linotype" w:eastAsia="Palatino Linotype" w:hAnsi="Palatino Linotype" w:cs="Palatino Linotype"/>
          <w:i/>
        </w:rPr>
      </w:pPr>
    </w:p>
    <w:p w:rsidR="002D3484" w:rsidRDefault="001B014F">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Las solicitudes anónimas</w:t>
      </w:r>
      <w:r>
        <w:rPr>
          <w:rFonts w:ascii="Palatino Linotype" w:eastAsia="Palatino Linotype" w:hAnsi="Palatino Linotype" w:cs="Palatino Linotype"/>
          <w:i/>
          <w:sz w:val="22"/>
          <w:szCs w:val="22"/>
        </w:rPr>
        <w:t xml:space="preserve">, con nombre incompleto o seudónimo </w:t>
      </w:r>
      <w:r>
        <w:rPr>
          <w:rFonts w:ascii="Palatino Linotype" w:eastAsia="Palatino Linotype" w:hAnsi="Palatino Linotype" w:cs="Palatino Linotype"/>
          <w:b/>
          <w:i/>
          <w:sz w:val="22"/>
          <w:szCs w:val="22"/>
        </w:rPr>
        <w:t>serán procedentes para su trámite por parte del sujeto obligado a</w:t>
      </w:r>
      <w:r>
        <w:rPr>
          <w:rFonts w:ascii="Palatino Linotype" w:eastAsia="Palatino Linotype" w:hAnsi="Palatino Linotype" w:cs="Palatino Linotype"/>
          <w:b/>
          <w:i/>
          <w:sz w:val="22"/>
          <w:szCs w:val="22"/>
        </w:rPr>
        <w:t>nte quien se presente</w:t>
      </w:r>
      <w:r>
        <w:rPr>
          <w:rFonts w:ascii="Palatino Linotype" w:eastAsia="Palatino Linotype" w:hAnsi="Palatino Linotype" w:cs="Palatino Linotype"/>
          <w:i/>
          <w:sz w:val="22"/>
          <w:szCs w:val="22"/>
        </w:rPr>
        <w:t>. No podrá requerirse información adicional con motivo del nombre proporcionado por el solicitante."</w:t>
      </w:r>
    </w:p>
    <w:p w:rsidR="002D3484" w:rsidRDefault="002D3484">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2D3484" w:rsidRDefault="001B014F">
      <w:pPr>
        <w:pBdr>
          <w:top w:val="nil"/>
          <w:left w:val="nil"/>
          <w:bottom w:val="nil"/>
          <w:right w:val="nil"/>
          <w:between w:val="nil"/>
        </w:pBdr>
        <w:spacing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rPr>
        <w:t>Además, por cuanto hace a la procedibilidad del recurso de revisión una vez realizado el análisis del formato de interposición del re</w:t>
      </w:r>
      <w:r>
        <w:rPr>
          <w:rFonts w:ascii="Palatino Linotype" w:eastAsia="Palatino Linotype" w:hAnsi="Palatino Linotype" w:cs="Palatino Linotype"/>
        </w:rPr>
        <w:t>curso, se acreditan plenamente de todos y cada uno de los elementos formales exigidos por el artículo 180 de la Ley de Transparencia y Acceso a la Información Pública del Estado de México y Municipios, en atención a que fue presentado mediante el formato v</w:t>
      </w:r>
      <w:r>
        <w:rPr>
          <w:rFonts w:ascii="Palatino Linotype" w:eastAsia="Palatino Linotype" w:hAnsi="Palatino Linotype" w:cs="Palatino Linotype"/>
        </w:rPr>
        <w:t xml:space="preserve">isible en </w:t>
      </w:r>
      <w:r>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SAIMEX</w:t>
      </w:r>
      <w:r>
        <w:rPr>
          <w:rFonts w:ascii="Palatino Linotype" w:eastAsia="Palatino Linotype" w:hAnsi="Palatino Linotype" w:cs="Palatino Linotype"/>
        </w:rPr>
        <w:t>.</w:t>
      </w:r>
    </w:p>
    <w:p w:rsidR="002D3484" w:rsidRDefault="002D3484">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p>
    <w:p w:rsidR="002D3484" w:rsidRDefault="001B014F">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resulta procedente la interposición del recurso revisión, según lo aducido por 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en su acto impugnado como en sus motivos de inconformidad, de acuerdo al artículo 179 fracción II de la Ley de Transparencia y Ac</w:t>
      </w:r>
      <w:r>
        <w:rPr>
          <w:rFonts w:ascii="Palatino Linotype" w:eastAsia="Palatino Linotype" w:hAnsi="Palatino Linotype" w:cs="Palatino Linotype"/>
          <w:color w:val="000000"/>
        </w:rPr>
        <w:t>ceso a la Información Pública del Estado de México y Municipios; que a la letra dice:</w:t>
      </w:r>
    </w:p>
    <w:p w:rsidR="002D3484" w:rsidRDefault="002D3484">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p>
    <w:p w:rsidR="002D3484" w:rsidRDefault="001B014F">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 y procederá en contra de las siguientes causas:</w:t>
      </w:r>
    </w:p>
    <w:p w:rsidR="002D3484" w:rsidRDefault="001B014F">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2D3484" w:rsidRDefault="001B014F">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 La clasificación de la información…” (Sic)</w:t>
      </w:r>
    </w:p>
    <w:p w:rsidR="002D3484" w:rsidRDefault="002D3484">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p>
    <w:p w:rsidR="002D3484" w:rsidRDefault="001B014F">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Tercero. Materia de Revisión</w:t>
      </w:r>
      <w:r>
        <w:rPr>
          <w:rFonts w:ascii="Palatino Linotype" w:eastAsia="Palatino Linotype" w:hAnsi="Palatino Linotype" w:cs="Palatino Linotype"/>
          <w:color w:val="000000"/>
        </w:rPr>
        <w:t>:</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De las constancias que integran el expediente electrónico se advierte que el tema sobre el que este Instituto se pronunciará será: </w:t>
      </w:r>
      <w:r>
        <w:rPr>
          <w:rFonts w:ascii="Palatino Linotype" w:eastAsia="Palatino Linotype" w:hAnsi="Palatino Linotype" w:cs="Palatino Linotype"/>
          <w:b/>
        </w:rPr>
        <w:t>verificar si la respuesta otorgada por el SUJETO OBLIGADO es adecuada y suficiente para satisfacer el derecho de acceso a la</w:t>
      </w:r>
      <w:r>
        <w:rPr>
          <w:rFonts w:ascii="Palatino Linotype" w:eastAsia="Palatino Linotype" w:hAnsi="Palatino Linotype" w:cs="Palatino Linotype"/>
          <w:b/>
        </w:rPr>
        <w:t xml:space="preserve"> información pública </w:t>
      </w:r>
      <w:r>
        <w:rPr>
          <w:rFonts w:ascii="Palatino Linotype" w:eastAsia="Palatino Linotype" w:hAnsi="Palatino Linotype" w:cs="Palatino Linotype"/>
        </w:rPr>
        <w:t xml:space="preserve">de la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rsidR="002D3484" w:rsidRDefault="001B014F">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rPr>
        <w:t xml:space="preserve">Del análisis de la solicitud de información motivo del recurso de revisión que ahora se resuelve, se </w:t>
      </w:r>
      <w:r>
        <w:rPr>
          <w:rFonts w:ascii="Palatino Linotype" w:eastAsia="Palatino Linotype" w:hAnsi="Palatino Linotype" w:cs="Palatino Linotype"/>
        </w:rPr>
        <w:t>advierte que el particular requirió al Ayuntamiento de Naucalpan de Juárez, lo siguiente:</w:t>
      </w:r>
    </w:p>
    <w:p w:rsidR="002D3484" w:rsidRDefault="001B014F">
      <w:pPr>
        <w:numPr>
          <w:ilvl w:val="0"/>
          <w:numId w:val="2"/>
        </w:numPr>
        <w:pBdr>
          <w:top w:val="nil"/>
          <w:left w:val="nil"/>
          <w:bottom w:val="nil"/>
          <w:right w:val="nil"/>
          <w:between w:val="nil"/>
        </w:pBdr>
        <w:spacing w:after="240"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Evidencia documental que dé cuenta de los Números de cuentas bancarias incluyendo las federales, indicando cuánto dinero hay en cada una de ellas y a que banco perten</w:t>
      </w:r>
      <w:r>
        <w:rPr>
          <w:rFonts w:ascii="Palatino Linotype" w:eastAsia="Palatino Linotype" w:hAnsi="Palatino Linotype" w:cs="Palatino Linotype"/>
          <w:color w:val="000000"/>
        </w:rPr>
        <w:t>ecen.</w:t>
      </w:r>
    </w:p>
    <w:p w:rsidR="002D3484" w:rsidRDefault="001B0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su parte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en el sentido de que la información solicitada el Comité de Transparencia en su Primera Sesión Extraordinaria de fecha 18 de febrero de 2022 confirmó la Información como Reserva Total con acuerdo número CT/NAU/ACTA-EXT-001/2022/ SEGUND</w:t>
      </w:r>
      <w:r>
        <w:rPr>
          <w:rFonts w:ascii="Palatino Linotype" w:eastAsia="Palatino Linotype" w:hAnsi="Palatino Linotype" w:cs="Palatino Linotype"/>
        </w:rPr>
        <w:t>O</w:t>
      </w:r>
    </w:p>
    <w:p w:rsidR="002D3484" w:rsidRDefault="001B0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Inconforme 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con la respuesta, interpuso el Recurso de Revisión en lo medular por la clasificación de la información. </w:t>
      </w:r>
    </w:p>
    <w:p w:rsidR="002D3484" w:rsidRDefault="002D3484">
      <w:pPr>
        <w:spacing w:line="360" w:lineRule="auto"/>
        <w:jc w:val="both"/>
        <w:rPr>
          <w:rFonts w:ascii="Palatino Linotype" w:eastAsia="Palatino Linotype" w:hAnsi="Palatino Linotype" w:cs="Palatino Linotype"/>
        </w:rPr>
      </w:pPr>
    </w:p>
    <w:p w:rsidR="002D3484" w:rsidRDefault="001B014F">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notificado el recurso de revisión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a través de los siguientes archivos electrónicos: </w:t>
      </w:r>
    </w:p>
    <w:p w:rsidR="002D3484" w:rsidRDefault="001B0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1">
        <w:r>
          <w:rPr>
            <w:rFonts w:ascii="Palatino Linotype" w:eastAsia="Palatino Linotype" w:hAnsi="Palatino Linotype" w:cs="Palatino Linotype"/>
          </w:rPr>
          <w:t xml:space="preserve"> </w:t>
        </w:r>
      </w:hyperlink>
      <w:hyperlink r:id="rId12">
        <w:r>
          <w:rPr>
            <w:rFonts w:ascii="Palatino Linotype" w:eastAsia="Palatino Linotype" w:hAnsi="Palatino Linotype" w:cs="Palatino Linotype"/>
          </w:rPr>
          <w:t>acta 1° sesion extraordinaria.pdf</w:t>
        </w:r>
      </w:hyperlink>
      <w:r>
        <w:rPr>
          <w:rFonts w:ascii="Palatino Linotype" w:eastAsia="Palatino Linotype" w:hAnsi="Palatino Linotype" w:cs="Palatino Linotype"/>
        </w:rPr>
        <w:t>”, el cual contiene el acta de la primer sesión extraordinaria del Comité de Transparencia del Sujeto Obligado, de fecha dieciocho de febrero del año en curso a través del cual se aprobó el acuerdo número CT/NAU/A</w:t>
      </w:r>
      <w:r>
        <w:rPr>
          <w:rFonts w:ascii="Palatino Linotype" w:eastAsia="Palatino Linotype" w:hAnsi="Palatino Linotype" w:cs="Palatino Linotype"/>
        </w:rPr>
        <w:t xml:space="preserve">CTA-EXT-001/2022/SEGUNDO, con el cual se aprobó la reserva de las cuentas bancarias que no se encuentran embargadas por el término de tres años. </w:t>
      </w:r>
    </w:p>
    <w:p w:rsidR="002D3484" w:rsidRDefault="002D3484">
      <w:pPr>
        <w:spacing w:line="360" w:lineRule="auto"/>
        <w:jc w:val="both"/>
        <w:rPr>
          <w:rFonts w:ascii="Palatino Linotype" w:eastAsia="Palatino Linotype" w:hAnsi="Palatino Linotype" w:cs="Palatino Linotype"/>
        </w:rPr>
      </w:pPr>
    </w:p>
    <w:p w:rsidR="002D3484" w:rsidRDefault="001B0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hyperlink r:id="rId13">
        <w:r>
          <w:rPr>
            <w:rFonts w:ascii="Palatino Linotype" w:eastAsia="Palatino Linotype" w:hAnsi="Palatino Linotype" w:cs="Palatino Linotype"/>
          </w:rPr>
          <w:t>01079-2022.pdf</w:t>
        </w:r>
      </w:hyperlink>
      <w:r>
        <w:rPr>
          <w:rFonts w:ascii="Palatino Linotype" w:eastAsia="Palatino Linotype" w:hAnsi="Palatino Linotype" w:cs="Palatino Linotype"/>
        </w:rPr>
        <w:t>”,</w:t>
      </w:r>
      <w:r>
        <w:rPr>
          <w:rFonts w:ascii="Palatino Linotype" w:eastAsia="Palatino Linotype" w:hAnsi="Palatino Linotype" w:cs="Palatino Linotype"/>
        </w:rPr>
        <w:t xml:space="preserve"> el cual contiene el oficio número EMYA/60/2021, a través del cual el encargado del despacho de la unidad de transparencia y acceso a la información pública, informó la clasificación de la información porque estima que no puede ser de dominio público, deri</w:t>
      </w:r>
      <w:r>
        <w:rPr>
          <w:rFonts w:ascii="Palatino Linotype" w:eastAsia="Palatino Linotype" w:hAnsi="Palatino Linotype" w:cs="Palatino Linotype"/>
        </w:rPr>
        <w:t>vado a que podría dar uso inadecuado de la misma, ya que si bien no se encuentra en su totalidad embargadas, esto vulneraría al Ayuntamiento de Naucalpan de Juárez y por lo tanto quedaría en total estado de indefensión a cualquier situación jurídica ya que</w:t>
      </w:r>
      <w:r>
        <w:rPr>
          <w:rFonts w:ascii="Palatino Linotype" w:eastAsia="Palatino Linotype" w:hAnsi="Palatino Linotype" w:cs="Palatino Linotype"/>
        </w:rPr>
        <w:t xml:space="preserve"> derivado de los diversos juicios en contra de éste Ayuntamiento ha sufrido embargos de cuentas de naturaleza imposibilitando el uso del recurso, de acuerdo al fundamento legal que señala en el mismo oficio. </w:t>
      </w:r>
    </w:p>
    <w:p w:rsidR="002D3484" w:rsidRDefault="001B014F">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tal contexto, del análisis de las constancia</w:t>
      </w:r>
      <w:r>
        <w:rPr>
          <w:rFonts w:ascii="Palatino Linotype" w:eastAsia="Palatino Linotype" w:hAnsi="Palatino Linotype" w:cs="Palatino Linotype"/>
        </w:rPr>
        <w:t xml:space="preserve">s que integran el expediente en que se actúa, así como de la materia sobre la que versa la solicitud de acceso a la información pública, se advierte que los motivos de inconformidad acontecen fundados para revocar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ordenar</w:t>
      </w:r>
      <w:r>
        <w:rPr>
          <w:rFonts w:ascii="Palatino Linotype" w:eastAsia="Palatino Linotype" w:hAnsi="Palatino Linotype" w:cs="Palatino Linotype"/>
        </w:rPr>
        <w:t xml:space="preserve"> la entrega de la información en versión pública, en razón de las consideraciones de derecho que a continuación se exponen:</w:t>
      </w:r>
    </w:p>
    <w:p w:rsidR="002D3484" w:rsidRDefault="001B0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w:t>
      </w:r>
      <w:r>
        <w:rPr>
          <w:rFonts w:ascii="Palatino Linotype" w:eastAsia="Palatino Linotype" w:hAnsi="Palatino Linotype" w:cs="Palatino Linotype"/>
        </w:rPr>
        <w:t>formación pública, en atención a que en la Ley de Transparencia y Acceso a la Información Pública del Estado de México y Municipios en su artículo 4, que dice que toda la información generada, obtenida, adquirida, transformada, administrada o en posesión d</w:t>
      </w:r>
      <w:r>
        <w:rPr>
          <w:rFonts w:ascii="Palatino Linotype" w:eastAsia="Palatino Linotype" w:hAnsi="Palatino Linotype" w:cs="Palatino Linotype"/>
        </w:rPr>
        <w:t>e los sujetos obligados es pública y accesible de manera permanente a cualquier persona, privilegiando el principio de máxima publicidad, como así lo establece dicha determinación, que a continuación se trascribe para un mejor entendimiento:</w:t>
      </w:r>
    </w:p>
    <w:p w:rsidR="002D3484" w:rsidRDefault="001B014F">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E</w:t>
      </w:r>
      <w:r>
        <w:rPr>
          <w:rFonts w:ascii="Palatino Linotype" w:eastAsia="Palatino Linotype" w:hAnsi="Palatino Linotype" w:cs="Palatino Linotype"/>
          <w:i/>
          <w:sz w:val="22"/>
          <w:szCs w:val="22"/>
        </w:rPr>
        <w:t xml:space="preserve">l derecho humano de acceso a la información pública es la prerrogativa de las personas para buscar, difundir, investigar, recabar, recibir y solicitar información pública, sin necesidad de acreditar personalidad ni interés jurídico. </w:t>
      </w:r>
    </w:p>
    <w:p w:rsidR="002D3484" w:rsidRDefault="001B014F">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w:t>
      </w:r>
      <w:r>
        <w:rPr>
          <w:rFonts w:ascii="Palatino Linotype" w:eastAsia="Palatino Linotype" w:hAnsi="Palatino Linotype" w:cs="Palatino Linotype"/>
          <w:b/>
          <w:i/>
          <w:sz w:val="22"/>
          <w:szCs w:val="22"/>
        </w:rPr>
        <w:t>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w:t>
      </w:r>
      <w:r>
        <w:rPr>
          <w:rFonts w:ascii="Palatino Linotype" w:eastAsia="Palatino Linotype" w:hAnsi="Palatino Linotype" w:cs="Palatino Linotype"/>
          <w:i/>
          <w:sz w:val="22"/>
          <w:szCs w:val="22"/>
        </w:rPr>
        <w:t xml:space="preserve">stado mexicano sea parte, en la Ley General, la presente Ley y demás disposiciones de la materia, privilegiando el principio de máxima publicidad de la información. Solo podrá ser clasificada excepcionalmente Ley de Transparencia y Acceso a la Información </w:t>
      </w:r>
      <w:r>
        <w:rPr>
          <w:rFonts w:ascii="Palatino Linotype" w:eastAsia="Palatino Linotype" w:hAnsi="Palatino Linotype" w:cs="Palatino Linotype"/>
          <w:i/>
          <w:sz w:val="22"/>
          <w:szCs w:val="22"/>
        </w:rPr>
        <w:t>Pública del Estado de México y Municipios 29 como reservada temporalmente por razones de interés público, en los términos de las causas legítimas y estrictamente necesarias previstas por esta Ley.</w:t>
      </w:r>
    </w:p>
    <w:p w:rsidR="002D3484" w:rsidRDefault="001B014F">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Los sujetos obligados deben poner en práctica, políticas y </w:t>
      </w:r>
      <w:r>
        <w:rPr>
          <w:rFonts w:ascii="Palatino Linotype" w:eastAsia="Palatino Linotype" w:hAnsi="Palatino Linotype" w:cs="Palatino Linotype"/>
          <w:b/>
          <w:i/>
          <w:sz w:val="22"/>
          <w:szCs w:val="22"/>
        </w:rPr>
        <w:t>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 (Sic)</w:t>
      </w:r>
    </w:p>
    <w:p w:rsidR="002D3484" w:rsidRDefault="002D3484">
      <w:pPr>
        <w:ind w:left="709" w:right="760"/>
        <w:jc w:val="both"/>
        <w:rPr>
          <w:rFonts w:ascii="Palatino Linotype" w:eastAsia="Palatino Linotype" w:hAnsi="Palatino Linotype" w:cs="Palatino Linotype"/>
          <w:i/>
          <w:sz w:val="22"/>
          <w:szCs w:val="22"/>
        </w:rPr>
      </w:pPr>
    </w:p>
    <w:p w:rsidR="002D3484" w:rsidRDefault="001B014F">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los Sujetos Obligados tiene la obligación o deber de atender las solicitud</w:t>
      </w:r>
      <w:r>
        <w:rPr>
          <w:rFonts w:ascii="Palatino Linotype" w:eastAsia="Palatino Linotype" w:hAnsi="Palatino Linotype" w:cs="Palatino Linotype"/>
        </w:rPr>
        <w:t>es de acceso a la información pública que se les hagan de su conocimiento y proporcionar la información pública que obren en su poder conforme el estado que se encuentra y no hacer un procesamiento de la misma, ni presentarla conforme al interés del solici</w:t>
      </w:r>
      <w:r>
        <w:rPr>
          <w:rFonts w:ascii="Palatino Linotype" w:eastAsia="Palatino Linotype" w:hAnsi="Palatino Linotype" w:cs="Palatino Linotype"/>
        </w:rPr>
        <w:t>tante; como así lo establece el artículo 12 de la Ley de Transparencia y Acceso a la Información Pública del Estado de México y Municipios, que a la letra dice:</w:t>
      </w:r>
    </w:p>
    <w:p w:rsidR="002D3484" w:rsidRDefault="001B014F">
      <w:pPr>
        <w:spacing w:before="240"/>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w:t>
      </w:r>
      <w:r>
        <w:rPr>
          <w:rFonts w:ascii="Palatino Linotype" w:eastAsia="Palatino Linotype" w:hAnsi="Palatino Linotype" w:cs="Palatino Linotype"/>
          <w:i/>
          <w:sz w:val="22"/>
          <w:szCs w:val="22"/>
        </w:rPr>
        <w:t xml:space="preserve"> información pública serán responsables de la misma en los términos de las disposiciones jurídicas aplicables. </w:t>
      </w:r>
    </w:p>
    <w:p w:rsidR="002D3484" w:rsidRDefault="002D3484">
      <w:pPr>
        <w:ind w:left="567" w:right="758"/>
        <w:jc w:val="both"/>
        <w:rPr>
          <w:rFonts w:ascii="Palatino Linotype" w:eastAsia="Palatino Linotype" w:hAnsi="Palatino Linotype" w:cs="Palatino Linotype"/>
          <w:i/>
          <w:sz w:val="22"/>
          <w:szCs w:val="22"/>
        </w:rPr>
      </w:pPr>
    </w:p>
    <w:p w:rsidR="002D3484" w:rsidRDefault="001B014F">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w:t>
      </w:r>
      <w:r>
        <w:rPr>
          <w:rFonts w:ascii="Palatino Linotype" w:eastAsia="Palatino Linotype" w:hAnsi="Palatino Linotype" w:cs="Palatino Linotype"/>
          <w:b/>
          <w:i/>
          <w:sz w:val="22"/>
          <w:szCs w:val="22"/>
        </w:rPr>
        <w:t>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2D3484" w:rsidRDefault="002D3484">
      <w:pPr>
        <w:spacing w:line="360" w:lineRule="auto"/>
        <w:ind w:right="-93"/>
        <w:jc w:val="both"/>
        <w:rPr>
          <w:rFonts w:ascii="Palatino Linotype" w:eastAsia="Palatino Linotype" w:hAnsi="Palatino Linotype" w:cs="Palatino Linotype"/>
          <w:color w:val="000000"/>
        </w:rPr>
      </w:pPr>
    </w:p>
    <w:p w:rsidR="002D3484" w:rsidRDefault="001B014F">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todo Sujeto Obligado que genere, recopile, administre, procese, archive, posea o conserven, son responsables de la misma teniendo a su vez la obligación de proporcionar la información que se les requiera sin necesidad de resumirla, efectuar p</w:t>
      </w:r>
      <w:r>
        <w:rPr>
          <w:rFonts w:ascii="Palatino Linotype" w:eastAsia="Palatino Linotype" w:hAnsi="Palatino Linotype" w:cs="Palatino Linotype"/>
          <w:color w:val="000000"/>
        </w:rPr>
        <w:t>rocedimientos para obtenerla, calcular y practicar investigaciones; en otras palabras, que lo Sujetos Obligados solo se concretaran a proporcionar la información solicitada que tengan en su poder en el estado que se encuentran, sin necesidad de concretarse</w:t>
      </w:r>
      <w:r>
        <w:rPr>
          <w:rFonts w:ascii="Palatino Linotype" w:eastAsia="Palatino Linotype" w:hAnsi="Palatino Linotype" w:cs="Palatino Linotype"/>
          <w:color w:val="000000"/>
        </w:rPr>
        <w:t xml:space="preserve"> al interés o términos específicos del solicitante.</w:t>
      </w:r>
    </w:p>
    <w:p w:rsidR="002D3484" w:rsidRDefault="001B014F">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lastRenderedPageBreak/>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rsidR="002D3484" w:rsidRDefault="002D3484">
      <w:pPr>
        <w:ind w:left="851" w:right="850"/>
        <w:jc w:val="both"/>
        <w:rPr>
          <w:rFonts w:ascii="Palatino Linotype" w:eastAsia="Palatino Linotype" w:hAnsi="Palatino Linotype" w:cs="Palatino Linotype"/>
          <w:color w:val="000000"/>
        </w:rPr>
      </w:pPr>
    </w:p>
    <w:p w:rsidR="002D3484" w:rsidRDefault="001B014F">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w:t>
      </w:r>
      <w:r>
        <w:rPr>
          <w:rFonts w:ascii="Palatino Linotype" w:eastAsia="Palatino Linotype" w:hAnsi="Palatino Linotype" w:cs="Palatino Linotype"/>
          <w:i/>
          <w:color w:val="000000"/>
          <w:sz w:val="22"/>
          <w:szCs w:val="22"/>
        </w:rPr>
        <w:t>cceso a la Información Pública, señalan que los sujetos obligados deberán otorgar acceso a los documentos que se encuentren en sus archivos o que estén obligados a documentar, de acuerdo con sus facultades, competencias o funciones, conforme a las caracter</w:t>
      </w:r>
      <w:r>
        <w:rPr>
          <w:rFonts w:ascii="Palatino Linotype" w:eastAsia="Palatino Linotype" w:hAnsi="Palatino Linotype" w:cs="Palatino Linotype"/>
          <w:i/>
          <w:color w:val="000000"/>
          <w:sz w:val="22"/>
          <w:szCs w:val="22"/>
        </w:rPr>
        <w:t>ísticas físicas de la información o del lugar donde se encuentre. Por lo anterior, los sujetos obligados deben garantizar el derecho de acceso a la información del particular, proporcionando la información con la que cuentan en el formato en que la misma o</w:t>
      </w:r>
      <w:r>
        <w:rPr>
          <w:rFonts w:ascii="Palatino Linotype" w:eastAsia="Palatino Linotype" w:hAnsi="Palatino Linotype" w:cs="Palatino Linotype"/>
          <w:i/>
          <w:color w:val="000000"/>
          <w:sz w:val="22"/>
          <w:szCs w:val="22"/>
        </w:rPr>
        <w:t>bre en sus archivos; sin necesidad de elaborar documentos ad hoc para atender las solicitudes de información.</w:t>
      </w:r>
    </w:p>
    <w:p w:rsidR="002D3484" w:rsidRDefault="001B014F">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rsidR="002D3484" w:rsidRDefault="001B014F">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w:t>
      </w:r>
      <w:r>
        <w:rPr>
          <w:rFonts w:ascii="Palatino Linotype" w:eastAsia="Palatino Linotype" w:hAnsi="Palatino Linotype" w:cs="Palatino Linotype"/>
          <w:i/>
          <w:color w:val="000000"/>
          <w:sz w:val="22"/>
          <w:szCs w:val="22"/>
        </w:rPr>
        <w:t>sco Javier Acuña Llamas.</w:t>
      </w:r>
    </w:p>
    <w:p w:rsidR="002D3484" w:rsidRDefault="001B014F">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rsidR="002D3484" w:rsidRDefault="001B014F">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1889/16. Secretaría de Hacienda y </w:t>
      </w:r>
      <w:r>
        <w:rPr>
          <w:rFonts w:ascii="Palatino Linotype" w:eastAsia="Palatino Linotype" w:hAnsi="Palatino Linotype" w:cs="Palatino Linotype"/>
          <w:i/>
          <w:color w:val="000000"/>
          <w:sz w:val="22"/>
          <w:szCs w:val="22"/>
        </w:rPr>
        <w:t>Crédito Público. 05 de octubre de 2016. Por unanimidad. Comisionada Ponente. Ximena Puente de la Mora.”(Sic)</w:t>
      </w:r>
    </w:p>
    <w:p w:rsidR="002D3484" w:rsidRDefault="002D3484">
      <w:pPr>
        <w:spacing w:line="360" w:lineRule="auto"/>
        <w:jc w:val="both"/>
        <w:rPr>
          <w:rFonts w:ascii="Palatino Linotype" w:eastAsia="Palatino Linotype" w:hAnsi="Palatino Linotype" w:cs="Palatino Linotype"/>
        </w:rPr>
      </w:pPr>
    </w:p>
    <w:p w:rsidR="002D3484" w:rsidRDefault="001B014F">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sólo proporcionarán la información</w:t>
      </w:r>
      <w:r>
        <w:rPr>
          <w:rFonts w:ascii="Palatino Linotype" w:eastAsia="Palatino Linotype" w:hAnsi="Palatino Linotype" w:cs="Palatino Linotype"/>
          <w:color w:val="000000"/>
        </w:rPr>
        <w:t xml:space="preserve">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xml:space="preserve">, administren o posean en el ejercicio de sus atribuciones; por consiguiente, la información pública se encuentra a disposición de cualquier persona, lo que implica que es deber de los Sujetos Obligados, garantizar el Derecho de Acceso </w:t>
      </w:r>
      <w:r>
        <w:rPr>
          <w:rFonts w:ascii="Palatino Linotype" w:eastAsia="Palatino Linotype" w:hAnsi="Palatino Linotype" w:cs="Palatino Linotype"/>
          <w:color w:val="000000"/>
        </w:rPr>
        <w:t>a la Información Pública, lo que no sucedió en el presente caso.</w:t>
      </w:r>
    </w:p>
    <w:p w:rsidR="002D3484" w:rsidRDefault="002D3484">
      <w:pPr>
        <w:spacing w:line="360" w:lineRule="auto"/>
        <w:jc w:val="both"/>
        <w:rPr>
          <w:rFonts w:ascii="Palatino Linotype" w:eastAsia="Palatino Linotype" w:hAnsi="Palatino Linotype" w:cs="Palatino Linotype"/>
          <w:color w:val="000000"/>
        </w:rPr>
      </w:pPr>
    </w:p>
    <w:p w:rsidR="002D3484" w:rsidRDefault="001B014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w:t>
      </w:r>
      <w:r>
        <w:rPr>
          <w:rFonts w:ascii="Palatino Linotype" w:eastAsia="Palatino Linotype" w:hAnsi="Palatino Linotype" w:cs="Palatino Linotype"/>
        </w:rPr>
        <w:lastRenderedPageBreak/>
        <w:t>debiendo tener audacia los</w:t>
      </w:r>
      <w:r>
        <w:rPr>
          <w:rFonts w:ascii="Palatino Linotype" w:eastAsia="Palatino Linotype" w:hAnsi="Palatino Linotype" w:cs="Palatino Linotype"/>
        </w:rPr>
        <w:t xml:space="preserve"> Sujetos Obligados para cuidar esta información a través del acuerdo clasificatorio del comité de transparencia y la versión pública que emita el servidor público habilitado de cada Sujeto Obligado; como así se establece en la Ley de Transparencia y Acceso</w:t>
      </w:r>
      <w:r>
        <w:rPr>
          <w:rFonts w:ascii="Palatino Linotype" w:eastAsia="Palatino Linotype" w:hAnsi="Palatino Linotype" w:cs="Palatino Linotype"/>
        </w:rPr>
        <w:t xml:space="preserve"> a la Información Pública del Estado de México y Municipios.</w:t>
      </w:r>
    </w:p>
    <w:p w:rsidR="002D3484" w:rsidRDefault="002D3484">
      <w:pPr>
        <w:spacing w:line="360" w:lineRule="auto"/>
        <w:ind w:right="49"/>
        <w:jc w:val="both"/>
        <w:rPr>
          <w:rFonts w:ascii="Palatino Linotype" w:eastAsia="Palatino Linotype" w:hAnsi="Palatino Linotype" w:cs="Palatino Linotype"/>
        </w:rPr>
      </w:pPr>
    </w:p>
    <w:p w:rsidR="002D3484" w:rsidRDefault="001B0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w:t>
      </w:r>
      <w:r>
        <w:rPr>
          <w:rFonts w:ascii="Palatino Linotype" w:eastAsia="Palatino Linotype" w:hAnsi="Palatino Linotype" w:cs="Palatino Linotype"/>
        </w:rPr>
        <w:t xml:space="preserve">os, actas, resoluciones, oficios, correspondencia, acuerdos, directivas, directrices, circulares, contratos, convenios, instructivos, notas, memorandos, estadísticas o bien, cualquier otro registro que documente el ejercicio de las facultades, funciones y </w:t>
      </w:r>
      <w:r>
        <w:rPr>
          <w:rFonts w:ascii="Palatino Linotype" w:eastAsia="Palatino Linotype" w:hAnsi="Palatino Linotype" w:cs="Palatino Linotype"/>
        </w:rPr>
        <w:t>competencias de los Sujetos Obligados; los que, podrán estar en cualquier medio, sea escrito, impreso, sonoro, visual, electrónico, informático u holográfico de conformidad con el artículo 3, fracción XI de la Ley de la materia, el cual señala lo siguiente</w:t>
      </w:r>
      <w:r>
        <w:rPr>
          <w:rFonts w:ascii="Palatino Linotype" w:eastAsia="Palatino Linotype" w:hAnsi="Palatino Linotype" w:cs="Palatino Linotype"/>
        </w:rPr>
        <w:t xml:space="preserve">: </w:t>
      </w:r>
    </w:p>
    <w:p w:rsidR="002D3484" w:rsidRDefault="002D3484">
      <w:pPr>
        <w:ind w:left="851" w:right="899"/>
        <w:jc w:val="both"/>
        <w:rPr>
          <w:rFonts w:ascii="Palatino Linotype" w:eastAsia="Palatino Linotype" w:hAnsi="Palatino Linotype" w:cs="Palatino Linotype"/>
          <w:i/>
          <w:sz w:val="22"/>
          <w:szCs w:val="22"/>
        </w:rPr>
      </w:pPr>
    </w:p>
    <w:p w:rsidR="002D3484" w:rsidRDefault="001B014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2D3484" w:rsidRDefault="001B014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D3484" w:rsidRDefault="001B014F">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w:t>
      </w:r>
      <w:r>
        <w:rPr>
          <w:rFonts w:ascii="Palatino Linotype" w:eastAsia="Palatino Linotype" w:hAnsi="Palatino Linotype" w:cs="Palatino Linotype"/>
          <w:i/>
          <w:color w:val="000000"/>
          <w:sz w:val="22"/>
          <w:szCs w:val="22"/>
        </w:rPr>
        <w:t>as de los sujetos obligados, sus servidores públicos e integrantes, sin importar su fuente o fecha de elaboración. Los documentos podrán estar en cualquier medio, sea escrito, impreso, sonoro, visual, electrónico, informático u holográfico…” (Sic)</w:t>
      </w:r>
    </w:p>
    <w:p w:rsidR="002D3484" w:rsidRDefault="002D3484">
      <w:pPr>
        <w:ind w:left="851" w:right="899"/>
        <w:jc w:val="both"/>
        <w:rPr>
          <w:rFonts w:ascii="Palatino Linotype" w:eastAsia="Palatino Linotype" w:hAnsi="Palatino Linotype" w:cs="Palatino Linotype"/>
          <w:sz w:val="22"/>
          <w:szCs w:val="22"/>
        </w:rPr>
      </w:pPr>
    </w:p>
    <w:p w:rsidR="002D3484" w:rsidRDefault="001B0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w:t>
      </w:r>
      <w:r>
        <w:rPr>
          <w:rFonts w:ascii="Palatino Linotype" w:eastAsia="Palatino Linotype" w:hAnsi="Palatino Linotype" w:cs="Palatino Linotype"/>
        </w:rPr>
        <w:t xml:space="preserve">aplicable, el Criterio de interpretación en el orden administrativo número 0002-11, emitido por Acuerdo del Pleno del Instituto de Transparencia y Acceso a la Información Pública del Estado de México y Municipios; publicado en el Periódico </w:t>
      </w:r>
      <w:r>
        <w:rPr>
          <w:rFonts w:ascii="Palatino Linotype" w:eastAsia="Palatino Linotype" w:hAnsi="Palatino Linotype" w:cs="Palatino Linotype"/>
        </w:rPr>
        <w:lastRenderedPageBreak/>
        <w:t>Oficial del Gobi</w:t>
      </w:r>
      <w:r>
        <w:rPr>
          <w:rFonts w:ascii="Palatino Linotype" w:eastAsia="Palatino Linotype" w:hAnsi="Palatino Linotype" w:cs="Palatino Linotype"/>
        </w:rPr>
        <w:t>erno del Estado Libre y Soberano de México “Gaceta del Gobierno”, el diecinueve de octubre de dos mil once, cuyo rubro y texto refieren lo siguiente:</w:t>
      </w:r>
    </w:p>
    <w:p w:rsidR="002D3484" w:rsidRDefault="002D3484">
      <w:pPr>
        <w:ind w:left="851" w:right="899"/>
        <w:jc w:val="both"/>
        <w:rPr>
          <w:rFonts w:ascii="Palatino Linotype" w:eastAsia="Palatino Linotype" w:hAnsi="Palatino Linotype" w:cs="Palatino Linotype"/>
        </w:rPr>
      </w:pPr>
    </w:p>
    <w:p w:rsidR="002D3484" w:rsidRDefault="001B014F">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2D3484" w:rsidRDefault="001B014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w:t>
      </w:r>
      <w:r>
        <w:rPr>
          <w:rFonts w:ascii="Palatino Linotype" w:eastAsia="Palatino Linotype" w:hAnsi="Palatino Linotype" w:cs="Palatino Linotype"/>
          <w:i/>
          <w:sz w:val="22"/>
          <w:szCs w:val="22"/>
        </w:rPr>
        <w:t>e en cuanto a su alcance y resultado material, el acceso a los archivos, registros y documentos públicos, administrados, generados o en posesión de los órganos u organismos públicos, en virtud del ejercicio de sus funciones de derecho público, sin importar</w:t>
      </w:r>
      <w:r>
        <w:rPr>
          <w:rFonts w:ascii="Palatino Linotype" w:eastAsia="Palatino Linotype" w:hAnsi="Palatino Linotype" w:cs="Palatino Linotype"/>
          <w:i/>
          <w:sz w:val="22"/>
          <w:szCs w:val="22"/>
        </w:rPr>
        <w:t xml:space="preserve"> su fuente, soporte o fecha de elaboración.</w:t>
      </w:r>
    </w:p>
    <w:p w:rsidR="002D3484" w:rsidRDefault="001B014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2D3484" w:rsidRDefault="001B014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w:t>
      </w:r>
      <w:r>
        <w:rPr>
          <w:rFonts w:ascii="Palatino Linotype" w:eastAsia="Palatino Linotype" w:hAnsi="Palatino Linotype" w:cs="Palatino Linotype"/>
          <w:i/>
          <w:sz w:val="22"/>
          <w:szCs w:val="22"/>
        </w:rPr>
        <w:t>as atribuciones conferidas, sea generada por los Sujetos Obligados;</w:t>
      </w:r>
    </w:p>
    <w:p w:rsidR="002D3484" w:rsidRDefault="001B014F">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2D3484" w:rsidRDefault="001B014F">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rsidR="002D3484" w:rsidRDefault="002D3484">
      <w:pPr>
        <w:spacing w:line="360" w:lineRule="auto"/>
        <w:ind w:right="-93"/>
        <w:jc w:val="both"/>
        <w:rPr>
          <w:rFonts w:ascii="Palatino Linotype" w:eastAsia="Palatino Linotype" w:hAnsi="Palatino Linotype" w:cs="Palatino Linotype"/>
          <w:color w:val="000000"/>
        </w:rPr>
      </w:pPr>
    </w:p>
    <w:p w:rsidR="002D3484" w:rsidRDefault="001B014F">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color w:val="000000"/>
        </w:rPr>
        <w:t>En virtud de lo anterior</w:t>
      </w:r>
      <w:r>
        <w:rPr>
          <w:rFonts w:ascii="Palatino Linotype" w:eastAsia="Palatino Linotype" w:hAnsi="Palatino Linotype" w:cs="Palatino Linotype"/>
        </w:rPr>
        <w:t xml:space="preserve">, se determina que la información emitida por el </w:t>
      </w:r>
      <w:r>
        <w:rPr>
          <w:rFonts w:ascii="Palatino Linotype" w:eastAsia="Palatino Linotype" w:hAnsi="Palatino Linotype" w:cs="Palatino Linotype"/>
          <w:b/>
        </w:rPr>
        <w:t>SUJET</w:t>
      </w:r>
      <w:r>
        <w:rPr>
          <w:rFonts w:ascii="Palatino Linotype" w:eastAsia="Palatino Linotype" w:hAnsi="Palatino Linotype" w:cs="Palatino Linotype"/>
          <w:b/>
        </w:rPr>
        <w:t>O OBLIGADO</w:t>
      </w:r>
      <w:r>
        <w:rPr>
          <w:rFonts w:ascii="Palatino Linotype" w:eastAsia="Palatino Linotype" w:hAnsi="Palatino Linotype" w:cs="Palatino Linotype"/>
        </w:rPr>
        <w:t xml:space="preserve"> en su respuesta no cumple con lo establecido por los artículos 4, 12 y 24 último de la Ley de Transparencia y Acceso a la Información Pública del Estado de México y Municipios.</w:t>
      </w:r>
    </w:p>
    <w:p w:rsidR="002D3484" w:rsidRDefault="002D3484">
      <w:pPr>
        <w:spacing w:line="360" w:lineRule="auto"/>
        <w:ind w:right="-93"/>
        <w:jc w:val="both"/>
        <w:rPr>
          <w:rFonts w:ascii="Palatino Linotype" w:eastAsia="Palatino Linotype" w:hAnsi="Palatino Linotype" w:cs="Palatino Linotype"/>
        </w:rPr>
      </w:pPr>
    </w:p>
    <w:p w:rsidR="002D3484" w:rsidRDefault="001B014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Antes que nada, es dable determinar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negó </w:t>
      </w:r>
      <w:r>
        <w:rPr>
          <w:rFonts w:ascii="Palatino Linotype" w:eastAsia="Palatino Linotype" w:hAnsi="Palatino Linotype" w:cs="Palatino Linotype"/>
        </w:rPr>
        <w:t xml:space="preserve">la existencia de la información materia de la solicitud, por lo contrario aceptó expresamente que contaba con ella al manifestar a través del acuerdo emitido por </w:t>
      </w:r>
      <w:r>
        <w:rPr>
          <w:rFonts w:ascii="Palatino Linotype" w:eastAsia="Palatino Linotype" w:hAnsi="Palatino Linotype" w:cs="Palatino Linotype"/>
        </w:rPr>
        <w:lastRenderedPageBreak/>
        <w:t>su Comité de Transparencia, es clasificada como información reservada por tres años, en tal te</w:t>
      </w:r>
      <w:r>
        <w:rPr>
          <w:rFonts w:ascii="Palatino Linotype" w:eastAsia="Palatino Linotype" w:hAnsi="Palatino Linotype" w:cs="Palatino Linotype"/>
        </w:rPr>
        <w:t>situra el estudio de la naturaleza de la información se obvia.</w:t>
      </w:r>
    </w:p>
    <w:p w:rsidR="002D3484" w:rsidRDefault="001B0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es así, ya que para llegar a determinar la entrega de la información que es solicitada a través del derecho de acceso a la información pública, si bien es necesario analizar las atr</w:t>
      </w:r>
      <w:r>
        <w:rPr>
          <w:rFonts w:ascii="Palatino Linotype" w:eastAsia="Palatino Linotype" w:hAnsi="Palatino Linotype" w:cs="Palatino Linotype"/>
        </w:rPr>
        <w:t>ibuciones de los Sujetos Obligados en relación con la información que les solicitada, para determinar si genera, administra o posee la información que le fue requerida y si se encuentra en posibilidades de entregarla, lo cierto es, que ello no es necesario</w:t>
      </w:r>
      <w:r>
        <w:rPr>
          <w:rFonts w:ascii="Palatino Linotype" w:eastAsia="Palatino Linotype" w:hAnsi="Palatino Linotype" w:cs="Palatino Linotype"/>
        </w:rPr>
        <w:t xml:space="preserve"> si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asume la posesión de la información.</w:t>
      </w:r>
    </w:p>
    <w:p w:rsidR="002D3484" w:rsidRDefault="001B014F">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Establecido lo anterior, considerando la información requerida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 solicitud de información, así como la respuesta a la misma y lo enviado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Informe Jus</w:t>
      </w:r>
      <w:r>
        <w:rPr>
          <w:rFonts w:ascii="Palatino Linotype" w:eastAsia="Palatino Linotype" w:hAnsi="Palatino Linotype" w:cs="Palatino Linotype"/>
        </w:rPr>
        <w:t>tificado, se establece que la materia de estudio se centrará en determinar si la información solicitada encuadra en los supuestos de clasificación como reservada, conforme a lo establecido en la Ley de Transparencia y Acceso a la Información Pública del Es</w:t>
      </w:r>
      <w:r>
        <w:rPr>
          <w:rFonts w:ascii="Palatino Linotype" w:eastAsia="Palatino Linotype" w:hAnsi="Palatino Linotype" w:cs="Palatino Linotype"/>
        </w:rPr>
        <w:t>tado de México y Municipios.</w:t>
      </w:r>
    </w:p>
    <w:p w:rsidR="002D3484" w:rsidRDefault="002D3484">
      <w:pPr>
        <w:spacing w:line="360" w:lineRule="auto"/>
        <w:jc w:val="both"/>
        <w:rPr>
          <w:rFonts w:ascii="Palatino Linotype" w:eastAsia="Palatino Linotype" w:hAnsi="Palatino Linotype" w:cs="Palatino Linotype"/>
        </w:rPr>
      </w:pPr>
    </w:p>
    <w:p w:rsidR="002D3484" w:rsidRDefault="001B014F">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Inicialmente es dable precisar que los artículos 12</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y 23 fracción  IV</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xml:space="preserve"> de la Ley de la Materia, establecen la obligación de transparentar toda la información pública que </w:t>
      </w:r>
      <w:r>
        <w:rPr>
          <w:rFonts w:ascii="Palatino Linotype" w:eastAsia="Palatino Linotype" w:hAnsi="Palatino Linotype" w:cs="Palatino Linotype"/>
        </w:rPr>
        <w:lastRenderedPageBreak/>
        <w:t>generen, recopilen, administren, manejen, procesen, arc</w:t>
      </w:r>
      <w:r>
        <w:rPr>
          <w:rFonts w:ascii="Palatino Linotype" w:eastAsia="Palatino Linotype" w:hAnsi="Palatino Linotype" w:cs="Palatino Linotype"/>
        </w:rPr>
        <w:t xml:space="preserve">hiven o conserven; así mismo señala como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al Ayuntamiento de Naucalpan de Juárez.</w:t>
      </w:r>
    </w:p>
    <w:p w:rsidR="002D3484" w:rsidRDefault="001B014F">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Sin embargo, existen excepciones al derecho de acceso a la información conforme a lo establecido en los artículos 4 segundo párrafo, 91, 122, 125, 135, 140, 14</w:t>
      </w:r>
      <w:r>
        <w:rPr>
          <w:rFonts w:ascii="Palatino Linotype" w:eastAsia="Palatino Linotype" w:hAnsi="Palatino Linotype" w:cs="Palatino Linotype"/>
        </w:rPr>
        <w:t>1 y 142 de la repetitiva Ley de Transparencia, los cuales establecen lo siguiente:</w:t>
      </w:r>
    </w:p>
    <w:p w:rsidR="002D3484" w:rsidRDefault="002D3484">
      <w:pPr>
        <w:tabs>
          <w:tab w:val="left" w:pos="709"/>
        </w:tabs>
        <w:ind w:left="567" w:right="567"/>
        <w:jc w:val="both"/>
        <w:rPr>
          <w:rFonts w:ascii="Palatino Linotype" w:eastAsia="Palatino Linotype" w:hAnsi="Palatino Linotype" w:cs="Palatino Linotype"/>
          <w:i/>
          <w:sz w:val="22"/>
          <w:szCs w:val="22"/>
        </w:rPr>
      </w:pPr>
    </w:p>
    <w:p w:rsidR="002D3484" w:rsidRDefault="001B014F">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p>
    <w:p w:rsidR="002D3484" w:rsidRDefault="001B014F">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D3484" w:rsidRDefault="001B014F">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w:t>
      </w:r>
      <w:r>
        <w:rPr>
          <w:rFonts w:ascii="Palatino Linotype" w:eastAsia="Palatino Linotype" w:hAnsi="Palatino Linotype" w:cs="Palatino Linotype"/>
          <w:i/>
          <w:sz w:val="22"/>
          <w:szCs w:val="22"/>
        </w:rPr>
        <w:t xml:space="preserve">onales de los que el Estado mexicano sea parte, en la Ley General, la presente Ley y demás disposiciones de la materia, privilegiando el principio de máxima publicidad de la información. </w:t>
      </w:r>
      <w:r>
        <w:rPr>
          <w:rFonts w:ascii="Palatino Linotype" w:eastAsia="Palatino Linotype" w:hAnsi="Palatino Linotype" w:cs="Palatino Linotype"/>
          <w:b/>
          <w:i/>
          <w:sz w:val="22"/>
          <w:szCs w:val="22"/>
          <w:u w:val="single"/>
        </w:rPr>
        <w:t>Solo podrá ser clasificada excepcionalmente como reservada temporalme</w:t>
      </w:r>
      <w:r>
        <w:rPr>
          <w:rFonts w:ascii="Palatino Linotype" w:eastAsia="Palatino Linotype" w:hAnsi="Palatino Linotype" w:cs="Palatino Linotype"/>
          <w:b/>
          <w:i/>
          <w:sz w:val="22"/>
          <w:szCs w:val="22"/>
          <w:u w:val="single"/>
        </w:rPr>
        <w:t>nte por razones de interés público, en los términos de las causas legítimas y estrictamente necesarias previstas por esta Ley.</w:t>
      </w:r>
    </w:p>
    <w:p w:rsidR="002D3484" w:rsidRDefault="001B014F">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D3484" w:rsidRDefault="001B014F">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91.</w:t>
      </w:r>
      <w:r>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rsidR="002D3484" w:rsidRDefault="002D3484">
      <w:pPr>
        <w:tabs>
          <w:tab w:val="left" w:pos="709"/>
        </w:tabs>
        <w:ind w:left="567" w:right="567"/>
        <w:jc w:val="both"/>
        <w:rPr>
          <w:rFonts w:ascii="Palatino Linotype" w:eastAsia="Palatino Linotype" w:hAnsi="Palatino Linotype" w:cs="Palatino Linotype"/>
          <w:i/>
          <w:sz w:val="22"/>
          <w:szCs w:val="22"/>
        </w:rPr>
      </w:pPr>
    </w:p>
    <w:p w:rsidR="002D3484" w:rsidRDefault="001B014F">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122.</w:t>
      </w:r>
      <w:r>
        <w:rPr>
          <w:rFonts w:ascii="Palatino Linotype" w:eastAsia="Palatino Linotype" w:hAnsi="Palatino Linotype" w:cs="Palatino Linotype"/>
          <w:i/>
          <w:sz w:val="22"/>
          <w:szCs w:val="22"/>
        </w:rPr>
        <w:t xml:space="preserve"> La clasificación es el proceso mediante el cual el sujeto obligado determina que la información en su poder act</w:t>
      </w:r>
      <w:r>
        <w:rPr>
          <w:rFonts w:ascii="Palatino Linotype" w:eastAsia="Palatino Linotype" w:hAnsi="Palatino Linotype" w:cs="Palatino Linotype"/>
          <w:i/>
          <w:sz w:val="22"/>
          <w:szCs w:val="22"/>
        </w:rPr>
        <w:t>ualiza alguno de los supuestos de reserva o confidencialidad, de conformidad con lo dispuesto en el presente título.</w:t>
      </w:r>
    </w:p>
    <w:p w:rsidR="002D3484" w:rsidRDefault="001B014F">
      <w:pPr>
        <w:tabs>
          <w:tab w:val="left" w:pos="709"/>
        </w:tabs>
        <w:ind w:left="567" w:right="567"/>
        <w:jc w:val="both"/>
        <w:rPr>
          <w:rFonts w:ascii="Palatino Linotype" w:eastAsia="Palatino Linotype" w:hAnsi="Palatino Linotype" w:cs="Palatino Linotype"/>
          <w:i/>
          <w:sz w:val="22"/>
          <w:szCs w:val="22"/>
          <w:highlight w:val="yellow"/>
        </w:rPr>
      </w:pPr>
      <w:r>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w:t>
      </w:r>
      <w:r>
        <w:rPr>
          <w:rFonts w:ascii="Palatino Linotype" w:eastAsia="Palatino Linotype" w:hAnsi="Palatino Linotype" w:cs="Palatino Linotype"/>
          <w:i/>
          <w:sz w:val="22"/>
          <w:szCs w:val="22"/>
        </w:rPr>
        <w:t>os en la Ley General y, en ningún caso, podrán contravenirla.</w:t>
      </w:r>
    </w:p>
    <w:p w:rsidR="002D3484" w:rsidRDefault="001B014F">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w:t>
      </w:r>
      <w:r>
        <w:rPr>
          <w:rFonts w:ascii="Palatino Linotype" w:eastAsia="Palatino Linotype" w:hAnsi="Palatino Linotype" w:cs="Palatino Linotype"/>
          <w:i/>
          <w:sz w:val="22"/>
          <w:szCs w:val="22"/>
        </w:rPr>
        <w:t>bles</w:t>
      </w:r>
    </w:p>
    <w:p w:rsidR="002D3484" w:rsidRDefault="002D3484">
      <w:pPr>
        <w:tabs>
          <w:tab w:val="left" w:pos="709"/>
        </w:tabs>
        <w:ind w:left="567" w:right="567"/>
        <w:jc w:val="both"/>
        <w:rPr>
          <w:rFonts w:ascii="Palatino Linotype" w:eastAsia="Palatino Linotype" w:hAnsi="Palatino Linotype" w:cs="Palatino Linotype"/>
          <w:i/>
          <w:sz w:val="22"/>
          <w:szCs w:val="22"/>
        </w:rPr>
      </w:pPr>
    </w:p>
    <w:p w:rsidR="002D3484" w:rsidRDefault="001B014F">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125.</w:t>
      </w:r>
      <w:r>
        <w:rPr>
          <w:rFonts w:ascii="Palatino Linotype" w:eastAsia="Palatino Linotype" w:hAnsi="Palatino Linotype" w:cs="Palatino Linotype"/>
          <w:i/>
          <w:sz w:val="22"/>
          <w:szCs w:val="22"/>
        </w:rPr>
        <w:t xml:space="preserve"> La información clasificada como reservada, de acuerdo a lo establecido en esta Ley podrá permanecer con tal carácter hasta por un periodo de cinco años, contados </w:t>
      </w:r>
      <w:r>
        <w:rPr>
          <w:rFonts w:ascii="Palatino Linotype" w:eastAsia="Palatino Linotype" w:hAnsi="Palatino Linotype" w:cs="Palatino Linotype"/>
          <w:i/>
          <w:sz w:val="22"/>
          <w:szCs w:val="22"/>
        </w:rPr>
        <w:lastRenderedPageBreak/>
        <w:t>a partir de su clasificación, salvo que antes del cumplimiento del periodo</w:t>
      </w:r>
      <w:r>
        <w:rPr>
          <w:rFonts w:ascii="Palatino Linotype" w:eastAsia="Palatino Linotype" w:hAnsi="Palatino Linotype" w:cs="Palatino Linotype"/>
          <w:i/>
          <w:sz w:val="22"/>
          <w:szCs w:val="22"/>
        </w:rPr>
        <w:t xml:space="preserve"> de restricción, dejaran de existir los motivos de su reserva.</w:t>
      </w:r>
    </w:p>
    <w:p w:rsidR="002D3484" w:rsidRDefault="001B014F">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determinar que el plazo de reserva sea el estrictamente necesario para proteger la información mientras subsistan las causas que dieron origen a la clasificac</w:t>
      </w:r>
      <w:r>
        <w:rPr>
          <w:rFonts w:ascii="Palatino Linotype" w:eastAsia="Palatino Linotype" w:hAnsi="Palatino Linotype" w:cs="Palatino Linotype"/>
          <w:i/>
          <w:sz w:val="22"/>
          <w:szCs w:val="22"/>
        </w:rPr>
        <w:t>ión, salvaguardando el interés público protegido y tomarán en cuenta las razones que justifican el periodo de reserva establecido.</w:t>
      </w:r>
    </w:p>
    <w:p w:rsidR="002D3484" w:rsidRDefault="001B014F">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Excepcionalmente los sujetos obligados con la aprobación de su Comité de Transparencia, podrán ampliar el periodo de reserva </w:t>
      </w:r>
      <w:r>
        <w:rPr>
          <w:rFonts w:ascii="Palatino Linotype" w:eastAsia="Palatino Linotype" w:hAnsi="Palatino Linotype" w:cs="Palatino Linotype"/>
          <w:i/>
          <w:sz w:val="22"/>
          <w:szCs w:val="22"/>
        </w:rPr>
        <w:t>hasta por un plazo de cinco años adicionales y por una sola vez, siempre y cuando justifiquen que subsisten las causas que dieron origen a su clasificación, mediante la aplicación de una prueba de daño.</w:t>
      </w:r>
    </w:p>
    <w:p w:rsidR="002D3484" w:rsidRDefault="001B014F">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Cuando expiren los plazos de clasificación o se trate</w:t>
      </w:r>
      <w:r>
        <w:rPr>
          <w:rFonts w:ascii="Palatino Linotype" w:eastAsia="Palatino Linotype" w:hAnsi="Palatino Linotype" w:cs="Palatino Linotype"/>
          <w:i/>
          <w:sz w:val="22"/>
          <w:szCs w:val="22"/>
        </w:rPr>
        <w:t xml:space="preserve"> de información cuya publicación pueda ocasionar la destrucción o inhabilitación de la infraestructura de carácter estratégico para la provisión de bienes o servicios públicos, que a juicio de un sujeto obligado sea necesario ampliar nuevamente el periodo </w:t>
      </w:r>
      <w:r>
        <w:rPr>
          <w:rFonts w:ascii="Palatino Linotype" w:eastAsia="Palatino Linotype" w:hAnsi="Palatino Linotype" w:cs="Palatino Linotype"/>
          <w:i/>
          <w:sz w:val="22"/>
          <w:szCs w:val="22"/>
        </w:rPr>
        <w:t>de reserva de la información, el Comité de Transparencia respectivo deberá hacer la solicitud correspondiente al Instituto, debidamente fundada y motivada, aplicando la prueba de daño y señalando el plazo de reserva, por lo menos con tres meses de anticipa</w:t>
      </w:r>
      <w:r>
        <w:rPr>
          <w:rFonts w:ascii="Palatino Linotype" w:eastAsia="Palatino Linotype" w:hAnsi="Palatino Linotype" w:cs="Palatino Linotype"/>
          <w:i/>
          <w:sz w:val="22"/>
          <w:szCs w:val="22"/>
        </w:rPr>
        <w:t>ción al vencimiento del periodo.</w:t>
      </w:r>
    </w:p>
    <w:p w:rsidR="002D3484" w:rsidRDefault="002D3484">
      <w:pPr>
        <w:tabs>
          <w:tab w:val="left" w:pos="709"/>
        </w:tabs>
        <w:ind w:left="567" w:right="567"/>
        <w:jc w:val="both"/>
        <w:rPr>
          <w:rFonts w:ascii="Palatino Linotype" w:eastAsia="Palatino Linotype" w:hAnsi="Palatino Linotype" w:cs="Palatino Linotype"/>
          <w:b/>
          <w:i/>
          <w:sz w:val="22"/>
          <w:szCs w:val="22"/>
        </w:rPr>
      </w:pPr>
    </w:p>
    <w:p w:rsidR="002D3484" w:rsidRDefault="001B014F">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135.</w:t>
      </w:r>
      <w:r>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w:t>
      </w:r>
      <w:r>
        <w:rPr>
          <w:rFonts w:ascii="Palatino Linotype" w:eastAsia="Palatino Linotype" w:hAnsi="Palatino Linotype" w:cs="Palatino Linotype"/>
          <w:i/>
          <w:sz w:val="22"/>
          <w:szCs w:val="22"/>
        </w:rPr>
        <w:t>los sujetos obligados.</w:t>
      </w:r>
    </w:p>
    <w:p w:rsidR="002D3484" w:rsidRDefault="002D3484">
      <w:pPr>
        <w:tabs>
          <w:tab w:val="left" w:pos="709"/>
        </w:tabs>
        <w:ind w:left="567" w:right="567"/>
        <w:jc w:val="both"/>
        <w:rPr>
          <w:rFonts w:ascii="Palatino Linotype" w:eastAsia="Palatino Linotype" w:hAnsi="Palatino Linotype" w:cs="Palatino Linotype"/>
          <w:i/>
          <w:sz w:val="22"/>
          <w:szCs w:val="22"/>
        </w:rPr>
      </w:pPr>
    </w:p>
    <w:p w:rsidR="002D3484" w:rsidRDefault="001B014F">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140.</w:t>
      </w:r>
      <w:r>
        <w:rPr>
          <w:rFonts w:ascii="Palatino Linotype" w:eastAsia="Palatino Linotype" w:hAnsi="Palatino Linotype" w:cs="Palatino Linotype"/>
          <w:i/>
          <w:sz w:val="22"/>
          <w:szCs w:val="22"/>
        </w:rPr>
        <w:t xml:space="preserve"> El acceso a la información pública será restringido excepcionalmente, cuando por razones de interés público, ésta sea clasificada como reservada, conforme a los criterios siguientes:</w:t>
      </w:r>
    </w:p>
    <w:p w:rsidR="002D3484" w:rsidRDefault="001B014F">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Comprometa la seguridad pública </w:t>
      </w:r>
      <w:r>
        <w:rPr>
          <w:rFonts w:ascii="Palatino Linotype" w:eastAsia="Palatino Linotype" w:hAnsi="Palatino Linotype" w:cs="Palatino Linotype"/>
          <w:i/>
          <w:sz w:val="22"/>
          <w:szCs w:val="22"/>
        </w:rPr>
        <w:t>y cuente con un propósito genuino y un efecto demostrable;</w:t>
      </w:r>
    </w:p>
    <w:p w:rsidR="002D3484" w:rsidRDefault="001B014F">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Pueda menoscabar la conducción de las negociaciones y relaciones internacionales;</w:t>
      </w:r>
    </w:p>
    <w:p w:rsidR="002D3484" w:rsidRDefault="001B014F">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Se entregue a la Entidad expresamente con ese carácter o el de confidencialidad por otro u otros sujetos d</w:t>
      </w:r>
      <w:r>
        <w:rPr>
          <w:rFonts w:ascii="Palatino Linotype" w:eastAsia="Palatino Linotype" w:hAnsi="Palatino Linotype" w:cs="Palatino Linotype"/>
          <w:i/>
          <w:sz w:val="22"/>
          <w:szCs w:val="22"/>
        </w:rPr>
        <w:t>e derecho internacional, excepto cuando se trate de violaciones graves de derechos humanos o delitos de lesa humanidad de conformidad con el derecho internacional;</w:t>
      </w:r>
    </w:p>
    <w:p w:rsidR="002D3484" w:rsidRDefault="001B014F">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Ponga en riesgo la vida, la seguridad o la salud de una persona física;</w:t>
      </w:r>
    </w:p>
    <w:p w:rsidR="002D3484" w:rsidRDefault="001B014F">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Aquella cuya </w:t>
      </w:r>
      <w:r>
        <w:rPr>
          <w:rFonts w:ascii="Palatino Linotype" w:eastAsia="Palatino Linotype" w:hAnsi="Palatino Linotype" w:cs="Palatino Linotype"/>
          <w:i/>
          <w:sz w:val="22"/>
          <w:szCs w:val="22"/>
        </w:rPr>
        <w:t>divulgación obstruya o pueda causar un serio perjuicio a:</w:t>
      </w:r>
    </w:p>
    <w:p w:rsidR="002D3484" w:rsidRDefault="001B014F">
      <w:pPr>
        <w:tabs>
          <w:tab w:val="left" w:pos="709"/>
        </w:tabs>
        <w:ind w:left="851"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1</w:t>
      </w:r>
      <w:r>
        <w:rPr>
          <w:rFonts w:ascii="Palatino Linotype" w:eastAsia="Palatino Linotype" w:hAnsi="Palatino Linotype" w:cs="Palatino Linotype"/>
          <w:i/>
          <w:sz w:val="22"/>
          <w:szCs w:val="22"/>
        </w:rPr>
        <w:t>. Las actividades de fiscalización, verificación, inspección, comprobación y auditoría sobre el cumplimiento de las Leyes; o</w:t>
      </w:r>
    </w:p>
    <w:p w:rsidR="002D3484" w:rsidRDefault="001B014F">
      <w:pPr>
        <w:tabs>
          <w:tab w:val="left" w:pos="709"/>
        </w:tabs>
        <w:ind w:left="851"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2</w:t>
      </w:r>
      <w:r>
        <w:rPr>
          <w:rFonts w:ascii="Palatino Linotype" w:eastAsia="Palatino Linotype" w:hAnsi="Palatino Linotype" w:cs="Palatino Linotype"/>
          <w:i/>
          <w:sz w:val="22"/>
          <w:szCs w:val="22"/>
        </w:rPr>
        <w:t>. La recaudación de las contribuciones.</w:t>
      </w:r>
    </w:p>
    <w:p w:rsidR="002D3484" w:rsidRDefault="001B014F">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w:t>
      </w:r>
      <w:r>
        <w:rPr>
          <w:rFonts w:ascii="Palatino Linotype" w:eastAsia="Palatino Linotype" w:hAnsi="Palatino Linotype" w:cs="Palatino Linotype"/>
          <w:i/>
          <w:sz w:val="22"/>
          <w:szCs w:val="22"/>
        </w:rPr>
        <w:t>. Pueda causar daño u obstruy</w:t>
      </w:r>
      <w:r>
        <w:rPr>
          <w:rFonts w:ascii="Palatino Linotype" w:eastAsia="Palatino Linotype" w:hAnsi="Palatino Linotype" w:cs="Palatino Linotype"/>
          <w:i/>
          <w:sz w:val="22"/>
          <w:szCs w:val="22"/>
        </w:rPr>
        <w:t xml:space="preserve">a la prevención o persecución de los delitos, altere el proceso de investigación de las carpetas de investigación, afecte o vulnere la conducción o los derechos del debido proceso en los procedimientos judiciales o administrativos, </w:t>
      </w:r>
      <w:r>
        <w:rPr>
          <w:rFonts w:ascii="Palatino Linotype" w:eastAsia="Palatino Linotype" w:hAnsi="Palatino Linotype" w:cs="Palatino Linotype"/>
          <w:i/>
          <w:sz w:val="22"/>
          <w:szCs w:val="22"/>
        </w:rPr>
        <w:lastRenderedPageBreak/>
        <w:t>incluidos los de quejas,</w:t>
      </w:r>
      <w:r>
        <w:rPr>
          <w:rFonts w:ascii="Palatino Linotype" w:eastAsia="Palatino Linotype" w:hAnsi="Palatino Linotype" w:cs="Palatino Linotype"/>
          <w:i/>
          <w:sz w:val="22"/>
          <w:szCs w:val="22"/>
        </w:rPr>
        <w:t xml:space="preserve"> denuncias, inconformidades, responsabilidades administrativas y resarcitorias en tanto no hayan quedado firmes o afecte la administración de justicia o la seguridad de un denunciante, querellante o testigo, así como sus familias, en los términos de las di</w:t>
      </w:r>
      <w:r>
        <w:rPr>
          <w:rFonts w:ascii="Palatino Linotype" w:eastAsia="Palatino Linotype" w:hAnsi="Palatino Linotype" w:cs="Palatino Linotype"/>
          <w:i/>
          <w:sz w:val="22"/>
          <w:szCs w:val="22"/>
        </w:rPr>
        <w:t>sposiciones jurídicas aplicables;</w:t>
      </w:r>
    </w:p>
    <w:p w:rsidR="002D3484" w:rsidRDefault="001B014F">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w:t>
      </w:r>
      <w:r>
        <w:rPr>
          <w:rFonts w:ascii="Palatino Linotype" w:eastAsia="Palatino Linotype" w:hAnsi="Palatino Linotype" w:cs="Palatino Linotype"/>
          <w:i/>
          <w:sz w:val="22"/>
          <w:szCs w:val="22"/>
        </w:rPr>
        <w:t>. La que contengan las opiniones, recomendaciones o puntos de vista que formen parte del proceso deliberativo de los servidores públicos, hasta en tanto sea adoptada la decisión definitiva, la cual deberá estar documentada;</w:t>
      </w:r>
    </w:p>
    <w:p w:rsidR="002D3484" w:rsidRDefault="001B014F">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Vulnere la conducción de l</w:t>
      </w:r>
      <w:r>
        <w:rPr>
          <w:rFonts w:ascii="Palatino Linotype" w:eastAsia="Palatino Linotype" w:hAnsi="Palatino Linotype" w:cs="Palatino Linotype"/>
          <w:i/>
          <w:sz w:val="22"/>
          <w:szCs w:val="22"/>
        </w:rPr>
        <w:t>os expedientes judiciales o de los procedimientos administrativos seguidos en forma de juicio, en tanto no hayan quedado firmes;</w:t>
      </w:r>
    </w:p>
    <w:p w:rsidR="002D3484" w:rsidRDefault="001B014F">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w:t>
      </w:r>
      <w:r>
        <w:rPr>
          <w:rFonts w:ascii="Palatino Linotype" w:eastAsia="Palatino Linotype" w:hAnsi="Palatino Linotype" w:cs="Palatino Linotype"/>
          <w:i/>
          <w:sz w:val="22"/>
          <w:szCs w:val="22"/>
        </w:rPr>
        <w:t>. Se encuentre contenida dentro de las investigaciones de hechos que la Ley señale como delitos y se tramiten ante el Ministerio Público;</w:t>
      </w:r>
    </w:p>
    <w:p w:rsidR="002D3484" w:rsidRDefault="001B014F">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w:t>
      </w:r>
      <w:r>
        <w:rPr>
          <w:rFonts w:ascii="Palatino Linotype" w:eastAsia="Palatino Linotype" w:hAnsi="Palatino Linotype" w:cs="Palatino Linotype"/>
          <w:i/>
          <w:sz w:val="22"/>
          <w:szCs w:val="22"/>
        </w:rPr>
        <w:t>. El daño que pueda producirse con la publicación de la información sea mayor que el interés público de conocer la in</w:t>
      </w:r>
      <w:r>
        <w:rPr>
          <w:rFonts w:ascii="Palatino Linotype" w:eastAsia="Palatino Linotype" w:hAnsi="Palatino Linotype" w:cs="Palatino Linotype"/>
          <w:i/>
          <w:sz w:val="22"/>
          <w:szCs w:val="22"/>
        </w:rPr>
        <w:t>formación de referencia, siempre que esté directamente relacionado con procesos o procedimientos administrativos o judiciales que no hayan quedado firmes;</w:t>
      </w:r>
    </w:p>
    <w:p w:rsidR="002D3484" w:rsidRDefault="001B014F">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Cuando se trate de información sobre estudios y proyectos cuya divulgación pueda causar daños al inte</w:t>
      </w:r>
      <w:r>
        <w:rPr>
          <w:rFonts w:ascii="Palatino Linotype" w:eastAsia="Palatino Linotype" w:hAnsi="Palatino Linotype" w:cs="Palatino Linotype"/>
          <w:i/>
          <w:sz w:val="22"/>
          <w:szCs w:val="22"/>
        </w:rPr>
        <w:t>rés del Estado o suponga un riesgo para su realización, siempre que esté directamente relacionado con procesos o procedimientos administrativos o judiciales que no hayan quedado firmes; y</w:t>
      </w:r>
    </w:p>
    <w:p w:rsidR="002D3484" w:rsidRDefault="001B014F">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w:t>
      </w:r>
      <w:r>
        <w:rPr>
          <w:rFonts w:ascii="Palatino Linotype" w:eastAsia="Palatino Linotype" w:hAnsi="Palatino Linotype" w:cs="Palatino Linotype"/>
          <w:i/>
          <w:sz w:val="22"/>
          <w:szCs w:val="22"/>
        </w:rPr>
        <w:t xml:space="preserve">. Las que por disposición expresa de una ley tengan tal carácter, </w:t>
      </w:r>
      <w:r>
        <w:rPr>
          <w:rFonts w:ascii="Palatino Linotype" w:eastAsia="Palatino Linotype" w:hAnsi="Palatino Linotype" w:cs="Palatino Linotype"/>
          <w:i/>
          <w:sz w:val="22"/>
          <w:szCs w:val="22"/>
        </w:rPr>
        <w:t>siempre que sean acordes con las bases, principios y disposiciones establecidos en esta Ley y no la contravengan; así como las previstas en tratados internacionales.</w:t>
      </w:r>
    </w:p>
    <w:p w:rsidR="002D3484" w:rsidRDefault="002D3484">
      <w:pPr>
        <w:tabs>
          <w:tab w:val="left" w:pos="709"/>
        </w:tabs>
        <w:ind w:left="567" w:right="567"/>
        <w:jc w:val="both"/>
        <w:rPr>
          <w:rFonts w:ascii="Palatino Linotype" w:eastAsia="Palatino Linotype" w:hAnsi="Palatino Linotype" w:cs="Palatino Linotype"/>
          <w:b/>
          <w:i/>
          <w:sz w:val="22"/>
          <w:szCs w:val="22"/>
        </w:rPr>
      </w:pPr>
    </w:p>
    <w:p w:rsidR="002D3484" w:rsidRDefault="001B014F">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141.</w:t>
      </w:r>
      <w:r>
        <w:rPr>
          <w:rFonts w:ascii="Palatino Linotype" w:eastAsia="Palatino Linotype" w:hAnsi="Palatino Linotype" w:cs="Palatino Linotype"/>
          <w:i/>
          <w:sz w:val="22"/>
          <w:szCs w:val="22"/>
        </w:rPr>
        <w:t xml:space="preserve"> Las causales de reserva previstas en este Capítulo se deberán fundar y moti</w:t>
      </w:r>
      <w:r>
        <w:rPr>
          <w:rFonts w:ascii="Palatino Linotype" w:eastAsia="Palatino Linotype" w:hAnsi="Palatino Linotype" w:cs="Palatino Linotype"/>
          <w:i/>
          <w:sz w:val="22"/>
          <w:szCs w:val="22"/>
        </w:rPr>
        <w:t>var, a través de la aplicación de la prueba de daño a la que se hace referencia en el presente Título.</w:t>
      </w:r>
    </w:p>
    <w:p w:rsidR="002D3484" w:rsidRDefault="002D3484">
      <w:pPr>
        <w:tabs>
          <w:tab w:val="left" w:pos="709"/>
        </w:tabs>
        <w:ind w:left="567" w:right="567"/>
        <w:jc w:val="both"/>
        <w:rPr>
          <w:rFonts w:ascii="Palatino Linotype" w:eastAsia="Palatino Linotype" w:hAnsi="Palatino Linotype" w:cs="Palatino Linotype"/>
          <w:b/>
          <w:i/>
          <w:sz w:val="22"/>
          <w:szCs w:val="22"/>
        </w:rPr>
      </w:pPr>
    </w:p>
    <w:p w:rsidR="002D3484" w:rsidRDefault="001B014F">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142.</w:t>
      </w:r>
      <w:r>
        <w:rPr>
          <w:rFonts w:ascii="Palatino Linotype" w:eastAsia="Palatino Linotype" w:hAnsi="Palatino Linotype" w:cs="Palatino Linotype"/>
          <w:i/>
          <w:sz w:val="22"/>
          <w:szCs w:val="22"/>
        </w:rPr>
        <w:t xml:space="preserve"> Bajo ninguna circunstancia podrá invocarse el carácter de reservado cuando:</w:t>
      </w:r>
    </w:p>
    <w:p w:rsidR="002D3484" w:rsidRDefault="001B014F">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Se trate de violaciones graves de derechos humanos, calific</w:t>
      </w:r>
      <w:r>
        <w:rPr>
          <w:rFonts w:ascii="Palatino Linotype" w:eastAsia="Palatino Linotype" w:hAnsi="Palatino Linotype" w:cs="Palatino Linotype"/>
          <w:i/>
          <w:sz w:val="22"/>
          <w:szCs w:val="22"/>
        </w:rPr>
        <w:t>ada así por autoridad competente;</w:t>
      </w:r>
    </w:p>
    <w:p w:rsidR="002D3484" w:rsidRDefault="001B014F">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Se trate de la investigación de posibles violaciones graves de derechos humanos aun cuando no exista pronunciamiento previo de autoridad competente, cuando se determine, a partir de criterios cuantitativos y cualitativ</w:t>
      </w:r>
      <w:r>
        <w:rPr>
          <w:rFonts w:ascii="Palatino Linotype" w:eastAsia="Palatino Linotype" w:hAnsi="Palatino Linotype" w:cs="Palatino Linotype"/>
          <w:i/>
          <w:sz w:val="22"/>
          <w:szCs w:val="22"/>
        </w:rPr>
        <w:t>os la trascendencia social de las violaciones;</w:t>
      </w:r>
    </w:p>
    <w:p w:rsidR="002D3484" w:rsidRDefault="001B014F">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Se trate de delitos de lesa humanidad conforme a los tratados ratificados por el Senado de la República, las resoluciones emitidas por organismos internacionales cuya competencia sea reconocida por el Est</w:t>
      </w:r>
      <w:r>
        <w:rPr>
          <w:rFonts w:ascii="Palatino Linotype" w:eastAsia="Palatino Linotype" w:hAnsi="Palatino Linotype" w:cs="Palatino Linotype"/>
          <w:i/>
          <w:sz w:val="22"/>
          <w:szCs w:val="22"/>
        </w:rPr>
        <w:t>ado Mexicano, así como en las disposiciones jurídicas aplicables; y</w:t>
      </w:r>
    </w:p>
    <w:p w:rsidR="002D3484" w:rsidRDefault="001B014F">
      <w:pPr>
        <w:tabs>
          <w:tab w:val="left" w:pos="709"/>
        </w:tabs>
        <w:ind w:left="567" w:right="567"/>
        <w:jc w:val="both"/>
        <w:rPr>
          <w:rFonts w:ascii="Palatino Linotype" w:eastAsia="Palatino Linotype" w:hAnsi="Palatino Linotype" w:cs="Palatino Linotype"/>
          <w:i/>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Se trate de información relacionada con actos de corrupción de conformidad con las disposiciones jurídicas aplicables.”(Sic)</w:t>
      </w:r>
    </w:p>
    <w:p w:rsidR="002D3484" w:rsidRDefault="001B0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los artículos transcritos anteriormente, se observan las</w:t>
      </w:r>
      <w:r>
        <w:rPr>
          <w:rFonts w:ascii="Palatino Linotype" w:eastAsia="Palatino Linotype" w:hAnsi="Palatino Linotype" w:cs="Palatino Linotype"/>
        </w:rPr>
        <w:t xml:space="preserve"> excepciones que tiene el derecho de acceso a la información pública, respecto a algunos tipos de información, lo cual restringe su acceso, precisándose de manera clara las hipótesis que dan lugar a clasificar la información, la cual puede ser de dos maner</w:t>
      </w:r>
      <w:r>
        <w:rPr>
          <w:rFonts w:ascii="Palatino Linotype" w:eastAsia="Palatino Linotype" w:hAnsi="Palatino Linotype" w:cs="Palatino Linotype"/>
        </w:rPr>
        <w:t>as: Reservada o Confidencial.</w:t>
      </w:r>
    </w:p>
    <w:p w:rsidR="002D3484" w:rsidRDefault="002D3484">
      <w:pPr>
        <w:spacing w:line="360" w:lineRule="auto"/>
        <w:jc w:val="both"/>
        <w:rPr>
          <w:rFonts w:ascii="Palatino Linotype" w:eastAsia="Palatino Linotype" w:hAnsi="Palatino Linotype" w:cs="Palatino Linotype"/>
        </w:rPr>
      </w:pPr>
    </w:p>
    <w:p w:rsidR="002D3484" w:rsidRDefault="001B0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la información reservada será cuando por razones de interés público comprometa la seguridad pública, menoscabe la conducción de las negociaciones y relaciones internacionales, ponga en riesgo la vida, seguridad y persona</w:t>
      </w:r>
      <w:r>
        <w:rPr>
          <w:rFonts w:ascii="Palatino Linotype" w:eastAsia="Palatino Linotype" w:hAnsi="Palatino Linotype" w:cs="Palatino Linotype"/>
        </w:rPr>
        <w:t xml:space="preserve"> de una persona, pueda causar un serio perjuicio a las actividades de fiscalización y recaudación de contribuciones, que cause daño u obstruya la prevención o persecución de los delitos, vulnere la conducción de los expedientes judiciales o procedimientos </w:t>
      </w:r>
      <w:r>
        <w:rPr>
          <w:rFonts w:ascii="Palatino Linotype" w:eastAsia="Palatino Linotype" w:hAnsi="Palatino Linotype" w:cs="Palatino Linotype"/>
        </w:rPr>
        <w:t>administrativos seguidos en forma de juicio mientras no sean cosa juzgada, se encuentre contenida dentro de las investigaciones de hechos señalados por la ley como delito y se tramite ante el Ministerio Público y el daño que pudiera producirse con la publi</w:t>
      </w:r>
      <w:r>
        <w:rPr>
          <w:rFonts w:ascii="Palatino Linotype" w:eastAsia="Palatino Linotype" w:hAnsi="Palatino Linotype" w:cs="Palatino Linotype"/>
        </w:rPr>
        <w:t>cación de la información sea mayor que el interés público de conocer la información.</w:t>
      </w:r>
    </w:p>
    <w:p w:rsidR="002D3484" w:rsidRDefault="002D3484">
      <w:pPr>
        <w:spacing w:line="360" w:lineRule="auto"/>
        <w:jc w:val="both"/>
        <w:rPr>
          <w:rFonts w:ascii="Palatino Linotype" w:eastAsia="Palatino Linotype" w:hAnsi="Palatino Linotype" w:cs="Palatino Linotype"/>
        </w:rPr>
      </w:pPr>
    </w:p>
    <w:p w:rsidR="002D3484" w:rsidRDefault="001B0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igual forma, para el caso de la información reservada se aprecia, que se establece un procedimiento para clasificar la información, denominado prueba de daño, mediante</w:t>
      </w:r>
      <w:r>
        <w:rPr>
          <w:rFonts w:ascii="Palatino Linotype" w:eastAsia="Palatino Linotype" w:hAnsi="Palatino Linotype" w:cs="Palatino Linotype"/>
        </w:rPr>
        <w:t xml:space="preserve"> el cual se fundamentará y motivará la necesidad de clasificar la información, en el que se precisen las causales que obliguen a la reserva de la información, así como el periodo en que estará la información como reservada, lo </w:t>
      </w:r>
      <w:r>
        <w:rPr>
          <w:rFonts w:ascii="Palatino Linotype" w:eastAsia="Palatino Linotype" w:hAnsi="Palatino Linotype" w:cs="Palatino Linotype"/>
        </w:rPr>
        <w:lastRenderedPageBreak/>
        <w:t>que se consolida con lo señal</w:t>
      </w:r>
      <w:r>
        <w:rPr>
          <w:rFonts w:ascii="Palatino Linotype" w:eastAsia="Palatino Linotype" w:hAnsi="Palatino Linotype" w:cs="Palatino Linotype"/>
        </w:rPr>
        <w:t>ado por el artículo 129 de la Ley en la Materia que indica:</w:t>
      </w:r>
    </w:p>
    <w:p w:rsidR="002D3484" w:rsidRDefault="001B014F">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129. En la aplicación de la prueba de daño, el sujeto obligado deberá precisar las razones objetivas por las que la apertura de la información generaría una afectación, justificando que:</w:t>
      </w:r>
    </w:p>
    <w:p w:rsidR="002D3484" w:rsidRDefault="001B014F">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La divulgación de la información representa un riesgo real, demostrable e identificable del perjuicio significativo al interés público o a la seguridad pública;</w:t>
      </w:r>
    </w:p>
    <w:p w:rsidR="002D3484" w:rsidRDefault="001B014F">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El riesgo de perjuicio que supondría la divulgación supera el interés público general d</w:t>
      </w:r>
      <w:r>
        <w:rPr>
          <w:rFonts w:ascii="Palatino Linotype" w:eastAsia="Palatino Linotype" w:hAnsi="Palatino Linotype" w:cs="Palatino Linotype"/>
          <w:i/>
          <w:sz w:val="22"/>
          <w:szCs w:val="22"/>
        </w:rPr>
        <w:t>e que se difunda; y</w:t>
      </w:r>
    </w:p>
    <w:p w:rsidR="002D3484" w:rsidRDefault="001B014F">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La limitación se adecua al principio de proporcionalidad y representa el medio menos restrictivo disponible representa el medio menos restrictivo disponible para evitar el perjuicio.” (Sic)</w:t>
      </w:r>
    </w:p>
    <w:p w:rsidR="002D3484" w:rsidRDefault="002D3484">
      <w:pPr>
        <w:spacing w:line="360" w:lineRule="auto"/>
        <w:jc w:val="both"/>
        <w:rPr>
          <w:rFonts w:ascii="Palatino Linotype" w:eastAsia="Palatino Linotype" w:hAnsi="Palatino Linotype" w:cs="Palatino Linotype"/>
        </w:rPr>
      </w:pPr>
    </w:p>
    <w:p w:rsidR="002D3484" w:rsidRDefault="001B0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Hechas estas precisiones, se advierte qu</w:t>
      </w:r>
      <w:r>
        <w:rPr>
          <w:rFonts w:ascii="Palatino Linotype" w:eastAsia="Palatino Linotype" w:hAnsi="Palatino Linotype" w:cs="Palatino Linotype"/>
        </w:rPr>
        <w:t xml:space="preserve">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al emitir su respuesta hizo del conocimiento del solicitante que la información requerida es considerada como reservada, como así fue autorizado en el acta de la primer sesión extraordinaria del Comité de Transparencia del Sujeto Oblig</w:t>
      </w:r>
      <w:r>
        <w:rPr>
          <w:rFonts w:ascii="Palatino Linotype" w:eastAsia="Palatino Linotype" w:hAnsi="Palatino Linotype" w:cs="Palatino Linotype"/>
        </w:rPr>
        <w:t>ado, de fecha dieciocho de febrero del año en curso a través del cual se aprobó el acuerdo número CT/NAU/ACTA-EXT-001/2022/SEGUNDO, con el cual se aprobó la reserva de las cuentas bancarias que no se encuentran embargadas por el termino de tres años, la cu</w:t>
      </w:r>
      <w:r>
        <w:rPr>
          <w:rFonts w:ascii="Palatino Linotype" w:eastAsia="Palatino Linotype" w:hAnsi="Palatino Linotype" w:cs="Palatino Linotype"/>
        </w:rPr>
        <w:t xml:space="preserve">al fue remitida por el Sujeto Obligado hasta el informe justificado; no obstante, como ya se ha dicho ni en la respuesta ni en el acta descrita en el párrafo anterior, no se realizó una debida clasificación de la información, toda vez que el </w:t>
      </w:r>
      <w:r>
        <w:rPr>
          <w:rFonts w:ascii="Palatino Linotype" w:eastAsia="Palatino Linotype" w:hAnsi="Palatino Linotype" w:cs="Palatino Linotype"/>
          <w:b/>
        </w:rPr>
        <w:t>SUJETO OBLIGAD</w:t>
      </w:r>
      <w:r>
        <w:rPr>
          <w:rFonts w:ascii="Palatino Linotype" w:eastAsia="Palatino Linotype" w:hAnsi="Palatino Linotype" w:cs="Palatino Linotype"/>
          <w:b/>
        </w:rPr>
        <w:t xml:space="preserve">O </w:t>
      </w:r>
      <w:r>
        <w:rPr>
          <w:rFonts w:ascii="Palatino Linotype" w:eastAsia="Palatino Linotype" w:hAnsi="Palatino Linotype" w:cs="Palatino Linotype"/>
        </w:rPr>
        <w:t>no se sujetó al procedimiento establecido en la Ley de Transparencia de la materia y en los Lineamientos Generales en materia de clasificación y desclasificación de la información, así como para la elaboración de versiones públicas; los cuales establecen</w:t>
      </w:r>
      <w:r>
        <w:rPr>
          <w:rFonts w:ascii="Palatino Linotype" w:eastAsia="Palatino Linotype" w:hAnsi="Palatino Linotype" w:cs="Palatino Linotype"/>
        </w:rPr>
        <w:t xml:space="preserve"> que para clasificar la información como reservada debe realizarse una prueba de daño, en la que se precisará el riesgo real, demostrable </w:t>
      </w:r>
      <w:r>
        <w:rPr>
          <w:rFonts w:ascii="Palatino Linotype" w:eastAsia="Palatino Linotype" w:hAnsi="Palatino Linotype" w:cs="Palatino Linotype"/>
        </w:rPr>
        <w:lastRenderedPageBreak/>
        <w:t>e identificable que generaría la divulgación de la información; el riesgo de perjuicio que supondría la divulgación, y</w:t>
      </w:r>
      <w:r>
        <w:rPr>
          <w:rFonts w:ascii="Palatino Linotype" w:eastAsia="Palatino Linotype" w:hAnsi="Palatino Linotype" w:cs="Palatino Linotype"/>
        </w:rPr>
        <w:t xml:space="preserve"> que la limitación se adecua al principio de proporcionalidad tal como se advierte a continuación: </w:t>
      </w:r>
    </w:p>
    <w:p w:rsidR="002D3484" w:rsidRDefault="002D3484">
      <w:pPr>
        <w:spacing w:line="360" w:lineRule="auto"/>
        <w:jc w:val="both"/>
        <w:rPr>
          <w:rFonts w:ascii="Palatino Linotype" w:eastAsia="Palatino Linotype" w:hAnsi="Palatino Linotype" w:cs="Palatino Linotype"/>
        </w:rPr>
      </w:pPr>
    </w:p>
    <w:p w:rsidR="002D3484" w:rsidRDefault="002D3484">
      <w:pPr>
        <w:spacing w:line="360" w:lineRule="auto"/>
        <w:jc w:val="both"/>
        <w:rPr>
          <w:rFonts w:ascii="Palatino Linotype" w:eastAsia="Palatino Linotype" w:hAnsi="Palatino Linotype" w:cs="Palatino Linotype"/>
        </w:rPr>
      </w:pPr>
    </w:p>
    <w:tbl>
      <w:tblPr>
        <w:tblStyle w:val="a5"/>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6152"/>
        <w:gridCol w:w="1263"/>
      </w:tblGrid>
      <w:tr w:rsidR="002D3484">
        <w:tc>
          <w:tcPr>
            <w:tcW w:w="1413" w:type="dxa"/>
            <w:tcBorders>
              <w:top w:val="single" w:sz="4" w:space="0" w:color="000000"/>
              <w:left w:val="single" w:sz="4" w:space="0" w:color="000000"/>
              <w:bottom w:val="single" w:sz="4" w:space="0" w:color="000000"/>
              <w:right w:val="single" w:sz="4" w:space="0" w:color="000000"/>
            </w:tcBorders>
            <w:shd w:val="clear" w:color="auto" w:fill="7B7B7B"/>
          </w:tcPr>
          <w:p w:rsidR="002D3484" w:rsidRDefault="001B014F">
            <w:pPr>
              <w:spacing w:before="100" w:after="200" w:line="276" w:lineRule="auto"/>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color w:val="FFFFFF"/>
                <w:sz w:val="18"/>
                <w:szCs w:val="18"/>
              </w:rPr>
              <w:t>Elementos del acuerdo de clasificación</w:t>
            </w:r>
          </w:p>
        </w:tc>
        <w:tc>
          <w:tcPr>
            <w:tcW w:w="6152" w:type="dxa"/>
            <w:tcBorders>
              <w:top w:val="single" w:sz="4" w:space="0" w:color="000000"/>
              <w:left w:val="single" w:sz="4" w:space="0" w:color="000000"/>
              <w:bottom w:val="single" w:sz="4" w:space="0" w:color="000000"/>
              <w:right w:val="single" w:sz="4" w:space="0" w:color="000000"/>
            </w:tcBorders>
            <w:shd w:val="clear" w:color="auto" w:fill="7B7B7B"/>
          </w:tcPr>
          <w:p w:rsidR="002D3484" w:rsidRDefault="001B014F">
            <w:pPr>
              <w:spacing w:before="100" w:after="200" w:line="276" w:lineRule="auto"/>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color w:val="FFFFFF"/>
                <w:sz w:val="22"/>
                <w:szCs w:val="22"/>
              </w:rPr>
              <w:t>Contenido</w:t>
            </w:r>
          </w:p>
        </w:tc>
        <w:tc>
          <w:tcPr>
            <w:tcW w:w="1263" w:type="dxa"/>
            <w:tcBorders>
              <w:top w:val="single" w:sz="4" w:space="0" w:color="000000"/>
              <w:left w:val="single" w:sz="4" w:space="0" w:color="000000"/>
              <w:bottom w:val="single" w:sz="4" w:space="0" w:color="000000"/>
              <w:right w:val="single" w:sz="4" w:space="0" w:color="000000"/>
            </w:tcBorders>
            <w:shd w:val="clear" w:color="auto" w:fill="7B7B7B"/>
          </w:tcPr>
          <w:p w:rsidR="002D3484" w:rsidRDefault="001B014F">
            <w:pPr>
              <w:spacing w:before="100" w:after="200" w:line="276" w:lineRule="auto"/>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color w:val="FFFFFF"/>
                <w:sz w:val="22"/>
                <w:szCs w:val="22"/>
              </w:rPr>
              <w:t>Cumple</w:t>
            </w:r>
          </w:p>
        </w:tc>
      </w:tr>
      <w:tr w:rsidR="002D3484">
        <w:tc>
          <w:tcPr>
            <w:tcW w:w="1413" w:type="dxa"/>
            <w:tcBorders>
              <w:top w:val="single" w:sz="4" w:space="0" w:color="000000"/>
              <w:left w:val="single" w:sz="4" w:space="0" w:color="000000"/>
              <w:bottom w:val="single" w:sz="4" w:space="0" w:color="000000"/>
              <w:right w:val="single" w:sz="4" w:space="0" w:color="000000"/>
            </w:tcBorders>
          </w:tcPr>
          <w:p w:rsidR="002D3484" w:rsidRDefault="001B014F">
            <w:pPr>
              <w:spacing w:before="100" w:after="20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Número de folio de la solicitud</w:t>
            </w:r>
          </w:p>
        </w:tc>
        <w:tc>
          <w:tcPr>
            <w:tcW w:w="6152" w:type="dxa"/>
            <w:tcBorders>
              <w:top w:val="single" w:sz="4" w:space="0" w:color="000000"/>
              <w:left w:val="single" w:sz="4" w:space="0" w:color="000000"/>
              <w:bottom w:val="single" w:sz="4" w:space="0" w:color="000000"/>
              <w:right w:val="single" w:sz="4" w:space="0" w:color="000000"/>
            </w:tcBorders>
          </w:tcPr>
          <w:p w:rsidR="002D3484" w:rsidRDefault="001B014F">
            <w:pPr>
              <w:spacing w:before="100" w:after="200" w:line="276" w:lineRule="auto"/>
              <w:rPr>
                <w:rFonts w:ascii="Calibri" w:eastAsia="Calibri" w:hAnsi="Calibri" w:cs="Calibri"/>
                <w:sz w:val="20"/>
                <w:szCs w:val="20"/>
              </w:rPr>
            </w:pPr>
            <w:r>
              <w:rPr>
                <w:noProof/>
                <w:lang w:val="es-MX" w:eastAsia="es-MX"/>
              </w:rPr>
              <w:drawing>
                <wp:inline distT="0" distB="0" distL="0" distR="0">
                  <wp:extent cx="3652929" cy="745374"/>
                  <wp:effectExtent l="0" t="0" r="0" b="0"/>
                  <wp:docPr id="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34239" t="45508" r="19165" b="35956"/>
                          <a:stretch>
                            <a:fillRect/>
                          </a:stretch>
                        </pic:blipFill>
                        <pic:spPr>
                          <a:xfrm>
                            <a:off x="0" y="0"/>
                            <a:ext cx="3652929" cy="745374"/>
                          </a:xfrm>
                          <a:prstGeom prst="rect">
                            <a:avLst/>
                          </a:prstGeom>
                          <a:ln/>
                        </pic:spPr>
                      </pic:pic>
                    </a:graphicData>
                  </a:graphic>
                </wp:inline>
              </w:drawing>
            </w:r>
            <w:r>
              <w:rPr>
                <w:noProof/>
                <w:lang w:val="es-MX" w:eastAsia="es-MX"/>
              </w:rPr>
              <mc:AlternateContent>
                <mc:Choice Requires="wpg">
                  <w:drawing>
                    <wp:anchor distT="0" distB="0" distL="114300" distR="114300" simplePos="0" relativeHeight="251658240" behindDoc="0" locked="0" layoutInCell="1" hidden="0" allowOverlap="1">
                      <wp:simplePos x="0" y="0"/>
                      <wp:positionH relativeFrom="column">
                        <wp:posOffset>-317499</wp:posOffset>
                      </wp:positionH>
                      <wp:positionV relativeFrom="paragraph">
                        <wp:posOffset>-3098799</wp:posOffset>
                      </wp:positionV>
                      <wp:extent cx="1085850" cy="190500"/>
                      <wp:effectExtent l="0" t="0" r="0" b="0"/>
                      <wp:wrapNone/>
                      <wp:docPr id="57" name=""/>
                      <wp:cNvGraphicFramePr/>
                      <a:graphic xmlns:a="http://schemas.openxmlformats.org/drawingml/2006/main">
                        <a:graphicData uri="http://schemas.microsoft.com/office/word/2010/wordprocessingShape">
                          <wps:wsp>
                            <wps:cNvSpPr/>
                            <wps:spPr>
                              <a:xfrm>
                                <a:off x="4817363" y="3699038"/>
                                <a:ext cx="1057275" cy="161925"/>
                              </a:xfrm>
                              <a:prstGeom prst="rect">
                                <a:avLst/>
                              </a:prstGeom>
                              <a:noFill/>
                              <a:ln w="28575" cap="flat" cmpd="sng">
                                <a:solidFill>
                                  <a:srgbClr val="002060"/>
                                </a:solidFill>
                                <a:prstDash val="solid"/>
                                <a:miter lim="800000"/>
                                <a:headEnd type="none" w="sm" len="sm"/>
                                <a:tailEnd type="none" w="sm" len="sm"/>
                              </a:ln>
                            </wps:spPr>
                            <wps:txbx>
                              <w:txbxContent>
                                <w:p w:rsidR="002D3484" w:rsidRDefault="002D3484">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-317499</wp:posOffset>
                      </wp:positionH>
                      <wp:positionV relativeFrom="paragraph">
                        <wp:posOffset>-3098799</wp:posOffset>
                      </wp:positionV>
                      <wp:extent cx="1085850" cy="190500"/>
                      <wp:effectExtent b="0" l="0" r="0" t="0"/>
                      <wp:wrapNone/>
                      <wp:docPr id="57"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1085850" cy="190500"/>
                              </a:xfrm>
                              <a:prstGeom prst="rect"/>
                              <a:ln/>
                            </pic:spPr>
                          </pic:pic>
                        </a:graphicData>
                      </a:graphic>
                    </wp:anchor>
                  </w:drawing>
                </mc:Fallback>
              </mc:AlternateContent>
            </w:r>
            <w:r>
              <w:rPr>
                <w:noProof/>
                <w:lang w:val="es-MX" w:eastAsia="es-MX"/>
              </w:rPr>
              <mc:AlternateContent>
                <mc:Choice Requires="wpg">
                  <w:drawing>
                    <wp:anchor distT="0" distB="0" distL="114300" distR="114300" simplePos="0" relativeHeight="251659264" behindDoc="0" locked="0" layoutInCell="1" hidden="0" allowOverlap="1">
                      <wp:simplePos x="0" y="0"/>
                      <wp:positionH relativeFrom="column">
                        <wp:posOffset>1752600</wp:posOffset>
                      </wp:positionH>
                      <wp:positionV relativeFrom="paragraph">
                        <wp:posOffset>495300</wp:posOffset>
                      </wp:positionV>
                      <wp:extent cx="1060524" cy="157601"/>
                      <wp:effectExtent l="0" t="0" r="0" b="0"/>
                      <wp:wrapNone/>
                      <wp:docPr id="58" name=""/>
                      <wp:cNvGraphicFramePr/>
                      <a:graphic xmlns:a="http://schemas.openxmlformats.org/drawingml/2006/main">
                        <a:graphicData uri="http://schemas.microsoft.com/office/word/2010/wordprocessingShape">
                          <wps:wsp>
                            <wps:cNvSpPr/>
                            <wps:spPr>
                              <a:xfrm>
                                <a:off x="4830026" y="3715487"/>
                                <a:ext cx="1031949" cy="129026"/>
                              </a:xfrm>
                              <a:prstGeom prst="rect">
                                <a:avLst/>
                              </a:prstGeom>
                              <a:noFill/>
                              <a:ln w="28575" cap="flat" cmpd="sng">
                                <a:solidFill>
                                  <a:srgbClr val="002060"/>
                                </a:solidFill>
                                <a:prstDash val="solid"/>
                                <a:miter lim="800000"/>
                                <a:headEnd type="none" w="sm" len="sm"/>
                                <a:tailEnd type="none" w="sm" len="sm"/>
                              </a:ln>
                            </wps:spPr>
                            <wps:txbx>
                              <w:txbxContent>
                                <w:p w:rsidR="002D3484" w:rsidRDefault="002D3484">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1752600</wp:posOffset>
                      </wp:positionH>
                      <wp:positionV relativeFrom="paragraph">
                        <wp:posOffset>495300</wp:posOffset>
                      </wp:positionV>
                      <wp:extent cx="1060524" cy="157601"/>
                      <wp:effectExtent b="0" l="0" r="0" t="0"/>
                      <wp:wrapNone/>
                      <wp:docPr id="58" name="image9.png"/>
                      <a:graphic>
                        <a:graphicData uri="http://schemas.openxmlformats.org/drawingml/2006/picture">
                          <pic:pic>
                            <pic:nvPicPr>
                              <pic:cNvPr id="0" name="image9.png"/>
                              <pic:cNvPicPr preferRelativeResize="0"/>
                            </pic:nvPicPr>
                            <pic:blipFill>
                              <a:blip r:embed="rId16"/>
                              <a:srcRect/>
                              <a:stretch>
                                <a:fillRect/>
                              </a:stretch>
                            </pic:blipFill>
                            <pic:spPr>
                              <a:xfrm>
                                <a:off x="0" y="0"/>
                                <a:ext cx="1060524" cy="157601"/>
                              </a:xfrm>
                              <a:prstGeom prst="rect"/>
                              <a:ln/>
                            </pic:spPr>
                          </pic:pic>
                        </a:graphicData>
                      </a:graphic>
                    </wp:anchor>
                  </w:drawing>
                </mc:Fallback>
              </mc:AlternateContent>
            </w:r>
          </w:p>
        </w:tc>
        <w:tc>
          <w:tcPr>
            <w:tcW w:w="1263" w:type="dxa"/>
            <w:tcBorders>
              <w:top w:val="single" w:sz="4" w:space="0" w:color="000000"/>
              <w:left w:val="single" w:sz="4" w:space="0" w:color="000000"/>
              <w:bottom w:val="single" w:sz="4" w:space="0" w:color="000000"/>
              <w:right w:val="single" w:sz="4" w:space="0" w:color="000000"/>
            </w:tcBorders>
          </w:tcPr>
          <w:p w:rsidR="002D3484" w:rsidRDefault="001B014F">
            <w:pPr>
              <w:spacing w:before="100" w:after="200" w:line="276" w:lineRule="auto"/>
              <w:jc w:val="center"/>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color w:val="000000"/>
                <w:sz w:val="18"/>
                <w:szCs w:val="18"/>
              </w:rPr>
              <w:t>No corresponde con la solicitud del presente caso</w:t>
            </w:r>
          </w:p>
        </w:tc>
      </w:tr>
      <w:tr w:rsidR="002D3484">
        <w:tc>
          <w:tcPr>
            <w:tcW w:w="1413" w:type="dxa"/>
            <w:tcBorders>
              <w:top w:val="single" w:sz="4" w:space="0" w:color="000000"/>
              <w:left w:val="single" w:sz="4" w:space="0" w:color="000000"/>
              <w:bottom w:val="single" w:sz="4" w:space="0" w:color="000000"/>
              <w:right w:val="single" w:sz="4" w:space="0" w:color="000000"/>
            </w:tcBorders>
          </w:tcPr>
          <w:p w:rsidR="002D3484" w:rsidRDefault="001B014F">
            <w:pPr>
              <w:spacing w:before="100" w:after="20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Referencia de la información solicitada</w:t>
            </w:r>
          </w:p>
        </w:tc>
        <w:tc>
          <w:tcPr>
            <w:tcW w:w="6152" w:type="dxa"/>
            <w:tcBorders>
              <w:top w:val="single" w:sz="4" w:space="0" w:color="000000"/>
              <w:left w:val="single" w:sz="4" w:space="0" w:color="000000"/>
              <w:bottom w:val="single" w:sz="4" w:space="0" w:color="000000"/>
              <w:right w:val="single" w:sz="4" w:space="0" w:color="000000"/>
            </w:tcBorders>
          </w:tcPr>
          <w:p w:rsidR="002D3484" w:rsidRDefault="001B014F">
            <w:pPr>
              <w:spacing w:before="100" w:after="200" w:line="276" w:lineRule="auto"/>
              <w:jc w:val="center"/>
              <w:rPr>
                <w:rFonts w:ascii="Palatino Linotype" w:eastAsia="Palatino Linotype" w:hAnsi="Palatino Linotype" w:cs="Palatino Linotype"/>
              </w:rPr>
            </w:pPr>
            <w:r>
              <w:rPr>
                <w:noProof/>
                <w:lang w:val="es-MX" w:eastAsia="es-MX"/>
              </w:rPr>
              <w:drawing>
                <wp:inline distT="0" distB="0" distL="0" distR="0">
                  <wp:extent cx="3520823" cy="1466592"/>
                  <wp:effectExtent l="0" t="0" r="0" b="0"/>
                  <wp:docPr id="6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l="40048" t="16934" r="25430" b="22705"/>
                          <a:stretch>
                            <a:fillRect/>
                          </a:stretch>
                        </pic:blipFill>
                        <pic:spPr>
                          <a:xfrm>
                            <a:off x="0" y="0"/>
                            <a:ext cx="3520823" cy="1466592"/>
                          </a:xfrm>
                          <a:prstGeom prst="rect">
                            <a:avLst/>
                          </a:prstGeom>
                          <a:ln/>
                        </pic:spPr>
                      </pic:pic>
                    </a:graphicData>
                  </a:graphic>
                </wp:inline>
              </w:drawing>
            </w:r>
          </w:p>
        </w:tc>
        <w:tc>
          <w:tcPr>
            <w:tcW w:w="1263" w:type="dxa"/>
            <w:tcBorders>
              <w:top w:val="single" w:sz="4" w:space="0" w:color="000000"/>
              <w:left w:val="single" w:sz="4" w:space="0" w:color="000000"/>
              <w:bottom w:val="single" w:sz="4" w:space="0" w:color="000000"/>
              <w:right w:val="single" w:sz="4" w:space="0" w:color="000000"/>
            </w:tcBorders>
          </w:tcPr>
          <w:p w:rsidR="002D3484" w:rsidRDefault="001B014F">
            <w:pPr>
              <w:spacing w:before="100" w:after="200" w:line="276" w:lineRule="auto"/>
              <w:jc w:val="center"/>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color w:val="000000"/>
                <w:sz w:val="18"/>
                <w:szCs w:val="18"/>
              </w:rPr>
              <w:t>Sí</w:t>
            </w:r>
          </w:p>
          <w:p w:rsidR="002D3484" w:rsidRDefault="001B014F">
            <w:pPr>
              <w:spacing w:before="100" w:after="200" w:line="276" w:lineRule="auto"/>
              <w:jc w:val="both"/>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color w:val="000000"/>
                <w:sz w:val="18"/>
                <w:szCs w:val="18"/>
              </w:rPr>
              <w:t>Pero no es aplicable al caso que se analiza ya que lo solicitado es información pública.</w:t>
            </w:r>
          </w:p>
        </w:tc>
      </w:tr>
      <w:tr w:rsidR="002D3484">
        <w:tc>
          <w:tcPr>
            <w:tcW w:w="1413" w:type="dxa"/>
            <w:tcBorders>
              <w:top w:val="single" w:sz="4" w:space="0" w:color="000000"/>
              <w:left w:val="single" w:sz="4" w:space="0" w:color="000000"/>
              <w:bottom w:val="single" w:sz="4" w:space="0" w:color="000000"/>
              <w:right w:val="single" w:sz="4" w:space="0" w:color="000000"/>
            </w:tcBorders>
          </w:tcPr>
          <w:p w:rsidR="002D3484" w:rsidRDefault="001B014F">
            <w:pPr>
              <w:spacing w:before="100" w:after="20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 xml:space="preserve">Causal aplicable del artículo 113 de la Ley General, vinculándola con el Lineamiento específico del presente ordenamiento </w:t>
            </w:r>
            <w:r>
              <w:rPr>
                <w:rFonts w:ascii="Palatino Linotype" w:eastAsia="Palatino Linotype" w:hAnsi="Palatino Linotype" w:cs="Palatino Linotype"/>
                <w:b/>
                <w:sz w:val="18"/>
                <w:szCs w:val="18"/>
              </w:rPr>
              <w:lastRenderedPageBreak/>
              <w:t>y, cuando corresponda, el supuesto normativo que expresamente le otorga el carácter de información reservada</w:t>
            </w:r>
          </w:p>
        </w:tc>
        <w:tc>
          <w:tcPr>
            <w:tcW w:w="6152" w:type="dxa"/>
            <w:tcBorders>
              <w:top w:val="single" w:sz="4" w:space="0" w:color="000000"/>
              <w:left w:val="single" w:sz="4" w:space="0" w:color="000000"/>
              <w:bottom w:val="single" w:sz="4" w:space="0" w:color="000000"/>
              <w:right w:val="single" w:sz="4" w:space="0" w:color="000000"/>
            </w:tcBorders>
          </w:tcPr>
          <w:p w:rsidR="002D3484" w:rsidRDefault="001B014F">
            <w:pPr>
              <w:spacing w:before="100" w:after="200" w:line="276" w:lineRule="auto"/>
              <w:rPr>
                <w:rFonts w:ascii="Calibri" w:eastAsia="Calibri" w:hAnsi="Calibri" w:cs="Calibri"/>
                <w:sz w:val="20"/>
                <w:szCs w:val="20"/>
              </w:rPr>
            </w:pPr>
            <w:r>
              <w:rPr>
                <w:noProof/>
                <w:lang w:val="es-MX" w:eastAsia="es-MX"/>
              </w:rPr>
              <w:lastRenderedPageBreak/>
              <w:drawing>
                <wp:inline distT="0" distB="0" distL="0" distR="0">
                  <wp:extent cx="3779402" cy="1884065"/>
                  <wp:effectExtent l="0" t="0" r="0" b="0"/>
                  <wp:docPr id="6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l="40358" t="47888" r="25694" b="10259"/>
                          <a:stretch>
                            <a:fillRect/>
                          </a:stretch>
                        </pic:blipFill>
                        <pic:spPr>
                          <a:xfrm>
                            <a:off x="0" y="0"/>
                            <a:ext cx="3779402" cy="1884065"/>
                          </a:xfrm>
                          <a:prstGeom prst="rect">
                            <a:avLst/>
                          </a:prstGeom>
                          <a:ln/>
                        </pic:spPr>
                      </pic:pic>
                    </a:graphicData>
                  </a:graphic>
                </wp:inline>
              </w:drawing>
            </w:r>
          </w:p>
          <w:p w:rsidR="002D3484" w:rsidRDefault="002D3484">
            <w:pPr>
              <w:spacing w:before="100" w:after="200" w:line="276" w:lineRule="auto"/>
              <w:rPr>
                <w:rFonts w:ascii="Calibri" w:eastAsia="Calibri" w:hAnsi="Calibri" w:cs="Calibri"/>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2D3484" w:rsidRDefault="001B014F">
            <w:pPr>
              <w:spacing w:before="100" w:after="200" w:line="276" w:lineRule="auto"/>
              <w:jc w:val="center"/>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color w:val="000000"/>
                <w:sz w:val="18"/>
                <w:szCs w:val="18"/>
              </w:rPr>
              <w:lastRenderedPageBreak/>
              <w:t>Sí</w:t>
            </w:r>
          </w:p>
          <w:p w:rsidR="002D3484" w:rsidRDefault="001B014F">
            <w:pPr>
              <w:spacing w:before="100" w:after="200" w:line="276" w:lineRule="auto"/>
              <w:jc w:val="both"/>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color w:val="000000"/>
                <w:sz w:val="18"/>
                <w:szCs w:val="18"/>
              </w:rPr>
              <w:t>Pero no es aplicabl</w:t>
            </w:r>
            <w:r>
              <w:rPr>
                <w:rFonts w:ascii="Palatino Linotype" w:eastAsia="Palatino Linotype" w:hAnsi="Palatino Linotype" w:cs="Palatino Linotype"/>
                <w:b/>
                <w:color w:val="000000"/>
                <w:sz w:val="18"/>
                <w:szCs w:val="18"/>
              </w:rPr>
              <w:t xml:space="preserve">e al caso que se analiza ya que lo solicitado es información pública. </w:t>
            </w:r>
          </w:p>
          <w:p w:rsidR="002D3484" w:rsidRDefault="002D3484">
            <w:pPr>
              <w:spacing w:before="100" w:after="200" w:line="276" w:lineRule="auto"/>
              <w:jc w:val="both"/>
              <w:rPr>
                <w:rFonts w:ascii="Palatino Linotype" w:eastAsia="Palatino Linotype" w:hAnsi="Palatino Linotype" w:cs="Palatino Linotype"/>
                <w:b/>
                <w:color w:val="000000"/>
                <w:sz w:val="18"/>
                <w:szCs w:val="18"/>
              </w:rPr>
            </w:pPr>
          </w:p>
        </w:tc>
      </w:tr>
      <w:tr w:rsidR="002D3484">
        <w:tc>
          <w:tcPr>
            <w:tcW w:w="1413" w:type="dxa"/>
            <w:tcBorders>
              <w:top w:val="single" w:sz="4" w:space="0" w:color="000000"/>
              <w:left w:val="single" w:sz="4" w:space="0" w:color="000000"/>
              <w:bottom w:val="single" w:sz="4" w:space="0" w:color="000000"/>
              <w:right w:val="single" w:sz="4" w:space="0" w:color="000000"/>
            </w:tcBorders>
          </w:tcPr>
          <w:p w:rsidR="002D3484" w:rsidRDefault="001B014F">
            <w:pPr>
              <w:spacing w:before="100" w:after="20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lastRenderedPageBreak/>
              <w:t>Fundamento y Motivación Legal</w:t>
            </w:r>
          </w:p>
        </w:tc>
        <w:tc>
          <w:tcPr>
            <w:tcW w:w="6152" w:type="dxa"/>
            <w:tcBorders>
              <w:top w:val="single" w:sz="4" w:space="0" w:color="000000"/>
              <w:left w:val="single" w:sz="4" w:space="0" w:color="000000"/>
              <w:bottom w:val="single" w:sz="4" w:space="0" w:color="000000"/>
              <w:right w:val="single" w:sz="4" w:space="0" w:color="000000"/>
            </w:tcBorders>
          </w:tcPr>
          <w:p w:rsidR="002D3484" w:rsidRDefault="001B014F">
            <w:pPr>
              <w:spacing w:before="100" w:after="200" w:line="276" w:lineRule="auto"/>
              <w:rPr>
                <w:rFonts w:ascii="Calibri" w:eastAsia="Calibri" w:hAnsi="Calibri" w:cs="Calibri"/>
                <w:sz w:val="20"/>
                <w:szCs w:val="20"/>
              </w:rPr>
            </w:pPr>
            <w:r>
              <w:rPr>
                <w:noProof/>
                <w:lang w:val="es-MX" w:eastAsia="es-MX"/>
              </w:rPr>
              <w:drawing>
                <wp:inline distT="0" distB="0" distL="0" distR="0">
                  <wp:extent cx="3625883" cy="1998854"/>
                  <wp:effectExtent l="0" t="0" r="0" b="0"/>
                  <wp:docPr id="6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l="40050" t="29633" r="26016" b="12120"/>
                          <a:stretch>
                            <a:fillRect/>
                          </a:stretch>
                        </pic:blipFill>
                        <pic:spPr>
                          <a:xfrm>
                            <a:off x="0" y="0"/>
                            <a:ext cx="3625883" cy="1998854"/>
                          </a:xfrm>
                          <a:prstGeom prst="rect">
                            <a:avLst/>
                          </a:prstGeom>
                          <a:ln/>
                        </pic:spPr>
                      </pic:pic>
                    </a:graphicData>
                  </a:graphic>
                </wp:inline>
              </w:drawing>
            </w:r>
          </w:p>
          <w:p w:rsidR="002D3484" w:rsidRDefault="001B014F">
            <w:pPr>
              <w:spacing w:before="100" w:after="200" w:line="276" w:lineRule="auto"/>
              <w:rPr>
                <w:rFonts w:ascii="Calibri" w:eastAsia="Calibri" w:hAnsi="Calibri" w:cs="Calibri"/>
                <w:sz w:val="20"/>
                <w:szCs w:val="20"/>
              </w:rPr>
            </w:pPr>
            <w:r>
              <w:rPr>
                <w:noProof/>
                <w:lang w:val="es-MX" w:eastAsia="es-MX"/>
              </w:rPr>
              <w:drawing>
                <wp:inline distT="0" distB="0" distL="0" distR="0">
                  <wp:extent cx="3605872" cy="2024189"/>
                  <wp:effectExtent l="0" t="0" r="0" b="0"/>
                  <wp:docPr id="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l="40484" t="20902" r="25583" b="6308"/>
                          <a:stretch>
                            <a:fillRect/>
                          </a:stretch>
                        </pic:blipFill>
                        <pic:spPr>
                          <a:xfrm>
                            <a:off x="0" y="0"/>
                            <a:ext cx="3605872" cy="2024189"/>
                          </a:xfrm>
                          <a:prstGeom prst="rect">
                            <a:avLst/>
                          </a:prstGeom>
                          <a:ln/>
                        </pic:spPr>
                      </pic:pic>
                    </a:graphicData>
                  </a:graphic>
                </wp:inline>
              </w:drawing>
            </w:r>
          </w:p>
        </w:tc>
        <w:tc>
          <w:tcPr>
            <w:tcW w:w="1263" w:type="dxa"/>
            <w:tcBorders>
              <w:top w:val="single" w:sz="4" w:space="0" w:color="000000"/>
              <w:left w:val="single" w:sz="4" w:space="0" w:color="000000"/>
              <w:bottom w:val="single" w:sz="4" w:space="0" w:color="000000"/>
              <w:right w:val="single" w:sz="4" w:space="0" w:color="000000"/>
            </w:tcBorders>
          </w:tcPr>
          <w:p w:rsidR="002D3484" w:rsidRDefault="001B014F">
            <w:pPr>
              <w:spacing w:before="100" w:after="200" w:line="276"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No </w:t>
            </w:r>
          </w:p>
          <w:p w:rsidR="002D3484" w:rsidRDefault="001B014F">
            <w:pPr>
              <w:spacing w:before="100" w:after="20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Además de que la información no encuadra en las hipótesis indicadas por el artículo 140 de la Ley de la Materia, al considerarse la información solicitada como pública.</w:t>
            </w:r>
          </w:p>
        </w:tc>
      </w:tr>
      <w:tr w:rsidR="002D3484">
        <w:tc>
          <w:tcPr>
            <w:tcW w:w="1413" w:type="dxa"/>
            <w:tcBorders>
              <w:top w:val="single" w:sz="4" w:space="0" w:color="000000"/>
              <w:left w:val="single" w:sz="4" w:space="0" w:color="000000"/>
              <w:bottom w:val="single" w:sz="4" w:space="0" w:color="000000"/>
              <w:right w:val="single" w:sz="4" w:space="0" w:color="000000"/>
            </w:tcBorders>
          </w:tcPr>
          <w:p w:rsidR="002D3484" w:rsidRDefault="001B014F">
            <w:pPr>
              <w:spacing w:before="100" w:after="200" w:line="276" w:lineRule="auto"/>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lastRenderedPageBreak/>
              <w:t>Conexión entre los fundamentos y motivos que dieron origen a la Reserva de la informac</w:t>
            </w:r>
            <w:r>
              <w:rPr>
                <w:rFonts w:ascii="Palatino Linotype" w:eastAsia="Palatino Linotype" w:hAnsi="Palatino Linotype" w:cs="Palatino Linotype"/>
                <w:b/>
                <w:sz w:val="16"/>
                <w:szCs w:val="16"/>
              </w:rPr>
              <w:t>ión</w:t>
            </w:r>
          </w:p>
        </w:tc>
        <w:tc>
          <w:tcPr>
            <w:tcW w:w="6152" w:type="dxa"/>
            <w:tcBorders>
              <w:top w:val="single" w:sz="4" w:space="0" w:color="000000"/>
              <w:left w:val="single" w:sz="4" w:space="0" w:color="000000"/>
              <w:bottom w:val="single" w:sz="4" w:space="0" w:color="000000"/>
              <w:right w:val="single" w:sz="4" w:space="0" w:color="000000"/>
            </w:tcBorders>
          </w:tcPr>
          <w:p w:rsidR="002D3484" w:rsidRDefault="001B014F">
            <w:pPr>
              <w:spacing w:before="100" w:after="200" w:line="276" w:lineRule="auto"/>
              <w:rPr>
                <w:rFonts w:ascii="Calibri" w:eastAsia="Calibri" w:hAnsi="Calibri" w:cs="Calibri"/>
                <w:sz w:val="20"/>
                <w:szCs w:val="20"/>
              </w:rPr>
            </w:pPr>
            <w:r>
              <w:rPr>
                <w:noProof/>
                <w:lang w:val="es-MX" w:eastAsia="es-MX"/>
              </w:rPr>
              <w:drawing>
                <wp:inline distT="0" distB="0" distL="0" distR="0">
                  <wp:extent cx="3625883" cy="1998854"/>
                  <wp:effectExtent l="0" t="0" r="0" b="0"/>
                  <wp:docPr id="6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l="40050" t="29633" r="26016" b="12120"/>
                          <a:stretch>
                            <a:fillRect/>
                          </a:stretch>
                        </pic:blipFill>
                        <pic:spPr>
                          <a:xfrm>
                            <a:off x="0" y="0"/>
                            <a:ext cx="3625883" cy="1998854"/>
                          </a:xfrm>
                          <a:prstGeom prst="rect">
                            <a:avLst/>
                          </a:prstGeom>
                          <a:ln/>
                        </pic:spPr>
                      </pic:pic>
                    </a:graphicData>
                  </a:graphic>
                </wp:inline>
              </w:drawing>
            </w:r>
          </w:p>
          <w:p w:rsidR="002D3484" w:rsidRDefault="001B014F">
            <w:pPr>
              <w:spacing w:before="100" w:after="200" w:line="276" w:lineRule="auto"/>
              <w:rPr>
                <w:rFonts w:ascii="Calibri" w:eastAsia="Calibri" w:hAnsi="Calibri" w:cs="Calibri"/>
                <w:sz w:val="20"/>
                <w:szCs w:val="20"/>
              </w:rPr>
            </w:pPr>
            <w:r>
              <w:rPr>
                <w:noProof/>
                <w:lang w:val="es-MX" w:eastAsia="es-MX"/>
              </w:rPr>
              <w:drawing>
                <wp:inline distT="0" distB="0" distL="0" distR="0">
                  <wp:extent cx="3607805" cy="2529324"/>
                  <wp:effectExtent l="0" t="0" r="0" b="0"/>
                  <wp:docPr id="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l="40484" t="20902" r="25583" b="6308"/>
                          <a:stretch>
                            <a:fillRect/>
                          </a:stretch>
                        </pic:blipFill>
                        <pic:spPr>
                          <a:xfrm>
                            <a:off x="0" y="0"/>
                            <a:ext cx="3607805" cy="2529324"/>
                          </a:xfrm>
                          <a:prstGeom prst="rect">
                            <a:avLst/>
                          </a:prstGeom>
                          <a:ln/>
                        </pic:spPr>
                      </pic:pic>
                    </a:graphicData>
                  </a:graphic>
                </wp:inline>
              </w:drawing>
            </w:r>
          </w:p>
          <w:p w:rsidR="002D3484" w:rsidRDefault="001B014F">
            <w:pPr>
              <w:spacing w:before="100" w:after="200" w:line="276" w:lineRule="auto"/>
            </w:pPr>
            <w:r>
              <w:rPr>
                <w:noProof/>
                <w:lang w:val="es-MX" w:eastAsia="es-MX"/>
              </w:rPr>
              <w:drawing>
                <wp:inline distT="0" distB="0" distL="0" distR="0">
                  <wp:extent cx="3683987" cy="2235855"/>
                  <wp:effectExtent l="0" t="0" r="0" b="0"/>
                  <wp:docPr id="6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l="39894" t="40216" r="25877" b="21662"/>
                          <a:stretch>
                            <a:fillRect/>
                          </a:stretch>
                        </pic:blipFill>
                        <pic:spPr>
                          <a:xfrm>
                            <a:off x="0" y="0"/>
                            <a:ext cx="3683987" cy="2235855"/>
                          </a:xfrm>
                          <a:prstGeom prst="rect">
                            <a:avLst/>
                          </a:prstGeom>
                          <a:ln/>
                        </pic:spPr>
                      </pic:pic>
                    </a:graphicData>
                  </a:graphic>
                </wp:inline>
              </w:drawing>
            </w:r>
          </w:p>
          <w:p w:rsidR="002D3484" w:rsidRDefault="002D3484">
            <w:pPr>
              <w:spacing w:before="100" w:after="200" w:line="276" w:lineRule="auto"/>
              <w:rPr>
                <w:rFonts w:ascii="Calibri" w:eastAsia="Calibri" w:hAnsi="Calibri" w:cs="Calibri"/>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2D3484" w:rsidRDefault="001B014F">
            <w:pPr>
              <w:spacing w:before="100" w:after="200" w:line="276" w:lineRule="auto"/>
              <w:jc w:val="center"/>
              <w:rPr>
                <w:rFonts w:ascii="Palatino Linotype" w:eastAsia="Palatino Linotype" w:hAnsi="Palatino Linotype" w:cs="Palatino Linotype"/>
                <w:b/>
              </w:rPr>
            </w:pPr>
            <w:r>
              <w:rPr>
                <w:rFonts w:ascii="Palatino Linotype" w:eastAsia="Palatino Linotype" w:hAnsi="Palatino Linotype" w:cs="Palatino Linotype"/>
                <w:b/>
              </w:rPr>
              <w:lastRenderedPageBreak/>
              <w:t>No</w:t>
            </w:r>
          </w:p>
          <w:p w:rsidR="002D3484" w:rsidRDefault="001B014F">
            <w:pPr>
              <w:spacing w:before="100" w:after="200" w:line="276" w:lineRule="auto"/>
              <w:jc w:val="both"/>
              <w:rPr>
                <w:rFonts w:ascii="Palatino Linotype" w:eastAsia="Palatino Linotype" w:hAnsi="Palatino Linotype" w:cs="Palatino Linotype"/>
                <w:b/>
                <w:sz w:val="20"/>
                <w:szCs w:val="20"/>
              </w:rPr>
            </w:pPr>
            <w:r>
              <w:rPr>
                <w:rFonts w:ascii="Palatino Linotype" w:eastAsia="Palatino Linotype" w:hAnsi="Palatino Linotype" w:cs="Palatino Linotype"/>
                <w:sz w:val="18"/>
                <w:szCs w:val="18"/>
              </w:rPr>
              <w:t>Además de que la información no encuadra en las hipótesis indicadas por el artículo 140 de la Ley de la Materia, al considerarse la información solicitada como pública.</w:t>
            </w:r>
          </w:p>
        </w:tc>
      </w:tr>
      <w:tr w:rsidR="002D3484">
        <w:tc>
          <w:tcPr>
            <w:tcW w:w="8828" w:type="dxa"/>
            <w:gridSpan w:val="3"/>
            <w:tcBorders>
              <w:top w:val="single" w:sz="4" w:space="0" w:color="000000"/>
              <w:left w:val="single" w:sz="4" w:space="0" w:color="000000"/>
              <w:bottom w:val="single" w:sz="4" w:space="0" w:color="000000"/>
              <w:right w:val="single" w:sz="4" w:space="0" w:color="000000"/>
            </w:tcBorders>
            <w:shd w:val="clear" w:color="auto" w:fill="7B7B7B"/>
          </w:tcPr>
          <w:p w:rsidR="002D3484" w:rsidRDefault="001B014F">
            <w:pPr>
              <w:spacing w:before="100" w:after="200" w:line="276" w:lineRule="auto"/>
              <w:jc w:val="center"/>
              <w:rPr>
                <w:rFonts w:ascii="Palatino Linotype" w:eastAsia="Palatino Linotype" w:hAnsi="Palatino Linotype" w:cs="Palatino Linotype"/>
                <w:b/>
              </w:rPr>
            </w:pPr>
            <w:r>
              <w:rPr>
                <w:rFonts w:ascii="Palatino Linotype" w:eastAsia="Palatino Linotype" w:hAnsi="Palatino Linotype" w:cs="Palatino Linotype"/>
                <w:b/>
                <w:color w:val="FFFFFF"/>
                <w:sz w:val="22"/>
                <w:szCs w:val="22"/>
              </w:rPr>
              <w:t>Elementos de la prueba de daño</w:t>
            </w:r>
          </w:p>
        </w:tc>
      </w:tr>
      <w:tr w:rsidR="002D3484">
        <w:tc>
          <w:tcPr>
            <w:tcW w:w="1413" w:type="dxa"/>
            <w:tcBorders>
              <w:top w:val="single" w:sz="4" w:space="0" w:color="000000"/>
              <w:left w:val="single" w:sz="4" w:space="0" w:color="000000"/>
              <w:bottom w:val="single" w:sz="4" w:space="0" w:color="000000"/>
              <w:right w:val="single" w:sz="4" w:space="0" w:color="000000"/>
            </w:tcBorders>
          </w:tcPr>
          <w:p w:rsidR="002D3484" w:rsidRDefault="001B014F">
            <w:pPr>
              <w:spacing w:after="120" w:line="256" w:lineRule="auto"/>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Riesgo Real, Demostrable e Identificable</w:t>
            </w:r>
          </w:p>
          <w:p w:rsidR="002D3484" w:rsidRDefault="001B014F">
            <w:pPr>
              <w:spacing w:before="100" w:after="200" w:line="276" w:lineRule="auto"/>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sz w:val="16"/>
                <w:szCs w:val="16"/>
              </w:rPr>
              <w:t>(Modo, Tiempo y Lugar)</w:t>
            </w:r>
          </w:p>
        </w:tc>
        <w:tc>
          <w:tcPr>
            <w:tcW w:w="6152" w:type="dxa"/>
            <w:tcBorders>
              <w:top w:val="single" w:sz="4" w:space="0" w:color="000000"/>
              <w:left w:val="single" w:sz="4" w:space="0" w:color="000000"/>
              <w:bottom w:val="single" w:sz="4" w:space="0" w:color="000000"/>
              <w:right w:val="single" w:sz="4" w:space="0" w:color="000000"/>
            </w:tcBorders>
          </w:tcPr>
          <w:p w:rsidR="002D3484" w:rsidRDefault="001B014F">
            <w:pPr>
              <w:spacing w:before="100" w:after="200" w:line="276" w:lineRule="auto"/>
              <w:jc w:val="center"/>
              <w:rPr>
                <w:rFonts w:ascii="Palatino Linotype" w:eastAsia="Palatino Linotype" w:hAnsi="Palatino Linotype" w:cs="Palatino Linotype"/>
                <w:b/>
                <w:color w:val="FFFFFF"/>
                <w:sz w:val="22"/>
                <w:szCs w:val="22"/>
              </w:rPr>
            </w:pPr>
            <w:r>
              <w:rPr>
                <w:noProof/>
                <w:lang w:val="es-MX" w:eastAsia="es-MX"/>
              </w:rPr>
              <w:drawing>
                <wp:inline distT="0" distB="0" distL="0" distR="0">
                  <wp:extent cx="3481060" cy="1264999"/>
                  <wp:effectExtent l="0" t="0" r="0" b="0"/>
                  <wp:docPr id="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l="32901" t="21959" r="15591" b="19262"/>
                          <a:stretch>
                            <a:fillRect/>
                          </a:stretch>
                        </pic:blipFill>
                        <pic:spPr>
                          <a:xfrm>
                            <a:off x="0" y="0"/>
                            <a:ext cx="3481060" cy="1264999"/>
                          </a:xfrm>
                          <a:prstGeom prst="rect">
                            <a:avLst/>
                          </a:prstGeom>
                          <a:ln/>
                        </pic:spPr>
                      </pic:pic>
                    </a:graphicData>
                  </a:graphic>
                </wp:inline>
              </w:drawing>
            </w:r>
          </w:p>
          <w:p w:rsidR="002D3484" w:rsidRDefault="001B014F">
            <w:pPr>
              <w:spacing w:before="100" w:after="200" w:line="276" w:lineRule="auto"/>
              <w:jc w:val="center"/>
              <w:rPr>
                <w:rFonts w:ascii="Palatino Linotype" w:eastAsia="Palatino Linotype" w:hAnsi="Palatino Linotype" w:cs="Palatino Linotype"/>
                <w:b/>
                <w:color w:val="FFFFFF"/>
                <w:sz w:val="22"/>
                <w:szCs w:val="22"/>
              </w:rPr>
            </w:pPr>
            <w:r>
              <w:rPr>
                <w:noProof/>
                <w:lang w:val="es-MX" w:eastAsia="es-MX"/>
              </w:rPr>
              <w:drawing>
                <wp:inline distT="0" distB="0" distL="0" distR="0">
                  <wp:extent cx="3080622" cy="590288"/>
                  <wp:effectExtent l="0" t="0" r="0" b="0"/>
                  <wp:docPr id="7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l="33642" t="30691" r="18881" b="41513"/>
                          <a:stretch>
                            <a:fillRect/>
                          </a:stretch>
                        </pic:blipFill>
                        <pic:spPr>
                          <a:xfrm>
                            <a:off x="0" y="0"/>
                            <a:ext cx="3080622" cy="590288"/>
                          </a:xfrm>
                          <a:prstGeom prst="rect">
                            <a:avLst/>
                          </a:prstGeom>
                          <a:ln/>
                        </pic:spPr>
                      </pic:pic>
                    </a:graphicData>
                  </a:graphic>
                </wp:inline>
              </w:drawing>
            </w:r>
          </w:p>
          <w:p w:rsidR="002D3484" w:rsidRDefault="002D3484">
            <w:pPr>
              <w:spacing w:before="100" w:after="200" w:line="276" w:lineRule="auto"/>
              <w:jc w:val="center"/>
              <w:rPr>
                <w:rFonts w:ascii="Palatino Linotype" w:eastAsia="Palatino Linotype" w:hAnsi="Palatino Linotype" w:cs="Palatino Linotype"/>
                <w:b/>
                <w:color w:val="FFFFFF"/>
                <w:sz w:val="22"/>
                <w:szCs w:val="22"/>
              </w:rPr>
            </w:pPr>
          </w:p>
        </w:tc>
        <w:tc>
          <w:tcPr>
            <w:tcW w:w="1263" w:type="dxa"/>
            <w:tcBorders>
              <w:top w:val="single" w:sz="4" w:space="0" w:color="000000"/>
              <w:left w:val="single" w:sz="4" w:space="0" w:color="000000"/>
              <w:bottom w:val="single" w:sz="4" w:space="0" w:color="000000"/>
              <w:right w:val="single" w:sz="4" w:space="0" w:color="000000"/>
            </w:tcBorders>
          </w:tcPr>
          <w:p w:rsidR="002D3484" w:rsidRDefault="001B014F">
            <w:pPr>
              <w:spacing w:before="100" w:after="200" w:line="276" w:lineRule="auto"/>
              <w:jc w:val="both"/>
              <w:rPr>
                <w:rFonts w:ascii="Palatino Linotype" w:eastAsia="Palatino Linotype" w:hAnsi="Palatino Linotype" w:cs="Palatino Linotype"/>
                <w:b/>
                <w:color w:val="000000"/>
                <w:sz w:val="16"/>
                <w:szCs w:val="16"/>
              </w:rPr>
            </w:pPr>
            <w:r>
              <w:rPr>
                <w:rFonts w:ascii="Palatino Linotype" w:eastAsia="Palatino Linotype" w:hAnsi="Palatino Linotype" w:cs="Palatino Linotype"/>
                <w:b/>
                <w:color w:val="000000"/>
                <w:sz w:val="16"/>
                <w:szCs w:val="16"/>
              </w:rPr>
              <w:t>No cumple las formalidades de la Ley.</w:t>
            </w:r>
          </w:p>
          <w:p w:rsidR="002D3484" w:rsidRDefault="001B014F">
            <w:pPr>
              <w:spacing w:before="100" w:after="200" w:line="276" w:lineRule="auto"/>
              <w:jc w:val="both"/>
              <w:rPr>
                <w:rFonts w:ascii="Palatino Linotype" w:eastAsia="Palatino Linotype" w:hAnsi="Palatino Linotype" w:cs="Palatino Linotype"/>
                <w:b/>
                <w:color w:val="FFFFFF"/>
                <w:sz w:val="20"/>
                <w:szCs w:val="20"/>
              </w:rPr>
            </w:pPr>
            <w:r>
              <w:rPr>
                <w:rFonts w:ascii="Palatino Linotype" w:eastAsia="Palatino Linotype" w:hAnsi="Palatino Linotype" w:cs="Palatino Linotype"/>
                <w:b/>
                <w:color w:val="000000"/>
                <w:sz w:val="16"/>
                <w:szCs w:val="16"/>
              </w:rPr>
              <w:t>Máxime que no aplicable al caso que se analiza ya que lo solicitado es información pública.</w:t>
            </w:r>
          </w:p>
        </w:tc>
      </w:tr>
      <w:tr w:rsidR="002D3484">
        <w:tc>
          <w:tcPr>
            <w:tcW w:w="1413" w:type="dxa"/>
            <w:tcBorders>
              <w:top w:val="single" w:sz="4" w:space="0" w:color="000000"/>
              <w:left w:val="single" w:sz="4" w:space="0" w:color="000000"/>
              <w:bottom w:val="single" w:sz="4" w:space="0" w:color="000000"/>
              <w:right w:val="single" w:sz="4" w:space="0" w:color="000000"/>
            </w:tcBorders>
          </w:tcPr>
          <w:p w:rsidR="002D3484" w:rsidRDefault="001B014F">
            <w:pPr>
              <w:spacing w:before="100" w:after="200" w:line="276" w:lineRule="auto"/>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sz w:val="16"/>
                <w:szCs w:val="16"/>
              </w:rPr>
              <w:t>Temporalidad de la Reserva de la información</w:t>
            </w:r>
          </w:p>
        </w:tc>
        <w:tc>
          <w:tcPr>
            <w:tcW w:w="6152" w:type="dxa"/>
            <w:tcBorders>
              <w:top w:val="single" w:sz="4" w:space="0" w:color="000000"/>
              <w:left w:val="single" w:sz="4" w:space="0" w:color="000000"/>
              <w:bottom w:val="single" w:sz="4" w:space="0" w:color="000000"/>
              <w:right w:val="single" w:sz="4" w:space="0" w:color="000000"/>
            </w:tcBorders>
          </w:tcPr>
          <w:p w:rsidR="002D3484" w:rsidRDefault="001B014F">
            <w:pPr>
              <w:spacing w:before="100" w:after="200" w:line="276" w:lineRule="auto"/>
              <w:jc w:val="center"/>
              <w:rPr>
                <w:rFonts w:ascii="Palatino Linotype" w:eastAsia="Palatino Linotype" w:hAnsi="Palatino Linotype" w:cs="Palatino Linotype"/>
                <w:b/>
                <w:color w:val="FFFFFF"/>
                <w:sz w:val="22"/>
                <w:szCs w:val="22"/>
              </w:rPr>
            </w:pPr>
            <w:r>
              <w:rPr>
                <w:noProof/>
                <w:lang w:val="es-MX" w:eastAsia="es-MX"/>
              </w:rPr>
              <w:drawing>
                <wp:inline distT="0" distB="0" distL="0" distR="0">
                  <wp:extent cx="3739341" cy="636718"/>
                  <wp:effectExtent l="0" t="0" r="0" b="0"/>
                  <wp:docPr id="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l="33941" t="64293" r="19319" b="17165"/>
                          <a:stretch>
                            <a:fillRect/>
                          </a:stretch>
                        </pic:blipFill>
                        <pic:spPr>
                          <a:xfrm>
                            <a:off x="0" y="0"/>
                            <a:ext cx="3739341" cy="636718"/>
                          </a:xfrm>
                          <a:prstGeom prst="rect">
                            <a:avLst/>
                          </a:prstGeom>
                          <a:ln/>
                        </pic:spPr>
                      </pic:pic>
                    </a:graphicData>
                  </a:graphic>
                </wp:inline>
              </w:drawing>
            </w:r>
          </w:p>
        </w:tc>
        <w:tc>
          <w:tcPr>
            <w:tcW w:w="1263" w:type="dxa"/>
            <w:tcBorders>
              <w:top w:val="single" w:sz="4" w:space="0" w:color="000000"/>
              <w:left w:val="single" w:sz="4" w:space="0" w:color="000000"/>
              <w:bottom w:val="single" w:sz="4" w:space="0" w:color="000000"/>
              <w:right w:val="single" w:sz="4" w:space="0" w:color="000000"/>
            </w:tcBorders>
          </w:tcPr>
          <w:p w:rsidR="002D3484" w:rsidRDefault="001B014F">
            <w:pPr>
              <w:spacing w:before="100" w:after="200" w:line="276"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Sí </w:t>
            </w:r>
          </w:p>
          <w:p w:rsidR="002D3484" w:rsidRDefault="001B014F">
            <w:pPr>
              <w:spacing w:before="100" w:after="200" w:line="276" w:lineRule="auto"/>
              <w:jc w:val="both"/>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color w:val="000000"/>
                <w:sz w:val="18"/>
                <w:szCs w:val="18"/>
              </w:rPr>
              <w:t>Pero no es aplicable al caso que se analiza ya que lo solicitado es información pública.</w:t>
            </w:r>
          </w:p>
          <w:p w:rsidR="002D3484" w:rsidRDefault="002D3484">
            <w:pPr>
              <w:spacing w:before="100" w:after="200" w:line="276" w:lineRule="auto"/>
              <w:jc w:val="center"/>
              <w:rPr>
                <w:rFonts w:ascii="Palatino Linotype" w:eastAsia="Palatino Linotype" w:hAnsi="Palatino Linotype" w:cs="Palatino Linotype"/>
                <w:b/>
                <w:color w:val="000000"/>
              </w:rPr>
            </w:pPr>
          </w:p>
        </w:tc>
      </w:tr>
      <w:tr w:rsidR="002D3484">
        <w:tc>
          <w:tcPr>
            <w:tcW w:w="1413" w:type="dxa"/>
            <w:tcBorders>
              <w:top w:val="single" w:sz="4" w:space="0" w:color="000000"/>
              <w:left w:val="single" w:sz="4" w:space="0" w:color="000000"/>
              <w:bottom w:val="single" w:sz="4" w:space="0" w:color="000000"/>
              <w:right w:val="single" w:sz="4" w:space="0" w:color="000000"/>
            </w:tcBorders>
          </w:tcPr>
          <w:p w:rsidR="002D3484" w:rsidRDefault="001B014F">
            <w:pPr>
              <w:spacing w:before="100" w:after="200" w:line="276" w:lineRule="auto"/>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sz w:val="16"/>
                <w:szCs w:val="16"/>
              </w:rPr>
              <w:t>Autoridades competentes.</w:t>
            </w:r>
          </w:p>
        </w:tc>
        <w:tc>
          <w:tcPr>
            <w:tcW w:w="6152" w:type="dxa"/>
            <w:tcBorders>
              <w:top w:val="single" w:sz="4" w:space="0" w:color="000000"/>
              <w:left w:val="single" w:sz="4" w:space="0" w:color="000000"/>
              <w:bottom w:val="single" w:sz="4" w:space="0" w:color="000000"/>
              <w:right w:val="single" w:sz="4" w:space="0" w:color="000000"/>
            </w:tcBorders>
          </w:tcPr>
          <w:p w:rsidR="002D3484" w:rsidRDefault="002D3484">
            <w:pPr>
              <w:spacing w:before="100" w:after="200" w:line="276" w:lineRule="auto"/>
              <w:jc w:val="center"/>
            </w:pPr>
          </w:p>
          <w:p w:rsidR="002D3484" w:rsidRDefault="001B014F">
            <w:pPr>
              <w:spacing w:before="100" w:after="200" w:line="276" w:lineRule="auto"/>
              <w:jc w:val="center"/>
            </w:pPr>
            <w:r>
              <w:rPr>
                <w:noProof/>
                <w:lang w:val="es-MX" w:eastAsia="es-MX"/>
              </w:rPr>
              <w:drawing>
                <wp:inline distT="0" distB="0" distL="0" distR="0">
                  <wp:extent cx="3353144" cy="1332683"/>
                  <wp:effectExtent l="0" t="0" r="0" b="0"/>
                  <wp:docPr id="7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l="29031" t="18259" r="14695" b="19037"/>
                          <a:stretch>
                            <a:fillRect/>
                          </a:stretch>
                        </pic:blipFill>
                        <pic:spPr>
                          <a:xfrm>
                            <a:off x="0" y="0"/>
                            <a:ext cx="3353144" cy="1332683"/>
                          </a:xfrm>
                          <a:prstGeom prst="rect">
                            <a:avLst/>
                          </a:prstGeom>
                          <a:ln/>
                        </pic:spPr>
                      </pic:pic>
                    </a:graphicData>
                  </a:graphic>
                </wp:inline>
              </w:drawing>
            </w:r>
          </w:p>
          <w:p w:rsidR="002D3484" w:rsidRDefault="002D3484">
            <w:pPr>
              <w:spacing w:before="100" w:after="200" w:line="276" w:lineRule="auto"/>
              <w:jc w:val="center"/>
              <w:rPr>
                <w:rFonts w:ascii="Palatino Linotype" w:eastAsia="Palatino Linotype" w:hAnsi="Palatino Linotype" w:cs="Palatino Linotype"/>
                <w:b/>
                <w:color w:val="FFFFFF"/>
                <w:sz w:val="22"/>
                <w:szCs w:val="22"/>
              </w:rPr>
            </w:pPr>
          </w:p>
        </w:tc>
        <w:tc>
          <w:tcPr>
            <w:tcW w:w="1263" w:type="dxa"/>
            <w:tcBorders>
              <w:top w:val="single" w:sz="4" w:space="0" w:color="000000"/>
              <w:left w:val="single" w:sz="4" w:space="0" w:color="000000"/>
              <w:bottom w:val="single" w:sz="4" w:space="0" w:color="000000"/>
              <w:right w:val="single" w:sz="4" w:space="0" w:color="000000"/>
            </w:tcBorders>
          </w:tcPr>
          <w:p w:rsidR="002D3484" w:rsidRDefault="001B014F">
            <w:pPr>
              <w:spacing w:before="100" w:after="200" w:line="276"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lastRenderedPageBreak/>
              <w:t xml:space="preserve">Sí </w:t>
            </w:r>
          </w:p>
          <w:p w:rsidR="002D3484" w:rsidRDefault="001B014F">
            <w:pPr>
              <w:spacing w:before="100" w:after="200" w:line="276" w:lineRule="auto"/>
              <w:jc w:val="both"/>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color w:val="000000"/>
                <w:sz w:val="18"/>
                <w:szCs w:val="18"/>
              </w:rPr>
              <w:t xml:space="preserve">Pero no es aplicable al caso que se analiza ya que lo solicitado es </w:t>
            </w:r>
            <w:r>
              <w:rPr>
                <w:rFonts w:ascii="Palatino Linotype" w:eastAsia="Palatino Linotype" w:hAnsi="Palatino Linotype" w:cs="Palatino Linotype"/>
                <w:b/>
                <w:color w:val="000000"/>
                <w:sz w:val="18"/>
                <w:szCs w:val="18"/>
              </w:rPr>
              <w:lastRenderedPageBreak/>
              <w:t>información pública</w:t>
            </w:r>
          </w:p>
        </w:tc>
      </w:tr>
    </w:tbl>
    <w:p w:rsidR="002D3484" w:rsidRDefault="001B0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Aunado a lo anterior, la información correspondiente a las cuentas bancarias del Ayuntamiento de Naucalpan de Juárez, a consideración de éste Organismo Garante, no encuentran en los supuestos señalados por el artículo 140 de la Ley de Transparencia y Acces</w:t>
      </w:r>
      <w:r>
        <w:rPr>
          <w:rFonts w:ascii="Palatino Linotype" w:eastAsia="Palatino Linotype" w:hAnsi="Palatino Linotype" w:cs="Palatino Linotype"/>
        </w:rPr>
        <w:t xml:space="preserve">o a la Información Pública del Estado de México y Municipios, previamente señalado; es decir, que las cuentas bancarias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es información pública, toda vez que la misma versa en cuestiones de ejercicio del gasto público, por lo que debemos</w:t>
      </w:r>
      <w:r>
        <w:rPr>
          <w:rFonts w:ascii="Palatino Linotype" w:eastAsia="Palatino Linotype" w:hAnsi="Palatino Linotype" w:cs="Palatino Linotype"/>
        </w:rPr>
        <w:t xml:space="preserve"> recordar que toda información que sea generada por los Sujetos Obligados</w:t>
      </w:r>
      <w:r>
        <w:rPr>
          <w:rFonts w:ascii="Palatino Linotype" w:eastAsia="Palatino Linotype" w:hAnsi="Palatino Linotype" w:cs="Palatino Linotype"/>
          <w:b/>
        </w:rPr>
        <w:t xml:space="preserve"> </w:t>
      </w:r>
      <w:r>
        <w:rPr>
          <w:rFonts w:ascii="Palatino Linotype" w:eastAsia="Palatino Linotype" w:hAnsi="Palatino Linotype" w:cs="Palatino Linotype"/>
        </w:rPr>
        <w:t>es pública, como lo establece la fracción IV y el penúltimo párrafo del artículo 23 de la Ley en la materia</w:t>
      </w:r>
      <w:r>
        <w:rPr>
          <w:rFonts w:ascii="Palatino Linotype" w:eastAsia="Palatino Linotype" w:hAnsi="Palatino Linotype" w:cs="Palatino Linotype"/>
          <w:vertAlign w:val="superscript"/>
        </w:rPr>
        <w:footnoteReference w:id="3"/>
      </w:r>
      <w:r>
        <w:rPr>
          <w:rFonts w:ascii="Palatino Linotype" w:eastAsia="Palatino Linotype" w:hAnsi="Palatino Linotype" w:cs="Palatino Linotype"/>
        </w:rPr>
        <w:t>.</w:t>
      </w:r>
    </w:p>
    <w:p w:rsidR="002D3484" w:rsidRDefault="002D3484">
      <w:pPr>
        <w:spacing w:line="360" w:lineRule="auto"/>
        <w:jc w:val="both"/>
        <w:rPr>
          <w:rFonts w:ascii="Palatino Linotype" w:eastAsia="Palatino Linotype" w:hAnsi="Palatino Linotype" w:cs="Palatino Linotype"/>
        </w:rPr>
      </w:pPr>
    </w:p>
    <w:p w:rsidR="002D3484" w:rsidRDefault="001B0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anterior, al estarse ejerciendo recursos públicos a través de la</w:t>
      </w:r>
      <w:r>
        <w:rPr>
          <w:rFonts w:ascii="Palatino Linotype" w:eastAsia="Palatino Linotype" w:hAnsi="Palatino Linotype" w:cs="Palatino Linotype"/>
        </w:rPr>
        <w:t xml:space="preserve"> administración que haga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las cuentas bancarias a su nombre</w:t>
      </w:r>
      <w:r>
        <w:rPr>
          <w:rFonts w:ascii="Palatino Linotype" w:eastAsia="Palatino Linotype" w:hAnsi="Palatino Linotype" w:cs="Palatino Linotype"/>
          <w:b/>
        </w:rPr>
        <w:t xml:space="preserve">, </w:t>
      </w:r>
      <w:r>
        <w:rPr>
          <w:rFonts w:ascii="Palatino Linotype" w:eastAsia="Palatino Linotype" w:hAnsi="Palatino Linotype" w:cs="Palatino Linotype"/>
        </w:rPr>
        <w:t>se cae en la hipótesis establecida en el ordenamiento en cita, no existiendo causal de excepción para su reserva, por lo que es dable ordenar la entrega de la información pet</w:t>
      </w:r>
      <w:r>
        <w:rPr>
          <w:rFonts w:ascii="Palatino Linotype" w:eastAsia="Palatino Linotype" w:hAnsi="Palatino Linotype" w:cs="Palatino Linotype"/>
        </w:rPr>
        <w:t>icionada y en versión pública de ser procedente conforme al considerando quinto del presente fallo; lo que se robustece con el criterio 11-17 del Instituto Nacional de Transparencia, Acceso a la Información y Protección de Datos Personales, donde establece</w:t>
      </w:r>
      <w:r>
        <w:rPr>
          <w:rFonts w:ascii="Palatino Linotype" w:eastAsia="Palatino Linotype" w:hAnsi="Palatino Linotype" w:cs="Palatino Linotype"/>
        </w:rPr>
        <w:t xml:space="preserve"> que las cuentas bancarias como las claves interbancarias de los </w:t>
      </w:r>
      <w:r>
        <w:rPr>
          <w:rFonts w:ascii="Palatino Linotype" w:eastAsia="Palatino Linotype" w:hAnsi="Palatino Linotype" w:cs="Palatino Linotype"/>
          <w:b/>
        </w:rPr>
        <w:t xml:space="preserve">SUJETO </w:t>
      </w:r>
      <w:r>
        <w:rPr>
          <w:rFonts w:ascii="Palatino Linotype" w:eastAsia="Palatino Linotype" w:hAnsi="Palatino Linotype" w:cs="Palatino Linotype"/>
          <w:b/>
        </w:rPr>
        <w:lastRenderedPageBreak/>
        <w:t>OBLIGADOS</w:t>
      </w:r>
      <w:r>
        <w:rPr>
          <w:rFonts w:ascii="Palatino Linotype" w:eastAsia="Palatino Linotype" w:hAnsi="Palatino Linotype" w:cs="Palatino Linotype"/>
        </w:rPr>
        <w:t xml:space="preserve"> es información pública, por administrar recursos públicos; por ende se considera como información que no debe ser clasificada como reservada por ser una obligación a transpar</w:t>
      </w:r>
      <w:r>
        <w:rPr>
          <w:rFonts w:ascii="Palatino Linotype" w:eastAsia="Palatino Linotype" w:hAnsi="Palatino Linotype" w:cs="Palatino Linotype"/>
        </w:rPr>
        <w:t>entar la forma en que se gestionan los recursos públicos, criterio que se transcribe enseguida:</w:t>
      </w:r>
    </w:p>
    <w:p w:rsidR="002D3484" w:rsidRDefault="002D3484">
      <w:pPr>
        <w:spacing w:line="360" w:lineRule="auto"/>
        <w:jc w:val="both"/>
        <w:rPr>
          <w:rFonts w:ascii="Palatino Linotype" w:eastAsia="Palatino Linotype" w:hAnsi="Palatino Linotype" w:cs="Palatino Linotype"/>
        </w:rPr>
      </w:pPr>
    </w:p>
    <w:p w:rsidR="002D3484" w:rsidRDefault="001B014F">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“Cuentas bancarias y/o CLABE interbancaria de sujetos obligados que reciben y/o transfieren recursos públicos, son información pública. La difusión de las cuen</w:t>
      </w:r>
      <w:r>
        <w:rPr>
          <w:rFonts w:ascii="Palatino Linotype" w:eastAsia="Palatino Linotype" w:hAnsi="Palatino Linotype" w:cs="Palatino Linotype"/>
          <w:i/>
          <w:sz w:val="22"/>
          <w:szCs w:val="22"/>
        </w:rPr>
        <w:t>tas bancarias y claves interbancarias pertenecientes a un sujeto obligado favorece la rendición de cuentas al transparentar la forma en que se administran los recursos públicos, razón por la cual no pueden considerarse como información clasificada.</w:t>
      </w:r>
    </w:p>
    <w:p w:rsidR="002D3484" w:rsidRDefault="002D3484">
      <w:pPr>
        <w:ind w:left="567" w:right="616"/>
        <w:jc w:val="both"/>
        <w:rPr>
          <w:rFonts w:ascii="Palatino Linotype" w:eastAsia="Palatino Linotype" w:hAnsi="Palatino Linotype" w:cs="Palatino Linotype"/>
          <w:i/>
          <w:sz w:val="22"/>
          <w:szCs w:val="22"/>
        </w:rPr>
      </w:pPr>
    </w:p>
    <w:p w:rsidR="002D3484" w:rsidRDefault="001B014F">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Resolu</w:t>
      </w:r>
      <w:r>
        <w:rPr>
          <w:rFonts w:ascii="Palatino Linotype" w:eastAsia="Palatino Linotype" w:hAnsi="Palatino Linotype" w:cs="Palatino Linotype"/>
          <w:i/>
          <w:sz w:val="22"/>
          <w:szCs w:val="22"/>
        </w:rPr>
        <w:t xml:space="preserve">ciones: </w:t>
      </w:r>
      <w:r>
        <w:rPr>
          <w:rFonts w:ascii="Symbol" w:eastAsia="Symbol" w:hAnsi="Symbol" w:cs="Symbol"/>
          <w:i/>
          <w:sz w:val="22"/>
          <w:szCs w:val="22"/>
        </w:rPr>
        <w:t>∙</w:t>
      </w:r>
      <w:r>
        <w:rPr>
          <w:rFonts w:ascii="Palatino Linotype" w:eastAsia="Palatino Linotype" w:hAnsi="Palatino Linotype" w:cs="Palatino Linotype"/>
          <w:i/>
          <w:sz w:val="22"/>
          <w:szCs w:val="22"/>
        </w:rPr>
        <w:t xml:space="preserve"> RRA 0448/16. NOTIMEX, Agencia de Noticias del Estado Mexicano. 24 de agosto de 2016. Por unanimidad. Comisionado Ponente Joel Salas Suárez. </w:t>
      </w:r>
      <w:r>
        <w:rPr>
          <w:rFonts w:ascii="Symbol" w:eastAsia="Symbol" w:hAnsi="Symbol" w:cs="Symbol"/>
          <w:i/>
          <w:sz w:val="22"/>
          <w:szCs w:val="22"/>
        </w:rPr>
        <w:t>∙</w:t>
      </w:r>
      <w:r>
        <w:rPr>
          <w:rFonts w:ascii="Palatino Linotype" w:eastAsia="Palatino Linotype" w:hAnsi="Palatino Linotype" w:cs="Palatino Linotype"/>
          <w:i/>
          <w:sz w:val="22"/>
          <w:szCs w:val="22"/>
        </w:rPr>
        <w:t xml:space="preserve"> RRA 2787/16. Colegio de Postgraduados. 01 de noviembre de 2016. Por unanimidad. Comisionado Ponente Fran</w:t>
      </w:r>
      <w:r>
        <w:rPr>
          <w:rFonts w:ascii="Palatino Linotype" w:eastAsia="Palatino Linotype" w:hAnsi="Palatino Linotype" w:cs="Palatino Linotype"/>
          <w:i/>
          <w:sz w:val="22"/>
          <w:szCs w:val="22"/>
        </w:rPr>
        <w:t xml:space="preserve">cisco Javier Acuña Llamas. </w:t>
      </w:r>
      <w:r>
        <w:rPr>
          <w:rFonts w:ascii="Symbol" w:eastAsia="Symbol" w:hAnsi="Symbol" w:cs="Symbol"/>
          <w:i/>
          <w:sz w:val="22"/>
          <w:szCs w:val="22"/>
        </w:rPr>
        <w:t>∙</w:t>
      </w:r>
      <w:r>
        <w:rPr>
          <w:rFonts w:ascii="Palatino Linotype" w:eastAsia="Palatino Linotype" w:hAnsi="Palatino Linotype" w:cs="Palatino Linotype"/>
          <w:i/>
          <w:sz w:val="22"/>
          <w:szCs w:val="22"/>
        </w:rPr>
        <w:t xml:space="preserve"> RRA 4756/16. Instituto Mexicano del Seguro Social. 08 de febrero de 2017. Por unanimidad. Comisionado Ponente Oscar Mauricio Guerra Ford. Criterio 11/17.”(Sic)</w:t>
      </w:r>
    </w:p>
    <w:p w:rsidR="002D3484" w:rsidRDefault="002D3484">
      <w:pPr>
        <w:spacing w:line="360" w:lineRule="auto"/>
        <w:jc w:val="both"/>
        <w:rPr>
          <w:rFonts w:ascii="Palatino Linotype" w:eastAsia="Palatino Linotype" w:hAnsi="Palatino Linotype" w:cs="Palatino Linotype"/>
        </w:rPr>
      </w:pPr>
    </w:p>
    <w:p w:rsidR="002D3484" w:rsidRDefault="001B014F">
      <w:pPr>
        <w:spacing w:line="360" w:lineRule="auto"/>
        <w:jc w:val="both"/>
        <w:rPr>
          <w:rFonts w:ascii="Palatino Linotype" w:eastAsia="Palatino Linotype" w:hAnsi="Palatino Linotype" w:cs="Palatino Linotype"/>
        </w:rPr>
      </w:pPr>
      <w:bookmarkStart w:id="0" w:name="_heading=h.1fob9te" w:colFirst="0" w:colLast="0"/>
      <w:bookmarkEnd w:id="0"/>
      <w:r>
        <w:rPr>
          <w:rFonts w:ascii="Palatino Linotype" w:eastAsia="Palatino Linotype" w:hAnsi="Palatino Linotype" w:cs="Palatino Linotype"/>
        </w:rPr>
        <w:t xml:space="preserve">Finalmente, no pasa desapercibido para éste Organismo Garante que </w:t>
      </w:r>
      <w:r>
        <w:rPr>
          <w:rFonts w:ascii="Palatino Linotype" w:eastAsia="Palatino Linotype" w:hAnsi="Palatino Linotype" w:cs="Palatino Linotype"/>
        </w:rPr>
        <w:t xml:space="preserve">lo solicitado por el particular fueron las cuentas bancarias de manera general, no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le entregará cuales son las cuentas bancarias que no se encuentran embargadas; de ahí que, ante lo expuesto en el presente considerando, el Ayuntamien</w:t>
      </w:r>
      <w:r>
        <w:rPr>
          <w:rFonts w:ascii="Palatino Linotype" w:eastAsia="Palatino Linotype" w:hAnsi="Palatino Linotype" w:cs="Palatino Linotype"/>
        </w:rPr>
        <w:t>to de Naucalpan de Juárez debe entregar sus cuentas bancarias de manera general conforme a lo ordenado en el resolutivo segundo del presente fallo.</w:t>
      </w:r>
    </w:p>
    <w:p w:rsidR="002D3484" w:rsidRDefault="002D3484">
      <w:pPr>
        <w:spacing w:line="360" w:lineRule="auto"/>
        <w:jc w:val="both"/>
        <w:rPr>
          <w:rFonts w:ascii="Palatino Linotype" w:eastAsia="Palatino Linotype" w:hAnsi="Palatino Linotype" w:cs="Palatino Linotype"/>
          <w:color w:val="FF0000"/>
        </w:rPr>
      </w:pPr>
    </w:p>
    <w:p w:rsidR="002D3484" w:rsidRDefault="001B0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Para la entrega de la información, en razón de que el derecho de acceso a la información pública no es absoluto, sino que encuentra como excepciones que la información sobre la cual se peticiona el acceso, sea o contenga datos que deban ser clasificados en</w:t>
      </w:r>
      <w:r>
        <w:rPr>
          <w:rFonts w:ascii="Palatino Linotype" w:eastAsia="Palatino Linotype" w:hAnsi="Palatino Linotype" w:cs="Palatino Linotype"/>
        </w:rPr>
        <w:t xml:space="preserve"> los términos que la misma Ley de la Materia </w:t>
      </w:r>
      <w:r>
        <w:rPr>
          <w:rFonts w:ascii="Palatino Linotype" w:eastAsia="Palatino Linotype" w:hAnsi="Palatino Linotype" w:cs="Palatino Linotype"/>
        </w:rPr>
        <w:lastRenderedPageBreak/>
        <w:t xml:space="preserve">señala,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w:t>
      </w:r>
      <w:r>
        <w:rPr>
          <w:rFonts w:ascii="Palatino Linotype" w:eastAsia="Palatino Linotype" w:hAnsi="Palatino Linotype" w:cs="Palatino Linotype"/>
        </w:rPr>
        <w:t xml:space="preserve">ación pública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sin menoscabar el derecho a la protección de los datos personales de terceros.</w:t>
      </w:r>
    </w:p>
    <w:p w:rsidR="002D3484" w:rsidRDefault="002D3484">
      <w:pPr>
        <w:spacing w:line="360" w:lineRule="auto"/>
        <w:jc w:val="both"/>
        <w:rPr>
          <w:rFonts w:ascii="Palatino Linotype" w:eastAsia="Palatino Linotype" w:hAnsi="Palatino Linotype" w:cs="Palatino Linotype"/>
        </w:rPr>
      </w:pPr>
    </w:p>
    <w:p w:rsidR="002D3484" w:rsidRDefault="001B014F">
      <w:pPr>
        <w:spacing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rsidR="002D3484" w:rsidRDefault="001B014F">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“Artículo</w:t>
      </w:r>
      <w:r>
        <w:rPr>
          <w:rFonts w:ascii="Palatino Linotype" w:eastAsia="Palatino Linotype" w:hAnsi="Palatino Linotype" w:cs="Palatino Linotype"/>
          <w:b/>
          <w:i/>
          <w:sz w:val="22"/>
          <w:szCs w:val="22"/>
        </w:rPr>
        <w:t xml:space="preserve"> 3. Para los efectos de la presente Ley se entenderá por:</w:t>
      </w:r>
    </w:p>
    <w:p w:rsidR="002D3484" w:rsidRDefault="001B014F">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información concerniente a una persona, identificada o identificable</w:t>
      </w:r>
      <w:r>
        <w:rPr>
          <w:rFonts w:ascii="Palatino Linotype" w:eastAsia="Palatino Linotype" w:hAnsi="Palatino Linotype" w:cs="Palatino Linotype"/>
          <w:i/>
          <w:sz w:val="22"/>
          <w:szCs w:val="22"/>
        </w:rPr>
        <w:t xml:space="preserve"> según lo dispuesto por la Ley de Protección de Datos Personales del Estado de México;</w:t>
      </w:r>
    </w:p>
    <w:p w:rsidR="002D3484" w:rsidRDefault="001B014F">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w:t>
      </w:r>
      <w:r>
        <w:rPr>
          <w:rFonts w:ascii="Palatino Linotype" w:eastAsia="Palatino Linotype" w:hAnsi="Palatino Linotype" w:cs="Palatino Linotype"/>
          <w:b/>
          <w:i/>
          <w:sz w:val="22"/>
          <w:szCs w:val="22"/>
        </w:rPr>
        <w:t>asificada:</w:t>
      </w:r>
      <w:r>
        <w:rPr>
          <w:rFonts w:ascii="Palatino Linotype" w:eastAsia="Palatino Linotype" w:hAnsi="Palatino Linotype" w:cs="Palatino Linotype"/>
          <w:i/>
          <w:sz w:val="22"/>
          <w:szCs w:val="22"/>
        </w:rPr>
        <w:t xml:space="preserve"> Aquella considerada por la presente Ley como reservada o confidencial;</w:t>
      </w:r>
    </w:p>
    <w:p w:rsidR="002D3484" w:rsidRDefault="001B014F">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XXXII. Protección de Datos Personales:</w:t>
      </w:r>
      <w:r>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rsidR="002D3484" w:rsidRDefault="001B014F">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w:t>
      </w:r>
      <w:r>
        <w:rPr>
          <w:rFonts w:ascii="Palatino Linotype" w:eastAsia="Palatino Linotype" w:hAnsi="Palatino Linotype" w:cs="Palatino Linotype"/>
          <w:b/>
          <w:i/>
          <w:sz w:val="22"/>
          <w:szCs w:val="22"/>
        </w:rPr>
        <w:t>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2D3484" w:rsidRDefault="002D3484">
      <w:pPr>
        <w:ind w:left="993" w:right="1041"/>
        <w:jc w:val="both"/>
        <w:rPr>
          <w:rFonts w:ascii="Palatino Linotype" w:eastAsia="Palatino Linotype" w:hAnsi="Palatino Linotype" w:cs="Palatino Linotype"/>
          <w:i/>
          <w:sz w:val="22"/>
          <w:szCs w:val="22"/>
        </w:rPr>
      </w:pPr>
    </w:p>
    <w:p w:rsidR="002D3484" w:rsidRDefault="001B014F">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Los datos personales son irrenunciables, intransferibles e indelegables, por lo que los sujetos obligados </w:t>
      </w:r>
      <w:r>
        <w:rPr>
          <w:rFonts w:ascii="Palatino Linotype" w:eastAsia="Palatino Linotype" w:hAnsi="Palatino Linotype" w:cs="Palatino Linotype"/>
          <w:i/>
          <w:sz w:val="22"/>
          <w:szCs w:val="22"/>
        </w:rPr>
        <w:t>no deberán proporcionar o hacer pública la información que contenga, con excepción de aquellos casos en que deban hacerlo en observancia de las disposiciones aplicables. En el caso de los derechos de acceso, rectificación, cancelación u oposición; los prin</w:t>
      </w:r>
      <w:r>
        <w:rPr>
          <w:rFonts w:ascii="Palatino Linotype" w:eastAsia="Palatino Linotype" w:hAnsi="Palatino Linotype" w:cs="Palatino Linotype"/>
          <w:i/>
          <w:sz w:val="22"/>
          <w:szCs w:val="22"/>
        </w:rPr>
        <w:t>cipios, procedimientos, medidas de seguridad en el tratamiento y demás disposiciones en materia de datos personales, se deberá estar a lo dispuesto en las leyes de la materia.”</w:t>
      </w:r>
    </w:p>
    <w:p w:rsidR="002D3484" w:rsidRDefault="002D3484">
      <w:pPr>
        <w:ind w:left="993" w:right="1041"/>
        <w:jc w:val="both"/>
        <w:rPr>
          <w:rFonts w:ascii="Palatino Linotype" w:eastAsia="Palatino Linotype" w:hAnsi="Palatino Linotype" w:cs="Palatino Linotype"/>
          <w:i/>
          <w:sz w:val="22"/>
          <w:szCs w:val="22"/>
        </w:rPr>
      </w:pPr>
    </w:p>
    <w:p w:rsidR="002D3484" w:rsidRDefault="001B014F">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“Artículo 137.</w:t>
      </w:r>
      <w:r>
        <w:rPr>
          <w:rFonts w:ascii="Palatino Linotype" w:eastAsia="Palatino Linotype" w:hAnsi="Palatino Linotype" w:cs="Palatino Linotype"/>
          <w:i/>
          <w:sz w:val="22"/>
          <w:szCs w:val="22"/>
        </w:rPr>
        <w:t xml:space="preserve"> Cuando un mismo medio, impreso o electrónico, contenga informac</w:t>
      </w:r>
      <w:r>
        <w:rPr>
          <w:rFonts w:ascii="Palatino Linotype" w:eastAsia="Palatino Linotype" w:hAnsi="Palatino Linotype" w:cs="Palatino Linotype"/>
          <w:i/>
          <w:sz w:val="22"/>
          <w:szCs w:val="22"/>
        </w:rPr>
        <w:t>ión pública y reservada o confidencial, la Unidad de Transparencia para efectos de atender una solicitud de información, deberán elaborar una versión pública en la que se testen las partes o secciones clasificadas, indicando su contenido de manera genérica</w:t>
      </w:r>
      <w:r>
        <w:rPr>
          <w:rFonts w:ascii="Palatino Linotype" w:eastAsia="Palatino Linotype" w:hAnsi="Palatino Linotype" w:cs="Palatino Linotype"/>
          <w:i/>
          <w:sz w:val="22"/>
          <w:szCs w:val="22"/>
        </w:rPr>
        <w:t xml:space="preserve"> y fundando y motivando su clasificación.”</w:t>
      </w:r>
    </w:p>
    <w:p w:rsidR="002D3484" w:rsidRDefault="002D3484">
      <w:pPr>
        <w:ind w:left="993" w:right="1041"/>
        <w:jc w:val="both"/>
        <w:rPr>
          <w:rFonts w:ascii="Palatino Linotype" w:eastAsia="Palatino Linotype" w:hAnsi="Palatino Linotype" w:cs="Palatino Linotype"/>
          <w:b/>
          <w:i/>
          <w:sz w:val="22"/>
          <w:szCs w:val="22"/>
        </w:rPr>
      </w:pPr>
    </w:p>
    <w:p w:rsidR="002D3484" w:rsidRDefault="001B014F">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2D3484" w:rsidRDefault="001B014F">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w:t>
      </w:r>
      <w:r>
        <w:rPr>
          <w:rFonts w:ascii="Palatino Linotype" w:eastAsia="Palatino Linotype" w:hAnsi="Palatino Linotype" w:cs="Palatino Linotype"/>
          <w:i/>
          <w:sz w:val="22"/>
          <w:szCs w:val="22"/>
        </w:rPr>
        <w:t>onales concernientes a una persona física o jurídica colectiva identificada o identificable;</w:t>
      </w:r>
    </w:p>
    <w:p w:rsidR="002D3484" w:rsidRDefault="001B014F">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w:t>
      </w:r>
      <w:r>
        <w:rPr>
          <w:rFonts w:ascii="Palatino Linotype" w:eastAsia="Palatino Linotype" w:hAnsi="Palatino Linotype" w:cs="Palatino Linotype"/>
          <w:i/>
          <w:sz w:val="22"/>
          <w:szCs w:val="22"/>
        </w:rPr>
        <w:t>nal o a sujetos obligados cuando no involucren el ejercicio de recursos públicos; y</w:t>
      </w:r>
    </w:p>
    <w:p w:rsidR="002D3484" w:rsidRDefault="001B014F">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rsidR="002D3484" w:rsidRDefault="002D3484">
      <w:pPr>
        <w:ind w:left="993" w:right="1041"/>
        <w:jc w:val="both"/>
        <w:rPr>
          <w:rFonts w:ascii="Palatino Linotype" w:eastAsia="Palatino Linotype" w:hAnsi="Palatino Linotype" w:cs="Palatino Linotype"/>
          <w:i/>
          <w:sz w:val="22"/>
          <w:szCs w:val="22"/>
        </w:rPr>
      </w:pPr>
    </w:p>
    <w:p w:rsidR="002D3484" w:rsidRDefault="001B014F">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De los preceptos anter</w:t>
      </w:r>
      <w:r>
        <w:rPr>
          <w:rFonts w:ascii="Palatino Linotype" w:eastAsia="Palatino Linotype" w:hAnsi="Palatino Linotype" w:cs="Palatino Linotype"/>
        </w:rPr>
        <w:t>iores se desprende que cuando un documento que vaya a ser entregado vía acceso a la información pública, contenga tanto información de interés público como información que debe ser clasificada, se hará la entrega del mismo, testando las secciones o datos q</w:t>
      </w:r>
      <w:r>
        <w:rPr>
          <w:rFonts w:ascii="Palatino Linotype" w:eastAsia="Palatino Linotype" w:hAnsi="Palatino Linotype" w:cs="Palatino Linotype"/>
        </w:rPr>
        <w:t>ue deban ser clasificados; por ende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deberá proceder a testar los datos personales que se encuentren contenidos en los documentos a entregar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satisfacer el derecho de acceso a la información pública del R</w:t>
      </w:r>
      <w:r>
        <w:rPr>
          <w:rFonts w:ascii="Palatino Linotype" w:eastAsia="Palatino Linotype" w:hAnsi="Palatino Linotype" w:cs="Palatino Linotype"/>
        </w:rPr>
        <w:t>ECURRENTE, esto es, los datos concernientes a una persona identificada o identificable, o aquellos datos que tengan el carácter de sensibles, es decir los que afectan la esfera más íntima de su titular o cuya utilización indebida pueda dar origen a discrim</w:t>
      </w:r>
      <w:r>
        <w:rPr>
          <w:rFonts w:ascii="Palatino Linotype" w:eastAsia="Palatino Linotype" w:hAnsi="Palatino Linotype" w:cs="Palatino Linotype"/>
        </w:rPr>
        <w:t>inación o conlleven un riesgo grave para aquel de acuerdo a lo que señala la fracción XII del artículo 4 de la Ley de Protección de Datos Personales en Posesión de Sujetos Obligados del Estado de México.</w:t>
      </w:r>
    </w:p>
    <w:p w:rsidR="002D3484" w:rsidRDefault="002D3484">
      <w:pPr>
        <w:spacing w:line="360" w:lineRule="auto"/>
        <w:ind w:right="51"/>
        <w:jc w:val="both"/>
        <w:rPr>
          <w:rFonts w:ascii="Palatino Linotype" w:eastAsia="Palatino Linotype" w:hAnsi="Palatino Linotype" w:cs="Palatino Linotype"/>
        </w:rPr>
      </w:pPr>
    </w:p>
    <w:p w:rsidR="002D3484" w:rsidRDefault="001B014F">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w:t>
      </w:r>
      <w:r>
        <w:rPr>
          <w:rFonts w:ascii="Palatino Linotype" w:eastAsia="Palatino Linotype" w:hAnsi="Palatino Linotype" w:cs="Palatino Linotype"/>
        </w:rPr>
        <w:t xml:space="preserve"> tratarse precisamente de información privada, puesto que los datos personales son irrenunciables, intransferibles e indelegables y los Sujetos Obligados no deberán hacer entrega de los mismos a personas ajenas a su titular.</w:t>
      </w:r>
    </w:p>
    <w:p w:rsidR="002D3484" w:rsidRDefault="001B0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cuanto hace al Registro Federal de Contribuyentes de las personas físicas, constituye un dato personal, pues se genera con caracteres alfanuméricos a partir del nombre y la fecha de nacimiento de cada persona, y finalmente la homoclave, por lo que para</w:t>
      </w:r>
      <w:r>
        <w:rPr>
          <w:rFonts w:ascii="Palatino Linotype" w:eastAsia="Palatino Linotype" w:hAnsi="Palatino Linotype" w:cs="Palatino Linotype"/>
        </w:rPr>
        <w:t xml:space="preserve"> su obtención es necesario acreditar ante la autoridad fiscal previamente la identidad de la persona, su fecha de nacimiento, entre otros aspectos.</w:t>
      </w:r>
    </w:p>
    <w:p w:rsidR="002D3484" w:rsidRDefault="001B0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w:t>
      </w:r>
      <w:r>
        <w:rPr>
          <w:rFonts w:ascii="Palatino Linotype" w:eastAsia="Palatino Linotype" w:hAnsi="Palatino Linotype" w:cs="Palatino Linotype"/>
        </w:rPr>
        <w:t>n fiscal determinada.</w:t>
      </w:r>
    </w:p>
    <w:p w:rsidR="002D3484" w:rsidRDefault="001B0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compartido por el Instituto </w:t>
      </w:r>
      <w:r>
        <w:rPr>
          <w:rFonts w:ascii="Palatino Linotype" w:eastAsia="Palatino Linotype" w:hAnsi="Palatino Linotype" w:cs="Palatino Linotype"/>
          <w:highlight w:val="white"/>
        </w:rPr>
        <w:t xml:space="preserve">Nacional de Transparencia, Acceso a la Información y Protección de Datos Personales, INAI, a través del Criterio 19/17, </w:t>
      </w:r>
      <w:r>
        <w:rPr>
          <w:rFonts w:ascii="Palatino Linotype" w:eastAsia="Palatino Linotype" w:hAnsi="Palatino Linotype" w:cs="Palatino Linotype"/>
        </w:rPr>
        <w:t>el cual es del tenor literal siguiente:</w:t>
      </w:r>
    </w:p>
    <w:p w:rsidR="002D3484" w:rsidRDefault="001B014F">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“Registro Federal de Contribuye</w:t>
      </w:r>
      <w:r>
        <w:rPr>
          <w:rFonts w:ascii="Palatino Linotype" w:eastAsia="Palatino Linotype" w:hAnsi="Palatino Linotype" w:cs="Palatino Linotype"/>
          <w:b/>
          <w:i/>
          <w:sz w:val="22"/>
          <w:szCs w:val="22"/>
        </w:rPr>
        <w:t>ntes (RFC) de personas físicas</w:t>
      </w:r>
      <w:r>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rsidR="002D3484" w:rsidRDefault="002D3484">
      <w:pPr>
        <w:spacing w:line="360" w:lineRule="auto"/>
        <w:ind w:right="50"/>
        <w:jc w:val="both"/>
        <w:rPr>
          <w:rFonts w:ascii="Palatino Linotype" w:eastAsia="Palatino Linotype" w:hAnsi="Palatino Linotype" w:cs="Palatino Linotype"/>
        </w:rPr>
      </w:pPr>
    </w:p>
    <w:p w:rsidR="002D3484" w:rsidRDefault="001B014F">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Así, el Registro Federal de Contribuy</w:t>
      </w:r>
      <w:r>
        <w:rPr>
          <w:rFonts w:ascii="Palatino Linotype" w:eastAsia="Palatino Linotype" w:hAnsi="Palatino Linotype" w:cs="Palatino Linotype"/>
        </w:rPr>
        <w:t xml:space="preserve">entes, RFC, se vincula al nombre de su titular y permite identificar la edad de la persona, su fecha de nacimiento, así como su </w:t>
      </w:r>
      <w:r>
        <w:rPr>
          <w:rFonts w:ascii="Palatino Linotype" w:eastAsia="Palatino Linotype" w:hAnsi="Palatino Linotype" w:cs="Palatino Linotype"/>
        </w:rPr>
        <w:lastRenderedPageBreak/>
        <w:t>homoclave, la cual es única e irrepetible y determina la identificación de dicha persona para efectos fiscales, por lo que const</w:t>
      </w:r>
      <w:r>
        <w:rPr>
          <w:rFonts w:ascii="Palatino Linotype" w:eastAsia="Palatino Linotype" w:hAnsi="Palatino Linotype" w:cs="Palatino Linotype"/>
        </w:rPr>
        <w:t>ituye un dato personal que concierne a una persona física identificada e identificable en términos de los artículos 3, fracción IX de la Ley de Transparencia y Acceso a la Información Pública del Estado de México y Municipios, y  4 fracciones XI y XII de l</w:t>
      </w:r>
      <w:r>
        <w:rPr>
          <w:rFonts w:ascii="Palatino Linotype" w:eastAsia="Palatino Linotype" w:hAnsi="Palatino Linotype" w:cs="Palatino Linotype"/>
        </w:rPr>
        <w:t>a Ley de Protección de Datos Personales en Posesión de los Sujetos Obligados del Estado de México y Municipios; sin embargo, para el caso específico de proveedores, la información debe ser pública, pues permite garantizar el cumplimiento de obligaciones fi</w:t>
      </w:r>
      <w:r>
        <w:rPr>
          <w:rFonts w:ascii="Palatino Linotype" w:eastAsia="Palatino Linotype" w:hAnsi="Palatino Linotype" w:cs="Palatino Linotype"/>
        </w:rPr>
        <w:t>scales de la persona que recibió recursos públicos, por tanto dicho dato no puede ser clasificado, pues su publicidad abona a la transparencia y a la rendición de cuentas. Por lo que el RFC de los proveedores de algún servicio o producto, deberá ser públic</w:t>
      </w:r>
      <w:r>
        <w:rPr>
          <w:rFonts w:ascii="Palatino Linotype" w:eastAsia="Palatino Linotype" w:hAnsi="Palatino Linotype" w:cs="Palatino Linotype"/>
        </w:rPr>
        <w:t>o ya que no actualiza el supuesto jurídico 143 fracción I de la Ley de Transparencia y Acceso a la Información Pública del Estado de México y Municipios, ya sean personas físicas o jurídico colectivas.</w:t>
      </w:r>
    </w:p>
    <w:p w:rsidR="002D3484" w:rsidRDefault="002D3484">
      <w:pPr>
        <w:spacing w:line="360" w:lineRule="auto"/>
        <w:ind w:right="50"/>
        <w:jc w:val="both"/>
        <w:rPr>
          <w:rFonts w:ascii="Palatino Linotype" w:eastAsia="Palatino Linotype" w:hAnsi="Palatino Linotype" w:cs="Palatino Linotype"/>
        </w:rPr>
      </w:pPr>
    </w:p>
    <w:p w:rsidR="002D3484" w:rsidRDefault="001B0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cuanto al número de cuenta bancaria y clave interb</w:t>
      </w:r>
      <w:r>
        <w:rPr>
          <w:rFonts w:ascii="Palatino Linotype" w:eastAsia="Palatino Linotype" w:hAnsi="Palatino Linotype" w:cs="Palatino Linotype"/>
        </w:rPr>
        <w:t>ancaria, de proveedores o personas físicas, es información considera como confidencial ya que es información que atañe a su patrimonio, lo que se sustenta con el criterio número 10/17 emitido por el Instituto Nacional de Transparencia, que señala:</w:t>
      </w:r>
    </w:p>
    <w:p w:rsidR="002D3484" w:rsidRDefault="002D3484">
      <w:pPr>
        <w:spacing w:line="360" w:lineRule="auto"/>
        <w:jc w:val="both"/>
        <w:rPr>
          <w:rFonts w:ascii="Palatino Linotype" w:eastAsia="Palatino Linotype" w:hAnsi="Palatino Linotype" w:cs="Palatino Linotype"/>
          <w:color w:val="FF0000"/>
        </w:rPr>
      </w:pPr>
    </w:p>
    <w:p w:rsidR="002D3484" w:rsidRDefault="001B014F">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“Cuenta</w:t>
      </w:r>
      <w:r>
        <w:rPr>
          <w:rFonts w:ascii="Palatino Linotype" w:eastAsia="Palatino Linotype" w:hAnsi="Palatino Linotype" w:cs="Palatino Linotype"/>
          <w:i/>
          <w:sz w:val="22"/>
          <w:szCs w:val="22"/>
        </w:rPr>
        <w:t xml:space="preserve">s bancarias y/o CLABE interbancaria de personas físicas y morales privadas. </w:t>
      </w:r>
    </w:p>
    <w:p w:rsidR="002D3484" w:rsidRDefault="001B014F">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número de cuenta bancaria y/o CLABE interbancaria de particulares es información confidencial, al tratarse de un conjunto de caracteres numéricos utilizados por los grupos fina</w:t>
      </w:r>
      <w:r>
        <w:rPr>
          <w:rFonts w:ascii="Palatino Linotype" w:eastAsia="Palatino Linotype" w:hAnsi="Palatino Linotype" w:cs="Palatino Linotype"/>
          <w:i/>
          <w:sz w:val="22"/>
          <w:szCs w:val="22"/>
        </w:rPr>
        <w:t xml:space="preserve">ncieros para identificar las cuentas de sus clientes, a través de los cuales se puede acceder a información relacionada con su patrimonio y realizar diversas transacciones; por tanto, constituye información clasificada </w:t>
      </w:r>
      <w:r>
        <w:rPr>
          <w:rFonts w:ascii="Palatino Linotype" w:eastAsia="Palatino Linotype" w:hAnsi="Palatino Linotype" w:cs="Palatino Linotype"/>
          <w:i/>
          <w:sz w:val="22"/>
          <w:szCs w:val="22"/>
        </w:rPr>
        <w:lastRenderedPageBreak/>
        <w:t>con fundamento en los artículos 116 d</w:t>
      </w:r>
      <w:r>
        <w:rPr>
          <w:rFonts w:ascii="Palatino Linotype" w:eastAsia="Palatino Linotype" w:hAnsi="Palatino Linotype" w:cs="Palatino Linotype"/>
          <w:i/>
          <w:sz w:val="22"/>
          <w:szCs w:val="22"/>
        </w:rPr>
        <w:t xml:space="preserve">e la Ley General de Transparencia y Acceso a la Información Pública y 113 de la Ley Federal de Transparencia y Acceso a la Información Pública. Resoluciones: </w:t>
      </w:r>
    </w:p>
    <w:p w:rsidR="002D3484" w:rsidRDefault="001B014F">
      <w:pPr>
        <w:shd w:val="clear" w:color="auto" w:fill="FFFFFF"/>
        <w:ind w:left="851" w:right="851"/>
        <w:jc w:val="both"/>
        <w:rPr>
          <w:rFonts w:ascii="Palatino Linotype" w:eastAsia="Palatino Linotype" w:hAnsi="Palatino Linotype" w:cs="Palatino Linotype"/>
          <w:i/>
          <w:sz w:val="22"/>
          <w:szCs w:val="22"/>
        </w:rPr>
      </w:pPr>
      <w:r>
        <w:rPr>
          <w:rFonts w:ascii="Symbol" w:eastAsia="Symbol" w:hAnsi="Symbol" w:cs="Symbol"/>
          <w:i/>
          <w:sz w:val="22"/>
          <w:szCs w:val="22"/>
        </w:rPr>
        <w:t>∙</w:t>
      </w:r>
      <w:r>
        <w:rPr>
          <w:rFonts w:ascii="Palatino Linotype" w:eastAsia="Palatino Linotype" w:hAnsi="Palatino Linotype" w:cs="Palatino Linotype"/>
          <w:i/>
          <w:sz w:val="22"/>
          <w:szCs w:val="22"/>
        </w:rPr>
        <w:t xml:space="preserve"> RRA 1276/16 Grupo Aeroportuario de la Ciudad de México. S.A. de C.V. 01 de noviembre de 2016. P</w:t>
      </w:r>
      <w:r>
        <w:rPr>
          <w:rFonts w:ascii="Palatino Linotype" w:eastAsia="Palatino Linotype" w:hAnsi="Palatino Linotype" w:cs="Palatino Linotype"/>
          <w:i/>
          <w:sz w:val="22"/>
          <w:szCs w:val="22"/>
        </w:rPr>
        <w:t xml:space="preserve">or unanimidad. Comisionada Ponente Areli Cano Guadiana. </w:t>
      </w:r>
    </w:p>
    <w:p w:rsidR="002D3484" w:rsidRDefault="001B014F">
      <w:pPr>
        <w:shd w:val="clear" w:color="auto" w:fill="FFFFFF"/>
        <w:ind w:left="851" w:right="851"/>
        <w:jc w:val="both"/>
        <w:rPr>
          <w:rFonts w:ascii="Palatino Linotype" w:eastAsia="Palatino Linotype" w:hAnsi="Palatino Linotype" w:cs="Palatino Linotype"/>
          <w:i/>
          <w:sz w:val="22"/>
          <w:szCs w:val="22"/>
        </w:rPr>
      </w:pPr>
      <w:r>
        <w:rPr>
          <w:rFonts w:ascii="Symbol" w:eastAsia="Symbol" w:hAnsi="Symbol" w:cs="Symbol"/>
          <w:i/>
          <w:sz w:val="22"/>
          <w:szCs w:val="22"/>
        </w:rPr>
        <w:t>∙</w:t>
      </w:r>
      <w:r>
        <w:rPr>
          <w:rFonts w:ascii="Palatino Linotype" w:eastAsia="Palatino Linotype" w:hAnsi="Palatino Linotype" w:cs="Palatino Linotype"/>
          <w:i/>
          <w:sz w:val="22"/>
          <w:szCs w:val="22"/>
        </w:rPr>
        <w:t xml:space="preserve"> RRA 3527/16 Servicio de Administración Tributaria. 07 de diciembre de 2016. Por unanimidad. Comisionada Ponente Ximena Puente de la Mora. </w:t>
      </w:r>
    </w:p>
    <w:p w:rsidR="002D3484" w:rsidRDefault="001B014F">
      <w:pPr>
        <w:shd w:val="clear" w:color="auto" w:fill="FFFFFF"/>
        <w:ind w:left="851" w:right="851"/>
        <w:jc w:val="both"/>
        <w:rPr>
          <w:rFonts w:ascii="Palatino Linotype" w:eastAsia="Palatino Linotype" w:hAnsi="Palatino Linotype" w:cs="Palatino Linotype"/>
          <w:i/>
          <w:sz w:val="22"/>
          <w:szCs w:val="22"/>
        </w:rPr>
      </w:pPr>
      <w:r>
        <w:rPr>
          <w:rFonts w:ascii="Symbol" w:eastAsia="Symbol" w:hAnsi="Symbol" w:cs="Symbol"/>
          <w:i/>
          <w:sz w:val="22"/>
          <w:szCs w:val="22"/>
        </w:rPr>
        <w:t>∙</w:t>
      </w:r>
      <w:r>
        <w:rPr>
          <w:rFonts w:ascii="Palatino Linotype" w:eastAsia="Palatino Linotype" w:hAnsi="Palatino Linotype" w:cs="Palatino Linotype"/>
          <w:i/>
          <w:sz w:val="22"/>
          <w:szCs w:val="22"/>
        </w:rPr>
        <w:t xml:space="preserve"> RRA 4404/16 Partido del Trabajo. 01 de febrero de 2017. </w:t>
      </w:r>
      <w:r>
        <w:rPr>
          <w:rFonts w:ascii="Palatino Linotype" w:eastAsia="Palatino Linotype" w:hAnsi="Palatino Linotype" w:cs="Palatino Linotype"/>
          <w:i/>
          <w:sz w:val="22"/>
          <w:szCs w:val="22"/>
        </w:rPr>
        <w:t>Por unanimidad. Comisionado Ponente Francisco Acuña Llamas.” (Sic)</w:t>
      </w:r>
    </w:p>
    <w:p w:rsidR="002D3484" w:rsidRDefault="002D3484">
      <w:pPr>
        <w:spacing w:line="360" w:lineRule="auto"/>
        <w:ind w:right="50"/>
        <w:jc w:val="both"/>
        <w:rPr>
          <w:rFonts w:ascii="Palatino Linotype" w:eastAsia="Palatino Linotype" w:hAnsi="Palatino Linotype" w:cs="Palatino Linotype"/>
        </w:rPr>
      </w:pPr>
    </w:p>
    <w:p w:rsidR="002D3484" w:rsidRDefault="001B014F">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w:t>
      </w:r>
      <w:r>
        <w:rPr>
          <w:rFonts w:ascii="Palatino Linotype" w:eastAsia="Palatino Linotype" w:hAnsi="Palatino Linotype" w:cs="Palatino Linotype"/>
        </w:rPr>
        <w:t xml:space="preserve">blico Habilitado o el Responsable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w:t>
      </w:r>
      <w:r>
        <w:rPr>
          <w:rFonts w:ascii="Palatino Linotype" w:eastAsia="Palatino Linotype" w:hAnsi="Palatino Linotype" w:cs="Palatino Linotype"/>
        </w:rPr>
        <w:t xml:space="preserve"> es el siguiente:</w:t>
      </w:r>
    </w:p>
    <w:p w:rsidR="002D3484" w:rsidRDefault="002D3484">
      <w:pPr>
        <w:spacing w:line="360" w:lineRule="auto"/>
        <w:ind w:right="51"/>
        <w:jc w:val="both"/>
        <w:rPr>
          <w:rFonts w:ascii="Palatino Linotype" w:eastAsia="Palatino Linotype" w:hAnsi="Palatino Linotype" w:cs="Palatino Linotype"/>
        </w:rPr>
      </w:pPr>
    </w:p>
    <w:p w:rsidR="002D3484" w:rsidRDefault="001B014F">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rsidR="002D3484" w:rsidRDefault="001B014F">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rsidR="002D3484" w:rsidRDefault="001B014F">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rsidR="002D3484" w:rsidRDefault="001B014F">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rsidR="002D3484" w:rsidRDefault="001B014F">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rsidR="002D3484" w:rsidRDefault="001B014F">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w:t>
      </w:r>
      <w:r>
        <w:rPr>
          <w:rFonts w:ascii="Palatino Linotype" w:eastAsia="Palatino Linotype" w:hAnsi="Palatino Linotype" w:cs="Palatino Linotype"/>
          <w:b/>
          <w:i/>
          <w:sz w:val="22"/>
          <w:szCs w:val="22"/>
        </w:rPr>
        <w:t>ón de información</w:t>
      </w:r>
      <w:r>
        <w:rPr>
          <w:rFonts w:ascii="Palatino Linotype" w:eastAsia="Palatino Linotype" w:hAnsi="Palatino Linotype" w:cs="Palatino Linotype"/>
          <w:i/>
          <w:sz w:val="22"/>
          <w:szCs w:val="22"/>
        </w:rPr>
        <w:t>, la cual tendrá los fundamentos y argumentos en que se basa dicha propuesta…”</w:t>
      </w:r>
    </w:p>
    <w:p w:rsidR="002D3484" w:rsidRDefault="002D3484">
      <w:pPr>
        <w:ind w:left="992" w:right="1043"/>
        <w:jc w:val="both"/>
        <w:rPr>
          <w:rFonts w:ascii="Palatino Linotype" w:eastAsia="Palatino Linotype" w:hAnsi="Palatino Linotype" w:cs="Palatino Linotype"/>
          <w:i/>
          <w:sz w:val="22"/>
          <w:szCs w:val="22"/>
        </w:rPr>
      </w:pPr>
    </w:p>
    <w:p w:rsidR="002D3484" w:rsidRDefault="001B0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w:t>
      </w:r>
      <w:r>
        <w:rPr>
          <w:rFonts w:ascii="Palatino Linotype" w:eastAsia="Palatino Linotype" w:hAnsi="Palatino Linotype" w:cs="Palatino Linotype"/>
        </w:rPr>
        <w:lastRenderedPageBreak/>
        <w:t>Habi</w:t>
      </w:r>
      <w:r>
        <w:rPr>
          <w:rFonts w:ascii="Palatino Linotype" w:eastAsia="Palatino Linotype" w:hAnsi="Palatino Linotype" w:cs="Palatino Linotype"/>
        </w:rPr>
        <w:t>litados, de las Unidades de Transparencia y del Comité de Transparencia del Sujeto Obligado, teniendo el deber los primeros de ellos de presentar ante la Unidad de Transparencia la propuesta de la clasificación de la información, para que luego ésta presen</w:t>
      </w:r>
      <w:r>
        <w:rPr>
          <w:rFonts w:ascii="Palatino Linotype" w:eastAsia="Palatino Linotype" w:hAnsi="Palatino Linotype" w:cs="Palatino Linotype"/>
        </w:rPr>
        <w:t>te ante al Comité de Transparencia de así resultar procedente el proyecto de clasificación de la información y finalmente sea éste último quien apruebe, modifique o revoque la clasificación de la información solicitada.</w:t>
      </w:r>
    </w:p>
    <w:p w:rsidR="002D3484" w:rsidRDefault="002D3484">
      <w:pPr>
        <w:spacing w:line="360" w:lineRule="auto"/>
        <w:jc w:val="both"/>
        <w:rPr>
          <w:rFonts w:ascii="Palatino Linotype" w:eastAsia="Palatino Linotype" w:hAnsi="Palatino Linotype" w:cs="Palatino Linotype"/>
        </w:rPr>
      </w:pPr>
    </w:p>
    <w:p w:rsidR="002D3484" w:rsidRDefault="001B0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lo cual, a su vez en el caso d</w:t>
      </w:r>
      <w:r>
        <w:rPr>
          <w:rFonts w:ascii="Palatino Linotype" w:eastAsia="Palatino Linotype" w:hAnsi="Palatino Linotype" w:cs="Palatino Linotype"/>
        </w:rPr>
        <w:t>e información de carácter confidencial, se debe atender a lo que señala el artículo 149 de la Ley de Transparencia Local vigente, que se lee como sigue:</w:t>
      </w:r>
    </w:p>
    <w:p w:rsidR="002D3484" w:rsidRDefault="002D3484">
      <w:pPr>
        <w:spacing w:line="360" w:lineRule="auto"/>
        <w:jc w:val="both"/>
        <w:rPr>
          <w:rFonts w:ascii="Palatino Linotype" w:eastAsia="Palatino Linotype" w:hAnsi="Palatino Linotype" w:cs="Palatino Linotype"/>
        </w:rPr>
      </w:pPr>
    </w:p>
    <w:p w:rsidR="002D3484" w:rsidRDefault="001B014F">
      <w:pPr>
        <w:spacing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w:t>
      </w:r>
      <w:r>
        <w:rPr>
          <w:rFonts w:ascii="Palatino Linotype" w:eastAsia="Palatino Linotype" w:hAnsi="Palatino Linotype" w:cs="Palatino Linotype"/>
          <w:i/>
          <w:sz w:val="22"/>
          <w:szCs w:val="22"/>
        </w:rPr>
        <w:t>nto lógico en el que demuestre que la información se encuentra en alguna o algunas de las hipótesis previstas en la presente Ley.”(Sic)</w:t>
      </w:r>
    </w:p>
    <w:p w:rsidR="002D3484" w:rsidRDefault="002D3484">
      <w:pPr>
        <w:spacing w:before="240" w:after="240"/>
        <w:ind w:left="993" w:right="1041"/>
        <w:jc w:val="both"/>
        <w:rPr>
          <w:rFonts w:ascii="Palatino Linotype" w:eastAsia="Palatino Linotype" w:hAnsi="Palatino Linotype" w:cs="Palatino Linotype"/>
          <w:i/>
          <w:sz w:val="22"/>
          <w:szCs w:val="22"/>
        </w:rPr>
      </w:pPr>
    </w:p>
    <w:p w:rsidR="002D3484" w:rsidRDefault="001B014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decir,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 deberá elaborar acuerdo que contenga un razonamien</w:t>
      </w:r>
      <w:r>
        <w:rPr>
          <w:rFonts w:ascii="Palatino Linotype" w:eastAsia="Palatino Linotype" w:hAnsi="Palatino Linotype" w:cs="Palatino Linotype"/>
        </w:rPr>
        <w:t>to lógico con el que se demuestre que la información que se testa de las versiones públicas que se sirva elaborar, encuadra en alguna de las hipótesis que contempla la Ley de la Materia en su artículo 143; ya que de lo contrario, se crearía la incertidumbr</w:t>
      </w:r>
      <w:r>
        <w:rPr>
          <w:rFonts w:ascii="Palatino Linotype" w:eastAsia="Palatino Linotype" w:hAnsi="Palatino Linotype" w:cs="Palatino Linotype"/>
        </w:rPr>
        <w:t>e jurídica en relación a si lo entregado es formalmente una versión pública, o un documento ilegible, incompleto o tachado; en otras palabras si no se exponen de manera puntual las razones de la versión pública de la documentación entregada se estaría viol</w:t>
      </w:r>
      <w:r>
        <w:rPr>
          <w:rFonts w:ascii="Palatino Linotype" w:eastAsia="Palatino Linotype" w:hAnsi="Palatino Linotype" w:cs="Palatino Linotype"/>
        </w:rPr>
        <w:t>entando el derecho de acceso a la información de la parte solicitante.</w:t>
      </w:r>
    </w:p>
    <w:p w:rsidR="002D3484" w:rsidRDefault="001B014F">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Al respecto, se destaca que la versión pública que elabore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las formalidades exigidas en la Ley; es decir, resulta necesario que el Comité de Transpar</w:t>
      </w:r>
      <w:r>
        <w:rPr>
          <w:rFonts w:ascii="Palatino Linotype" w:eastAsia="Palatino Linotype" w:hAnsi="Palatino Linotype" w:cs="Palatino Linotype"/>
        </w:rPr>
        <w:t xml:space="preserve">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emita el Acuerdo de Clasificación correspondiente debidamente fundado y motivado, que sustente la versión pública, el cual deberá cumplir cabalmente con las formalidades previstas en el artículo 137 de la Ley de Transparencia y Ac</w:t>
      </w:r>
      <w:r>
        <w:rPr>
          <w:rFonts w:ascii="Palatino Linotype" w:eastAsia="Palatino Linotype" w:hAnsi="Palatino Linotype" w:cs="Palatino Linotype"/>
        </w:rPr>
        <w:t xml:space="preserve">ceso a la Información Pública del Estado de México y Municipios, ya expuesto; así como con los numerales aplicables de los </w:t>
      </w:r>
      <w:r>
        <w:rPr>
          <w:rFonts w:ascii="Palatino Linotype" w:eastAsia="Palatino Linotype" w:hAnsi="Palatino Linotype" w:cs="Palatino Linotype"/>
          <w:b/>
        </w:rPr>
        <w:t>LINEAMIENTOS GENERALES EN MATERIA DE CLASIFICACIÓN Y DESCLASIFICACIÓN DE LA INFORMACIÓN, ASÍ COMO PARA LA ELABORACIÓN DE VERSIONES PÚ</w:t>
      </w:r>
      <w:r>
        <w:rPr>
          <w:rFonts w:ascii="Palatino Linotype" w:eastAsia="Palatino Linotype" w:hAnsi="Palatino Linotype" w:cs="Palatino Linotype"/>
          <w:b/>
        </w:rPr>
        <w:t>BLICAS</w:t>
      </w:r>
      <w:r>
        <w:rPr>
          <w:rFonts w:ascii="Palatino Linotype" w:eastAsia="Palatino Linotype" w:hAnsi="Palatino Linotype" w:cs="Palatino Linotype"/>
        </w:rPr>
        <w:t xml:space="preserve">, publicados en el Diario Oficial de la Federación en fecha quince de abril del año dos mil dieciséis, mediante Acuerdo del Consejo Nacional del Sistema Nacional de Transparencia, Acceso a la Información Pública y Protección de Datos Personales, que </w:t>
      </w:r>
      <w:r>
        <w:rPr>
          <w:rFonts w:ascii="Palatino Linotype" w:eastAsia="Palatino Linotype" w:hAnsi="Palatino Linotype" w:cs="Palatino Linotype"/>
        </w:rPr>
        <w:t>literalmente expresan:</w:t>
      </w:r>
    </w:p>
    <w:p w:rsidR="002D3484" w:rsidRDefault="002D3484">
      <w:pPr>
        <w:ind w:left="709" w:right="709"/>
        <w:jc w:val="both"/>
        <w:rPr>
          <w:rFonts w:ascii="Palatino Linotype" w:eastAsia="Palatino Linotype" w:hAnsi="Palatino Linotype" w:cs="Palatino Linotype"/>
          <w:b/>
          <w:i/>
          <w:sz w:val="22"/>
          <w:szCs w:val="22"/>
        </w:rPr>
      </w:pPr>
    </w:p>
    <w:p w:rsidR="002D3484" w:rsidRDefault="001B014F">
      <w:pPr>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2D3484" w:rsidRDefault="001B0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rsidR="002D3484" w:rsidRDefault="001B0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w:t>
      </w:r>
      <w:r>
        <w:rPr>
          <w:rFonts w:ascii="Palatino Linotype" w:eastAsia="Palatino Linotype" w:hAnsi="Palatino Linotype" w:cs="Palatino Linotype"/>
          <w:b/>
          <w:i/>
          <w:sz w:val="22"/>
          <w:szCs w:val="22"/>
        </w:rPr>
        <w:t>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u w:val="single"/>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t>confidencialidad</w:t>
      </w:r>
      <w:r>
        <w:rPr>
          <w:rFonts w:ascii="Palatino Linotype" w:eastAsia="Palatino Linotype" w:hAnsi="Palatino Linotype" w:cs="Palatino Linotype"/>
          <w:i/>
          <w:sz w:val="22"/>
          <w:szCs w:val="22"/>
        </w:rPr>
        <w:t>, a través de la reso</w:t>
      </w:r>
      <w:r>
        <w:rPr>
          <w:rFonts w:ascii="Palatino Linotype" w:eastAsia="Palatino Linotype" w:hAnsi="Palatino Linotype" w:cs="Palatino Linotype"/>
          <w:i/>
          <w:sz w:val="22"/>
          <w:szCs w:val="22"/>
        </w:rPr>
        <w:t>lución que para tal efecto emita el Comité de Transparencia.</w:t>
      </w:r>
    </w:p>
    <w:p w:rsidR="002D3484" w:rsidRDefault="001B0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w:t>
      </w:r>
      <w:r>
        <w:rPr>
          <w:rFonts w:ascii="Palatino Linotype" w:eastAsia="Palatino Linotype" w:hAnsi="Palatino Linotype" w:cs="Palatino Linotype"/>
          <w:i/>
          <w:sz w:val="22"/>
          <w:szCs w:val="22"/>
        </w:rPr>
        <w:t>es lineamientos, así como en aquellas disposiciones legales aplicables a la materia en el ámbito de sus respectivas competencias, en tanto estas últimas no contravengan lo dispuesto en la Ley General.</w:t>
      </w:r>
    </w:p>
    <w:p w:rsidR="002D3484" w:rsidRDefault="001B0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w:t>
      </w:r>
      <w:r>
        <w:rPr>
          <w:rFonts w:ascii="Palatino Linotype" w:eastAsia="Palatino Linotype" w:hAnsi="Palatino Linotype" w:cs="Palatino Linotype"/>
          <w:i/>
          <w:sz w:val="22"/>
          <w:szCs w:val="22"/>
        </w:rPr>
        <w:t>ta, las excepciones al derecho de acceso a la información y sólo podrán invocarlas cuando acrediten su procedencia.</w:t>
      </w:r>
    </w:p>
    <w:p w:rsidR="002D3484" w:rsidRDefault="001B0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w:t>
      </w:r>
      <w:r>
        <w:rPr>
          <w:rFonts w:ascii="Palatino Linotype" w:eastAsia="Palatino Linotype" w:hAnsi="Palatino Linotype" w:cs="Palatino Linotype"/>
          <w:i/>
          <w:sz w:val="22"/>
          <w:szCs w:val="22"/>
        </w:rPr>
        <w:lastRenderedPageBreak/>
        <w:t xml:space="preserve">en la Ley General, la Ley Federal y leyes estatales, corresponderá a los sujetos obligados, por lo que </w:t>
      </w:r>
      <w:r>
        <w:rPr>
          <w:rFonts w:ascii="Palatino Linotype" w:eastAsia="Palatino Linotype" w:hAnsi="Palatino Linotype" w:cs="Palatino Linotype"/>
          <w:i/>
          <w:sz w:val="22"/>
          <w:szCs w:val="22"/>
        </w:rPr>
        <w:t>deberán fundar y motivar debidamente la clasificación de la información ante una solicitud de acceso o al momento en que generen versiones públicas para dar cumplimiento a las obligaciones de transparencia, observando lo dispuesto en la Ley General y las d</w:t>
      </w:r>
      <w:r>
        <w:rPr>
          <w:rFonts w:ascii="Palatino Linotype" w:eastAsia="Palatino Linotype" w:hAnsi="Palatino Linotype" w:cs="Palatino Linotype"/>
          <w:i/>
          <w:sz w:val="22"/>
          <w:szCs w:val="22"/>
        </w:rPr>
        <w:t>emás disposiciones aplicables en la materia.</w:t>
      </w:r>
    </w:p>
    <w:p w:rsidR="002D3484" w:rsidRDefault="001B0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w:t>
      </w:r>
      <w:r>
        <w:rPr>
          <w:rFonts w:ascii="Palatino Linotype" w:eastAsia="Palatino Linotype" w:hAnsi="Palatino Linotype" w:cs="Palatino Linotype"/>
          <w:i/>
          <w:sz w:val="22"/>
          <w:szCs w:val="22"/>
        </w:rPr>
        <w:t xml:space="preserve"> cuando éstos no obren en sus archivos.</w:t>
      </w:r>
    </w:p>
    <w:p w:rsidR="002D3484" w:rsidRDefault="001B0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2D3484" w:rsidRDefault="001B0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w:t>
      </w:r>
      <w:r>
        <w:rPr>
          <w:rFonts w:ascii="Palatino Linotype" w:eastAsia="Palatino Linotype" w:hAnsi="Palatino Linotype" w:cs="Palatino Linotype"/>
          <w:i/>
          <w:sz w:val="22"/>
          <w:szCs w:val="22"/>
        </w:rPr>
        <w:t xml:space="preserve"> momento en que:</w:t>
      </w:r>
    </w:p>
    <w:p w:rsidR="002D3484" w:rsidRDefault="001B0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rsidR="002D3484" w:rsidRDefault="001B0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2D3484" w:rsidRDefault="001B0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w:t>
      </w:r>
      <w:r>
        <w:rPr>
          <w:rFonts w:ascii="Palatino Linotype" w:eastAsia="Palatino Linotype" w:hAnsi="Palatino Linotype" w:cs="Palatino Linotype"/>
          <w:i/>
          <w:sz w:val="22"/>
          <w:szCs w:val="22"/>
        </w:rPr>
        <w:t>, la Ley Federal y las correspondientes de las entidades federativas.</w:t>
      </w:r>
    </w:p>
    <w:p w:rsidR="002D3484" w:rsidRDefault="001B0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titulares de las áreas deberán revisar la clasificación al momento de la recepción de una solicitud de acceso a la información, para verificar si encuadra en una causal de reserva o </w:t>
      </w:r>
      <w:r>
        <w:rPr>
          <w:rFonts w:ascii="Palatino Linotype" w:eastAsia="Palatino Linotype" w:hAnsi="Palatino Linotype" w:cs="Palatino Linotype"/>
          <w:i/>
          <w:sz w:val="22"/>
          <w:szCs w:val="22"/>
        </w:rPr>
        <w:t>de confidencialidad.</w:t>
      </w:r>
    </w:p>
    <w:p w:rsidR="002D3484" w:rsidRDefault="001B0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w:t>
      </w:r>
      <w:r>
        <w:rPr>
          <w:rFonts w:ascii="Palatino Linotype" w:eastAsia="Palatino Linotype" w:hAnsi="Palatino Linotype" w:cs="Palatino Linotype"/>
          <w:i/>
          <w:sz w:val="22"/>
          <w:szCs w:val="22"/>
        </w:rPr>
        <w:t>da o confidencial.</w:t>
      </w:r>
    </w:p>
    <w:p w:rsidR="002D3484" w:rsidRDefault="001B0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2D3484" w:rsidRDefault="001B0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w:t>
      </w:r>
      <w:r>
        <w:rPr>
          <w:rFonts w:ascii="Palatino Linotype" w:eastAsia="Palatino Linotype" w:hAnsi="Palatino Linotype" w:cs="Palatino Linotype"/>
          <w:i/>
          <w:sz w:val="22"/>
          <w:szCs w:val="22"/>
        </w:rPr>
        <w:t xml:space="preserve"> información reservada, la motivación de la clasificación también deberá comprender las circunstancias que justifican el establecimiento de determinado plazo de reserva.</w:t>
      </w:r>
    </w:p>
    <w:p w:rsidR="002D3484" w:rsidRDefault="001B0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w:t>
      </w:r>
      <w:r>
        <w:rPr>
          <w:rFonts w:ascii="Palatino Linotype" w:eastAsia="Palatino Linotype" w:hAnsi="Palatino Linotype" w:cs="Palatino Linotype"/>
          <w:i/>
          <w:sz w:val="22"/>
          <w:szCs w:val="22"/>
        </w:rPr>
        <w:t>terminado su conservación permanente por tener valor histórico, ésta conservará tal carácter de conformidad con la normativa aplicable en materia de archivos.</w:t>
      </w:r>
    </w:p>
    <w:p w:rsidR="002D3484" w:rsidRDefault="001B0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w:t>
      </w:r>
      <w:r>
        <w:rPr>
          <w:rFonts w:ascii="Palatino Linotype" w:eastAsia="Palatino Linotype" w:hAnsi="Palatino Linotype" w:cs="Palatino Linotype"/>
          <w:i/>
          <w:sz w:val="22"/>
          <w:szCs w:val="22"/>
        </w:rPr>
        <w:t>ciales no serán susceptibles de clasificación como reservados.</w:t>
      </w:r>
    </w:p>
    <w:p w:rsidR="002D3484" w:rsidRDefault="001B0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w:t>
      </w:r>
      <w:r>
        <w:rPr>
          <w:rFonts w:ascii="Palatino Linotype" w:eastAsia="Palatino Linotype" w:hAnsi="Palatino Linotype" w:cs="Palatino Linotype"/>
          <w:i/>
          <w:sz w:val="22"/>
          <w:szCs w:val="22"/>
        </w:rPr>
        <w:t>ndo la clasificación de las partes o secciones que se testen, siguiendo los procedimientos establecidos en el Capítulo IX de los presentes lineamientos.</w:t>
      </w:r>
    </w:p>
    <w:p w:rsidR="002D3484" w:rsidRDefault="001B0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Décimo.</w:t>
      </w:r>
      <w:r>
        <w:rPr>
          <w:rFonts w:ascii="Palatino Linotype" w:eastAsia="Palatino Linotype" w:hAnsi="Palatino Linotype" w:cs="Palatino Linotype"/>
          <w:i/>
          <w:sz w:val="22"/>
          <w:szCs w:val="22"/>
        </w:rPr>
        <w:t xml:space="preserve"> Los titulares de las áreas, deberán tener conocimiento y llevar un registro del personal que, p</w:t>
      </w:r>
      <w:r>
        <w:rPr>
          <w:rFonts w:ascii="Palatino Linotype" w:eastAsia="Palatino Linotype" w:hAnsi="Palatino Linotype" w:cs="Palatino Linotype"/>
          <w:i/>
          <w:sz w:val="22"/>
          <w:szCs w:val="22"/>
        </w:rPr>
        <w:t>or la naturaleza de sus atribuciones, tenga acceso a los documentos clasificados. Asimismo, deberán asegurarse de que dicho personal cuente con los conocimientos técnicos y legales que le permitan manejar adecuadamente la información clasificada, en los té</w:t>
      </w:r>
      <w:r>
        <w:rPr>
          <w:rFonts w:ascii="Palatino Linotype" w:eastAsia="Palatino Linotype" w:hAnsi="Palatino Linotype" w:cs="Palatino Linotype"/>
          <w:i/>
          <w:sz w:val="22"/>
          <w:szCs w:val="22"/>
        </w:rPr>
        <w:t>rminos de los Lineamientos para la Organización y Conservación de Archivos.</w:t>
      </w:r>
    </w:p>
    <w:p w:rsidR="002D3484" w:rsidRDefault="001B0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w:t>
      </w:r>
      <w:r>
        <w:rPr>
          <w:rFonts w:ascii="Palatino Linotype" w:eastAsia="Palatino Linotype" w:hAnsi="Palatino Linotype" w:cs="Palatino Linotype"/>
          <w:i/>
          <w:sz w:val="22"/>
          <w:szCs w:val="22"/>
        </w:rPr>
        <w:t>o obligado.</w:t>
      </w:r>
    </w:p>
    <w:p w:rsidR="002D3484" w:rsidRDefault="001B0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w:t>
      </w:r>
      <w:r>
        <w:rPr>
          <w:rFonts w:ascii="Palatino Linotype" w:eastAsia="Palatino Linotype" w:hAnsi="Palatino Linotype" w:cs="Palatino Linotype"/>
          <w:i/>
          <w:sz w:val="22"/>
          <w:szCs w:val="22"/>
        </w:rPr>
        <w:t>lo VIII de los presentes lineamientos.</w:t>
      </w:r>
    </w:p>
    <w:p w:rsidR="002D3484" w:rsidRDefault="001B0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D3484" w:rsidRDefault="001B014F">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rsidR="002D3484" w:rsidRDefault="001B014F">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rsidR="002D3484" w:rsidRDefault="001B0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w:t>
      </w:r>
      <w:r>
        <w:rPr>
          <w:rFonts w:ascii="Palatino Linotype" w:eastAsia="Palatino Linotype" w:hAnsi="Palatino Linotype" w:cs="Palatino Linotype"/>
          <w:i/>
          <w:sz w:val="22"/>
          <w:szCs w:val="22"/>
        </w:rPr>
        <w:t>ción de documentos o expedientes, sin perjuicio de que establezcan los propios.</w:t>
      </w:r>
    </w:p>
    <w:p w:rsidR="002D3484" w:rsidRDefault="001B0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D3484" w:rsidRDefault="001B014F">
      <w:pPr>
        <w:spacing w:after="160"/>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tbl>
      <w:tblPr>
        <w:tblStyle w:val="a6"/>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2D3484">
        <w:trPr>
          <w:jc w:val="center"/>
        </w:trPr>
        <w:tc>
          <w:tcPr>
            <w:tcW w:w="1159" w:type="dxa"/>
            <w:tcBorders>
              <w:top w:val="nil"/>
              <w:left w:val="nil"/>
              <w:bottom w:val="single" w:sz="4" w:space="0" w:color="000000"/>
              <w:right w:val="single" w:sz="4" w:space="0" w:color="000000"/>
            </w:tcBorders>
          </w:tcPr>
          <w:p w:rsidR="002D3484" w:rsidRDefault="002D3484">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D3484" w:rsidRDefault="001B014F">
            <w:pPr>
              <w:jc w:val="center"/>
              <w:rPr>
                <w:rFonts w:ascii="Palatino Linotype" w:eastAsia="Palatino Linotype" w:hAnsi="Palatino Linotype" w:cs="Palatino Linotype"/>
                <w:b/>
                <w:i/>
              </w:rPr>
            </w:pPr>
            <w:r>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2D3484" w:rsidRDefault="001B014F">
            <w:pPr>
              <w:jc w:val="center"/>
              <w:rPr>
                <w:rFonts w:ascii="Palatino Linotype" w:eastAsia="Palatino Linotype" w:hAnsi="Palatino Linotype" w:cs="Palatino Linotype"/>
                <w:b/>
                <w:i/>
              </w:rPr>
            </w:pPr>
            <w:r>
              <w:rPr>
                <w:rFonts w:ascii="Palatino Linotype" w:eastAsia="Palatino Linotype" w:hAnsi="Palatino Linotype" w:cs="Palatino Linotype"/>
                <w:b/>
                <w:i/>
              </w:rPr>
              <w:t>Dónde:</w:t>
            </w:r>
          </w:p>
        </w:tc>
      </w:tr>
      <w:tr w:rsidR="002D3484">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2D3484" w:rsidRDefault="001B014F">
            <w:pPr>
              <w:jc w:val="center"/>
              <w:rPr>
                <w:rFonts w:ascii="Palatino Linotype" w:eastAsia="Palatino Linotype" w:hAnsi="Palatino Linotype" w:cs="Palatino Linotype"/>
                <w:b/>
                <w:i/>
              </w:rPr>
            </w:pPr>
            <w:r>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2D3484" w:rsidRDefault="001B014F">
            <w:pPr>
              <w:jc w:val="center"/>
              <w:rPr>
                <w:rFonts w:ascii="Palatino Linotype" w:eastAsia="Palatino Linotype" w:hAnsi="Palatino Linotype" w:cs="Palatino Linotype"/>
                <w:i/>
              </w:rPr>
            </w:pPr>
            <w:r>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2D3484" w:rsidRDefault="001B014F">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la que el Comité de Transparencia confirmó la clasificación del documento, en su caso.</w:t>
            </w:r>
          </w:p>
        </w:tc>
      </w:tr>
      <w:tr w:rsidR="002D348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D3484" w:rsidRDefault="002D348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D3484" w:rsidRDefault="001B014F">
            <w:pPr>
              <w:jc w:val="center"/>
              <w:rPr>
                <w:rFonts w:ascii="Palatino Linotype" w:eastAsia="Palatino Linotype" w:hAnsi="Palatino Linotype" w:cs="Palatino Linotype"/>
                <w:i/>
              </w:rPr>
            </w:pPr>
            <w:r>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2D3484" w:rsidRDefault="001B014F">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área del cual es titular quien clasifica.</w:t>
            </w:r>
          </w:p>
        </w:tc>
      </w:tr>
      <w:tr w:rsidR="002D348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D3484" w:rsidRDefault="002D348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D3484" w:rsidRDefault="001B014F">
            <w:pPr>
              <w:jc w:val="center"/>
              <w:rPr>
                <w:rFonts w:ascii="Palatino Linotype" w:eastAsia="Palatino Linotype" w:hAnsi="Palatino Linotype" w:cs="Palatino Linotype"/>
                <w:i/>
              </w:rPr>
            </w:pPr>
            <w:r>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2D3484" w:rsidRDefault="001B014F">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w:t>
            </w:r>
            <w:r>
              <w:rPr>
                <w:rFonts w:ascii="Palatino Linotype" w:eastAsia="Palatino Linotype" w:hAnsi="Palatino Linotype" w:cs="Palatino Linotype"/>
                <w:i/>
              </w:rPr>
              <w:t>ste apartado.</w:t>
            </w:r>
          </w:p>
        </w:tc>
      </w:tr>
      <w:tr w:rsidR="002D348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D3484" w:rsidRDefault="002D348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D3484" w:rsidRDefault="001B014F">
            <w:pPr>
              <w:jc w:val="center"/>
              <w:rPr>
                <w:rFonts w:ascii="Palatino Linotype" w:eastAsia="Palatino Linotype" w:hAnsi="Palatino Linotype" w:cs="Palatino Linotype"/>
                <w:i/>
              </w:rPr>
            </w:pPr>
            <w:r>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2D3484" w:rsidRDefault="001B014F">
            <w:pPr>
              <w:jc w:val="both"/>
              <w:rPr>
                <w:rFonts w:ascii="Palatino Linotype" w:eastAsia="Palatino Linotype" w:hAnsi="Palatino Linotype" w:cs="Palatino Linotype"/>
                <w:i/>
              </w:rPr>
            </w:pPr>
            <w:r>
              <w:rPr>
                <w:rFonts w:ascii="Palatino Linotype" w:eastAsia="Palatino Linotype" w:hAnsi="Palatino Linotype" w:cs="Palatino Linotype"/>
                <w:i/>
              </w:rPr>
              <w:t>Se anotará el número de años o meses por los que se mantendrá el documento o las partes del mismo como reservado.</w:t>
            </w:r>
          </w:p>
        </w:tc>
      </w:tr>
      <w:tr w:rsidR="002D348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D3484" w:rsidRDefault="002D348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D3484" w:rsidRDefault="001B014F">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2D3484" w:rsidRDefault="001B014F">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reserva.</w:t>
            </w:r>
          </w:p>
        </w:tc>
      </w:tr>
      <w:tr w:rsidR="002D348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D3484" w:rsidRDefault="002D348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D3484" w:rsidRDefault="001B014F">
            <w:pPr>
              <w:jc w:val="center"/>
              <w:rPr>
                <w:rFonts w:ascii="Palatino Linotype" w:eastAsia="Palatino Linotype" w:hAnsi="Palatino Linotype" w:cs="Palatino Linotype"/>
                <w:i/>
              </w:rPr>
            </w:pPr>
            <w:r>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2D3484" w:rsidRDefault="001B014F">
            <w:pPr>
              <w:jc w:val="both"/>
              <w:rPr>
                <w:rFonts w:ascii="Palatino Linotype" w:eastAsia="Palatino Linotype" w:hAnsi="Palatino Linotype" w:cs="Palatino Linotype"/>
                <w:i/>
              </w:rPr>
            </w:pPr>
            <w:r>
              <w:rPr>
                <w:rFonts w:ascii="Palatino Linotype" w:eastAsia="Palatino Linotype" w:hAnsi="Palatino Linotype" w:cs="Palatino Linotype"/>
                <w:i/>
              </w:rPr>
              <w:t>En caso de haber solicitado la ampliación del periodo de reserva originalmente estableci</w:t>
            </w:r>
            <w:r>
              <w:rPr>
                <w:rFonts w:ascii="Palatino Linotype" w:eastAsia="Palatino Linotype" w:hAnsi="Palatino Linotype" w:cs="Palatino Linotype"/>
                <w:i/>
              </w:rPr>
              <w:t>do, se deberá anotar el número de años o meses por los que se amplía la reserva.</w:t>
            </w:r>
          </w:p>
        </w:tc>
      </w:tr>
      <w:tr w:rsidR="002D348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D3484" w:rsidRDefault="002D348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D3484" w:rsidRDefault="001B014F">
            <w:pPr>
              <w:jc w:val="center"/>
              <w:rPr>
                <w:rFonts w:ascii="Palatino Linotype" w:eastAsia="Palatino Linotype" w:hAnsi="Palatino Linotype" w:cs="Palatino Linotype"/>
                <w:i/>
              </w:rPr>
            </w:pPr>
            <w:r>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rsidR="002D3484" w:rsidRDefault="001B014F">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 como confidencial. Si el documento fuera confidencial en su totalidad, se anotarán</w:t>
            </w:r>
            <w:r>
              <w:rPr>
                <w:rFonts w:ascii="Palatino Linotype" w:eastAsia="Palatino Linotype" w:hAnsi="Palatino Linotype" w:cs="Palatino Linotype"/>
                <w:i/>
              </w:rPr>
              <w:t xml:space="preserve"> todas las páginas que lo conforman. Si el documento no contiene información confidencial, se tachará este apartado.</w:t>
            </w:r>
          </w:p>
        </w:tc>
      </w:tr>
      <w:tr w:rsidR="002D348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D3484" w:rsidRDefault="002D348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D3484" w:rsidRDefault="001B014F">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2D3484" w:rsidRDefault="001B014F">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2D348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D3484" w:rsidRDefault="002D348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D3484" w:rsidRDefault="001B014F">
            <w:pPr>
              <w:jc w:val="center"/>
              <w:rPr>
                <w:rFonts w:ascii="Palatino Linotype" w:eastAsia="Palatino Linotype" w:hAnsi="Palatino Linotype" w:cs="Palatino Linotype"/>
                <w:i/>
              </w:rPr>
            </w:pPr>
            <w:r>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2D3484" w:rsidRDefault="001B014F">
            <w:pPr>
              <w:jc w:val="both"/>
              <w:rPr>
                <w:rFonts w:ascii="Palatino Linotype" w:eastAsia="Palatino Linotype" w:hAnsi="Palatino Linotype" w:cs="Palatino Linotype"/>
                <w:i/>
              </w:rPr>
            </w:pPr>
            <w:r>
              <w:rPr>
                <w:rFonts w:ascii="Palatino Linotype" w:eastAsia="Palatino Linotype" w:hAnsi="Palatino Linotype" w:cs="Palatino Linotype"/>
                <w:i/>
              </w:rPr>
              <w:t>Rúbrica autógrafa de quien clasifica.</w:t>
            </w:r>
          </w:p>
        </w:tc>
      </w:tr>
      <w:tr w:rsidR="002D348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D3484" w:rsidRDefault="002D348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D3484" w:rsidRDefault="001B014F">
            <w:pPr>
              <w:jc w:val="center"/>
              <w:rPr>
                <w:rFonts w:ascii="Palatino Linotype" w:eastAsia="Palatino Linotype" w:hAnsi="Palatino Linotype" w:cs="Palatino Linotype"/>
                <w:i/>
              </w:rPr>
            </w:pPr>
            <w:r>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2D3484" w:rsidRDefault="001B014F">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que se desclasifica el documento.</w:t>
            </w:r>
          </w:p>
        </w:tc>
      </w:tr>
      <w:tr w:rsidR="002D348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D3484" w:rsidRDefault="002D348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D3484" w:rsidRDefault="001B014F">
            <w:pPr>
              <w:jc w:val="center"/>
              <w:rPr>
                <w:rFonts w:ascii="Palatino Linotype" w:eastAsia="Palatino Linotype" w:hAnsi="Palatino Linotype" w:cs="Palatino Linotype"/>
                <w:i/>
              </w:rPr>
            </w:pPr>
            <w:r>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2D3484" w:rsidRDefault="001B014F">
            <w:pPr>
              <w:rPr>
                <w:rFonts w:ascii="Palatino Linotype" w:eastAsia="Palatino Linotype" w:hAnsi="Palatino Linotype" w:cs="Palatino Linotype"/>
                <w:i/>
              </w:rPr>
            </w:pPr>
            <w:r>
              <w:rPr>
                <w:rFonts w:ascii="Palatino Linotype" w:eastAsia="Palatino Linotype" w:hAnsi="Palatino Linotype" w:cs="Palatino Linotype"/>
                <w:i/>
              </w:rPr>
              <w:t>Rúbrica autógrafa de quien desclasifica.</w:t>
            </w:r>
          </w:p>
        </w:tc>
      </w:tr>
    </w:tbl>
    <w:p w:rsidR="002D3484" w:rsidRDefault="002D3484">
      <w:pPr>
        <w:spacing w:before="240" w:line="360" w:lineRule="auto"/>
        <w:ind w:right="51"/>
        <w:jc w:val="both"/>
        <w:rPr>
          <w:rFonts w:ascii="Palatino Linotype" w:eastAsia="Palatino Linotype" w:hAnsi="Palatino Linotype" w:cs="Palatino Linotype"/>
        </w:rPr>
      </w:pPr>
    </w:p>
    <w:p w:rsidR="002D3484" w:rsidRDefault="001B0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2D3484" w:rsidRDefault="002D3484">
      <w:pPr>
        <w:spacing w:line="360" w:lineRule="auto"/>
        <w:jc w:val="both"/>
        <w:rPr>
          <w:rFonts w:ascii="Palatino Linotype" w:eastAsia="Palatino Linotype" w:hAnsi="Palatino Linotype" w:cs="Palatino Linotype"/>
        </w:rPr>
      </w:pPr>
    </w:p>
    <w:p w:rsidR="002D3484" w:rsidRDefault="001B014F">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lo tanto, la entrega de documentos en su versión pública debe acompañarse </w:t>
      </w:r>
      <w:r>
        <w:rPr>
          <w:rFonts w:ascii="Palatino Linotype" w:eastAsia="Palatino Linotype" w:hAnsi="Palatino Linotype" w:cs="Palatino Linotype"/>
        </w:rPr>
        <w:t xml:space="preserve">necesariamente del Acuerdo del Comité de Transparencia que la sustente, en el que se expongan los fundamentos y razonamientos que llevaron al Sujeto Obligado a testar, suprimir o eliminar datos de dicho soporte documental, ya que no hacerlo implica que lo </w:t>
      </w:r>
      <w:r>
        <w:rPr>
          <w:rFonts w:ascii="Palatino Linotype" w:eastAsia="Palatino Linotype" w:hAnsi="Palatino Linotype" w:cs="Palatino Linotype"/>
        </w:rPr>
        <w:t xml:space="preserve">entregado no es legal ni formalmente una versión pública, sino más bien una documentación ilegible, incompleta o tachada; pues no señalar las razones por las que no se aprecian determinados datos -ya sea porque se testan o suprimen- deja al solicitante en </w:t>
      </w:r>
      <w:r>
        <w:rPr>
          <w:rFonts w:ascii="Palatino Linotype" w:eastAsia="Palatino Linotype" w:hAnsi="Palatino Linotype" w:cs="Palatino Linotype"/>
        </w:rPr>
        <w:t>estado de incertidumbre, al no conocer o comprender porque no aparecen en la documentación respectiva, es decir, si no se exponen de manera puntual las razones de ello se estaría violentando desde un inicio el derecho de acceso a la información del solicit</w:t>
      </w:r>
      <w:r>
        <w:rPr>
          <w:rFonts w:ascii="Palatino Linotype" w:eastAsia="Palatino Linotype" w:hAnsi="Palatino Linotype" w:cs="Palatino Linotype"/>
        </w:rPr>
        <w:t xml:space="preserve">ante, por lo que el acuerdo respectivo, deberá hacerse del conocimiento del </w:t>
      </w:r>
      <w:r>
        <w:rPr>
          <w:rFonts w:ascii="Palatino Linotype" w:eastAsia="Palatino Linotype" w:hAnsi="Palatino Linotype" w:cs="Palatino Linotype"/>
          <w:b/>
        </w:rPr>
        <w:t>RECURRENTE</w:t>
      </w:r>
      <w:r>
        <w:rPr>
          <w:rFonts w:ascii="Palatino Linotype" w:eastAsia="Palatino Linotype" w:hAnsi="Palatino Linotype" w:cs="Palatino Linotype"/>
        </w:rPr>
        <w:t>.</w:t>
      </w:r>
    </w:p>
    <w:p w:rsidR="002D3484" w:rsidRDefault="002D3484">
      <w:pPr>
        <w:spacing w:line="360" w:lineRule="auto"/>
        <w:jc w:val="both"/>
        <w:rPr>
          <w:rFonts w:ascii="Palatino Linotype" w:eastAsia="Palatino Linotype" w:hAnsi="Palatino Linotype" w:cs="Palatino Linotype"/>
        </w:rPr>
      </w:pPr>
    </w:p>
    <w:p w:rsidR="002D3484" w:rsidRDefault="001B0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w:t>
      </w:r>
      <w:r>
        <w:rPr>
          <w:rFonts w:ascii="Palatino Linotype" w:eastAsia="Palatino Linotype" w:hAnsi="Palatino Linotype" w:cs="Palatino Linotype"/>
        </w:rPr>
        <w:t>ipios permite la elaboración de versiones públicas en las que se suprima aquella información relacionada con la vida privada de los servidores públicos.</w:t>
      </w:r>
    </w:p>
    <w:p w:rsidR="002D3484" w:rsidRDefault="002D3484">
      <w:pPr>
        <w:spacing w:line="360" w:lineRule="auto"/>
        <w:jc w:val="both"/>
        <w:rPr>
          <w:rFonts w:ascii="Palatino Linotype" w:eastAsia="Palatino Linotype" w:hAnsi="Palatino Linotype" w:cs="Palatino Linotype"/>
        </w:rPr>
      </w:pPr>
    </w:p>
    <w:p w:rsidR="002D3484" w:rsidRDefault="001B0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vigésimo noveno, trigésimo y trigésimo</w:t>
      </w:r>
      <w:r>
        <w:rPr>
          <w:rFonts w:ascii="Palatino Linotype" w:eastAsia="Palatino Linotype" w:hAnsi="Palatino Linotype" w:cs="Palatino Linotype"/>
        </w:rPr>
        <w:t xml:space="preserve"> primero de la Constitución Política del Estado Libre y Soberano de México; 2, fracción II; 29, 36 fracciones I y II; 176, 178, 179, fracción VII, </w:t>
      </w:r>
      <w:r>
        <w:rPr>
          <w:rFonts w:ascii="Palatino Linotype" w:eastAsia="Palatino Linotype" w:hAnsi="Palatino Linotype" w:cs="Palatino Linotype"/>
        </w:rPr>
        <w:lastRenderedPageBreak/>
        <w:t>181, 185 de la Ley de Transparencia y Acceso a la Información Pública del Estado de México y Municipios, este</w:t>
      </w:r>
      <w:r>
        <w:rPr>
          <w:rFonts w:ascii="Palatino Linotype" w:eastAsia="Palatino Linotype" w:hAnsi="Palatino Linotype" w:cs="Palatino Linotype"/>
        </w:rPr>
        <w:t xml:space="preserve"> Pleno:</w:t>
      </w:r>
    </w:p>
    <w:p w:rsidR="002D3484" w:rsidRDefault="002D3484">
      <w:pPr>
        <w:spacing w:line="360" w:lineRule="auto"/>
        <w:jc w:val="both"/>
        <w:rPr>
          <w:rFonts w:ascii="Palatino Linotype" w:eastAsia="Palatino Linotype" w:hAnsi="Palatino Linotype" w:cs="Palatino Linotype"/>
        </w:rPr>
      </w:pPr>
    </w:p>
    <w:p w:rsidR="002D3484" w:rsidRDefault="001B014F">
      <w:pPr>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III</w:t>
      </w:r>
      <w:r>
        <w:rPr>
          <w:rFonts w:ascii="Palatino Linotype" w:eastAsia="Palatino Linotype" w:hAnsi="Palatino Linotype" w:cs="Palatino Linotype"/>
          <w:b/>
        </w:rPr>
        <w:tab/>
        <w:t>R E S U E L V E:</w:t>
      </w:r>
    </w:p>
    <w:p w:rsidR="002D3484" w:rsidRDefault="002D3484">
      <w:pPr>
        <w:spacing w:line="360" w:lineRule="auto"/>
        <w:jc w:val="center"/>
        <w:rPr>
          <w:rFonts w:ascii="Palatino Linotype" w:eastAsia="Palatino Linotype" w:hAnsi="Palatino Linotype" w:cs="Palatino Linotype"/>
          <w:b/>
        </w:rPr>
      </w:pPr>
    </w:p>
    <w:p w:rsidR="002D3484" w:rsidRDefault="001B014F">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fundadas las razones o motivos de inconformidad hechos valer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01079/INFOEM/IP/RR/2022</w:t>
      </w:r>
      <w:r>
        <w:rPr>
          <w:rFonts w:ascii="Palatino Linotype" w:eastAsia="Palatino Linotype" w:hAnsi="Palatino Linotype" w:cs="Palatino Linotype"/>
        </w:rPr>
        <w:t xml:space="preserve">; 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de esta resolución, se</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REVOCA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2D3484" w:rsidRDefault="001B014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y </w:t>
      </w:r>
      <w:r>
        <w:rPr>
          <w:rFonts w:ascii="Palatino Linotype" w:eastAsia="Palatino Linotype" w:hAnsi="Palatino Linotype" w:cs="Palatino Linotype"/>
          <w:b/>
        </w:rPr>
        <w:t xml:space="preserve">Quinto </w:t>
      </w:r>
      <w:r>
        <w:rPr>
          <w:rFonts w:ascii="Palatino Linotype" w:eastAsia="Palatino Linotype" w:hAnsi="Palatino Linotype" w:cs="Palatino Linotype"/>
        </w:rPr>
        <w:t xml:space="preserve">de esta resolución, haga entrega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vía SAIMEX</w:t>
      </w:r>
      <w:r>
        <w:rPr>
          <w:rFonts w:ascii="Palatino Linotype" w:eastAsia="Palatino Linotype" w:hAnsi="Palatino Linotype" w:cs="Palatino Linotype"/>
          <w:b/>
        </w:rPr>
        <w:t xml:space="preserve">, </w:t>
      </w:r>
      <w:r>
        <w:rPr>
          <w:rFonts w:ascii="Palatino Linotype" w:eastAsia="Palatino Linotype" w:hAnsi="Palatino Linotype" w:cs="Palatino Linotype"/>
        </w:rPr>
        <w:t>en versión pública de ser procedente, del documento o documentos en donde conste lo siguiente:</w:t>
      </w:r>
    </w:p>
    <w:p w:rsidR="002D3484" w:rsidRDefault="001B014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Vigente al veintiocho de enero del año dos mil veintidós: </w:t>
      </w:r>
    </w:p>
    <w:p w:rsidR="002D3484" w:rsidRDefault="001B014F">
      <w:pPr>
        <w:numPr>
          <w:ilvl w:val="0"/>
          <w:numId w:val="2"/>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Los números de cuentas bancarias, incluyendo de ser el caso la</w:t>
      </w:r>
      <w:r>
        <w:rPr>
          <w:rFonts w:ascii="Palatino Linotype" w:eastAsia="Palatino Linotype" w:hAnsi="Palatino Linotype" w:cs="Palatino Linotype"/>
        </w:rPr>
        <w:t xml:space="preserve"> de recursos</w:t>
      </w:r>
      <w:r>
        <w:rPr>
          <w:rFonts w:ascii="Palatino Linotype" w:eastAsia="Palatino Linotype" w:hAnsi="Palatino Linotype" w:cs="Palatino Linotype"/>
          <w:color w:val="000000"/>
        </w:rPr>
        <w:t xml:space="preserve"> federales, en el que se </w:t>
      </w:r>
      <w:r>
        <w:rPr>
          <w:rFonts w:ascii="Palatino Linotype" w:eastAsia="Palatino Linotype" w:hAnsi="Palatino Linotype" w:cs="Palatino Linotype"/>
        </w:rPr>
        <w:t>des</w:t>
      </w:r>
      <w:r>
        <w:rPr>
          <w:rFonts w:ascii="Palatino Linotype" w:eastAsia="Palatino Linotype" w:hAnsi="Palatino Linotype" w:cs="Palatino Linotype"/>
        </w:rPr>
        <w:t>prenda</w:t>
      </w:r>
      <w:r>
        <w:rPr>
          <w:rFonts w:ascii="Palatino Linotype" w:eastAsia="Palatino Linotype" w:hAnsi="Palatino Linotype" w:cs="Palatino Linotype"/>
          <w:color w:val="000000"/>
        </w:rPr>
        <w:t xml:space="preserve"> el monto y la institución bancaria a la que pertenecen. </w:t>
      </w:r>
    </w:p>
    <w:p w:rsidR="002D3484" w:rsidRDefault="001B014F">
      <w:p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De ser procedente, debiendo emitir el Acuerdo del Comité de Transparencia de conformidad a la Ley de Transparencia y Acceso a la Información Pública del Estado de México y Municipios, en el qu</w:t>
      </w:r>
      <w:r>
        <w:rPr>
          <w:rFonts w:ascii="Palatino Linotype" w:eastAsia="Palatino Linotype" w:hAnsi="Palatino Linotype" w:cs="Palatino Linotype"/>
          <w:i/>
        </w:rPr>
        <w:t xml:space="preserve">e funde y motive las razones sobre los datos que se supriman o eliminen de los soportes documentales objeto de las versiones públicas que se formulen y se pongan a disposición del </w:t>
      </w:r>
      <w:r>
        <w:rPr>
          <w:rFonts w:ascii="Palatino Linotype" w:eastAsia="Palatino Linotype" w:hAnsi="Palatino Linotype" w:cs="Palatino Linotype"/>
          <w:b/>
          <w:i/>
        </w:rPr>
        <w:t>RECURRENTE</w:t>
      </w:r>
      <w:r>
        <w:rPr>
          <w:rFonts w:ascii="Palatino Linotype" w:eastAsia="Palatino Linotype" w:hAnsi="Palatino Linotype" w:cs="Palatino Linotype"/>
          <w:i/>
        </w:rPr>
        <w:t>, mismo que igualmente hará de su conocimiento.</w:t>
      </w:r>
    </w:p>
    <w:p w:rsidR="002D3484" w:rsidRDefault="002D3484">
      <w:pPr>
        <w:spacing w:line="360" w:lineRule="auto"/>
        <w:jc w:val="both"/>
        <w:rPr>
          <w:rFonts w:ascii="Palatino Linotype" w:eastAsia="Palatino Linotype" w:hAnsi="Palatino Linotype" w:cs="Palatino Linotype"/>
        </w:rPr>
      </w:pPr>
    </w:p>
    <w:p w:rsidR="002D3484" w:rsidRDefault="001B014F">
      <w:pPr>
        <w:tabs>
          <w:tab w:val="left" w:pos="5019"/>
        </w:tabs>
        <w:spacing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lastRenderedPageBreak/>
        <w:t>Tercero. Notifíquese vía SAIMEX</w:t>
      </w:r>
      <w:r>
        <w:rPr>
          <w:rFonts w:ascii="Palatino Linotype" w:eastAsia="Palatino Linotype" w:hAnsi="Palatino Linotype" w:cs="Palatino Linotype"/>
        </w:rPr>
        <w:t xml:space="preserve">, al Responsable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highlight w:val="white"/>
        </w:rPr>
        <w:t xml:space="preserve">, para que conforme a los artículos 186 último párrafo y 189 párrafo segundo de la Ley de Transparencia y Acceso a la Información Pública del Estado de México </w:t>
      </w:r>
      <w:r>
        <w:rPr>
          <w:rFonts w:ascii="Palatino Linotype" w:eastAsia="Palatino Linotype" w:hAnsi="Palatino Linotype" w:cs="Palatino Linotype"/>
          <w:highlight w:val="white"/>
        </w:rPr>
        <w:t>y Municipios, dé cumplimiento a lo ordenado dentro del plazo de diez días hábiles, debiendo informar a este Instituto en un plazo de tres días hábiles siguientes sobre el cumplimiento dado a la presente resolución.</w:t>
      </w:r>
    </w:p>
    <w:p w:rsidR="002D3484" w:rsidRDefault="001B0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b/>
          <w:highlight w:val="white"/>
        </w:rPr>
        <w:t>Notifíquese vía SAIMEX</w:t>
      </w:r>
      <w:r>
        <w:rPr>
          <w:rFonts w:ascii="Palatino Linotype" w:eastAsia="Palatino Linotype" w:hAnsi="Palatino Linotype" w:cs="Palatino Linotype"/>
        </w:rPr>
        <w:t>, a la part</w:t>
      </w:r>
      <w:r>
        <w:rPr>
          <w:rFonts w:ascii="Palatino Linotype" w:eastAsia="Palatino Linotype" w:hAnsi="Palatino Linotype" w:cs="Palatino Linotype"/>
        </w:rPr>
        <w:t>e recurrente</w:t>
      </w:r>
      <w:r>
        <w:rPr>
          <w:rFonts w:ascii="Palatino Linotype" w:eastAsia="Palatino Linotype" w:hAnsi="Palatino Linotype" w:cs="Palatino Linotype"/>
          <w:b/>
        </w:rPr>
        <w:t xml:space="preserve"> </w:t>
      </w:r>
      <w:r>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w:t>
      </w:r>
      <w:r>
        <w:rPr>
          <w:rFonts w:ascii="Palatino Linotype" w:eastAsia="Palatino Linotype" w:hAnsi="Palatino Linotype" w:cs="Palatino Linotype"/>
        </w:rPr>
        <w:t>drá impugnarla vía Juicio de Amparo en los términos de las leyes aplicables.</w:t>
      </w:r>
    </w:p>
    <w:p w:rsidR="002D3484" w:rsidRDefault="001B014F">
      <w:pPr>
        <w:spacing w:after="240" w:line="360" w:lineRule="auto"/>
        <w:jc w:val="both"/>
        <w:rPr>
          <w:rFonts w:ascii="Palatino Linotype" w:eastAsia="Palatino Linotype" w:hAnsi="Palatino Linotype" w:cs="Palatino Linotype"/>
          <w:b/>
        </w:rPr>
      </w:pPr>
      <w:bookmarkStart w:id="1" w:name="_heading=h.30j0zll" w:colFirst="0" w:colLast="0"/>
      <w:bookmarkEnd w:id="1"/>
      <w:r>
        <w:rPr>
          <w:rFonts w:ascii="Palatino Linotype" w:eastAsia="Palatino Linotype" w:hAnsi="Palatino Linotype" w:cs="Palatino Linotype"/>
          <w:b/>
        </w:rPr>
        <w:t>Quinto.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w:t>
      </w:r>
      <w:r>
        <w:rPr>
          <w:rFonts w:ascii="Palatino Linotype" w:eastAsia="Palatino Linotype" w:hAnsi="Palatino Linotype" w:cs="Palatino Linotype"/>
          <w:b/>
        </w:rPr>
        <w:t>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2D3484" w:rsidRDefault="001B014F">
      <w:pPr>
        <w:spacing w:before="240" w:after="240" w:line="360" w:lineRule="auto"/>
        <w:jc w:val="both"/>
        <w:rPr>
          <w:rFonts w:ascii="Palatino Linotype" w:eastAsia="Palatino Linotype" w:hAnsi="Palatino Linotype" w:cs="Palatino Linotype"/>
        </w:rPr>
        <w:sectPr w:rsidR="002D3484">
          <w:headerReference w:type="default" r:id="rId26"/>
          <w:footerReference w:type="default" r:id="rId27"/>
          <w:headerReference w:type="first" r:id="rId28"/>
          <w:footerReference w:type="first" r:id="rId29"/>
          <w:pgSz w:w="12240" w:h="15840"/>
          <w:pgMar w:top="1417" w:right="1701" w:bottom="1417" w:left="1701" w:header="709" w:footer="709" w:gutter="0"/>
          <w:pgNumType w:start="1"/>
          <w:cols w:space="720"/>
          <w:titlePg/>
        </w:sectPr>
      </w:pPr>
      <w:bookmarkStart w:id="2" w:name="_heading=h.gjdgxs" w:colFirst="0" w:colLast="0"/>
      <w:bookmarkEnd w:id="2"/>
      <w:r>
        <w:rPr>
          <w:rFonts w:ascii="Palatino Linotype" w:eastAsia="Palatino Linotype" w:hAnsi="Palatino Linotype" w:cs="Palatino Linotype"/>
          <w:color w:val="222222"/>
          <w:highlight w:val="whit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w:t>
      </w:r>
      <w:r>
        <w:rPr>
          <w:rFonts w:ascii="Palatino Linotype" w:eastAsia="Palatino Linotype" w:hAnsi="Palatino Linotype" w:cs="Palatino Linotype"/>
          <w:color w:val="222222"/>
          <w:highlight w:val="white"/>
        </w:rPr>
        <w:t xml:space="preserve">MEJÍA AYALA, SHARON CRISTINA MORALES MARTÍNEZ, LUIS GUSTAVO PARRA NORIEGA Y GUADALUPE RAMÍREZ PEÑA; EN LA DÉCIMA QUINTA SESIÓN ORDINARIA CELEBRADA </w:t>
      </w:r>
      <w:r>
        <w:rPr>
          <w:rFonts w:ascii="Palatino Linotype" w:eastAsia="Palatino Linotype" w:hAnsi="Palatino Linotype" w:cs="Palatino Linotype"/>
          <w:color w:val="222222"/>
          <w:highlight w:val="white"/>
        </w:rPr>
        <w:lastRenderedPageBreak/>
        <w:t>EL VEINTISIETE</w:t>
      </w:r>
      <w:r>
        <w:rPr>
          <w:rFonts w:ascii="Palatino Linotype" w:eastAsia="Palatino Linotype" w:hAnsi="Palatino Linotype" w:cs="Palatino Linotype"/>
        </w:rPr>
        <w:t xml:space="preserve"> DE ABRIL DE DOS MIL VEINTIDÓS, ANTE </w:t>
      </w:r>
      <w:bookmarkStart w:id="3" w:name="_GoBack"/>
      <w:bookmarkEnd w:id="3"/>
      <w:r>
        <w:rPr>
          <w:rFonts w:ascii="Palatino Linotype" w:eastAsia="Palatino Linotype" w:hAnsi="Palatino Linotype" w:cs="Palatino Linotype"/>
        </w:rPr>
        <w:t xml:space="preserve">EL SECRETARIO </w:t>
      </w:r>
      <w:r>
        <w:rPr>
          <w:rFonts w:ascii="Palatino Linotype" w:eastAsia="Palatino Linotype" w:hAnsi="Palatino Linotype" w:cs="Palatino Linotype"/>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40998</wp:posOffset>
                </wp:positionH>
                <wp:positionV relativeFrom="paragraph">
                  <wp:posOffset>695738</wp:posOffset>
                </wp:positionV>
                <wp:extent cx="5422789" cy="6989197"/>
                <wp:effectExtent l="0" t="0" r="26035" b="21590"/>
                <wp:wrapNone/>
                <wp:docPr id="1" name="Conector recto 1"/>
                <wp:cNvGraphicFramePr/>
                <a:graphic xmlns:a="http://schemas.openxmlformats.org/drawingml/2006/main">
                  <a:graphicData uri="http://schemas.microsoft.com/office/word/2010/wordprocessingShape">
                    <wps:wsp>
                      <wps:cNvCnPr/>
                      <wps:spPr>
                        <a:xfrm>
                          <a:off x="0" y="0"/>
                          <a:ext cx="5422789" cy="69891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C9A63E" id="Conector recto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25pt,54.8pt" to="430.25pt,6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" strokecolor="black [3200]" strokeweight=".5pt">
                <v:stroke joinstyle="miter"/>
              </v:line>
            </w:pict>
          </mc:Fallback>
        </mc:AlternateContent>
      </w:r>
      <w:r>
        <w:rPr>
          <w:rFonts w:ascii="Palatino Linotype" w:eastAsia="Palatino Linotype" w:hAnsi="Palatino Linotype" w:cs="Palatino Linotype"/>
        </w:rPr>
        <w:t>TÉCNICO DEL PLENO ALEXIS TAPIA RAMÍREZ.</w:t>
      </w:r>
    </w:p>
    <w:p w:rsidR="002D3484" w:rsidRDefault="002D3484">
      <w:pPr>
        <w:spacing w:before="240" w:after="240" w:line="360" w:lineRule="auto"/>
        <w:jc w:val="both"/>
        <w:rPr>
          <w:rFonts w:ascii="Palatino Linotype" w:eastAsia="Palatino Linotype" w:hAnsi="Palatino Linotype" w:cs="Palatino Linotype"/>
        </w:rPr>
      </w:pPr>
    </w:p>
    <w:p w:rsidR="002D3484" w:rsidRDefault="002D3484">
      <w:pPr>
        <w:spacing w:before="240" w:after="240" w:line="360" w:lineRule="auto"/>
        <w:jc w:val="both"/>
        <w:rPr>
          <w:rFonts w:ascii="Palatino Linotype" w:eastAsia="Palatino Linotype" w:hAnsi="Palatino Linotype" w:cs="Palatino Linotype"/>
        </w:rPr>
      </w:pPr>
    </w:p>
    <w:p w:rsidR="002D3484" w:rsidRDefault="002D3484">
      <w:pPr>
        <w:spacing w:before="240" w:after="240" w:line="360" w:lineRule="auto"/>
        <w:jc w:val="both"/>
        <w:rPr>
          <w:rFonts w:ascii="Palatino Linotype" w:eastAsia="Palatino Linotype" w:hAnsi="Palatino Linotype" w:cs="Palatino Linotype"/>
        </w:rPr>
      </w:pPr>
    </w:p>
    <w:sectPr w:rsidR="002D3484">
      <w:headerReference w:type="first" r:id="rId30"/>
      <w:pgSz w:w="12240" w:h="15840"/>
      <w:pgMar w:top="1417" w:right="1701" w:bottom="1417"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1B014F">
      <w:r>
        <w:separator/>
      </w:r>
    </w:p>
  </w:endnote>
  <w:endnote w:type="continuationSeparator" w:id="0">
    <w:p w:rsidR="00000000" w:rsidRDefault="001B0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484" w:rsidRDefault="001B014F">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39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40</w:t>
    </w:r>
    <w:r>
      <w:rPr>
        <w:rFonts w:ascii="Palatino Linotype" w:eastAsia="Palatino Linotype" w:hAnsi="Palatino Linotype" w:cs="Palatino Linotype"/>
        <w:b/>
        <w:color w:val="000000"/>
        <w:sz w:val="20"/>
        <w:szCs w:val="20"/>
      </w:rPr>
      <w:fldChar w:fldCharType="end"/>
    </w:r>
  </w:p>
  <w:p w:rsidR="002D3484" w:rsidRDefault="002D3484">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484" w:rsidRDefault="001B014F">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40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40</w:t>
    </w:r>
    <w:r>
      <w:rPr>
        <w:rFonts w:ascii="Palatino Linotype" w:eastAsia="Palatino Linotype" w:hAnsi="Palatino Linotype" w:cs="Palatino Linotype"/>
        <w:b/>
        <w:color w:val="000000"/>
        <w:sz w:val="20"/>
        <w:szCs w:val="20"/>
      </w:rPr>
      <w:fldChar w:fldCharType="end"/>
    </w:r>
  </w:p>
  <w:p w:rsidR="002D3484" w:rsidRDefault="002D3484">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1B014F">
      <w:r>
        <w:separator/>
      </w:r>
    </w:p>
  </w:footnote>
  <w:footnote w:type="continuationSeparator" w:id="0">
    <w:p w:rsidR="00000000" w:rsidRDefault="001B014F">
      <w:r>
        <w:continuationSeparator/>
      </w:r>
    </w:p>
  </w:footnote>
  <w:footnote w:id="1">
    <w:p w:rsidR="002D3484" w:rsidRDefault="001B014F">
      <w:pPr>
        <w:tabs>
          <w:tab w:val="left" w:pos="709"/>
        </w:tabs>
        <w:ind w:right="567"/>
        <w:jc w:val="both"/>
        <w:rPr>
          <w:rFonts w:ascii="Palatino Linotype" w:eastAsia="Palatino Linotype" w:hAnsi="Palatino Linotype" w:cs="Palatino Linotype"/>
          <w:i/>
          <w:sz w:val="16"/>
          <w:szCs w:val="16"/>
        </w:rPr>
      </w:pPr>
      <w:r>
        <w:rPr>
          <w:vertAlign w:val="superscript"/>
        </w:rPr>
        <w:footnoteRef/>
      </w:r>
      <w:r>
        <w:t xml:space="preserve"> </w:t>
      </w:r>
      <w:r>
        <w:rPr>
          <w:rFonts w:ascii="Palatino Linotype" w:eastAsia="Palatino Linotype" w:hAnsi="Palatino Linotype" w:cs="Palatino Linotype"/>
          <w:i/>
          <w:sz w:val="16"/>
          <w:szCs w:val="16"/>
        </w:rPr>
        <w:t>“</w:t>
      </w:r>
      <w:r>
        <w:rPr>
          <w:rFonts w:ascii="Palatino Linotype" w:eastAsia="Palatino Linotype" w:hAnsi="Palatino Linotype" w:cs="Palatino Linotype"/>
          <w:b/>
          <w:i/>
          <w:sz w:val="16"/>
          <w:szCs w:val="16"/>
        </w:rPr>
        <w:t>Artículo 12.</w:t>
      </w:r>
      <w:r>
        <w:rPr>
          <w:rFonts w:ascii="Palatino Linotype" w:eastAsia="Palatino Linotype" w:hAnsi="Palatino Linotype" w:cs="Palatino Linotype"/>
          <w:i/>
          <w:sz w:val="16"/>
          <w:szCs w:val="16"/>
        </w:rPr>
        <w:t xml:space="preserve"> </w:t>
      </w:r>
      <w:r>
        <w:rPr>
          <w:rFonts w:ascii="Palatino Linotype" w:eastAsia="Palatino Linotype" w:hAnsi="Palatino Linotype" w:cs="Palatino Linotype"/>
          <w:i/>
          <w:sz w:val="16"/>
          <w:szCs w:val="16"/>
          <w:u w:val="single"/>
        </w:rPr>
        <w:t>Quienes generen, recopilen, administren, manejen, procesen, archiven o conserven información pública serán responsables de la misma en los términos de las disposiciones jurídicas aplicables.</w:t>
      </w:r>
    </w:p>
    <w:p w:rsidR="002D3484" w:rsidRDefault="001B014F">
      <w:pPr>
        <w:tabs>
          <w:tab w:val="left" w:pos="709"/>
        </w:tabs>
        <w:ind w:right="567"/>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w:t>
      </w:r>
      <w:r>
        <w:rPr>
          <w:rFonts w:ascii="Palatino Linotype" w:eastAsia="Palatino Linotype" w:hAnsi="Palatino Linotype" w:cs="Palatino Linotype"/>
          <w:i/>
          <w:sz w:val="16"/>
          <w:szCs w:val="16"/>
        </w:rPr>
        <w:t>conforme al interés del solicitante; no estarán obligados a generarla, resumirla, efectuar cálculos o practicar investigaciones.</w:t>
      </w:r>
    </w:p>
  </w:footnote>
  <w:footnote w:id="2">
    <w:p w:rsidR="002D3484" w:rsidRDefault="001B014F">
      <w:pPr>
        <w:tabs>
          <w:tab w:val="left" w:pos="709"/>
        </w:tabs>
        <w:ind w:right="567"/>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23. Son sujetos obligados a transparentar y permitir el acceso a su información y proteger los datos personales que </w:t>
      </w:r>
      <w:r>
        <w:rPr>
          <w:rFonts w:ascii="Palatino Linotype" w:eastAsia="Palatino Linotype" w:hAnsi="Palatino Linotype" w:cs="Palatino Linotype"/>
          <w:i/>
          <w:sz w:val="16"/>
          <w:szCs w:val="16"/>
        </w:rPr>
        <w:t>obren en su poder:</w:t>
      </w:r>
    </w:p>
    <w:p w:rsidR="002D3484" w:rsidRDefault="001B014F">
      <w:pPr>
        <w:tabs>
          <w:tab w:val="left" w:pos="709"/>
        </w:tabs>
        <w:ind w:right="567"/>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rsidR="002D3484" w:rsidRDefault="001B014F">
      <w:pPr>
        <w:tabs>
          <w:tab w:val="left" w:pos="709"/>
        </w:tabs>
        <w:ind w:right="567"/>
        <w:jc w:val="both"/>
      </w:pPr>
      <w:r>
        <w:rPr>
          <w:rFonts w:ascii="Palatino Linotype" w:eastAsia="Palatino Linotype" w:hAnsi="Palatino Linotype" w:cs="Palatino Linotype"/>
          <w:i/>
          <w:sz w:val="16"/>
          <w:szCs w:val="16"/>
        </w:rPr>
        <w:t xml:space="preserve">IV. Los ayuntamientos y las dependencias, organismos, órganos y entidades de la administración municipal;” </w:t>
      </w:r>
    </w:p>
  </w:footnote>
  <w:footnote w:id="3">
    <w:p w:rsidR="002D3484" w:rsidRDefault="001B014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color w:val="000000"/>
          <w:sz w:val="20"/>
          <w:szCs w:val="20"/>
        </w:rPr>
        <w:t xml:space="preserve"> </w:t>
      </w:r>
      <w:r>
        <w:rPr>
          <w:rFonts w:ascii="Palatino Linotype" w:eastAsia="Palatino Linotype" w:hAnsi="Palatino Linotype" w:cs="Palatino Linotype"/>
          <w:b/>
          <w:color w:val="000000"/>
          <w:sz w:val="16"/>
          <w:szCs w:val="16"/>
        </w:rPr>
        <w:t xml:space="preserve">Artículo 23. </w:t>
      </w:r>
      <w:r>
        <w:rPr>
          <w:rFonts w:ascii="Palatino Linotype" w:eastAsia="Palatino Linotype" w:hAnsi="Palatino Linotype" w:cs="Palatino Linotype"/>
          <w:color w:val="000000"/>
          <w:sz w:val="16"/>
          <w:szCs w:val="16"/>
        </w:rPr>
        <w:t>Son sujetos obligados a transparentar y permitir el acceso a su información y proteger los datos personales qu</w:t>
      </w:r>
      <w:r>
        <w:rPr>
          <w:rFonts w:ascii="Palatino Linotype" w:eastAsia="Palatino Linotype" w:hAnsi="Palatino Linotype" w:cs="Palatino Linotype"/>
          <w:color w:val="000000"/>
          <w:sz w:val="16"/>
          <w:szCs w:val="16"/>
        </w:rPr>
        <w:t>e obren en su poder:</w:t>
      </w:r>
    </w:p>
    <w:p w:rsidR="002D3484" w:rsidRDefault="001B014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IV. Los ayuntamientos y las dependencias, organismos, órganos y entidades de la administración municipal;</w:t>
      </w:r>
    </w:p>
    <w:p w:rsidR="002D3484" w:rsidRDefault="001B014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w:t>
      </w:r>
    </w:p>
    <w:p w:rsidR="002D3484" w:rsidRDefault="001B014F">
      <w:pPr>
        <w:pBdr>
          <w:top w:val="nil"/>
          <w:left w:val="nil"/>
          <w:bottom w:val="nil"/>
          <w:right w:val="nil"/>
          <w:between w:val="nil"/>
        </w:pBdr>
        <w:jc w:val="both"/>
        <w:rPr>
          <w:rFonts w:ascii="Palatino Linotype" w:eastAsia="Palatino Linotype" w:hAnsi="Palatino Linotype" w:cs="Palatino Linotype"/>
          <w:b/>
          <w:color w:val="000000"/>
          <w:sz w:val="16"/>
          <w:szCs w:val="16"/>
        </w:rPr>
      </w:pPr>
      <w:r>
        <w:rPr>
          <w:rFonts w:ascii="Palatino Linotype" w:eastAsia="Palatino Linotype" w:hAnsi="Palatino Linotype" w:cs="Palatino Linotype"/>
          <w:b/>
          <w:color w:val="000000"/>
          <w:sz w:val="16"/>
          <w:szCs w:val="16"/>
        </w:rPr>
        <w:t>Los sujetos obligados deberán hacer pública toda aquella información relativa a los montos y las personas a quienes entreguen, por cualquier motivo, recursos públicos, así como los informes que dichas personas les entreguen sobre el uso y destino de dichos</w:t>
      </w:r>
      <w:r>
        <w:rPr>
          <w:rFonts w:ascii="Palatino Linotype" w:eastAsia="Palatino Linotype" w:hAnsi="Palatino Linotype" w:cs="Palatino Linotype"/>
          <w:b/>
          <w:color w:val="000000"/>
          <w:sz w:val="16"/>
          <w:szCs w:val="16"/>
        </w:rPr>
        <w:t xml:space="preserve"> recursos.</w:t>
      </w:r>
    </w:p>
    <w:p w:rsidR="002D3484" w:rsidRDefault="001B014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Los servidores públicos deberán transparentar sus acciones así como garantizar y respetar el derecho de acceso a la información pública.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484" w:rsidRDefault="001B014F">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8240" behindDoc="1" locked="0" layoutInCell="1" hidden="0" allowOverlap="1">
          <wp:simplePos x="0" y="0"/>
          <wp:positionH relativeFrom="column">
            <wp:posOffset>-665858</wp:posOffset>
          </wp:positionH>
          <wp:positionV relativeFrom="paragraph">
            <wp:posOffset>-453614</wp:posOffset>
          </wp:positionV>
          <wp:extent cx="7635600" cy="9943200"/>
          <wp:effectExtent l="0" t="0" r="0" b="0"/>
          <wp:wrapNone/>
          <wp:docPr id="5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8"/>
      <w:tblW w:w="5670" w:type="dxa"/>
      <w:tblInd w:w="3119" w:type="dxa"/>
      <w:tblLayout w:type="fixed"/>
      <w:tblLook w:val="0400" w:firstRow="0" w:lastRow="0" w:firstColumn="0" w:lastColumn="0" w:noHBand="0" w:noVBand="1"/>
    </w:tblPr>
    <w:tblGrid>
      <w:gridCol w:w="2551"/>
      <w:gridCol w:w="3119"/>
    </w:tblGrid>
    <w:tr w:rsidR="002D3484">
      <w:tc>
        <w:tcPr>
          <w:tcW w:w="2551" w:type="dxa"/>
          <w:vAlign w:val="center"/>
        </w:tcPr>
        <w:p w:rsidR="002D3484" w:rsidRDefault="001B014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2D3484" w:rsidRDefault="001B014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01079/INFOEM/IP/RR/2022. </w:t>
          </w:r>
        </w:p>
      </w:tc>
    </w:tr>
    <w:tr w:rsidR="002D3484">
      <w:trPr>
        <w:trHeight w:val="228"/>
      </w:trPr>
      <w:tc>
        <w:tcPr>
          <w:tcW w:w="2551" w:type="dxa"/>
          <w:vAlign w:val="center"/>
        </w:tcPr>
        <w:p w:rsidR="002D3484" w:rsidRDefault="001B014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2D3484" w:rsidRDefault="001B014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r>
            <w:rPr>
              <w:rFonts w:ascii="Palatino Linotype" w:eastAsia="Palatino Linotype" w:hAnsi="Palatino Linotype" w:cs="Palatino Linotype"/>
              <w:b/>
              <w:sz w:val="22"/>
              <w:szCs w:val="22"/>
            </w:rPr>
            <w:br/>
            <w:t>Naucalpan de Juárez.</w:t>
          </w:r>
        </w:p>
      </w:tc>
    </w:tr>
    <w:tr w:rsidR="002D3484">
      <w:tc>
        <w:tcPr>
          <w:tcW w:w="2551" w:type="dxa"/>
          <w:vAlign w:val="center"/>
        </w:tcPr>
        <w:p w:rsidR="002D3484" w:rsidRDefault="001B014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2D3484" w:rsidRDefault="001B014F">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2D3484" w:rsidRDefault="002D3484">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484" w:rsidRDefault="001B014F">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9264" behindDoc="1" locked="0" layoutInCell="1" hidden="0" allowOverlap="1">
          <wp:simplePos x="0" y="0"/>
          <wp:positionH relativeFrom="column">
            <wp:posOffset>-680311</wp:posOffset>
          </wp:positionH>
          <wp:positionV relativeFrom="paragraph">
            <wp:posOffset>-168882</wp:posOffset>
          </wp:positionV>
          <wp:extent cx="7635600" cy="9943200"/>
          <wp:effectExtent l="0" t="0" r="0" b="0"/>
          <wp:wrapNone/>
          <wp:docPr id="6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7"/>
      <w:tblW w:w="5812" w:type="dxa"/>
      <w:tblInd w:w="3119" w:type="dxa"/>
      <w:tblLayout w:type="fixed"/>
      <w:tblLook w:val="0400" w:firstRow="0" w:lastRow="0" w:firstColumn="0" w:lastColumn="0" w:noHBand="0" w:noVBand="1"/>
    </w:tblPr>
    <w:tblGrid>
      <w:gridCol w:w="2551"/>
      <w:gridCol w:w="3261"/>
    </w:tblGrid>
    <w:tr w:rsidR="002D3484">
      <w:tc>
        <w:tcPr>
          <w:tcW w:w="2551" w:type="dxa"/>
          <w:vAlign w:val="center"/>
        </w:tcPr>
        <w:p w:rsidR="002D3484" w:rsidRDefault="001B014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1" w:type="dxa"/>
          <w:vAlign w:val="center"/>
        </w:tcPr>
        <w:p w:rsidR="002D3484" w:rsidRDefault="001B014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01079/INFOEM/IP/RR/2022. </w:t>
          </w:r>
        </w:p>
      </w:tc>
    </w:tr>
    <w:tr w:rsidR="002D3484">
      <w:tc>
        <w:tcPr>
          <w:tcW w:w="2551" w:type="dxa"/>
          <w:vAlign w:val="center"/>
        </w:tcPr>
        <w:p w:rsidR="002D3484" w:rsidRDefault="001B014F">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261" w:type="dxa"/>
          <w:vAlign w:val="center"/>
        </w:tcPr>
        <w:p w:rsidR="002D3484" w:rsidRDefault="002D3484">
          <w:pPr>
            <w:jc w:val="both"/>
            <w:rPr>
              <w:rFonts w:ascii="Palatino Linotype" w:eastAsia="Palatino Linotype" w:hAnsi="Palatino Linotype" w:cs="Palatino Linotype"/>
              <w:b/>
              <w:sz w:val="22"/>
              <w:szCs w:val="22"/>
            </w:rPr>
          </w:pPr>
        </w:p>
      </w:tc>
    </w:tr>
    <w:tr w:rsidR="002D3484">
      <w:trPr>
        <w:trHeight w:val="228"/>
      </w:trPr>
      <w:tc>
        <w:tcPr>
          <w:tcW w:w="2551" w:type="dxa"/>
          <w:vAlign w:val="center"/>
        </w:tcPr>
        <w:p w:rsidR="002D3484" w:rsidRDefault="001B014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1" w:type="dxa"/>
          <w:vAlign w:val="center"/>
        </w:tcPr>
        <w:p w:rsidR="002D3484" w:rsidRDefault="001B014F">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Naucalpan de Juárez.</w:t>
          </w:r>
        </w:p>
      </w:tc>
    </w:tr>
    <w:tr w:rsidR="002D3484">
      <w:tc>
        <w:tcPr>
          <w:tcW w:w="2551" w:type="dxa"/>
          <w:vAlign w:val="center"/>
        </w:tcPr>
        <w:p w:rsidR="002D3484" w:rsidRDefault="001B014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1" w:type="dxa"/>
          <w:vAlign w:val="center"/>
        </w:tcPr>
        <w:p w:rsidR="002D3484" w:rsidRDefault="001B014F">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2D3484" w:rsidRDefault="002D3484">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484" w:rsidRDefault="002D3484">
    <w:pPr>
      <w:pBdr>
        <w:top w:val="nil"/>
        <w:left w:val="nil"/>
        <w:bottom w:val="nil"/>
        <w:right w:val="nil"/>
        <w:between w:val="nil"/>
      </w:pBdr>
      <w:tabs>
        <w:tab w:val="center" w:pos="4419"/>
        <w:tab w:val="right" w:pos="8838"/>
      </w:tabs>
      <w:jc w:val="both"/>
      <w:rPr>
        <w:color w:val="000000"/>
      </w:rPr>
    </w:pPr>
  </w:p>
  <w:p w:rsidR="002D3484" w:rsidRDefault="002D3484">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8C35D0"/>
    <w:multiLevelType w:val="multilevel"/>
    <w:tmpl w:val="50A08BD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27F3CDE"/>
    <w:multiLevelType w:val="multilevel"/>
    <w:tmpl w:val="BC1029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484"/>
    <w:rsid w:val="001B014F"/>
    <w:rsid w:val="002D34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A44BDE-BC50-469A-8686-EF7BA6CEB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Textoindependiente">
    <w:name w:val="Body Text"/>
    <w:basedOn w:val="Normal"/>
    <w:link w:val="TextoindependienteCar"/>
    <w:uiPriority w:val="99"/>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99"/>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114A6D"/>
    <w:rPr>
      <w:vertAlign w:val="superscript"/>
    </w:rPr>
  </w:style>
  <w:style w:type="paragraph" w:customStyle="1" w:styleId="Default">
    <w:name w:val="Default"/>
    <w:rsid w:val="00DD33AE"/>
    <w:pPr>
      <w:autoSpaceDE w:val="0"/>
      <w:autoSpaceDN w:val="0"/>
      <w:adjustRightInd w:val="0"/>
    </w:pPr>
    <w:rPr>
      <w:rFonts w:ascii="Arial" w:hAnsi="Arial" w:cs="Arial"/>
      <w:color w:val="000000"/>
    </w:rPr>
  </w:style>
  <w:style w:type="paragraph" w:styleId="NormalWeb">
    <w:name w:val="Normal (Web)"/>
    <w:basedOn w:val="Normal"/>
    <w:uiPriority w:val="99"/>
    <w:unhideWhenUsed/>
    <w:rsid w:val="00DD33AE"/>
    <w:pPr>
      <w:spacing w:before="100" w:beforeAutospacing="1" w:after="100" w:afterAutospacing="1"/>
    </w:pPr>
    <w:rPr>
      <w:lang w:val="es-MX" w:eastAsia="es-MX"/>
    </w:rPr>
  </w:style>
  <w:style w:type="paragraph" w:customStyle="1" w:styleId="Standard">
    <w:name w:val="Standard"/>
    <w:rsid w:val="00DD33AE"/>
    <w:pPr>
      <w:widowControl w:val="0"/>
      <w:suppressAutoHyphens/>
      <w:autoSpaceDN w:val="0"/>
      <w:textAlignment w:val="baseline"/>
    </w:pPr>
    <w:rPr>
      <w:rFonts w:ascii="Liberation Serif" w:eastAsia="DejaVu Sans" w:hAnsi="Liberation Serif" w:cs="Lohit Hindi"/>
      <w:kern w:val="3"/>
      <w:lang w:eastAsia="zh-CN" w:bidi="hi-IN"/>
    </w:rPr>
  </w:style>
  <w:style w:type="paragraph" w:customStyle="1" w:styleId="j">
    <w:name w:val="j"/>
    <w:basedOn w:val="Normal"/>
    <w:rsid w:val="00DD33AE"/>
    <w:pPr>
      <w:spacing w:before="100" w:beforeAutospacing="1" w:after="100" w:afterAutospacing="1"/>
    </w:pPr>
    <w:rPr>
      <w:lang w:val="es-MX" w:eastAsia="es-MX"/>
    </w:rPr>
  </w:style>
  <w:style w:type="character" w:customStyle="1" w:styleId="nacep">
    <w:name w:val="n_acep"/>
    <w:basedOn w:val="Fuentedeprrafopredeter"/>
    <w:rsid w:val="00DD33AE"/>
  </w:style>
  <w:style w:type="character" w:customStyle="1" w:styleId="m-5890655947528156101gmail-msofootnotereference">
    <w:name w:val="m_-5890655947528156101gmail-msofootnotereference"/>
    <w:basedOn w:val="Fuentedeprrafopredeter"/>
    <w:rsid w:val="00DD33AE"/>
  </w:style>
  <w:style w:type="paragraph" w:customStyle="1" w:styleId="m-5890655947528156101gmail-msofootnotetext">
    <w:name w:val="m_-5890655947528156101gmail-msofootnotetext"/>
    <w:basedOn w:val="Normal"/>
    <w:rsid w:val="00DD33AE"/>
    <w:pPr>
      <w:spacing w:before="100" w:beforeAutospacing="1" w:after="100" w:afterAutospacing="1"/>
    </w:pPr>
    <w:rPr>
      <w:lang w:val="es-MX" w:eastAsia="es-MX"/>
    </w:rPr>
  </w:style>
  <w:style w:type="character" w:customStyle="1" w:styleId="apple-style-span">
    <w:name w:val="apple-style-span"/>
    <w:rsid w:val="00DD33AE"/>
  </w:style>
  <w:style w:type="character" w:styleId="Hipervnculovisitado">
    <w:name w:val="FollowedHyperlink"/>
    <w:basedOn w:val="Fuentedeprrafopredeter"/>
    <w:uiPriority w:val="99"/>
    <w:semiHidden/>
    <w:unhideWhenUsed/>
    <w:rsid w:val="001D67FB"/>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paragraph" w:customStyle="1" w:styleId="Listavistosa-nfasis11">
    <w:name w:val="Lista vistosa - Énfasis 11"/>
    <w:basedOn w:val="Normal"/>
    <w:link w:val="Listavistosa-nfasis1Car"/>
    <w:uiPriority w:val="34"/>
    <w:qFormat/>
    <w:rsid w:val="001B10D5"/>
    <w:pPr>
      <w:ind w:left="708"/>
    </w:pPr>
  </w:style>
  <w:style w:type="character" w:customStyle="1" w:styleId="Listavistosa-nfasis1Car">
    <w:name w:val="Lista vistosa - Énfasis 1 Car"/>
    <w:link w:val="Listavistosa-nfasis11"/>
    <w:uiPriority w:val="34"/>
    <w:locked/>
    <w:rsid w:val="001B10D5"/>
    <w:rPr>
      <w:lang w:eastAsia="es-ES"/>
    </w:rPr>
  </w:style>
  <w:style w:type="paragraph" w:customStyle="1" w:styleId="Texto">
    <w:name w:val="Texto"/>
    <w:basedOn w:val="Normal"/>
    <w:link w:val="TextoCar"/>
    <w:rsid w:val="001B10D5"/>
    <w:pPr>
      <w:spacing w:after="101" w:line="216" w:lineRule="exact"/>
      <w:ind w:firstLine="288"/>
      <w:jc w:val="both"/>
    </w:pPr>
    <w:rPr>
      <w:rFonts w:ascii="Arial" w:hAnsi="Arial" w:cs="Arial"/>
      <w:sz w:val="18"/>
      <w:szCs w:val="18"/>
      <w:lang w:val="es-MX"/>
    </w:rPr>
  </w:style>
  <w:style w:type="paragraph" w:styleId="Textoindependiente2">
    <w:name w:val="Body Text 2"/>
    <w:basedOn w:val="Normal"/>
    <w:link w:val="Textoindependiente2Car"/>
    <w:uiPriority w:val="99"/>
    <w:unhideWhenUsed/>
    <w:rsid w:val="001B10D5"/>
    <w:pPr>
      <w:spacing w:after="120" w:line="480" w:lineRule="auto"/>
    </w:pPr>
  </w:style>
  <w:style w:type="character" w:customStyle="1" w:styleId="Textoindependiente2Car">
    <w:name w:val="Texto independiente 2 Car"/>
    <w:basedOn w:val="Fuentedeprrafopredeter"/>
    <w:link w:val="Textoindependiente2"/>
    <w:uiPriority w:val="99"/>
    <w:rsid w:val="001B10D5"/>
    <w:rPr>
      <w:lang w:eastAsia="es-ES"/>
    </w:rPr>
  </w:style>
  <w:style w:type="paragraph" w:styleId="Textosinformato">
    <w:name w:val="Plain Text"/>
    <w:basedOn w:val="Normal"/>
    <w:link w:val="TextosinformatoCar"/>
    <w:rsid w:val="001B10D5"/>
    <w:rPr>
      <w:rFonts w:ascii="Courier New" w:hAnsi="Courier New"/>
      <w:sz w:val="20"/>
      <w:szCs w:val="20"/>
    </w:rPr>
  </w:style>
  <w:style w:type="character" w:customStyle="1" w:styleId="TextosinformatoCar">
    <w:name w:val="Texto sin formato Car"/>
    <w:basedOn w:val="Fuentedeprrafopredeter"/>
    <w:link w:val="Textosinformato"/>
    <w:rsid w:val="001B10D5"/>
    <w:rPr>
      <w:rFonts w:ascii="Courier New" w:hAnsi="Courier New"/>
      <w:sz w:val="20"/>
      <w:szCs w:val="20"/>
      <w:lang w:eastAsia="es-ES"/>
    </w:rPr>
  </w:style>
  <w:style w:type="character" w:customStyle="1" w:styleId="negritas1">
    <w:name w:val="negritas1"/>
    <w:rsid w:val="001B10D5"/>
    <w:rPr>
      <w:rFonts w:ascii="Arial" w:hAnsi="Arial" w:cs="Arial" w:hint="default"/>
      <w:b/>
      <w:bCs/>
      <w:sz w:val="18"/>
      <w:szCs w:val="18"/>
    </w:rPr>
  </w:style>
  <w:style w:type="paragraph" w:customStyle="1" w:styleId="Pa2">
    <w:name w:val="Pa2"/>
    <w:basedOn w:val="Normal"/>
    <w:next w:val="Normal"/>
    <w:uiPriority w:val="99"/>
    <w:rsid w:val="001B10D5"/>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1B10D5"/>
    <w:pPr>
      <w:spacing w:before="100" w:beforeAutospacing="1" w:after="100" w:afterAutospacing="1"/>
    </w:pPr>
    <w:rPr>
      <w:lang w:val="es-MX" w:eastAsia="es-MX"/>
    </w:rPr>
  </w:style>
  <w:style w:type="character" w:customStyle="1" w:styleId="d">
    <w:name w:val="d"/>
    <w:basedOn w:val="Fuentedeprrafopredeter"/>
    <w:rsid w:val="001B10D5"/>
  </w:style>
  <w:style w:type="character" w:customStyle="1" w:styleId="b">
    <w:name w:val="b"/>
    <w:basedOn w:val="Fuentedeprrafopredeter"/>
    <w:rsid w:val="001B10D5"/>
  </w:style>
  <w:style w:type="character" w:customStyle="1" w:styleId="k">
    <w:name w:val="k"/>
    <w:basedOn w:val="Fuentedeprrafopredeter"/>
    <w:rsid w:val="001B10D5"/>
  </w:style>
  <w:style w:type="character" w:customStyle="1" w:styleId="h">
    <w:name w:val="h"/>
    <w:basedOn w:val="Fuentedeprrafopredeter"/>
    <w:rsid w:val="001B10D5"/>
  </w:style>
  <w:style w:type="character" w:styleId="CitaHTML">
    <w:name w:val="HTML Cite"/>
    <w:uiPriority w:val="99"/>
    <w:semiHidden/>
    <w:unhideWhenUsed/>
    <w:rsid w:val="001B10D5"/>
    <w:rPr>
      <w:i/>
      <w:iCs/>
    </w:rPr>
  </w:style>
  <w:style w:type="character" w:customStyle="1" w:styleId="medium">
    <w:name w:val="medium"/>
    <w:basedOn w:val="Fuentedeprrafopredeter"/>
    <w:rsid w:val="001B10D5"/>
  </w:style>
  <w:style w:type="character" w:customStyle="1" w:styleId="numeroconsecutivo">
    <w:name w:val="numeroconsecutivo"/>
    <w:basedOn w:val="Fuentedeprrafopredeter"/>
    <w:rsid w:val="001B10D5"/>
  </w:style>
  <w:style w:type="character" w:customStyle="1" w:styleId="titulorubrolgt">
    <w:name w:val="titulorubrolgt"/>
    <w:basedOn w:val="Fuentedeprrafopredeter"/>
    <w:rsid w:val="001B10D5"/>
  </w:style>
  <w:style w:type="character" w:customStyle="1" w:styleId="ctr">
    <w:name w:val="ctr"/>
    <w:basedOn w:val="Fuentedeprrafopredeter"/>
    <w:rsid w:val="001B10D5"/>
  </w:style>
  <w:style w:type="paragraph" w:styleId="Textonotaalfinal">
    <w:name w:val="endnote text"/>
    <w:basedOn w:val="Normal"/>
    <w:link w:val="TextonotaalfinalCar"/>
    <w:uiPriority w:val="99"/>
    <w:semiHidden/>
    <w:unhideWhenUsed/>
    <w:rsid w:val="001B10D5"/>
    <w:rPr>
      <w:sz w:val="20"/>
      <w:szCs w:val="20"/>
    </w:rPr>
  </w:style>
  <w:style w:type="character" w:customStyle="1" w:styleId="TextonotaalfinalCar">
    <w:name w:val="Texto nota al final Car"/>
    <w:basedOn w:val="Fuentedeprrafopredeter"/>
    <w:link w:val="Textonotaalfinal"/>
    <w:uiPriority w:val="99"/>
    <w:semiHidden/>
    <w:rsid w:val="001B10D5"/>
    <w:rPr>
      <w:sz w:val="20"/>
      <w:szCs w:val="20"/>
      <w:lang w:eastAsia="es-ES"/>
    </w:rPr>
  </w:style>
  <w:style w:type="character" w:styleId="Refdenotaalfinal">
    <w:name w:val="endnote reference"/>
    <w:basedOn w:val="Fuentedeprrafopredeter"/>
    <w:uiPriority w:val="99"/>
    <w:semiHidden/>
    <w:unhideWhenUsed/>
    <w:rsid w:val="001B10D5"/>
    <w:rPr>
      <w:vertAlign w:val="superscript"/>
    </w:rPr>
  </w:style>
  <w:style w:type="character" w:customStyle="1" w:styleId="A10">
    <w:name w:val="A1"/>
    <w:uiPriority w:val="99"/>
    <w:rsid w:val="001B10D5"/>
    <w:rPr>
      <w:rFonts w:ascii="Myriad Pro" w:hAnsi="Myriad Pro" w:cs="Myriad Pro" w:hint="default"/>
      <w:color w:val="000000"/>
      <w:sz w:val="22"/>
      <w:szCs w:val="22"/>
    </w:rPr>
  </w:style>
  <w:style w:type="paragraph" w:customStyle="1" w:styleId="Pa9">
    <w:name w:val="Pa9"/>
    <w:basedOn w:val="Normal"/>
    <w:next w:val="Normal"/>
    <w:uiPriority w:val="99"/>
    <w:rsid w:val="001B10D5"/>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1B10D5"/>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1B10D5"/>
    <w:pPr>
      <w:spacing w:before="100" w:beforeAutospacing="1" w:after="100" w:afterAutospacing="1"/>
    </w:pPr>
    <w:rPr>
      <w:lang w:val="es-MX" w:eastAsia="es-MX"/>
    </w:rPr>
  </w:style>
  <w:style w:type="character" w:customStyle="1" w:styleId="nombrefraccder">
    <w:name w:val="nombrefraccder"/>
    <w:basedOn w:val="Fuentedeprrafopredeter"/>
    <w:rsid w:val="001B10D5"/>
  </w:style>
  <w:style w:type="character" w:customStyle="1" w:styleId="numberfraccder">
    <w:name w:val="numberfraccder"/>
    <w:basedOn w:val="Fuentedeprrafopredeter"/>
    <w:rsid w:val="001B10D5"/>
  </w:style>
  <w:style w:type="character" w:customStyle="1" w:styleId="TextoCar">
    <w:name w:val="Texto Car"/>
    <w:link w:val="Texto"/>
    <w:locked/>
    <w:rsid w:val="001B10D5"/>
    <w:rPr>
      <w:rFonts w:ascii="Arial" w:hAnsi="Arial" w:cs="Arial"/>
      <w:sz w:val="18"/>
      <w:szCs w:val="18"/>
      <w:lang w:val="es-MX" w:eastAsia="es-ES"/>
    </w:rPr>
  </w:style>
  <w:style w:type="character" w:styleId="nfasis">
    <w:name w:val="Emphasis"/>
    <w:basedOn w:val="Fuentedeprrafopredeter"/>
    <w:uiPriority w:val="20"/>
    <w:qFormat/>
    <w:rsid w:val="001B10D5"/>
    <w:rPr>
      <w:i/>
      <w:iCs/>
    </w:rPr>
  </w:style>
  <w:style w:type="character" w:customStyle="1" w:styleId="m5127500252372250437gmail-normaltextrun">
    <w:name w:val="m_5127500252372250437gmail-normaltextrun"/>
    <w:basedOn w:val="Fuentedeprrafopredeter"/>
    <w:rsid w:val="001B10D5"/>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64598.page" TargetMode="External"/><Relationship Id="rId13" Type="http://schemas.openxmlformats.org/officeDocument/2006/relationships/hyperlink" Target="https://www.saimex.org.mx/saimex/solicitud/downloadAttach/1357774.page" TargetMode="External"/><Relationship Id="rId18" Type="http://schemas.openxmlformats.org/officeDocument/2006/relationships/image" Target="media/image3.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saimex.org.mx/saimex/solicitud/downloadAttach/1357773.page" TargetMode="External"/><Relationship Id="rId17" Type="http://schemas.openxmlformats.org/officeDocument/2006/relationships/image" Target="media/image2.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5.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364598.page" TargetMode="Externa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png"/><Relationship Id="rId28" Type="http://schemas.openxmlformats.org/officeDocument/2006/relationships/header" Target="header2.xml"/><Relationship Id="rId10" Type="http://schemas.openxmlformats.org/officeDocument/2006/relationships/hyperlink" Target="https://www.saimex.org.mx/saimex/solicitud/downloadAttach/1357774.page" TargetMode="Externa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imex.org.mx/saimex/solicitud/downloadAttach/1357773.page" TargetMode="Externa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i3ICA65Q4OMhZbXla7nvyB36vQ==">AMUW2mVg5OJ0jBpB33UgQpKTzkjvnEz31qj1QxXR5y4N+WlNFuwDjpQYjdDccziXfrYB5VIdrb5XvTV1zCcJwVsnJlvn+k6q84SQ76tbtKecfosA7ei921DqzMUhnRDbDANtudWqmRlhXfeuDxbLgHJ1SQMy7vDzBw==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9886</Words>
  <Characters>54374</Characters>
  <Application>Microsoft Office Word</Application>
  <DocSecurity>0</DocSecurity>
  <Lines>453</Lines>
  <Paragraphs>128</Paragraphs>
  <ScaleCrop>false</ScaleCrop>
  <Company>HP Inc.</Company>
  <LinksUpToDate>false</LinksUpToDate>
  <CharactersWithSpaces>64132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Jhancarlo</cp:lastModifiedBy>
  <cp:revision>2</cp:revision>
  <dcterms:created xsi:type="dcterms:W3CDTF">2022-04-21T02:57:00Z</dcterms:created>
  <dcterms:modified xsi:type="dcterms:W3CDTF">2022-04-29T15:42:00Z</dcterms:modified>
</cp:coreProperties>
</file>