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568A7892"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F06B1D">
        <w:rPr>
          <w:rFonts w:ascii="Palatino Linotype" w:eastAsia="Times New Roman" w:hAnsi="Palatino Linotype" w:cs="Arial"/>
          <w:color w:val="000000"/>
          <w:sz w:val="24"/>
          <w:szCs w:val="24"/>
          <w:lang w:eastAsia="es-MX"/>
        </w:rPr>
        <w:t xml:space="preserve">siete </w:t>
      </w:r>
      <w:r>
        <w:rPr>
          <w:rFonts w:ascii="Palatino Linotype" w:eastAsia="Times New Roman" w:hAnsi="Palatino Linotype" w:cs="Arial"/>
          <w:color w:val="000000"/>
          <w:sz w:val="24"/>
          <w:szCs w:val="24"/>
          <w:lang w:eastAsia="es-MX"/>
        </w:rPr>
        <w:t>de</w:t>
      </w:r>
      <w:r w:rsidR="005C4F1D">
        <w:rPr>
          <w:rFonts w:ascii="Palatino Linotype" w:eastAsia="Times New Roman" w:hAnsi="Palatino Linotype" w:cs="Arial"/>
          <w:color w:val="000000"/>
          <w:sz w:val="24"/>
          <w:szCs w:val="24"/>
          <w:lang w:eastAsia="es-MX"/>
        </w:rPr>
        <w:t xml:space="preserve"> </w:t>
      </w:r>
      <w:r w:rsidR="00F06B1D">
        <w:rPr>
          <w:rFonts w:ascii="Palatino Linotype" w:eastAsia="Times New Roman" w:hAnsi="Palatino Linotype" w:cs="Arial"/>
          <w:color w:val="000000"/>
          <w:sz w:val="24"/>
          <w:szCs w:val="24"/>
          <w:lang w:eastAsia="es-MX"/>
        </w:rPr>
        <w:t xml:space="preserve">septiembre </w:t>
      </w:r>
      <w:r>
        <w:rPr>
          <w:rFonts w:ascii="Palatino Linotype" w:eastAsia="Times New Roman" w:hAnsi="Palatino Linotype" w:cs="Arial"/>
          <w:color w:val="000000"/>
          <w:sz w:val="24"/>
          <w:szCs w:val="24"/>
          <w:lang w:eastAsia="es-MX"/>
        </w:rPr>
        <w:t>de dos mil veintidós</w:t>
      </w:r>
      <w:r w:rsidRPr="0010165E">
        <w:rPr>
          <w:rFonts w:ascii="Palatino Linotype" w:eastAsia="Times New Roman" w:hAnsi="Palatino Linotype" w:cs="Arial"/>
          <w:color w:val="000000"/>
          <w:sz w:val="24"/>
          <w:szCs w:val="24"/>
          <w:lang w:eastAsia="es-MX"/>
        </w:rPr>
        <w:t>.</w:t>
      </w:r>
    </w:p>
    <w:p w14:paraId="42FB219E" w14:textId="7777777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B2FB0F" w14:textId="62351107" w:rsidR="00E107EB" w:rsidRPr="0010165E" w:rsidRDefault="00E107EB" w:rsidP="00E107EB">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Pr>
          <w:rFonts w:ascii="Palatino Linotype" w:hAnsi="Palatino Linotype" w:cs="Arial"/>
          <w:sz w:val="24"/>
          <w:szCs w:val="24"/>
        </w:rPr>
        <w:t xml:space="preserve"> el</w:t>
      </w:r>
      <w:r w:rsidRPr="0010165E">
        <w:rPr>
          <w:rFonts w:ascii="Palatino Linotype" w:hAnsi="Palatino Linotype" w:cs="Arial"/>
          <w:sz w:val="24"/>
          <w:szCs w:val="24"/>
        </w:rPr>
        <w:t xml:space="preserve"> expediente electrónico formado con motivo de</w:t>
      </w:r>
      <w:r>
        <w:rPr>
          <w:rFonts w:ascii="Palatino Linotype" w:hAnsi="Palatino Linotype" w:cs="Arial"/>
          <w:sz w:val="24"/>
          <w:szCs w:val="24"/>
        </w:rPr>
        <w:t xml:space="preserve">l </w:t>
      </w:r>
      <w:r w:rsidRPr="0010165E">
        <w:rPr>
          <w:rFonts w:ascii="Palatino Linotype" w:hAnsi="Palatino Linotype" w:cs="Arial"/>
          <w:sz w:val="24"/>
          <w:szCs w:val="24"/>
        </w:rPr>
        <w:t xml:space="preserve">recurso de revisión con número </w:t>
      </w:r>
      <w:bookmarkStart w:id="0" w:name="_Hlk107776858"/>
      <w:r w:rsidR="0013539D">
        <w:rPr>
          <w:rFonts w:ascii="Palatino Linotype" w:hAnsi="Palatino Linotype" w:cs="Arial"/>
          <w:b/>
          <w:bCs/>
          <w:sz w:val="24"/>
          <w:szCs w:val="24"/>
          <w:lang w:eastAsia="es-MX"/>
        </w:rPr>
        <w:t>1</w:t>
      </w:r>
      <w:r w:rsidR="00D03980">
        <w:rPr>
          <w:rFonts w:ascii="Palatino Linotype" w:hAnsi="Palatino Linotype" w:cs="Arial"/>
          <w:b/>
          <w:bCs/>
          <w:sz w:val="24"/>
          <w:szCs w:val="24"/>
          <w:lang w:eastAsia="es-MX"/>
        </w:rPr>
        <w:t>2500</w:t>
      </w:r>
      <w:r>
        <w:rPr>
          <w:rFonts w:ascii="Palatino Linotype" w:hAnsi="Palatino Linotype" w:cs="Arial"/>
          <w:b/>
          <w:bCs/>
          <w:sz w:val="24"/>
          <w:szCs w:val="24"/>
          <w:lang w:eastAsia="es-MX"/>
        </w:rPr>
        <w:t>/INFOEM/IP/RR/2022</w:t>
      </w:r>
      <w:bookmarkEnd w:id="0"/>
      <w:r>
        <w:rPr>
          <w:rFonts w:ascii="Palatino Linotype" w:hAnsi="Palatino Linotype" w:cs="Arial"/>
          <w:sz w:val="24"/>
          <w:szCs w:val="24"/>
        </w:rPr>
        <w:t>,</w:t>
      </w:r>
      <w:r w:rsidRPr="00667998">
        <w:rPr>
          <w:rFonts w:ascii="Palatino Linotype" w:hAnsi="Palatino Linotype" w:cs="Arial"/>
          <w:sz w:val="24"/>
          <w:szCs w:val="24"/>
        </w:rPr>
        <w:t xml:space="preserve"> interpuesto por</w:t>
      </w:r>
      <w:r>
        <w:rPr>
          <w:rFonts w:ascii="Palatino Linotype" w:hAnsi="Palatino Linotype" w:cs="Arial"/>
          <w:sz w:val="24"/>
          <w:szCs w:val="24"/>
        </w:rPr>
        <w:t xml:space="preserve"> </w:t>
      </w:r>
      <w:r w:rsidR="00F06B1D">
        <w:rPr>
          <w:rFonts w:ascii="Palatino Linotype" w:hAnsi="Palatino Linotype" w:cs="Arial"/>
          <w:sz w:val="24"/>
          <w:szCs w:val="24"/>
        </w:rPr>
        <w:t>la</w:t>
      </w:r>
      <w:r>
        <w:rPr>
          <w:rFonts w:ascii="Palatino Linotype" w:hAnsi="Palatino Linotype" w:cs="Arial"/>
          <w:sz w:val="24"/>
          <w:szCs w:val="24"/>
        </w:rPr>
        <w:t xml:space="preserve"> </w:t>
      </w:r>
      <w:r w:rsidR="00B3739A">
        <w:rPr>
          <w:rFonts w:ascii="Palatino Linotype" w:hAnsi="Palatino Linotype" w:cs="Arial"/>
          <w:b/>
          <w:bCs/>
          <w:sz w:val="24"/>
          <w:szCs w:val="24"/>
        </w:rPr>
        <w:t>XXXXXXX</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F06B1D">
        <w:rPr>
          <w:rFonts w:ascii="Palatino Linotype" w:hAnsi="Palatino Linotype" w:cs="Arial"/>
          <w:b/>
          <w:bCs/>
          <w:sz w:val="24"/>
          <w:szCs w:val="24"/>
        </w:rPr>
        <w:t>La</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del </w:t>
      </w:r>
      <w:r w:rsidRPr="00DB52AF">
        <w:rPr>
          <w:rFonts w:ascii="Palatino Linotype" w:hAnsi="Palatino Linotype" w:cs="Arial"/>
          <w:b/>
          <w:sz w:val="24"/>
          <w:szCs w:val="24"/>
        </w:rPr>
        <w:t xml:space="preserve">Ayuntamiento de </w:t>
      </w:r>
      <w:r w:rsidR="00D03980">
        <w:rPr>
          <w:rFonts w:ascii="Palatino Linotype" w:hAnsi="Palatino Linotype" w:cs="Arial"/>
          <w:b/>
          <w:sz w:val="24"/>
          <w:szCs w:val="24"/>
        </w:rPr>
        <w:t>Metepec</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585669DB" w14:textId="77777777" w:rsidR="00E107EB" w:rsidRPr="0010165E" w:rsidRDefault="00E107EB" w:rsidP="00E107EB">
      <w:pPr>
        <w:tabs>
          <w:tab w:val="left" w:pos="6960"/>
        </w:tabs>
        <w:spacing w:after="0" w:line="360" w:lineRule="auto"/>
        <w:jc w:val="both"/>
        <w:rPr>
          <w:rFonts w:ascii="Palatino Linotype" w:hAnsi="Palatino Linotype" w:cs="Arial"/>
          <w:sz w:val="24"/>
          <w:szCs w:val="24"/>
        </w:rPr>
      </w:pPr>
    </w:p>
    <w:p w14:paraId="0627D69F" w14:textId="77777777" w:rsidR="00E107EB" w:rsidRPr="0010165E" w:rsidRDefault="00E107EB" w:rsidP="00E107EB">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41613FFE" w14:textId="77777777" w:rsidR="00E107EB" w:rsidRPr="0010165E" w:rsidRDefault="00E107EB" w:rsidP="00E107EB">
      <w:pPr>
        <w:spacing w:after="0" w:line="360" w:lineRule="auto"/>
        <w:rPr>
          <w:rFonts w:ascii="Palatino Linotype" w:hAnsi="Palatino Linotype" w:cs="Arial"/>
          <w:b/>
          <w:sz w:val="24"/>
          <w:szCs w:val="24"/>
        </w:rPr>
      </w:pPr>
    </w:p>
    <w:p w14:paraId="4AE0CFE2" w14:textId="0BBCBA34" w:rsidR="00E107EB" w:rsidRDefault="00E107EB" w:rsidP="00E107EB">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sidR="00D03980">
        <w:rPr>
          <w:rFonts w:ascii="Palatino Linotype" w:hAnsi="Palatino Linotype" w:cs="Arial"/>
          <w:sz w:val="24"/>
          <w:szCs w:val="24"/>
        </w:rPr>
        <w:t>treinta de mayo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w:t>
      </w:r>
      <w:r w:rsidR="00E70784">
        <w:rPr>
          <w:rFonts w:ascii="Palatino Linotype" w:hAnsi="Palatino Linotype" w:cs="Arial"/>
          <w:sz w:val="24"/>
          <w:szCs w:val="24"/>
        </w:rPr>
        <w:t xml:space="preserve">la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Pr>
          <w:rFonts w:ascii="Palatino Linotype" w:hAnsi="Palatino Linotype" w:cs="Arial"/>
          <w:sz w:val="24"/>
          <w:szCs w:val="24"/>
        </w:rPr>
        <w:t>d</w:t>
      </w:r>
      <w:r w:rsidRPr="0010165E">
        <w:rPr>
          <w:rFonts w:ascii="Palatino Linotype" w:hAnsi="Palatino Linotype" w:cs="Arial"/>
          <w:sz w:val="24"/>
          <w:szCs w:val="24"/>
        </w:rPr>
        <w:t xml:space="preserve"> de acceso a la información pública</w:t>
      </w:r>
      <w:r>
        <w:rPr>
          <w:rFonts w:ascii="Palatino Linotype" w:hAnsi="Palatino Linotype" w:cs="Arial"/>
          <w:sz w:val="24"/>
          <w:szCs w:val="24"/>
        </w:rPr>
        <w:t xml:space="preserve"> </w:t>
      </w:r>
      <w:r w:rsidRPr="0010165E">
        <w:rPr>
          <w:rFonts w:ascii="Palatino Linotype" w:hAnsi="Palatino Linotype" w:cs="Arial"/>
          <w:sz w:val="24"/>
          <w:szCs w:val="24"/>
        </w:rPr>
        <w:t xml:space="preserve">registrada bajo </w:t>
      </w:r>
      <w:r>
        <w:rPr>
          <w:rFonts w:ascii="Palatino Linotype" w:hAnsi="Palatino Linotype" w:cs="Arial"/>
          <w:sz w:val="24"/>
          <w:szCs w:val="24"/>
        </w:rPr>
        <w:t>el</w:t>
      </w:r>
      <w:r w:rsidRPr="0010165E">
        <w:rPr>
          <w:rFonts w:ascii="Palatino Linotype" w:hAnsi="Palatino Linotype" w:cs="Arial"/>
          <w:sz w:val="24"/>
          <w:szCs w:val="24"/>
        </w:rPr>
        <w:t xml:space="preserve"> número</w:t>
      </w:r>
      <w:r w:rsidR="00D03980">
        <w:rPr>
          <w:rFonts w:ascii="Palatino Linotype" w:hAnsi="Palatino Linotype" w:cs="Arial"/>
          <w:sz w:val="24"/>
          <w:szCs w:val="24"/>
        </w:rPr>
        <w:t xml:space="preserve"> </w:t>
      </w:r>
      <w:r w:rsidR="00D03980" w:rsidRPr="00D03980">
        <w:rPr>
          <w:rFonts w:ascii="Palatino Linotype" w:hAnsi="Palatino Linotype"/>
          <w:b/>
          <w:bCs/>
          <w:sz w:val="24"/>
          <w:szCs w:val="24"/>
        </w:rPr>
        <w:t>03536/METEPEC/IP/2022</w:t>
      </w:r>
      <w:r>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644BEC23" w14:textId="77777777" w:rsidR="00D03980" w:rsidRDefault="00D03980" w:rsidP="00E107EB">
      <w:pPr>
        <w:spacing w:after="0" w:line="360" w:lineRule="auto"/>
        <w:jc w:val="both"/>
        <w:rPr>
          <w:rFonts w:ascii="Palatino Linotype" w:hAnsi="Palatino Linotype"/>
          <w:i/>
          <w:color w:val="000000"/>
          <w:sz w:val="24"/>
          <w:szCs w:val="24"/>
        </w:rPr>
      </w:pPr>
    </w:p>
    <w:p w14:paraId="4124CF6D" w14:textId="73788D76" w:rsidR="00467497" w:rsidRPr="00D03980" w:rsidRDefault="00D03980" w:rsidP="006300C9">
      <w:pPr>
        <w:spacing w:after="0" w:line="360" w:lineRule="auto"/>
        <w:ind w:left="567"/>
        <w:jc w:val="both"/>
        <w:rPr>
          <w:rFonts w:ascii="Palatino Linotype" w:hAnsi="Palatino Linotype" w:cs="Arial"/>
          <w:i/>
          <w:sz w:val="24"/>
          <w:szCs w:val="24"/>
        </w:rPr>
      </w:pPr>
      <w:r>
        <w:rPr>
          <w:rFonts w:ascii="Palatino Linotype" w:hAnsi="Palatino Linotype"/>
          <w:i/>
          <w:color w:val="000000"/>
          <w:sz w:val="24"/>
          <w:szCs w:val="24"/>
        </w:rPr>
        <w:t>“</w:t>
      </w:r>
      <w:r w:rsidRPr="00D03980">
        <w:rPr>
          <w:rFonts w:ascii="Palatino Linotype" w:hAnsi="Palatino Linotype"/>
          <w:i/>
          <w:color w:val="000000"/>
          <w:sz w:val="24"/>
          <w:szCs w:val="24"/>
        </w:rPr>
        <w:t xml:space="preserve">Quiero saber en qué horario la titular de la subdirección de fomento y patrimonio cultural del H. Ayuntamiento de Metepec, Emma Arévalo Zizumbo, llega a trabajar al Museo del Barro de Metepec, de qué hora a qué hora come, y si sale de sus oficinas o realiza la actividad de alimentarse dentro de ellas. Pido el documento oficial mediante el cual le fueron indicados por alguna instancia administrativa a dicha servidora pública sus horarios de llegada y salida al trabajo y del trabajo, y sus horarios de comidas, </w:t>
      </w:r>
      <w:r w:rsidRPr="00D03980">
        <w:rPr>
          <w:rFonts w:ascii="Palatino Linotype" w:hAnsi="Palatino Linotype"/>
          <w:i/>
          <w:color w:val="000000"/>
          <w:sz w:val="24"/>
          <w:szCs w:val="24"/>
        </w:rPr>
        <w:lastRenderedPageBreak/>
        <w:t>asimismo, solicito copias de las listas donde registra su asistencia dicha servidora pública de enero del 2022 a la primera quincena de mayo del 2022.</w:t>
      </w:r>
      <w:r>
        <w:rPr>
          <w:rFonts w:ascii="Palatino Linotype" w:hAnsi="Palatino Linotype"/>
          <w:i/>
          <w:color w:val="000000"/>
          <w:sz w:val="24"/>
          <w:szCs w:val="24"/>
        </w:rPr>
        <w:t>”</w:t>
      </w:r>
    </w:p>
    <w:p w14:paraId="5F2E085A" w14:textId="77777777" w:rsidR="001D316A" w:rsidRPr="00C64147" w:rsidRDefault="001D316A" w:rsidP="00DB52AF">
      <w:pPr>
        <w:spacing w:after="0" w:line="360" w:lineRule="auto"/>
        <w:jc w:val="both"/>
        <w:rPr>
          <w:rFonts w:ascii="Palatino Linotype" w:hAnsi="Palatino Linotype" w:cs="Arial"/>
          <w:b/>
          <w:sz w:val="28"/>
          <w:szCs w:val="24"/>
        </w:rPr>
      </w:pPr>
    </w:p>
    <w:p w14:paraId="173C8476" w14:textId="35056D4F" w:rsidR="001D316A" w:rsidRPr="00C64147" w:rsidRDefault="001D316A" w:rsidP="001D316A">
      <w:pPr>
        <w:spacing w:after="0" w:line="360" w:lineRule="auto"/>
        <w:jc w:val="both"/>
        <w:rPr>
          <w:rFonts w:ascii="Palatino Linotype" w:hAnsi="Palatino Linotype"/>
          <w:iCs/>
          <w:sz w:val="24"/>
          <w:szCs w:val="24"/>
        </w:rPr>
      </w:pPr>
      <w:r w:rsidRPr="00C64147">
        <w:rPr>
          <w:rFonts w:ascii="Palatino Linotype" w:eastAsia="Times New Roman" w:hAnsi="Palatino Linotype" w:cs="Times New Roman"/>
          <w:b/>
          <w:sz w:val="24"/>
          <w:szCs w:val="24"/>
          <w:lang w:val="es-ES_tradnl" w:eastAsia="es-ES"/>
        </w:rPr>
        <w:t>Modalidad de entrega</w:t>
      </w:r>
      <w:r w:rsidR="0013539D" w:rsidRPr="00C64147">
        <w:rPr>
          <w:rFonts w:ascii="Palatino Linotype" w:eastAsia="Times New Roman" w:hAnsi="Palatino Linotype" w:cs="Times New Roman"/>
          <w:b/>
          <w:sz w:val="24"/>
          <w:szCs w:val="24"/>
          <w:lang w:val="es-ES_tradnl" w:eastAsia="es-ES"/>
        </w:rPr>
        <w:t>:</w:t>
      </w:r>
      <w:r w:rsidR="0013539D" w:rsidRPr="00C64147">
        <w:rPr>
          <w:rFonts w:ascii="Palatino Linotype" w:eastAsia="Times New Roman" w:hAnsi="Palatino Linotype" w:cs="Times New Roman"/>
          <w:sz w:val="24"/>
          <w:szCs w:val="24"/>
          <w:lang w:val="es-ES_tradnl" w:eastAsia="es-ES"/>
        </w:rPr>
        <w:t xml:space="preserve"> </w:t>
      </w:r>
      <w:r w:rsidR="0013539D" w:rsidRPr="00C64147">
        <w:rPr>
          <w:rFonts w:ascii="Palatino Linotype" w:hAnsi="Palatino Linotype"/>
        </w:rPr>
        <w:t>A</w:t>
      </w:r>
      <w:r w:rsidR="00C64147">
        <w:rPr>
          <w:rFonts w:ascii="Palatino Linotype" w:hAnsi="Palatino Linotype"/>
          <w:iCs/>
          <w:sz w:val="24"/>
          <w:szCs w:val="24"/>
        </w:rPr>
        <w:t xml:space="preserve"> través del SAIMEX</w:t>
      </w:r>
    </w:p>
    <w:p w14:paraId="0B9CBE48" w14:textId="77777777" w:rsidR="001D316A" w:rsidRPr="001D316A" w:rsidRDefault="001D316A" w:rsidP="00DB52AF">
      <w:pPr>
        <w:spacing w:after="0" w:line="360" w:lineRule="auto"/>
        <w:jc w:val="both"/>
        <w:rPr>
          <w:rFonts w:ascii="Palatino Linotype" w:hAnsi="Palatino Linotype" w:cs="Arial"/>
          <w:b/>
          <w:sz w:val="28"/>
          <w:szCs w:val="24"/>
          <w:lang w:val="es-ES_tradnl"/>
        </w:rPr>
      </w:pPr>
    </w:p>
    <w:p w14:paraId="48F9212C" w14:textId="2709AB9F" w:rsidR="00DB52AF" w:rsidRPr="0016590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sidR="00CF2D0F" w:rsidRPr="00672B13">
        <w:rPr>
          <w:rFonts w:ascii="Palatino Linotype" w:hAnsi="Palatino Linotype" w:cs="Arial"/>
          <w:sz w:val="24"/>
          <w:szCs w:val="24"/>
        </w:rPr>
        <w:t>De las constancias del</w:t>
      </w:r>
      <w:r w:rsidRPr="0016590E">
        <w:rPr>
          <w:rFonts w:ascii="Palatino Linotype" w:hAnsi="Palatino Linotype" w:cs="Arial"/>
          <w:sz w:val="24"/>
          <w:szCs w:val="24"/>
        </w:rPr>
        <w:t xml:space="preserve">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 solicitud de información presentada por </w:t>
      </w:r>
      <w:r w:rsidR="00467497">
        <w:rPr>
          <w:rFonts w:ascii="Palatino Linotype" w:hAnsi="Palatino Linotype" w:cs="Arial"/>
          <w:sz w:val="24"/>
          <w:szCs w:val="24"/>
        </w:rPr>
        <w:t xml:space="preserve">la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2C1A04E7" w14:textId="77777777" w:rsidR="00DB52AF" w:rsidRDefault="00DB52AF" w:rsidP="00DB52AF">
      <w:pPr>
        <w:spacing w:after="0" w:line="360" w:lineRule="auto"/>
        <w:jc w:val="both"/>
        <w:rPr>
          <w:rFonts w:ascii="Palatino Linotype" w:hAnsi="Palatino Linotype" w:cs="Arial"/>
          <w:sz w:val="24"/>
          <w:szCs w:val="24"/>
        </w:rPr>
      </w:pPr>
    </w:p>
    <w:p w14:paraId="7D3AE456" w14:textId="73535F21" w:rsidR="00DB52AF" w:rsidRPr="0010165E" w:rsidRDefault="00DB52AF"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C4F1D">
        <w:rPr>
          <w:rFonts w:ascii="Palatino Linotype" w:hAnsi="Palatino Linotype" w:cs="Arial"/>
          <w:sz w:val="24"/>
          <w:szCs w:val="24"/>
        </w:rPr>
        <w:t>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A47FC4">
        <w:rPr>
          <w:rFonts w:ascii="Palatino Linotype" w:hAnsi="Palatino Linotype" w:cs="Arial"/>
          <w:sz w:val="24"/>
          <w:szCs w:val="24"/>
        </w:rPr>
        <w:t xml:space="preserve">la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sidR="00E33AC1">
        <w:rPr>
          <w:rFonts w:ascii="Palatino Linotype" w:hAnsi="Palatino Linotype" w:cs="Arial"/>
          <w:sz w:val="24"/>
          <w:szCs w:val="24"/>
        </w:rPr>
        <w:t>siete de julio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interpuso </w:t>
      </w:r>
      <w:r w:rsidR="003D29DA">
        <w:rPr>
          <w:rFonts w:ascii="Palatino Linotype" w:hAnsi="Palatino Linotype" w:cs="Arial"/>
          <w:sz w:val="24"/>
          <w:szCs w:val="24"/>
        </w:rPr>
        <w:t xml:space="preserve">el </w:t>
      </w:r>
      <w:r w:rsidRPr="0010165E">
        <w:rPr>
          <w:rFonts w:ascii="Palatino Linotype" w:hAnsi="Palatino Linotype" w:cs="Arial"/>
          <w:sz w:val="24"/>
          <w:szCs w:val="24"/>
        </w:rPr>
        <w:t>recurso</w:t>
      </w:r>
      <w:r w:rsidR="003D29DA">
        <w:rPr>
          <w:rFonts w:ascii="Palatino Linotype" w:hAnsi="Palatino Linotype" w:cs="Arial"/>
          <w:sz w:val="24"/>
          <w:szCs w:val="24"/>
        </w:rPr>
        <w:t xml:space="preserve"> </w:t>
      </w:r>
      <w:r w:rsidRPr="0010165E">
        <w:rPr>
          <w:rFonts w:ascii="Palatino Linotype" w:hAnsi="Palatino Linotype" w:cs="Arial"/>
          <w:sz w:val="24"/>
          <w:szCs w:val="24"/>
        </w:rPr>
        <w:t>de revisión, que fu</w:t>
      </w:r>
      <w:r w:rsidR="003D29DA">
        <w:rPr>
          <w:rFonts w:ascii="Palatino Linotype" w:hAnsi="Palatino Linotype" w:cs="Arial"/>
          <w:sz w:val="24"/>
          <w:szCs w:val="24"/>
        </w:rPr>
        <w:t>e</w:t>
      </w:r>
      <w:r w:rsidRPr="0010165E">
        <w:rPr>
          <w:rFonts w:ascii="Palatino Linotype" w:hAnsi="Palatino Linotype" w:cs="Arial"/>
          <w:sz w:val="24"/>
          <w:szCs w:val="24"/>
        </w:rPr>
        <w:t xml:space="preserv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bookmarkStart w:id="1" w:name="_Hlk107778012"/>
      <w:r w:rsidR="0013539D">
        <w:rPr>
          <w:rFonts w:ascii="Palatino Linotype" w:hAnsi="Palatino Linotype" w:cs="Arial"/>
          <w:b/>
          <w:bCs/>
          <w:sz w:val="24"/>
          <w:szCs w:val="24"/>
          <w:lang w:eastAsia="es-MX"/>
        </w:rPr>
        <w:t>1</w:t>
      </w:r>
      <w:r w:rsidR="00E33AC1">
        <w:rPr>
          <w:rFonts w:ascii="Palatino Linotype" w:hAnsi="Palatino Linotype" w:cs="Arial"/>
          <w:b/>
          <w:bCs/>
          <w:sz w:val="24"/>
          <w:szCs w:val="24"/>
          <w:lang w:eastAsia="es-MX"/>
        </w:rPr>
        <w:t>2500</w:t>
      </w:r>
      <w:r w:rsidR="00C506EE">
        <w:rPr>
          <w:rFonts w:ascii="Palatino Linotype" w:hAnsi="Palatino Linotype" w:cs="Arial"/>
          <w:b/>
          <w:bCs/>
          <w:sz w:val="24"/>
          <w:szCs w:val="24"/>
          <w:lang w:eastAsia="es-MX"/>
        </w:rPr>
        <w:t>/</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bookmarkEnd w:id="1"/>
      <w:r w:rsidR="00824475">
        <w:rPr>
          <w:rFonts w:ascii="Palatino Linotype" w:hAnsi="Palatino Linotype"/>
          <w:sz w:val="24"/>
          <w:szCs w:val="24"/>
        </w:rPr>
        <w:t>,</w:t>
      </w:r>
      <w:r w:rsidR="00824475"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08320834" w14:textId="77777777" w:rsidR="003D29DA" w:rsidRDefault="003D29DA" w:rsidP="00DB52AF">
      <w:pPr>
        <w:pStyle w:val="Prrafodelista"/>
        <w:spacing w:line="360" w:lineRule="auto"/>
        <w:ind w:left="0"/>
        <w:jc w:val="both"/>
        <w:rPr>
          <w:rFonts w:ascii="Palatino Linotype" w:hAnsi="Palatino Linotype" w:cs="Arial"/>
          <w:b/>
        </w:rPr>
      </w:pPr>
    </w:p>
    <w:p w14:paraId="72E9422F" w14:textId="7C4DA685" w:rsidR="00DB52AF" w:rsidRPr="0010165E" w:rsidRDefault="00DB52AF" w:rsidP="00DB52AF">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799CF670" w14:textId="1D0273B1" w:rsidR="00DB52AF" w:rsidRPr="00E33AC1" w:rsidRDefault="00E33AC1" w:rsidP="00A47FC4">
      <w:pPr>
        <w:spacing w:after="0" w:line="360" w:lineRule="auto"/>
        <w:ind w:left="567"/>
        <w:jc w:val="both"/>
        <w:rPr>
          <w:rFonts w:ascii="Palatino Linotype" w:hAnsi="Palatino Linotype"/>
          <w:b/>
          <w:bCs/>
          <w:i/>
          <w:iCs/>
          <w:color w:val="000000"/>
          <w:sz w:val="24"/>
          <w:szCs w:val="24"/>
        </w:rPr>
      </w:pPr>
      <w:r w:rsidRPr="00E33AC1">
        <w:rPr>
          <w:rFonts w:ascii="Palatino Linotype" w:hAnsi="Palatino Linotype"/>
          <w:i/>
          <w:color w:val="000000"/>
          <w:sz w:val="24"/>
          <w:szCs w:val="24"/>
        </w:rPr>
        <w:t>“Me inconformo por no recibir respuesta a mi solicitud</w:t>
      </w:r>
      <w:r w:rsidR="00A47FC4" w:rsidRPr="00E33AC1">
        <w:rPr>
          <w:rFonts w:ascii="Palatino Linotype" w:eastAsia="Times New Roman" w:hAnsi="Palatino Linotype" w:cs="Times New Roman"/>
          <w:b/>
          <w:bCs/>
          <w:i/>
          <w:iCs/>
          <w:sz w:val="24"/>
          <w:szCs w:val="24"/>
          <w:lang w:eastAsia="es-MX"/>
        </w:rPr>
        <w:t>”</w:t>
      </w:r>
      <w:r w:rsidR="00A47FC4" w:rsidRPr="00E33AC1">
        <w:rPr>
          <w:rFonts w:ascii="Palatino Linotype" w:hAnsi="Palatino Linotype"/>
          <w:i/>
          <w:iCs/>
          <w:color w:val="000000"/>
          <w:sz w:val="24"/>
          <w:szCs w:val="24"/>
        </w:rPr>
        <w:t xml:space="preserve">      </w:t>
      </w:r>
      <w:r w:rsidR="00DB52AF" w:rsidRPr="00E33AC1">
        <w:rPr>
          <w:rFonts w:ascii="Palatino Linotype" w:hAnsi="Palatino Linotype"/>
          <w:b/>
          <w:bCs/>
          <w:i/>
          <w:iCs/>
          <w:color w:val="000000"/>
          <w:sz w:val="24"/>
          <w:szCs w:val="24"/>
        </w:rPr>
        <w:t>(</w:t>
      </w:r>
      <w:r w:rsidR="00954EE0" w:rsidRPr="00E33AC1">
        <w:rPr>
          <w:rFonts w:ascii="Palatino Linotype" w:hAnsi="Palatino Linotype"/>
          <w:b/>
          <w:bCs/>
          <w:i/>
          <w:iCs/>
          <w:color w:val="000000"/>
          <w:sz w:val="24"/>
          <w:szCs w:val="24"/>
        </w:rPr>
        <w:t>Sic</w:t>
      </w:r>
      <w:r w:rsidR="00DB52AF" w:rsidRPr="00E33AC1">
        <w:rPr>
          <w:rFonts w:ascii="Palatino Linotype" w:hAnsi="Palatino Linotype"/>
          <w:b/>
          <w:bCs/>
          <w:i/>
          <w:iCs/>
          <w:color w:val="000000"/>
          <w:sz w:val="24"/>
          <w:szCs w:val="24"/>
        </w:rPr>
        <w:t>)</w:t>
      </w:r>
    </w:p>
    <w:p w14:paraId="15A72026" w14:textId="77777777" w:rsidR="00DB52AF" w:rsidRPr="00C506EE" w:rsidRDefault="00DB52AF" w:rsidP="00DB52AF">
      <w:pPr>
        <w:spacing w:after="0" w:line="360" w:lineRule="auto"/>
        <w:jc w:val="both"/>
        <w:rPr>
          <w:rFonts w:ascii="Palatino Linotype" w:hAnsi="Palatino Linotype" w:cs="Arial"/>
          <w:i/>
          <w:sz w:val="24"/>
          <w:szCs w:val="24"/>
        </w:rPr>
      </w:pPr>
    </w:p>
    <w:p w14:paraId="71260F99" w14:textId="49FA2EA8" w:rsidR="00DB52AF" w:rsidRDefault="00DB52AF" w:rsidP="00DB52AF">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5C3155B2" w14:textId="261B3FF7" w:rsidR="00DB52AF" w:rsidRPr="00A47FC4" w:rsidRDefault="00E33AC1" w:rsidP="007730A6">
      <w:pPr>
        <w:spacing w:line="360" w:lineRule="auto"/>
        <w:ind w:left="567" w:right="284"/>
        <w:jc w:val="both"/>
        <w:rPr>
          <w:rFonts w:ascii="Palatino Linotype" w:hAnsi="Palatino Linotype" w:cs="Arial"/>
          <w:i/>
          <w:iCs/>
          <w:sz w:val="24"/>
          <w:szCs w:val="24"/>
        </w:rPr>
      </w:pPr>
      <w:r w:rsidRPr="00E33AC1">
        <w:rPr>
          <w:rFonts w:ascii="Palatino Linotype" w:hAnsi="Palatino Linotype"/>
          <w:i/>
          <w:color w:val="000000"/>
          <w:sz w:val="24"/>
          <w:szCs w:val="24"/>
        </w:rPr>
        <w:t>“Me inconformo por no recibir respuesta a mi solicitud</w:t>
      </w:r>
      <w:r w:rsidRPr="00E33AC1">
        <w:rPr>
          <w:rFonts w:ascii="Palatino Linotype" w:eastAsia="Times New Roman" w:hAnsi="Palatino Linotype" w:cs="Times New Roman"/>
          <w:b/>
          <w:bCs/>
          <w:i/>
          <w:iCs/>
          <w:sz w:val="24"/>
          <w:szCs w:val="24"/>
          <w:lang w:eastAsia="es-MX"/>
        </w:rPr>
        <w:t>”</w:t>
      </w:r>
      <w:r w:rsidRPr="00E33AC1">
        <w:rPr>
          <w:rFonts w:ascii="Palatino Linotype" w:hAnsi="Palatino Linotype"/>
          <w:i/>
          <w:iCs/>
          <w:color w:val="000000"/>
          <w:sz w:val="24"/>
          <w:szCs w:val="24"/>
        </w:rPr>
        <w:t xml:space="preserve">      </w:t>
      </w:r>
      <w:r w:rsidR="00A47FC4" w:rsidRPr="00A47FC4">
        <w:rPr>
          <w:rFonts w:ascii="Palatino Linotype" w:hAnsi="Palatino Linotype" w:cs="Arial"/>
          <w:b/>
          <w:bCs/>
          <w:i/>
          <w:iCs/>
          <w:sz w:val="24"/>
          <w:szCs w:val="24"/>
        </w:rPr>
        <w:t xml:space="preserve"> (</w:t>
      </w:r>
      <w:r w:rsidR="00CF2D0F" w:rsidRPr="00A47FC4">
        <w:rPr>
          <w:rFonts w:ascii="Palatino Linotype" w:hAnsi="Palatino Linotype" w:cs="Arial"/>
          <w:b/>
          <w:bCs/>
          <w:i/>
          <w:iCs/>
          <w:sz w:val="24"/>
          <w:szCs w:val="24"/>
        </w:rPr>
        <w:t>Sic)</w:t>
      </w:r>
    </w:p>
    <w:p w14:paraId="27A4AF05" w14:textId="77777777" w:rsidR="00E32619" w:rsidRPr="00C506EE" w:rsidRDefault="00E32619" w:rsidP="00DB52AF">
      <w:pPr>
        <w:pStyle w:val="Citas"/>
        <w:spacing w:before="0" w:after="0"/>
        <w:ind w:left="0" w:right="0"/>
        <w:rPr>
          <w:sz w:val="24"/>
          <w:szCs w:val="24"/>
        </w:rPr>
      </w:pPr>
    </w:p>
    <w:p w14:paraId="53D3283C" w14:textId="6CF572B5" w:rsidR="00DB52AF" w:rsidRDefault="00DB52AF" w:rsidP="00DB52A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lastRenderedPageBreak/>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sidR="00E33AC1">
        <w:rPr>
          <w:rFonts w:ascii="Palatino Linotype" w:hAnsi="Palatino Linotype" w:cs="Arial"/>
          <w:sz w:val="24"/>
          <w:szCs w:val="24"/>
          <w:lang w:val="es-ES"/>
        </w:rPr>
        <w:t>siete de julio</w:t>
      </w:r>
      <w:r>
        <w:rPr>
          <w:rFonts w:ascii="Palatino Linotype" w:hAnsi="Palatino Linotype" w:cs="Arial"/>
          <w:sz w:val="24"/>
          <w:szCs w:val="24"/>
        </w:rPr>
        <w:t xml:space="preserve"> de dos mil veintidós</w:t>
      </w:r>
      <w:r w:rsidRPr="0010165E">
        <w:rPr>
          <w:rFonts w:ascii="Palatino Linotype" w:eastAsia="Times New Roman" w:hAnsi="Palatino Linotype" w:cs="Arial"/>
          <w:sz w:val="24"/>
          <w:szCs w:val="24"/>
          <w:lang w:val="es-ES" w:eastAsia="es-ES"/>
        </w:rPr>
        <w:t xml:space="preserve">, </w:t>
      </w:r>
      <w:r w:rsidR="00DE59D8">
        <w:rPr>
          <w:rFonts w:ascii="Palatino Linotype" w:eastAsia="Times New Roman" w:hAnsi="Palatino Linotype" w:cs="Arial"/>
          <w:sz w:val="24"/>
          <w:szCs w:val="24"/>
          <w:lang w:val="es-ES" w:eastAsia="es-ES"/>
        </w:rPr>
        <w:t>el</w:t>
      </w:r>
      <w:r w:rsidR="00DA2AA3">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_tradnl" w:eastAsia="es-ES"/>
        </w:rPr>
        <w:t xml:space="preserve">recurso de </w:t>
      </w:r>
      <w:r w:rsidR="00CF2D0F">
        <w:rPr>
          <w:rFonts w:ascii="Palatino Linotype" w:eastAsia="Times New Roman" w:hAnsi="Palatino Linotype" w:cs="Arial"/>
          <w:sz w:val="24"/>
          <w:szCs w:val="24"/>
          <w:lang w:val="es-ES_tradnl" w:eastAsia="es-ES"/>
        </w:rPr>
        <w:t>revisión de mérito</w:t>
      </w:r>
      <w:r w:rsidR="00DE59D8">
        <w:rPr>
          <w:rFonts w:ascii="Palatino Linotype" w:eastAsia="Times New Roman" w:hAnsi="Palatino Linotype" w:cs="Arial"/>
          <w:sz w:val="24"/>
          <w:szCs w:val="24"/>
          <w:lang w:val="es-ES_tradnl" w:eastAsia="es-ES"/>
        </w:rPr>
        <w:t xml:space="preserve"> se envió</w:t>
      </w:r>
      <w:r w:rsidRPr="0010165E">
        <w:rPr>
          <w:rFonts w:ascii="Palatino Linotype" w:eastAsia="Times New Roman" w:hAnsi="Palatino Linotype" w:cs="Arial"/>
          <w:sz w:val="24"/>
          <w:szCs w:val="24"/>
          <w:lang w:val="es-ES_tradnl" w:eastAsia="es-ES"/>
        </w:rPr>
        <w:t xml:space="preserve">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w:t>
      </w:r>
      <w:r w:rsidR="00DA2AA3">
        <w:rPr>
          <w:rFonts w:ascii="Palatino Linotype" w:eastAsia="Times New Roman" w:hAnsi="Palatino Linotype" w:cs="Arial"/>
          <w:sz w:val="24"/>
          <w:szCs w:val="24"/>
          <w:lang w:val="es-ES_tradnl" w:eastAsia="es-ES"/>
        </w:rPr>
        <w:t>aron</w:t>
      </w:r>
      <w:r w:rsidRPr="0010165E">
        <w:rPr>
          <w:rFonts w:ascii="Palatino Linotype" w:eastAsia="Times New Roman" w:hAnsi="Palatino Linotype" w:cs="Arial"/>
          <w:sz w:val="24"/>
          <w:szCs w:val="24"/>
          <w:lang w:val="es-ES_tradnl" w:eastAsia="es-ES"/>
        </w:rPr>
        <w:t xml:space="preserve">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60317E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E33AC1">
        <w:rPr>
          <w:rFonts w:ascii="Palatino Linotype" w:eastAsia="Times New Roman" w:hAnsi="Palatino Linotype" w:cs="Arial"/>
          <w:sz w:val="24"/>
          <w:szCs w:val="24"/>
          <w:lang w:val="es-ES" w:eastAsia="es-ES"/>
        </w:rPr>
        <w:t>trece de julio</w:t>
      </w:r>
      <w:r w:rsidR="004670E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 xml:space="preserve">cordó la admisión a trámite del </w:t>
      </w:r>
      <w:r w:rsidR="00DA6DEB">
        <w:rPr>
          <w:rFonts w:ascii="Palatino Linotype" w:eastAsia="Times New Roman" w:hAnsi="Palatino Linotype" w:cs="Arial"/>
          <w:sz w:val="24"/>
          <w:szCs w:val="24"/>
          <w:lang w:val="es-ES" w:eastAsia="es-ES"/>
        </w:rPr>
        <w:t xml:space="preserve">recurso </w:t>
      </w:r>
      <w:r w:rsidRPr="0010165E">
        <w:rPr>
          <w:rFonts w:ascii="Palatino Linotype" w:eastAsia="Times New Roman" w:hAnsi="Palatino Linotype" w:cs="Arial"/>
          <w:sz w:val="24"/>
          <w:szCs w:val="24"/>
          <w:lang w:val="es-ES" w:eastAsia="es-ES"/>
        </w:rPr>
        <w:t>de revisión</w:t>
      </w:r>
      <w:r w:rsidR="00DA6DEB">
        <w:rPr>
          <w:rFonts w:ascii="Palatino Linotype" w:eastAsia="Times New Roman" w:hAnsi="Palatino Linotype" w:cs="Arial"/>
          <w:sz w:val="24"/>
          <w:szCs w:val="24"/>
          <w:lang w:val="es-ES" w:eastAsia="es-ES"/>
        </w:rPr>
        <w:t xml:space="preserve"> </w:t>
      </w:r>
      <w:r w:rsidR="007730A6">
        <w:rPr>
          <w:rFonts w:ascii="Palatino Linotype" w:hAnsi="Palatino Linotype" w:cs="Arial"/>
          <w:b/>
          <w:bCs/>
          <w:sz w:val="24"/>
          <w:szCs w:val="24"/>
          <w:lang w:val="es-ES" w:eastAsia="es-MX"/>
        </w:rPr>
        <w:t>1</w:t>
      </w:r>
      <w:r w:rsidR="00E33AC1">
        <w:rPr>
          <w:rFonts w:ascii="Palatino Linotype" w:hAnsi="Palatino Linotype" w:cs="Arial"/>
          <w:b/>
          <w:bCs/>
          <w:sz w:val="24"/>
          <w:szCs w:val="24"/>
          <w:lang w:val="es-ES" w:eastAsia="es-MX"/>
        </w:rPr>
        <w:t>2500</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Pr="0010165E">
        <w:rPr>
          <w:rFonts w:ascii="Palatino Linotype" w:eastAsia="Times New Roman" w:hAnsi="Palatino Linotype" w:cs="Arial"/>
          <w:sz w:val="24"/>
          <w:szCs w:val="24"/>
          <w:lang w:val="es-ES" w:eastAsia="es-ES"/>
        </w:rPr>
        <w:t>, así como la integración del expedie</w:t>
      </w:r>
      <w:r w:rsidR="004670EC">
        <w:rPr>
          <w:rFonts w:ascii="Palatino Linotype" w:eastAsia="Times New Roman" w:hAnsi="Palatino Linotype" w:cs="Arial"/>
          <w:sz w:val="24"/>
          <w:szCs w:val="24"/>
          <w:lang w:val="es-ES" w:eastAsia="es-ES"/>
        </w:rPr>
        <w:t>nte respectivo, mis</w:t>
      </w:r>
      <w:r w:rsidR="00E25131">
        <w:rPr>
          <w:rFonts w:ascii="Palatino Linotype" w:eastAsia="Times New Roman" w:hAnsi="Palatino Linotype" w:cs="Arial"/>
          <w:sz w:val="24"/>
          <w:szCs w:val="24"/>
          <w:lang w:val="es-ES" w:eastAsia="es-ES"/>
        </w:rPr>
        <w:t>m</w:t>
      </w:r>
      <w:r w:rsidR="004670EC">
        <w:rPr>
          <w:rFonts w:ascii="Palatino Linotype" w:eastAsia="Times New Roman" w:hAnsi="Palatino Linotype" w:cs="Arial"/>
          <w:sz w:val="24"/>
          <w:szCs w:val="24"/>
          <w:lang w:val="es-ES" w:eastAsia="es-ES"/>
        </w:rPr>
        <w:t xml:space="preserve">o que se puso </w:t>
      </w:r>
      <w:r w:rsidRPr="0010165E">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1016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73256FB3" w14:textId="6621B849" w:rsidR="00F26B6E" w:rsidRDefault="00DB52AF" w:rsidP="00F26B6E">
      <w:pPr>
        <w:spacing w:before="24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 xml:space="preserve">. </w:t>
      </w:r>
      <w:r w:rsidR="00F26B6E" w:rsidRPr="00D05C83">
        <w:rPr>
          <w:rFonts w:ascii="Palatino Linotype" w:hAnsi="Palatino Linotype" w:cs="Arial"/>
          <w:sz w:val="24"/>
          <w:szCs w:val="24"/>
        </w:rPr>
        <w:t>Así, una vez transcurr</w:t>
      </w:r>
      <w:r w:rsidR="00F26B6E">
        <w:rPr>
          <w:rFonts w:ascii="Palatino Linotype" w:hAnsi="Palatino Linotype" w:cs="Arial"/>
          <w:sz w:val="24"/>
          <w:szCs w:val="24"/>
        </w:rPr>
        <w:t xml:space="preserve">ido el término legal referido, se advierte que </w:t>
      </w:r>
      <w:r w:rsidR="00F26B6E">
        <w:rPr>
          <w:rFonts w:ascii="Palatino Linotype" w:hAnsi="Palatino Linotype" w:cs="Arial"/>
          <w:b/>
          <w:sz w:val="24"/>
          <w:szCs w:val="24"/>
        </w:rPr>
        <w:t xml:space="preserve">El Sujeto Obligado </w:t>
      </w:r>
      <w:r w:rsidR="00F26B6E">
        <w:rPr>
          <w:rFonts w:ascii="Palatino Linotype" w:hAnsi="Palatino Linotype" w:cs="Arial"/>
          <w:sz w:val="24"/>
          <w:szCs w:val="24"/>
        </w:rPr>
        <w:t xml:space="preserve">fue omiso en presentar su informe justificado; </w:t>
      </w:r>
      <w:r w:rsidR="00BF4181">
        <w:rPr>
          <w:rFonts w:ascii="Palatino Linotype" w:hAnsi="Palatino Linotype" w:cs="Arial"/>
          <w:sz w:val="24"/>
          <w:szCs w:val="24"/>
        </w:rPr>
        <w:t>por su parte</w:t>
      </w:r>
      <w:r w:rsidR="00F26B6E">
        <w:rPr>
          <w:rFonts w:ascii="Palatino Linotype" w:hAnsi="Palatino Linotype" w:cs="Arial"/>
          <w:sz w:val="24"/>
          <w:szCs w:val="24"/>
        </w:rPr>
        <w:t xml:space="preserve"> </w:t>
      </w:r>
      <w:r w:rsidR="00E33AC1">
        <w:rPr>
          <w:rFonts w:ascii="Palatino Linotype" w:hAnsi="Palatino Linotype" w:cs="Arial"/>
          <w:b/>
          <w:sz w:val="24"/>
          <w:szCs w:val="24"/>
        </w:rPr>
        <w:t xml:space="preserve">La </w:t>
      </w:r>
      <w:r w:rsidR="00F26B6E">
        <w:rPr>
          <w:rFonts w:ascii="Palatino Linotype" w:hAnsi="Palatino Linotype" w:cs="Arial"/>
          <w:b/>
          <w:sz w:val="24"/>
          <w:szCs w:val="24"/>
        </w:rPr>
        <w:t xml:space="preserve">Recurrente </w:t>
      </w:r>
      <w:r w:rsidR="00E33AC1">
        <w:rPr>
          <w:rFonts w:ascii="Palatino Linotype" w:hAnsi="Palatino Linotype" w:cs="Arial"/>
          <w:sz w:val="24"/>
          <w:szCs w:val="24"/>
        </w:rPr>
        <w:t>fue omisa en presentar pruebas, alegatos o manifestaciones.</w:t>
      </w:r>
    </w:p>
    <w:p w14:paraId="36A7A462" w14:textId="77777777" w:rsidR="00E33AC1" w:rsidRDefault="00E33AC1" w:rsidP="00DB52AF">
      <w:pPr>
        <w:spacing w:after="0" w:line="360" w:lineRule="auto"/>
        <w:jc w:val="both"/>
        <w:rPr>
          <w:rFonts w:ascii="Palatino Linotype" w:hAnsi="Palatino Linotype" w:cs="Arial"/>
          <w:sz w:val="24"/>
          <w:szCs w:val="24"/>
        </w:rPr>
      </w:pPr>
    </w:p>
    <w:p w14:paraId="6923198B" w14:textId="2151134E"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Así mismo se aprecia que no se llevaron a cabo audiencias durante la sustanciación del recurso de revisión, ni se o</w:t>
      </w:r>
      <w:r w:rsidR="00F55AFA">
        <w:rPr>
          <w:rFonts w:ascii="Palatino Linotype" w:hAnsi="Palatino Linotype" w:cs="Arial"/>
          <w:sz w:val="24"/>
          <w:szCs w:val="24"/>
        </w:rPr>
        <w:t>frecieron pruebas por parte del</w:t>
      </w:r>
      <w:r w:rsidR="00E33AC1">
        <w:rPr>
          <w:rFonts w:ascii="Palatino Linotype" w:hAnsi="Palatino Linotype" w:cs="Arial"/>
          <w:sz w:val="24"/>
          <w:szCs w:val="24"/>
        </w:rPr>
        <w:t xml:space="preserve"> </w:t>
      </w:r>
      <w:r w:rsidRPr="00DB52AF">
        <w:rPr>
          <w:rFonts w:ascii="Palatino Linotype" w:hAnsi="Palatino Linotype" w:cs="Arial"/>
          <w:sz w:val="24"/>
          <w:szCs w:val="24"/>
        </w:rPr>
        <w:t xml:space="preserve">hoy </w:t>
      </w:r>
      <w:r w:rsidRPr="00DB52AF">
        <w:rPr>
          <w:rFonts w:ascii="Palatino Linotype" w:hAnsi="Palatino Linotype" w:cs="Arial"/>
          <w:b/>
          <w:sz w:val="24"/>
          <w:szCs w:val="24"/>
        </w:rPr>
        <w:t>Recurrente</w:t>
      </w:r>
      <w:r w:rsidRPr="00DB52AF">
        <w:rPr>
          <w:rFonts w:ascii="Palatino Linotype" w:hAnsi="Palatino Linotype" w:cs="Arial"/>
          <w:sz w:val="24"/>
          <w:szCs w:val="24"/>
        </w:rPr>
        <w:t xml:space="preserve">; todo lo </w:t>
      </w:r>
      <w:r w:rsidRPr="00DB52AF">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14:paraId="13F1031F" w14:textId="77777777" w:rsidR="00DB52AF" w:rsidRDefault="00DB52AF" w:rsidP="00DB52AF">
      <w:pPr>
        <w:spacing w:after="0" w:line="360" w:lineRule="auto"/>
        <w:jc w:val="both"/>
        <w:rPr>
          <w:rFonts w:ascii="Palatino Linotype" w:hAnsi="Palatino Linotype" w:cs="Arial"/>
          <w:sz w:val="24"/>
          <w:szCs w:val="24"/>
        </w:rPr>
      </w:pPr>
    </w:p>
    <w:p w14:paraId="7B910AEC" w14:textId="5B18E779" w:rsidR="00CF2D0F" w:rsidRPr="0010165E" w:rsidRDefault="00DB52AF" w:rsidP="00CF2D0F">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10165E">
        <w:rPr>
          <w:rFonts w:ascii="Palatino Linotype" w:hAnsi="Palatino Linotype" w:cs="Arial"/>
          <w:b/>
          <w:sz w:val="28"/>
          <w:szCs w:val="28"/>
        </w:rPr>
        <w:t xml:space="preserve">. </w:t>
      </w:r>
      <w:r w:rsidR="00CF2D0F"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00DE59D8">
        <w:rPr>
          <w:rFonts w:ascii="Palatino Linotype" w:hAnsi="Palatino Linotype" w:cs="Arial"/>
          <w:sz w:val="24"/>
          <w:szCs w:val="24"/>
        </w:rPr>
        <w:t xml:space="preserve">pendiente por desahogar, ni </w:t>
      </w:r>
      <w:r w:rsidR="00CF2D0F" w:rsidRPr="0010165E">
        <w:rPr>
          <w:rFonts w:ascii="Palatino Linotype" w:hAnsi="Palatino Linotype" w:cs="Arial"/>
          <w:sz w:val="24"/>
          <w:szCs w:val="24"/>
        </w:rPr>
        <w:t xml:space="preserve">documentos que integrar al expediente electrónico, se decretó el cierre de instrucción en fecha </w:t>
      </w:r>
      <w:r w:rsidR="00E33AC1">
        <w:rPr>
          <w:rFonts w:ascii="Palatino Linotype" w:hAnsi="Palatino Linotype" w:cs="Arial"/>
          <w:sz w:val="24"/>
          <w:szCs w:val="24"/>
        </w:rPr>
        <w:t xml:space="preserve">ocho </w:t>
      </w:r>
      <w:r w:rsidR="007730A6">
        <w:rPr>
          <w:rFonts w:ascii="Palatino Linotype" w:hAnsi="Palatino Linotype" w:cs="Arial"/>
          <w:sz w:val="24"/>
          <w:szCs w:val="24"/>
        </w:rPr>
        <w:t>de agosto</w:t>
      </w:r>
      <w:r w:rsidR="00CF2D0F">
        <w:rPr>
          <w:rFonts w:ascii="Palatino Linotype" w:hAnsi="Palatino Linotype" w:cs="Arial"/>
          <w:sz w:val="24"/>
          <w:szCs w:val="24"/>
        </w:rPr>
        <w:t xml:space="preserve"> de dos mil veintidós</w:t>
      </w:r>
      <w:r w:rsidR="00CF2D0F"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520C09E2" w:rsidR="00CF2D0F" w:rsidRDefault="00CF2D0F" w:rsidP="00F75BB1">
      <w:pPr>
        <w:spacing w:after="0" w:line="360" w:lineRule="auto"/>
        <w:jc w:val="both"/>
        <w:rPr>
          <w:rFonts w:ascii="Palatino Linotype" w:hAnsi="Palatino Linotype" w:cs="Arial"/>
          <w:bCs/>
          <w:sz w:val="24"/>
          <w:szCs w:val="24"/>
        </w:rPr>
      </w:pP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A82740A" w14:textId="6A0B0E5D" w:rsidR="00DB52AF" w:rsidRPr="0010165E" w:rsidRDefault="00DB52AF" w:rsidP="00DE59D8">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w:t>
      </w:r>
      <w:r w:rsidR="00E33AC1">
        <w:rPr>
          <w:rFonts w:ascii="Palatino Linotype" w:hAnsi="Palatino Linotype" w:cs="Arial"/>
          <w:sz w:val="24"/>
          <w:szCs w:val="24"/>
        </w:rPr>
        <w:t>so de revisión interpuesto por la</w:t>
      </w:r>
      <w:r w:rsidR="0070107D">
        <w:rPr>
          <w:rFonts w:ascii="Palatino Linotype" w:hAnsi="Palatino Linotype" w:cs="Arial"/>
          <w:sz w:val="24"/>
          <w:szCs w:val="24"/>
        </w:rPr>
        <w:t xml:space="preserve"> </w:t>
      </w:r>
      <w:r w:rsidRPr="0010165E">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w:t>
      </w:r>
      <w:r w:rsidRPr="0010165E">
        <w:rPr>
          <w:rFonts w:ascii="Palatino Linotype" w:hAnsi="Palatino Linotype" w:cs="Arial"/>
          <w:sz w:val="24"/>
          <w:szCs w:val="24"/>
        </w:rPr>
        <w:lastRenderedPageBreak/>
        <w:t>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77777777"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4248769A"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w:t>
      </w:r>
      <w:r w:rsidR="00BC22EB" w:rsidRPr="0010165E">
        <w:rPr>
          <w:rFonts w:ascii="Palatino Linotype" w:hAnsi="Palatino Linotype" w:cs="Arial"/>
          <w:sz w:val="24"/>
          <w:szCs w:val="24"/>
        </w:rPr>
        <w:t>pública</w:t>
      </w:r>
      <w:r w:rsidRPr="0010165E">
        <w:rPr>
          <w:rFonts w:ascii="Palatino Linotype" w:hAnsi="Palatino Linotype" w:cs="Arial"/>
          <w:sz w:val="24"/>
          <w:szCs w:val="24"/>
        </w:rPr>
        <w:t xml:space="preserve">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w:t>
      </w:r>
      <w:r w:rsidRPr="0010165E">
        <w:rPr>
          <w:rFonts w:ascii="Palatino Linotype" w:hAnsi="Palatino Linotype" w:cs="Arial"/>
          <w:sz w:val="24"/>
          <w:szCs w:val="24"/>
        </w:rPr>
        <w:lastRenderedPageBreak/>
        <w:t xml:space="preserve">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42B4FD52" w14:textId="77777777" w:rsidR="00DB52AF" w:rsidRPr="0010165E" w:rsidRDefault="00DB52AF" w:rsidP="00DB52AF">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392AC15B" w14:textId="77777777" w:rsidR="00F26B6E" w:rsidRDefault="00F26B6E" w:rsidP="00DB52AF">
      <w:pPr>
        <w:spacing w:after="0" w:line="360" w:lineRule="auto"/>
        <w:ind w:right="49"/>
        <w:jc w:val="both"/>
        <w:rPr>
          <w:rFonts w:ascii="Palatino Linotype" w:eastAsia="Times New Roman" w:hAnsi="Palatino Linotype" w:cs="Arial"/>
          <w:sz w:val="24"/>
          <w:szCs w:val="24"/>
          <w:lang w:val="es-ES" w:eastAsia="es-ES"/>
        </w:rPr>
      </w:pPr>
    </w:p>
    <w:p w14:paraId="6F9E96B1" w14:textId="78C0DFD3"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w:t>
      </w:r>
      <w:r w:rsidR="00F26B6E">
        <w:rPr>
          <w:rFonts w:ascii="Palatino Linotype" w:eastAsia="Times New Roman" w:hAnsi="Palatino Linotype" w:cs="Arial"/>
          <w:sz w:val="24"/>
          <w:szCs w:val="24"/>
          <w:lang w:val="es-ES" w:eastAsia="es-ES"/>
        </w:rPr>
        <w:t>í las cosas, del análisis del expediente electrónico</w:t>
      </w:r>
      <w:r w:rsidRPr="0010165E">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7777777" w:rsidR="00DB52AF" w:rsidRPr="0010165E" w:rsidRDefault="00DB52AF"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48600C45" w14:textId="3E0E22BE"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02F9CC7E"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primera instancia, al referirn</w:t>
      </w:r>
      <w:r w:rsidR="00E33AC1">
        <w:rPr>
          <w:rFonts w:ascii="Palatino Linotype" w:eastAsia="Times New Roman" w:hAnsi="Palatino Linotype" w:cs="Arial"/>
          <w:sz w:val="24"/>
          <w:szCs w:val="24"/>
          <w:lang w:val="es-ES" w:eastAsia="es-ES"/>
        </w:rPr>
        <w:t>os a los actos impugnados por la</w:t>
      </w:r>
      <w:r w:rsidRPr="0010165E">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w:t>
      </w:r>
      <w:r w:rsidRPr="0010165E">
        <w:rPr>
          <w:rFonts w:ascii="Palatino Linotype" w:eastAsia="Times New Roman" w:hAnsi="Palatino Linotype" w:cs="Arial"/>
          <w:sz w:val="24"/>
          <w:szCs w:val="24"/>
          <w:lang w:val="es-ES" w:eastAsia="es-ES"/>
        </w:rPr>
        <w:lastRenderedPageBreak/>
        <w:t xml:space="preserve">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w:t>
      </w:r>
      <w:r w:rsidRPr="0016518C">
        <w:rPr>
          <w:rFonts w:ascii="Palatino Linotype" w:eastAsia="Calibri" w:hAnsi="Palatino Linotype" w:cs="Arial"/>
          <w:color w:val="000000" w:themeColor="text1"/>
          <w:sz w:val="24"/>
          <w:szCs w:val="24"/>
          <w:lang w:val="es-ES" w:eastAsia="es-ES"/>
        </w:rPr>
        <w:t>la Ley de Transparencia y Acceso a la Información Pública del Estado de México y Municipios,</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0F80B7A2"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sidR="00171EA6">
        <w:rPr>
          <w:rFonts w:ascii="Palatino Linotype" w:eastAsia="Times New Roman" w:hAnsi="Palatino Linotype" w:cs="Arial"/>
          <w:sz w:val="24"/>
          <w:szCs w:val="24"/>
          <w:lang w:val="es-ES" w:eastAsia="es-MX"/>
        </w:rPr>
        <w:t>la</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10C1D214"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BC22EB" w:rsidRPr="0010165E">
        <w:rPr>
          <w:rFonts w:ascii="Palatino Linotype" w:eastAsia="Times New Roman" w:hAnsi="Palatino Linotype" w:cs="Times New Roman"/>
          <w:sz w:val="24"/>
          <w:szCs w:val="24"/>
          <w:lang w:val="es-ES" w:eastAsia="es-MX"/>
        </w:rPr>
        <w:t xml:space="preserve">la falta de respuesta del </w:t>
      </w:r>
      <w:r w:rsidR="00BC22EB" w:rsidRPr="0010165E">
        <w:rPr>
          <w:rFonts w:ascii="Palatino Linotype" w:eastAsia="Times New Roman" w:hAnsi="Palatino Linotype" w:cs="Times New Roman"/>
          <w:b/>
          <w:sz w:val="24"/>
          <w:szCs w:val="24"/>
          <w:lang w:val="es-ES" w:eastAsia="es-MX"/>
        </w:rPr>
        <w:t>Sujeto Obligado</w:t>
      </w:r>
      <w:r w:rsidR="00BC22EB" w:rsidRPr="0010165E">
        <w:rPr>
          <w:rFonts w:ascii="Palatino Linotype" w:eastAsia="Times New Roman" w:hAnsi="Palatino Linotype" w:cs="Times New Roman"/>
          <w:sz w:val="24"/>
          <w:szCs w:val="24"/>
          <w:lang w:val="es-ES" w:eastAsia="es-MX"/>
        </w:rPr>
        <w:t xml:space="preserve"> a la solicitud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1B235C1E" w14:textId="77777777" w:rsidR="00DB52AF" w:rsidRPr="0010165E"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10165E">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4B0DB71D"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w:t>
      </w:r>
      <w:r w:rsidR="002568A8">
        <w:rPr>
          <w:rFonts w:ascii="Palatino Linotype" w:eastAsia="MS Mincho" w:hAnsi="Palatino Linotype" w:cs="Times New Roman"/>
          <w:b/>
          <w:sz w:val="24"/>
          <w:szCs w:val="24"/>
          <w:lang w:val="es-ES_tradnl" w:eastAsia="es-ES"/>
        </w:rPr>
        <w:t>s</w:t>
      </w:r>
      <w:r w:rsidRPr="0010165E">
        <w:rPr>
          <w:rFonts w:ascii="Palatino Linotype" w:eastAsia="MS Mincho" w:hAnsi="Palatino Linotype" w:cs="Times New Roman"/>
          <w:b/>
          <w:sz w:val="24"/>
          <w:szCs w:val="24"/>
          <w:lang w:val="es-ES_tradnl" w:eastAsia="es-ES"/>
        </w:rPr>
        <w:t xml:space="preserve">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09B2B361"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w:t>
      </w:r>
      <w:r w:rsidR="003020D3">
        <w:rPr>
          <w:rFonts w:ascii="Palatino Linotype" w:eastAsia="Times New Roman" w:hAnsi="Palatino Linotype" w:cs="Arial"/>
          <w:sz w:val="24"/>
          <w:szCs w:val="24"/>
          <w:lang w:val="es-ES" w:eastAsia="es-ES"/>
        </w:rPr>
        <w:t>t</w:t>
      </w:r>
      <w:r w:rsidR="00954EE0">
        <w:rPr>
          <w:rFonts w:ascii="Palatino Linotype" w:eastAsia="Times New Roman" w:hAnsi="Palatino Linotype" w:cs="Arial"/>
          <w:sz w:val="24"/>
          <w:szCs w:val="24"/>
          <w:lang w:val="es-ES" w:eastAsia="es-ES"/>
        </w:rPr>
        <w:t>oridades municipales es pública y los ayuntamientos</w:t>
      </w:r>
      <w:r w:rsidRPr="0010165E">
        <w:rPr>
          <w:rFonts w:ascii="Palatino Linotype" w:eastAsia="Times New Roman" w:hAnsi="Palatino Linotype" w:cs="Arial"/>
          <w:sz w:val="24"/>
          <w:szCs w:val="24"/>
          <w:lang w:val="es-ES" w:eastAsia="es-ES"/>
        </w:rPr>
        <w:t xml:space="preserve"> son considerados Sujetos Obligados para efectos de transparentar y permitir el acceso a la in</w:t>
      </w:r>
      <w:r w:rsidR="00954EE0">
        <w:rPr>
          <w:rFonts w:ascii="Palatino Linotype" w:eastAsia="Times New Roman" w:hAnsi="Palatino Linotype" w:cs="Arial"/>
          <w:sz w:val="24"/>
          <w:szCs w:val="24"/>
          <w:lang w:val="es-ES" w:eastAsia="es-ES"/>
        </w:rPr>
        <w:t xml:space="preserve">formación pública que posean, </w:t>
      </w:r>
      <w:r w:rsidRPr="0010165E">
        <w:rPr>
          <w:rFonts w:ascii="Palatino Linotype" w:eastAsia="Times New Roman" w:hAnsi="Palatino Linotype" w:cs="Arial"/>
          <w:sz w:val="24"/>
          <w:szCs w:val="24"/>
          <w:lang w:val="es-ES" w:eastAsia="es-ES"/>
        </w:rPr>
        <w:t>están obligados a documentar todo acto que derive del ejercicio de sus facultades, competencias o funciones. En ese sentido, debe privilegiarse en todo momento el principio de máxima publicidad.</w:t>
      </w:r>
    </w:p>
    <w:p w14:paraId="2441D2A0" w14:textId="77777777" w:rsidR="00392C4E" w:rsidRDefault="00392C4E" w:rsidP="00392C4E">
      <w:pPr>
        <w:autoSpaceDE w:val="0"/>
        <w:autoSpaceDN w:val="0"/>
        <w:adjustRightInd w:val="0"/>
        <w:spacing w:after="0" w:line="360" w:lineRule="auto"/>
        <w:jc w:val="both"/>
        <w:rPr>
          <w:rFonts w:ascii="Palatino Linotype" w:hAnsi="Palatino Linotype"/>
          <w:sz w:val="24"/>
          <w:szCs w:val="24"/>
        </w:rPr>
      </w:pPr>
    </w:p>
    <w:p w14:paraId="14252D54" w14:textId="77576288" w:rsidR="00392C4E" w:rsidRDefault="00392C4E" w:rsidP="00392C4E">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t xml:space="preserve">De la revisión de las constancias que obran en el Sistema de acceso a la Información Mexiquense (SAIMEX), se advierte que, </w:t>
      </w:r>
      <w:r w:rsidR="00552199">
        <w:rPr>
          <w:rFonts w:ascii="Palatino Linotype" w:hAnsi="Palatino Linotype"/>
          <w:sz w:val="24"/>
          <w:szCs w:val="24"/>
        </w:rPr>
        <w:t>el particular solicito</w:t>
      </w:r>
      <w:r>
        <w:rPr>
          <w:rFonts w:ascii="Palatino Linotype" w:hAnsi="Palatino Linotype"/>
          <w:sz w:val="24"/>
          <w:szCs w:val="24"/>
        </w:rPr>
        <w:t xml:space="preserve">: </w:t>
      </w:r>
    </w:p>
    <w:p w14:paraId="6E6C032C" w14:textId="18705EFD" w:rsidR="008D3836" w:rsidRDefault="008D3836" w:rsidP="00392C4E">
      <w:pPr>
        <w:autoSpaceDE w:val="0"/>
        <w:autoSpaceDN w:val="0"/>
        <w:adjustRightInd w:val="0"/>
        <w:spacing w:after="0" w:line="360" w:lineRule="auto"/>
        <w:jc w:val="both"/>
        <w:rPr>
          <w:rFonts w:ascii="Palatino Linotype" w:hAnsi="Palatino Linotype"/>
          <w:sz w:val="24"/>
          <w:szCs w:val="24"/>
        </w:rPr>
      </w:pPr>
    </w:p>
    <w:p w14:paraId="488934FF" w14:textId="77BAB42B" w:rsidR="00B15265" w:rsidRPr="00B15265" w:rsidRDefault="00406C14" w:rsidP="00B15265">
      <w:pPr>
        <w:pStyle w:val="Prrafodelista"/>
        <w:numPr>
          <w:ilvl w:val="0"/>
          <w:numId w:val="11"/>
        </w:numPr>
        <w:autoSpaceDE w:val="0"/>
        <w:autoSpaceDN w:val="0"/>
        <w:adjustRightInd w:val="0"/>
        <w:spacing w:line="360" w:lineRule="auto"/>
        <w:jc w:val="both"/>
        <w:rPr>
          <w:rFonts w:ascii="Palatino Linotype" w:hAnsi="Palatino Linotype"/>
          <w:color w:val="000000"/>
        </w:rPr>
      </w:pPr>
      <w:r w:rsidRPr="00B15265">
        <w:rPr>
          <w:rFonts w:ascii="Palatino Linotype" w:hAnsi="Palatino Linotype"/>
          <w:color w:val="000000"/>
        </w:rPr>
        <w:t xml:space="preserve">Horario de la </w:t>
      </w:r>
      <w:r w:rsidR="00B15265">
        <w:rPr>
          <w:rFonts w:ascii="Palatino Linotype" w:hAnsi="Palatino Linotype"/>
          <w:color w:val="000000"/>
        </w:rPr>
        <w:t>T</w:t>
      </w:r>
      <w:r w:rsidRPr="00B15265">
        <w:rPr>
          <w:rFonts w:ascii="Palatino Linotype" w:hAnsi="Palatino Linotype"/>
          <w:color w:val="000000"/>
        </w:rPr>
        <w:t xml:space="preserve">itular de la subdirección de fomento y patrimonio cultural del H. Ayuntamiento de Metepec, Emma Arévalo Zizumbo, </w:t>
      </w:r>
      <w:r w:rsidR="00B15265" w:rsidRPr="00B15265">
        <w:rPr>
          <w:rFonts w:ascii="Palatino Linotype" w:hAnsi="Palatino Linotype"/>
          <w:color w:val="000000"/>
        </w:rPr>
        <w:t>en el</w:t>
      </w:r>
      <w:r w:rsidR="00B15265">
        <w:rPr>
          <w:rFonts w:ascii="Palatino Linotype" w:hAnsi="Palatino Linotype"/>
          <w:color w:val="000000"/>
        </w:rPr>
        <w:t xml:space="preserve"> </w:t>
      </w:r>
      <w:r w:rsidR="00B15265" w:rsidRPr="00B15265">
        <w:rPr>
          <w:rFonts w:ascii="Palatino Linotype" w:hAnsi="Palatino Linotype"/>
          <w:color w:val="000000"/>
        </w:rPr>
        <w:t>Museo del Barro de Metepec.</w:t>
      </w:r>
    </w:p>
    <w:p w14:paraId="2A42AE9C" w14:textId="77B49A73" w:rsidR="00B15265" w:rsidRPr="00B15265" w:rsidRDefault="00B15265" w:rsidP="00B15265">
      <w:pPr>
        <w:pStyle w:val="Prrafodelista"/>
        <w:numPr>
          <w:ilvl w:val="0"/>
          <w:numId w:val="11"/>
        </w:numPr>
        <w:autoSpaceDE w:val="0"/>
        <w:autoSpaceDN w:val="0"/>
        <w:adjustRightInd w:val="0"/>
        <w:spacing w:line="360" w:lineRule="auto"/>
        <w:jc w:val="both"/>
        <w:rPr>
          <w:rFonts w:ascii="Palatino Linotype" w:hAnsi="Palatino Linotype"/>
          <w:color w:val="000000"/>
        </w:rPr>
      </w:pPr>
      <w:r w:rsidRPr="00B15265">
        <w:rPr>
          <w:rFonts w:ascii="Palatino Linotype" w:hAnsi="Palatino Linotype"/>
          <w:color w:val="000000"/>
        </w:rPr>
        <w:t>D</w:t>
      </w:r>
      <w:r w:rsidR="00406C14" w:rsidRPr="00B15265">
        <w:rPr>
          <w:rFonts w:ascii="Palatino Linotype" w:hAnsi="Palatino Linotype"/>
          <w:color w:val="000000"/>
        </w:rPr>
        <w:t xml:space="preserve">e qué hora a qué hora come, y si sale de sus oficinas o realiza la actividad de alimentarse dentro de ellas. </w:t>
      </w:r>
    </w:p>
    <w:p w14:paraId="46D83497" w14:textId="19A38718" w:rsidR="00B15265" w:rsidRPr="00B15265" w:rsidRDefault="00B15265" w:rsidP="00B15265">
      <w:pPr>
        <w:pStyle w:val="Prrafodelista"/>
        <w:numPr>
          <w:ilvl w:val="0"/>
          <w:numId w:val="11"/>
        </w:numPr>
        <w:autoSpaceDE w:val="0"/>
        <w:autoSpaceDN w:val="0"/>
        <w:adjustRightInd w:val="0"/>
        <w:spacing w:line="360" w:lineRule="auto"/>
        <w:jc w:val="both"/>
        <w:rPr>
          <w:rFonts w:ascii="Palatino Linotype" w:hAnsi="Palatino Linotype"/>
          <w:color w:val="000000"/>
        </w:rPr>
      </w:pPr>
      <w:r w:rsidRPr="00B15265">
        <w:rPr>
          <w:rFonts w:ascii="Palatino Linotype" w:hAnsi="Palatino Linotype"/>
          <w:color w:val="000000"/>
        </w:rPr>
        <w:t>D</w:t>
      </w:r>
      <w:r w:rsidR="00406C14" w:rsidRPr="00B15265">
        <w:rPr>
          <w:rFonts w:ascii="Palatino Linotype" w:hAnsi="Palatino Linotype"/>
          <w:color w:val="000000"/>
        </w:rPr>
        <w:t>ocumento oficial mediante el cual le fue</w:t>
      </w:r>
      <w:r w:rsidRPr="00B15265">
        <w:rPr>
          <w:rFonts w:ascii="Palatino Linotype" w:hAnsi="Palatino Linotype"/>
          <w:color w:val="000000"/>
        </w:rPr>
        <w:t xml:space="preserve"> i</w:t>
      </w:r>
      <w:r w:rsidR="00406C14" w:rsidRPr="00B15265">
        <w:rPr>
          <w:rFonts w:ascii="Palatino Linotype" w:hAnsi="Palatino Linotype"/>
          <w:color w:val="000000"/>
        </w:rPr>
        <w:t>ndicado</w:t>
      </w:r>
      <w:r w:rsidRPr="00B15265">
        <w:rPr>
          <w:rFonts w:ascii="Palatino Linotype" w:hAnsi="Palatino Linotype"/>
          <w:color w:val="000000"/>
        </w:rPr>
        <w:t xml:space="preserve"> sus</w:t>
      </w:r>
      <w:r w:rsidR="00406C14" w:rsidRPr="00B15265">
        <w:rPr>
          <w:rFonts w:ascii="Palatino Linotype" w:hAnsi="Palatino Linotype"/>
          <w:color w:val="000000"/>
        </w:rPr>
        <w:t xml:space="preserve"> horarios de llegada y salida al trabajo</w:t>
      </w:r>
    </w:p>
    <w:p w14:paraId="18CECE15" w14:textId="0822603D" w:rsidR="00831FB6" w:rsidRPr="00B15265" w:rsidRDefault="00B15265" w:rsidP="00B15265">
      <w:pPr>
        <w:pStyle w:val="Prrafodelista"/>
        <w:numPr>
          <w:ilvl w:val="0"/>
          <w:numId w:val="11"/>
        </w:numPr>
        <w:autoSpaceDE w:val="0"/>
        <w:autoSpaceDN w:val="0"/>
        <w:adjustRightInd w:val="0"/>
        <w:spacing w:line="360" w:lineRule="auto"/>
        <w:jc w:val="both"/>
        <w:rPr>
          <w:rFonts w:ascii="Palatino Linotype" w:hAnsi="Palatino Linotype"/>
          <w:color w:val="000000"/>
        </w:rPr>
      </w:pPr>
      <w:r w:rsidRPr="00B15265">
        <w:rPr>
          <w:rFonts w:ascii="Palatino Linotype" w:hAnsi="Palatino Linotype"/>
          <w:color w:val="000000"/>
        </w:rPr>
        <w:t>Documento de</w:t>
      </w:r>
      <w:r w:rsidR="00406C14" w:rsidRPr="00B15265">
        <w:rPr>
          <w:rFonts w:ascii="Palatino Linotype" w:hAnsi="Palatino Linotype"/>
          <w:color w:val="000000"/>
        </w:rPr>
        <w:t xml:space="preserve"> las listas donde registra su asistencia dicha servidora pública de enero del 2022 a la primera quincena de mayo del 2022.</w:t>
      </w:r>
    </w:p>
    <w:p w14:paraId="118B7FFC" w14:textId="77777777" w:rsidR="00A171FB" w:rsidRDefault="00A171FB" w:rsidP="00A171FB">
      <w:pPr>
        <w:spacing w:line="360" w:lineRule="auto"/>
        <w:ind w:left="567" w:right="539"/>
        <w:jc w:val="both"/>
        <w:rPr>
          <w:rFonts w:ascii="Palatino Linotype" w:eastAsia="Calibri" w:hAnsi="Palatino Linotype" w:cs="Tahoma"/>
          <w:bCs/>
          <w:i/>
          <w:iCs/>
        </w:rPr>
      </w:pPr>
    </w:p>
    <w:p w14:paraId="496C7769" w14:textId="77777777" w:rsidR="00CD6BE3"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w:t>
      </w:r>
      <w:r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Pr="003834CC">
        <w:rPr>
          <w:rFonts w:ascii="Palatino Linotype" w:eastAsia="Palatino Linotype" w:hAnsi="Palatino Linotype" w:cs="Palatino Linotype"/>
          <w:b/>
          <w:color w:val="000000"/>
          <w:sz w:val="24"/>
          <w:szCs w:val="24"/>
        </w:rPr>
        <w:t>l Sujeto Obligado</w:t>
      </w:r>
      <w:r w:rsidRPr="00A27FD0">
        <w:rPr>
          <w:rFonts w:ascii="Palatino Linotype" w:eastAsia="Palatino Linotype" w:hAnsi="Palatino Linotype" w:cs="Palatino Linotype"/>
          <w:color w:val="000000"/>
          <w:sz w:val="24"/>
          <w:szCs w:val="24"/>
        </w:rPr>
        <w:t xml:space="preserve"> no</w:t>
      </w:r>
      <w:r>
        <w:rPr>
          <w:rFonts w:ascii="Palatino Linotype" w:eastAsia="Palatino Linotype" w:hAnsi="Palatino Linotype" w:cs="Palatino Linotype"/>
          <w:color w:val="000000"/>
          <w:sz w:val="24"/>
          <w:szCs w:val="24"/>
        </w:rPr>
        <w:t xml:space="preserve"> atendió la solicitud de mérito, el particular interpuso su medio de impugnación señalando como acto impugnado la solicitud que realizó y dando como razones o motivos de inconformidad la falta de respuesta.</w:t>
      </w:r>
    </w:p>
    <w:p w14:paraId="612DD45B" w14:textId="77777777" w:rsidR="00CD6BE3" w:rsidRPr="00883102"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6387F66" w14:textId="77777777" w:rsidR="00CD6BE3" w:rsidRPr="00883102" w:rsidRDefault="00CD6BE3" w:rsidP="00CD6BE3">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lastRenderedPageBreak/>
        <w:t xml:space="preserve">En ese orden de ideas, se tiene que </w:t>
      </w:r>
      <w:r>
        <w:rPr>
          <w:rFonts w:ascii="Palatino Linotype" w:hAnsi="Palatino Linotype"/>
          <w:b/>
          <w:sz w:val="24"/>
          <w:szCs w:val="24"/>
          <w:lang w:val="es-ES_tradnl"/>
        </w:rPr>
        <w:t>E</w:t>
      </w:r>
      <w:r w:rsidRPr="003834CC">
        <w:rPr>
          <w:rFonts w:ascii="Palatino Linotype" w:hAnsi="Palatino Linotype"/>
          <w:b/>
          <w:sz w:val="24"/>
          <w:szCs w:val="24"/>
          <w:lang w:val="es-ES_tradnl"/>
        </w:rPr>
        <w:t>l Sujeto Obligado</w:t>
      </w:r>
      <w:r w:rsidRPr="00883102">
        <w:rPr>
          <w:rFonts w:ascii="Palatino Linotype" w:hAnsi="Palatino Linotype"/>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w:t>
      </w:r>
      <w:r>
        <w:rPr>
          <w:rFonts w:ascii="Palatino Linotype" w:hAnsi="Palatino Linotype"/>
          <w:sz w:val="24"/>
          <w:szCs w:val="24"/>
          <w:lang w:val="es-ES_tradnl"/>
        </w:rPr>
        <w:t>el</w:t>
      </w:r>
      <w:r w:rsidRPr="00883102">
        <w:rPr>
          <w:rFonts w:ascii="Palatino Linotype" w:hAnsi="Palatino Linotype"/>
          <w:sz w:val="24"/>
          <w:szCs w:val="24"/>
          <w:lang w:val="es-ES_tradnl"/>
        </w:rPr>
        <w:t xml:space="preserve"> presente</w:t>
      </w:r>
      <w:r>
        <w:rPr>
          <w:rFonts w:ascii="Palatino Linotype" w:hAnsi="Palatino Linotype"/>
          <w:sz w:val="24"/>
          <w:szCs w:val="24"/>
          <w:lang w:val="es-ES_tradnl"/>
        </w:rPr>
        <w:t xml:space="preserve"> </w:t>
      </w:r>
      <w:r w:rsidRPr="00883102">
        <w:rPr>
          <w:rFonts w:ascii="Palatino Linotype" w:hAnsi="Palatino Linotype"/>
          <w:sz w:val="24"/>
          <w:szCs w:val="24"/>
          <w:lang w:val="es-ES_tradnl"/>
        </w:rPr>
        <w:t xml:space="preserve">medio de impugnación. </w:t>
      </w:r>
    </w:p>
    <w:p w14:paraId="307C4BD0" w14:textId="77777777" w:rsidR="00CD6BE3" w:rsidRDefault="00CD6BE3" w:rsidP="00CD6BE3">
      <w:pPr>
        <w:spacing w:after="0" w:line="360" w:lineRule="auto"/>
        <w:jc w:val="both"/>
        <w:rPr>
          <w:rFonts w:ascii="Palatino Linotype" w:hAnsi="Palatino Linotype"/>
          <w:sz w:val="24"/>
          <w:szCs w:val="24"/>
          <w:lang w:val="es-ES_tradnl"/>
        </w:rPr>
      </w:pPr>
    </w:p>
    <w:p w14:paraId="2B7549A6" w14:textId="77777777" w:rsidR="00CD6BE3" w:rsidRPr="00883102" w:rsidRDefault="00CD6BE3" w:rsidP="00CD6BE3">
      <w:pPr>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En esa tesitura, </w:t>
      </w:r>
      <w:r w:rsidRPr="00883102">
        <w:rPr>
          <w:rFonts w:ascii="Palatino Linotype" w:eastAsia="Palatino Linotype" w:hAnsi="Palatino Linotype" w:cs="Palatino Linotype"/>
          <w:color w:val="000000"/>
          <w:sz w:val="24"/>
          <w:szCs w:val="24"/>
          <w:lang w:val="es-ES_tradnl"/>
        </w:rPr>
        <w:t>se tiene que el presente recurso de revisión es procedente; toda vez, que se actualizan las hipótesis previstas en las fracciones VII y XI del artículo 179 de la Ley de la materia, que a la letra dice:</w:t>
      </w:r>
    </w:p>
    <w:p w14:paraId="4D972C09" w14:textId="77777777" w:rsidR="00CD6BE3" w:rsidRPr="00883102" w:rsidRDefault="00CD6BE3" w:rsidP="00CD6BE3">
      <w:pPr>
        <w:pStyle w:val="INFOEM"/>
        <w:rPr>
          <w:lang w:val="es-ES_tradnl"/>
        </w:rPr>
      </w:pPr>
      <w:r>
        <w:rPr>
          <w:b/>
          <w:lang w:val="es-ES_tradnl"/>
        </w:rPr>
        <w:t>“</w:t>
      </w:r>
      <w:r w:rsidRPr="00883102">
        <w:rPr>
          <w:b/>
          <w:lang w:val="es-ES_tradnl"/>
        </w:rPr>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3B814118" w14:textId="77777777" w:rsidR="00CD6BE3" w:rsidRPr="00883102" w:rsidRDefault="00CD6BE3" w:rsidP="00CD6BE3">
      <w:pPr>
        <w:pStyle w:val="INFOEM"/>
        <w:rPr>
          <w:lang w:val="es-ES_tradnl"/>
        </w:rPr>
      </w:pPr>
      <w:r w:rsidRPr="00883102">
        <w:rPr>
          <w:b/>
          <w:lang w:val="es-ES_tradnl"/>
        </w:rPr>
        <w:t>(…)</w:t>
      </w:r>
    </w:p>
    <w:p w14:paraId="68AAF7CE" w14:textId="77777777" w:rsidR="00CD6BE3" w:rsidRPr="00883102" w:rsidRDefault="00CD6BE3" w:rsidP="00CD6BE3">
      <w:pPr>
        <w:pStyle w:val="INFOEM"/>
        <w:rPr>
          <w:b/>
          <w:lang w:val="es-ES_tradnl"/>
        </w:rPr>
      </w:pPr>
      <w:r w:rsidRPr="00883102">
        <w:rPr>
          <w:b/>
          <w:lang w:val="es-ES_tradnl"/>
        </w:rPr>
        <w:t>VII. La falta de respuesta a una solicitud de acceso a la información;</w:t>
      </w:r>
    </w:p>
    <w:p w14:paraId="01F17B9F" w14:textId="77777777" w:rsidR="00CD6BE3" w:rsidRPr="00883102" w:rsidRDefault="00CD6BE3" w:rsidP="00CD6BE3">
      <w:pPr>
        <w:pStyle w:val="INFOEM"/>
        <w:rPr>
          <w:b/>
          <w:lang w:val="es-ES_tradnl"/>
        </w:rPr>
      </w:pPr>
      <w:r w:rsidRPr="00883102">
        <w:rPr>
          <w:b/>
          <w:lang w:val="es-ES_tradnl"/>
        </w:rPr>
        <w:t>(…)</w:t>
      </w:r>
    </w:p>
    <w:p w14:paraId="282037D0" w14:textId="77777777" w:rsidR="00CD6BE3" w:rsidRPr="00883102" w:rsidRDefault="00CD6BE3" w:rsidP="00CD6BE3">
      <w:pPr>
        <w:pStyle w:val="INFOEM"/>
        <w:rPr>
          <w:b/>
          <w:lang w:val="es-ES_tradnl"/>
        </w:rPr>
      </w:pPr>
      <w:r w:rsidRPr="00883102">
        <w:rPr>
          <w:b/>
          <w:lang w:val="es-ES_tradnl"/>
        </w:rPr>
        <w:t>XI. La falta de trámite a una solicitud;</w:t>
      </w:r>
    </w:p>
    <w:p w14:paraId="7709F11E" w14:textId="77777777" w:rsidR="00CD6BE3" w:rsidRPr="003834CC" w:rsidRDefault="00CD6BE3" w:rsidP="00CD6BE3">
      <w:pPr>
        <w:pStyle w:val="INFOEM"/>
        <w:rPr>
          <w:b/>
          <w:lang w:val="es-ES_tradnl"/>
        </w:rPr>
      </w:pPr>
      <w:r w:rsidRPr="00883102">
        <w:rPr>
          <w:b/>
          <w:lang w:val="es-ES_tradnl"/>
        </w:rPr>
        <w:t>(…</w:t>
      </w:r>
      <w:r w:rsidRPr="00883102">
        <w:rPr>
          <w:lang w:val="es-ES_tradnl"/>
        </w:rPr>
        <w:t>)</w:t>
      </w:r>
      <w:r>
        <w:rPr>
          <w:lang w:val="es-ES_tradnl"/>
        </w:rPr>
        <w:t>”</w:t>
      </w:r>
      <w:r>
        <w:rPr>
          <w:b/>
          <w:lang w:val="es-ES_tradnl"/>
        </w:rPr>
        <w:t>(Sic)</w:t>
      </w:r>
    </w:p>
    <w:p w14:paraId="5373F279" w14:textId="77777777" w:rsidR="00CD6BE3" w:rsidRPr="00883102"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229FF6C" w14:textId="77777777" w:rsidR="00CD6BE3" w:rsidRPr="00883102"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w:t>
      </w:r>
      <w:r w:rsidRPr="00883102">
        <w:rPr>
          <w:rFonts w:ascii="Palatino Linotype" w:eastAsia="Palatino Linotype" w:hAnsi="Palatino Linotype" w:cs="Palatino Linotype"/>
          <w:color w:val="000000"/>
          <w:sz w:val="24"/>
          <w:szCs w:val="24"/>
          <w:lang w:val="es-ES_tradnl"/>
        </w:rPr>
        <w:lastRenderedPageBreak/>
        <w:t xml:space="preserve">y en el presente asunto, el Sujeto Obligado omitió dar, tanto trámite como respuesta a lo requerido por </w:t>
      </w:r>
      <w:r>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4038A88D" w14:textId="77777777" w:rsidR="00CD6BE3" w:rsidRDefault="00CD6BE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885541" w14:textId="77777777" w:rsidR="00CD6BE3" w:rsidRPr="00883102" w:rsidRDefault="00CD6BE3" w:rsidP="00CD6BE3">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503B9F57" w14:textId="77777777" w:rsidR="00CD6BE3" w:rsidRPr="00883102" w:rsidRDefault="00CD6BE3" w:rsidP="00CD6BE3">
      <w:pPr>
        <w:pStyle w:val="INFOEM"/>
        <w:rPr>
          <w:lang w:val="es-ES_tradnl" w:eastAsia="en-US"/>
        </w:rPr>
      </w:pPr>
      <w:r>
        <w:rPr>
          <w:b/>
          <w:lang w:val="es-ES_tradnl" w:eastAsia="en-US"/>
        </w:rPr>
        <w:t>“</w:t>
      </w:r>
      <w:r w:rsidRPr="00883102">
        <w:rPr>
          <w:b/>
          <w:lang w:val="es-ES_tradnl" w:eastAsia="en-US"/>
        </w:rPr>
        <w:t>Artículo 6o.</w:t>
      </w:r>
      <w:r w:rsidRPr="00883102">
        <w:rPr>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b/>
          <w:lang w:val="es-ES_tradnl" w:eastAsia="en-US"/>
        </w:rPr>
        <w:t>El derecho a la información será garantizado por el Estado.</w:t>
      </w:r>
      <w:r w:rsidRPr="00883102">
        <w:rPr>
          <w:lang w:val="es-ES_tradnl" w:eastAsia="en-US"/>
        </w:rPr>
        <w:t xml:space="preserve"> </w:t>
      </w:r>
    </w:p>
    <w:p w14:paraId="1A5CA8D8" w14:textId="77777777" w:rsidR="00CD6BE3" w:rsidRPr="00883102" w:rsidRDefault="00CD6BE3" w:rsidP="00CD6BE3">
      <w:pPr>
        <w:pStyle w:val="INFOEM"/>
        <w:rPr>
          <w:lang w:val="es-ES_tradnl" w:eastAsia="en-US"/>
        </w:rPr>
      </w:pPr>
      <w:r w:rsidRPr="00883102">
        <w:rPr>
          <w:lang w:val="es-ES_tradnl" w:eastAsia="en-US"/>
        </w:rPr>
        <w:t>Toda persona tiene derecho al libre acceso a información plural y oportuna, así como a buscar, recibir y difundir información e ideas de toda índole por cualquier medio de expresión.</w:t>
      </w:r>
    </w:p>
    <w:p w14:paraId="6FC630F2" w14:textId="77777777" w:rsidR="00CD6BE3" w:rsidRPr="00883102" w:rsidRDefault="00CD6BE3" w:rsidP="00CD6BE3">
      <w:pPr>
        <w:pStyle w:val="INFOEM"/>
        <w:rPr>
          <w:lang w:val="es-ES_tradnl" w:eastAsia="en-US"/>
        </w:rPr>
      </w:pPr>
      <w:r w:rsidRPr="00883102">
        <w:rPr>
          <w:lang w:val="es-ES_tradnl" w:eastAsia="en-US"/>
        </w:rPr>
        <w:t>Para efectos de lo dispuesto en el presente artículo se observará lo siguiente:</w:t>
      </w:r>
    </w:p>
    <w:p w14:paraId="2150A2E3" w14:textId="77777777" w:rsidR="00CD6BE3" w:rsidRPr="00883102" w:rsidRDefault="00CD6BE3" w:rsidP="00CD6BE3">
      <w:pPr>
        <w:pStyle w:val="INFOEM"/>
        <w:rPr>
          <w:lang w:val="es-ES_tradnl" w:eastAsia="en-US"/>
        </w:rPr>
      </w:pPr>
      <w:r w:rsidRPr="00883102">
        <w:rPr>
          <w:lang w:val="es-ES_tradnl" w:eastAsia="en-US"/>
        </w:rPr>
        <w:t>A. Para el ejercicio del derecho de acceso a la información, la Federación, los Estados y el Distrito Federal, en el ámbito de sus respectivas competencias, se regirán por los siguientes principios y bases:</w:t>
      </w:r>
    </w:p>
    <w:p w14:paraId="2D859264" w14:textId="77777777" w:rsidR="00CD6BE3" w:rsidRPr="00883102" w:rsidRDefault="00CD6BE3" w:rsidP="00CD6BE3">
      <w:pPr>
        <w:pStyle w:val="INFOEM"/>
        <w:rPr>
          <w:lang w:val="es-ES_tradnl" w:eastAsia="en-US"/>
        </w:rPr>
      </w:pPr>
      <w:r w:rsidRPr="00883102">
        <w:rPr>
          <w:b/>
          <w:lang w:val="es-ES_tradnl" w:eastAsia="en-US"/>
        </w:rPr>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w:t>
      </w:r>
      <w:r w:rsidRPr="00883102">
        <w:rPr>
          <w:lang w:val="es-ES_tradnl" w:eastAsia="en-US"/>
        </w:rPr>
        <w:lastRenderedPageBreak/>
        <w:t xml:space="preserve">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784DDB72" w14:textId="77777777" w:rsidR="00CD6BE3" w:rsidRPr="00883102" w:rsidRDefault="00CD6BE3" w:rsidP="00CD6BE3">
      <w:pPr>
        <w:pStyle w:val="INFOEM"/>
        <w:rPr>
          <w:lang w:val="es-ES_tradnl" w:eastAsia="en-US"/>
        </w:rPr>
      </w:pPr>
      <w:r w:rsidRPr="00883102">
        <w:rPr>
          <w:lang w:val="es-ES_tradnl" w:eastAsia="en-US"/>
        </w:rPr>
        <w:t>II. La información que se refiere a la vida privada y los datos personales será protegida en los términos y con las excepciones que fijen las leyes.</w:t>
      </w:r>
    </w:p>
    <w:p w14:paraId="5DE88B70" w14:textId="77777777" w:rsidR="00CD6BE3" w:rsidRPr="00883102" w:rsidRDefault="00CD6BE3" w:rsidP="00CD6BE3">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3D3A3E99" w14:textId="77777777" w:rsidR="00CD6BE3" w:rsidRPr="00883102" w:rsidRDefault="00CD6BE3" w:rsidP="00CD6BE3">
      <w:pPr>
        <w:pStyle w:val="INFOEM"/>
        <w:rPr>
          <w:lang w:val="es-ES_tradnl" w:eastAsia="en-US"/>
        </w:rPr>
      </w:pPr>
      <w:r w:rsidRPr="00883102">
        <w:rPr>
          <w:lang w:val="es-ES_tradnl" w:eastAsia="en-US"/>
        </w:rPr>
        <w:t>IV. Se establecerán mecanismos de acceso a la información y procedimientos de revisión expeditos que se sustanciarán ante los organismos autónomos especializados e imparciales que establece esta Constitución.</w:t>
      </w:r>
    </w:p>
    <w:p w14:paraId="7E805788" w14:textId="77777777" w:rsidR="00CD6BE3" w:rsidRPr="00883102" w:rsidRDefault="00CD6BE3" w:rsidP="00CD6BE3">
      <w:pPr>
        <w:pStyle w:val="INFOEM"/>
        <w:rPr>
          <w:lang w:val="es-ES_tradnl" w:eastAsia="en-US"/>
        </w:rPr>
      </w:pPr>
      <w:r w:rsidRPr="00883102">
        <w:rPr>
          <w:b/>
          <w:lang w:val="es-ES_tradnl" w:eastAsia="en-US"/>
        </w:rPr>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ejercicio de los recursos públicos </w:t>
      </w:r>
      <w:r w:rsidRPr="00883102">
        <w:rPr>
          <w:lang w:val="es-ES_tradnl" w:eastAsia="en-US"/>
        </w:rPr>
        <w:t>y los indicadores que permitan rendir cuenta del cumplimiento de sus objetivos y de los resultados obtenidos.</w:t>
      </w:r>
    </w:p>
    <w:p w14:paraId="1CAB0873" w14:textId="77777777" w:rsidR="00CD6BE3" w:rsidRPr="00883102" w:rsidRDefault="00CD6BE3" w:rsidP="00CD6BE3">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686FE9FC" w14:textId="77777777" w:rsidR="00CD6BE3" w:rsidRPr="00883102" w:rsidRDefault="00CD6BE3" w:rsidP="00CD6BE3">
      <w:pPr>
        <w:pStyle w:val="INFOEM"/>
        <w:rPr>
          <w:lang w:val="es-ES_tradnl" w:eastAsia="en-US"/>
        </w:rPr>
      </w:pPr>
      <w:r w:rsidRPr="00883102">
        <w:rPr>
          <w:lang w:val="es-ES_tradnl" w:eastAsia="en-US"/>
        </w:rPr>
        <w:t>VII. La inobservancia a las disposiciones en materia de acceso a la información pública será sancionada en los términos que dispongan las leyes.</w:t>
      </w:r>
    </w:p>
    <w:p w14:paraId="287049F5" w14:textId="77777777" w:rsidR="00CD6BE3" w:rsidRPr="00883102" w:rsidRDefault="00CD6BE3" w:rsidP="00CD6BE3">
      <w:pPr>
        <w:pStyle w:val="INFOEM"/>
        <w:rPr>
          <w:lang w:val="es-ES_tradnl" w:eastAsia="en-US"/>
        </w:rPr>
      </w:pPr>
      <w:r w:rsidRPr="00883102">
        <w:rPr>
          <w:lang w:val="es-ES_tradnl" w:eastAsia="en-U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6D1F492" w14:textId="77777777" w:rsidR="00CD6BE3" w:rsidRPr="00883102" w:rsidRDefault="00CD6BE3" w:rsidP="00CD6BE3">
      <w:pPr>
        <w:pStyle w:val="INFOEM"/>
        <w:rPr>
          <w:lang w:val="es-ES_tradnl" w:eastAsia="en-US"/>
        </w:rPr>
      </w:pPr>
      <w:r w:rsidRPr="00883102">
        <w:rPr>
          <w:lang w:val="es-ES_tradnl" w:eastAsia="en-US"/>
        </w:rPr>
        <w:t>(…)</w:t>
      </w:r>
    </w:p>
    <w:p w14:paraId="6FA08A8F" w14:textId="77777777" w:rsidR="00CD6BE3" w:rsidRPr="00883102" w:rsidRDefault="00CD6BE3" w:rsidP="00CD6BE3">
      <w:pPr>
        <w:pStyle w:val="INFOEM"/>
        <w:rPr>
          <w:lang w:val="es-ES_tradnl" w:eastAsia="en-US"/>
        </w:rPr>
      </w:pPr>
      <w:r w:rsidRPr="00883102">
        <w:rPr>
          <w:lang w:val="es-ES_tradnl" w:eastAsia="en-US"/>
        </w:rPr>
        <w:t>La ley establecerá aquella información que se considere reservada o confidencial.</w:t>
      </w:r>
    </w:p>
    <w:p w14:paraId="7CF08429" w14:textId="77777777" w:rsidR="00CD6BE3" w:rsidRPr="003834CC" w:rsidRDefault="00CD6BE3" w:rsidP="00CD6BE3">
      <w:pPr>
        <w:pStyle w:val="INFOEM"/>
        <w:rPr>
          <w:b/>
          <w:lang w:val="es-ES_tradnl" w:eastAsia="en-US"/>
        </w:rPr>
      </w:pPr>
      <w:r w:rsidRPr="00883102">
        <w:rPr>
          <w:lang w:val="es-ES_tradnl" w:eastAsia="en-US"/>
        </w:rPr>
        <w:t xml:space="preserve">(…) </w:t>
      </w:r>
      <w:r>
        <w:rPr>
          <w:lang w:val="es-ES_tradnl" w:eastAsia="en-US"/>
        </w:rPr>
        <w:t xml:space="preserve">“ </w:t>
      </w:r>
      <w:r>
        <w:rPr>
          <w:b/>
          <w:lang w:val="es-ES_tradnl" w:eastAsia="en-US"/>
        </w:rPr>
        <w:t>(Sic)</w:t>
      </w:r>
    </w:p>
    <w:p w14:paraId="320B0E9C" w14:textId="77777777" w:rsidR="00CD6BE3" w:rsidRPr="00883102" w:rsidRDefault="00CD6BE3" w:rsidP="00CD6BE3">
      <w:pPr>
        <w:spacing w:after="0" w:line="360" w:lineRule="auto"/>
        <w:jc w:val="both"/>
        <w:rPr>
          <w:rFonts w:ascii="Palatino Linotype" w:hAnsi="Palatino Linotype"/>
          <w:sz w:val="24"/>
          <w:szCs w:val="24"/>
          <w:lang w:val="es-ES_tradnl"/>
        </w:rPr>
      </w:pPr>
    </w:p>
    <w:p w14:paraId="6D3C37EF" w14:textId="77777777" w:rsidR="00CD6BE3" w:rsidRPr="00883102" w:rsidRDefault="00CD6BE3" w:rsidP="00CD6BE3">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Por su parte, la Constitución Política del Estado Libre y Soberano de México, en su artículo 5°, dispone en su parte conducente, lo siguiente:</w:t>
      </w:r>
    </w:p>
    <w:p w14:paraId="3A3AADAE" w14:textId="77777777" w:rsidR="00CD6BE3" w:rsidRPr="00883102" w:rsidRDefault="00CD6BE3" w:rsidP="00CD6BE3">
      <w:pPr>
        <w:pStyle w:val="INFOEM"/>
        <w:rPr>
          <w:lang w:val="es-ES_tradnl" w:eastAsia="en-US"/>
        </w:rPr>
      </w:pPr>
      <w:r>
        <w:rPr>
          <w:lang w:val="es-ES_tradnl" w:eastAsia="en-US"/>
        </w:rPr>
        <w:t>“</w:t>
      </w:r>
      <w:r w:rsidRPr="00883102">
        <w:rPr>
          <w:lang w:val="es-ES_tradnl" w:eastAsia="en-US"/>
        </w:rPr>
        <w:t>Artículo 5. (…)</w:t>
      </w:r>
    </w:p>
    <w:p w14:paraId="7825CEBD" w14:textId="77777777" w:rsidR="00CD6BE3" w:rsidRPr="00883102" w:rsidRDefault="00CD6BE3" w:rsidP="00CD6BE3">
      <w:pPr>
        <w:pStyle w:val="INFOEM"/>
        <w:rPr>
          <w:lang w:val="es-ES_tradnl" w:eastAsia="en-US"/>
        </w:rPr>
      </w:pPr>
      <w:r w:rsidRPr="00883102">
        <w:rPr>
          <w:lang w:val="es-ES_tradnl" w:eastAsia="en-US"/>
        </w:rPr>
        <w:t xml:space="preserve">El derecho a la información será garantizado por el Estado. La ley establecerá las previsiones que permitan asegurar la protección, el respeto y la difusión de este derecho. </w:t>
      </w:r>
    </w:p>
    <w:p w14:paraId="5D792364" w14:textId="77777777" w:rsidR="00CD6BE3" w:rsidRPr="00883102" w:rsidRDefault="00CD6BE3" w:rsidP="00CD6BE3">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B4FA18D" w14:textId="77777777" w:rsidR="00CD6BE3" w:rsidRPr="00883102" w:rsidRDefault="00CD6BE3" w:rsidP="00CD6BE3">
      <w:pPr>
        <w:pStyle w:val="INFOEM"/>
        <w:rPr>
          <w:lang w:val="es-ES_tradnl" w:eastAsia="en-US"/>
        </w:rPr>
      </w:pPr>
      <w:r w:rsidRPr="00883102">
        <w:rPr>
          <w:lang w:val="es-ES_tradnl" w:eastAsia="en-US"/>
        </w:rPr>
        <w:t>Este derecho se regirá por los principios y bases siguientes:</w:t>
      </w:r>
    </w:p>
    <w:p w14:paraId="08F5591F" w14:textId="77777777" w:rsidR="00CD6BE3" w:rsidRPr="00883102" w:rsidRDefault="00CD6BE3" w:rsidP="00CD6BE3">
      <w:pPr>
        <w:pStyle w:val="INFOEM"/>
        <w:rPr>
          <w:lang w:val="es-ES_tradnl" w:eastAsia="en-US"/>
        </w:rPr>
      </w:pPr>
      <w:r w:rsidRPr="00883102">
        <w:rPr>
          <w:lang w:val="es-ES_tradnl" w:eastAsia="en-US"/>
        </w:rPr>
        <w:lastRenderedPageBreak/>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883102">
        <w:rPr>
          <w:u w:val="single"/>
          <w:lang w:val="es-ES_tradnl" w:eastAsia="en-US"/>
        </w:rPr>
        <w:t>la administración pública municipal y sus organismos descentralizados</w:t>
      </w:r>
      <w:r w:rsidRPr="00883102">
        <w:rPr>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68A4E5" w14:textId="77777777" w:rsidR="00CD6BE3" w:rsidRPr="00883102" w:rsidRDefault="00CD6BE3" w:rsidP="00CD6BE3">
      <w:pPr>
        <w:pStyle w:val="INFOEM"/>
        <w:rPr>
          <w:lang w:val="es-ES_tradnl" w:eastAsia="en-US"/>
        </w:rPr>
      </w:pPr>
      <w:r w:rsidRPr="00883102">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148ACC98" w14:textId="77777777" w:rsidR="00CD6BE3" w:rsidRPr="00883102" w:rsidRDefault="00CD6BE3" w:rsidP="00CD6BE3">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2BD7B02C" w14:textId="77777777" w:rsidR="00CD6BE3" w:rsidRPr="00883102" w:rsidRDefault="00CD6BE3" w:rsidP="00CD6BE3">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0C8E505E" w14:textId="77777777" w:rsidR="00CD6BE3" w:rsidRPr="00883102" w:rsidRDefault="00CD6BE3" w:rsidP="00CD6BE3">
      <w:pPr>
        <w:pStyle w:val="INFOEM"/>
        <w:rPr>
          <w:lang w:val="es-ES_tradnl" w:eastAsia="en-US"/>
        </w:rPr>
      </w:pPr>
      <w:r w:rsidRPr="00883102">
        <w:rPr>
          <w:lang w:val="es-ES_tradnl" w:eastAsia="en-US"/>
        </w:rPr>
        <w:t xml:space="preserve">V. Los procedimientos de acceso a la información pública, de acceso, corrección y supresión de datos personales, así como los recursos de revisión derivados de los mismos, podrán tramitarse por medios electrónicos, a través de un sistema </w:t>
      </w:r>
      <w:r w:rsidRPr="00883102">
        <w:rPr>
          <w:lang w:val="es-ES_tradnl" w:eastAsia="en-US"/>
        </w:rPr>
        <w:lastRenderedPageBreak/>
        <w:t>automatizado que para tal efecto establezca la ley reglamentaria y el organismo autónomo garante en el ámbito de su competencia. Las resoluciones que correspondan a estos procedimientos se sistematizarán para favorecer su consulta.</w:t>
      </w:r>
    </w:p>
    <w:p w14:paraId="4AADEB75" w14:textId="77777777" w:rsidR="00CD6BE3" w:rsidRPr="00883102" w:rsidRDefault="00CD6BE3" w:rsidP="00CD6BE3">
      <w:pPr>
        <w:pStyle w:val="INFOEM"/>
        <w:rPr>
          <w:lang w:val="es-ES_tradnl" w:eastAsia="en-US"/>
        </w:rPr>
      </w:pPr>
      <w:r w:rsidRPr="00883102">
        <w:rPr>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2EC205" w14:textId="77777777" w:rsidR="00CD6BE3" w:rsidRPr="003834CC" w:rsidRDefault="00CD6BE3" w:rsidP="00CD6BE3">
      <w:pPr>
        <w:pStyle w:val="INFOEM"/>
        <w:rPr>
          <w:rFonts w:asciiTheme="minorHAnsi" w:hAnsiTheme="minorHAnsi"/>
          <w:b/>
          <w:lang w:val="es-ES_tradnl" w:eastAsia="en-US"/>
        </w:rPr>
      </w:pPr>
      <w:r w:rsidRPr="00883102">
        <w:rPr>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Pr>
          <w:rFonts w:asciiTheme="minorHAnsi" w:hAnsiTheme="minorHAnsi"/>
          <w:lang w:val="es-ES_tradnl" w:eastAsia="en-US"/>
        </w:rPr>
        <w:t xml:space="preserve">” </w:t>
      </w:r>
      <w:r w:rsidRPr="003834CC">
        <w:rPr>
          <w:b/>
          <w:lang w:val="es-ES_tradnl" w:eastAsia="en-US"/>
        </w:rPr>
        <w:t>(Sic)</w:t>
      </w:r>
    </w:p>
    <w:p w14:paraId="55D5FD7A" w14:textId="77777777" w:rsidR="00CD6BE3" w:rsidRPr="00883102" w:rsidRDefault="00CD6BE3" w:rsidP="00CD6BE3">
      <w:pPr>
        <w:spacing w:after="0" w:line="360" w:lineRule="auto"/>
        <w:jc w:val="both"/>
        <w:rPr>
          <w:rFonts w:ascii="Palatino Linotype" w:hAnsi="Palatino Linotype"/>
          <w:sz w:val="24"/>
          <w:szCs w:val="24"/>
          <w:lang w:val="es-ES_tradnl"/>
        </w:rPr>
      </w:pPr>
    </w:p>
    <w:p w14:paraId="0D6A0BFD" w14:textId="77777777" w:rsidR="00CD6BE3" w:rsidRPr="00883102" w:rsidRDefault="00CD6BE3" w:rsidP="00CD6BE3">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0C4A8B0" w14:textId="77777777" w:rsidR="00CD6BE3" w:rsidRDefault="00CD6BE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0A6B58" w14:textId="6B8486FE" w:rsidR="002470D3" w:rsidRPr="0010165E" w:rsidRDefault="00954EE0"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este tenor es de destacar que </w:t>
      </w:r>
      <w:r w:rsidR="002470D3" w:rsidRPr="0010165E">
        <w:rPr>
          <w:rFonts w:ascii="Palatino Linotype" w:eastAsia="Times New Roman" w:hAnsi="Palatino Linotype" w:cs="Arial"/>
          <w:sz w:val="24"/>
          <w:szCs w:val="24"/>
          <w:lang w:val="es-ES" w:eastAsia="es-ES"/>
        </w:rPr>
        <w:t xml:space="preserve">en cumplimiento a las obligaciones que establece nuestra Carta Magna, la Constitución Estatal y </w:t>
      </w:r>
      <w:r w:rsidR="00CF5035">
        <w:rPr>
          <w:rFonts w:ascii="Palatino Linotype" w:eastAsia="Times New Roman" w:hAnsi="Palatino Linotype" w:cs="Arial"/>
          <w:sz w:val="24"/>
          <w:szCs w:val="24"/>
          <w:lang w:val="es-ES" w:eastAsia="es-ES"/>
        </w:rPr>
        <w:t xml:space="preserve">que </w:t>
      </w:r>
      <w:r w:rsidR="002470D3" w:rsidRPr="0010165E">
        <w:rPr>
          <w:rFonts w:ascii="Palatino Linotype" w:eastAsia="Times New Roman" w:hAnsi="Palatino Linotype" w:cs="Arial"/>
          <w:sz w:val="24"/>
          <w:szCs w:val="24"/>
          <w:lang w:val="es-ES" w:eastAsia="es-ES"/>
        </w:rPr>
        <w:t xml:space="preserve">la Ley de la materia le imponen,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w:t>
      </w:r>
      <w:r w:rsidR="002470D3" w:rsidRPr="0010165E">
        <w:rPr>
          <w:rFonts w:ascii="Palatino Linotype" w:eastAsia="Times New Roman" w:hAnsi="Palatino Linotype" w:cs="Arial"/>
          <w:sz w:val="24"/>
          <w:szCs w:val="24"/>
          <w:lang w:val="es-ES" w:eastAsia="es-ES"/>
        </w:rPr>
        <w:lastRenderedPageBreak/>
        <w:t xml:space="preserve">constancias que obran en el sistema SAIMEX por motivo de la solicitud que dio origen a este recurso,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fue omiso en dar respuesta a la solicitud.</w:t>
      </w:r>
    </w:p>
    <w:p w14:paraId="0DC4E511"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946556"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9007BDE"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63BA500" w14:textId="77777777" w:rsidR="00954EE0"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p>
    <w:p w14:paraId="2FE169B6" w14:textId="77777777" w:rsidR="00954EE0" w:rsidRDefault="00954EE0"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29CD581" w14:textId="4935CC0A" w:rsidR="002470D3" w:rsidRPr="0010165E"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1F2A736C"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w:t>
      </w:r>
      <w:r w:rsidRPr="0010165E">
        <w:rPr>
          <w:rFonts w:ascii="Palatino Linotype" w:hAnsi="Palatino Linotype" w:cs="Arial"/>
          <w:sz w:val="24"/>
          <w:szCs w:val="24"/>
        </w:rPr>
        <w:lastRenderedPageBreak/>
        <w:t xml:space="preserve">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 xml:space="preserve">inscripción en el </w:t>
      </w:r>
      <w:r w:rsidRPr="0010165E">
        <w:rPr>
          <w:rFonts w:ascii="Palatino Linotype" w:hAnsi="Palatino Linotype" w:cs="Arial"/>
          <w:i/>
        </w:rPr>
        <w:lastRenderedPageBreak/>
        <w:t>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 xml:space="preserve">De conformidad con lo establecido en el artículo 3, fracción II de la Ley Federal de Transparencia y Acceso a la Información Pública Gubernamental, dato personal es toda </w:t>
      </w:r>
      <w:r w:rsidRPr="0010165E">
        <w:rPr>
          <w:rFonts w:ascii="Palatino Linotype" w:hAnsi="Palatino Linotype" w:cs="Arial"/>
          <w:i/>
        </w:rPr>
        <w:lastRenderedPageBreak/>
        <w:t>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10165E">
        <w:rPr>
          <w:rFonts w:ascii="Palatino Linotype" w:hAnsi="Palatino Linotype" w:cs="Arial"/>
          <w:sz w:val="24"/>
          <w:szCs w:val="24"/>
        </w:rPr>
        <w:lastRenderedPageBreak/>
        <w:t>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lastRenderedPageBreak/>
        <w:t>III …</w:t>
      </w:r>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10165E">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28685230"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w:t>
      </w:r>
      <w:r w:rsidR="00BC22EB" w:rsidRPr="0010165E">
        <w:rPr>
          <w:rFonts w:ascii="Palatino Linotype" w:hAnsi="Palatino Linotype" w:cs="Arial"/>
          <w:sz w:val="24"/>
          <w:szCs w:val="24"/>
        </w:rPr>
        <w:t xml:space="preserve">información </w:t>
      </w:r>
      <w:r w:rsidR="004179A5" w:rsidRPr="00D03980">
        <w:rPr>
          <w:rFonts w:ascii="Palatino Linotype" w:hAnsi="Palatino Linotype"/>
          <w:b/>
          <w:bCs/>
          <w:sz w:val="24"/>
          <w:szCs w:val="24"/>
        </w:rPr>
        <w:t>03536/METEPEC/IP/202</w:t>
      </w:r>
      <w:r w:rsidR="004179A5">
        <w:rPr>
          <w:rFonts w:ascii="Palatino Linotype" w:hAnsi="Palatino Linotype"/>
          <w:b/>
          <w:bCs/>
          <w:sz w:val="24"/>
          <w:szCs w:val="24"/>
        </w:rPr>
        <w:t xml:space="preserve"> </w:t>
      </w:r>
      <w:r w:rsidRPr="0010165E">
        <w:rPr>
          <w:rFonts w:ascii="Palatino Linotype" w:hAnsi="Palatino Linotype" w:cs="Arial"/>
          <w:sz w:val="24"/>
          <w:szCs w:val="24"/>
        </w:rPr>
        <w:t>que ha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10165E"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7050748E"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w:t>
      </w:r>
      <w:r w:rsidR="000067F1">
        <w:rPr>
          <w:rFonts w:ascii="Palatino Linotype" w:hAnsi="Palatino Linotype" w:cs="Arial"/>
          <w:sz w:val="24"/>
          <w:szCs w:val="24"/>
        </w:rPr>
        <w:t xml:space="preserve">la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727C0B8E"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35D5715C" w14:textId="747726CE"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w:t>
      </w:r>
      <w:r w:rsidR="000D7A2F" w:rsidRPr="00FB50E0">
        <w:rPr>
          <w:rFonts w:ascii="Palatino Linotype" w:hAnsi="Palatino Linotype" w:cs="Arial"/>
          <w:sz w:val="24"/>
          <w:szCs w:val="24"/>
        </w:rPr>
        <w:t>solicitud</w:t>
      </w:r>
      <w:r w:rsidR="000D7A2F">
        <w:rPr>
          <w:rFonts w:ascii="Palatino Linotype" w:hAnsi="Palatino Linotype" w:cs="Arial"/>
          <w:sz w:val="24"/>
          <w:szCs w:val="24"/>
        </w:rPr>
        <w:t xml:space="preserve"> </w:t>
      </w:r>
      <w:r w:rsidRPr="00FB50E0">
        <w:rPr>
          <w:rFonts w:ascii="Palatino Linotype" w:hAnsi="Palatino Linotype" w:cs="Arial"/>
          <w:sz w:val="24"/>
          <w:szCs w:val="24"/>
        </w:rPr>
        <w:t xml:space="preserve">de </w:t>
      </w:r>
      <w:r w:rsidR="00BC22EB" w:rsidRPr="00FB50E0">
        <w:rPr>
          <w:rFonts w:ascii="Palatino Linotype" w:hAnsi="Palatino Linotype" w:cs="Arial"/>
          <w:sz w:val="24"/>
          <w:szCs w:val="24"/>
        </w:rPr>
        <w:t>información</w:t>
      </w:r>
      <w:r w:rsidR="004179A5">
        <w:rPr>
          <w:rFonts w:ascii="Palatino Linotype" w:hAnsi="Palatino Linotype" w:cs="Arial"/>
          <w:sz w:val="24"/>
          <w:szCs w:val="24"/>
        </w:rPr>
        <w:t xml:space="preserve"> </w:t>
      </w:r>
      <w:r w:rsidR="004179A5" w:rsidRPr="00D03980">
        <w:rPr>
          <w:rFonts w:ascii="Palatino Linotype" w:hAnsi="Palatino Linotype"/>
          <w:b/>
          <w:bCs/>
          <w:sz w:val="24"/>
          <w:szCs w:val="24"/>
        </w:rPr>
        <w:t>03536/METEPEC/IP/202</w:t>
      </w:r>
      <w:r w:rsidR="006E69E5">
        <w:rPr>
          <w:rFonts w:ascii="Palatino Linotype" w:hAnsi="Palatino Linotype" w:cs="Arial"/>
          <w:b/>
          <w:sz w:val="24"/>
          <w:szCs w:val="24"/>
          <w:lang w:eastAsia="es-MX"/>
        </w:rPr>
        <w:t>;</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00094405">
        <w:rPr>
          <w:rFonts w:ascii="Palatino Linotype" w:hAnsi="Palatino Linotype" w:cs="Arial"/>
          <w:sz w:val="24"/>
          <w:szCs w:val="24"/>
        </w:rPr>
        <w:t xml:space="preserve"> </w:t>
      </w:r>
      <w:r w:rsidRPr="00FB50E0">
        <w:rPr>
          <w:rFonts w:ascii="Palatino Linotype" w:hAnsi="Palatino Linotype" w:cs="Arial"/>
          <w:sz w:val="24"/>
          <w:szCs w:val="24"/>
        </w:rPr>
        <w:t>vía Sistema de Acceso a la Información Mexiquense (SAIMEX)</w:t>
      </w:r>
      <w:r w:rsidR="00C70C9F">
        <w:rPr>
          <w:rFonts w:ascii="Palatino Linotype" w:hAnsi="Palatino Linotype" w:cs="Arial"/>
          <w:sz w:val="24"/>
          <w:szCs w:val="24"/>
        </w:rPr>
        <w:t>.</w:t>
      </w:r>
    </w:p>
    <w:p w14:paraId="3955CA55" w14:textId="77777777" w:rsidR="00C70C9F" w:rsidRPr="00FB50E0" w:rsidRDefault="00C70C9F" w:rsidP="00DB52AF">
      <w:pPr>
        <w:tabs>
          <w:tab w:val="left" w:pos="8647"/>
        </w:tabs>
        <w:spacing w:after="0" w:line="360" w:lineRule="auto"/>
        <w:ind w:right="51"/>
        <w:jc w:val="both"/>
        <w:rPr>
          <w:rFonts w:ascii="Palatino Linotype" w:hAnsi="Palatino Linotype" w:cs="Arial"/>
          <w:sz w:val="24"/>
          <w:szCs w:val="24"/>
        </w:rPr>
      </w:pPr>
    </w:p>
    <w:p w14:paraId="586AACBD" w14:textId="62D61E2F"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r w:rsidR="00BC22EB" w:rsidRPr="00FB50E0">
        <w:rPr>
          <w:rFonts w:ascii="Palatino Linotype" w:hAnsi="Palatino Linotype" w:cs="Arial"/>
          <w:sz w:val="24"/>
          <w:szCs w:val="24"/>
        </w:rPr>
        <w:t>Municipios</w:t>
      </w:r>
      <w:r w:rsidRPr="00FB50E0">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0F71B21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0B33BC6B" w:rsidR="00DB52AF" w:rsidRPr="00FB50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w:t>
      </w:r>
      <w:r w:rsidR="000067F1">
        <w:rPr>
          <w:rFonts w:ascii="Palatino Linotype" w:eastAsia="Times New Roman" w:hAnsi="Palatino Linotype" w:cs="Arial"/>
          <w:b/>
          <w:sz w:val="24"/>
          <w:szCs w:val="24"/>
          <w:lang w:val="es-ES" w:eastAsia="es-ES"/>
        </w:rPr>
        <w:t xml:space="preserve"> la </w:t>
      </w:r>
      <w:r w:rsidRPr="00FB50E0">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 través del </w:t>
      </w:r>
      <w:r w:rsidR="00B24A23" w:rsidRPr="00FB50E0">
        <w:rPr>
          <w:rFonts w:ascii="Palatino Linotype" w:hAnsi="Palatino Linotype" w:cs="Arial"/>
          <w:sz w:val="24"/>
          <w:szCs w:val="24"/>
        </w:rPr>
        <w:t xml:space="preserve">Sistema de Acceso a la </w:t>
      </w:r>
      <w:r w:rsidR="00B24A23">
        <w:rPr>
          <w:rFonts w:ascii="Palatino Linotype" w:hAnsi="Palatino Linotype" w:cs="Arial"/>
          <w:sz w:val="24"/>
          <w:szCs w:val="24"/>
        </w:rPr>
        <w:t>Información Mexiquense (SAIMEX)</w:t>
      </w:r>
      <w:r w:rsidR="00094405">
        <w:rPr>
          <w:rFonts w:ascii="Palatino Linotype" w:hAnsi="Palatino Linotype" w:cs="Arial"/>
          <w:sz w:val="24"/>
          <w:szCs w:val="24"/>
        </w:rPr>
        <w:t xml:space="preserve"> y correo electrónico</w:t>
      </w:r>
      <w:r>
        <w:rPr>
          <w:rFonts w:ascii="Palatino Linotype" w:eastAsia="Times New Roman" w:hAnsi="Palatino Linotype" w:cs="Arial"/>
          <w:sz w:val="24"/>
          <w:szCs w:val="24"/>
          <w:lang w:val="es-ES" w:eastAsia="es-ES"/>
        </w:rPr>
        <w:t>,</w:t>
      </w:r>
      <w:r w:rsidRPr="00FB50E0">
        <w:rPr>
          <w:rFonts w:ascii="Palatino Linotype" w:eastAsia="Times New Roman" w:hAnsi="Palatino Linotype" w:cs="Arial"/>
          <w:sz w:val="24"/>
          <w:szCs w:val="24"/>
          <w:lang w:val="es-ES" w:eastAsia="es-ES"/>
        </w:rPr>
        <w:t xml:space="preserve"> la presente resolución, y </w:t>
      </w:r>
      <w:r w:rsidRPr="00FB50E0">
        <w:rPr>
          <w:rFonts w:ascii="Palatino Linotype" w:eastAsia="Times New Roman" w:hAnsi="Palatino Linotype" w:cs="Arial"/>
          <w:sz w:val="24"/>
          <w:szCs w:val="24"/>
          <w:lang w:val="es-ES" w:eastAsia="es-ES"/>
        </w:rPr>
        <w:lastRenderedPageBreak/>
        <w:t xml:space="preserve">hágase de su conocimiento que en caso de considerar que la presente resolución le causa algún perjuicio, podrá interponer el juicio de amparo, en los términos de las leyes aplicables </w:t>
      </w:r>
      <w:r w:rsidR="00867082" w:rsidRPr="00FB50E0">
        <w:rPr>
          <w:rFonts w:ascii="Palatino Linotype" w:eastAsia="Times New Roman" w:hAnsi="Palatino Linotype" w:cs="Arial"/>
          <w:sz w:val="24"/>
          <w:szCs w:val="24"/>
          <w:lang w:val="es-ES" w:eastAsia="es-ES"/>
        </w:rPr>
        <w:t>de acuerdo con</w:t>
      </w:r>
      <w:r w:rsidRPr="00FB50E0">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17560E6F" w14:textId="77777777" w:rsidR="00DB52AF" w:rsidRPr="00FB50E0" w:rsidRDefault="00DB52AF" w:rsidP="00DB52AF">
      <w:pPr>
        <w:spacing w:after="0" w:line="360" w:lineRule="auto"/>
        <w:jc w:val="both"/>
        <w:rPr>
          <w:rFonts w:ascii="Palatino Linotype" w:hAnsi="Palatino Linotype"/>
          <w:sz w:val="24"/>
          <w:szCs w:val="24"/>
          <w:lang w:eastAsia="es-ES_tradnl"/>
        </w:rPr>
      </w:pPr>
    </w:p>
    <w:p w14:paraId="5B74679A" w14:textId="6A8DF372"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w:t>
      </w:r>
      <w:r w:rsidR="007A2513">
        <w:rPr>
          <w:rFonts w:ascii="Palatino Linotype" w:eastAsia="Calibri" w:hAnsi="Palatino Linotype" w:cs="Times New Roman"/>
          <w:sz w:val="24"/>
          <w:szCs w:val="24"/>
          <w:lang w:eastAsia="es-ES_tradnl"/>
        </w:rPr>
        <w:t xml:space="preserve"> la</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1BB77064"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0EB2D2A0" w:rsidR="00DB52AF" w:rsidRPr="00FB50E0" w:rsidRDefault="00024064" w:rsidP="00DB52AF">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DB52AF" w:rsidRPr="00FB50E0">
        <w:rPr>
          <w:rFonts w:ascii="Palatino Linotype" w:eastAsia="Calibri" w:hAnsi="Palatino Linotype" w:cs="Times New Roman"/>
          <w:sz w:val="24"/>
          <w:szCs w:val="24"/>
          <w:lang w:eastAsia="es-ES_tradnl"/>
        </w:rPr>
        <w:t xml:space="preserve"> </w:t>
      </w:r>
      <w:r w:rsidR="00DB52AF" w:rsidRPr="00E949C6">
        <w:rPr>
          <w:rFonts w:ascii="Palatino Linotype" w:hAnsi="Palatino Linotype"/>
          <w:b/>
          <w:sz w:val="24"/>
          <w:szCs w:val="24"/>
          <w:lang w:eastAsia="es-ES_tradnl"/>
        </w:rPr>
        <w:t xml:space="preserve">Gírese </w:t>
      </w:r>
      <w:r w:rsidR="00DB52AF" w:rsidRPr="00FB50E0">
        <w:rPr>
          <w:rFonts w:ascii="Palatino Linotype" w:hAnsi="Palatino Linotype"/>
          <w:sz w:val="24"/>
          <w:szCs w:val="24"/>
          <w:lang w:eastAsia="es-ES_tradnl"/>
        </w:rPr>
        <w:t>oficio al Titular de la Contraloría Interna y Órgano de Control y Vigilancia de este Instituto, de conformidad co</w:t>
      </w:r>
      <w:bookmarkStart w:id="2" w:name="_GoBack"/>
      <w:bookmarkEnd w:id="2"/>
      <w:r w:rsidR="00DB52AF" w:rsidRPr="00FB50E0">
        <w:rPr>
          <w:rFonts w:ascii="Palatino Linotype" w:hAnsi="Palatino Linotype"/>
          <w:sz w:val="24"/>
          <w:szCs w:val="24"/>
          <w:lang w:eastAsia="es-ES_tradnl"/>
        </w:rPr>
        <w:t xml:space="preserve">n el artículo 190 de la Ley de Transparencia y Acceso a la Información Pública del Estado de México y Municipios determine lo conducente, en términos del considerando </w:t>
      </w:r>
      <w:r w:rsidR="007A2513">
        <w:rPr>
          <w:rFonts w:ascii="Palatino Linotype" w:hAnsi="Palatino Linotype"/>
          <w:sz w:val="24"/>
          <w:szCs w:val="24"/>
          <w:lang w:eastAsia="es-ES_tradnl"/>
        </w:rPr>
        <w:t>CUARTO</w:t>
      </w:r>
      <w:r w:rsidR="00DB52AF" w:rsidRPr="00FB50E0">
        <w:rPr>
          <w:rFonts w:ascii="Palatino Linotype" w:hAnsi="Palatino Linotype"/>
          <w:sz w:val="24"/>
          <w:szCs w:val="24"/>
          <w:lang w:eastAsia="es-ES_tradnl"/>
        </w:rPr>
        <w:t xml:space="preserve"> de la presente resolución.</w:t>
      </w:r>
    </w:p>
    <w:p w14:paraId="46B0AF66" w14:textId="77777777" w:rsidR="00DB52AF" w:rsidRPr="00D876B9" w:rsidRDefault="00DB52AF" w:rsidP="00DB52AF">
      <w:pPr>
        <w:spacing w:after="0" w:line="360" w:lineRule="auto"/>
        <w:jc w:val="both"/>
        <w:rPr>
          <w:rFonts w:ascii="Palatino Linotype" w:hAnsi="Palatino Linotype"/>
          <w:sz w:val="10"/>
          <w:szCs w:val="24"/>
          <w:lang w:eastAsia="es-ES_tradnl"/>
        </w:rPr>
      </w:pPr>
    </w:p>
    <w:p w14:paraId="17D37489" w14:textId="57DF770C" w:rsidR="00DB52AF" w:rsidRPr="0010165E" w:rsidRDefault="00DB52AF" w:rsidP="00DB52AF">
      <w:pPr>
        <w:spacing w:after="0" w:line="360" w:lineRule="auto"/>
        <w:jc w:val="both"/>
        <w:rPr>
          <w:rFonts w:ascii="Palatino Linotype" w:hAnsi="Palatino Linotype" w:cs="Arial"/>
          <w:sz w:val="24"/>
          <w:szCs w:val="24"/>
        </w:rPr>
      </w:pPr>
      <w:r w:rsidRPr="00D876B9">
        <w:rPr>
          <w:rFonts w:ascii="Palatino Linotype" w:hAnsi="Palatino Linotype" w:cs="Arial"/>
          <w:szCs w:val="24"/>
        </w:rPr>
        <w:t>ASÍ LO RESUELVE, POR UNANIMIDAD DE VOTOS EL PLENO DEL</w:t>
      </w:r>
      <w:r w:rsidRPr="00D876B9">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D876B9">
        <w:rPr>
          <w:rFonts w:ascii="Palatino Linotype" w:hAnsi="Palatino Linotype" w:cs="Arial"/>
          <w:szCs w:val="24"/>
        </w:rPr>
        <w:t xml:space="preserve">, CONFORMADO POR LOS COMISIONADOS JOSÉ MARTÍNEZ VILCHIS, MARÍA DEL ROSARIO MEJÍA AYALA, SHARON CRISTINA MORALES MARTÍNEZ, LUIS GUSTAVO PARRA NORIEGA Y GUADALUPE RAMÍREZ PEÑA, EN </w:t>
      </w:r>
      <w:r w:rsidR="00024064" w:rsidRPr="00D876B9">
        <w:rPr>
          <w:rFonts w:ascii="Palatino Linotype" w:hAnsi="Palatino Linotype" w:cs="Arial"/>
          <w:szCs w:val="24"/>
        </w:rPr>
        <w:t xml:space="preserve">LA </w:t>
      </w:r>
      <w:r w:rsidR="00326B8C" w:rsidRPr="00D876B9">
        <w:rPr>
          <w:rFonts w:ascii="Palatino Linotype" w:hAnsi="Palatino Linotype" w:cs="Arial"/>
          <w:szCs w:val="24"/>
        </w:rPr>
        <w:t xml:space="preserve">TRIGÉSIMA </w:t>
      </w:r>
      <w:r w:rsidR="007A2513" w:rsidRPr="00D876B9">
        <w:rPr>
          <w:rFonts w:ascii="Palatino Linotype" w:hAnsi="Palatino Linotype" w:cs="Arial"/>
          <w:szCs w:val="24"/>
        </w:rPr>
        <w:t xml:space="preserve">SEGUNDA </w:t>
      </w:r>
      <w:r w:rsidR="00024064" w:rsidRPr="00D876B9">
        <w:rPr>
          <w:rFonts w:ascii="Palatino Linotype" w:hAnsi="Palatino Linotype" w:cs="Arial"/>
          <w:szCs w:val="24"/>
        </w:rPr>
        <w:t>SESIÓN ORDINARIA CELEBRADA EL</w:t>
      </w:r>
      <w:r w:rsidR="007A2513" w:rsidRPr="00D876B9">
        <w:rPr>
          <w:rFonts w:ascii="Palatino Linotype" w:hAnsi="Palatino Linotype" w:cs="Arial"/>
          <w:szCs w:val="24"/>
        </w:rPr>
        <w:t xml:space="preserve"> SIETE DE SEPTIEMBRE DE DOS MIL VEINT</w:t>
      </w:r>
      <w:r w:rsidR="008F1F04" w:rsidRPr="00D876B9">
        <w:rPr>
          <w:rFonts w:ascii="Palatino Linotype" w:hAnsi="Palatino Linotype" w:cs="Arial"/>
          <w:szCs w:val="24"/>
        </w:rPr>
        <w:t>I</w:t>
      </w:r>
      <w:r w:rsidR="007A2513" w:rsidRPr="00D876B9">
        <w:rPr>
          <w:rFonts w:ascii="Palatino Linotype" w:hAnsi="Palatino Linotype" w:cs="Arial"/>
          <w:szCs w:val="24"/>
        </w:rPr>
        <w:t>DÓS</w:t>
      </w:r>
      <w:r w:rsidRPr="00D876B9">
        <w:rPr>
          <w:rFonts w:ascii="Palatino Linotype" w:hAnsi="Palatino Linotype" w:cs="Arial"/>
          <w:szCs w:val="24"/>
        </w:rPr>
        <w:t>, ANTE EL ANTE EL SECRETARIO TÉCNICO DEL PLENO, ALEXIS TAPIA RAMÍREZ.</w:t>
      </w:r>
      <w:r w:rsidRPr="0010165E">
        <w:rPr>
          <w:rFonts w:ascii="Palatino Linotype" w:hAnsi="Palatino Linotype" w:cs="Arial"/>
          <w:sz w:val="24"/>
          <w:szCs w:val="24"/>
        </w:rPr>
        <w:t xml:space="preserve"> ---------------------------</w:t>
      </w:r>
      <w:r w:rsidR="00D876B9">
        <w:rPr>
          <w:rFonts w:ascii="Palatino Linotype" w:hAnsi="Palatino Linotype" w:cs="Arial"/>
          <w:sz w:val="24"/>
          <w:szCs w:val="24"/>
        </w:rPr>
        <w:t>----</w:t>
      </w:r>
    </w:p>
    <w:p w14:paraId="262A5AAD" w14:textId="78B3E7FC" w:rsidR="00DB52AF" w:rsidRPr="005323D1" w:rsidRDefault="000D7A2F" w:rsidP="00DB52AF">
      <w:pPr>
        <w:spacing w:after="0" w:line="360" w:lineRule="auto"/>
        <w:jc w:val="both"/>
        <w:rPr>
          <w:rFonts w:ascii="Palatino Linotype" w:hAnsi="Palatino Linotype" w:cs="Arial"/>
          <w:sz w:val="20"/>
        </w:rPr>
      </w:pPr>
      <w:r>
        <w:rPr>
          <w:rFonts w:ascii="Palatino Linotype" w:hAnsi="Palatino Linotype" w:cs="Arial"/>
          <w:sz w:val="20"/>
        </w:rPr>
        <w:t>JMV/CCR/pgch</w:t>
      </w:r>
    </w:p>
    <w:p w14:paraId="41E56D73" w14:textId="77777777" w:rsidR="00DB52AF" w:rsidRDefault="00DB52AF" w:rsidP="00DB52AF">
      <w:pPr>
        <w:spacing w:after="0" w:line="360" w:lineRule="auto"/>
        <w:jc w:val="both"/>
        <w:rPr>
          <w:rFonts w:ascii="Palatino Linotype" w:hAnsi="Palatino Linotype" w:cs="Arial"/>
          <w:sz w:val="24"/>
          <w:szCs w:val="24"/>
        </w:rPr>
      </w:pPr>
    </w:p>
    <w:p w14:paraId="19A49D03" w14:textId="77777777" w:rsidR="00DB52AF" w:rsidRDefault="00DB52AF" w:rsidP="00DB52AF">
      <w:pPr>
        <w:spacing w:after="0" w:line="360" w:lineRule="auto"/>
        <w:jc w:val="both"/>
        <w:rPr>
          <w:rFonts w:ascii="Palatino Linotype" w:hAnsi="Palatino Linotype" w:cs="Arial"/>
          <w:sz w:val="24"/>
          <w:szCs w:val="24"/>
        </w:rPr>
      </w:pPr>
    </w:p>
    <w:p w14:paraId="5B283376" w14:textId="77777777" w:rsidR="00DB52AF" w:rsidRDefault="00DB52AF" w:rsidP="00DB52AF">
      <w:pPr>
        <w:spacing w:after="0" w:line="360" w:lineRule="auto"/>
        <w:jc w:val="both"/>
        <w:rPr>
          <w:rFonts w:ascii="Palatino Linotype" w:hAnsi="Palatino Linotype" w:cs="Arial"/>
          <w:sz w:val="24"/>
          <w:szCs w:val="24"/>
        </w:rPr>
      </w:pPr>
    </w:p>
    <w:p w14:paraId="304B18A0" w14:textId="77777777" w:rsidR="00DB52AF" w:rsidRDefault="00DB52AF" w:rsidP="00DB52AF">
      <w:pPr>
        <w:spacing w:after="0"/>
      </w:pPr>
    </w:p>
    <w:p w14:paraId="4BFC7509" w14:textId="77777777" w:rsidR="00DB52AF" w:rsidRDefault="00DB52AF" w:rsidP="00DB52AF">
      <w:pPr>
        <w:spacing w:after="0"/>
      </w:pPr>
    </w:p>
    <w:p w14:paraId="2F22BBFA" w14:textId="77777777" w:rsidR="00DB52AF" w:rsidRDefault="00DB52AF" w:rsidP="00DB52AF">
      <w:pPr>
        <w:spacing w:after="0"/>
      </w:pPr>
    </w:p>
    <w:p w14:paraId="62923A43" w14:textId="77777777" w:rsidR="00DB52AF" w:rsidRDefault="00DB52AF" w:rsidP="00DB52AF">
      <w:pPr>
        <w:spacing w:after="0"/>
      </w:pPr>
    </w:p>
    <w:p w14:paraId="1ED21161" w14:textId="77777777" w:rsidR="00DB52AF" w:rsidRDefault="00DB52AF" w:rsidP="00DB52AF">
      <w:pPr>
        <w:spacing w:after="0"/>
      </w:pPr>
    </w:p>
    <w:p w14:paraId="7BF1856F" w14:textId="77777777" w:rsidR="00DB52AF" w:rsidRDefault="00DB52AF" w:rsidP="00DB52AF">
      <w:pPr>
        <w:spacing w:after="0"/>
      </w:pPr>
    </w:p>
    <w:p w14:paraId="7B98F34C" w14:textId="77777777" w:rsidR="00DB52AF" w:rsidRDefault="00DB52AF" w:rsidP="00DB52AF">
      <w:pPr>
        <w:spacing w:after="0"/>
      </w:pPr>
    </w:p>
    <w:p w14:paraId="35BAB41B" w14:textId="77777777" w:rsidR="00DB52AF" w:rsidRDefault="00DB52AF" w:rsidP="00DB52AF">
      <w:pPr>
        <w:spacing w:after="0"/>
      </w:pPr>
    </w:p>
    <w:p w14:paraId="569C2F46" w14:textId="77777777" w:rsidR="00DB52AF" w:rsidRDefault="00DB52AF" w:rsidP="00DB52AF">
      <w:pPr>
        <w:spacing w:after="0"/>
      </w:pPr>
    </w:p>
    <w:p w14:paraId="40CE6480" w14:textId="77777777" w:rsidR="00DB52AF" w:rsidRDefault="00DB52AF" w:rsidP="00DB52AF"/>
    <w:p w14:paraId="48F254B2" w14:textId="77777777" w:rsidR="00EF5006" w:rsidRDefault="00A70728"/>
    <w:sectPr w:rsidR="00EF5006" w:rsidSect="0013539D">
      <w:headerReference w:type="default" r:id="rId8"/>
      <w:footerReference w:type="default" r:id="rId9"/>
      <w:headerReference w:type="first" r:id="rId10"/>
      <w:footerReference w:type="first" r:id="rId11"/>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F3B8C" w14:textId="77777777" w:rsidR="00A70728" w:rsidRDefault="00A70728" w:rsidP="00DB52AF">
      <w:pPr>
        <w:spacing w:after="0" w:line="240" w:lineRule="auto"/>
      </w:pPr>
      <w:r>
        <w:separator/>
      </w:r>
    </w:p>
  </w:endnote>
  <w:endnote w:type="continuationSeparator" w:id="0">
    <w:p w14:paraId="2287EF58" w14:textId="77777777" w:rsidR="00A70728" w:rsidRDefault="00A70728"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739A">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3739A">
              <w:rPr>
                <w:rFonts w:ascii="Palatino Linotype" w:hAnsi="Palatino Linotype"/>
                <w:bCs/>
                <w:noProof/>
                <w:sz w:val="20"/>
              </w:rPr>
              <w:t>30</w:t>
            </w:r>
            <w:r>
              <w:rPr>
                <w:rFonts w:ascii="Palatino Linotype" w:hAnsi="Palatino Linotype"/>
                <w:bCs/>
                <w:noProof/>
                <w:sz w:val="20"/>
              </w:rPr>
              <w:fldChar w:fldCharType="end"/>
            </w:r>
          </w:p>
        </w:sdtContent>
      </w:sdt>
    </w:sdtContent>
  </w:sdt>
  <w:p w14:paraId="0CDE4F13" w14:textId="77777777" w:rsidR="002C0311" w:rsidRDefault="00A707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739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3739A">
      <w:rPr>
        <w:rFonts w:ascii="Palatino Linotype" w:hAnsi="Palatino Linotype"/>
        <w:bCs/>
        <w:noProof/>
        <w:sz w:val="20"/>
      </w:rPr>
      <w:t>30</w:t>
    </w:r>
    <w:r>
      <w:rPr>
        <w:rFonts w:ascii="Palatino Linotype" w:hAnsi="Palatino Linotype"/>
        <w:bCs/>
        <w:noProof/>
        <w:sz w:val="20"/>
      </w:rPr>
      <w:fldChar w:fldCharType="end"/>
    </w:r>
  </w:p>
  <w:p w14:paraId="3D338257" w14:textId="77777777" w:rsidR="002C0311" w:rsidRDefault="00A707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E6A44" w14:textId="77777777" w:rsidR="00A70728" w:rsidRDefault="00A70728" w:rsidP="00DB52AF">
      <w:pPr>
        <w:spacing w:after="0" w:line="240" w:lineRule="auto"/>
      </w:pPr>
      <w:r>
        <w:separator/>
      </w:r>
    </w:p>
  </w:footnote>
  <w:footnote w:type="continuationSeparator" w:id="0">
    <w:p w14:paraId="21244F4E" w14:textId="77777777" w:rsidR="00A70728" w:rsidRDefault="00A70728"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1F7F86C2" w:rsidR="002C0311" w:rsidRPr="004670EC" w:rsidRDefault="00D30ECB" w:rsidP="004670EC">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4670EC">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F870AB">
            <w:rPr>
              <w:rFonts w:ascii="Palatino Linotype" w:hAnsi="Palatino Linotype" w:cs="Arial"/>
              <w:b/>
              <w:bCs/>
              <w:sz w:val="24"/>
              <w:lang w:eastAsia="es-MX"/>
            </w:rPr>
            <w:t>2500</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3311BDB0" w:rsidR="00E107EB" w:rsidRPr="00641471" w:rsidRDefault="00C506EE" w:rsidP="0013539D">
          <w:pPr>
            <w:spacing w:after="120" w:line="256" w:lineRule="auto"/>
            <w:ind w:right="214"/>
            <w:rPr>
              <w:rFonts w:ascii="Palatino Linotype" w:hAnsi="Palatino Linotype" w:cs="Arial"/>
              <w:b/>
              <w:szCs w:val="20"/>
            </w:rPr>
          </w:pPr>
          <w:r>
            <w:rPr>
              <w:rFonts w:ascii="Palatino Linotype" w:hAnsi="Palatino Linotype" w:cs="Arial"/>
              <w:b/>
              <w:szCs w:val="20"/>
            </w:rPr>
            <w:t xml:space="preserve">          </w:t>
          </w:r>
          <w:r w:rsidR="004670EC">
            <w:rPr>
              <w:rFonts w:ascii="Palatino Linotype" w:hAnsi="Palatino Linotype" w:cs="Arial"/>
              <w:b/>
              <w:szCs w:val="20"/>
            </w:rPr>
            <w:t xml:space="preserve"> </w:t>
          </w:r>
          <w:r w:rsidR="00DB52AF" w:rsidRPr="00DB52AF">
            <w:rPr>
              <w:rFonts w:ascii="Palatino Linotype" w:hAnsi="Palatino Linotype" w:cs="Arial"/>
              <w:b/>
              <w:szCs w:val="20"/>
            </w:rPr>
            <w:t>Ayuntamiento de</w:t>
          </w:r>
          <w:r w:rsidR="00E107EB">
            <w:rPr>
              <w:rFonts w:ascii="Palatino Linotype" w:hAnsi="Palatino Linotype" w:cs="Arial"/>
              <w:b/>
              <w:szCs w:val="20"/>
            </w:rPr>
            <w:t xml:space="preserve"> </w:t>
          </w:r>
          <w:r w:rsidR="00F870AB">
            <w:rPr>
              <w:rFonts w:ascii="Palatino Linotype" w:hAnsi="Palatino Linotype" w:cs="Arial"/>
              <w:b/>
              <w:szCs w:val="20"/>
            </w:rPr>
            <w:t>Metepec</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488CD471" w:rsidR="002C0311" w:rsidRPr="00641471" w:rsidRDefault="00D0018B" w:rsidP="00672B13">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D03980">
            <w:rPr>
              <w:rFonts w:ascii="Palatino Linotype" w:hAnsi="Palatino Linotype" w:cs="Arial"/>
              <w:b/>
              <w:bCs/>
              <w:sz w:val="24"/>
              <w:lang w:eastAsia="es-MX"/>
            </w:rPr>
            <w:t>2500</w:t>
          </w:r>
          <w:r w:rsidR="00761ED2">
            <w:rPr>
              <w:rFonts w:ascii="Palatino Linotype" w:hAnsi="Palatino Linotype" w:cs="Arial"/>
              <w:b/>
              <w:bCs/>
              <w:sz w:val="24"/>
              <w:lang w:eastAsia="es-MX"/>
            </w:rPr>
            <w:t>/INFOEM/IP/RR/2022</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3DC23FEB" w:rsidR="002C0311" w:rsidRPr="00641471" w:rsidRDefault="009A1107" w:rsidP="00D03980">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w:t>
          </w:r>
          <w:r w:rsidR="0013539D">
            <w:rPr>
              <w:rFonts w:ascii="Palatino Linotype" w:hAnsi="Palatino Linotype" w:cs="Arial"/>
              <w:b/>
              <w:szCs w:val="20"/>
            </w:rPr>
            <w:t xml:space="preserve">de </w:t>
          </w:r>
          <w:r w:rsidR="00D03980">
            <w:rPr>
              <w:rFonts w:ascii="Palatino Linotype" w:hAnsi="Palatino Linotype" w:cs="Arial"/>
              <w:b/>
              <w:szCs w:val="20"/>
            </w:rPr>
            <w:t>Metepec</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1DC8DB2F" w:rsidR="002C0311" w:rsidRPr="00641471" w:rsidRDefault="00D0018B" w:rsidP="00B3739A">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B3739A">
            <w:rPr>
              <w:rFonts w:ascii="Palatino Linotype" w:hAnsi="Palatino Linotype" w:cs="Arial"/>
              <w:b/>
              <w:noProof/>
              <w:szCs w:val="20"/>
              <w:lang w:eastAsia="es-MX"/>
            </w:rPr>
            <w:t>XXXXX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A7072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4774"/>
    <w:multiLevelType w:val="multilevel"/>
    <w:tmpl w:val="D35C0FD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27345"/>
    <w:multiLevelType w:val="hybridMultilevel"/>
    <w:tmpl w:val="BEB49204"/>
    <w:lvl w:ilvl="0" w:tplc="3904C436">
      <w:start w:val="1"/>
      <w:numFmt w:val="lowerLetter"/>
      <w:lvlText w:val="%1)"/>
      <w:lvlJc w:val="left"/>
      <w:pPr>
        <w:ind w:left="9636" w:hanging="705"/>
      </w:pPr>
    </w:lvl>
    <w:lvl w:ilvl="1" w:tplc="080A0019">
      <w:start w:val="1"/>
      <w:numFmt w:val="lowerLetter"/>
      <w:lvlText w:val="%2."/>
      <w:lvlJc w:val="left"/>
      <w:pPr>
        <w:ind w:left="10011" w:hanging="360"/>
      </w:pPr>
    </w:lvl>
    <w:lvl w:ilvl="2" w:tplc="080A001B">
      <w:start w:val="1"/>
      <w:numFmt w:val="lowerRoman"/>
      <w:lvlText w:val="%3."/>
      <w:lvlJc w:val="right"/>
      <w:pPr>
        <w:ind w:left="10731" w:hanging="180"/>
      </w:pPr>
    </w:lvl>
    <w:lvl w:ilvl="3" w:tplc="080A000F">
      <w:start w:val="1"/>
      <w:numFmt w:val="decimal"/>
      <w:lvlText w:val="%4."/>
      <w:lvlJc w:val="left"/>
      <w:pPr>
        <w:ind w:left="11451" w:hanging="360"/>
      </w:pPr>
    </w:lvl>
    <w:lvl w:ilvl="4" w:tplc="080A0019">
      <w:start w:val="1"/>
      <w:numFmt w:val="lowerLetter"/>
      <w:lvlText w:val="%5."/>
      <w:lvlJc w:val="left"/>
      <w:pPr>
        <w:ind w:left="12171" w:hanging="360"/>
      </w:pPr>
    </w:lvl>
    <w:lvl w:ilvl="5" w:tplc="080A001B">
      <w:start w:val="1"/>
      <w:numFmt w:val="lowerRoman"/>
      <w:lvlText w:val="%6."/>
      <w:lvlJc w:val="right"/>
      <w:pPr>
        <w:ind w:left="12891" w:hanging="180"/>
      </w:pPr>
    </w:lvl>
    <w:lvl w:ilvl="6" w:tplc="080A000F">
      <w:start w:val="1"/>
      <w:numFmt w:val="decimal"/>
      <w:lvlText w:val="%7."/>
      <w:lvlJc w:val="left"/>
      <w:pPr>
        <w:ind w:left="13611" w:hanging="360"/>
      </w:pPr>
    </w:lvl>
    <w:lvl w:ilvl="7" w:tplc="080A0019">
      <w:start w:val="1"/>
      <w:numFmt w:val="lowerLetter"/>
      <w:lvlText w:val="%8."/>
      <w:lvlJc w:val="left"/>
      <w:pPr>
        <w:ind w:left="14331" w:hanging="360"/>
      </w:pPr>
    </w:lvl>
    <w:lvl w:ilvl="8" w:tplc="080A001B">
      <w:start w:val="1"/>
      <w:numFmt w:val="lowerRoman"/>
      <w:lvlText w:val="%9."/>
      <w:lvlJc w:val="right"/>
      <w:pPr>
        <w:ind w:left="15051" w:hanging="180"/>
      </w:pPr>
    </w:lvl>
  </w:abstractNum>
  <w:abstractNum w:abstractNumId="4" w15:restartNumberingAfterBreak="0">
    <w:nsid w:val="41540239"/>
    <w:multiLevelType w:val="multilevel"/>
    <w:tmpl w:val="D38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9143"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lvl>
    <w:lvl w:ilvl="4" w:tplc="0BC4BF6C">
      <w:numFmt w:val="bullet"/>
      <w:lvlText w:val="•"/>
      <w:lvlJc w:val="left"/>
      <w:pPr>
        <w:ind w:left="2160" w:hanging="238"/>
      </w:pPr>
    </w:lvl>
    <w:lvl w:ilvl="5" w:tplc="29F6170C">
      <w:numFmt w:val="bullet"/>
      <w:lvlText w:val="•"/>
      <w:lvlJc w:val="left"/>
      <w:pPr>
        <w:ind w:left="3500" w:hanging="238"/>
      </w:pPr>
    </w:lvl>
    <w:lvl w:ilvl="6" w:tplc="71985FCC">
      <w:numFmt w:val="bullet"/>
      <w:lvlText w:val="•"/>
      <w:lvlJc w:val="left"/>
      <w:pPr>
        <w:ind w:left="4840" w:hanging="238"/>
      </w:pPr>
    </w:lvl>
    <w:lvl w:ilvl="7" w:tplc="922C3072">
      <w:numFmt w:val="bullet"/>
      <w:lvlText w:val="•"/>
      <w:lvlJc w:val="left"/>
      <w:pPr>
        <w:ind w:left="6181" w:hanging="238"/>
      </w:pPr>
    </w:lvl>
    <w:lvl w:ilvl="8" w:tplc="D15AF54C">
      <w:numFmt w:val="bullet"/>
      <w:lvlText w:val="•"/>
      <w:lvlJc w:val="left"/>
      <w:pPr>
        <w:ind w:left="7521" w:hanging="238"/>
      </w:pPr>
    </w:lvl>
  </w:abstractNum>
  <w:abstractNum w:abstractNumId="6" w15:restartNumberingAfterBreak="0">
    <w:nsid w:val="5BCB4B12"/>
    <w:multiLevelType w:val="multilevel"/>
    <w:tmpl w:val="5A5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C4C0F"/>
    <w:multiLevelType w:val="hybridMultilevel"/>
    <w:tmpl w:val="88EC5EA6"/>
    <w:lvl w:ilvl="0" w:tplc="64ACBA6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F4C0964"/>
    <w:multiLevelType w:val="multilevel"/>
    <w:tmpl w:val="C10EE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483646"/>
    <w:multiLevelType w:val="hybridMultilevel"/>
    <w:tmpl w:val="918066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4"/>
  </w:num>
  <w:num w:numId="9">
    <w:abstractNumId w:val="9"/>
  </w:num>
  <w:num w:numId="10">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056DE"/>
    <w:rsid w:val="000067F1"/>
    <w:rsid w:val="00024064"/>
    <w:rsid w:val="00036F8B"/>
    <w:rsid w:val="00054C31"/>
    <w:rsid w:val="00065DD5"/>
    <w:rsid w:val="00090E4D"/>
    <w:rsid w:val="000931DA"/>
    <w:rsid w:val="00094405"/>
    <w:rsid w:val="000A1D5B"/>
    <w:rsid w:val="000A5835"/>
    <w:rsid w:val="000D7A2F"/>
    <w:rsid w:val="000E17B8"/>
    <w:rsid w:val="000E7ECA"/>
    <w:rsid w:val="00123996"/>
    <w:rsid w:val="00133CEF"/>
    <w:rsid w:val="0013539D"/>
    <w:rsid w:val="00136A0B"/>
    <w:rsid w:val="00146E51"/>
    <w:rsid w:val="00156080"/>
    <w:rsid w:val="0016518C"/>
    <w:rsid w:val="00171EA6"/>
    <w:rsid w:val="00176155"/>
    <w:rsid w:val="0018536B"/>
    <w:rsid w:val="00191561"/>
    <w:rsid w:val="001D14AF"/>
    <w:rsid w:val="001D316A"/>
    <w:rsid w:val="002043D6"/>
    <w:rsid w:val="00223ED7"/>
    <w:rsid w:val="002315E0"/>
    <w:rsid w:val="002470D3"/>
    <w:rsid w:val="002568A8"/>
    <w:rsid w:val="00260C70"/>
    <w:rsid w:val="0027094A"/>
    <w:rsid w:val="002830F2"/>
    <w:rsid w:val="002A1FF4"/>
    <w:rsid w:val="002B2EB0"/>
    <w:rsid w:val="002E637C"/>
    <w:rsid w:val="002F0703"/>
    <w:rsid w:val="002F0A22"/>
    <w:rsid w:val="002F4177"/>
    <w:rsid w:val="002F4897"/>
    <w:rsid w:val="003020D3"/>
    <w:rsid w:val="00326B8C"/>
    <w:rsid w:val="003356AB"/>
    <w:rsid w:val="003676C9"/>
    <w:rsid w:val="00383A4F"/>
    <w:rsid w:val="00392C4E"/>
    <w:rsid w:val="003C3E18"/>
    <w:rsid w:val="003D29DA"/>
    <w:rsid w:val="003D2C00"/>
    <w:rsid w:val="003E7512"/>
    <w:rsid w:val="00406C14"/>
    <w:rsid w:val="004179A5"/>
    <w:rsid w:val="00437439"/>
    <w:rsid w:val="004478A7"/>
    <w:rsid w:val="004670EC"/>
    <w:rsid w:val="00467497"/>
    <w:rsid w:val="0048105F"/>
    <w:rsid w:val="004B2C61"/>
    <w:rsid w:val="004C5CC8"/>
    <w:rsid w:val="004E08E6"/>
    <w:rsid w:val="004F44A6"/>
    <w:rsid w:val="004F596D"/>
    <w:rsid w:val="00502CDD"/>
    <w:rsid w:val="00524AE1"/>
    <w:rsid w:val="00546392"/>
    <w:rsid w:val="00552199"/>
    <w:rsid w:val="00582022"/>
    <w:rsid w:val="0059738E"/>
    <w:rsid w:val="005A5B07"/>
    <w:rsid w:val="005B53B8"/>
    <w:rsid w:val="005C2D67"/>
    <w:rsid w:val="005C4F1D"/>
    <w:rsid w:val="006300C9"/>
    <w:rsid w:val="0063515A"/>
    <w:rsid w:val="0064175D"/>
    <w:rsid w:val="00643140"/>
    <w:rsid w:val="00651785"/>
    <w:rsid w:val="00672B13"/>
    <w:rsid w:val="006917B7"/>
    <w:rsid w:val="006E69E5"/>
    <w:rsid w:val="0070107D"/>
    <w:rsid w:val="00715CB6"/>
    <w:rsid w:val="00733405"/>
    <w:rsid w:val="007342D6"/>
    <w:rsid w:val="00761ED2"/>
    <w:rsid w:val="0076383D"/>
    <w:rsid w:val="007730A6"/>
    <w:rsid w:val="007A2513"/>
    <w:rsid w:val="007A374B"/>
    <w:rsid w:val="007A3E3A"/>
    <w:rsid w:val="007B092B"/>
    <w:rsid w:val="007D763C"/>
    <w:rsid w:val="008102D5"/>
    <w:rsid w:val="00824475"/>
    <w:rsid w:val="00827E36"/>
    <w:rsid w:val="00831FB6"/>
    <w:rsid w:val="00836EFA"/>
    <w:rsid w:val="008436AE"/>
    <w:rsid w:val="00845AE7"/>
    <w:rsid w:val="00864333"/>
    <w:rsid w:val="00867082"/>
    <w:rsid w:val="0089456B"/>
    <w:rsid w:val="008A73E2"/>
    <w:rsid w:val="008B61DC"/>
    <w:rsid w:val="008D3836"/>
    <w:rsid w:val="008F1F04"/>
    <w:rsid w:val="00902AF3"/>
    <w:rsid w:val="00910F91"/>
    <w:rsid w:val="00911026"/>
    <w:rsid w:val="00935B43"/>
    <w:rsid w:val="0095360C"/>
    <w:rsid w:val="00954EE0"/>
    <w:rsid w:val="009A1107"/>
    <w:rsid w:val="009C4762"/>
    <w:rsid w:val="009F34D1"/>
    <w:rsid w:val="00A03F77"/>
    <w:rsid w:val="00A11562"/>
    <w:rsid w:val="00A1610C"/>
    <w:rsid w:val="00A171FB"/>
    <w:rsid w:val="00A47FC4"/>
    <w:rsid w:val="00A70728"/>
    <w:rsid w:val="00AA1583"/>
    <w:rsid w:val="00AA2E10"/>
    <w:rsid w:val="00AA4D24"/>
    <w:rsid w:val="00AB673A"/>
    <w:rsid w:val="00AC1592"/>
    <w:rsid w:val="00AD6379"/>
    <w:rsid w:val="00B03BF8"/>
    <w:rsid w:val="00B07633"/>
    <w:rsid w:val="00B15265"/>
    <w:rsid w:val="00B24A23"/>
    <w:rsid w:val="00B3739A"/>
    <w:rsid w:val="00B46081"/>
    <w:rsid w:val="00B626D4"/>
    <w:rsid w:val="00B67315"/>
    <w:rsid w:val="00B92815"/>
    <w:rsid w:val="00BC22EB"/>
    <w:rsid w:val="00BE76C5"/>
    <w:rsid w:val="00BF4181"/>
    <w:rsid w:val="00C2240D"/>
    <w:rsid w:val="00C3343B"/>
    <w:rsid w:val="00C33803"/>
    <w:rsid w:val="00C36385"/>
    <w:rsid w:val="00C469DC"/>
    <w:rsid w:val="00C506EE"/>
    <w:rsid w:val="00C5314A"/>
    <w:rsid w:val="00C5567A"/>
    <w:rsid w:val="00C64147"/>
    <w:rsid w:val="00C64277"/>
    <w:rsid w:val="00C65A9D"/>
    <w:rsid w:val="00C70C9F"/>
    <w:rsid w:val="00CC4919"/>
    <w:rsid w:val="00CD504A"/>
    <w:rsid w:val="00CD6BE3"/>
    <w:rsid w:val="00CF2D0F"/>
    <w:rsid w:val="00CF5035"/>
    <w:rsid w:val="00D0018B"/>
    <w:rsid w:val="00D03980"/>
    <w:rsid w:val="00D30ECB"/>
    <w:rsid w:val="00D47391"/>
    <w:rsid w:val="00D518E9"/>
    <w:rsid w:val="00D876B9"/>
    <w:rsid w:val="00D95854"/>
    <w:rsid w:val="00DA2AA3"/>
    <w:rsid w:val="00DA6DEB"/>
    <w:rsid w:val="00DB52AF"/>
    <w:rsid w:val="00DE1FE8"/>
    <w:rsid w:val="00DE59D8"/>
    <w:rsid w:val="00DF1912"/>
    <w:rsid w:val="00E107EB"/>
    <w:rsid w:val="00E1455F"/>
    <w:rsid w:val="00E15FFD"/>
    <w:rsid w:val="00E25131"/>
    <w:rsid w:val="00E32619"/>
    <w:rsid w:val="00E33AC1"/>
    <w:rsid w:val="00E34050"/>
    <w:rsid w:val="00E4178A"/>
    <w:rsid w:val="00E63FF3"/>
    <w:rsid w:val="00E70784"/>
    <w:rsid w:val="00E80756"/>
    <w:rsid w:val="00E949C6"/>
    <w:rsid w:val="00F06B1D"/>
    <w:rsid w:val="00F2490C"/>
    <w:rsid w:val="00F26B6E"/>
    <w:rsid w:val="00F55AFA"/>
    <w:rsid w:val="00F56BC8"/>
    <w:rsid w:val="00F75BB1"/>
    <w:rsid w:val="00F870AB"/>
    <w:rsid w:val="00FA7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paragraph" w:styleId="Ttulo1">
    <w:name w:val="heading 1"/>
    <w:basedOn w:val="Normal"/>
    <w:next w:val="Normal"/>
    <w:link w:val="Ttulo1Car"/>
    <w:uiPriority w:val="9"/>
    <w:qFormat/>
    <w:rsid w:val="00054C31"/>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54C31"/>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54C31"/>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54C31"/>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54C31"/>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054C31"/>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54C31"/>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54C31"/>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54C31"/>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949C6"/>
    <w:rPr>
      <w:sz w:val="16"/>
      <w:szCs w:val="16"/>
    </w:rPr>
  </w:style>
  <w:style w:type="paragraph" w:styleId="Textocomentario">
    <w:name w:val="annotation text"/>
    <w:basedOn w:val="Normal"/>
    <w:link w:val="TextocomentarioCar"/>
    <w:uiPriority w:val="99"/>
    <w:semiHidden/>
    <w:unhideWhenUsed/>
    <w:rsid w:val="00E949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9C6"/>
    <w:rPr>
      <w:sz w:val="20"/>
      <w:szCs w:val="20"/>
    </w:rPr>
  </w:style>
  <w:style w:type="paragraph" w:styleId="Asuntodelcomentario">
    <w:name w:val="annotation subject"/>
    <w:basedOn w:val="Textocomentario"/>
    <w:next w:val="Textocomentario"/>
    <w:link w:val="AsuntodelcomentarioCar"/>
    <w:uiPriority w:val="99"/>
    <w:semiHidden/>
    <w:unhideWhenUsed/>
    <w:rsid w:val="00E949C6"/>
    <w:rPr>
      <w:b/>
      <w:bCs/>
    </w:rPr>
  </w:style>
  <w:style w:type="character" w:customStyle="1" w:styleId="AsuntodelcomentarioCar">
    <w:name w:val="Asunto del comentario Car"/>
    <w:basedOn w:val="TextocomentarioCar"/>
    <w:link w:val="Asuntodelcomentario"/>
    <w:uiPriority w:val="99"/>
    <w:semiHidden/>
    <w:rsid w:val="00E949C6"/>
    <w:rPr>
      <w:b/>
      <w:bCs/>
      <w:sz w:val="20"/>
      <w:szCs w:val="20"/>
    </w:rPr>
  </w:style>
  <w:style w:type="paragraph" w:styleId="Textosinformato">
    <w:name w:val="Plain Text"/>
    <w:basedOn w:val="Normal"/>
    <w:link w:val="TextosinformatoCar"/>
    <w:semiHidden/>
    <w:rsid w:val="00392C4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392C4E"/>
    <w:rPr>
      <w:rFonts w:ascii="Bookman Old Style" w:eastAsia="Times New Roman" w:hAnsi="Bookman Old Style" w:cs="Times New Roman"/>
      <w:snapToGrid w:val="0"/>
      <w:sz w:val="20"/>
      <w:szCs w:val="20"/>
      <w:lang w:val="es-ES" w:eastAsia="es-ES"/>
    </w:rPr>
  </w:style>
  <w:style w:type="character" w:customStyle="1" w:styleId="Ttulo1Car">
    <w:name w:val="Título 1 Car"/>
    <w:basedOn w:val="Fuentedeprrafopredeter"/>
    <w:link w:val="Ttulo1"/>
    <w:uiPriority w:val="9"/>
    <w:rsid w:val="00054C31"/>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54C31"/>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54C31"/>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54C31"/>
    <w:rPr>
      <w:rFonts w:eastAsiaTheme="minorEastAsia"/>
      <w:b/>
      <w:bCs/>
      <w:sz w:val="28"/>
      <w:szCs w:val="28"/>
      <w:lang w:val="en-US"/>
    </w:rPr>
  </w:style>
  <w:style w:type="character" w:customStyle="1" w:styleId="Ttulo5Car">
    <w:name w:val="Título 5 Car"/>
    <w:basedOn w:val="Fuentedeprrafopredeter"/>
    <w:link w:val="Ttulo5"/>
    <w:uiPriority w:val="9"/>
    <w:semiHidden/>
    <w:rsid w:val="00054C31"/>
    <w:rPr>
      <w:rFonts w:eastAsiaTheme="minorEastAsia"/>
      <w:b/>
      <w:bCs/>
      <w:i/>
      <w:iCs/>
      <w:sz w:val="26"/>
      <w:szCs w:val="26"/>
      <w:lang w:val="en-US"/>
    </w:rPr>
  </w:style>
  <w:style w:type="character" w:customStyle="1" w:styleId="Ttulo6Car">
    <w:name w:val="Título 6 Car"/>
    <w:basedOn w:val="Fuentedeprrafopredeter"/>
    <w:link w:val="Ttulo6"/>
    <w:rsid w:val="00054C3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54C31"/>
    <w:rPr>
      <w:rFonts w:eastAsiaTheme="minorEastAsia"/>
      <w:sz w:val="24"/>
      <w:szCs w:val="24"/>
      <w:lang w:val="en-US"/>
    </w:rPr>
  </w:style>
  <w:style w:type="character" w:customStyle="1" w:styleId="Ttulo8Car">
    <w:name w:val="Título 8 Car"/>
    <w:basedOn w:val="Fuentedeprrafopredeter"/>
    <w:link w:val="Ttulo8"/>
    <w:uiPriority w:val="9"/>
    <w:semiHidden/>
    <w:rsid w:val="00054C31"/>
    <w:rPr>
      <w:rFonts w:eastAsiaTheme="minorEastAsia"/>
      <w:i/>
      <w:iCs/>
      <w:sz w:val="24"/>
      <w:szCs w:val="24"/>
      <w:lang w:val="en-US"/>
    </w:rPr>
  </w:style>
  <w:style w:type="character" w:customStyle="1" w:styleId="Ttulo9Car">
    <w:name w:val="Título 9 Car"/>
    <w:basedOn w:val="Fuentedeprrafopredeter"/>
    <w:link w:val="Ttulo9"/>
    <w:uiPriority w:val="9"/>
    <w:semiHidden/>
    <w:rsid w:val="00054C31"/>
    <w:rPr>
      <w:rFonts w:asciiTheme="majorHAnsi" w:eastAsiaTheme="majorEastAsia" w:hAnsiTheme="majorHAnsi" w:cstheme="majorBidi"/>
      <w:lang w:val="en-US"/>
    </w:rPr>
  </w:style>
  <w:style w:type="paragraph" w:styleId="Revisin">
    <w:name w:val="Revision"/>
    <w:hidden/>
    <w:uiPriority w:val="99"/>
    <w:semiHidden/>
    <w:rsid w:val="005B53B8"/>
    <w:pPr>
      <w:spacing w:after="0" w:line="240" w:lineRule="auto"/>
    </w:pPr>
  </w:style>
  <w:style w:type="paragraph" w:styleId="Textoindependiente">
    <w:name w:val="Body Text"/>
    <w:basedOn w:val="Normal"/>
    <w:link w:val="TextoindependienteCar1"/>
    <w:uiPriority w:val="1"/>
    <w:semiHidden/>
    <w:unhideWhenUsed/>
    <w:qFormat/>
    <w:rsid w:val="0089456B"/>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89456B"/>
  </w:style>
  <w:style w:type="character" w:customStyle="1" w:styleId="TextoindependienteCar1">
    <w:name w:val="Texto independiente Car1"/>
    <w:basedOn w:val="Fuentedeprrafopredeter"/>
    <w:link w:val="Textoindependiente"/>
    <w:uiPriority w:val="1"/>
    <w:semiHidden/>
    <w:locked/>
    <w:rsid w:val="0089456B"/>
    <w:rPr>
      <w:rFonts w:ascii="Arial" w:eastAsia="Arial" w:hAnsi="Arial" w:cs="Times New Roman"/>
      <w:sz w:val="19"/>
      <w:szCs w:val="19"/>
      <w:lang w:val="en-US"/>
    </w:rPr>
  </w:style>
  <w:style w:type="paragraph" w:customStyle="1" w:styleId="INFOEM">
    <w:name w:val="INFOEM"/>
    <w:basedOn w:val="Normal"/>
    <w:qFormat/>
    <w:rsid w:val="00CD6BE3"/>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746">
      <w:bodyDiv w:val="1"/>
      <w:marLeft w:val="0"/>
      <w:marRight w:val="0"/>
      <w:marTop w:val="0"/>
      <w:marBottom w:val="0"/>
      <w:divBdr>
        <w:top w:val="none" w:sz="0" w:space="0" w:color="auto"/>
        <w:left w:val="none" w:sz="0" w:space="0" w:color="auto"/>
        <w:bottom w:val="none" w:sz="0" w:space="0" w:color="auto"/>
        <w:right w:val="none" w:sz="0" w:space="0" w:color="auto"/>
      </w:divBdr>
    </w:div>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83654883">
      <w:bodyDiv w:val="1"/>
      <w:marLeft w:val="0"/>
      <w:marRight w:val="0"/>
      <w:marTop w:val="0"/>
      <w:marBottom w:val="0"/>
      <w:divBdr>
        <w:top w:val="none" w:sz="0" w:space="0" w:color="auto"/>
        <w:left w:val="none" w:sz="0" w:space="0" w:color="auto"/>
        <w:bottom w:val="none" w:sz="0" w:space="0" w:color="auto"/>
        <w:right w:val="none" w:sz="0" w:space="0" w:color="auto"/>
      </w:divBdr>
    </w:div>
    <w:div w:id="181669741">
      <w:bodyDiv w:val="1"/>
      <w:marLeft w:val="0"/>
      <w:marRight w:val="0"/>
      <w:marTop w:val="0"/>
      <w:marBottom w:val="0"/>
      <w:divBdr>
        <w:top w:val="none" w:sz="0" w:space="0" w:color="auto"/>
        <w:left w:val="none" w:sz="0" w:space="0" w:color="auto"/>
        <w:bottom w:val="none" w:sz="0" w:space="0" w:color="auto"/>
        <w:right w:val="none" w:sz="0" w:space="0" w:color="auto"/>
      </w:divBdr>
    </w:div>
    <w:div w:id="35993536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848716317">
      <w:bodyDiv w:val="1"/>
      <w:marLeft w:val="0"/>
      <w:marRight w:val="0"/>
      <w:marTop w:val="0"/>
      <w:marBottom w:val="0"/>
      <w:divBdr>
        <w:top w:val="none" w:sz="0" w:space="0" w:color="auto"/>
        <w:left w:val="none" w:sz="0" w:space="0" w:color="auto"/>
        <w:bottom w:val="none" w:sz="0" w:space="0" w:color="auto"/>
        <w:right w:val="none" w:sz="0" w:space="0" w:color="auto"/>
      </w:divBdr>
    </w:div>
    <w:div w:id="917787931">
      <w:bodyDiv w:val="1"/>
      <w:marLeft w:val="0"/>
      <w:marRight w:val="0"/>
      <w:marTop w:val="0"/>
      <w:marBottom w:val="0"/>
      <w:divBdr>
        <w:top w:val="none" w:sz="0" w:space="0" w:color="auto"/>
        <w:left w:val="none" w:sz="0" w:space="0" w:color="auto"/>
        <w:bottom w:val="none" w:sz="0" w:space="0" w:color="auto"/>
        <w:right w:val="none" w:sz="0" w:space="0" w:color="auto"/>
      </w:divBdr>
    </w:div>
    <w:div w:id="976648193">
      <w:bodyDiv w:val="1"/>
      <w:marLeft w:val="0"/>
      <w:marRight w:val="0"/>
      <w:marTop w:val="0"/>
      <w:marBottom w:val="0"/>
      <w:divBdr>
        <w:top w:val="none" w:sz="0" w:space="0" w:color="auto"/>
        <w:left w:val="none" w:sz="0" w:space="0" w:color="auto"/>
        <w:bottom w:val="none" w:sz="0" w:space="0" w:color="auto"/>
        <w:right w:val="none" w:sz="0" w:space="0" w:color="auto"/>
      </w:divBdr>
    </w:div>
    <w:div w:id="984041691">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79702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7FFCB-14A2-47F3-AE69-95DED7F4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7368</Words>
  <Characters>40524</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4</cp:revision>
  <dcterms:created xsi:type="dcterms:W3CDTF">2022-08-31T02:36:00Z</dcterms:created>
  <dcterms:modified xsi:type="dcterms:W3CDTF">2022-09-26T03:13:00Z</dcterms:modified>
</cp:coreProperties>
</file>