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E987D" w14:textId="77777777" w:rsidR="00593553" w:rsidRDefault="00354D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Pr>
          <w:rFonts w:ascii="Palatino Linotype" w:eastAsia="Palatino Linotype" w:hAnsi="Palatino Linotype" w:cs="Palatino Linotype"/>
          <w:b/>
        </w:rPr>
        <w:t>veinticinco de mayo del dos mil veintidós</w:t>
      </w:r>
      <w:r>
        <w:rPr>
          <w:rFonts w:ascii="Palatino Linotype" w:eastAsia="Palatino Linotype" w:hAnsi="Palatino Linotype" w:cs="Palatino Linotype"/>
        </w:rPr>
        <w:t>.</w:t>
      </w:r>
    </w:p>
    <w:p w14:paraId="165CAA30" w14:textId="77777777" w:rsidR="00593553" w:rsidRDefault="00354D1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02279/INFOEM/IP/RR/2022</w:t>
      </w:r>
      <w:r>
        <w:rPr>
          <w:rFonts w:ascii="Palatino Linotype" w:eastAsia="Palatino Linotype" w:hAnsi="Palatino Linotype" w:cs="Palatino Linotype"/>
        </w:rPr>
        <w:t xml:space="preserve">, interpuesto por </w:t>
      </w:r>
      <w:r>
        <w:rPr>
          <w:rFonts w:ascii="Palatino Linotype" w:eastAsia="Palatino Linotype" w:hAnsi="Palatino Linotype" w:cs="Palatino Linotype"/>
          <w:b/>
        </w:rPr>
        <w:t>un particular de manera anónima</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en lo sucesivo</w:t>
      </w:r>
      <w:r>
        <w:rPr>
          <w:rFonts w:ascii="Palatino Linotype" w:eastAsia="Palatino Linotype" w:hAnsi="Palatino Linotype" w:cs="Palatino Linotype"/>
          <w:b/>
        </w:rPr>
        <w:t xml:space="preserve"> 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 xml:space="preserve">Ayuntamiento de Metepec,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7BF99E72" w14:textId="77777777" w:rsidR="00593553" w:rsidRDefault="00354D12">
      <w:pPr>
        <w:spacing w:before="240" w:after="240" w:line="360" w:lineRule="auto"/>
        <w:ind w:right="49"/>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A N T E C E D E N T E S</w:t>
      </w:r>
    </w:p>
    <w:p w14:paraId="3240764C" w14:textId="77777777" w:rsidR="00593553" w:rsidRDefault="00354D1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diez de enero de dos mil veintidós, la</w:t>
      </w:r>
      <w:r>
        <w:rPr>
          <w:rFonts w:ascii="Palatino Linotype" w:eastAsia="Palatino Linotype" w:hAnsi="Palatino Linotype" w:cs="Palatino Linotype"/>
        </w:rPr>
        <w:t xml:space="preserve"> </w:t>
      </w:r>
      <w:r>
        <w:rPr>
          <w:rFonts w:ascii="Palatino Linotype" w:eastAsia="Palatino Linotype" w:hAnsi="Palatino Linotype" w:cs="Palatino Linotype"/>
          <w:b/>
        </w:rPr>
        <w:t>parte Recurrente</w:t>
      </w:r>
      <w:r>
        <w:rPr>
          <w:rFonts w:ascii="Palatino Linotype" w:eastAsia="Palatino Linotype" w:hAnsi="Palatino Linotype" w:cs="Palatino Linotype"/>
        </w:rPr>
        <w:t xml:space="preserve"> presentó a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solicitud de acceso a la información pública, a la que se le asignó el </w:t>
      </w:r>
      <w:proofErr w:type="gramStart"/>
      <w:r>
        <w:rPr>
          <w:rFonts w:ascii="Palatino Linotype" w:eastAsia="Palatino Linotype" w:hAnsi="Palatino Linotype" w:cs="Palatino Linotype"/>
        </w:rPr>
        <w:t>número</w:t>
      </w:r>
      <w:r>
        <w:rPr>
          <w:rFonts w:ascii="Palatino Linotype" w:eastAsia="Palatino Linotype" w:hAnsi="Palatino Linotype" w:cs="Palatino Linotype"/>
          <w:b/>
        </w:rPr>
        <w:t xml:space="preserve">  00279</w:t>
      </w:r>
      <w:proofErr w:type="gramEnd"/>
      <w:r>
        <w:rPr>
          <w:rFonts w:ascii="Palatino Linotype" w:eastAsia="Palatino Linotype" w:hAnsi="Palatino Linotype" w:cs="Palatino Linotype"/>
          <w:b/>
        </w:rPr>
        <w:t xml:space="preserve">/METEPEC/IP/2022, </w:t>
      </w:r>
      <w:r>
        <w:rPr>
          <w:rFonts w:ascii="Palatino Linotype" w:eastAsia="Palatino Linotype" w:hAnsi="Palatino Linotype" w:cs="Palatino Linotype"/>
        </w:rPr>
        <w:t xml:space="preserve">mediante la cual requirió la información siguiente: </w:t>
      </w:r>
    </w:p>
    <w:p w14:paraId="6E071740" w14:textId="77777777" w:rsidR="00593553" w:rsidRDefault="00354D12">
      <w:pPr>
        <w:spacing w:before="240" w:after="240" w:line="276" w:lineRule="auto"/>
        <w:ind w:left="426"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“Solicito los </w:t>
      </w:r>
      <w:r>
        <w:rPr>
          <w:rFonts w:ascii="Palatino Linotype" w:eastAsia="Palatino Linotype" w:hAnsi="Palatino Linotype" w:cs="Palatino Linotype"/>
          <w:b/>
          <w:i/>
          <w:sz w:val="22"/>
          <w:szCs w:val="22"/>
        </w:rPr>
        <w:t>nombres, remuneraciones, antigüedad y áreas de adscripción de todas y todos los servidores públicos sindicalizados</w:t>
      </w:r>
      <w:r>
        <w:rPr>
          <w:rFonts w:ascii="Palatino Linotype" w:eastAsia="Palatino Linotype" w:hAnsi="Palatino Linotype" w:cs="Palatino Linotype"/>
          <w:i/>
          <w:sz w:val="22"/>
          <w:szCs w:val="22"/>
        </w:rPr>
        <w:t xml:space="preserve">.” (Sic) </w:t>
      </w:r>
    </w:p>
    <w:p w14:paraId="2113E3B2" w14:textId="77777777" w:rsidR="00593553" w:rsidRDefault="00354D12">
      <w:pPr>
        <w:spacing w:before="240" w:after="240" w:line="276" w:lineRule="auto"/>
        <w:ind w:left="426"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(Énfasis añadido)</w:t>
      </w:r>
    </w:p>
    <w:p w14:paraId="1312D771" w14:textId="77777777" w:rsidR="00593553" w:rsidRDefault="00354D1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Modalidad de Entrega de la información:</w:t>
      </w:r>
      <w:r>
        <w:rPr>
          <w:rFonts w:ascii="Palatino Linotype" w:eastAsia="Palatino Linotype" w:hAnsi="Palatino Linotype" w:cs="Palatino Linotype"/>
        </w:rPr>
        <w:t xml:space="preserve"> A través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w:t>
      </w:r>
    </w:p>
    <w:p w14:paraId="54DFD13B" w14:textId="77777777" w:rsidR="00593553" w:rsidRDefault="00593553">
      <w:pPr>
        <w:spacing w:before="240" w:after="240" w:line="360" w:lineRule="auto"/>
        <w:ind w:right="49"/>
        <w:jc w:val="both"/>
        <w:rPr>
          <w:rFonts w:ascii="Palatino Linotype" w:eastAsia="Palatino Linotype" w:hAnsi="Palatino Linotype" w:cs="Palatino Linotype"/>
        </w:rPr>
      </w:pPr>
    </w:p>
    <w:p w14:paraId="296AB3B4" w14:textId="77777777" w:rsidR="00593553" w:rsidRDefault="00354D1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2. Prórroga</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veintinueve de enero de dos mil veintidós</w:t>
      </w:r>
      <w:r>
        <w:rPr>
          <w:rFonts w:ascii="Palatino Linotype" w:eastAsia="Palatino Linotype" w:hAnsi="Palatino Linotype" w:cs="Palatino Linotype"/>
        </w:rPr>
        <w:t xml:space="preserve">, el Sujeto Obligado notificó la prórroga para atender la solicitud de información, medularmente en los siguientes términos: </w:t>
      </w:r>
    </w:p>
    <w:p w14:paraId="7D7CD01C" w14:textId="77777777" w:rsidR="00593553" w:rsidRDefault="00354D12">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3848CC91" w14:textId="77777777" w:rsidR="00593553" w:rsidRDefault="00354D12">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METEPEC, ESTADO DE MEXICO, ENERO DEL AÑO 2022. ASUNTO: EL QUE SE INDICA A QUIEN CORRESPONDA P R E S E N T E. Por medio de este conducto y con fundamento en lo dispuesto por los artículos 53, fracción VI y 163 de la Ley de Transparencia y Acceso a la Información Pública del Estado de México y Municipios, me permito notificarle la ampliación del plazo por siete días más, aprobado por el comité de transparencia del Ayuntamiento de Metepec, Estado de México, mediante la primera sesión extraordinaria de fecha 21 de enero de 2022 Por lo anterior, se adjunta el acta del comité No CT/MET/1RASE/2022. Sin más por el momento quedo a sus órdenes. ATENTAMENTE GERARDO ARTURO OZUNA MARTÍNEZ JEFE DE LA UNIDAD DE TRANSPARENCIA</w:t>
      </w:r>
    </w:p>
    <w:p w14:paraId="5BDC9D08" w14:textId="77777777" w:rsidR="00593553" w:rsidRDefault="00354D12">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 Gerardo Arturo Ozuna Martínez</w:t>
      </w:r>
    </w:p>
    <w:p w14:paraId="39812B40" w14:textId="77777777" w:rsidR="00593553" w:rsidRDefault="00354D12">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Responsable de la Unidad de Transparencia”</w:t>
      </w:r>
    </w:p>
    <w:p w14:paraId="2B650CF2" w14:textId="77777777" w:rsidR="00593553" w:rsidRDefault="00354D12">
      <w:pPr>
        <w:spacing w:before="240" w:after="240"/>
        <w:ind w:left="567" w:right="85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Archivo adjunto: </w:t>
      </w:r>
    </w:p>
    <w:p w14:paraId="5EAE5975" w14:textId="77777777" w:rsidR="00593553" w:rsidRDefault="00354D12">
      <w:pPr>
        <w:spacing w:before="240" w:after="240" w:line="360" w:lineRule="auto"/>
        <w:ind w:left="567"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“acta primera </w:t>
      </w:r>
      <w:proofErr w:type="spellStart"/>
      <w:r>
        <w:rPr>
          <w:rFonts w:ascii="Palatino Linotype" w:eastAsia="Palatino Linotype" w:hAnsi="Palatino Linotype" w:cs="Palatino Linotype"/>
          <w:b/>
          <w:i/>
          <w:sz w:val="22"/>
          <w:szCs w:val="22"/>
        </w:rPr>
        <w:t>sesion</w:t>
      </w:r>
      <w:proofErr w:type="spellEnd"/>
      <w:r>
        <w:rPr>
          <w:rFonts w:ascii="Palatino Linotype" w:eastAsia="Palatino Linotype" w:hAnsi="Palatino Linotype" w:cs="Palatino Linotype"/>
          <w:b/>
          <w:i/>
          <w:sz w:val="22"/>
          <w:szCs w:val="22"/>
        </w:rPr>
        <w:t xml:space="preserve"> extraordinaria.pdf”: </w:t>
      </w:r>
      <w:r>
        <w:rPr>
          <w:rFonts w:ascii="Palatino Linotype" w:eastAsia="Palatino Linotype" w:hAnsi="Palatino Linotype" w:cs="Palatino Linotype"/>
          <w:sz w:val="22"/>
          <w:szCs w:val="22"/>
        </w:rPr>
        <w:t>Consistente de diecisiete fojas en la que se aprecia el Acta de la Primera Sesión Extraordinaria del Comité de Transparencia, la cual se celebró el veintiuno de enero de dos mil veintidós y tuvo por objeto aprobar la prórroga para atender diversas solicitudes de información, entre ellas, la que recayó al presente recurso de revisión.</w:t>
      </w:r>
    </w:p>
    <w:p w14:paraId="61AACA86" w14:textId="77777777" w:rsidR="00593553" w:rsidRDefault="00354D12">
      <w:pPr>
        <w:spacing w:before="240" w:after="240" w:line="360" w:lineRule="auto"/>
        <w:ind w:left="567" w:right="851"/>
        <w:jc w:val="both"/>
        <w:rPr>
          <w:rFonts w:ascii="Palatino Linotype" w:eastAsia="Palatino Linotype" w:hAnsi="Palatino Linotype" w:cs="Palatino Linotype"/>
          <w:sz w:val="22"/>
          <w:szCs w:val="22"/>
        </w:rPr>
      </w:pPr>
      <w:r>
        <w:object w:dxaOrig="7410" w:dyaOrig="11445" w14:anchorId="2DFE2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9pt;height:572.65pt" o:ole="">
            <v:imagedata r:id="rId8" o:title=""/>
          </v:shape>
          <o:OLEObject Type="Embed" ProgID="Paint.Picture" ShapeID="_x0000_i1025" DrawAspect="Content" ObjectID="_1715376814" r:id="rId9"/>
        </w:object>
      </w:r>
      <w:r w:rsidR="003D5EB5">
        <w:pict w14:anchorId="09300917">
          <v:shape id="_x0000_i1026" type="#_x0000_t75" style="width:377.6pt;height:475.55pt">
            <v:imagedata r:id="rId10" o:title=""/>
          </v:shape>
        </w:pict>
      </w:r>
      <w:r>
        <w:object w:dxaOrig="8310" w:dyaOrig="10740" w14:anchorId="12D97001">
          <v:shape id="_x0000_i1027" type="#_x0000_t75" style="width:415.25pt;height:536.65pt" o:ole="">
            <v:imagedata r:id="rId11" o:title=""/>
          </v:shape>
          <o:OLEObject Type="Embed" ProgID="Paint.Picture" ShapeID="_x0000_i1027" DrawAspect="Content" ObjectID="_1715376815" r:id="rId12"/>
        </w:object>
      </w:r>
      <w:r>
        <w:rPr>
          <w:noProof/>
          <w:lang w:val="es-MX"/>
        </w:rPr>
        <mc:AlternateContent>
          <mc:Choice Requires="wpg">
            <w:drawing>
              <wp:anchor distT="0" distB="0" distL="114300" distR="114300" simplePos="0" relativeHeight="251658240" behindDoc="0" locked="0" layoutInCell="1" hidden="0" allowOverlap="1" wp14:anchorId="3AAA9621" wp14:editId="3D4E3991">
                <wp:simplePos x="0" y="0"/>
                <wp:positionH relativeFrom="column">
                  <wp:posOffset>3225800</wp:posOffset>
                </wp:positionH>
                <wp:positionV relativeFrom="paragraph">
                  <wp:posOffset>2336800</wp:posOffset>
                </wp:positionV>
                <wp:extent cx="1123950" cy="180975"/>
                <wp:effectExtent l="0" t="0" r="0" b="0"/>
                <wp:wrapNone/>
                <wp:docPr id="77" name="Rectángulo 77"/>
                <wp:cNvGraphicFramePr/>
                <a:graphic xmlns:a="http://schemas.openxmlformats.org/drawingml/2006/main">
                  <a:graphicData uri="http://schemas.microsoft.com/office/word/2010/wordprocessingShape">
                    <wps:wsp>
                      <wps:cNvSpPr/>
                      <wps:spPr>
                        <a:xfrm>
                          <a:off x="4803075" y="3708563"/>
                          <a:ext cx="1085850" cy="142875"/>
                        </a:xfrm>
                        <a:prstGeom prst="rect">
                          <a:avLst/>
                        </a:prstGeom>
                        <a:noFill/>
                        <a:ln w="19050" cap="flat" cmpd="sng">
                          <a:solidFill>
                            <a:srgbClr val="002060"/>
                          </a:solidFill>
                          <a:prstDash val="solid"/>
                          <a:round/>
                          <a:headEnd type="none" w="sm" len="sm"/>
                          <a:tailEnd type="none" w="sm" len="sm"/>
                        </a:ln>
                      </wps:spPr>
                      <wps:txbx>
                        <w:txbxContent>
                          <w:p w14:paraId="650BA8B7" w14:textId="77777777" w:rsidR="00593553" w:rsidRDefault="00593553">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3225800</wp:posOffset>
                </wp:positionH>
                <wp:positionV relativeFrom="paragraph">
                  <wp:posOffset>2336800</wp:posOffset>
                </wp:positionV>
                <wp:extent cx="1123950" cy="180975"/>
                <wp:effectExtent b="0" l="0" r="0" t="0"/>
                <wp:wrapNone/>
                <wp:docPr id="77" name="image11.png"/>
                <a:graphic>
                  <a:graphicData uri="http://schemas.openxmlformats.org/drawingml/2006/picture">
                    <pic:pic>
                      <pic:nvPicPr>
                        <pic:cNvPr id="0" name="image11.png"/>
                        <pic:cNvPicPr preferRelativeResize="0"/>
                      </pic:nvPicPr>
                      <pic:blipFill>
                        <a:blip r:embed="rId27"/>
                        <a:srcRect/>
                        <a:stretch>
                          <a:fillRect/>
                        </a:stretch>
                      </pic:blipFill>
                      <pic:spPr>
                        <a:xfrm>
                          <a:off x="0" y="0"/>
                          <a:ext cx="1123950" cy="180975"/>
                        </a:xfrm>
                        <a:prstGeom prst="rect"/>
                        <a:ln/>
                      </pic:spPr>
                    </pic:pic>
                  </a:graphicData>
                </a:graphic>
              </wp:anchor>
            </w:drawing>
          </mc:Fallback>
        </mc:AlternateContent>
      </w:r>
    </w:p>
    <w:p w14:paraId="70285B88" w14:textId="77777777" w:rsidR="00593553" w:rsidRDefault="00593553">
      <w:pPr>
        <w:spacing w:before="240" w:after="240"/>
        <w:ind w:left="567" w:right="851"/>
        <w:jc w:val="both"/>
        <w:rPr>
          <w:rFonts w:ascii="Palatino Linotype" w:eastAsia="Palatino Linotype" w:hAnsi="Palatino Linotype" w:cs="Palatino Linotype"/>
          <w:sz w:val="22"/>
          <w:szCs w:val="22"/>
        </w:rPr>
      </w:pPr>
    </w:p>
    <w:p w14:paraId="574C5CFA" w14:textId="77777777" w:rsidR="00593553" w:rsidRDefault="00354D1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3. Respuesta a la solicitud de información. </w:t>
      </w:r>
      <w:r>
        <w:rPr>
          <w:rFonts w:ascii="Palatino Linotype" w:eastAsia="Palatino Linotype" w:hAnsi="Palatino Linotype" w:cs="Palatino Linotype"/>
        </w:rPr>
        <w:t>En fecha</w:t>
      </w:r>
      <w:r>
        <w:rPr>
          <w:rFonts w:ascii="Palatino Linotype" w:eastAsia="Palatino Linotype" w:hAnsi="Palatino Linotype" w:cs="Palatino Linotype"/>
          <w:b/>
        </w:rPr>
        <w:t xml:space="preserve"> once de febrero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 través del SAIMEX notificó la respuesta a la solicitud de información sustancialmente en los siguientes términos: </w:t>
      </w:r>
    </w:p>
    <w:p w14:paraId="2797C44E" w14:textId="77777777" w:rsidR="00593553" w:rsidRDefault="00354D12">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452A3E1" w14:textId="77777777" w:rsidR="00593553" w:rsidRDefault="00354D12">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 SOLICITANTE P R E S E N T E. En respuesta a la solicitud número 00279/METEPEC/IP/2022,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 Sin más por el momento, me despido de usted, reiterando estar a sus órdenes. ATENTAMENTE Lic. Gerardo Arturo Ozuna Martínez Titular de la Unidad de Transparencia</w:t>
      </w:r>
    </w:p>
    <w:p w14:paraId="7165A369" w14:textId="77777777" w:rsidR="00593553" w:rsidRDefault="00354D12">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633AE795" w14:textId="77777777" w:rsidR="00593553" w:rsidRDefault="00354D12">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 Gerardo Arturo Ozuna Martínez”</w:t>
      </w:r>
    </w:p>
    <w:p w14:paraId="65D32375" w14:textId="77777777" w:rsidR="00593553" w:rsidRDefault="00354D12">
      <w:pPr>
        <w:spacing w:before="240" w:after="240" w:line="360" w:lineRule="auto"/>
        <w:ind w:right="900"/>
        <w:jc w:val="both"/>
        <w:rPr>
          <w:rFonts w:ascii="Palatino Linotype" w:eastAsia="Palatino Linotype" w:hAnsi="Palatino Linotype" w:cs="Palatino Linotype"/>
          <w:b/>
          <w:color w:val="000000"/>
        </w:rPr>
      </w:pPr>
      <w:r>
        <w:rPr>
          <w:rFonts w:ascii="Palatino Linotype" w:eastAsia="Palatino Linotype" w:hAnsi="Palatino Linotype" w:cs="Palatino Linotype"/>
          <w:b/>
        </w:rPr>
        <w:t>El Sujeto Obligado adjuntó a su respuesta el a</w:t>
      </w:r>
      <w:r>
        <w:rPr>
          <w:rFonts w:ascii="Palatino Linotype" w:eastAsia="Palatino Linotype" w:hAnsi="Palatino Linotype" w:cs="Palatino Linotype"/>
          <w:b/>
          <w:color w:val="000000"/>
        </w:rPr>
        <w:t xml:space="preserve">rchivo electrónico siguiente: </w:t>
      </w:r>
    </w:p>
    <w:p w14:paraId="700421A8" w14:textId="77777777" w:rsidR="00593553" w:rsidRDefault="00354D12">
      <w:pPr>
        <w:spacing w:before="240" w:after="240" w:line="360" w:lineRule="auto"/>
        <w:ind w:left="567" w:right="900"/>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 xml:space="preserve">“Folio 0279 2022.pdf”: </w:t>
      </w:r>
      <w:r>
        <w:rPr>
          <w:rFonts w:ascii="Palatino Linotype" w:eastAsia="Palatino Linotype" w:hAnsi="Palatino Linotype" w:cs="Palatino Linotype"/>
          <w:color w:val="000000"/>
        </w:rPr>
        <w:t xml:space="preserve">Documento de una foja, consistente en un oficio signado por el </w:t>
      </w:r>
      <w:proofErr w:type="gramStart"/>
      <w:r>
        <w:rPr>
          <w:rFonts w:ascii="Palatino Linotype" w:eastAsia="Palatino Linotype" w:hAnsi="Palatino Linotype" w:cs="Palatino Linotype"/>
          <w:color w:val="000000"/>
        </w:rPr>
        <w:t>Director</w:t>
      </w:r>
      <w:proofErr w:type="gramEnd"/>
      <w:r>
        <w:rPr>
          <w:rFonts w:ascii="Palatino Linotype" w:eastAsia="Palatino Linotype" w:hAnsi="Palatino Linotype" w:cs="Palatino Linotype"/>
          <w:color w:val="000000"/>
        </w:rPr>
        <w:t xml:space="preserve"> de Administración, mediante el cual </w:t>
      </w:r>
      <w:r>
        <w:rPr>
          <w:rFonts w:ascii="Palatino Linotype" w:eastAsia="Palatino Linotype" w:hAnsi="Palatino Linotype" w:cs="Palatino Linotype"/>
          <w:color w:val="000000"/>
        </w:rPr>
        <w:lastRenderedPageBreak/>
        <w:t xml:space="preserve">remite su respuesta a la solicitud de información, medularmente en los términos siguientes: </w:t>
      </w:r>
    </w:p>
    <w:p w14:paraId="698C2849" w14:textId="77777777" w:rsidR="00593553" w:rsidRDefault="00354D12">
      <w:pPr>
        <w:spacing w:before="240" w:after="240" w:line="360" w:lineRule="auto"/>
        <w:ind w:left="567" w:right="900"/>
        <w:rPr>
          <w:rFonts w:ascii="Palatino Linotype" w:eastAsia="Palatino Linotype" w:hAnsi="Palatino Linotype" w:cs="Palatino Linotype"/>
          <w:color w:val="000000"/>
        </w:rPr>
      </w:pPr>
      <w:r>
        <w:object w:dxaOrig="7950" w:dyaOrig="10065" w14:anchorId="7D0357BF">
          <v:shape id="_x0000_i1028" type="#_x0000_t75" style="width:397.65pt;height:503.15pt" o:ole="">
            <v:imagedata r:id="rId28" o:title=""/>
          </v:shape>
          <o:OLEObject Type="Embed" ProgID="Paint.Picture" ShapeID="_x0000_i1028" DrawAspect="Content" ObjectID="_1715376816" r:id="rId29"/>
        </w:object>
      </w:r>
    </w:p>
    <w:p w14:paraId="40F254E8" w14:textId="77777777" w:rsidR="00593553" w:rsidRDefault="00354D12">
      <w:pPr>
        <w:spacing w:before="240" w:after="240"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b/>
        </w:rPr>
        <w:lastRenderedPageBreak/>
        <w:t xml:space="preserve">4. Interposición del recurso de revisión. </w:t>
      </w:r>
      <w:r>
        <w:rPr>
          <w:rFonts w:ascii="Palatino Linotype" w:eastAsia="Palatino Linotype" w:hAnsi="Palatino Linotype" w:cs="Palatino Linotype"/>
        </w:rPr>
        <w:t xml:space="preserve">Inconforme con la respuesta,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interpuso el recurso de revisión materia del presente estudio el día </w:t>
      </w:r>
      <w:r>
        <w:rPr>
          <w:rFonts w:ascii="Palatino Linotype" w:eastAsia="Palatino Linotype" w:hAnsi="Palatino Linotype" w:cs="Palatino Linotype"/>
          <w:b/>
        </w:rPr>
        <w:t>veintiocho de febrero de dos mil veintidós</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el que expresó lo siguiente: </w:t>
      </w:r>
    </w:p>
    <w:p w14:paraId="2BB020B3" w14:textId="77777777" w:rsidR="00593553" w:rsidRDefault="00354D12">
      <w:pPr>
        <w:spacing w:before="240" w:after="240" w:line="360" w:lineRule="auto"/>
        <w:ind w:left="567" w:right="567"/>
        <w:jc w:val="both"/>
        <w:rPr>
          <w:rFonts w:ascii="Palatino Linotype" w:eastAsia="Palatino Linotype" w:hAnsi="Palatino Linotype" w:cs="Palatino Linotype"/>
        </w:rPr>
      </w:pPr>
      <w:r>
        <w:rPr>
          <w:rFonts w:ascii="Palatino Linotype" w:eastAsia="Palatino Linotype" w:hAnsi="Palatino Linotype" w:cs="Palatino Linotype"/>
          <w:b/>
        </w:rPr>
        <w:t xml:space="preserve">a) Acto impugnado: </w:t>
      </w:r>
    </w:p>
    <w:p w14:paraId="1EE33365" w14:textId="77777777" w:rsidR="00593553" w:rsidRDefault="00354D12">
      <w:pPr>
        <w:spacing w:before="240" w:after="240" w:line="360"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respuesta proporcionada por el Sujeto Obligado.” (Sic)</w:t>
      </w:r>
    </w:p>
    <w:p w14:paraId="0D375E4B" w14:textId="77777777" w:rsidR="00593553" w:rsidRDefault="00354D12">
      <w:pPr>
        <w:spacing w:before="240" w:after="240" w:line="360" w:lineRule="auto"/>
        <w:ind w:left="567" w:right="851"/>
        <w:jc w:val="both"/>
        <w:rPr>
          <w:rFonts w:ascii="Palatino Linotype" w:eastAsia="Palatino Linotype" w:hAnsi="Palatino Linotype" w:cs="Palatino Linotype"/>
        </w:rPr>
      </w:pPr>
      <w:r>
        <w:rPr>
          <w:rFonts w:ascii="Palatino Linotype" w:eastAsia="Palatino Linotype" w:hAnsi="Palatino Linotype" w:cs="Palatino Linotype"/>
          <w:b/>
        </w:rPr>
        <w:t>b) Razones o motivos de inconformidad</w:t>
      </w:r>
      <w:r>
        <w:rPr>
          <w:rFonts w:ascii="Palatino Linotype" w:eastAsia="Palatino Linotype" w:hAnsi="Palatino Linotype" w:cs="Palatino Linotype"/>
        </w:rPr>
        <w:t xml:space="preserve">: </w:t>
      </w:r>
    </w:p>
    <w:p w14:paraId="20292A5B" w14:textId="77777777" w:rsidR="00593553" w:rsidRDefault="00354D12">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u w:val="single"/>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w:t>
      </w:r>
      <w:r>
        <w:rPr>
          <w:rFonts w:ascii="Palatino Linotype" w:eastAsia="Palatino Linotype" w:hAnsi="Palatino Linotype" w:cs="Palatino Linotype"/>
          <w:i/>
          <w:sz w:val="22"/>
          <w:szCs w:val="22"/>
        </w:rPr>
        <w:t xml:space="preserve">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w:t>
      </w:r>
      <w:r>
        <w:rPr>
          <w:rFonts w:ascii="Palatino Linotype" w:eastAsia="Palatino Linotype" w:hAnsi="Palatino Linotype" w:cs="Palatino Linotype"/>
          <w:b/>
          <w:i/>
          <w:sz w:val="22"/>
          <w:szCs w:val="22"/>
          <w:u w:val="single"/>
        </w:rPr>
        <w:t xml:space="preserve">En este </w:t>
      </w:r>
      <w:r>
        <w:rPr>
          <w:rFonts w:ascii="Palatino Linotype" w:eastAsia="Palatino Linotype" w:hAnsi="Palatino Linotype" w:cs="Palatino Linotype"/>
          <w:b/>
          <w:i/>
          <w:sz w:val="22"/>
          <w:szCs w:val="22"/>
          <w:u w:val="single"/>
        </w:rPr>
        <w:lastRenderedPageBreak/>
        <w:t xml:space="preserve">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w:t>
      </w:r>
      <w:r>
        <w:rPr>
          <w:rFonts w:ascii="Palatino Linotype" w:eastAsia="Palatino Linotype" w:hAnsi="Palatino Linotype" w:cs="Palatino Linotype"/>
          <w:i/>
          <w:sz w:val="22"/>
          <w:szCs w:val="22"/>
        </w:rPr>
        <w:t>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 (Sic) (Énfasis añadido)</w:t>
      </w:r>
    </w:p>
    <w:p w14:paraId="664AA6FE" w14:textId="77777777" w:rsidR="00593553" w:rsidRDefault="00354D12">
      <w:pPr>
        <w:widowControl w:val="0"/>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5.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para su análisis, estudio, elaboración del proyecto y presentación ante el Pleno de este Instituto.</w:t>
      </w:r>
    </w:p>
    <w:p w14:paraId="58F5587B" w14:textId="77777777" w:rsidR="00593553" w:rsidRDefault="00354D12">
      <w:pPr>
        <w:widowControl w:val="0"/>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6.</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w:t>
      </w:r>
      <w:r>
        <w:rPr>
          <w:rFonts w:ascii="Palatino Linotype" w:eastAsia="Palatino Linotype" w:hAnsi="Palatino Linotype" w:cs="Palatino Linotype"/>
        </w:rPr>
        <w:t xml:space="preserve"> El día</w:t>
      </w:r>
      <w:r>
        <w:rPr>
          <w:rFonts w:ascii="Palatino Linotype" w:eastAsia="Palatino Linotype" w:hAnsi="Palatino Linotype" w:cs="Palatino Linotype"/>
          <w:b/>
        </w:rPr>
        <w:t xml:space="preserve"> cuatro de marzo de dos mil veintidós </w:t>
      </w:r>
      <w:r>
        <w:rPr>
          <w:rFonts w:ascii="Palatino Linotype" w:eastAsia="Palatino Linotype" w:hAnsi="Palatino Linotype" w:cs="Palatino Linotype"/>
        </w:rPr>
        <w:t xml:space="preserve">se admitió a trámite el presente recurso de revisión a efecto de integrar el expediente </w:t>
      </w:r>
      <w:r>
        <w:rPr>
          <w:rFonts w:ascii="Palatino Linotype" w:eastAsia="Palatino Linotype" w:hAnsi="Palatino Linotype" w:cs="Palatino Linotype"/>
        </w:rPr>
        <w:lastRenderedPageBreak/>
        <w:t>respectivo; fue puesto a disposición de las partes por siete días hábiles para que ofrecieran pruebas y manifestaran lo que a su derecho convenga.</w:t>
      </w:r>
    </w:p>
    <w:p w14:paraId="57504A56" w14:textId="77777777" w:rsidR="00593553" w:rsidRDefault="00354D12">
      <w:pPr>
        <w:widowControl w:val="0"/>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7. Manifestaciones</w:t>
      </w:r>
      <w:r>
        <w:rPr>
          <w:rFonts w:ascii="Palatino Linotype" w:eastAsia="Palatino Linotype" w:hAnsi="Palatino Linotype" w:cs="Palatino Linotype"/>
        </w:rPr>
        <w:t xml:space="preserve">. De constancias del expediente electrónico del SAIMEX, se observa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el </w:t>
      </w:r>
      <w:r>
        <w:rPr>
          <w:rFonts w:ascii="Palatino Linotype" w:eastAsia="Palatino Linotype" w:hAnsi="Palatino Linotype" w:cs="Palatino Linotype"/>
          <w:b/>
        </w:rPr>
        <w:t xml:space="preserve">dieciséis de abril de dos mil veintidós </w:t>
      </w:r>
      <w:r>
        <w:rPr>
          <w:rFonts w:ascii="Palatino Linotype" w:eastAsia="Palatino Linotype" w:hAnsi="Palatino Linotype" w:cs="Palatino Linotype"/>
        </w:rPr>
        <w:t xml:space="preserve">mediante el documento electrónico </w:t>
      </w:r>
      <w:r>
        <w:rPr>
          <w:rFonts w:ascii="Palatino Linotype" w:eastAsia="Palatino Linotype" w:hAnsi="Palatino Linotype" w:cs="Palatino Linotype"/>
          <w:b/>
          <w:i/>
        </w:rPr>
        <w:t>“RR-2279-SOL.279.docx”</w:t>
      </w:r>
      <w:r>
        <w:rPr>
          <w:rFonts w:ascii="Palatino Linotype" w:eastAsia="Palatino Linotype" w:hAnsi="Palatino Linotype" w:cs="Palatino Linotype"/>
        </w:rPr>
        <w:t>, el cual consta de once fojas y medularmente ratifica la respuesta emitida inicialmente asimismo por cuanto hace al particular, se tiene que no emitió alegatos o pronunciamiento alguno, por lo que se tiene por precluido su derecho para tal efecto.</w:t>
      </w:r>
    </w:p>
    <w:p w14:paraId="3E40B569" w14:textId="77777777" w:rsidR="00593553" w:rsidRDefault="00354D12">
      <w:pPr>
        <w:spacing w:before="240" w:after="240" w:line="360" w:lineRule="auto"/>
        <w:ind w:right="49"/>
        <w:jc w:val="both"/>
        <w:rPr>
          <w:rFonts w:ascii="Palatino Linotype" w:eastAsia="Palatino Linotype" w:hAnsi="Palatino Linotype" w:cs="Palatino Linotype"/>
        </w:rPr>
      </w:pPr>
      <w:bookmarkStart w:id="0" w:name="_heading=h.1fob9te" w:colFirst="0" w:colLast="0"/>
      <w:bookmarkEnd w:id="0"/>
      <w:r>
        <w:rPr>
          <w:rFonts w:ascii="Palatino Linotype" w:eastAsia="Palatino Linotype" w:hAnsi="Palatino Linotype" w:cs="Palatino Linotype"/>
        </w:rPr>
        <w:t xml:space="preserve">Es de señalar que esta documentación se puso a la vista del particular mediante acuerdo emitido por la Comisionada Ponente, en fecha </w:t>
      </w:r>
      <w:r>
        <w:rPr>
          <w:rFonts w:ascii="Palatino Linotype" w:eastAsia="Palatino Linotype" w:hAnsi="Palatino Linotype" w:cs="Palatino Linotype"/>
          <w:b/>
        </w:rPr>
        <w:t>diecisiete de mayo de dos mil veintidós</w:t>
      </w:r>
      <w:r>
        <w:rPr>
          <w:rFonts w:ascii="Palatino Linotype" w:eastAsia="Palatino Linotype" w:hAnsi="Palatino Linotype" w:cs="Palatino Linotype"/>
        </w:rPr>
        <w:t>, asimismo por cuanto hace a la parte Recurrente, se tiene que fue omiso en presentar manifestaciones, pruebas y/o alegatos en la etapa procedimental previamente reconocida en nuestra Ley de Transparencia, por lo cual se tiene por precluido su derecho.</w:t>
      </w:r>
    </w:p>
    <w:p w14:paraId="537C53C3" w14:textId="77777777" w:rsidR="00593553" w:rsidRDefault="00354D12">
      <w:pPr>
        <w:widowControl w:val="0"/>
        <w:spacing w:before="240" w:after="240" w:line="360" w:lineRule="auto"/>
        <w:ind w:right="49"/>
        <w:jc w:val="both"/>
        <w:rPr>
          <w:rFonts w:ascii="Palatino Linotype" w:eastAsia="Palatino Linotype" w:hAnsi="Palatino Linotype" w:cs="Palatino Linotype"/>
        </w:rPr>
      </w:pPr>
      <w:r>
        <w:object w:dxaOrig="8790" w:dyaOrig="3000" w14:anchorId="044A460F">
          <v:shape id="_x0000_i1029" type="#_x0000_t75" style="width:439.55pt;height:149.85pt" o:ole="">
            <v:imagedata r:id="rId30" o:title=""/>
          </v:shape>
          <o:OLEObject Type="Embed" ProgID="Paint.Picture" ShapeID="_x0000_i1029" DrawAspect="Content" ObjectID="_1715376817" r:id="rId31"/>
        </w:object>
      </w:r>
    </w:p>
    <w:p w14:paraId="63A638C7" w14:textId="77777777" w:rsidR="00593553" w:rsidRDefault="00354D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8.- Ampliación del plazo para emitir resolución.</w:t>
      </w:r>
      <w:r>
        <w:rPr>
          <w:rFonts w:ascii="Palatino Linotype" w:eastAsia="Palatino Linotype" w:hAnsi="Palatino Linotype" w:cs="Palatino Linotype"/>
        </w:rPr>
        <w:t xml:space="preserve"> El </w:t>
      </w:r>
      <w:r>
        <w:rPr>
          <w:rFonts w:ascii="Palatino Linotype" w:eastAsia="Palatino Linotype" w:hAnsi="Palatino Linotype" w:cs="Palatino Linotype"/>
          <w:b/>
        </w:rPr>
        <w:t>diecisiete de mayo de dos mil veintidós</w:t>
      </w:r>
      <w:r>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7ADD1B6E" w14:textId="77777777" w:rsidR="00593553" w:rsidRDefault="00354D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9. Cierre de Instrucción. </w:t>
      </w:r>
      <w:r>
        <w:rPr>
          <w:rFonts w:ascii="Palatino Linotype" w:eastAsia="Palatino Linotype" w:hAnsi="Palatino Linotype" w:cs="Palatino Linotype"/>
        </w:rPr>
        <w:t xml:space="preserve">Una vez transcurrido el plazo otorgado para que las partes manifestaran lo que a su derecho conviniera, y siguiendo los trámites correspondientes con fundamento en el artículo 185 fracción VI de la Ley de Transparencia y Acceso a la Información Pública del Estado de México y Municipios, el día </w:t>
      </w:r>
      <w:r>
        <w:rPr>
          <w:rFonts w:ascii="Palatino Linotype" w:eastAsia="Palatino Linotype" w:hAnsi="Palatino Linotype" w:cs="Palatino Linotype"/>
          <w:b/>
        </w:rPr>
        <w:t>veinticuatro</w:t>
      </w:r>
      <w:r>
        <w:rPr>
          <w:rFonts w:ascii="Palatino Linotype" w:eastAsia="Palatino Linotype" w:hAnsi="Palatino Linotype" w:cs="Palatino Linotype"/>
          <w:b/>
          <w:color w:val="000000"/>
        </w:rPr>
        <w:t xml:space="preserve"> de mayo </w:t>
      </w:r>
      <w:r>
        <w:rPr>
          <w:rFonts w:ascii="Palatino Linotype" w:eastAsia="Palatino Linotype" w:hAnsi="Palatino Linotype" w:cs="Palatino Linotype"/>
          <w:b/>
        </w:rPr>
        <w:t>de dos mil veintidós</w:t>
      </w:r>
      <w:r>
        <w:rPr>
          <w:rFonts w:ascii="Palatino Linotype" w:eastAsia="Palatino Linotype" w:hAnsi="Palatino Linotype" w:cs="Palatino Linotype"/>
        </w:rPr>
        <w:t>, se procedió a decretar el cierre de instrucción respectivo y no existiendo diligencia pendiente de desahogo, se ordenó emitir la resolución que conforme a derecho proceda.</w:t>
      </w:r>
    </w:p>
    <w:p w14:paraId="0F7255CE" w14:textId="77777777" w:rsidR="00593553" w:rsidRDefault="00354D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305289A4" w14:textId="77777777" w:rsidR="00593553" w:rsidRDefault="00354D12">
      <w:pPr>
        <w:spacing w:before="240"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t>CONSIDERANDO</w:t>
      </w:r>
    </w:p>
    <w:p w14:paraId="69772F31" w14:textId="77777777" w:rsidR="00593553" w:rsidRDefault="00354D12">
      <w:pPr>
        <w:spacing w:before="240" w:after="240"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w:t>
      </w:r>
      <w:r>
        <w:rPr>
          <w:rFonts w:ascii="Palatino Linotype" w:eastAsia="Palatino Linotype" w:hAnsi="Palatino Linotype" w:cs="Palatino Linotype"/>
          <w:b/>
        </w:rPr>
        <w:t>Competencia.</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w:t>
      </w:r>
      <w:r>
        <w:rPr>
          <w:rFonts w:ascii="Palatino Linotype" w:eastAsia="Palatino Linotype" w:hAnsi="Palatino Linotype" w:cs="Palatino Linotype"/>
          <w:b/>
          <w:highlight w:val="white"/>
        </w:rPr>
        <w:t>la parte Recurrente</w:t>
      </w:r>
      <w:r>
        <w:rPr>
          <w:rFonts w:ascii="Palatino Linotype" w:eastAsia="Palatino Linotype" w:hAnsi="Palatino Linotype" w:cs="Palatino Linotype"/>
          <w:highlight w:val="white"/>
        </w:rPr>
        <w:t xml:space="preserve">, conforme a lo dispuesto en los artículos 6, apartado A de la Constitución Política de los Estados Unidos Mexicanos; 5, párrafos trigésimo, trigésimo primero y trigésimo segundo; de la Constitución Política del Estado Libre </w:t>
      </w:r>
      <w:r>
        <w:rPr>
          <w:rFonts w:ascii="Palatino Linotype" w:eastAsia="Palatino Linotype" w:hAnsi="Palatino Linotype" w:cs="Palatino Linotype"/>
          <w:highlight w:val="white"/>
        </w:rPr>
        <w:lastRenderedPageBreak/>
        <w:t>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1C5A6A1B" w14:textId="77777777" w:rsidR="00593553" w:rsidRDefault="00354D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Oportunidad y Procedibilidad. </w:t>
      </w:r>
      <w:r>
        <w:rPr>
          <w:rFonts w:ascii="Palatino Linotype" w:eastAsia="Palatino Linotype" w:hAnsi="Palatino Linotype" w:cs="Palatino Linotype"/>
        </w:rPr>
        <w:t xml:space="preserve">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planteada por el solicitante en fecha </w:t>
      </w:r>
      <w:r>
        <w:rPr>
          <w:rFonts w:ascii="Palatino Linotype" w:eastAsia="Palatino Linotype" w:hAnsi="Palatino Linotype" w:cs="Palatino Linotype"/>
          <w:b/>
        </w:rPr>
        <w:t>once de febrero del año dos mil veintidós</w:t>
      </w:r>
      <w:r>
        <w:rPr>
          <w:rFonts w:ascii="Palatino Linotype" w:eastAsia="Palatino Linotype" w:hAnsi="Palatino Linotype" w:cs="Palatino Linotype"/>
        </w:rPr>
        <w:t xml:space="preserve"> y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presentó su recurso de revisión el </w:t>
      </w:r>
      <w:r>
        <w:rPr>
          <w:rFonts w:ascii="Palatino Linotype" w:eastAsia="Palatino Linotype" w:hAnsi="Palatino Linotype" w:cs="Palatino Linotype"/>
          <w:b/>
        </w:rPr>
        <w:t>veintiocho de febrero de dos mil veintidós</w:t>
      </w:r>
      <w:r>
        <w:rPr>
          <w:rFonts w:ascii="Palatino Linotype" w:eastAsia="Palatino Linotype" w:hAnsi="Palatino Linotype" w:cs="Palatino Linotype"/>
        </w:rPr>
        <w:t xml:space="preserve">, esto es al </w:t>
      </w:r>
      <w:r>
        <w:rPr>
          <w:rFonts w:ascii="Palatino Linotype" w:eastAsia="Palatino Linotype" w:hAnsi="Palatino Linotype" w:cs="Palatino Linotype"/>
          <w:b/>
        </w:rPr>
        <w:t>décimo primer día hábil</w:t>
      </w:r>
      <w:r>
        <w:rPr>
          <w:rFonts w:ascii="Palatino Linotype" w:eastAsia="Palatino Linotype" w:hAnsi="Palatino Linotype" w:cs="Palatino Linotype"/>
        </w:rPr>
        <w:t xml:space="preserve"> en el que tuvo conocimiento de la respuesta. </w:t>
      </w:r>
    </w:p>
    <w:p w14:paraId="53A55896" w14:textId="77777777" w:rsidR="00593553" w:rsidRDefault="00354D12">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por cuanto hace a la procedibilidad del recurso de revisión, es de suma importancia señalar que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no señaló nombre o seudónimo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94456FA" w14:textId="77777777" w:rsidR="00593553" w:rsidRDefault="00354D12">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"Las solicitudes anónimas, con nombre incompleto o seudónimo serán procedentes para su trámite por parte del sujeto obligado ante quien se presente. No podrá requerirse información adicional con motivo del nombre proporcionado por el solicitante."</w:t>
      </w:r>
    </w:p>
    <w:p w14:paraId="1DC95830" w14:textId="77777777" w:rsidR="00593553" w:rsidRDefault="00354D12">
      <w:pPr>
        <w:spacing w:before="240" w:after="240"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las cosas,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048F916" w14:textId="77777777" w:rsidR="00593553" w:rsidRDefault="00354D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advierte que resulta procedente la interposición del recurso, según lo manifestado por</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 xml:space="preserve">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sus motivos de inconformidad, de acuerdo al artículo 179, fracción I del ordenamiento legal citado, que a la letra dice: </w:t>
      </w:r>
    </w:p>
    <w:p w14:paraId="1A889E0E" w14:textId="77777777" w:rsidR="00593553" w:rsidRDefault="00354D12">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 </w:t>
      </w:r>
    </w:p>
    <w:p w14:paraId="0624497E" w14:textId="77777777" w:rsidR="00593553" w:rsidRDefault="00354D12">
      <w:pPr>
        <w:spacing w:before="240"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 La negativa a la información solicitada;</w:t>
      </w:r>
      <w:r>
        <w:rPr>
          <w:rFonts w:ascii="Palatino Linotype" w:eastAsia="Palatino Linotype" w:hAnsi="Palatino Linotype" w:cs="Palatino Linotype"/>
          <w:i/>
          <w:sz w:val="22"/>
          <w:szCs w:val="22"/>
        </w:rPr>
        <w:t>” </w:t>
      </w:r>
    </w:p>
    <w:p w14:paraId="39242869" w14:textId="77777777" w:rsidR="00593553" w:rsidRDefault="00354D12">
      <w:pPr>
        <w:spacing w:before="240" w:after="240" w:line="276" w:lineRule="auto"/>
        <w:ind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(Énfasis añadido)</w:t>
      </w:r>
    </w:p>
    <w:p w14:paraId="3B2F227B" w14:textId="77777777" w:rsidR="00593553" w:rsidRDefault="00354D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de la parte Recurrente, o en su defecto, en caso de ser procedente, ordenar la entrega de información oportuna.</w:t>
      </w:r>
    </w:p>
    <w:p w14:paraId="1A4A9676" w14:textId="77777777" w:rsidR="00593553" w:rsidRDefault="00354D12">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Cuarto. Estudio del asunto. </w:t>
      </w:r>
      <w:r>
        <w:rPr>
          <w:rFonts w:ascii="Palatino Linotype" w:eastAsia="Palatino Linotype" w:hAnsi="Palatino Linotype" w:cs="Palatino Linotype"/>
        </w:rPr>
        <w:t xml:space="preserve">Antes de entrar al análisis de los pronunciamientos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3A7AF52C" w14:textId="77777777" w:rsidR="00593553" w:rsidRDefault="00354D12">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1A1C7DB1" w14:textId="77777777" w:rsidR="00593553" w:rsidRDefault="00354D12">
      <w:pPr>
        <w:tabs>
          <w:tab w:val="left" w:pos="709"/>
        </w:tabs>
        <w:spacing w:before="240" w:after="240" w:line="276" w:lineRule="auto"/>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520EA792" w14:textId="77777777" w:rsidR="00593553" w:rsidRDefault="00354D12">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173F75B1" w14:textId="77777777" w:rsidR="00593553" w:rsidRDefault="00354D12">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892BF1F" w14:textId="77777777" w:rsidR="00593553" w:rsidRDefault="00354D12">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14:paraId="30BAEE77" w14:textId="77777777" w:rsidR="00593553" w:rsidRDefault="00354D12">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E5B1BC8" w14:textId="77777777" w:rsidR="00593553" w:rsidRDefault="00354D12">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14:paraId="5845853F" w14:textId="77777777" w:rsidR="00593553" w:rsidRDefault="00354D12">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E15A790" w14:textId="77777777" w:rsidR="00593553" w:rsidRDefault="00354D12">
      <w:pPr>
        <w:spacing w:before="240" w:after="240" w:line="276" w:lineRule="auto"/>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1FCA2BD0" w14:textId="77777777" w:rsidR="00593553" w:rsidRDefault="00354D12">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14:paraId="29FF7EA4" w14:textId="77777777" w:rsidR="00593553" w:rsidRDefault="00354D12">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49AA1645" w14:textId="77777777" w:rsidR="00593553" w:rsidRDefault="00354D12">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D2533DA" w14:textId="77777777" w:rsidR="00593553" w:rsidRDefault="00354D12">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3743036B" w14:textId="77777777" w:rsidR="00593553" w:rsidRDefault="00354D12">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w:t>
      </w: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20E6F5D1" w14:textId="77777777" w:rsidR="00593553" w:rsidRDefault="00354D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57711383" w14:textId="77777777" w:rsidR="00593553" w:rsidRDefault="00354D12">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8067876" w14:textId="77777777" w:rsidR="00593553" w:rsidRDefault="00354D12">
      <w:pPr>
        <w:spacing w:before="240" w:after="240" w:line="276" w:lineRule="auto"/>
        <w:ind w:left="709"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B48019D" w14:textId="77777777" w:rsidR="00593553" w:rsidRDefault="00354D12">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Sic)</w:t>
      </w:r>
    </w:p>
    <w:p w14:paraId="3472A719" w14:textId="77777777" w:rsidR="00593553" w:rsidRDefault="00354D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2D81335D" w14:textId="77777777" w:rsidR="00593553" w:rsidRDefault="00354D12">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09C42FD" w14:textId="77777777" w:rsidR="00593553" w:rsidRDefault="00354D12">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15C2B356" w14:textId="77777777" w:rsidR="00593553" w:rsidRDefault="00354D12">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xml:space="preserve">, para satisfacer el derecho de acceso a la información pública, </w:t>
      </w:r>
      <w:r>
        <w:rPr>
          <w:rFonts w:ascii="Palatino Linotype" w:eastAsia="Palatino Linotype" w:hAnsi="Palatino Linotype" w:cs="Palatino Linotype"/>
        </w:rPr>
        <w:t>como así lo establece el criterio 03/17 emitido por el Instituto Nacional de Transparencia, Acceso a la Información Pública y Protección de Datos Personales, el cual señala lo siguiente:</w:t>
      </w:r>
    </w:p>
    <w:p w14:paraId="6966B265" w14:textId="77777777" w:rsidR="00593553" w:rsidRDefault="00354D12">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03/17</w:t>
      </w:r>
    </w:p>
    <w:p w14:paraId="23D6C9D3" w14:textId="77777777" w:rsidR="00593553" w:rsidRDefault="00354D12">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“NO EXISTE OBLIGACIÓN DE ELABORAR DOCUMENTOS AD HOC PARA ATENDER LAS SOLICITUDES DE ACCESO A LA INFORMACIÓN.</w:t>
      </w:r>
    </w:p>
    <w:p w14:paraId="0209642B" w14:textId="77777777" w:rsidR="00593553" w:rsidRDefault="00354D12">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3D548828" w14:textId="77777777" w:rsidR="00593553" w:rsidRDefault="00354D12">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Por otra parte, y aunado a lo antepuesto, el último párrafo del artículo 24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EF84BC2" w14:textId="77777777" w:rsidR="00593553" w:rsidRDefault="00354D1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67F5187" w14:textId="77777777" w:rsidR="00593553" w:rsidRDefault="00354D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D679238" w14:textId="77777777" w:rsidR="00593553" w:rsidRDefault="00354D12">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29613095" w14:textId="77777777" w:rsidR="00593553" w:rsidRDefault="00354D12">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0918D7D" w14:textId="77777777" w:rsidR="00593553" w:rsidRDefault="00354D12">
      <w:pP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w:t>
      </w:r>
      <w:r>
        <w:rPr>
          <w:rFonts w:ascii="Palatino Linotype" w:eastAsia="Palatino Linotype" w:hAnsi="Palatino Linotype" w:cs="Palatino Linotype"/>
          <w:b/>
          <w:i/>
          <w:color w:val="000000"/>
          <w:sz w:val="22"/>
          <w:szCs w:val="22"/>
        </w:rPr>
        <w:t>actas,</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(Sic)</w:t>
      </w:r>
    </w:p>
    <w:p w14:paraId="3AEDA138" w14:textId="77777777" w:rsidR="00593553" w:rsidRDefault="00354D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94EACA5" w14:textId="77777777" w:rsidR="00593553" w:rsidRDefault="00354D12">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6A4224D5" w14:textId="77777777" w:rsidR="00593553" w:rsidRDefault="00354D12">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68BF8FE" w14:textId="77777777" w:rsidR="00593553" w:rsidRDefault="00354D12">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w:t>
      </w:r>
      <w:proofErr w:type="gramStart"/>
      <w:r>
        <w:rPr>
          <w:rFonts w:ascii="Palatino Linotype" w:eastAsia="Palatino Linotype" w:hAnsi="Palatino Linotype" w:cs="Palatino Linotype"/>
          <w:i/>
          <w:sz w:val="22"/>
          <w:szCs w:val="22"/>
        </w:rPr>
        <w:t>consecuencia</w:t>
      </w:r>
      <w:proofErr w:type="gramEnd"/>
      <w:r>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42DBD42E" w14:textId="77777777" w:rsidR="00593553" w:rsidRDefault="00354D12">
      <w:pPr>
        <w:numPr>
          <w:ilvl w:val="0"/>
          <w:numId w:val="1"/>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Que se trate de información registrada en cualquier soporte documental, </w:t>
      </w:r>
      <w:proofErr w:type="gramStart"/>
      <w:r>
        <w:rPr>
          <w:rFonts w:ascii="Palatino Linotype" w:eastAsia="Palatino Linotype" w:hAnsi="Palatino Linotype" w:cs="Palatino Linotype"/>
          <w:i/>
          <w:color w:val="000000"/>
          <w:sz w:val="22"/>
          <w:szCs w:val="22"/>
        </w:rPr>
        <w:t>que</w:t>
      </w:r>
      <w:proofErr w:type="gramEnd"/>
      <w:r>
        <w:rPr>
          <w:rFonts w:ascii="Palatino Linotype" w:eastAsia="Palatino Linotype" w:hAnsi="Palatino Linotype" w:cs="Palatino Linotype"/>
          <w:i/>
          <w:color w:val="000000"/>
          <w:sz w:val="22"/>
          <w:szCs w:val="22"/>
        </w:rPr>
        <w:t xml:space="preserve"> en ejercicio de las atribuciones conferidas, sea generada por los Sujetos Obligados;</w:t>
      </w:r>
    </w:p>
    <w:p w14:paraId="0667D37D" w14:textId="77777777" w:rsidR="00593553" w:rsidRDefault="00354D12">
      <w:pPr>
        <w:numPr>
          <w:ilvl w:val="0"/>
          <w:numId w:val="1"/>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Que se trate de información registrada en cualquier soporte documental, </w:t>
      </w:r>
      <w:proofErr w:type="gramStart"/>
      <w:r>
        <w:rPr>
          <w:rFonts w:ascii="Palatino Linotype" w:eastAsia="Palatino Linotype" w:hAnsi="Palatino Linotype" w:cs="Palatino Linotype"/>
          <w:i/>
          <w:color w:val="000000"/>
          <w:sz w:val="22"/>
          <w:szCs w:val="22"/>
        </w:rPr>
        <w:t>que</w:t>
      </w:r>
      <w:proofErr w:type="gramEnd"/>
      <w:r>
        <w:rPr>
          <w:rFonts w:ascii="Palatino Linotype" w:eastAsia="Palatino Linotype" w:hAnsi="Palatino Linotype" w:cs="Palatino Linotype"/>
          <w:i/>
          <w:color w:val="000000"/>
          <w:sz w:val="22"/>
          <w:szCs w:val="22"/>
        </w:rPr>
        <w:t xml:space="preserve"> en ejercicio de las atribuciones conferidas, sea administrada por los Sujetos Obligados, y</w:t>
      </w:r>
    </w:p>
    <w:p w14:paraId="58290FAA" w14:textId="77777777" w:rsidR="00593553" w:rsidRDefault="00354D12">
      <w:pPr>
        <w:spacing w:before="240" w:after="240" w:line="276" w:lineRule="auto"/>
        <w:ind w:left="567" w:right="567" w:hanging="28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w:t>
      </w:r>
      <w:r>
        <w:rPr>
          <w:rFonts w:ascii="Palatino Linotype" w:eastAsia="Palatino Linotype" w:hAnsi="Palatino Linotype" w:cs="Palatino Linotype"/>
          <w:b/>
          <w:i/>
          <w:sz w:val="22"/>
          <w:szCs w:val="22"/>
        </w:rPr>
        <w:t xml:space="preserve">Que se trate de información registrada en cualquier soporte documental, </w:t>
      </w:r>
      <w:proofErr w:type="gramStart"/>
      <w:r>
        <w:rPr>
          <w:rFonts w:ascii="Palatino Linotype" w:eastAsia="Palatino Linotype" w:hAnsi="Palatino Linotype" w:cs="Palatino Linotype"/>
          <w:b/>
          <w:i/>
          <w:sz w:val="22"/>
          <w:szCs w:val="22"/>
        </w:rPr>
        <w:t>que</w:t>
      </w:r>
      <w:proofErr w:type="gramEnd"/>
      <w:r>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3A4AE1DF" w14:textId="77777777" w:rsidR="00593553" w:rsidRDefault="00354D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xml:space="preserve">, así como de interés público, es decir, aquella que resulta relevante o beneficiosa para la sociedad y no simplemente </w:t>
      </w:r>
      <w:r>
        <w:rPr>
          <w:rFonts w:ascii="Palatino Linotype" w:eastAsia="Palatino Linotype" w:hAnsi="Palatino Linotype" w:cs="Palatino Linotype"/>
        </w:rPr>
        <w:lastRenderedPageBreak/>
        <w:t>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w:t>
      </w:r>
    </w:p>
    <w:p w14:paraId="65C7FE2D" w14:textId="77777777" w:rsidR="00593553" w:rsidRDefault="00354D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para profundizar en el estudio del presente asunto, es conveniente recordar que la parte solicitante requirió al </w:t>
      </w:r>
      <w:r>
        <w:rPr>
          <w:rFonts w:ascii="Palatino Linotype" w:eastAsia="Palatino Linotype" w:hAnsi="Palatino Linotype" w:cs="Palatino Linotype"/>
          <w:b/>
        </w:rPr>
        <w:t>Sujeto Obligado</w:t>
      </w:r>
      <w:r>
        <w:rPr>
          <w:rFonts w:ascii="Palatino Linotype" w:eastAsia="Palatino Linotype" w:hAnsi="Palatino Linotype" w:cs="Palatino Linotype"/>
        </w:rPr>
        <w:t>, le proporcionara lo siguiente:</w:t>
      </w:r>
    </w:p>
    <w:p w14:paraId="446F0034" w14:textId="77777777" w:rsidR="00593553" w:rsidRDefault="00354D12">
      <w:pPr>
        <w:pBdr>
          <w:top w:val="nil"/>
          <w:left w:val="nil"/>
          <w:bottom w:val="nil"/>
          <w:right w:val="nil"/>
          <w:between w:val="nil"/>
        </w:pBdr>
        <w:tabs>
          <w:tab w:val="left" w:pos="7513"/>
        </w:tabs>
        <w:spacing w:before="240" w:after="240" w:line="360" w:lineRule="auto"/>
        <w:ind w:left="567" w:right="851"/>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Los nombres, remuneraciones, antigüedad y áreas de adscripción de todas y todos los servidores públicos sindicalizados. </w:t>
      </w:r>
    </w:p>
    <w:p w14:paraId="7167AE65" w14:textId="77777777" w:rsidR="00593553" w:rsidRDefault="00354D12">
      <w:pPr>
        <w:tabs>
          <w:tab w:val="left" w:pos="7513"/>
        </w:tabs>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rPr>
        <w:t xml:space="preserve">Al respecto,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manifestó por conducto del Director de Administración </w:t>
      </w:r>
      <w:proofErr w:type="gramStart"/>
      <w:r>
        <w:rPr>
          <w:rFonts w:ascii="Palatino Linotype" w:eastAsia="Palatino Linotype" w:hAnsi="Palatino Linotype" w:cs="Palatino Linotype"/>
        </w:rPr>
        <w:t>que  habiendo</w:t>
      </w:r>
      <w:proofErr w:type="gramEnd"/>
      <w:r>
        <w:rPr>
          <w:rFonts w:ascii="Palatino Linotype" w:eastAsia="Palatino Linotype" w:hAnsi="Palatino Linotype" w:cs="Palatino Linotype"/>
        </w:rPr>
        <w:t xml:space="preserve"> realizado una búsqueda exhaustiva de la información en los archivos por parte del área correspondiente a la Dirección, </w:t>
      </w:r>
      <w:r>
        <w:rPr>
          <w:rFonts w:ascii="Palatino Linotype" w:eastAsia="Palatino Linotype" w:hAnsi="Palatino Linotype" w:cs="Palatino Linotype"/>
          <w:b/>
        </w:rPr>
        <w:t xml:space="preserve">no se localizó la información </w:t>
      </w:r>
      <w:r>
        <w:rPr>
          <w:rFonts w:ascii="Palatino Linotype" w:eastAsia="Palatino Linotype" w:hAnsi="Palatino Linotype" w:cs="Palatino Linotype"/>
          <w:b/>
          <w:u w:val="single"/>
        </w:rPr>
        <w:t>como la requiere el ciudadano</w:t>
      </w:r>
      <w:r>
        <w:rPr>
          <w:rFonts w:ascii="Palatino Linotype" w:eastAsia="Palatino Linotype" w:hAnsi="Palatino Linotype" w:cs="Palatino Linotype"/>
          <w:b/>
        </w:rPr>
        <w:t>. Por lo que se invoca el artículo 12 de la ley en la materia que señala que no están obligados a generar la información para dar respuesta a una solicitud.</w:t>
      </w:r>
    </w:p>
    <w:p w14:paraId="319A3AEC" w14:textId="77777777" w:rsidR="00593553" w:rsidRDefault="00354D12">
      <w:pPr>
        <w:spacing w:before="240" w:after="240"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rPr>
        <w:t xml:space="preserve">Conocida la respuesta a la solicitud de información, el particular, al no estar conforme con los términos de la misma, interpuso el recurso de revisión que nos ocupa, donde señaló como motivos de inconformidad: </w:t>
      </w:r>
      <w:r>
        <w:rPr>
          <w:rFonts w:ascii="Palatino Linotype" w:eastAsia="Palatino Linotype" w:hAnsi="Palatino Linotype" w:cs="Palatino Linotype"/>
          <w:i/>
        </w:rPr>
        <w:t>“</w:t>
      </w:r>
      <w:r>
        <w:rPr>
          <w:rFonts w:ascii="Palatino Linotype" w:eastAsia="Palatino Linotype" w:hAnsi="Palatino Linotype" w:cs="Palatino Linotype"/>
          <w:b/>
          <w:i/>
          <w:sz w:val="22"/>
          <w:szCs w:val="22"/>
          <w:u w:val="single"/>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w:t>
      </w:r>
      <w:r>
        <w:rPr>
          <w:rFonts w:ascii="Palatino Linotype" w:eastAsia="Palatino Linotype" w:hAnsi="Palatino Linotype" w:cs="Palatino Linotype"/>
          <w:b/>
          <w:i/>
          <w:sz w:val="22"/>
          <w:szCs w:val="22"/>
          <w:u w:val="single"/>
        </w:rPr>
        <w:lastRenderedPageBreak/>
        <w:t xml:space="preserve">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w:t>
      </w:r>
      <w:proofErr w:type="gramStart"/>
      <w:r>
        <w:rPr>
          <w:rFonts w:ascii="Palatino Linotype" w:eastAsia="Palatino Linotype" w:hAnsi="Palatino Linotype" w:cs="Palatino Linotype"/>
          <w:b/>
          <w:i/>
          <w:sz w:val="22"/>
          <w:szCs w:val="22"/>
          <w:u w:val="single"/>
        </w:rPr>
        <w:t xml:space="preserve">Municipios </w:t>
      </w:r>
      <w:r>
        <w:rPr>
          <w:rFonts w:ascii="Palatino Linotype" w:eastAsia="Palatino Linotype" w:hAnsi="Palatino Linotype" w:cs="Palatino Linotype"/>
          <w:i/>
          <w:sz w:val="22"/>
          <w:szCs w:val="22"/>
        </w:rPr>
        <w:t xml:space="preserve"> …</w:t>
      </w:r>
      <w:proofErr w:type="gramEnd"/>
    </w:p>
    <w:p w14:paraId="04D34EAC" w14:textId="77777777" w:rsidR="00593553" w:rsidRDefault="00354D12">
      <w:pPr>
        <w:spacing w:before="240" w:after="240"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 xml:space="preserve">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w:t>
      </w:r>
      <w:r>
        <w:rPr>
          <w:rFonts w:ascii="Palatino Linotype" w:eastAsia="Palatino Linotype" w:hAnsi="Palatino Linotype" w:cs="Palatino Linotype"/>
          <w:i/>
          <w:sz w:val="22"/>
          <w:szCs w:val="22"/>
        </w:rPr>
        <w:t>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 (Sic) (Énfasis añadido)</w:t>
      </w:r>
    </w:p>
    <w:p w14:paraId="397DD548" w14:textId="77777777" w:rsidR="00593553" w:rsidRDefault="00354D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Así las cosas, durante la etapa de manifestaciones,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mediante el cual ratificó la respuesta remitida inicialmente y por cuanto hace a </w:t>
      </w:r>
      <w:r>
        <w:rPr>
          <w:rFonts w:ascii="Palatino Linotype" w:eastAsia="Palatino Linotype" w:hAnsi="Palatino Linotype" w:cs="Palatino Linotype"/>
          <w:b/>
        </w:rPr>
        <w:t xml:space="preserve">la parte Recurrente, </w:t>
      </w:r>
      <w:r>
        <w:rPr>
          <w:rFonts w:ascii="Palatino Linotype" w:eastAsia="Palatino Linotype" w:hAnsi="Palatino Linotype" w:cs="Palatino Linotype"/>
        </w:rPr>
        <w:t xml:space="preserve">se tiene </w:t>
      </w:r>
      <w:proofErr w:type="gramStart"/>
      <w:r>
        <w:rPr>
          <w:rFonts w:ascii="Palatino Linotype" w:eastAsia="Palatino Linotype" w:hAnsi="Palatino Linotype" w:cs="Palatino Linotype"/>
        </w:rPr>
        <w:t>que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 no</w:t>
      </w:r>
      <w:proofErr w:type="gramEnd"/>
      <w:r>
        <w:rPr>
          <w:rFonts w:ascii="Palatino Linotype" w:eastAsia="Palatino Linotype" w:hAnsi="Palatino Linotype" w:cs="Palatino Linotype"/>
        </w:rPr>
        <w:t xml:space="preserve"> emitió alegatos, manifestaciones o pronunciamiento alguno que a su derecho conviniera, luego entonces, se tiene por precluido su derecho para tal efecto.</w:t>
      </w:r>
    </w:p>
    <w:p w14:paraId="2B6BF8DC" w14:textId="77777777" w:rsidR="00593553" w:rsidRDefault="00354D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a efecto de garantizar el efectivo ejercicio del derecho de acceso a la información pública que asiste al particular, resulta conveniente entrar al estudio de las siguientes consideraciones de hecho y derecho: </w:t>
      </w:r>
    </w:p>
    <w:p w14:paraId="6836D142" w14:textId="77777777" w:rsidR="00593553" w:rsidRDefault="00354D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primera instancia</w:t>
      </w:r>
      <w:r>
        <w:rPr>
          <w:rFonts w:ascii="Palatino Linotype" w:eastAsia="Palatino Linotype" w:hAnsi="Palatino Linotype" w:cs="Palatino Linotype"/>
          <w:color w:val="000000"/>
        </w:rPr>
        <w:t xml:space="preserve">, debe señalarse que de </w:t>
      </w:r>
      <w:r>
        <w:rPr>
          <w:rFonts w:ascii="Palatino Linotype" w:eastAsia="Palatino Linotype" w:hAnsi="Palatino Linotype" w:cs="Palatino Linotype"/>
        </w:rPr>
        <w:t>las constancias que conforman el expediente electrónico, se tiene que la solicitud materia del medio de impugnación que nos ocupa, fue turnada a</w:t>
      </w:r>
      <w:r>
        <w:rPr>
          <w:rFonts w:ascii="Palatino Linotype" w:eastAsia="Palatino Linotype" w:hAnsi="Palatino Linotype" w:cs="Palatino Linotype"/>
          <w:color w:val="000000"/>
        </w:rPr>
        <w:t xml:space="preserve"> la Dirección de Administración, para efecto de que su Servidor Público Habilitado competente, </w:t>
      </w:r>
      <w:r>
        <w:rPr>
          <w:rFonts w:ascii="Palatino Linotype" w:eastAsia="Palatino Linotype" w:hAnsi="Palatino Linotype" w:cs="Palatino Linotype"/>
        </w:rPr>
        <w:t xml:space="preserve">emitiera el pronunciamiento que diera respuesta a la solicitud de información, para mayor referencia resulta importante traer a colación las siguientes capturas de pantalla: </w:t>
      </w:r>
    </w:p>
    <w:p w14:paraId="1A06B9CE" w14:textId="77777777" w:rsidR="00593553" w:rsidRDefault="00354D12">
      <w:pPr>
        <w:spacing w:before="240" w:after="240" w:line="360" w:lineRule="auto"/>
        <w:jc w:val="both"/>
        <w:rPr>
          <w:rFonts w:ascii="Palatino Linotype" w:eastAsia="Palatino Linotype" w:hAnsi="Palatino Linotype" w:cs="Palatino Linotype"/>
        </w:rPr>
      </w:pPr>
      <w:r>
        <w:object w:dxaOrig="9360" w:dyaOrig="1485" w14:anchorId="306E50BE">
          <v:shape id="_x0000_i1030" type="#_x0000_t75" style="width:468pt;height:74.5pt" o:ole="">
            <v:imagedata r:id="rId32" o:title=""/>
          </v:shape>
          <o:OLEObject Type="Embed" ProgID="Paint.Picture" ShapeID="_x0000_i1030" DrawAspect="Content" ObjectID="_1715376818" r:id="rId33"/>
        </w:object>
      </w:r>
    </w:p>
    <w:p w14:paraId="0F12CBBC" w14:textId="77777777" w:rsidR="00593553" w:rsidRDefault="00354D12">
      <w:pPr>
        <w:spacing w:before="240" w:after="240" w:line="360" w:lineRule="auto"/>
        <w:jc w:val="both"/>
        <w:rPr>
          <w:rFonts w:ascii="Palatino Linotype" w:eastAsia="Palatino Linotype" w:hAnsi="Palatino Linotype" w:cs="Palatino Linotype"/>
        </w:rPr>
      </w:pPr>
      <w:r>
        <w:object w:dxaOrig="7890" w:dyaOrig="4455" w14:anchorId="131C51B5">
          <v:shape id="_x0000_i1031" type="#_x0000_t75" style="width:394.35pt;height:222.7pt" o:ole="">
            <v:imagedata r:id="rId34" o:title=""/>
          </v:shape>
          <o:OLEObject Type="Embed" ProgID="Paint.Picture" ShapeID="_x0000_i1031" DrawAspect="Content" ObjectID="_1715376819" r:id="rId35"/>
        </w:object>
      </w:r>
    </w:p>
    <w:p w14:paraId="5F1EB21A" w14:textId="77777777" w:rsidR="00593553" w:rsidRDefault="00354D1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Bajo esta línea de pensamiento conviene apuntar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en el presente asunto, se pronunció la Dirección de Administración, la cual tiene las siguientes facultades a de acuerdo al contenido de estos preceptos del Código de Reglamentación Municipal de Metepec, Estado de México: </w:t>
      </w:r>
    </w:p>
    <w:p w14:paraId="37A3823C" w14:textId="77777777" w:rsidR="00593553" w:rsidRDefault="00354D12">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“CAPÍTULO V </w:t>
      </w:r>
    </w:p>
    <w:p w14:paraId="16C81C21" w14:textId="77777777" w:rsidR="00593553" w:rsidRDefault="00354D12">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Dirección de Administración</w:t>
      </w:r>
    </w:p>
    <w:p w14:paraId="15EBD9C9" w14:textId="77777777" w:rsidR="00593553" w:rsidRDefault="00354D12">
      <w:pPr>
        <w:spacing w:before="240" w:after="240"/>
        <w:ind w:left="567" w:right="851"/>
        <w:jc w:val="both"/>
        <w:rPr>
          <w:rFonts w:ascii="Palatino Linotype" w:eastAsia="Palatino Linotype" w:hAnsi="Palatino Linotype" w:cs="Palatino Linotype"/>
          <w:b/>
        </w:rPr>
      </w:pPr>
      <w:r>
        <w:rPr>
          <w:rFonts w:ascii="Palatino Linotype" w:eastAsia="Palatino Linotype" w:hAnsi="Palatino Linotype" w:cs="Palatino Linotype"/>
          <w:i/>
          <w:sz w:val="22"/>
          <w:szCs w:val="22"/>
        </w:rPr>
        <w:t xml:space="preserve">Artículo 3.79.- </w:t>
      </w:r>
      <w:r>
        <w:rPr>
          <w:rFonts w:ascii="Palatino Linotype" w:eastAsia="Palatino Linotype" w:hAnsi="Palatino Linotype" w:cs="Palatino Linotype"/>
          <w:b/>
          <w:i/>
          <w:sz w:val="22"/>
          <w:szCs w:val="22"/>
        </w:rPr>
        <w:t>La Dirección de Administración es la encargada de dar soporte</w:t>
      </w:r>
      <w:r>
        <w:rPr>
          <w:rFonts w:ascii="Palatino Linotype" w:eastAsia="Palatino Linotype" w:hAnsi="Palatino Linotype" w:cs="Palatino Linotype"/>
          <w:i/>
          <w:sz w:val="22"/>
          <w:szCs w:val="22"/>
        </w:rPr>
        <w:t xml:space="preserve"> material, técnico, </w:t>
      </w:r>
      <w:r>
        <w:rPr>
          <w:rFonts w:ascii="Palatino Linotype" w:eastAsia="Palatino Linotype" w:hAnsi="Palatino Linotype" w:cs="Palatino Linotype"/>
          <w:b/>
          <w:i/>
          <w:sz w:val="22"/>
          <w:szCs w:val="22"/>
        </w:rPr>
        <w:t>humano</w:t>
      </w:r>
      <w:r>
        <w:rPr>
          <w:rFonts w:ascii="Palatino Linotype" w:eastAsia="Palatino Linotype" w:hAnsi="Palatino Linotype" w:cs="Palatino Linotype"/>
          <w:i/>
          <w:sz w:val="22"/>
          <w:szCs w:val="22"/>
        </w:rPr>
        <w:t xml:space="preserve">, administrativo, organizacional e informático, </w:t>
      </w:r>
      <w:r>
        <w:rPr>
          <w:rFonts w:ascii="Palatino Linotype" w:eastAsia="Palatino Linotype" w:hAnsi="Palatino Linotype" w:cs="Palatino Linotype"/>
          <w:b/>
          <w:i/>
          <w:sz w:val="22"/>
          <w:szCs w:val="22"/>
        </w:rPr>
        <w:t xml:space="preserve">que permita a las y los servidores públicos de la Administración Pública Municipal, atender las demandas ciudadanas y cumplir con sus atribuciones, así como para optimizar las funciones de la misma. </w:t>
      </w:r>
    </w:p>
    <w:p w14:paraId="140EA58D" w14:textId="77777777" w:rsidR="00593553" w:rsidRDefault="00354D12">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3.80.- La Dirección de Administración tiene a su cargo las siguientes atribuciones: </w:t>
      </w:r>
    </w:p>
    <w:p w14:paraId="10F1C82D" w14:textId="77777777" w:rsidR="00593553" w:rsidRDefault="00354D12">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 Coordinar de y dirigir los sistemas de reclutamiento, selección, contratación y desarrollo de personal las diferentes unidades administrativas de la administración pública municipal;</w:t>
      </w:r>
    </w:p>
    <w:p w14:paraId="2699116F" w14:textId="77777777" w:rsidR="00593553" w:rsidRDefault="00354D12">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w:t>
      </w:r>
    </w:p>
    <w:p w14:paraId="593E93CF" w14:textId="77777777" w:rsidR="00593553" w:rsidRDefault="00354D12">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III. Controlar y registrar asistencia, nombramientos, remociones, renuncias, licencias, cambios de adscripción, promociones, incapacidades, vacaciones, días no laborables y demás incidencias relacionadas con los servidores públicos municipales;</w:t>
      </w:r>
    </w:p>
    <w:p w14:paraId="50B946C9" w14:textId="77777777" w:rsidR="00593553" w:rsidRDefault="00354D12">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6EDD7E02" w14:textId="77777777" w:rsidR="00593553" w:rsidRDefault="00354D12">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 Verificar que se cumplan las disposiciones en materia de trabajo seguridad e higiene laboral, así como de los derechos y obligaciones del personal;</w:t>
      </w:r>
    </w:p>
    <w:p w14:paraId="42380FA2" w14:textId="77777777" w:rsidR="00593553" w:rsidRDefault="00354D12">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7BBC8BE5" w14:textId="77777777" w:rsidR="00593553" w:rsidRDefault="00354D12">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XVIII. Participar en las negociaciones con el Sindicato Único de Trabajadores de los Poderes, Municipios e Instituciones Descentralizadas del Estado de México y vigilar el cumplimiento de los convenios de prestaciones socioeconómicas de los trabajadores sindicalizados;</w:t>
      </w:r>
    </w:p>
    <w:p w14:paraId="0B4FCC6D" w14:textId="77777777" w:rsidR="00593553" w:rsidRDefault="00354D12">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0F622B5F" w14:textId="77777777" w:rsidR="00593553" w:rsidRDefault="00354D12">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XX. Coordinar, dirigir, evaluar y autorizar los programas, procesos y procedimientos para la elaboración y distribución oportuna de la nómina para el pago del personal que labora en el gobierno y la administración municipal, con apego a la normatividad en la materia y al presupuesto autorizado;</w:t>
      </w:r>
    </w:p>
    <w:p w14:paraId="442690B6" w14:textId="77777777" w:rsidR="00593553" w:rsidRDefault="00354D12">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XXI. Mantener y fortalecer las relaciones con las agrupaciones sindicales de la administración pública municipal, acordando conjuntamente las condiciones y normas de trabajo, vigilando el estricto cumplimiento de las disposiciones legales;</w:t>
      </w:r>
    </w:p>
    <w:p w14:paraId="168A6E9C" w14:textId="77777777" w:rsidR="00593553" w:rsidRDefault="00354D12">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3.81.- Para el cumplimiento de sus atribuciones y facultades la Dirección de Administración, contará con: </w:t>
      </w:r>
    </w:p>
    <w:p w14:paraId="57C21E01" w14:textId="77777777" w:rsidR="00593553" w:rsidRDefault="00354D12">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Subdirección de Recursos Humanos;</w:t>
      </w:r>
    </w:p>
    <w:p w14:paraId="4D05E334" w14:textId="77777777" w:rsidR="00593553" w:rsidRDefault="00354D12">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14:paraId="75EA2FBC" w14:textId="77777777" w:rsidR="00593553" w:rsidRDefault="00354D12">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3.82.- La Subdirección de Recursos Humanos, tiene las siguientes atribuciones: </w:t>
      </w:r>
    </w:p>
    <w:p w14:paraId="34362414" w14:textId="77777777" w:rsidR="00593553" w:rsidRDefault="00354D12">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 Coordinar y dirigir los sistemas de reclutamiento, selección, contratación y desarrollo de personal de las diferentes unidades administrativas de la Administración Pública Municipal; </w:t>
      </w:r>
    </w:p>
    <w:p w14:paraId="1C12D295" w14:textId="77777777" w:rsidR="00593553" w:rsidRDefault="00354D12">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19256444" w14:textId="77777777" w:rsidR="00593553" w:rsidRDefault="00354D12">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VI. Verificar la correcta aplicación en los pagos que se generen por concepto de sueldos y prestaciones, tanto en la elaboración de la nómina como pagos mediante recibo, por concepto de liquidaciones y finiquitos, como cualquier pago realizado por cualquier vía, y que se aplique a través del capítulo 1000; </w:t>
      </w:r>
    </w:p>
    <w:p w14:paraId="4A8438C7" w14:textId="77777777" w:rsidR="00593553" w:rsidRDefault="00354D12">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VII. Evaluar la procedencia y autorizar, en su caso, la aplicación de cualquier importe, por concepto de sueldos y prestaciones y/o la generación de descuentos vía nómina que gestionan las dependencias y /o la sección sindical en cumplimiento al convenio respectivo; </w:t>
      </w:r>
    </w:p>
    <w:p w14:paraId="4D830D59" w14:textId="77777777" w:rsidR="00593553" w:rsidRDefault="00354D12">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VIII. Supervisar que los servidores públicos reciban su pago en las fechas establecidas para dicho efecto;</w:t>
      </w:r>
    </w:p>
    <w:p w14:paraId="37A3EE1E" w14:textId="77777777" w:rsidR="00593553" w:rsidRDefault="00354D12">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IX. Coordinar el resguardo y actualización del archivo de personal salvaguardando la información en términos de las disposiciones legales; </w:t>
      </w:r>
    </w:p>
    <w:p w14:paraId="26F2C61F" w14:textId="77777777" w:rsidR="00593553" w:rsidRDefault="00354D12">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3.83.- Para el eficiente ejercicio de sus funciones, la Subdirección de Recursos Humanos, se auxiliará de las siguientes unidades administrativas: </w:t>
      </w:r>
    </w:p>
    <w:p w14:paraId="4AA76934" w14:textId="77777777" w:rsidR="00593553" w:rsidRDefault="00354D12">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Departamento de Relaciones Laborales; y </w:t>
      </w:r>
    </w:p>
    <w:p w14:paraId="137BD6D8" w14:textId="77777777" w:rsidR="00593553" w:rsidRDefault="00354D12">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Departamento de Nómina. </w:t>
      </w:r>
    </w:p>
    <w:p w14:paraId="10EDE5FA" w14:textId="77777777" w:rsidR="00593553" w:rsidRDefault="00354D12">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3.84.- El Departamento de Relaciones Laborales, tiene las siguientes atribuciones: </w:t>
      </w:r>
    </w:p>
    <w:p w14:paraId="119C6291" w14:textId="77777777" w:rsidR="00593553" w:rsidRDefault="00354D12">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I. Garantizar que los movimientos de personal, así como el pago de prestaciones y condiciones generales de trabajo (altas, bajas, cambios de adscripción, promociones, comisiones y demás.) se realicen con apego a normas y políticas establecidas; </w:t>
      </w:r>
    </w:p>
    <w:p w14:paraId="377E17BD" w14:textId="77777777" w:rsidR="00593553" w:rsidRDefault="00354D12">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B6176F0" w14:textId="77777777" w:rsidR="00593553" w:rsidRDefault="00354D12">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VIII. Asegurar que el control del archivo de personal se lleve a cabo mediante la integración y actualización permanente de la base de datos, así como del registro, control y resguardo de los expedientes del personal; y garantizando que el manejo de la información se lleve a cabo bajo el esquema de las normas establecidas para garantizar la confidencialidad de los datos personales de las y los servidores públicos; </w:t>
      </w:r>
    </w:p>
    <w:p w14:paraId="651CC7C0" w14:textId="77777777" w:rsidR="00593553" w:rsidRDefault="00354D12">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IX. Informar al personal sobre las normatividad, reglamentos y lineamientos vigentes en materia laboral, así como respecto a los criterios de pago, remuneraciones, prestaciones y compensaciones, además de atender las solicitudes de constancias y documentación de las y los servidores públicos; </w:t>
      </w:r>
    </w:p>
    <w:p w14:paraId="1C28069D" w14:textId="77777777" w:rsidR="00593553" w:rsidRDefault="00354D12">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 Garantizar un clima laboral favorable mediante la comunicación permanente con los miembros del Comité Sindical para orientarles sobre la aplicación de normatividad laboral, así como para la administración del convenio sindical;” (Sic) (Énfasis añadido)</w:t>
      </w:r>
    </w:p>
    <w:p w14:paraId="46928429" w14:textId="77777777" w:rsidR="00593553" w:rsidRDefault="00354D1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anteriormente citado se colige que en el presente asunto se pronunció el servidor público habilitado competente, toda vez que se encuentra facultado para la actualización y resguardo de los expedientes del personal, así como </w:t>
      </w:r>
      <w:r>
        <w:rPr>
          <w:rFonts w:ascii="Palatino Linotype" w:eastAsia="Palatino Linotype" w:hAnsi="Palatino Linotype" w:cs="Palatino Linotype"/>
          <w:b/>
          <w:u w:val="single"/>
        </w:rPr>
        <w:t>participar en las negociaciones con el Sindicato Único de Trabajadores de los Poderes, Municipios e Instituciones Descentralizadas del Estado de México y vigilar el cumplimiento de los convenios de prestaciones socioeconómicas de los trabajadores sindicalizados, así como mantener y fortalecer las relaciones con las agrupaciones sindicales de la administración pública municipal, acordando conjuntamente las condiciones y normas de trabajo, vigilando el estricto cumplimiento de las disposiciones legales</w:t>
      </w:r>
      <w:r>
        <w:rPr>
          <w:rFonts w:ascii="Palatino Linotype" w:eastAsia="Palatino Linotype" w:hAnsi="Palatino Linotype" w:cs="Palatino Linotype"/>
        </w:rPr>
        <w:t xml:space="preserve">. Expuesto lo anterior, debe precisarse </w:t>
      </w:r>
      <w:r>
        <w:rPr>
          <w:rFonts w:ascii="Palatino Linotype" w:eastAsia="Palatino Linotype" w:hAnsi="Palatino Linotype" w:cs="Palatino Linotype"/>
        </w:rPr>
        <w:lastRenderedPageBreak/>
        <w:t xml:space="preserve">que la afiliación sindical conjuga diversos elementos relacionados con las razones y motivos por los que una persona desea formar parte de un sindicato, es decir, en agremiado, esto es así, ya que el pertenecer a un sindicato o no pertenecer a uno obedece a una decisión meramente personal, la cual tiene un trasfondo subjetivo ligado indudablemente a una ideología y cuyo pensamiento materializado en acción, converge en los ideales del sindicato, lo que se traduce en un trabajo palpable y que genera situaciones jurídicas reales. </w:t>
      </w:r>
    </w:p>
    <w:p w14:paraId="7DE4EB89" w14:textId="77777777" w:rsidR="00593553" w:rsidRDefault="00354D1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Correlativo a lo anterior, es de destacar que la afiliación sindical es un conjunto que se compone de estatutos, los cuales se identifican en trámites administrativos y monetarios, cuyo objetivo es la reivindicación del proletariado y lograr la justicia social en el ámbito laboral, es decir, la afiliación sindical no puede ser vista estrictamente como un trámite administrativo ya que su espíritu radica en la búsqueda de la justicia social. </w:t>
      </w:r>
    </w:p>
    <w:p w14:paraId="522CF462" w14:textId="77777777" w:rsidR="00593553" w:rsidRDefault="00354D12">
      <w:pPr>
        <w:tabs>
          <w:tab w:val="left" w:pos="7513"/>
        </w:tabs>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rPr>
        <w:t xml:space="preserve">Bajo esta línea de pensamiento, debe resaltarse que si bien existe un pronunciamiento del servidor público habilitado competente, no se está colmando el derecho de acceso a la información pública, ello en razón de que el razonamiento para no entregar la información fue </w:t>
      </w:r>
      <w:proofErr w:type="spellStart"/>
      <w:r>
        <w:rPr>
          <w:rFonts w:ascii="Palatino Linotype" w:eastAsia="Palatino Linotype" w:hAnsi="Palatino Linotype" w:cs="Palatino Linotype"/>
        </w:rPr>
        <w:t>por que</w:t>
      </w:r>
      <w:proofErr w:type="spellEnd"/>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no se localizó la información </w:t>
      </w:r>
      <w:r>
        <w:rPr>
          <w:rFonts w:ascii="Palatino Linotype" w:eastAsia="Palatino Linotype" w:hAnsi="Palatino Linotype" w:cs="Palatino Linotype"/>
          <w:b/>
          <w:u w:val="single"/>
        </w:rPr>
        <w:t>como la requiere el ciudadano,</w:t>
      </w:r>
      <w:r>
        <w:rPr>
          <w:rFonts w:ascii="Palatino Linotype" w:eastAsia="Palatino Linotype" w:hAnsi="Palatino Linotype" w:cs="Palatino Linotype"/>
          <w:b/>
        </w:rPr>
        <w:t xml:space="preserve"> por lo que se invoca el artículo 12 de la ley en la materia que señala que no están obligados a generar la información para dar respuesta a una solicitud, en este sentido </w:t>
      </w:r>
      <w:r>
        <w:rPr>
          <w:rFonts w:ascii="Palatino Linotype" w:eastAsia="Palatino Linotype" w:hAnsi="Palatino Linotype" w:cs="Palatino Linotype"/>
        </w:rPr>
        <w:t xml:space="preserve">debe señalarse al Sujeto Obligado que nos encontramos ante el supuesto de la obligación engendrada a partir del criterio 16/17 del Instituto Nacional de Transparencia, Acceso a la Información Pública y Protección de Datos Personales, que constriñe a los Sujetos Obligados y este </w:t>
      </w:r>
      <w:r>
        <w:rPr>
          <w:rFonts w:ascii="Palatino Linotype" w:eastAsia="Palatino Linotype" w:hAnsi="Palatino Linotype" w:cs="Palatino Linotype"/>
        </w:rPr>
        <w:lastRenderedPageBreak/>
        <w:t>Organismo Garante, a identificar expresión documental que sirva para atender al requerimiento de información del Particular, en los términos del criterio invocado.</w:t>
      </w:r>
    </w:p>
    <w:p w14:paraId="21A83922" w14:textId="77777777" w:rsidR="00593553" w:rsidRDefault="00354D12">
      <w:pPr>
        <w:spacing w:line="276"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“Expresión documental</w:t>
      </w:r>
      <w:r>
        <w:rPr>
          <w:rFonts w:ascii="Palatino Linotype" w:eastAsia="Palatino Linotype" w:hAnsi="Palatino Linotype" w:cs="Palatino Linotype"/>
          <w:i/>
          <w:sz w:val="22"/>
          <w:szCs w:val="22"/>
        </w:rPr>
        <w:t>.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4DA4858C" w14:textId="77777777" w:rsidR="00593553" w:rsidRDefault="00593553">
      <w:pPr>
        <w:spacing w:line="276" w:lineRule="auto"/>
        <w:ind w:left="567" w:right="539"/>
        <w:jc w:val="both"/>
        <w:rPr>
          <w:rFonts w:ascii="Palatino Linotype" w:eastAsia="Palatino Linotype" w:hAnsi="Palatino Linotype" w:cs="Palatino Linotype"/>
          <w:i/>
          <w:sz w:val="22"/>
          <w:szCs w:val="22"/>
        </w:rPr>
      </w:pPr>
    </w:p>
    <w:p w14:paraId="3BA42E8A" w14:textId="77777777" w:rsidR="00593553" w:rsidRDefault="00354D1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No debe perderse de vista que los artículos 7 y 23 fracciones I y XI, de la Ley de Transparencia y Acceso a la Información Pública del Estado de México y Municipios, establece como deber de los sujetos obligados, publicitar toda la información respecto de los montos y personas a las que se otorguen recursos públicos, esto con la finalidad de dar a conocer a la ciudadanía la forma, términos y montos en los que se aplican dichos recursos, por lo que bajo esta premisa, si el personal sindicalizado recibe recursos de carácter público, en consecuencia, dichos datos revisten interés público:  </w:t>
      </w:r>
    </w:p>
    <w:p w14:paraId="249A4671" w14:textId="77777777" w:rsidR="00593553" w:rsidRDefault="00354D12">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7.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4D8D1C84" w14:textId="77777777" w:rsidR="00593553" w:rsidRDefault="00354D12">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98BC806" w14:textId="77777777" w:rsidR="00593553" w:rsidRDefault="00354D12">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23. Son sujetos obligados a transparentar y permitir el acceso a su información y proteger los datos personales que obren en su poder: </w:t>
      </w:r>
    </w:p>
    <w:p w14:paraId="42856060" w14:textId="77777777" w:rsidR="00593553" w:rsidRDefault="00354D12">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I. El Poder Ejecutivo del Estado de México, las dependencias, organismos auxiliares, órganos, entidades, fideicomisos y fondos públicos, así como la Procuraduría General de Justicia;</w:t>
      </w:r>
    </w:p>
    <w:p w14:paraId="11CF26AF" w14:textId="77777777" w:rsidR="00593553" w:rsidRDefault="00354D12">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30BB8F3" w14:textId="77777777" w:rsidR="00593553" w:rsidRDefault="00354D12">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 Cualquier otra autoridad, entidad, órgano u organismo de los poderes estatal o municipal, que reciba recursos públicos. </w:t>
      </w:r>
    </w:p>
    <w:p w14:paraId="03C33705" w14:textId="77777777" w:rsidR="00593553" w:rsidRDefault="00354D12">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 </w:t>
      </w:r>
    </w:p>
    <w:p w14:paraId="73226E24" w14:textId="77777777" w:rsidR="00593553" w:rsidRDefault="00354D12">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servidores públicos deberán transparentar sus </w:t>
      </w:r>
      <w:proofErr w:type="gramStart"/>
      <w:r>
        <w:rPr>
          <w:rFonts w:ascii="Palatino Linotype" w:eastAsia="Palatino Linotype" w:hAnsi="Palatino Linotype" w:cs="Palatino Linotype"/>
          <w:i/>
          <w:sz w:val="22"/>
          <w:szCs w:val="22"/>
        </w:rPr>
        <w:t>acciones</w:t>
      </w:r>
      <w:proofErr w:type="gramEnd"/>
      <w:r>
        <w:rPr>
          <w:rFonts w:ascii="Palatino Linotype" w:eastAsia="Palatino Linotype" w:hAnsi="Palatino Linotype" w:cs="Palatino Linotype"/>
          <w:i/>
          <w:sz w:val="22"/>
          <w:szCs w:val="22"/>
        </w:rPr>
        <w:t xml:space="preserve"> así como garantizar y respetar el derecho de acceso a la información pública.”</w:t>
      </w:r>
    </w:p>
    <w:p w14:paraId="0AE8452E" w14:textId="77777777" w:rsidR="00593553" w:rsidRDefault="00354D12">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atención a ello, este organismo garante considera dable ordenar la entrega en versión pública del o los documentos donde conste lo siguiente: nombres, remuneraciones, antigüedad y áreas de adscripción de todas y todos los servidores públicos sindicalizados que se encuentran laborando para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que en el asunto que nos ocupa, pudiera colmarse de manera enunciativa más no limitativa con el Formato Único de Movimientos de Personal, en virtud de los elementos que lo componen, de acuerdo al artículo 49 de la Ley del Trabajo de los Servidores Públicos del Estado de México y Municipios, el cual versa de la siguiente manera: </w:t>
      </w:r>
    </w:p>
    <w:p w14:paraId="0BB2B0FC" w14:textId="77777777" w:rsidR="00593553" w:rsidRDefault="00354D12">
      <w:pPr>
        <w:spacing w:after="16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49.- Los nombramientos, contratos o formato único de Movimientos de Personal de los servidores públicos deberán contener: </w:t>
      </w:r>
    </w:p>
    <w:p w14:paraId="613C5AA8" w14:textId="77777777" w:rsidR="00593553" w:rsidRDefault="00354D12">
      <w:pPr>
        <w:spacing w:after="16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 Nombre completo del servidor público; </w:t>
      </w:r>
    </w:p>
    <w:p w14:paraId="636ED830" w14:textId="77777777" w:rsidR="00593553" w:rsidRDefault="00354D12">
      <w:pPr>
        <w:spacing w:after="16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II. Cargo para el que es designado, fecha de inicio de sus servicios y lugar de adscripción; </w:t>
      </w:r>
    </w:p>
    <w:p w14:paraId="2E689EA0" w14:textId="77777777" w:rsidR="00593553" w:rsidRDefault="00354D12">
      <w:pPr>
        <w:spacing w:after="16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III. Carácter del nombramiento, ya sea de servidores públicos generales o de confianza, así como la temporalidad del mismo; </w:t>
      </w:r>
    </w:p>
    <w:p w14:paraId="7E9A3D42" w14:textId="77777777" w:rsidR="00593553" w:rsidRDefault="00354D12">
      <w:pPr>
        <w:spacing w:after="16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IV. Remuneración correspondiente al puesto; </w:t>
      </w:r>
    </w:p>
    <w:p w14:paraId="7E2D04B5" w14:textId="77777777" w:rsidR="00593553" w:rsidRDefault="00354D12">
      <w:pPr>
        <w:spacing w:after="16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Jornada de trabajo; </w:t>
      </w:r>
    </w:p>
    <w:p w14:paraId="201A9E26" w14:textId="77777777" w:rsidR="00593553" w:rsidRDefault="00354D12">
      <w:pPr>
        <w:spacing w:after="16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 Derogada; </w:t>
      </w:r>
    </w:p>
    <w:p w14:paraId="3831DE2A" w14:textId="77777777" w:rsidR="00593553" w:rsidRDefault="00354D12">
      <w:pPr>
        <w:spacing w:after="16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 Firma del servidor público autorizado para emitir el nombramiento, contrato o formato único de Movimientos de Personal, así como el fundamento legal de esa atribución” (Sic) (Énfasis añadido)</w:t>
      </w:r>
    </w:p>
    <w:p w14:paraId="6C24BA3C" w14:textId="77777777" w:rsidR="00593553" w:rsidRDefault="00354D12">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podemos advertir que este soporte documental al contener el nombre del servidor público, fecha de inicio de los servicios, lugar de adscripción y remuneración correspondiente al puesto, pudiera satisfacer este requerimiento. </w:t>
      </w:r>
    </w:p>
    <w:p w14:paraId="58098CDA" w14:textId="77777777" w:rsidR="00593553" w:rsidRDefault="00354D12">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continuando con el análisis, para el caso de las remuneraciones, debemos definirlas como todo tipo de retribución que recibe un trabajador por las labores realizadas en una empresa, en otras palabras se trata de los beneficios que el patrón otorga al colaborador por la prestación de un servicio personal subordinado, es decir, se constituyen como uno de los factores que determinan la existencia de una relación de trabajo entre empleador y trabajador, es de señalar que de conformidad con el artículo 84 de la Ley Federal del Trabajo, estas remuneraciones se conformarán de la siguiente manera: </w:t>
      </w:r>
    </w:p>
    <w:p w14:paraId="016D672F" w14:textId="77777777" w:rsidR="00593553" w:rsidRDefault="00593553">
      <w:pPr>
        <w:spacing w:line="360" w:lineRule="auto"/>
        <w:ind w:right="49"/>
        <w:jc w:val="both"/>
        <w:rPr>
          <w:rFonts w:ascii="Palatino Linotype" w:eastAsia="Palatino Linotype" w:hAnsi="Palatino Linotype" w:cs="Palatino Linotype"/>
        </w:rPr>
      </w:pPr>
    </w:p>
    <w:p w14:paraId="5D1C1D56" w14:textId="77777777" w:rsidR="00593553" w:rsidRDefault="00354D12">
      <w:pPr>
        <w:ind w:left="567" w:right="900"/>
        <w:jc w:val="both"/>
        <w:rPr>
          <w:rFonts w:ascii="Palatino Linotype" w:eastAsia="Palatino Linotype" w:hAnsi="Palatino Linotype" w:cs="Palatino Linotype"/>
          <w:i/>
          <w:sz w:val="22"/>
          <w:szCs w:val="22"/>
        </w:rPr>
      </w:pPr>
      <w:bookmarkStart w:id="1" w:name="bookmark=id.gjdgxs" w:colFirst="0" w:colLast="0"/>
      <w:bookmarkEnd w:id="1"/>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u w:val="single"/>
        </w:rPr>
        <w:t>Artículo 84.- El salario se integra con</w:t>
      </w:r>
      <w:r>
        <w:rPr>
          <w:rFonts w:ascii="Palatino Linotype" w:eastAsia="Palatino Linotype" w:hAnsi="Palatino Linotype" w:cs="Palatino Linotype"/>
          <w:i/>
          <w:sz w:val="22"/>
          <w:szCs w:val="22"/>
        </w:rPr>
        <w:t xml:space="preserve"> los pagos hechos en efectivo por cuota diaria, gratificaciones, percepciones, habitación, primas, comisiones, </w:t>
      </w:r>
      <w:r>
        <w:rPr>
          <w:rFonts w:ascii="Palatino Linotype" w:eastAsia="Palatino Linotype" w:hAnsi="Palatino Linotype" w:cs="Palatino Linotype"/>
          <w:b/>
          <w:i/>
          <w:sz w:val="22"/>
          <w:szCs w:val="22"/>
          <w:u w:val="single"/>
        </w:rPr>
        <w:t>prestaciones en especie y cualquiera otra cantidad o prestación que se entregue al trabajador por su trabajo.</w:t>
      </w:r>
      <w:r>
        <w:rPr>
          <w:rFonts w:ascii="Palatino Linotype" w:eastAsia="Palatino Linotype" w:hAnsi="Palatino Linotype" w:cs="Palatino Linotype"/>
          <w:i/>
          <w:sz w:val="22"/>
          <w:szCs w:val="22"/>
        </w:rPr>
        <w:t>”</w:t>
      </w:r>
    </w:p>
    <w:p w14:paraId="1A9E4CFA" w14:textId="77777777" w:rsidR="00593553" w:rsidRDefault="00593553">
      <w:pPr>
        <w:ind w:left="567" w:right="900"/>
        <w:jc w:val="both"/>
        <w:rPr>
          <w:rFonts w:ascii="Palatino Linotype" w:eastAsia="Palatino Linotype" w:hAnsi="Palatino Linotype" w:cs="Palatino Linotype"/>
          <w:i/>
          <w:sz w:val="22"/>
          <w:szCs w:val="22"/>
        </w:rPr>
      </w:pPr>
    </w:p>
    <w:p w14:paraId="45FBE4DE" w14:textId="77777777" w:rsidR="00593553" w:rsidRDefault="00354D12">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armonía con esta disposición, la Ley del Trabajo de los Servidores Públicos del Estado de México y Municipios prevé lo siguiente referente a las prestaciones de los servidores públicos: </w:t>
      </w:r>
    </w:p>
    <w:p w14:paraId="6B87EE84" w14:textId="77777777" w:rsidR="00593553" w:rsidRDefault="00593553">
      <w:pPr>
        <w:ind w:right="900"/>
        <w:jc w:val="both"/>
        <w:rPr>
          <w:rFonts w:ascii="Palatino Linotype" w:eastAsia="Palatino Linotype" w:hAnsi="Palatino Linotype" w:cs="Palatino Linotype"/>
          <w:i/>
          <w:sz w:val="22"/>
          <w:szCs w:val="22"/>
        </w:rPr>
      </w:pPr>
    </w:p>
    <w:p w14:paraId="58D61DEF" w14:textId="77777777" w:rsidR="00593553" w:rsidRDefault="00354D12">
      <w:pPr>
        <w:ind w:left="851" w:right="900"/>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rPr>
        <w:t>“ARTÍCULO 40.</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 xml:space="preserve">Conforme lo dispuesto en los artículos anteriores, los acuerdos, convenios y reglamentos a que se hace referencia, así como las prestaciones y derechos de </w:t>
      </w:r>
      <w:proofErr w:type="gramStart"/>
      <w:r>
        <w:rPr>
          <w:rFonts w:ascii="Palatino Linotype" w:eastAsia="Palatino Linotype" w:hAnsi="Palatino Linotype" w:cs="Palatino Linotype"/>
          <w:b/>
          <w:i/>
          <w:sz w:val="22"/>
          <w:szCs w:val="22"/>
          <w:u w:val="single"/>
        </w:rPr>
        <w:t>cualesquier naturaleza</w:t>
      </w:r>
      <w:proofErr w:type="gramEnd"/>
      <w:r>
        <w:rPr>
          <w:rFonts w:ascii="Palatino Linotype" w:eastAsia="Palatino Linotype" w:hAnsi="Palatino Linotype" w:cs="Palatino Linotype"/>
          <w:b/>
          <w:i/>
          <w:sz w:val="22"/>
          <w:szCs w:val="22"/>
          <w:u w:val="single"/>
        </w:rPr>
        <w:t>, serán de observancia general y obligatoria para</w:t>
      </w:r>
      <w:r>
        <w:rPr>
          <w:rFonts w:ascii="Palatino Linotype" w:eastAsia="Palatino Linotype" w:hAnsi="Palatino Linotype" w:cs="Palatino Linotype"/>
          <w:i/>
          <w:sz w:val="22"/>
          <w:szCs w:val="22"/>
        </w:rPr>
        <w:t xml:space="preserve"> el titular del Poder Ejecutivo, </w:t>
      </w:r>
      <w:r>
        <w:rPr>
          <w:rFonts w:ascii="Palatino Linotype" w:eastAsia="Palatino Linotype" w:hAnsi="Palatino Linotype" w:cs="Palatino Linotype"/>
          <w:b/>
          <w:i/>
          <w:sz w:val="22"/>
          <w:szCs w:val="22"/>
          <w:u w:val="single"/>
        </w:rPr>
        <w:t>los titulares de las dependencias y de la institución o instituciones públicas a las que estén adscritos.</w:t>
      </w:r>
    </w:p>
    <w:p w14:paraId="29474DE4" w14:textId="77777777" w:rsidR="00593553" w:rsidRDefault="00593553">
      <w:pPr>
        <w:ind w:left="851" w:right="900"/>
        <w:jc w:val="both"/>
        <w:rPr>
          <w:rFonts w:ascii="Palatino Linotype" w:eastAsia="Palatino Linotype" w:hAnsi="Palatino Linotype" w:cs="Palatino Linotype"/>
          <w:i/>
          <w:sz w:val="22"/>
          <w:szCs w:val="22"/>
        </w:rPr>
      </w:pPr>
    </w:p>
    <w:p w14:paraId="2F83E52B" w14:textId="77777777" w:rsidR="00593553" w:rsidRDefault="00354D12">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p>
    <w:p w14:paraId="71FB6514" w14:textId="77777777" w:rsidR="00593553" w:rsidRDefault="00354D12">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97.-</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Las instituciones públicas o dependencias no estarán obligadas a reinstalar al servidor público, pero sí a cubrirle</w:t>
      </w:r>
      <w:r>
        <w:rPr>
          <w:rFonts w:ascii="Palatino Linotype" w:eastAsia="Palatino Linotype" w:hAnsi="Palatino Linotype" w:cs="Palatino Linotype"/>
          <w:i/>
          <w:sz w:val="22"/>
          <w:szCs w:val="22"/>
        </w:rPr>
        <w:t xml:space="preserve"> la indemnización de tres meses de salario base, veinte días por cada año de servicios en términos del artículo 95 párrafo segundo de esta ley y cubrirle </w:t>
      </w:r>
      <w:r>
        <w:rPr>
          <w:rFonts w:ascii="Palatino Linotype" w:eastAsia="Palatino Linotype" w:hAnsi="Palatino Linotype" w:cs="Palatino Linotype"/>
          <w:b/>
          <w:i/>
          <w:sz w:val="22"/>
          <w:szCs w:val="22"/>
          <w:u w:val="single"/>
        </w:rPr>
        <w:t>las prestaciones a que tenga derecho,</w:t>
      </w:r>
      <w:r>
        <w:rPr>
          <w:rFonts w:ascii="Palatino Linotype" w:eastAsia="Palatino Linotype" w:hAnsi="Palatino Linotype" w:cs="Palatino Linotype"/>
          <w:i/>
          <w:sz w:val="22"/>
          <w:szCs w:val="22"/>
        </w:rPr>
        <w:t xml:space="preserve"> así como los salarios vencidos desde la fecha del despido hasta por un periodo máximo de doce meses, independientemente del tiempo que dure el proceso, exhibiendo la totalidad de la cantidad liquida en moneda nacional o mediante cheque certificado al momento de la negativa de reinstalar al actor.</w:t>
      </w:r>
    </w:p>
    <w:p w14:paraId="5461B4E3" w14:textId="77777777" w:rsidR="00593553" w:rsidRDefault="00354D12">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36555C9" w14:textId="77777777" w:rsidR="00593553" w:rsidRDefault="00354D12">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220 K.-</w:t>
      </w:r>
      <w:r>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w:t>
      </w:r>
    </w:p>
    <w:p w14:paraId="2198DA63" w14:textId="77777777" w:rsidR="00593553" w:rsidRDefault="00593553">
      <w:pPr>
        <w:ind w:left="851" w:right="900"/>
        <w:jc w:val="both"/>
        <w:rPr>
          <w:rFonts w:ascii="Palatino Linotype" w:eastAsia="Palatino Linotype" w:hAnsi="Palatino Linotype" w:cs="Palatino Linotype"/>
          <w:i/>
          <w:sz w:val="22"/>
          <w:szCs w:val="22"/>
        </w:rPr>
      </w:pPr>
    </w:p>
    <w:p w14:paraId="7FFEBDAF" w14:textId="77777777" w:rsidR="00593553" w:rsidRDefault="00354D12">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ABFEBD7" w14:textId="77777777" w:rsidR="00593553" w:rsidRDefault="00354D12">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IV. Recibos o las constancias de depósito o del medio de información magnética o electrónica que sean utilizadas para el pago de salarios, prima vacacional, aguinaldo y demás prestaciones establecidas en la presente ley</w:t>
      </w:r>
      <w:r>
        <w:rPr>
          <w:rFonts w:ascii="Palatino Linotype" w:eastAsia="Palatino Linotype" w:hAnsi="Palatino Linotype" w:cs="Palatino Linotype"/>
          <w:i/>
          <w:sz w:val="22"/>
          <w:szCs w:val="22"/>
        </w:rPr>
        <w:t>;”</w:t>
      </w:r>
    </w:p>
    <w:p w14:paraId="5FC78E51" w14:textId="77777777" w:rsidR="00593553" w:rsidRDefault="00354D12">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(Sic) (Énfasis añadido)</w:t>
      </w:r>
    </w:p>
    <w:p w14:paraId="05AB92E5" w14:textId="77777777" w:rsidR="00593553" w:rsidRDefault="00593553">
      <w:pPr>
        <w:spacing w:line="360" w:lineRule="auto"/>
        <w:ind w:right="49"/>
        <w:jc w:val="both"/>
        <w:rPr>
          <w:rFonts w:ascii="Palatino Linotype" w:eastAsia="Palatino Linotype" w:hAnsi="Palatino Linotype" w:cs="Palatino Linotype"/>
        </w:rPr>
      </w:pPr>
    </w:p>
    <w:p w14:paraId="222F0A06" w14:textId="77777777" w:rsidR="00593553" w:rsidRDefault="00354D12">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 tal suerte que la normatividad mandata a las instituciones públicas la observancia obligatoria de las prestaciones en efectivo o en especie que se generen de la ley en referencia, así como de los acuerdos, convenios y reglamentos, </w:t>
      </w:r>
      <w:r>
        <w:rPr>
          <w:rFonts w:ascii="Palatino Linotype" w:eastAsia="Palatino Linotype" w:hAnsi="Palatino Linotype" w:cs="Palatino Linotype"/>
        </w:rPr>
        <w:lastRenderedPageBreak/>
        <w:t xml:space="preserve">asimismo el texto legislativo en su artículo 97 expresa que para los casos en que se dé por finalizada la relación laboral, los entes públicos no están obligados a la reinstalación de los servidores </w:t>
      </w:r>
      <w:proofErr w:type="gramStart"/>
      <w:r>
        <w:rPr>
          <w:rFonts w:ascii="Palatino Linotype" w:eastAsia="Palatino Linotype" w:hAnsi="Palatino Linotype" w:cs="Palatino Linotype"/>
        </w:rPr>
        <w:t>públicos</w:t>
      </w:r>
      <w:proofErr w:type="gramEnd"/>
      <w:r>
        <w:rPr>
          <w:rFonts w:ascii="Palatino Linotype" w:eastAsia="Palatino Linotype" w:hAnsi="Palatino Linotype" w:cs="Palatino Linotype"/>
        </w:rPr>
        <w:t xml:space="preserve"> pero si al pago de las prestaciones conforme a derecho. </w:t>
      </w:r>
    </w:p>
    <w:p w14:paraId="01A04FD1" w14:textId="77777777" w:rsidR="00593553" w:rsidRDefault="00354D12">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Derivado de lo anterior, se advierte que los soportes documentales que pudieran colmar el requerimiento correspondiente a las remuneraciones pudieran ser la nómina general, los recibos CFDI o el tabulador de sueldos. </w:t>
      </w:r>
    </w:p>
    <w:p w14:paraId="7E22AAE9" w14:textId="77777777" w:rsidR="00593553" w:rsidRDefault="00354D12">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resulta necesario traer a colación, el artículo 147 de la Constitución Política del Estado Libre y Soberano de México, que establece que los trabajadores al servicio del Estado, como los miembros de los Ayuntamientos, recibirán una remuneración adecuada e irrenunciable por el desempeño de su empleo, cargo o comisión, que será determinada en el presupuesto de egresos que corresponda. </w:t>
      </w:r>
    </w:p>
    <w:p w14:paraId="1303B05F" w14:textId="77777777" w:rsidR="00593553" w:rsidRDefault="00354D12">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 Da la misma manera, el Anexo IV.5 Glosario de Términos, del Manual para la Planeación, Programación y Presupuesto de Egresos Municipal para el ejercicio fiscal dos mil veinte, establece que la remuneración es la percepción de un trabajador o retribución monetaria que se da en pago por su servicio o actividad desarrollada. </w:t>
      </w:r>
    </w:p>
    <w:p w14:paraId="0F91F7F8" w14:textId="77777777" w:rsidR="00593553" w:rsidRDefault="00354D12">
      <w:pPr>
        <w:spacing w:after="16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En ese contexto, el artículo 70, fracción VIII, de la Ley General de Transparencia y Acceso a la Información Pública y 92, fracción VIII, de la Ley de Transparencia y </w:t>
      </w:r>
      <w:r>
        <w:rPr>
          <w:rFonts w:ascii="Palatino Linotype" w:eastAsia="Palatino Linotype" w:hAnsi="Palatino Linotype" w:cs="Palatino Linotype"/>
        </w:rPr>
        <w:lastRenderedPageBreak/>
        <w:t xml:space="preserve">Acceso a la Información Pública del Estado de México y Municipios, establece que los Sujetos Obligados deberán poner a disposición del público de manera permanente y actualizada, </w:t>
      </w:r>
      <w:r>
        <w:rPr>
          <w:rFonts w:ascii="Palatino Linotype" w:eastAsia="Palatino Linotype" w:hAnsi="Palatino Linotype" w:cs="Palatino Linotype"/>
          <w:b/>
        </w:rPr>
        <w:t>las remuneraciones brutas y netas de todos los servidores públicos, que incluya todas las percepciones, entre las cuales, se encuentran los sueldos, prestaciones, gratificaciones, primas, comisiones, dietas, bonos, estímulos, ingresos, entre otros.</w:t>
      </w:r>
    </w:p>
    <w:p w14:paraId="6DE29532" w14:textId="77777777" w:rsidR="00593553" w:rsidRDefault="00354D12">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Además, el Anexo IV.2 Clasificación por objeto del gasto, del Manual para la Planeación, Programación y Presupuesto de Egresos Municipal para el ejercicio fiscal dos mil veinte, establece que los Presupuestos de Egresos Municipales, se tendrán que generar, conforme al “Clasificador por Objeto del Gasto”, el cual se conforma de diversos capítulos, entre los cuales, se encuentra el 1000 Servicios Personales, que agrupa las remuneraciones del personal al servicio de los entes públicos, tales como el sueldo, salarios, dietas, honorarios, prestaciones, obligaciones laborales, gratificaciones, entre otras. </w:t>
      </w:r>
    </w:p>
    <w:p w14:paraId="28829088" w14:textId="77777777" w:rsidR="00593553" w:rsidRDefault="00354D12">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esa línea de pensamiento, respecto a la nómina, el Glosario localizado en la página de Transparencia Presupuestaria de la Secretaría de Hacienda y Crédito Público (http://www.transparenciapresupuestaria.gob.mx/es/PTP/Glosario, consultado el dieciocho de mayo de dos mil veintidós, a las doce horas), establece que </w:t>
      </w:r>
      <w:r>
        <w:rPr>
          <w:rFonts w:ascii="Palatino Linotype" w:eastAsia="Palatino Linotype" w:hAnsi="Palatino Linotype" w:cs="Palatino Linotype"/>
          <w:b/>
        </w:rPr>
        <w:t>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r>
        <w:rPr>
          <w:rFonts w:ascii="Palatino Linotype" w:eastAsia="Palatino Linotype" w:hAnsi="Palatino Linotype" w:cs="Palatino Linotype"/>
        </w:rPr>
        <w:t xml:space="preserve"> De la misma manera, el Glosario de términos más usuales en la Administración Pública Federal, emitido por la Secretaría de Hacienda y Crédito Público </w:t>
      </w:r>
      <w:r>
        <w:rPr>
          <w:rFonts w:ascii="Palatino Linotype" w:eastAsia="Palatino Linotype" w:hAnsi="Palatino Linotype" w:cs="Palatino Linotype"/>
        </w:rPr>
        <w:lastRenderedPageBreak/>
        <w:t xml:space="preserve">(http://www.apartados.hacienda.gob.mx/contabilidad/documentos/informe_cuenta/1998/cuenta_publica/Glosario/n.htm, consultada dieciocho de mayo de dos mil veintidós, a las doce horas), establece que la nómina es un listado general de los trabajadores de una institución, en el cual se asientan las percepciones brutas, deducciones y alcance neto de las mismas. </w:t>
      </w:r>
    </w:p>
    <w:p w14:paraId="33EF8481" w14:textId="77777777" w:rsidR="00593553" w:rsidRDefault="00354D12">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Conforme a lo anterior, se puede advertir que la nómina se puede referir a lo siguiente: </w:t>
      </w:r>
    </w:p>
    <w:p w14:paraId="06BB0D34" w14:textId="77777777" w:rsidR="00593553" w:rsidRDefault="00354D12">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 Relación de trabajadores con las percepciones monetarias de cada uno. </w:t>
      </w:r>
    </w:p>
    <w:p w14:paraId="50F62A2E" w14:textId="77777777" w:rsidR="00593553" w:rsidRDefault="00354D12">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b) Recibo individual que contiene las prestaciones y deducciones de un trabajador. c) Listado general de los servidores públicos de una institución o dependencia, en el cual se asientan las percepciones brutas, deducciones y alcance neto de las mismas.</w:t>
      </w:r>
    </w:p>
    <w:p w14:paraId="0EBCF996" w14:textId="77777777" w:rsidR="00593553" w:rsidRDefault="00354D12">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artículo 32, párrafo segundo, de la Ley de Fiscalización Superior del Estado de México, establece que los </w:t>
      </w:r>
      <w:proofErr w:type="gramStart"/>
      <w:r>
        <w:rPr>
          <w:rFonts w:ascii="Palatino Linotype" w:eastAsia="Palatino Linotype" w:hAnsi="Palatino Linotype" w:cs="Palatino Linotype"/>
        </w:rPr>
        <w:t>Presidentes</w:t>
      </w:r>
      <w:proofErr w:type="gramEnd"/>
      <w:r>
        <w:rPr>
          <w:rFonts w:ascii="Palatino Linotype" w:eastAsia="Palatino Linotype" w:hAnsi="Palatino Linotype" w:cs="Palatino Linotype"/>
        </w:rPr>
        <w:t xml:space="preserve"> Municipales, presentarán a la Legislatura los informes mensuales, dentro de los veinte días posteriores al término del mes correspondiente. </w:t>
      </w:r>
    </w:p>
    <w:p w14:paraId="02BF9EED" w14:textId="77777777" w:rsidR="00593553" w:rsidRDefault="00354D12">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entendido, el diverso 8°, fracciones XI y XIV, de dicho ordenamiento jurídico, establece que el Órgano Superior de Fiscalización del Estado de México, será el encargado de establecer los lineamientos necesarios para la elaboración de los informes mensuales; además que verificará que dichos informes hayan sido presentados conforme a la normatividad aplicable. </w:t>
      </w:r>
    </w:p>
    <w:p w14:paraId="0C409CC1" w14:textId="77777777" w:rsidR="00593553" w:rsidRDefault="00354D12">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Al respecto, el artículo 350 del Código Financiero del Estado de México y Municipios, establece que, dentro de los primeros veinte días hábiles, las Tesorerías Municipales, enviarán para su análisis y evaluación al Órgano Superior de Fiscalización del Estado de México, la información Patrimonial, Presupuestal, de la Obra Pública y de Nómina, en los términos siguientes:</w:t>
      </w:r>
    </w:p>
    <w:p w14:paraId="25CA4380" w14:textId="77777777" w:rsidR="00593553" w:rsidRDefault="00593553">
      <w:pPr>
        <w:spacing w:line="360" w:lineRule="auto"/>
        <w:ind w:right="49"/>
        <w:jc w:val="both"/>
        <w:rPr>
          <w:rFonts w:ascii="Palatino Linotype" w:eastAsia="Palatino Linotype" w:hAnsi="Palatino Linotype" w:cs="Palatino Linotype"/>
        </w:rPr>
      </w:pPr>
    </w:p>
    <w:p w14:paraId="5B8C567D" w14:textId="77777777" w:rsidR="00593553" w:rsidRDefault="00354D12">
      <w:pPr>
        <w:spacing w:line="276" w:lineRule="auto"/>
        <w:ind w:left="851" w:right="84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350.-</w:t>
      </w:r>
      <w:r>
        <w:rPr>
          <w:rFonts w:ascii="Palatino Linotype" w:eastAsia="Palatino Linotype" w:hAnsi="Palatino Linotype" w:cs="Palatino Linotype"/>
          <w:i/>
          <w:sz w:val="22"/>
          <w:szCs w:val="22"/>
        </w:rPr>
        <w:t xml:space="preserve"> Mensualmente dentro de los primeros veinte días hábiles, la Secretaría y </w:t>
      </w:r>
      <w:r>
        <w:rPr>
          <w:rFonts w:ascii="Palatino Linotype" w:eastAsia="Palatino Linotype" w:hAnsi="Palatino Linotype" w:cs="Palatino Linotype"/>
          <w:b/>
          <w:i/>
          <w:sz w:val="22"/>
          <w:szCs w:val="22"/>
        </w:rPr>
        <w:t>las Tesorerías, enviarán para su análisis y evaluación</w:t>
      </w:r>
      <w:r>
        <w:rPr>
          <w:rFonts w:ascii="Palatino Linotype" w:eastAsia="Palatino Linotype" w:hAnsi="Palatino Linotype" w:cs="Palatino Linotype"/>
          <w:i/>
          <w:sz w:val="22"/>
          <w:szCs w:val="22"/>
        </w:rPr>
        <w:t xml:space="preserve"> al Órgano Superior de Fiscalización del Estado de México, la siguiente información:</w:t>
      </w:r>
    </w:p>
    <w:p w14:paraId="31DED191" w14:textId="77777777" w:rsidR="00593553" w:rsidRDefault="00593553">
      <w:pPr>
        <w:spacing w:line="276" w:lineRule="auto"/>
        <w:ind w:left="851" w:right="849"/>
        <w:jc w:val="both"/>
        <w:rPr>
          <w:rFonts w:ascii="Palatino Linotype" w:eastAsia="Palatino Linotype" w:hAnsi="Palatino Linotype" w:cs="Palatino Linotype"/>
          <w:i/>
          <w:sz w:val="22"/>
          <w:szCs w:val="22"/>
        </w:rPr>
      </w:pPr>
    </w:p>
    <w:p w14:paraId="4C1A62DE" w14:textId="77777777" w:rsidR="00593553" w:rsidRDefault="00354D12">
      <w:pPr>
        <w:spacing w:line="276" w:lineRule="auto"/>
        <w:ind w:left="851" w:right="84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Información patrimonial.</w:t>
      </w:r>
    </w:p>
    <w:p w14:paraId="2B4FCB85" w14:textId="77777777" w:rsidR="00593553" w:rsidRDefault="00354D12">
      <w:pPr>
        <w:spacing w:line="276" w:lineRule="auto"/>
        <w:ind w:left="851" w:right="84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Información presupuestal.</w:t>
      </w:r>
    </w:p>
    <w:p w14:paraId="2F3F843C" w14:textId="77777777" w:rsidR="00593553" w:rsidRDefault="00354D12">
      <w:pPr>
        <w:spacing w:line="276" w:lineRule="auto"/>
        <w:ind w:left="851" w:right="849"/>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III. Información de la obra pública.</w:t>
      </w:r>
    </w:p>
    <w:p w14:paraId="32C0C03F" w14:textId="77777777" w:rsidR="00593553" w:rsidRDefault="00354D12">
      <w:pPr>
        <w:spacing w:line="276" w:lineRule="auto"/>
        <w:ind w:left="851" w:right="84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IV. Información de nómina.”</w:t>
      </w:r>
    </w:p>
    <w:p w14:paraId="279C118C" w14:textId="77777777" w:rsidR="00593553" w:rsidRDefault="00593553">
      <w:pPr>
        <w:spacing w:after="160" w:line="360" w:lineRule="auto"/>
        <w:jc w:val="both"/>
        <w:rPr>
          <w:rFonts w:ascii="Palatino Linotype" w:eastAsia="Palatino Linotype" w:hAnsi="Palatino Linotype" w:cs="Palatino Linotype"/>
        </w:rPr>
      </w:pPr>
    </w:p>
    <w:p w14:paraId="2959E77A" w14:textId="77777777" w:rsidR="00593553" w:rsidRDefault="00354D12">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orden de ideas, las Políticas para la Integración del Informe Trimestral de los Sujetos de Fiscalización Estatales para el ejercicio fiscal dos mil veintiuno, entre los formatos que maneja en el Módulo 4, se advierte que se encuentra la Conciliación de Nómina Mensual, mismo que será integrado de manera mensual, tal como se muestra a continuación:</w:t>
      </w:r>
    </w:p>
    <w:p w14:paraId="7911EEF6" w14:textId="77777777" w:rsidR="00593553" w:rsidRDefault="00354D12">
      <w:pPr>
        <w:spacing w:after="160" w:line="360" w:lineRule="auto"/>
        <w:jc w:val="both"/>
      </w:pPr>
      <w:r>
        <w:object w:dxaOrig="8790" w:dyaOrig="1245" w14:anchorId="40774793">
          <v:shape id="_x0000_i1032" type="#_x0000_t75" style="width:439.55pt;height:61.95pt" o:ole="">
            <v:imagedata r:id="rId36" o:title=""/>
          </v:shape>
          <o:OLEObject Type="Embed" ProgID="Paint.Picture" ShapeID="_x0000_i1032" DrawAspect="Content" ObjectID="_1715376820" r:id="rId37"/>
        </w:object>
      </w:r>
    </w:p>
    <w:p w14:paraId="400943AF" w14:textId="77777777" w:rsidR="00593553" w:rsidRDefault="00354D12">
      <w:pPr>
        <w:pBdr>
          <w:top w:val="nil"/>
          <w:left w:val="nil"/>
          <w:bottom w:val="nil"/>
          <w:right w:val="nil"/>
          <w:between w:val="nil"/>
        </w:pBdr>
        <w:spacing w:before="280" w:after="280" w:line="360" w:lineRule="auto"/>
        <w:jc w:val="both"/>
        <w:rPr>
          <w:color w:val="000000"/>
        </w:rPr>
      </w:pPr>
      <w:r>
        <w:rPr>
          <w:rFonts w:ascii="Palatino Linotype" w:eastAsia="Palatino Linotype" w:hAnsi="Palatino Linotype" w:cs="Palatino Linotype"/>
          <w:color w:val="000000"/>
        </w:rPr>
        <w:t xml:space="preserve">Ahora bien, dado que en los recibos de nómina no se advierte la totalidad de las remuneraciones, pudiera entregarse el tabulador de remuneraciones, el cual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se encuentra constreñido a generar, esto de conformidad con el </w:t>
      </w:r>
      <w:r>
        <w:rPr>
          <w:rFonts w:ascii="Palatino Linotype" w:eastAsia="Palatino Linotype" w:hAnsi="Palatino Linotype" w:cs="Palatino Linotype"/>
          <w:color w:val="000000"/>
        </w:rPr>
        <w:lastRenderedPageBreak/>
        <w:t>artículo 98, fracción XV de la Ley de Trabajo de los Servidores Públicos del Estado y Municipios, a saber: </w:t>
      </w:r>
    </w:p>
    <w:p w14:paraId="3E767534" w14:textId="77777777" w:rsidR="00593553" w:rsidRDefault="00354D12">
      <w:pPr>
        <w:pBdr>
          <w:top w:val="nil"/>
          <w:left w:val="nil"/>
          <w:bottom w:val="nil"/>
          <w:right w:val="nil"/>
          <w:between w:val="nil"/>
        </w:pBdr>
        <w:spacing w:before="240"/>
        <w:ind w:left="567" w:right="900"/>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98</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Son obligaciones de las instituciones públicas:</w:t>
      </w:r>
    </w:p>
    <w:p w14:paraId="617B238E" w14:textId="77777777" w:rsidR="00593553" w:rsidRDefault="00354D12">
      <w:pPr>
        <w:pBdr>
          <w:top w:val="nil"/>
          <w:left w:val="nil"/>
          <w:bottom w:val="nil"/>
          <w:right w:val="nil"/>
          <w:between w:val="nil"/>
        </w:pBdr>
        <w:ind w:left="851" w:right="900"/>
        <w:jc w:val="both"/>
        <w:rPr>
          <w:color w:val="000000"/>
        </w:rPr>
      </w:pPr>
      <w:r>
        <w:rPr>
          <w:rFonts w:ascii="Palatino Linotype" w:eastAsia="Palatino Linotype" w:hAnsi="Palatino Linotype" w:cs="Palatino Linotype"/>
          <w:i/>
          <w:color w:val="000000"/>
          <w:sz w:val="22"/>
          <w:szCs w:val="22"/>
        </w:rPr>
        <w:t>…</w:t>
      </w:r>
    </w:p>
    <w:p w14:paraId="4C0FEC5B" w14:textId="77777777" w:rsidR="00593553" w:rsidRDefault="00354D12">
      <w:pPr>
        <w:pBdr>
          <w:top w:val="nil"/>
          <w:left w:val="nil"/>
          <w:bottom w:val="nil"/>
          <w:right w:val="nil"/>
          <w:between w:val="nil"/>
        </w:pBdr>
        <w:ind w:left="851" w:right="900"/>
        <w:jc w:val="both"/>
        <w:rPr>
          <w:color w:val="000000"/>
        </w:rPr>
      </w:pPr>
      <w:r>
        <w:rPr>
          <w:rFonts w:ascii="Palatino Linotype" w:eastAsia="Palatino Linotype" w:hAnsi="Palatino Linotype" w:cs="Palatino Linotype"/>
          <w:b/>
          <w:i/>
          <w:color w:val="000000"/>
          <w:sz w:val="22"/>
          <w:szCs w:val="22"/>
        </w:rPr>
        <w:t>XV.</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Elaborar un catálogo general de puestos y un tabulador anual de remuneraciones</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tomando en consideración</w:t>
      </w:r>
      <w:r>
        <w:rPr>
          <w:rFonts w:ascii="Palatino Linotype" w:eastAsia="Palatino Linotype" w:hAnsi="Palatino Linotype" w:cs="Palatino Linotype"/>
          <w:i/>
          <w:color w:val="000000"/>
          <w:sz w:val="22"/>
          <w:szCs w:val="22"/>
        </w:rPr>
        <w:t xml:space="preserve"> los objetivos de las instituciones públicas, </w:t>
      </w:r>
      <w:r>
        <w:rPr>
          <w:rFonts w:ascii="Palatino Linotype" w:eastAsia="Palatino Linotype" w:hAnsi="Palatino Linotype" w:cs="Palatino Linotype"/>
          <w:b/>
          <w:i/>
          <w:color w:val="000000"/>
          <w:sz w:val="22"/>
          <w:szCs w:val="22"/>
        </w:rPr>
        <w:t>las funciones, actividades y tareas de los servidores públicos</w:t>
      </w:r>
      <w:r>
        <w:rPr>
          <w:rFonts w:ascii="Palatino Linotype" w:eastAsia="Palatino Linotype" w:hAnsi="Palatino Linotype" w:cs="Palatino Linotype"/>
          <w:i/>
          <w:color w:val="000000"/>
          <w:sz w:val="22"/>
          <w:szCs w:val="22"/>
        </w:rPr>
        <w:t>, así como la cantidad, calidad y responsabilidad del trabajo; el tabulador deberá respetar las medidas de protección al salario establecidas en la presente ley…(Sic)</w:t>
      </w:r>
    </w:p>
    <w:p w14:paraId="19EB3CDF" w14:textId="77777777" w:rsidR="00593553" w:rsidRDefault="00593553">
      <w:pPr>
        <w:pBdr>
          <w:top w:val="nil"/>
          <w:left w:val="nil"/>
          <w:bottom w:val="nil"/>
          <w:right w:val="nil"/>
          <w:between w:val="nil"/>
        </w:pBdr>
        <w:spacing w:after="240" w:line="360" w:lineRule="auto"/>
        <w:ind w:right="51"/>
        <w:jc w:val="both"/>
        <w:rPr>
          <w:rFonts w:ascii="Palatino Linotype" w:eastAsia="Palatino Linotype" w:hAnsi="Palatino Linotype" w:cs="Palatino Linotype"/>
          <w:color w:val="000000"/>
        </w:rPr>
      </w:pPr>
    </w:p>
    <w:p w14:paraId="708AFA5F" w14:textId="77777777" w:rsidR="00593553" w:rsidRDefault="00354D12">
      <w:pPr>
        <w:pBdr>
          <w:top w:val="nil"/>
          <w:left w:val="nil"/>
          <w:bottom w:val="nil"/>
          <w:right w:val="nil"/>
          <w:between w:val="nil"/>
        </w:pBdr>
        <w:spacing w:after="240" w:line="360" w:lineRule="auto"/>
        <w:ind w:right="51"/>
        <w:jc w:val="both"/>
        <w:rPr>
          <w:color w:val="000000"/>
        </w:rPr>
      </w:pPr>
      <w:r>
        <w:rPr>
          <w:rFonts w:ascii="Palatino Linotype" w:eastAsia="Palatino Linotype" w:hAnsi="Palatino Linotype" w:cs="Palatino Linotype"/>
          <w:color w:val="000000"/>
        </w:rPr>
        <w:t>Con base a lo anterior, se acredita que el Ayuntamiento de Metepec, como institución pública, se encuentra obligado a elaborar un tabulador anual de remuneraciones, tomando en consideración las funciones, actividades y tareas de cada servidor público.</w:t>
      </w:r>
    </w:p>
    <w:p w14:paraId="1EB3F3AB" w14:textId="77777777" w:rsidR="00593553" w:rsidRDefault="00354D12">
      <w:pPr>
        <w:pBdr>
          <w:top w:val="nil"/>
          <w:left w:val="nil"/>
          <w:bottom w:val="nil"/>
          <w:right w:val="nil"/>
          <w:between w:val="nil"/>
        </w:pBdr>
        <w:spacing w:before="280" w:after="280" w:line="360" w:lineRule="auto"/>
        <w:jc w:val="both"/>
        <w:rPr>
          <w:color w:val="000000"/>
        </w:rPr>
      </w:pPr>
      <w:r>
        <w:rPr>
          <w:rFonts w:ascii="Palatino Linotype" w:eastAsia="Palatino Linotype" w:hAnsi="Palatino Linotype" w:cs="Palatino Linotype"/>
          <w:color w:val="000000"/>
        </w:rPr>
        <w:t xml:space="preserve">En esa tesitura, en cuanto al tabulador de sueldos o remuneraciones, es oportuno señalar que se encuentra contemplado en los “Lineamientos para la Integración del Informe Mensual Municipal”, emitidos por el Órgano Superior de Fiscalización del Estado de México, OSFEM, en cada ejercicio fiscal, los cuales definen los criterios, formatos, documentación necesaria para presentar los informes mensuales por parte de los Sujetos Obligados; homologar la información y </w:t>
      </w:r>
      <w:proofErr w:type="spellStart"/>
      <w:r>
        <w:rPr>
          <w:rFonts w:ascii="Palatino Linotype" w:eastAsia="Palatino Linotype" w:hAnsi="Palatino Linotype" w:cs="Palatino Linotype"/>
          <w:color w:val="000000"/>
        </w:rPr>
        <w:t>eficientar</w:t>
      </w:r>
      <w:proofErr w:type="spellEnd"/>
      <w:r>
        <w:rPr>
          <w:rFonts w:ascii="Palatino Linotype" w:eastAsia="Palatino Linotype" w:hAnsi="Palatino Linotype" w:cs="Palatino Linotype"/>
          <w:color w:val="000000"/>
        </w:rPr>
        <w:t xml:space="preserve"> la fiscalización; su contenido se divide en: presentación, objetivo, marco legal de actuación, disposiciones generales, disposiciones específicas, procedimiento para la fiscalización del informe mensual, así como el proceso de integración del informe que se envía al OSFEM en 6 discos, entre los que se destaca el 4 que contiene el </w:t>
      </w:r>
      <w:r>
        <w:rPr>
          <w:rFonts w:ascii="Palatino Linotype" w:eastAsia="Palatino Linotype" w:hAnsi="Palatino Linotype" w:cs="Palatino Linotype"/>
          <w:i/>
          <w:color w:val="000000"/>
        </w:rPr>
        <w:t>tabulador de sueldos</w:t>
      </w:r>
      <w:r>
        <w:rPr>
          <w:rFonts w:ascii="Palatino Linotype" w:eastAsia="Palatino Linotype" w:hAnsi="Palatino Linotype" w:cs="Palatino Linotype"/>
          <w:color w:val="000000"/>
        </w:rPr>
        <w:t xml:space="preserve">; el cual deberá entregar dentro de los 20 días hábiles siguientes </w:t>
      </w:r>
      <w:r>
        <w:rPr>
          <w:rFonts w:ascii="Palatino Linotype" w:eastAsia="Palatino Linotype" w:hAnsi="Palatino Linotype" w:cs="Palatino Linotype"/>
          <w:color w:val="000000"/>
        </w:rPr>
        <w:lastRenderedPageBreak/>
        <w:t>terminado el mes, conforme al siguiente orden según los Lineamientos para el ejercicio 2022:</w:t>
      </w:r>
    </w:p>
    <w:p w14:paraId="7897A2FC" w14:textId="77777777" w:rsidR="00593553" w:rsidRDefault="00354D12">
      <w:pPr>
        <w:pBdr>
          <w:top w:val="nil"/>
          <w:left w:val="nil"/>
          <w:bottom w:val="nil"/>
          <w:right w:val="nil"/>
          <w:between w:val="nil"/>
        </w:pBdr>
        <w:spacing w:before="280" w:after="280"/>
        <w:jc w:val="center"/>
        <w:rPr>
          <w:color w:val="000000"/>
        </w:rPr>
      </w:pPr>
      <w:r>
        <w:rPr>
          <w:rFonts w:ascii="Palatino Linotype" w:eastAsia="Palatino Linotype" w:hAnsi="Palatino Linotype" w:cs="Palatino Linotype"/>
          <w:noProof/>
          <w:color w:val="000000"/>
          <w:lang w:val="es-MX"/>
        </w:rPr>
        <w:drawing>
          <wp:inline distT="0" distB="0" distL="0" distR="0" wp14:anchorId="3B019C6F" wp14:editId="47DB137C">
            <wp:extent cx="5191125" cy="1924050"/>
            <wp:effectExtent l="0" t="0" r="0" b="0"/>
            <wp:docPr id="80" name="image13.png" descr="https://lh5.googleusercontent.com/Hg-TIYGgP5Y7p8lMccLaAzjR1jYg_oRUt_O4yhm-zVNvweDrl4p2U7XkJPCP8Qv4c75WfWwBmZS3Ebsa15kv1yLiJk3AKkO2-4SQHw5bz3TUixJNzPvOc0FTnGOnGsFAkwtzVDbbnhWJW5EmDw"/>
            <wp:cNvGraphicFramePr/>
            <a:graphic xmlns:a="http://schemas.openxmlformats.org/drawingml/2006/main">
              <a:graphicData uri="http://schemas.openxmlformats.org/drawingml/2006/picture">
                <pic:pic xmlns:pic="http://schemas.openxmlformats.org/drawingml/2006/picture">
                  <pic:nvPicPr>
                    <pic:cNvPr id="0" name="image13.png" descr="https://lh5.googleusercontent.com/Hg-TIYGgP5Y7p8lMccLaAzjR1jYg_oRUt_O4yhm-zVNvweDrl4p2U7XkJPCP8Qv4c75WfWwBmZS3Ebsa15kv1yLiJk3AKkO2-4SQHw5bz3TUixJNzPvOc0FTnGOnGsFAkwtzVDbbnhWJW5EmDw"/>
                    <pic:cNvPicPr preferRelativeResize="0"/>
                  </pic:nvPicPr>
                  <pic:blipFill>
                    <a:blip r:embed="rId38"/>
                    <a:srcRect/>
                    <a:stretch>
                      <a:fillRect/>
                    </a:stretch>
                  </pic:blipFill>
                  <pic:spPr>
                    <a:xfrm>
                      <a:off x="0" y="0"/>
                      <a:ext cx="5191125" cy="1924050"/>
                    </a:xfrm>
                    <a:prstGeom prst="rect">
                      <a:avLst/>
                    </a:prstGeom>
                    <a:ln/>
                  </pic:spPr>
                </pic:pic>
              </a:graphicData>
            </a:graphic>
          </wp:inline>
        </w:drawing>
      </w:r>
    </w:p>
    <w:p w14:paraId="6C54A2C4" w14:textId="77777777" w:rsidR="00593553" w:rsidRDefault="00354D12">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lo anterior, se advierte que los Ayuntamientos tienen la obligación de entregar al Órgano Superior de Fiscalización del Estado de México, los informes mensuales en los que se incluye la información relativa al Tabulador de Sueldo en cada ejercicio fiscal, documento en el que podría desprenderse la información que fue solicitada por el particular.</w:t>
      </w:r>
    </w:p>
    <w:p w14:paraId="05F537E9" w14:textId="77777777" w:rsidR="00593553" w:rsidRDefault="00354D12">
      <w:pPr>
        <w:pBdr>
          <w:top w:val="nil"/>
          <w:left w:val="nil"/>
          <w:bottom w:val="nil"/>
          <w:right w:val="nil"/>
          <w:between w:val="nil"/>
        </w:pBdr>
        <w:spacing w:before="240" w:after="240" w:line="360" w:lineRule="auto"/>
        <w:jc w:val="both"/>
        <w:rPr>
          <w:color w:val="000000"/>
        </w:rPr>
      </w:pPr>
      <w:r>
        <w:rPr>
          <w:color w:val="000000"/>
        </w:rPr>
        <w:object w:dxaOrig="8790" w:dyaOrig="8565" w14:anchorId="3A8748A0">
          <v:shape id="_x0000_i1033" type="#_x0000_t75" style="width:439.55pt;height:428.65pt" o:ole="">
            <v:imagedata r:id="rId39" o:title=""/>
          </v:shape>
          <o:OLEObject Type="Embed" ProgID="Paint.Picture" ShapeID="_x0000_i1033" DrawAspect="Content" ObjectID="_1715376821" r:id="rId40"/>
        </w:object>
      </w:r>
    </w:p>
    <w:p w14:paraId="2B6E9F1E" w14:textId="77777777" w:rsidR="00593553" w:rsidRDefault="00354D12">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highlight w:val="green"/>
        </w:rPr>
      </w:pPr>
      <w:r>
        <w:rPr>
          <w:color w:val="000000"/>
        </w:rPr>
        <w:object w:dxaOrig="8790" w:dyaOrig="10860" w14:anchorId="72F9EE06">
          <v:shape id="_x0000_i1034" type="#_x0000_t75" style="width:439.55pt;height:543.35pt" o:ole="">
            <v:imagedata r:id="rId41" o:title=""/>
          </v:shape>
          <o:OLEObject Type="Embed" ProgID="Paint.Picture" ShapeID="_x0000_i1034" DrawAspect="Content" ObjectID="_1715376822" r:id="rId42"/>
        </w:object>
      </w:r>
    </w:p>
    <w:p w14:paraId="4DDB0196" w14:textId="77777777" w:rsidR="00593553" w:rsidRDefault="00593553">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highlight w:val="green"/>
        </w:rPr>
      </w:pPr>
    </w:p>
    <w:p w14:paraId="65D8C077" w14:textId="77777777" w:rsidR="00593553" w:rsidRDefault="00354D12">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Es por lo anterior que resulta dable revocar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y ordenarle haga entrega del o de los documentos en donde conste lo siguiente: nombres, remuneraciones, antigüedad y áreas de adscripción de todas y todos los servidores públicos sindicalizados que se encuentran laborando para el </w:t>
      </w:r>
      <w:r>
        <w:rPr>
          <w:rFonts w:ascii="Palatino Linotype" w:eastAsia="Palatino Linotype" w:hAnsi="Palatino Linotype" w:cs="Palatino Linotype"/>
          <w:b/>
        </w:rPr>
        <w:t>Sujeto Obligado</w:t>
      </w:r>
      <w:r>
        <w:rPr>
          <w:rFonts w:ascii="Palatino Linotype" w:eastAsia="Palatino Linotype" w:hAnsi="Palatino Linotype" w:cs="Palatino Linotype"/>
        </w:rPr>
        <w:t>, en versión pública de ser procedente, conforme al Considerando siguiente.</w:t>
      </w:r>
    </w:p>
    <w:p w14:paraId="475C816D" w14:textId="77777777" w:rsidR="00593553" w:rsidRDefault="00354D1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Finalmente para la entrega de los soportes documentales que en todo caso deberá proporcionar el sujeto obligado para dar satisfacción de la derecho humano de acceso a la información de la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42DE1787" w14:textId="77777777" w:rsidR="00593553" w:rsidRDefault="00354D12">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5D396338" w14:textId="77777777" w:rsidR="00593553" w:rsidRDefault="00354D1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Para los efectos de la presente Ley se entenderá por:</w:t>
      </w:r>
    </w:p>
    <w:p w14:paraId="7DA038A0" w14:textId="77777777" w:rsidR="00593553" w:rsidRDefault="00354D12">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6A957CD" w14:textId="77777777" w:rsidR="00593553" w:rsidRDefault="00354D12">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299A08C0" w14:textId="77777777" w:rsidR="00593553" w:rsidRDefault="00354D12">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XX. Información clasificada</w:t>
      </w:r>
      <w:r>
        <w:rPr>
          <w:rFonts w:ascii="Palatino Linotype" w:eastAsia="Palatino Linotype" w:hAnsi="Palatino Linotype" w:cs="Palatino Linotype"/>
          <w:i/>
          <w:sz w:val="22"/>
          <w:szCs w:val="22"/>
        </w:rPr>
        <w:t>: Aquella considerada por la presente Ley como reservada o confidencial;</w:t>
      </w:r>
    </w:p>
    <w:p w14:paraId="154E66D9" w14:textId="77777777" w:rsidR="00593553" w:rsidRDefault="00354D12">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 Información confidencial:</w:t>
      </w:r>
      <w:r>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BCC560A" w14:textId="77777777" w:rsidR="00593553" w:rsidRDefault="00354D12">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690DBB36" w14:textId="77777777" w:rsidR="00593553" w:rsidRDefault="00354D12">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ED3F0F1" w14:textId="77777777" w:rsidR="00593553" w:rsidRDefault="00354D1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91. </w:t>
      </w:r>
      <w:r>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33CF1DBA" w14:textId="77777777" w:rsidR="00593553" w:rsidRDefault="00354D1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132. </w:t>
      </w:r>
      <w:r>
        <w:rPr>
          <w:rFonts w:ascii="Palatino Linotype" w:eastAsia="Palatino Linotype" w:hAnsi="Palatino Linotype" w:cs="Palatino Linotype"/>
          <w:i/>
          <w:sz w:val="22"/>
          <w:szCs w:val="22"/>
        </w:rPr>
        <w:t>La clasificación de la información se llevará a cabo en el momento en que:</w:t>
      </w:r>
    </w:p>
    <w:p w14:paraId="2BB429AF" w14:textId="77777777" w:rsidR="00593553" w:rsidRDefault="00354D12">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Se reciba una solicitud de acceso a la información;</w:t>
      </w:r>
    </w:p>
    <w:p w14:paraId="39AFF27F" w14:textId="77777777" w:rsidR="00593553" w:rsidRDefault="00354D12">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Se determine mediante resolución de autoridad competente; o</w:t>
      </w:r>
    </w:p>
    <w:p w14:paraId="2DF6B666" w14:textId="77777777" w:rsidR="00593553" w:rsidRDefault="00354D12">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Se generen versiones públicas para dar cumplimiento a las obligaciones de transparencia previstas en esta Ley.</w:t>
      </w:r>
    </w:p>
    <w:p w14:paraId="6CC02CBC" w14:textId="77777777" w:rsidR="00593553" w:rsidRDefault="00354D1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38125A7" w14:textId="77777777" w:rsidR="00593553" w:rsidRDefault="00354D1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2C8E4D2A" w14:textId="77777777" w:rsidR="00593553" w:rsidRDefault="00354D12">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6A330166" w14:textId="77777777" w:rsidR="00593553" w:rsidRDefault="00354D12">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41C98849" w14:textId="77777777" w:rsidR="00593553" w:rsidRDefault="00354D12">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6B7E3760" w14:textId="77777777" w:rsidR="00593553" w:rsidRDefault="00354D1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641F5C6D" w14:textId="77777777" w:rsidR="00593553" w:rsidRDefault="00354D1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No se considerará confidencial la información que se encuentre en los registros públicos o en fuentes de acceso público, ni tampoco la que sea considerada por la presente ley como información pública.”</w:t>
      </w:r>
    </w:p>
    <w:p w14:paraId="2229B9DC" w14:textId="77777777" w:rsidR="00593553" w:rsidRDefault="00354D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5CBF4DB" w14:textId="77777777" w:rsidR="00593553" w:rsidRDefault="00354D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6C7D376B" w14:textId="77777777" w:rsidR="00593553" w:rsidRDefault="00354D1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Quincuagésimo sexto</w:t>
      </w:r>
      <w:r>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1AC3F71D" w14:textId="77777777" w:rsidR="00593553" w:rsidRDefault="00354D1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séptimo</w:t>
      </w:r>
      <w:r>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6AEBD518" w14:textId="77777777" w:rsidR="00593553" w:rsidRDefault="00354D12">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745AF772" w14:textId="77777777" w:rsidR="00593553" w:rsidRDefault="00354D12">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60D3C8D2" w14:textId="77777777" w:rsidR="00593553" w:rsidRDefault="00354D12">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w:t>
      </w:r>
      <w:r>
        <w:rPr>
          <w:rFonts w:ascii="Palatino Linotype" w:eastAsia="Palatino Linotype" w:hAnsi="Palatino Linotype" w:cs="Palatino Linotype"/>
          <w:i/>
          <w:sz w:val="22"/>
          <w:szCs w:val="22"/>
        </w:rPr>
        <w:lastRenderedPageBreak/>
        <w:t>actividades de los servidores públicos, de manera que se pueda valorar el desempeño de los mismos.</w:t>
      </w:r>
    </w:p>
    <w:p w14:paraId="37CC1C99" w14:textId="77777777" w:rsidR="00593553" w:rsidRDefault="00354D1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 anterior, siempre y cuando no se acredite alguna causal de clasificación, prevista en las leyes o en los tratados </w:t>
      </w:r>
      <w:proofErr w:type="gramStart"/>
      <w:r>
        <w:rPr>
          <w:rFonts w:ascii="Palatino Linotype" w:eastAsia="Palatino Linotype" w:hAnsi="Palatino Linotype" w:cs="Palatino Linotype"/>
          <w:i/>
          <w:sz w:val="22"/>
          <w:szCs w:val="22"/>
        </w:rPr>
        <w:t>internaciones suscritos</w:t>
      </w:r>
      <w:proofErr w:type="gramEnd"/>
      <w:r>
        <w:rPr>
          <w:rFonts w:ascii="Palatino Linotype" w:eastAsia="Palatino Linotype" w:hAnsi="Palatino Linotype" w:cs="Palatino Linotype"/>
          <w:i/>
          <w:sz w:val="22"/>
          <w:szCs w:val="22"/>
        </w:rPr>
        <w:t xml:space="preserve"> por el Estado mexicano. </w:t>
      </w:r>
    </w:p>
    <w:p w14:paraId="2C71DA2C" w14:textId="77777777" w:rsidR="00593553" w:rsidRDefault="00354D1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octavo</w:t>
      </w:r>
      <w:r>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26CB937E" w14:textId="77777777" w:rsidR="00593553" w:rsidRDefault="00354D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6AE60384" w14:textId="77777777" w:rsidR="00593553" w:rsidRDefault="00354D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9"/>
        <w:tblW w:w="88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593553" w14:paraId="426A6C64" w14:textId="77777777">
        <w:tc>
          <w:tcPr>
            <w:tcW w:w="4253" w:type="dxa"/>
            <w:gridSpan w:val="2"/>
            <w:tcBorders>
              <w:top w:val="nil"/>
              <w:left w:val="nil"/>
              <w:right w:val="nil"/>
            </w:tcBorders>
          </w:tcPr>
          <w:p w14:paraId="1521C861" w14:textId="77777777" w:rsidR="00593553" w:rsidRDefault="00354D12">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14:paraId="4C10FA98" w14:textId="77777777" w:rsidR="00593553" w:rsidRDefault="00354D12">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Total</w:t>
            </w:r>
          </w:p>
        </w:tc>
      </w:tr>
      <w:tr w:rsidR="00593553" w14:paraId="5E0C3B37" w14:textId="77777777">
        <w:tc>
          <w:tcPr>
            <w:tcW w:w="1134" w:type="dxa"/>
          </w:tcPr>
          <w:p w14:paraId="07CD03A3" w14:textId="77777777" w:rsidR="00593553" w:rsidRDefault="00354D12">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119" w:type="dxa"/>
          </w:tcPr>
          <w:p w14:paraId="5F112661" w14:textId="77777777" w:rsidR="00593553" w:rsidRDefault="00354D12">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c>
          <w:tcPr>
            <w:tcW w:w="1129" w:type="dxa"/>
          </w:tcPr>
          <w:p w14:paraId="2FFA50D9" w14:textId="77777777" w:rsidR="00593553" w:rsidRDefault="00354D12">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446" w:type="dxa"/>
          </w:tcPr>
          <w:p w14:paraId="30FC671B" w14:textId="77777777" w:rsidR="00593553" w:rsidRDefault="00354D12">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r>
      <w:tr w:rsidR="00593553" w14:paraId="7C3A207A" w14:textId="77777777">
        <w:tc>
          <w:tcPr>
            <w:tcW w:w="8828" w:type="dxa"/>
            <w:gridSpan w:val="4"/>
          </w:tcPr>
          <w:p w14:paraId="1648A6F7" w14:textId="77777777" w:rsidR="00593553" w:rsidRDefault="00354D12">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Sello oficial o logotipo del sujeto obligado</w:t>
            </w:r>
          </w:p>
        </w:tc>
      </w:tr>
      <w:tr w:rsidR="00593553" w14:paraId="71F13529" w14:textId="77777777">
        <w:tc>
          <w:tcPr>
            <w:tcW w:w="1134" w:type="dxa"/>
          </w:tcPr>
          <w:p w14:paraId="5CFCE4DA" w14:textId="77777777" w:rsidR="00593553" w:rsidRDefault="00354D12">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119" w:type="dxa"/>
          </w:tcPr>
          <w:p w14:paraId="6CE454D6" w14:textId="77777777" w:rsidR="00593553" w:rsidRDefault="00354D12">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14:paraId="0E978730" w14:textId="77777777" w:rsidR="00593553" w:rsidRDefault="00354D12">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446" w:type="dxa"/>
          </w:tcPr>
          <w:p w14:paraId="6629F036" w14:textId="77777777" w:rsidR="00593553" w:rsidRDefault="00354D12">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593553" w14:paraId="450AE6EB" w14:textId="77777777">
        <w:tc>
          <w:tcPr>
            <w:tcW w:w="1134" w:type="dxa"/>
          </w:tcPr>
          <w:p w14:paraId="4D91552A" w14:textId="77777777" w:rsidR="00593553" w:rsidRDefault="00354D12">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119" w:type="dxa"/>
          </w:tcPr>
          <w:p w14:paraId="5B7CFC0E" w14:textId="77777777" w:rsidR="00593553" w:rsidRDefault="00354D12">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del cual es titular quien clasifica.</w:t>
            </w:r>
          </w:p>
        </w:tc>
        <w:tc>
          <w:tcPr>
            <w:tcW w:w="1129" w:type="dxa"/>
          </w:tcPr>
          <w:p w14:paraId="64DE9015" w14:textId="77777777" w:rsidR="00593553" w:rsidRDefault="00354D12">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446" w:type="dxa"/>
          </w:tcPr>
          <w:p w14:paraId="494A5E27" w14:textId="77777777" w:rsidR="00593553" w:rsidRDefault="00354D12">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 la cual es el titular quien clasifica.</w:t>
            </w:r>
          </w:p>
        </w:tc>
      </w:tr>
      <w:tr w:rsidR="00593553" w14:paraId="59E4491B" w14:textId="77777777">
        <w:tc>
          <w:tcPr>
            <w:tcW w:w="1134" w:type="dxa"/>
          </w:tcPr>
          <w:p w14:paraId="4E499CA9" w14:textId="77777777" w:rsidR="00593553" w:rsidRDefault="00354D12">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Información reservada</w:t>
            </w:r>
          </w:p>
        </w:tc>
        <w:tc>
          <w:tcPr>
            <w:tcW w:w="3119" w:type="dxa"/>
          </w:tcPr>
          <w:p w14:paraId="790BF0AF" w14:textId="77777777" w:rsidR="00593553" w:rsidRDefault="00354D12">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tcPr>
          <w:p w14:paraId="5A1D5BFD" w14:textId="77777777" w:rsidR="00593553" w:rsidRDefault="00354D12">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Reservado</w:t>
            </w:r>
          </w:p>
        </w:tc>
        <w:tc>
          <w:tcPr>
            <w:tcW w:w="3446" w:type="dxa"/>
          </w:tcPr>
          <w:p w14:paraId="335EE0D6" w14:textId="77777777" w:rsidR="00593553" w:rsidRDefault="00354D12">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RESERVADA.</w:t>
            </w:r>
          </w:p>
        </w:tc>
      </w:tr>
      <w:tr w:rsidR="00593553" w14:paraId="1C4EBA09" w14:textId="77777777">
        <w:tc>
          <w:tcPr>
            <w:tcW w:w="1134" w:type="dxa"/>
          </w:tcPr>
          <w:p w14:paraId="25D58912" w14:textId="77777777" w:rsidR="00593553" w:rsidRDefault="00354D12">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lastRenderedPageBreak/>
              <w:t>Fundamento legal</w:t>
            </w:r>
          </w:p>
        </w:tc>
        <w:tc>
          <w:tcPr>
            <w:tcW w:w="3119" w:type="dxa"/>
          </w:tcPr>
          <w:p w14:paraId="0BF83F79" w14:textId="77777777" w:rsidR="00593553" w:rsidRDefault="00354D12">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14:paraId="4DA7C6D2" w14:textId="77777777" w:rsidR="00593553" w:rsidRDefault="00354D12">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Periodo de reserva</w:t>
            </w:r>
          </w:p>
        </w:tc>
        <w:tc>
          <w:tcPr>
            <w:tcW w:w="3446" w:type="dxa"/>
          </w:tcPr>
          <w:p w14:paraId="3883332B" w14:textId="77777777" w:rsidR="00593553" w:rsidRDefault="00354D12">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593553" w14:paraId="44DE40BF" w14:textId="77777777">
        <w:tc>
          <w:tcPr>
            <w:tcW w:w="1134" w:type="dxa"/>
          </w:tcPr>
          <w:p w14:paraId="1343B4B4" w14:textId="77777777" w:rsidR="00593553" w:rsidRDefault="00354D12">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119" w:type="dxa"/>
          </w:tcPr>
          <w:p w14:paraId="2778112B" w14:textId="77777777" w:rsidR="00593553" w:rsidRDefault="00354D12">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14:paraId="443765CE" w14:textId="77777777" w:rsidR="00593553" w:rsidRDefault="00354D12">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14:paraId="1C4958BE" w14:textId="77777777" w:rsidR="00593553" w:rsidRDefault="00354D12">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593553" w14:paraId="2F6A473C" w14:textId="77777777">
        <w:tc>
          <w:tcPr>
            <w:tcW w:w="1134" w:type="dxa"/>
          </w:tcPr>
          <w:p w14:paraId="1D66C36B" w14:textId="77777777" w:rsidR="00593553" w:rsidRDefault="00354D12">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119" w:type="dxa"/>
          </w:tcPr>
          <w:p w14:paraId="0A63A628" w14:textId="77777777" w:rsidR="00593553" w:rsidRDefault="00354D12">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14:paraId="2BEA0E8B" w14:textId="77777777" w:rsidR="00593553" w:rsidRDefault="00354D12">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446" w:type="dxa"/>
          </w:tcPr>
          <w:p w14:paraId="4D3CC54F" w14:textId="77777777" w:rsidR="00593553" w:rsidRDefault="00354D12">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593553" w14:paraId="5F03D6A6" w14:textId="77777777">
        <w:tc>
          <w:tcPr>
            <w:tcW w:w="1134" w:type="dxa"/>
          </w:tcPr>
          <w:p w14:paraId="1B3B92FA" w14:textId="77777777" w:rsidR="00593553" w:rsidRDefault="00354D12">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119" w:type="dxa"/>
          </w:tcPr>
          <w:p w14:paraId="578253EA" w14:textId="77777777" w:rsidR="00593553" w:rsidRDefault="00354D12">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14:paraId="3DDA22B5" w14:textId="77777777" w:rsidR="00593553" w:rsidRDefault="00354D12">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446" w:type="dxa"/>
          </w:tcPr>
          <w:p w14:paraId="74724667" w14:textId="77777777" w:rsidR="00593553" w:rsidRDefault="00354D12">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CONFIDENCIAL.</w:t>
            </w:r>
          </w:p>
        </w:tc>
      </w:tr>
      <w:tr w:rsidR="00593553" w14:paraId="6BDE45A4" w14:textId="77777777">
        <w:tc>
          <w:tcPr>
            <w:tcW w:w="1134" w:type="dxa"/>
          </w:tcPr>
          <w:p w14:paraId="314E9A9D" w14:textId="77777777" w:rsidR="00593553" w:rsidRDefault="00354D12">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119" w:type="dxa"/>
          </w:tcPr>
          <w:p w14:paraId="2F8E39A0" w14:textId="77777777" w:rsidR="00593553" w:rsidRDefault="00354D12">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c>
          <w:tcPr>
            <w:tcW w:w="1129" w:type="dxa"/>
          </w:tcPr>
          <w:p w14:paraId="7E4578A0" w14:textId="77777777" w:rsidR="00593553" w:rsidRDefault="00354D12">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14:paraId="4A319998" w14:textId="77777777" w:rsidR="00593553" w:rsidRDefault="00354D12">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593553" w14:paraId="50A801E9" w14:textId="77777777">
        <w:tc>
          <w:tcPr>
            <w:tcW w:w="1134" w:type="dxa"/>
          </w:tcPr>
          <w:p w14:paraId="49229439" w14:textId="77777777" w:rsidR="00593553" w:rsidRDefault="00354D12">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119" w:type="dxa"/>
          </w:tcPr>
          <w:p w14:paraId="4E9D1B0F" w14:textId="77777777" w:rsidR="00593553" w:rsidRDefault="00354D12">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 el documento.</w:t>
            </w:r>
          </w:p>
        </w:tc>
        <w:tc>
          <w:tcPr>
            <w:tcW w:w="1129" w:type="dxa"/>
          </w:tcPr>
          <w:p w14:paraId="7C23EBCE" w14:textId="77777777" w:rsidR="00593553" w:rsidRDefault="00354D12">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446" w:type="dxa"/>
          </w:tcPr>
          <w:p w14:paraId="091A4A7B" w14:textId="77777777" w:rsidR="00593553" w:rsidRDefault="00354D12">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r>
      <w:tr w:rsidR="00593553" w14:paraId="2CD813C5" w14:textId="77777777">
        <w:tc>
          <w:tcPr>
            <w:tcW w:w="1134" w:type="dxa"/>
          </w:tcPr>
          <w:p w14:paraId="585E2E72" w14:textId="77777777" w:rsidR="00593553" w:rsidRDefault="00354D12">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119" w:type="dxa"/>
          </w:tcPr>
          <w:p w14:paraId="3028AD59" w14:textId="77777777" w:rsidR="00593553" w:rsidRDefault="00354D12">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c>
          <w:tcPr>
            <w:tcW w:w="1129" w:type="dxa"/>
          </w:tcPr>
          <w:p w14:paraId="238EF252" w14:textId="77777777" w:rsidR="00593553" w:rsidRDefault="00354D12">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446" w:type="dxa"/>
          </w:tcPr>
          <w:p w14:paraId="3DF2F61A" w14:textId="77777777" w:rsidR="00593553" w:rsidRDefault="00354D12">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w:t>
            </w:r>
          </w:p>
        </w:tc>
      </w:tr>
      <w:tr w:rsidR="00593553" w14:paraId="79605066" w14:textId="77777777">
        <w:tc>
          <w:tcPr>
            <w:tcW w:w="1134" w:type="dxa"/>
          </w:tcPr>
          <w:p w14:paraId="787B3B9D" w14:textId="77777777" w:rsidR="00593553" w:rsidRDefault="00593553">
            <w:pPr>
              <w:jc w:val="both"/>
              <w:rPr>
                <w:rFonts w:ascii="Palatino Linotype" w:eastAsia="Palatino Linotype" w:hAnsi="Palatino Linotype" w:cs="Palatino Linotype"/>
                <w:b/>
                <w:sz w:val="12"/>
                <w:szCs w:val="12"/>
              </w:rPr>
            </w:pPr>
          </w:p>
        </w:tc>
        <w:tc>
          <w:tcPr>
            <w:tcW w:w="3119" w:type="dxa"/>
          </w:tcPr>
          <w:p w14:paraId="2AAAE814" w14:textId="77777777" w:rsidR="00593553" w:rsidRDefault="00593553">
            <w:pPr>
              <w:jc w:val="both"/>
              <w:rPr>
                <w:rFonts w:ascii="Palatino Linotype" w:eastAsia="Palatino Linotype" w:hAnsi="Palatino Linotype" w:cs="Palatino Linotype"/>
                <w:sz w:val="12"/>
                <w:szCs w:val="12"/>
              </w:rPr>
            </w:pPr>
          </w:p>
        </w:tc>
        <w:tc>
          <w:tcPr>
            <w:tcW w:w="1129" w:type="dxa"/>
          </w:tcPr>
          <w:p w14:paraId="79960C6C" w14:textId="77777777" w:rsidR="00593553" w:rsidRDefault="00354D12">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Partes o secciones reservadas o confidenciales</w:t>
            </w:r>
          </w:p>
        </w:tc>
        <w:tc>
          <w:tcPr>
            <w:tcW w:w="3446" w:type="dxa"/>
          </w:tcPr>
          <w:p w14:paraId="0C677E2E" w14:textId="77777777" w:rsidR="00593553" w:rsidRDefault="00354D12">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 xml:space="preserve">En caso que una vez desclasificado el expediente, </w:t>
            </w:r>
            <w:proofErr w:type="spellStart"/>
            <w:r>
              <w:rPr>
                <w:rFonts w:ascii="Palatino Linotype" w:eastAsia="Palatino Linotype" w:hAnsi="Palatino Linotype" w:cs="Palatino Linotype"/>
                <w:sz w:val="12"/>
                <w:szCs w:val="12"/>
              </w:rPr>
              <w:t>subsistanpartes</w:t>
            </w:r>
            <w:proofErr w:type="spellEnd"/>
            <w:r>
              <w:rPr>
                <w:rFonts w:ascii="Palatino Linotype" w:eastAsia="Palatino Linotype" w:hAnsi="Palatino Linotype" w:cs="Palatino Linotype"/>
                <w:sz w:val="12"/>
                <w:szCs w:val="12"/>
              </w:rPr>
              <w:t xml:space="preserve"> o secciones del mismo reservadas o confidenciales, se señalará este hecho.</w:t>
            </w:r>
          </w:p>
        </w:tc>
      </w:tr>
      <w:tr w:rsidR="00593553" w14:paraId="20BD5AF5" w14:textId="77777777">
        <w:tc>
          <w:tcPr>
            <w:tcW w:w="1134" w:type="dxa"/>
          </w:tcPr>
          <w:p w14:paraId="7EF940E7" w14:textId="77777777" w:rsidR="00593553" w:rsidRDefault="00593553">
            <w:pPr>
              <w:jc w:val="both"/>
              <w:rPr>
                <w:rFonts w:ascii="Palatino Linotype" w:eastAsia="Palatino Linotype" w:hAnsi="Palatino Linotype" w:cs="Palatino Linotype"/>
                <w:b/>
                <w:sz w:val="12"/>
                <w:szCs w:val="12"/>
              </w:rPr>
            </w:pPr>
          </w:p>
        </w:tc>
        <w:tc>
          <w:tcPr>
            <w:tcW w:w="3119" w:type="dxa"/>
          </w:tcPr>
          <w:p w14:paraId="3B3BD4D4" w14:textId="77777777" w:rsidR="00593553" w:rsidRDefault="00593553">
            <w:pPr>
              <w:jc w:val="both"/>
              <w:rPr>
                <w:rFonts w:ascii="Palatino Linotype" w:eastAsia="Palatino Linotype" w:hAnsi="Palatino Linotype" w:cs="Palatino Linotype"/>
                <w:sz w:val="12"/>
                <w:szCs w:val="12"/>
              </w:rPr>
            </w:pPr>
          </w:p>
        </w:tc>
        <w:tc>
          <w:tcPr>
            <w:tcW w:w="1129" w:type="dxa"/>
          </w:tcPr>
          <w:p w14:paraId="0160AD0D" w14:textId="77777777" w:rsidR="00593553" w:rsidRDefault="00354D12">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446" w:type="dxa"/>
          </w:tcPr>
          <w:p w14:paraId="74DB6BA4" w14:textId="77777777" w:rsidR="00593553" w:rsidRDefault="00354D12">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r>
    </w:tbl>
    <w:p w14:paraId="1B572912" w14:textId="77777777" w:rsidR="00593553" w:rsidRDefault="00354D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no escapa de la óptica de este Órgano Garante que el particular, a través de su recurso de revisión, solicitó a este Instituto, se le diera vista a la Contraloría Interna y Órgano de Control y Vigilancia en términos de la Ley de Responsabilidades de los Servidores Públicos del Estado y Municipios, a efectos de que dicho Órgano determinara el grado de responsabilidad, al considerar posibles causas de responsabilidad administrativa por el incumplimiento a las disposiciones previstas en los artículos 161, 163 segundo párrafo y 177 de la Ley de Transparencia y Acceso a la Información Pública del Estado de México y Municipios, sin embargo, es preciso hacer de su conocimiento que el recurso de revisión no es la vía para instaurar procedimientos de responsabilidad administrativa, no obstante, se dejan a salvo sus derechos para que en caso de considerarlo oportuno a sus intereses, ejerza dicha acción ante las instancias correspondientes.</w:t>
      </w:r>
    </w:p>
    <w:p w14:paraId="79CF56A0" w14:textId="77777777" w:rsidR="00593553" w:rsidRDefault="00354D12">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Así, con fundamento en lo prescrito en los artículos 5 párrafos trigésimo, trigésimo primero y trigésimo segundo fracciones IV y V de la Constitución Política del Estado Libre y Soberano de México; 2, fracción II; 29, 36 fracciones I y II; 176, 178, 179, fracción I, 181, 185 de la Ley de Transparencia y Acceso a la Información Pública del Estado de México y Municipios, este Pleno:</w:t>
      </w:r>
    </w:p>
    <w:p w14:paraId="223B3615" w14:textId="77777777" w:rsidR="00593553" w:rsidRDefault="00354D12">
      <w:pPr>
        <w:numPr>
          <w:ilvl w:val="0"/>
          <w:numId w:val="2"/>
        </w:numPr>
        <w:spacing w:before="240" w:after="240" w:line="360" w:lineRule="auto"/>
        <w:ind w:left="284" w:hanging="426"/>
        <w:jc w:val="center"/>
        <w:rPr>
          <w:rFonts w:ascii="Palatino Linotype" w:eastAsia="Palatino Linotype" w:hAnsi="Palatino Linotype" w:cs="Palatino Linotype"/>
          <w:b/>
        </w:rPr>
      </w:pPr>
      <w:r>
        <w:rPr>
          <w:rFonts w:ascii="Palatino Linotype" w:eastAsia="Palatino Linotype" w:hAnsi="Palatino Linotype" w:cs="Palatino Linotype"/>
          <w:b/>
        </w:rPr>
        <w:t>R E S U E L V E:</w:t>
      </w:r>
    </w:p>
    <w:p w14:paraId="54968424" w14:textId="77777777" w:rsidR="00593553" w:rsidRDefault="00354D12">
      <w:pPr>
        <w:spacing w:before="240" w:after="240" w:line="360" w:lineRule="auto"/>
        <w:jc w:val="both"/>
        <w:rPr>
          <w:rFonts w:ascii="Palatino Linotype" w:eastAsia="Palatino Linotype" w:hAnsi="Palatino Linotype" w:cs="Palatino Linotype"/>
          <w:b/>
        </w:rPr>
      </w:pPr>
      <w:bookmarkStart w:id="2" w:name="_heading=h.30j0zll" w:colFirst="0" w:colLast="0"/>
      <w:bookmarkEnd w:id="2"/>
      <w:r>
        <w:rPr>
          <w:rFonts w:ascii="Palatino Linotype" w:eastAsia="Palatino Linotype" w:hAnsi="Palatino Linotype" w:cs="Palatino Linotype"/>
          <w:b/>
        </w:rPr>
        <w:t xml:space="preserve">Primero. </w:t>
      </w:r>
      <w:r>
        <w:rPr>
          <w:rFonts w:ascii="Palatino Linotype" w:eastAsia="Palatino Linotype" w:hAnsi="Palatino Linotype" w:cs="Palatino Linotype"/>
        </w:rPr>
        <w:t>Resultan</w:t>
      </w:r>
      <w:r>
        <w:rPr>
          <w:rFonts w:ascii="Palatino Linotype" w:eastAsia="Palatino Linotype" w:hAnsi="Palatino Linotype" w:cs="Palatino Linotype"/>
          <w:b/>
        </w:rPr>
        <w:t xml:space="preserve"> parcialmente fundados </w:t>
      </w:r>
      <w:r>
        <w:rPr>
          <w:rFonts w:ascii="Palatino Linotype" w:eastAsia="Palatino Linotype" w:hAnsi="Palatino Linotype" w:cs="Palatino Linotype"/>
        </w:rPr>
        <w:t xml:space="preserve">los motivos de inconformidad hechos valer por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en el recurso de revisión</w:t>
      </w:r>
      <w:r>
        <w:rPr>
          <w:rFonts w:ascii="Palatino Linotype" w:eastAsia="Palatino Linotype" w:hAnsi="Palatino Linotype" w:cs="Palatino Linotype"/>
          <w:b/>
        </w:rPr>
        <w:t xml:space="preserve"> 02279/INFOEM/IP/RR/2022, </w:t>
      </w:r>
      <w:r>
        <w:rPr>
          <w:rFonts w:ascii="Palatino Linotype" w:eastAsia="Palatino Linotype" w:hAnsi="Palatino Linotype" w:cs="Palatino Linotype"/>
        </w:rPr>
        <w:t>por lo que, en términos del</w:t>
      </w:r>
      <w:r>
        <w:rPr>
          <w:rFonts w:ascii="Palatino Linotype" w:eastAsia="Palatino Linotype" w:hAnsi="Palatino Linotype" w:cs="Palatino Linotype"/>
          <w:b/>
        </w:rPr>
        <w:t xml:space="preserve"> Considerando Cuarto </w:t>
      </w:r>
      <w:r>
        <w:rPr>
          <w:rFonts w:ascii="Palatino Linotype" w:eastAsia="Palatino Linotype" w:hAnsi="Palatino Linotype" w:cs="Palatino Linotype"/>
        </w:rPr>
        <w:t xml:space="preserve">de la presente resolución, se </w:t>
      </w:r>
      <w:r>
        <w:rPr>
          <w:rFonts w:ascii="Palatino Linotype" w:eastAsia="Palatino Linotype" w:hAnsi="Palatino Linotype" w:cs="Palatino Linotype"/>
          <w:b/>
        </w:rPr>
        <w:t xml:space="preserve">REVOCA </w:t>
      </w:r>
      <w:r>
        <w:rPr>
          <w:rFonts w:ascii="Palatino Linotype" w:eastAsia="Palatino Linotype" w:hAnsi="Palatino Linotype" w:cs="Palatino Linotype"/>
        </w:rPr>
        <w:t>la respuesta emitida por el</w:t>
      </w:r>
      <w:r>
        <w:rPr>
          <w:rFonts w:ascii="Palatino Linotype" w:eastAsia="Palatino Linotype" w:hAnsi="Palatino Linotype" w:cs="Palatino Linotype"/>
          <w:b/>
        </w:rPr>
        <w:t xml:space="preserve"> Sujeto Obligado.</w:t>
      </w:r>
    </w:p>
    <w:p w14:paraId="2D5841FB" w14:textId="77777777" w:rsidR="00593553" w:rsidRDefault="00354D12">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Ordena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que, haga entrega</w:t>
      </w:r>
      <w:r>
        <w:rPr>
          <w:rFonts w:ascii="Palatino Linotype" w:eastAsia="Palatino Linotype" w:hAnsi="Palatino Linotype" w:cs="Palatino Linotype"/>
          <w:b/>
        </w:rPr>
        <w:t xml:space="preserve"> vía SAIMEX, en versión pública de ser procedente</w:t>
      </w:r>
      <w:r>
        <w:rPr>
          <w:rFonts w:ascii="Palatino Linotype" w:eastAsia="Palatino Linotype" w:hAnsi="Palatino Linotype" w:cs="Palatino Linotype"/>
        </w:rPr>
        <w:t xml:space="preserve">, en términos de los </w:t>
      </w:r>
      <w:r>
        <w:rPr>
          <w:rFonts w:ascii="Palatino Linotype" w:eastAsia="Palatino Linotype" w:hAnsi="Palatino Linotype" w:cs="Palatino Linotype"/>
          <w:b/>
        </w:rPr>
        <w:t xml:space="preserve">Considerandos Cuarto y Quinto </w:t>
      </w:r>
      <w:r>
        <w:rPr>
          <w:rFonts w:ascii="Palatino Linotype" w:eastAsia="Palatino Linotype" w:hAnsi="Palatino Linotype" w:cs="Palatino Linotype"/>
        </w:rPr>
        <w:t>de esta resolución, de lo siguiente:</w:t>
      </w:r>
      <w:r>
        <w:rPr>
          <w:rFonts w:ascii="Palatino Linotype" w:eastAsia="Palatino Linotype" w:hAnsi="Palatino Linotype" w:cs="Palatino Linotype"/>
          <w:b/>
        </w:rPr>
        <w:t xml:space="preserve"> </w:t>
      </w:r>
    </w:p>
    <w:p w14:paraId="2DE7F90D" w14:textId="77777777" w:rsidR="00593553" w:rsidRDefault="00354D12">
      <w:pPr>
        <w:pBdr>
          <w:top w:val="nil"/>
          <w:left w:val="nil"/>
          <w:bottom w:val="nil"/>
          <w:right w:val="nil"/>
          <w:between w:val="nil"/>
        </w:pBdr>
        <w:spacing w:before="240" w:after="240"/>
        <w:ind w:left="567"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Documento o documentos en donde consten los nombres, remuneraciones, antigüedad y áreas de adscripción de los servidores públicos sindicalizados que se encuentran laborando para el Sujeto Obligado</w:t>
      </w:r>
      <w:r>
        <w:rPr>
          <w:rFonts w:ascii="Palatino Linotype" w:eastAsia="Palatino Linotype" w:hAnsi="Palatino Linotype" w:cs="Palatino Linotype"/>
          <w:color w:val="000000"/>
          <w:sz w:val="22"/>
          <w:szCs w:val="22"/>
        </w:rPr>
        <w:t>,</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sz w:val="22"/>
          <w:szCs w:val="22"/>
        </w:rPr>
        <w:t>vigentes al</w:t>
      </w:r>
      <w:r>
        <w:rPr>
          <w:rFonts w:ascii="Palatino Linotype" w:eastAsia="Palatino Linotype" w:hAnsi="Palatino Linotype" w:cs="Palatino Linotype"/>
          <w:i/>
          <w:color w:val="000000"/>
          <w:sz w:val="22"/>
          <w:szCs w:val="22"/>
        </w:rPr>
        <w:t xml:space="preserve"> diez de enero de dos mil veintidós.</w:t>
      </w:r>
    </w:p>
    <w:p w14:paraId="374A2A69" w14:textId="77777777" w:rsidR="00593553" w:rsidRDefault="00354D12">
      <w:pPr>
        <w:spacing w:before="240" w:after="240"/>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w:t>
      </w:r>
      <w:proofErr w:type="gramStart"/>
      <w:r>
        <w:rPr>
          <w:rFonts w:ascii="Palatino Linotype" w:eastAsia="Palatino Linotype" w:hAnsi="Palatino Linotype" w:cs="Palatino Linotype"/>
          <w:i/>
          <w:sz w:val="22"/>
          <w:szCs w:val="22"/>
        </w:rPr>
        <w:t xml:space="preserve">del  </w:t>
      </w:r>
      <w:r>
        <w:rPr>
          <w:rFonts w:ascii="Palatino Linotype" w:eastAsia="Palatino Linotype" w:hAnsi="Palatino Linotype" w:cs="Palatino Linotype"/>
          <w:b/>
          <w:i/>
          <w:sz w:val="22"/>
          <w:szCs w:val="22"/>
        </w:rPr>
        <w:t>Recurrente</w:t>
      </w:r>
      <w:proofErr w:type="gramEnd"/>
      <w:r>
        <w:rPr>
          <w:rFonts w:ascii="Palatino Linotype" w:eastAsia="Palatino Linotype" w:hAnsi="Palatino Linotype" w:cs="Palatino Linotype"/>
          <w:i/>
          <w:sz w:val="22"/>
          <w:szCs w:val="22"/>
        </w:rPr>
        <w:t>.</w:t>
      </w:r>
    </w:p>
    <w:p w14:paraId="3349CAF2" w14:textId="77777777" w:rsidR="00593553" w:rsidRDefault="00354D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w:t>
      </w:r>
      <w:r>
        <w:rPr>
          <w:rFonts w:ascii="Palatino Linotype" w:eastAsia="Palatino Linotype" w:hAnsi="Palatino Linotype" w:cs="Palatino Linotype"/>
        </w:rPr>
        <w:t>Notifíquese vía</w:t>
      </w:r>
      <w:r>
        <w:rPr>
          <w:rFonts w:ascii="Palatino Linotype" w:eastAsia="Palatino Linotype" w:hAnsi="Palatino Linotype" w:cs="Palatino Linotype"/>
          <w:b/>
        </w:rPr>
        <w:t xml:space="preserve"> Sistema de Acceso a la Información Mexiquense (SAIMEX), </w:t>
      </w:r>
      <w:r>
        <w:rPr>
          <w:rFonts w:ascii="Palatino Linotype" w:eastAsia="Palatino Linotype" w:hAnsi="Palatino Linotype" w:cs="Palatino Linotype"/>
        </w:rPr>
        <w:t xml:space="preserve">al Responsable de la Unidad de Transparencia del Sujeto Obligado la presente resolución, para que conforme a los artículo 186, último párrafo y 189, </w:t>
      </w:r>
      <w:r>
        <w:rPr>
          <w:rFonts w:ascii="Palatino Linotype" w:eastAsia="Palatino Linotype" w:hAnsi="Palatino Linotype" w:cs="Palatino Linotype"/>
        </w:rPr>
        <w:lastRenderedPageBreak/>
        <w:t>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p>
    <w:p w14:paraId="30FB86B9" w14:textId="77777777" w:rsidR="00593553" w:rsidRDefault="00354D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C6C34C2" w14:textId="77777777" w:rsidR="00593553" w:rsidRDefault="00354D12">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Quinto.  Notifíquese, al recurrente vía Sistema de Acceso a la Información Mexiquense (SAIMEX), </w:t>
      </w:r>
      <w:r>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r>
        <w:rPr>
          <w:rFonts w:ascii="Palatino Linotype" w:eastAsia="Palatino Linotype" w:hAnsi="Palatino Linotype" w:cs="Palatino Linotype"/>
          <w:b/>
        </w:rPr>
        <w:t>.</w:t>
      </w:r>
    </w:p>
    <w:p w14:paraId="1E30D03E" w14:textId="584E9879" w:rsidR="00593553" w:rsidRDefault="00354D12">
      <w:pPr>
        <w:spacing w:before="240" w:after="240" w:line="360" w:lineRule="auto"/>
        <w:jc w:val="both"/>
        <w:rPr>
          <w:rFonts w:ascii="Palatino Linotype" w:eastAsia="Palatino Linotype" w:hAnsi="Palatino Linotype" w:cs="Palatino Linotype"/>
        </w:rPr>
        <w:sectPr w:rsidR="00593553">
          <w:headerReference w:type="default" r:id="rId43"/>
          <w:footerReference w:type="default" r:id="rId44"/>
          <w:headerReference w:type="first" r:id="rId45"/>
          <w:footerReference w:type="first" r:id="rId46"/>
          <w:pgSz w:w="12240" w:h="15840"/>
          <w:pgMar w:top="1417" w:right="1750" w:bottom="1417" w:left="1701" w:header="708" w:footer="708" w:gutter="0"/>
          <w:pgNumType w:start="1"/>
          <w:cols w:space="720"/>
          <w:titlePg/>
        </w:sectPr>
      </w:pPr>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w:t>
      </w:r>
      <w:r w:rsidR="003D5EB5">
        <w:rPr>
          <w:rFonts w:ascii="Palatino Linotype" w:eastAsia="Palatino Linotype" w:hAnsi="Palatino Linotype" w:cs="Palatino Linotype"/>
        </w:rPr>
        <w:t xml:space="preserve">MARÍA DEL ROSARIO MEJÍA AYALA; </w:t>
      </w:r>
      <w:r>
        <w:rPr>
          <w:rFonts w:ascii="Palatino Linotype" w:eastAsia="Palatino Linotype" w:hAnsi="Palatino Linotype" w:cs="Palatino Linotype"/>
        </w:rPr>
        <w:t>SHARON CRISTINA MORALES MARTÍNEZ,  LUIS GUSTAVO PARRA NORIEGA Y GUADALUPE RAMÍREZ PEÑA; EN LA DÉCIMO NOVENA SESIÓN ORDINARIA CELEBRADA EL VEINTICINCO DE MAYO DEL DOS MIL VEINTIDÓS, ANTE EL SECRETARIO TÉCNICO DEL PLENO, ALEXIS TAPIA RAMÍREZ.</w:t>
      </w:r>
    </w:p>
    <w:p w14:paraId="51B1A53A" w14:textId="77777777" w:rsidR="00593553" w:rsidRDefault="00593553">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14:paraId="271C7F95" w14:textId="77777777" w:rsidR="00593553" w:rsidRDefault="00593553">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14:paraId="0B5744FC" w14:textId="77777777" w:rsidR="00593553" w:rsidRDefault="00593553">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sectPr w:rsidR="00593553">
      <w:headerReference w:type="first" r:id="rId47"/>
      <w:pgSz w:w="12240" w:h="15840"/>
      <w:pgMar w:top="1417" w:right="1701" w:bottom="1417" w:left="1701"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CBE08" w14:textId="77777777" w:rsidR="0035415F" w:rsidRDefault="0035415F">
      <w:r>
        <w:separator/>
      </w:r>
    </w:p>
  </w:endnote>
  <w:endnote w:type="continuationSeparator" w:id="0">
    <w:p w14:paraId="2234B26A" w14:textId="77777777" w:rsidR="0035415F" w:rsidRDefault="00354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59CE2" w14:textId="77777777" w:rsidR="00593553" w:rsidRDefault="00354D1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4</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49</w:t>
    </w:r>
    <w:r>
      <w:rPr>
        <w:rFonts w:ascii="Arial" w:eastAsia="Arial" w:hAnsi="Arial" w:cs="Arial"/>
        <w:b/>
        <w:color w:val="000000"/>
        <w:sz w:val="20"/>
        <w:szCs w:val="20"/>
      </w:rPr>
      <w:fldChar w:fldCharType="end"/>
    </w:r>
  </w:p>
  <w:p w14:paraId="7AE053FA" w14:textId="77777777" w:rsidR="00593553" w:rsidRDefault="00593553">
    <w:pPr>
      <w:pBdr>
        <w:top w:val="nil"/>
        <w:left w:val="nil"/>
        <w:bottom w:val="nil"/>
        <w:right w:val="nil"/>
        <w:between w:val="nil"/>
      </w:pBdr>
      <w:tabs>
        <w:tab w:val="center" w:pos="4252"/>
        <w:tab w:val="right" w:pos="8504"/>
      </w:tabs>
      <w:rPr>
        <w:color w:val="000000"/>
      </w:rPr>
    </w:pPr>
  </w:p>
  <w:p w14:paraId="0B02A1C6" w14:textId="77777777" w:rsidR="00593553" w:rsidRDefault="00593553">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0A772" w14:textId="77777777" w:rsidR="00593553" w:rsidRDefault="00354D1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49</w:t>
    </w:r>
    <w:r>
      <w:rPr>
        <w:rFonts w:ascii="Arial" w:eastAsia="Arial" w:hAnsi="Arial" w:cs="Arial"/>
        <w:b/>
        <w:color w:val="000000"/>
        <w:sz w:val="20"/>
        <w:szCs w:val="20"/>
      </w:rPr>
      <w:fldChar w:fldCharType="end"/>
    </w:r>
  </w:p>
  <w:p w14:paraId="62A46F78" w14:textId="77777777" w:rsidR="00593553" w:rsidRDefault="00593553">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B213D" w14:textId="77777777" w:rsidR="0035415F" w:rsidRDefault="0035415F">
      <w:r>
        <w:separator/>
      </w:r>
    </w:p>
  </w:footnote>
  <w:footnote w:type="continuationSeparator" w:id="0">
    <w:p w14:paraId="047640D2" w14:textId="77777777" w:rsidR="0035415F" w:rsidRDefault="0035415F">
      <w:r>
        <w:continuationSeparator/>
      </w:r>
    </w:p>
  </w:footnote>
  <w:footnote w:id="1">
    <w:p w14:paraId="32AC414F" w14:textId="77777777" w:rsidR="00593553" w:rsidRDefault="00354D12">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15523CC2" w14:textId="77777777" w:rsidR="00593553" w:rsidRDefault="00354D1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83428" w14:textId="77777777" w:rsidR="00593553" w:rsidRDefault="00354D12">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69D807DB" wp14:editId="1FB24456">
          <wp:simplePos x="0" y="0"/>
          <wp:positionH relativeFrom="column">
            <wp:posOffset>-1080131</wp:posOffset>
          </wp:positionH>
          <wp:positionV relativeFrom="paragraph">
            <wp:posOffset>-345436</wp:posOffset>
          </wp:positionV>
          <wp:extent cx="7635600" cy="9943200"/>
          <wp:effectExtent l="0" t="0" r="0" b="0"/>
          <wp:wrapNone/>
          <wp:docPr id="7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b"/>
      <w:tblW w:w="6240" w:type="dxa"/>
      <w:tblInd w:w="3746" w:type="dxa"/>
      <w:tblLayout w:type="fixed"/>
      <w:tblLook w:val="0400" w:firstRow="0" w:lastRow="0" w:firstColumn="0" w:lastColumn="0" w:noHBand="0" w:noVBand="1"/>
    </w:tblPr>
    <w:tblGrid>
      <w:gridCol w:w="2553"/>
      <w:gridCol w:w="3687"/>
    </w:tblGrid>
    <w:tr w:rsidR="00593553" w14:paraId="5A9A1174" w14:textId="77777777">
      <w:tc>
        <w:tcPr>
          <w:tcW w:w="2553" w:type="dxa"/>
          <w:vAlign w:val="center"/>
        </w:tcPr>
        <w:p w14:paraId="4AC5D9AB" w14:textId="77777777" w:rsidR="00593553" w:rsidRDefault="00354D1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233C47C5" w14:textId="77777777" w:rsidR="00593553" w:rsidRDefault="00354D1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02279/INFOEM/IP/RR/2022</w:t>
          </w:r>
        </w:p>
      </w:tc>
    </w:tr>
    <w:tr w:rsidR="00593553" w14:paraId="15C4FC1D" w14:textId="77777777">
      <w:trPr>
        <w:trHeight w:val="228"/>
      </w:trPr>
      <w:tc>
        <w:tcPr>
          <w:tcW w:w="2553" w:type="dxa"/>
          <w:vAlign w:val="center"/>
        </w:tcPr>
        <w:p w14:paraId="639C7484" w14:textId="77777777" w:rsidR="00593553" w:rsidRDefault="00354D1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042EE2F1" w14:textId="77777777" w:rsidR="00593553" w:rsidRDefault="00354D12">
          <w:pPr>
            <w:ind w:right="66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Metepec</w:t>
          </w:r>
        </w:p>
      </w:tc>
    </w:tr>
    <w:tr w:rsidR="00593553" w14:paraId="155FB8F8" w14:textId="77777777">
      <w:tc>
        <w:tcPr>
          <w:tcW w:w="2553" w:type="dxa"/>
          <w:vAlign w:val="center"/>
        </w:tcPr>
        <w:p w14:paraId="41089FBB" w14:textId="77777777" w:rsidR="00593553" w:rsidRDefault="00354D1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02E48F72" w14:textId="77777777" w:rsidR="00593553" w:rsidRDefault="00354D12">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447D08D" w14:textId="77777777" w:rsidR="00593553" w:rsidRDefault="00354D12">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p w14:paraId="22185C29" w14:textId="77777777" w:rsidR="00593553" w:rsidRDefault="00593553">
    <w:pPr>
      <w:pBdr>
        <w:top w:val="nil"/>
        <w:left w:val="nil"/>
        <w:bottom w:val="nil"/>
        <w:right w:val="nil"/>
        <w:between w:val="nil"/>
      </w:pBdr>
      <w:tabs>
        <w:tab w:val="center" w:pos="4252"/>
        <w:tab w:val="right" w:pos="8504"/>
        <w:tab w:val="left" w:pos="2326"/>
      </w:tabs>
      <w:rPr>
        <w:rFonts w:ascii="Cambria" w:eastAsia="Cambria" w:hAnsi="Cambria" w:cs="Cambri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A9BFC" w14:textId="77777777" w:rsidR="00593553" w:rsidRDefault="00354D12">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14:anchorId="14F460AD" wp14:editId="7E2D809F">
          <wp:simplePos x="0" y="0"/>
          <wp:positionH relativeFrom="column">
            <wp:posOffset>-1080130</wp:posOffset>
          </wp:positionH>
          <wp:positionV relativeFrom="paragraph">
            <wp:posOffset>-343530</wp:posOffset>
          </wp:positionV>
          <wp:extent cx="7635600" cy="9943200"/>
          <wp:effectExtent l="0" t="0" r="0" b="0"/>
          <wp:wrapNone/>
          <wp:docPr id="7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a"/>
      <w:tblW w:w="6240" w:type="dxa"/>
      <w:tblInd w:w="3685" w:type="dxa"/>
      <w:tblLayout w:type="fixed"/>
      <w:tblLook w:val="0400" w:firstRow="0" w:lastRow="0" w:firstColumn="0" w:lastColumn="0" w:noHBand="0" w:noVBand="1"/>
    </w:tblPr>
    <w:tblGrid>
      <w:gridCol w:w="2553"/>
      <w:gridCol w:w="3687"/>
    </w:tblGrid>
    <w:tr w:rsidR="00593553" w14:paraId="13857120" w14:textId="77777777">
      <w:tc>
        <w:tcPr>
          <w:tcW w:w="2553" w:type="dxa"/>
          <w:vAlign w:val="center"/>
        </w:tcPr>
        <w:p w14:paraId="32CF15BF" w14:textId="77777777" w:rsidR="00593553" w:rsidRDefault="00354D1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4D821C53" w14:textId="77777777" w:rsidR="00593553" w:rsidRDefault="00354D1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02279/INFOEM/IP/RR/2022</w:t>
          </w:r>
        </w:p>
      </w:tc>
    </w:tr>
    <w:tr w:rsidR="00593553" w14:paraId="4DF09C62" w14:textId="77777777">
      <w:tc>
        <w:tcPr>
          <w:tcW w:w="2553" w:type="dxa"/>
          <w:vAlign w:val="center"/>
        </w:tcPr>
        <w:p w14:paraId="01518B5B" w14:textId="77777777" w:rsidR="00593553" w:rsidRDefault="00354D1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14:paraId="305BD469" w14:textId="77777777" w:rsidR="00593553" w:rsidRDefault="00593553">
          <w:pPr>
            <w:rPr>
              <w:rFonts w:ascii="Palatino Linotype" w:eastAsia="Palatino Linotype" w:hAnsi="Palatino Linotype" w:cs="Palatino Linotype"/>
              <w:b/>
              <w:sz w:val="22"/>
              <w:szCs w:val="22"/>
            </w:rPr>
          </w:pPr>
        </w:p>
      </w:tc>
    </w:tr>
    <w:tr w:rsidR="00593553" w14:paraId="17A2324B" w14:textId="77777777">
      <w:trPr>
        <w:trHeight w:val="228"/>
      </w:trPr>
      <w:tc>
        <w:tcPr>
          <w:tcW w:w="2553" w:type="dxa"/>
          <w:vAlign w:val="center"/>
        </w:tcPr>
        <w:p w14:paraId="22AC3195" w14:textId="77777777" w:rsidR="00593553" w:rsidRDefault="00354D1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42F6F858" w14:textId="77777777" w:rsidR="00593553" w:rsidRDefault="00354D12">
          <w:pPr>
            <w:ind w:right="7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Metepec</w:t>
          </w:r>
        </w:p>
      </w:tc>
    </w:tr>
    <w:tr w:rsidR="00593553" w14:paraId="5DF38940" w14:textId="77777777">
      <w:tc>
        <w:tcPr>
          <w:tcW w:w="2553" w:type="dxa"/>
          <w:vAlign w:val="center"/>
        </w:tcPr>
        <w:p w14:paraId="4470376B" w14:textId="77777777" w:rsidR="00593553" w:rsidRDefault="00354D1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200AEB59" w14:textId="77777777" w:rsidR="00593553" w:rsidRDefault="00354D12">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2E546DF" w14:textId="77777777" w:rsidR="00593553" w:rsidRDefault="00593553">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482CE" w14:textId="77777777" w:rsidR="00593553" w:rsidRDefault="00354D12">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14:paraId="31FAEF4E" w14:textId="77777777" w:rsidR="00593553" w:rsidRDefault="00593553">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5E48C5"/>
    <w:multiLevelType w:val="multilevel"/>
    <w:tmpl w:val="F108724E"/>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 w15:restartNumberingAfterBreak="0">
    <w:nsid w:val="4B3457E4"/>
    <w:multiLevelType w:val="multilevel"/>
    <w:tmpl w:val="25FCAA0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3553"/>
    <w:rsid w:val="002E4F23"/>
    <w:rsid w:val="0035415F"/>
    <w:rsid w:val="00354D12"/>
    <w:rsid w:val="003D5EB5"/>
    <w:rsid w:val="00593553"/>
    <w:rsid w:val="008D4A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69820"/>
  <w15:docId w15:val="{892848C4-4C37-4BB7-9C79-2A2BC1709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7C9"/>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776B4"/>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character" w:customStyle="1" w:styleId="Ttulo3Car">
    <w:name w:val="Título 3 Car"/>
    <w:basedOn w:val="Fuentedeprrafopredeter"/>
    <w:link w:val="Ttulo3"/>
    <w:uiPriority w:val="9"/>
    <w:rsid w:val="00A776B4"/>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A776B4"/>
    <w:pPr>
      <w:ind w:left="283" w:hanging="283"/>
      <w:contextualSpacing/>
    </w:pPr>
  </w:style>
  <w:style w:type="paragraph" w:styleId="Lista2">
    <w:name w:val="List 2"/>
    <w:basedOn w:val="Normal"/>
    <w:uiPriority w:val="99"/>
    <w:unhideWhenUsed/>
    <w:rsid w:val="00A776B4"/>
    <w:pPr>
      <w:ind w:left="566" w:hanging="283"/>
      <w:contextualSpacing/>
    </w:pPr>
  </w:style>
  <w:style w:type="paragraph" w:styleId="Lista3">
    <w:name w:val="List 3"/>
    <w:basedOn w:val="Normal"/>
    <w:uiPriority w:val="99"/>
    <w:unhideWhenUsed/>
    <w:rsid w:val="00A776B4"/>
    <w:pPr>
      <w:ind w:left="849" w:hanging="283"/>
      <w:contextualSpacing/>
    </w:pPr>
  </w:style>
  <w:style w:type="paragraph" w:styleId="Textoindependiente">
    <w:name w:val="Body Text"/>
    <w:basedOn w:val="Normal"/>
    <w:link w:val="TextoindependienteCar"/>
    <w:uiPriority w:val="99"/>
    <w:unhideWhenUsed/>
    <w:rsid w:val="00A776B4"/>
    <w:pPr>
      <w:spacing w:after="120"/>
    </w:pPr>
  </w:style>
  <w:style w:type="character" w:customStyle="1" w:styleId="TextoindependienteCar">
    <w:name w:val="Texto independiente Car"/>
    <w:basedOn w:val="Fuentedeprrafopredeter"/>
    <w:link w:val="Textoindependiente"/>
    <w:uiPriority w:val="99"/>
    <w:rsid w:val="00A776B4"/>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A776B4"/>
    <w:pPr>
      <w:spacing w:after="120"/>
      <w:ind w:left="283"/>
    </w:pPr>
  </w:style>
  <w:style w:type="character" w:customStyle="1" w:styleId="SangradetextonormalCar">
    <w:name w:val="Sangría de texto normal Car"/>
    <w:basedOn w:val="Fuentedeprrafopredeter"/>
    <w:link w:val="Sangradetextonormal"/>
    <w:uiPriority w:val="99"/>
    <w:rsid w:val="00A776B4"/>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A776B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776B4"/>
    <w:rPr>
      <w:rFonts w:ascii="Times New Roman" w:eastAsia="Times New Roman" w:hAnsi="Times New Roman" w:cs="Times New Roman"/>
      <w:lang w:val="es-ES"/>
    </w:rPr>
  </w:style>
  <w:style w:type="paragraph" w:styleId="Textosinformato">
    <w:name w:val="Plain Text"/>
    <w:basedOn w:val="Normal"/>
    <w:link w:val="TextosinformatoCar"/>
    <w:rsid w:val="00B67939"/>
    <w:rPr>
      <w:rFonts w:ascii="Courier New" w:hAnsi="Courier New"/>
      <w:sz w:val="20"/>
      <w:szCs w:val="20"/>
    </w:rPr>
  </w:style>
  <w:style w:type="character" w:customStyle="1" w:styleId="TextosinformatoCar">
    <w:name w:val="Texto sin formato Car"/>
    <w:basedOn w:val="Fuentedeprrafopredeter"/>
    <w:link w:val="Textosinformato"/>
    <w:rsid w:val="00B67939"/>
    <w:rPr>
      <w:rFonts w:ascii="Courier New" w:eastAsia="Times New Roman" w:hAnsi="Courier New" w:cs="Times New Roman"/>
      <w:sz w:val="20"/>
      <w:szCs w:val="20"/>
      <w:lang w:val="es-ES"/>
    </w:rPr>
  </w:style>
  <w:style w:type="paragraph" w:customStyle="1" w:styleId="j">
    <w:name w:val="j"/>
    <w:basedOn w:val="Normal"/>
    <w:rsid w:val="00226723"/>
    <w:pPr>
      <w:spacing w:before="100" w:beforeAutospacing="1" w:after="100" w:afterAutospacing="1"/>
    </w:pPr>
    <w:rPr>
      <w:lang w:val="es-MX"/>
    </w:rPr>
  </w:style>
  <w:style w:type="table" w:styleId="Tabladelista1clara-nfasis1">
    <w:name w:val="List Table 1 Light Accent 1"/>
    <w:basedOn w:val="Tablanormal"/>
    <w:uiPriority w:val="46"/>
    <w:rsid w:val="008E624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2871584667633129156gmail-msofootnotereference">
    <w:name w:val="m_2871584667633129156gmail-msofootnotereference"/>
    <w:basedOn w:val="Fuentedeprrafopredeter"/>
    <w:rsid w:val="00C12849"/>
  </w:style>
  <w:style w:type="character" w:customStyle="1" w:styleId="h">
    <w:name w:val="h"/>
    <w:basedOn w:val="Fuentedeprrafopredeter"/>
    <w:rsid w:val="007F685F"/>
  </w:style>
  <w:style w:type="table" w:customStyle="1" w:styleId="Tabladelista1clara-nfasis12">
    <w:name w:val="Tabla de lista 1 clara - Énfasis 12"/>
    <w:basedOn w:val="Tablanormal"/>
    <w:next w:val="Tabladelista1clara-nfasis1"/>
    <w:uiPriority w:val="46"/>
    <w:rsid w:val="00C04B32"/>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ipervnculovisitado">
    <w:name w:val="FollowedHyperlink"/>
    <w:basedOn w:val="Fuentedeprrafopredeter"/>
    <w:uiPriority w:val="99"/>
    <w:semiHidden/>
    <w:unhideWhenUsed/>
    <w:rsid w:val="002C16E8"/>
    <w:rPr>
      <w:color w:val="800080"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08" w:type="dxa"/>
        <w:right w:w="108"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B001C4"/>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9" Type="http://schemas.openxmlformats.org/officeDocument/2006/relationships/image" Target="media/image10.png"/><Relationship Id="rId3" Type="http://schemas.openxmlformats.org/officeDocument/2006/relationships/styles" Target="styles.xml"/><Relationship Id="rId34" Type="http://schemas.openxmlformats.org/officeDocument/2006/relationships/image" Target="media/image7.png"/><Relationship Id="rId42" Type="http://schemas.openxmlformats.org/officeDocument/2006/relationships/oleObject" Target="embeddings/oleObject9.bin"/><Relationship Id="rId47"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oleObject" Target="embeddings/oleObject2.bin"/><Relationship Id="rId33" Type="http://schemas.openxmlformats.org/officeDocument/2006/relationships/oleObject" Target="embeddings/oleObject5.bin"/><Relationship Id="rId38" Type="http://schemas.openxmlformats.org/officeDocument/2006/relationships/image" Target="media/image9.png"/><Relationship Id="rId46"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oleObject" Target="embeddings/oleObject3.bin"/><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32" Type="http://schemas.openxmlformats.org/officeDocument/2006/relationships/image" Target="media/image6.png"/><Relationship Id="rId37" Type="http://schemas.openxmlformats.org/officeDocument/2006/relationships/oleObject" Target="embeddings/oleObject7.bin"/><Relationship Id="rId40" Type="http://schemas.openxmlformats.org/officeDocument/2006/relationships/oleObject" Target="embeddings/oleObject8.bin"/><Relationship Id="rId45" Type="http://schemas.openxmlformats.org/officeDocument/2006/relationships/header" Target="header2.xml"/><Relationship Id="rId5" Type="http://schemas.openxmlformats.org/officeDocument/2006/relationships/webSettings" Target="webSettings.xml"/><Relationship Id="rId28" Type="http://schemas.openxmlformats.org/officeDocument/2006/relationships/image" Target="media/image4.png"/><Relationship Id="rId36" Type="http://schemas.openxmlformats.org/officeDocument/2006/relationships/image" Target="media/image8.png"/><Relationship Id="rId49"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oleObject" Target="embeddings/oleObject4.bin"/><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27" Type="http://schemas.openxmlformats.org/officeDocument/2006/relationships/image" Target="media/image11.png"/><Relationship Id="rId30" Type="http://schemas.openxmlformats.org/officeDocument/2006/relationships/image" Target="media/image5.png"/><Relationship Id="rId35" Type="http://schemas.openxmlformats.org/officeDocument/2006/relationships/oleObject" Target="embeddings/oleObject6.bin"/><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BHGF/4fCx0jbTGUXKKM/YIBXww==">AMUW2mXYE/dMntQQ0sP9rnry6bE+hYyuJOikGKyF50piCWnNfev6APju7pg5ypVAbTwIgrLKXCuiX+4d2jNz24dscwmhWB+PNJ8RSlKAjEEVvV4fajuPXlDd9KX45a++kfxG/cXP5yYdZdARUe4MrPha6ILnA2Fh7A==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10740</Words>
  <Characters>59074</Characters>
  <Application>Microsoft Office Word</Application>
  <DocSecurity>0</DocSecurity>
  <Lines>492</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User 425</cp:lastModifiedBy>
  <cp:revision>4</cp:revision>
  <cp:lastPrinted>2022-05-30T05:46:00Z</cp:lastPrinted>
  <dcterms:created xsi:type="dcterms:W3CDTF">2022-05-27T18:15:00Z</dcterms:created>
  <dcterms:modified xsi:type="dcterms:W3CDTF">2022-05-30T05:46:00Z</dcterms:modified>
</cp:coreProperties>
</file>