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7DAD4" w14:textId="2C6B2272"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72CF8">
        <w:rPr>
          <w:rFonts w:ascii="Palatino Linotype" w:eastAsia="Times New Roman" w:hAnsi="Palatino Linotype" w:cs="Arial"/>
          <w:color w:val="000000"/>
          <w:sz w:val="24"/>
          <w:szCs w:val="24"/>
          <w:lang w:eastAsia="es-MX"/>
        </w:rPr>
        <w:t xml:space="preserve">seis de julio de dos mil veintidós. </w:t>
      </w:r>
    </w:p>
    <w:p w14:paraId="597EF711" w14:textId="708C0193" w:rsidR="00972CF8" w:rsidRPr="00972CF8" w:rsidRDefault="00B433C9" w:rsidP="00B433C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A339E6">
        <w:rPr>
          <w:rFonts w:ascii="Palatino Linotype" w:hAnsi="Palatino Linotype" w:cs="Arial"/>
          <w:b/>
          <w:bCs/>
          <w:sz w:val="24"/>
        </w:rPr>
        <w:t>0</w:t>
      </w:r>
      <w:r w:rsidR="00972CF8">
        <w:rPr>
          <w:rFonts w:ascii="Palatino Linotype" w:hAnsi="Palatino Linotype" w:cs="Arial"/>
          <w:b/>
          <w:bCs/>
          <w:sz w:val="24"/>
        </w:rPr>
        <w:t>6305</w:t>
      </w:r>
      <w:r w:rsidR="00A339E6">
        <w:rPr>
          <w:rFonts w:ascii="Palatino Linotype" w:hAnsi="Palatino Linotype" w:cs="Arial"/>
          <w:b/>
          <w:bCs/>
          <w:sz w:val="24"/>
        </w:rPr>
        <w:t>/INFOEM/IP/RR/2022</w:t>
      </w:r>
      <w:r w:rsidR="005F2C76">
        <w:rPr>
          <w:rFonts w:ascii="Palatino Linotype" w:hAnsi="Palatino Linotype" w:cs="Arial"/>
          <w:b/>
          <w:bCs/>
          <w:sz w:val="24"/>
        </w:rPr>
        <w:t xml:space="preserve">, </w:t>
      </w:r>
      <w:r w:rsidR="00C01E1C">
        <w:rPr>
          <w:rFonts w:ascii="Palatino Linotype" w:hAnsi="Palatino Linotype" w:cs="Arial"/>
          <w:sz w:val="24"/>
        </w:rPr>
        <w:t xml:space="preserve">interpuesto por </w:t>
      </w:r>
      <w:r w:rsidR="00972CF8">
        <w:rPr>
          <w:rFonts w:ascii="Palatino Linotype" w:hAnsi="Palatino Linotype" w:cs="Arial"/>
          <w:sz w:val="24"/>
        </w:rPr>
        <w:t xml:space="preserve">la </w:t>
      </w:r>
      <w:r w:rsidR="00530DCD">
        <w:rPr>
          <w:rFonts w:ascii="Palatino Linotype" w:hAnsi="Palatino Linotype" w:cs="Arial"/>
          <w:b/>
          <w:sz w:val="24"/>
        </w:rPr>
        <w:t>XXXXXXXXXXXXXXX</w:t>
      </w:r>
      <w:r w:rsidR="00972CF8">
        <w:rPr>
          <w:rFonts w:ascii="Palatino Linotype" w:hAnsi="Palatino Linotype" w:cs="Arial"/>
          <w:b/>
          <w:sz w:val="24"/>
        </w:rPr>
        <w:t xml:space="preserve">, </w:t>
      </w:r>
      <w:r w:rsidR="00972CF8">
        <w:rPr>
          <w:rFonts w:ascii="Palatino Linotype" w:hAnsi="Palatino Linotype" w:cs="Arial"/>
          <w:sz w:val="24"/>
        </w:rPr>
        <w:t xml:space="preserve">en lo sucesivo </w:t>
      </w:r>
      <w:r w:rsidR="00972CF8">
        <w:rPr>
          <w:rFonts w:ascii="Palatino Linotype" w:hAnsi="Palatino Linotype" w:cs="Arial"/>
          <w:b/>
          <w:sz w:val="24"/>
        </w:rPr>
        <w:t xml:space="preserve">La Recurrente, </w:t>
      </w:r>
      <w:r w:rsidR="00972CF8">
        <w:rPr>
          <w:rFonts w:ascii="Palatino Linotype" w:hAnsi="Palatino Linotype" w:cs="Arial"/>
          <w:sz w:val="24"/>
        </w:rPr>
        <w:t xml:space="preserve">en contra de la respuesta del </w:t>
      </w:r>
      <w:r w:rsidR="00972CF8">
        <w:rPr>
          <w:rFonts w:ascii="Palatino Linotype" w:hAnsi="Palatino Linotype" w:cs="Arial"/>
          <w:b/>
          <w:sz w:val="24"/>
        </w:rPr>
        <w:t xml:space="preserve">Ayuntamiento de Toluca, </w:t>
      </w:r>
      <w:r w:rsidR="00972CF8">
        <w:rPr>
          <w:rFonts w:ascii="Palatino Linotype" w:hAnsi="Palatino Linotype" w:cs="Arial"/>
          <w:sz w:val="24"/>
        </w:rPr>
        <w:t xml:space="preserve">en lo subsecuente </w:t>
      </w:r>
      <w:r w:rsidR="00972CF8">
        <w:rPr>
          <w:rFonts w:ascii="Palatino Linotype" w:hAnsi="Palatino Linotype" w:cs="Arial"/>
          <w:b/>
          <w:sz w:val="24"/>
        </w:rPr>
        <w:t xml:space="preserve">El Sujeto Obligado, </w:t>
      </w:r>
      <w:r w:rsidR="00972CF8">
        <w:rPr>
          <w:rFonts w:ascii="Palatino Linotype" w:hAnsi="Palatino Linotype" w:cs="Arial"/>
          <w:sz w:val="24"/>
        </w:rPr>
        <w:t xml:space="preserve">se procede a dictar la presente resolución. </w:t>
      </w:r>
    </w:p>
    <w:p w14:paraId="1DAD910F" w14:textId="77777777" w:rsidR="00972CF8" w:rsidRDefault="00972CF8" w:rsidP="00B433C9">
      <w:pPr>
        <w:spacing w:before="240" w:after="240" w:line="360" w:lineRule="auto"/>
        <w:jc w:val="center"/>
        <w:rPr>
          <w:rFonts w:ascii="Palatino Linotype" w:hAnsi="Palatino Linotype"/>
          <w:b/>
          <w:sz w:val="28"/>
        </w:rPr>
      </w:pPr>
    </w:p>
    <w:p w14:paraId="4094D3E4" w14:textId="77777777"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26A2B4AF" w14:textId="11089D69" w:rsidR="00972CF8" w:rsidRPr="00972CF8"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972CF8">
        <w:rPr>
          <w:rFonts w:ascii="Palatino Linotype" w:hAnsi="Palatino Linotype" w:cs="Arial"/>
          <w:sz w:val="24"/>
        </w:rPr>
        <w:t xml:space="preserve">veintidós de marzo de dos mil veintidós, </w:t>
      </w:r>
      <w:r w:rsidR="00972CF8">
        <w:rPr>
          <w:rFonts w:ascii="Palatino Linotype" w:hAnsi="Palatino Linotype" w:cs="Arial"/>
          <w:b/>
          <w:sz w:val="24"/>
        </w:rPr>
        <w:t xml:space="preserve">El Recurrente, </w:t>
      </w:r>
      <w:r w:rsidR="00972CF8">
        <w:rPr>
          <w:rFonts w:ascii="Palatino Linotype" w:hAnsi="Palatino Linotype" w:cs="Arial"/>
          <w:sz w:val="24"/>
        </w:rPr>
        <w:t xml:space="preserve">presentó a través del Sistema de Acceso a la Información Mexiquense </w:t>
      </w:r>
      <w:r w:rsidR="00972CF8">
        <w:rPr>
          <w:rFonts w:ascii="Palatino Linotype" w:hAnsi="Palatino Linotype" w:cs="Arial"/>
          <w:b/>
          <w:sz w:val="24"/>
        </w:rPr>
        <w:t xml:space="preserve">(SAIMEX) </w:t>
      </w:r>
      <w:r w:rsidR="00972CF8">
        <w:rPr>
          <w:rFonts w:ascii="Palatino Linotype" w:hAnsi="Palatino Linotype" w:cs="Arial"/>
          <w:sz w:val="24"/>
        </w:rPr>
        <w:t xml:space="preserve">ante </w:t>
      </w:r>
      <w:r w:rsidR="00972CF8">
        <w:rPr>
          <w:rFonts w:ascii="Palatino Linotype" w:hAnsi="Palatino Linotype" w:cs="Arial"/>
          <w:b/>
          <w:sz w:val="24"/>
        </w:rPr>
        <w:t>El Sujeto Obligado</w:t>
      </w:r>
      <w:r w:rsidR="00972CF8">
        <w:rPr>
          <w:rFonts w:ascii="Palatino Linotype" w:hAnsi="Palatino Linotype" w:cs="Arial"/>
          <w:sz w:val="24"/>
        </w:rPr>
        <w:t xml:space="preserve">, solicitud de acceso a la información pública, registrada bajo el número de expediente </w:t>
      </w:r>
      <w:r w:rsidR="00972CF8">
        <w:rPr>
          <w:rFonts w:ascii="Palatino Linotype" w:hAnsi="Palatino Linotype" w:cs="Arial"/>
          <w:b/>
          <w:sz w:val="24"/>
        </w:rPr>
        <w:t xml:space="preserve">00748/TOLUCA/IP/2022, </w:t>
      </w:r>
      <w:r w:rsidR="00972CF8">
        <w:rPr>
          <w:rFonts w:ascii="Palatino Linotype" w:hAnsi="Palatino Linotype" w:cs="Arial"/>
          <w:sz w:val="24"/>
        </w:rPr>
        <w:t xml:space="preserve">mediante la cual solicitó información en el tenor siguiente: </w:t>
      </w:r>
    </w:p>
    <w:p w14:paraId="0099AAAC" w14:textId="2B779889" w:rsidR="00972CF8" w:rsidRPr="00972CF8" w:rsidRDefault="00972CF8" w:rsidP="00972CF8">
      <w:pPr>
        <w:pStyle w:val="Citas"/>
        <w:rPr>
          <w:b/>
          <w:sz w:val="24"/>
        </w:rPr>
      </w:pPr>
      <w:r>
        <w:t xml:space="preserve">“¿Que estrategias han implementado para disminuir el robo de computadoras de vehículos en la colonia Morelos, especialmente en la zona de la Escuela del deporte?” </w:t>
      </w:r>
      <w:r>
        <w:rPr>
          <w:b/>
        </w:rPr>
        <w:t>(Sic)</w:t>
      </w:r>
    </w:p>
    <w:p w14:paraId="19E86044"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2745D23E" w14:textId="75BD5CF5" w:rsidR="00B433C9" w:rsidRDefault="005D3E85" w:rsidP="00B433C9">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262386BB" w14:textId="0012F55C" w:rsidR="00972CF8" w:rsidRDefault="00B433C9" w:rsidP="00EF192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w:t>
      </w:r>
      <w:r w:rsidR="00972CF8">
        <w:rPr>
          <w:rFonts w:ascii="Palatino Linotype" w:hAnsi="Palatino Linotype" w:cs="Arial"/>
          <w:sz w:val="24"/>
          <w:szCs w:val="24"/>
        </w:rPr>
        <w:t xml:space="preserve"> diecinueve de abril de los corrientes, </w:t>
      </w:r>
      <w:r w:rsidR="00972CF8">
        <w:rPr>
          <w:rFonts w:ascii="Palatino Linotype" w:hAnsi="Palatino Linotype" w:cs="Arial"/>
          <w:b/>
          <w:sz w:val="24"/>
          <w:szCs w:val="24"/>
        </w:rPr>
        <w:t xml:space="preserve">El Sujeto Obligado </w:t>
      </w:r>
      <w:r w:rsidR="00972CF8">
        <w:rPr>
          <w:rFonts w:ascii="Palatino Linotype" w:hAnsi="Palatino Linotype" w:cs="Arial"/>
          <w:sz w:val="24"/>
          <w:szCs w:val="24"/>
        </w:rPr>
        <w:t xml:space="preserve">dio respuesta a la solicitud de información en los siguientes términos: </w:t>
      </w:r>
    </w:p>
    <w:p w14:paraId="40FCED4E" w14:textId="091C3304" w:rsidR="00972CF8" w:rsidRPr="00972CF8" w:rsidRDefault="00972CF8" w:rsidP="00972CF8">
      <w:pPr>
        <w:pStyle w:val="Citas"/>
      </w:pPr>
      <w:r w:rsidRPr="00972CF8">
        <w:t>“En respuesta a la solicitud recibida, nos permitimos hacer de su conocimiento que con fundamento en el artículo 53, Fracciones: II, V y VI de la Ley de Transparencia y Acceso a la Información Pública del Estado de México y Municipios, le contestamos que:</w:t>
      </w:r>
    </w:p>
    <w:p w14:paraId="19DDD38F" w14:textId="0BF52FF7" w:rsidR="00972CF8" w:rsidRPr="00972CF8" w:rsidRDefault="00972CF8" w:rsidP="00972CF8">
      <w:pPr>
        <w:pStyle w:val="Citas"/>
        <w:rPr>
          <w:b/>
        </w:rPr>
      </w:pPr>
      <w:r w:rsidRPr="00972CF8">
        <w:t>En atención a la solicitud de información número 00448/TOLUCA/IP/2022, me permito adjuntar al presente la respuesta correspondiente. Sin más por el momento, le envío un cordial saludo</w:t>
      </w:r>
      <w:r>
        <w:t xml:space="preserve">” </w:t>
      </w:r>
      <w:r>
        <w:rPr>
          <w:b/>
        </w:rPr>
        <w:t>(Sic)</w:t>
      </w:r>
    </w:p>
    <w:p w14:paraId="4228A3ED" w14:textId="1A080302" w:rsidR="00972CF8" w:rsidRPr="00972CF8" w:rsidRDefault="00972CF8" w:rsidP="00EF192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los documentos electrónicos </w:t>
      </w:r>
      <w:r>
        <w:rPr>
          <w:rFonts w:ascii="Palatino Linotype" w:hAnsi="Palatino Linotype" w:cs="Arial"/>
          <w:b/>
          <w:sz w:val="24"/>
          <w:szCs w:val="24"/>
        </w:rPr>
        <w:t xml:space="preserve">“Respuesta 748_2022.pdf” </w:t>
      </w:r>
      <w:r>
        <w:rPr>
          <w:rFonts w:ascii="Palatino Linotype" w:hAnsi="Palatino Linotype" w:cs="Arial"/>
          <w:sz w:val="24"/>
          <w:szCs w:val="24"/>
        </w:rPr>
        <w:t xml:space="preserve">y </w:t>
      </w:r>
      <w:r>
        <w:rPr>
          <w:rFonts w:ascii="Palatino Linotype" w:hAnsi="Palatino Linotype" w:cs="Arial"/>
          <w:b/>
          <w:sz w:val="24"/>
          <w:szCs w:val="24"/>
        </w:rPr>
        <w:t xml:space="preserve">“Centésima Octogésima Tercera Extraordinaria 22.pdf”, </w:t>
      </w:r>
      <w:r>
        <w:rPr>
          <w:rFonts w:ascii="Palatino Linotype" w:hAnsi="Palatino Linotype" w:cs="Arial"/>
          <w:sz w:val="24"/>
          <w:szCs w:val="24"/>
        </w:rPr>
        <w:t xml:space="preserve">mismos que se tienen por reproducidos en virtud de que serán materia de análisis en el considerando respectivo. </w:t>
      </w:r>
    </w:p>
    <w:p w14:paraId="2C2585BA" w14:textId="77777777" w:rsidR="00972CF8" w:rsidRPr="00972CF8" w:rsidRDefault="00972CF8" w:rsidP="00EF1925">
      <w:pPr>
        <w:spacing w:before="240" w:line="360" w:lineRule="auto"/>
        <w:jc w:val="both"/>
        <w:rPr>
          <w:rFonts w:ascii="Palatino Linotype" w:hAnsi="Palatino Linotype" w:cs="Arial"/>
          <w:sz w:val="24"/>
          <w:szCs w:val="24"/>
        </w:rPr>
      </w:pPr>
    </w:p>
    <w:p w14:paraId="259B6E09" w14:textId="754D27EB" w:rsidR="00B433C9" w:rsidRDefault="005D3E85"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3B00CEFA" w14:textId="58E137EA" w:rsidR="00972CF8" w:rsidRPr="00972CF8"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El Sujeto Obligado, 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81029">
        <w:rPr>
          <w:rFonts w:ascii="Palatino Linotype" w:hAnsi="Palatino Linotype" w:cs="Arial"/>
          <w:sz w:val="24"/>
          <w:szCs w:val="24"/>
        </w:rPr>
        <w:t xml:space="preserve"> </w:t>
      </w:r>
      <w:r w:rsidR="00972CF8">
        <w:rPr>
          <w:rFonts w:ascii="Palatino Linotype" w:hAnsi="Palatino Linotype" w:cs="Arial"/>
          <w:sz w:val="24"/>
          <w:szCs w:val="24"/>
        </w:rPr>
        <w:t xml:space="preserve">veintiuno de abril del presente, el cual fue registrado en el sistema electrónico con el expediente número </w:t>
      </w:r>
      <w:r w:rsidR="00972CF8">
        <w:rPr>
          <w:rFonts w:ascii="Palatino Linotype" w:hAnsi="Palatino Linotype" w:cs="Arial"/>
          <w:b/>
          <w:sz w:val="24"/>
          <w:szCs w:val="24"/>
        </w:rPr>
        <w:t xml:space="preserve">06305/INFOEM/IP/RR/2022, </w:t>
      </w:r>
      <w:r w:rsidR="00972CF8">
        <w:rPr>
          <w:rFonts w:ascii="Palatino Linotype" w:hAnsi="Palatino Linotype" w:cs="Arial"/>
          <w:sz w:val="24"/>
          <w:szCs w:val="24"/>
        </w:rPr>
        <w:t xml:space="preserve">en el cual arguye las siguientes manifestaciones: </w:t>
      </w: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5C0448BD" w14:textId="61E68749" w:rsidR="00B433C9" w:rsidRPr="00712E3A" w:rsidRDefault="00B433C9" w:rsidP="005C57BA">
      <w:pPr>
        <w:pStyle w:val="Citas"/>
        <w:tabs>
          <w:tab w:val="left" w:pos="3750"/>
        </w:tabs>
        <w:rPr>
          <w:b/>
        </w:rPr>
      </w:pPr>
      <w:r w:rsidRPr="00972CF8">
        <w:t>“</w:t>
      </w:r>
      <w:r w:rsidR="00972CF8" w:rsidRPr="00972CF8">
        <w:t>La respuesta proporcionada por la Titular de la Unidad de Transparencia</w:t>
      </w:r>
      <w:r w:rsidRPr="00972CF8">
        <w:t>”</w:t>
      </w:r>
      <w:r w:rsidRPr="003838B4">
        <w:t xml:space="preserve"> </w:t>
      </w:r>
      <w:r w:rsidRPr="00D43CF1">
        <w:t>[</w:t>
      </w:r>
      <w:r w:rsidRPr="00712E3A">
        <w:rPr>
          <w:b/>
        </w:rPr>
        <w:t>Sic]</w:t>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DD14BAC" w14:textId="37D783C2" w:rsidR="00B433C9" w:rsidRPr="00712E3A" w:rsidRDefault="00B433C9" w:rsidP="00E725D5">
      <w:pPr>
        <w:pStyle w:val="Citas"/>
      </w:pPr>
      <w:r w:rsidRPr="00972CF8">
        <w:t>“</w:t>
      </w:r>
      <w:r w:rsidR="00972CF8" w:rsidRPr="00972CF8">
        <w:t>No me entregaron lo que solicite</w:t>
      </w:r>
      <w:r w:rsidRPr="00972CF8">
        <w:t>”</w:t>
      </w:r>
      <w:r w:rsidRPr="00712E3A">
        <w:t xml:space="preserve"> </w:t>
      </w:r>
      <w:r w:rsidRPr="00576D51">
        <w:rPr>
          <w:b/>
        </w:rPr>
        <w:t>[Sic]</w:t>
      </w:r>
    </w:p>
    <w:p w14:paraId="23DC207B" w14:textId="77777777" w:rsidR="00D81029" w:rsidRDefault="00D81029" w:rsidP="00B433C9">
      <w:pPr>
        <w:spacing w:before="240" w:line="360" w:lineRule="auto"/>
        <w:jc w:val="both"/>
        <w:rPr>
          <w:rFonts w:ascii="Palatino Linotype" w:hAnsi="Palatino Linotype" w:cs="Arial"/>
          <w:b/>
          <w:sz w:val="28"/>
        </w:rPr>
      </w:pPr>
    </w:p>
    <w:p w14:paraId="454F7370" w14:textId="235E8749" w:rsidR="00B433C9" w:rsidRDefault="005D3E85"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140C6E7A" w14:textId="4F8E7763" w:rsidR="00712E3A" w:rsidRDefault="00B433C9" w:rsidP="00712E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411E6F">
        <w:rPr>
          <w:rFonts w:ascii="Palatino Linotype" w:hAnsi="Palatino Linotype" w:cs="Arial"/>
          <w:sz w:val="24"/>
          <w:szCs w:val="24"/>
        </w:rPr>
        <w:t xml:space="preserve">Presidente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D81029">
        <w:rPr>
          <w:rFonts w:ascii="Palatino Linotype" w:hAnsi="Palatino Linotype" w:cs="Arial"/>
          <w:sz w:val="24"/>
          <w:szCs w:val="24"/>
        </w:rPr>
        <w:t xml:space="preserve"> </w:t>
      </w:r>
      <w:r w:rsidR="00972CF8">
        <w:rPr>
          <w:rFonts w:ascii="Palatino Linotype" w:hAnsi="Palatino Linotype" w:cs="Arial"/>
          <w:sz w:val="24"/>
          <w:szCs w:val="24"/>
        </w:rPr>
        <w:t xml:space="preserve">veintiséis de abril de los corrientes, </w:t>
      </w:r>
      <w:r w:rsidR="00712E3A">
        <w:rPr>
          <w:rFonts w:ascii="Palatino Linotype" w:hAnsi="Palatino Linotype" w:cs="Arial"/>
          <w:sz w:val="24"/>
          <w:szCs w:val="24"/>
        </w:rPr>
        <w:t>determinándose en él, un plazo de siete días para que las partes manifestaran lo que a su derecho corresponda en términos del numeral ya citado.</w:t>
      </w:r>
    </w:p>
    <w:p w14:paraId="3BF6E92E" w14:textId="77777777" w:rsidR="00712E3A" w:rsidRDefault="00712E3A" w:rsidP="00B433C9">
      <w:pPr>
        <w:spacing w:before="240" w:line="360" w:lineRule="auto"/>
        <w:jc w:val="both"/>
        <w:rPr>
          <w:rFonts w:ascii="Palatino Linotype" w:hAnsi="Palatino Linotype" w:cs="Arial"/>
          <w:sz w:val="24"/>
          <w:szCs w:val="24"/>
        </w:rPr>
      </w:pPr>
    </w:p>
    <w:p w14:paraId="0A5C5FA8" w14:textId="5E166F90" w:rsidR="00B433C9" w:rsidRDefault="005D3E85"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728AD672" w14:textId="4DB55F48" w:rsidR="00D0159B" w:rsidRPr="00D0159B" w:rsidRDefault="00D0159B" w:rsidP="00D0159B">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Pr>
          <w:rFonts w:ascii="Palatino Linotype" w:hAnsi="Palatino Linotype" w:cs="Arial"/>
          <w:b/>
          <w:sz w:val="24"/>
          <w:szCs w:val="24"/>
        </w:rPr>
        <w:t xml:space="preserve">seis de mayo, </w:t>
      </w:r>
      <w:r>
        <w:rPr>
          <w:rFonts w:ascii="Palatino Linotype" w:hAnsi="Palatino Linotype" w:cs="Arial"/>
          <w:sz w:val="24"/>
          <w:szCs w:val="24"/>
        </w:rPr>
        <w:t xml:space="preserve">mismo que fue puesto a la vista el </w:t>
      </w:r>
      <w:r>
        <w:rPr>
          <w:rFonts w:ascii="Palatino Linotype" w:hAnsi="Palatino Linotype" w:cs="Arial"/>
          <w:b/>
          <w:sz w:val="24"/>
          <w:szCs w:val="24"/>
        </w:rPr>
        <w:t xml:space="preserve">catorce de junio de dos mil veintidós. </w:t>
      </w:r>
    </w:p>
    <w:p w14:paraId="42152EDD" w14:textId="77777777" w:rsidR="00D0159B" w:rsidRDefault="00D0159B" w:rsidP="00D0159B">
      <w:pPr>
        <w:spacing w:after="0" w:line="360" w:lineRule="auto"/>
        <w:jc w:val="both"/>
        <w:rPr>
          <w:rFonts w:ascii="Palatino Linotype" w:hAnsi="Palatino Linotype" w:cs="Arial"/>
          <w:sz w:val="24"/>
          <w:szCs w:val="24"/>
        </w:rPr>
      </w:pPr>
    </w:p>
    <w:p w14:paraId="30DC36DA" w14:textId="4D6C7F22" w:rsidR="00D0159B" w:rsidRDefault="00D0159B" w:rsidP="00D0159B">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cual se decretó cierre de instrucción con fecha </w:t>
      </w:r>
      <w:r>
        <w:rPr>
          <w:rFonts w:ascii="Palatino Linotype" w:hAnsi="Palatino Linotype" w:cs="Arial"/>
          <w:b/>
          <w:sz w:val="24"/>
          <w:szCs w:val="24"/>
        </w:rPr>
        <w:t xml:space="preserve">veinte de junio de dos mil veintidós,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565610B2" w14:textId="77777777" w:rsidR="00D0159B" w:rsidRDefault="00D0159B" w:rsidP="00D0159B">
      <w:pPr>
        <w:spacing w:after="0" w:line="360" w:lineRule="auto"/>
        <w:jc w:val="both"/>
        <w:rPr>
          <w:rFonts w:ascii="Palatino Linotype" w:hAnsi="Palatino Linotype" w:cs="Arial"/>
          <w:sz w:val="24"/>
          <w:szCs w:val="24"/>
        </w:rPr>
      </w:pPr>
    </w:p>
    <w:p w14:paraId="0B31049E" w14:textId="2FCB4FB2" w:rsidR="00D0159B" w:rsidRDefault="00D0159B" w:rsidP="00D0159B">
      <w:pPr>
        <w:spacing w:after="0" w:line="360" w:lineRule="auto"/>
        <w:jc w:val="both"/>
        <w:rPr>
          <w:rFonts w:ascii="Palatino Linotype" w:hAnsi="Palatino Linotype" w:cs="Arial"/>
          <w:sz w:val="24"/>
          <w:szCs w:val="24"/>
        </w:rPr>
      </w:pPr>
      <w:r w:rsidRPr="0036654D">
        <w:rPr>
          <w:rFonts w:ascii="Palatino Linotype" w:hAnsi="Palatino Linotype" w:cs="Arial"/>
          <w:sz w:val="24"/>
          <w:szCs w:val="24"/>
        </w:rPr>
        <w:t>Así,  en fecha</w:t>
      </w:r>
      <w:r>
        <w:rPr>
          <w:rFonts w:ascii="Palatino Linotype" w:hAnsi="Palatino Linotype" w:cs="Arial"/>
          <w:sz w:val="24"/>
          <w:szCs w:val="24"/>
        </w:rPr>
        <w:t xml:space="preserve"> </w:t>
      </w:r>
      <w:r>
        <w:rPr>
          <w:rFonts w:ascii="Palatino Linotype" w:hAnsi="Palatino Linotype" w:cs="Arial"/>
          <w:b/>
          <w:sz w:val="24"/>
          <w:szCs w:val="24"/>
        </w:rPr>
        <w:t xml:space="preserve">veinte de junio de dos mil veintidós, </w:t>
      </w:r>
      <w:r>
        <w:rPr>
          <w:rFonts w:ascii="Palatino Linotype" w:hAnsi="Palatino Linotype" w:cs="Arial"/>
          <w:sz w:val="24"/>
          <w:szCs w:val="24"/>
        </w:rPr>
        <w:t xml:space="preserve">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2E1CAC53" w14:textId="77777777" w:rsidR="00737817" w:rsidRPr="001F3B43" w:rsidRDefault="00737817" w:rsidP="0073781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D0BB49C" w14:textId="77777777" w:rsidR="00737817" w:rsidRPr="001F3B43" w:rsidRDefault="00737817" w:rsidP="0073781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651C90F2" w14:textId="77777777" w:rsidR="00737817" w:rsidRPr="001F3B43" w:rsidRDefault="00737817" w:rsidP="0073781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3F190AC" w14:textId="77777777" w:rsidR="00737817" w:rsidRPr="001F3B43" w:rsidRDefault="00737817" w:rsidP="0073781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547DA85" w14:textId="77777777" w:rsidR="00737817" w:rsidRPr="001F3B43" w:rsidRDefault="00737817" w:rsidP="0073781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2096F776" w14:textId="77777777" w:rsidR="00737817" w:rsidRPr="001F3B43" w:rsidRDefault="00737817" w:rsidP="0073781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5AA026DC" w14:textId="77777777" w:rsidR="00737817" w:rsidRPr="001F3B43" w:rsidRDefault="00737817" w:rsidP="0073781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4CFF9A37" w14:textId="77777777" w:rsidR="00737817" w:rsidRPr="001F3B43" w:rsidRDefault="00737817" w:rsidP="0073781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04CC1716" w14:textId="77777777" w:rsidR="00737817" w:rsidRPr="001F3B43" w:rsidRDefault="00737817" w:rsidP="0073781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249E5812" w14:textId="77777777" w:rsidR="00737817" w:rsidRPr="001F3B43" w:rsidRDefault="00737817" w:rsidP="00737817">
      <w:pPr>
        <w:spacing w:line="360" w:lineRule="auto"/>
        <w:jc w:val="both"/>
        <w:rPr>
          <w:rFonts w:ascii="Palatino Linotype" w:hAnsi="Palatino Linotype" w:cstheme="majorHAnsi"/>
          <w:sz w:val="24"/>
          <w:szCs w:val="24"/>
        </w:rPr>
      </w:pPr>
    </w:p>
    <w:p w14:paraId="69A58367" w14:textId="77777777" w:rsidR="00737817" w:rsidRPr="001F3B43" w:rsidRDefault="00737817" w:rsidP="0073781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w:t>
      </w:r>
      <w:r w:rsidRPr="001F3B43">
        <w:rPr>
          <w:rFonts w:ascii="Palatino Linotype" w:hAnsi="Palatino Linotype" w:cstheme="majorHAnsi"/>
          <w:sz w:val="24"/>
          <w:szCs w:val="24"/>
        </w:rPr>
        <w:lastRenderedPageBreak/>
        <w:t>considerarse normal, debe concluirse que es una excluyente de responsabilidad en relación con la actuación del funcionario, como ha acontecido en el caso que nos ocupa.</w:t>
      </w:r>
    </w:p>
    <w:p w14:paraId="0DAEF098" w14:textId="77777777" w:rsidR="00737817" w:rsidRPr="001F3B43" w:rsidRDefault="00737817" w:rsidP="0073781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B50B975" w14:textId="77777777" w:rsidR="00737817" w:rsidRPr="001F3B43" w:rsidRDefault="00737817" w:rsidP="0073781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E786DC" w14:textId="77777777" w:rsidR="00737817" w:rsidRPr="001F3B43" w:rsidRDefault="00737817" w:rsidP="0073781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772D7917" w14:textId="77777777" w:rsidR="00737817" w:rsidRPr="001F3B43" w:rsidRDefault="00737817" w:rsidP="0073781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w:t>
      </w:r>
    </w:p>
    <w:p w14:paraId="268B5906" w14:textId="77777777" w:rsidR="00737817" w:rsidRPr="001F3B43" w:rsidRDefault="00737817" w:rsidP="0073781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“PLAZO RAZONABLE PARA RESOLVER. DIMENSIÓN Y EFECTOS DE ESTE CONCEPTO CUANDO SE ADUCE EXCESIVA CARGA DE TRABAJO.” consultable en el Seminario Judicial de la Federación y su gaceta, con el registro digital 2002351.</w:t>
      </w:r>
    </w:p>
    <w:p w14:paraId="4AE303C9" w14:textId="77777777" w:rsidR="00737817" w:rsidRPr="001F3B43" w:rsidRDefault="00737817" w:rsidP="0073781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0215103D" w14:textId="77777777" w:rsidR="00737817" w:rsidRPr="00B01D73" w:rsidRDefault="00737817" w:rsidP="00737817">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69CA0FC4" w14:textId="77777777" w:rsidR="00737817" w:rsidRDefault="00737817" w:rsidP="00D0159B">
      <w:pPr>
        <w:spacing w:after="0" w:line="360" w:lineRule="auto"/>
        <w:jc w:val="both"/>
        <w:rPr>
          <w:rFonts w:ascii="Palatino Linotype" w:hAnsi="Palatino Linotype" w:cs="Arial"/>
          <w:sz w:val="24"/>
          <w:szCs w:val="24"/>
        </w:rPr>
      </w:pPr>
    </w:p>
    <w:p w14:paraId="528DBAF8" w14:textId="77777777"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77777777" w:rsidR="00A51F37" w:rsidRDefault="00A51F37" w:rsidP="00A51F37">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lastRenderedPageBreak/>
        <w:t>Reglamento Interior del Instituto de Transparencia, Acceso a la Información Pública y Protección de Datos Personales del Estado de México y Municipios.</w:t>
      </w:r>
    </w:p>
    <w:p w14:paraId="1D08593C" w14:textId="77777777" w:rsidR="007E4FA1" w:rsidRDefault="007E4FA1" w:rsidP="003A6975">
      <w:pPr>
        <w:spacing w:before="240" w:line="360" w:lineRule="auto"/>
        <w:jc w:val="both"/>
        <w:rPr>
          <w:rFonts w:ascii="Palatino Linotype" w:hAnsi="Palatino Linotype" w:cs="Arial"/>
          <w:sz w:val="24"/>
          <w:szCs w:val="24"/>
        </w:rPr>
      </w:pPr>
    </w:p>
    <w:p w14:paraId="645411A9" w14:textId="77777777"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5BD1B62" w14:textId="77777777" w:rsidR="00D0159B" w:rsidRDefault="00D0159B"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15A1C97" w14:textId="77777777" w:rsidR="003F38EB" w:rsidRDefault="003F38EB" w:rsidP="003F38EB">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79076B20" w14:textId="77777777" w:rsidR="003F38EB" w:rsidRPr="00514E66" w:rsidRDefault="003F38EB" w:rsidP="003F38EB">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917FACC" w14:textId="2CA59327" w:rsidR="00D81029" w:rsidRDefault="003F38EB" w:rsidP="003F38EB">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lastRenderedPageBreak/>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3CB02C53" w14:textId="77777777" w:rsidR="004E780E" w:rsidRDefault="004E780E" w:rsidP="003F38EB">
      <w:pPr>
        <w:pStyle w:val="Prrafodelista"/>
        <w:autoSpaceDE w:val="0"/>
        <w:autoSpaceDN w:val="0"/>
        <w:adjustRightInd w:val="0"/>
        <w:spacing w:line="360" w:lineRule="auto"/>
        <w:ind w:left="0"/>
        <w:jc w:val="both"/>
        <w:rPr>
          <w:rFonts w:ascii="Palatino Linotype" w:hAnsi="Palatino Linotype" w:cs="Arial"/>
        </w:rPr>
      </w:pPr>
    </w:p>
    <w:p w14:paraId="2FF12C52" w14:textId="77777777" w:rsidR="008F5D20" w:rsidRDefault="008F5D20" w:rsidP="008F5D20">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23E1224" w14:textId="77777777" w:rsidR="008F5D20" w:rsidRDefault="008F5D20" w:rsidP="008F5D2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24ACC71" w14:textId="77777777" w:rsidR="008F5D20" w:rsidRPr="002869E1" w:rsidRDefault="008F5D20" w:rsidP="008F5D2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A91CAF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6243D3F"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4E79B8"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18A06DE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A4D35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74B9E33"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B00C0D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6F3391E"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BE3308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5C8A167"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CE4AC7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B9D022" w14:textId="77777777" w:rsidR="008F5D20"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446A90A6" w14:textId="77777777" w:rsidR="003F38EB" w:rsidRDefault="003F38EB" w:rsidP="008F5D20">
      <w:pPr>
        <w:spacing w:after="0" w:line="360" w:lineRule="auto"/>
        <w:jc w:val="both"/>
        <w:rPr>
          <w:rFonts w:ascii="Palatino Linotype" w:eastAsia="Times New Roman" w:hAnsi="Palatino Linotype" w:cs="Times New Roman"/>
          <w:sz w:val="24"/>
          <w:szCs w:val="24"/>
          <w:lang w:eastAsia="es-ES"/>
        </w:rPr>
      </w:pPr>
    </w:p>
    <w:p w14:paraId="1368A4F5" w14:textId="77777777" w:rsidR="008F5D20" w:rsidRPr="006010FE" w:rsidRDefault="008F5D20" w:rsidP="008F5D2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08D054D" w14:textId="77777777" w:rsidR="008F5D20" w:rsidRDefault="008F5D20" w:rsidP="008F5D2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BDF360D" w14:textId="77777777" w:rsidR="00411E6F" w:rsidRDefault="00411E6F" w:rsidP="00D870AC">
      <w:pPr>
        <w:spacing w:before="240" w:line="360" w:lineRule="auto"/>
        <w:jc w:val="both"/>
        <w:rPr>
          <w:rFonts w:ascii="Palatino Linotype" w:hAnsi="Palatino Linotype"/>
          <w:sz w:val="24"/>
          <w:szCs w:val="24"/>
        </w:rPr>
      </w:pPr>
    </w:p>
    <w:p w14:paraId="62D04F86" w14:textId="5E4C5540" w:rsidR="00D0159B" w:rsidRPr="00D0159B" w:rsidRDefault="00D870AC" w:rsidP="00D870AC">
      <w:pPr>
        <w:spacing w:before="240" w:line="360" w:lineRule="auto"/>
        <w:jc w:val="both"/>
        <w:rPr>
          <w:rFonts w:ascii="Palatino Linotype" w:hAnsi="Palatino Linotype"/>
          <w:sz w:val="24"/>
          <w:szCs w:val="24"/>
        </w:rPr>
      </w:pPr>
      <w:r w:rsidRPr="00A279CF">
        <w:rPr>
          <w:rFonts w:ascii="Palatino Linotype" w:hAnsi="Palatino Linotype"/>
          <w:sz w:val="24"/>
          <w:szCs w:val="24"/>
        </w:rPr>
        <w:t xml:space="preserve">Una vez sentado lo anterior, en una aproximación inicial, es procedente mencionar que mediante la solicitud de información </w:t>
      </w:r>
      <w:r w:rsidR="00D0159B">
        <w:rPr>
          <w:rFonts w:ascii="Palatino Linotype" w:hAnsi="Palatino Linotype"/>
          <w:b/>
          <w:sz w:val="24"/>
          <w:szCs w:val="24"/>
        </w:rPr>
        <w:t xml:space="preserve">00748/TOLUCA/IP/2022 </w:t>
      </w:r>
      <w:r w:rsidR="00D0159B">
        <w:rPr>
          <w:rFonts w:ascii="Palatino Linotype" w:hAnsi="Palatino Linotype"/>
          <w:sz w:val="24"/>
          <w:szCs w:val="24"/>
        </w:rPr>
        <w:t xml:space="preserve">fue formulado </w:t>
      </w:r>
      <w:r w:rsidR="00D0159B">
        <w:rPr>
          <w:rFonts w:ascii="Palatino Linotype" w:hAnsi="Palatino Linotype"/>
          <w:b/>
          <w:sz w:val="24"/>
          <w:szCs w:val="24"/>
        </w:rPr>
        <w:t xml:space="preserve">1 –un- </w:t>
      </w:r>
      <w:r w:rsidR="00D0159B">
        <w:rPr>
          <w:rFonts w:ascii="Palatino Linotype" w:hAnsi="Palatino Linotype"/>
          <w:sz w:val="24"/>
          <w:szCs w:val="24"/>
        </w:rPr>
        <w:t xml:space="preserve">requerimiento, respecto del cual se destaca que no fue delimitado elemento temporal, debiendo de ser fijado a la fecha en que se ejerció el derecho de acceso a la información pública, es decir, al veintidós de marzo de dos mil veintidós. </w:t>
      </w:r>
    </w:p>
    <w:p w14:paraId="259322C1" w14:textId="281CFEF4" w:rsidR="00B953BD" w:rsidRPr="0051062B" w:rsidRDefault="00D0159B" w:rsidP="00D0159B">
      <w:pPr>
        <w:spacing w:before="240" w:line="360" w:lineRule="auto"/>
        <w:jc w:val="both"/>
        <w:rPr>
          <w:rFonts w:ascii="Palatino Linotype" w:hAnsi="Palatino Linotype"/>
          <w:sz w:val="24"/>
          <w:szCs w:val="24"/>
        </w:rPr>
      </w:pPr>
      <w:r>
        <w:rPr>
          <w:rFonts w:ascii="Palatino Linotype" w:hAnsi="Palatino Linotype"/>
          <w:sz w:val="24"/>
          <w:szCs w:val="24"/>
        </w:rPr>
        <w:t xml:space="preserve">Dicha precisión, con fundamento </w:t>
      </w:r>
      <w:r w:rsidR="00B953BD" w:rsidRPr="0051062B">
        <w:rPr>
          <w:rFonts w:ascii="Palatino Linotype" w:hAnsi="Palatino Linotype"/>
          <w:sz w:val="24"/>
          <w:szCs w:val="24"/>
        </w:rPr>
        <w:t xml:space="preserve">en los artículos 13 y 181 cuarto párrafo de la Ley en materia, los cuales a la letra rezan: </w:t>
      </w:r>
    </w:p>
    <w:p w14:paraId="18A91BAF" w14:textId="77777777" w:rsidR="00B953BD" w:rsidRPr="0051062B" w:rsidRDefault="00B953BD" w:rsidP="00B953BD">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2A97CCB0" w14:textId="77777777" w:rsidR="00B953BD" w:rsidRPr="0051062B" w:rsidRDefault="00B953BD" w:rsidP="00B953BD">
      <w:pPr>
        <w:pStyle w:val="Citas"/>
        <w:rPr>
          <w:b/>
        </w:rPr>
      </w:pPr>
      <w:r w:rsidRPr="0051062B">
        <w:rPr>
          <w:b/>
        </w:rPr>
        <w:lastRenderedPageBreak/>
        <w:t xml:space="preserve">Artículo 181. … </w:t>
      </w:r>
    </w:p>
    <w:p w14:paraId="1C9433B0" w14:textId="77777777" w:rsidR="00B953BD" w:rsidRDefault="00B953BD" w:rsidP="00B953BD">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493F7A1B" w14:textId="77777777" w:rsidR="00B953BD" w:rsidRDefault="00B953BD" w:rsidP="00D870AC">
      <w:pPr>
        <w:spacing w:before="240" w:line="360" w:lineRule="auto"/>
        <w:jc w:val="both"/>
        <w:rPr>
          <w:rFonts w:ascii="Palatino Linotype" w:hAnsi="Palatino Linotype"/>
          <w:sz w:val="24"/>
          <w:szCs w:val="24"/>
        </w:rPr>
      </w:pPr>
    </w:p>
    <w:p w14:paraId="7EEAC4D6" w14:textId="6520F28C" w:rsidR="00C57028" w:rsidRDefault="00C57028" w:rsidP="00D870AC">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w:t>
      </w:r>
      <w:r w:rsidR="00B953BD">
        <w:rPr>
          <w:rFonts w:ascii="Palatino Linotype" w:hAnsi="Palatino Linotype"/>
          <w:sz w:val="24"/>
          <w:szCs w:val="24"/>
        </w:rPr>
        <w:t>el requerimiento formulado</w:t>
      </w:r>
      <w:r>
        <w:rPr>
          <w:rFonts w:ascii="Palatino Linotype" w:hAnsi="Palatino Linotype"/>
          <w:sz w:val="24"/>
          <w:szCs w:val="24"/>
        </w:rPr>
        <w:t xml:space="preserve"> por el ahora </w:t>
      </w:r>
      <w:r>
        <w:rPr>
          <w:rFonts w:ascii="Palatino Linotype" w:hAnsi="Palatino Linotype"/>
          <w:b/>
          <w:sz w:val="24"/>
          <w:szCs w:val="24"/>
        </w:rPr>
        <w:t xml:space="preserve">Recurrente, </w:t>
      </w:r>
      <w:r>
        <w:rPr>
          <w:rFonts w:ascii="Palatino Linotype" w:hAnsi="Palatino Linotype"/>
          <w:sz w:val="24"/>
          <w:szCs w:val="24"/>
        </w:rPr>
        <w:t xml:space="preserve">de manera objetiva se precisa que versa en conocer la siguiente información: </w:t>
      </w:r>
    </w:p>
    <w:p w14:paraId="50A90215" w14:textId="09FAF6A6" w:rsidR="000363A2" w:rsidRDefault="003F38EB" w:rsidP="00BA6226">
      <w:pPr>
        <w:pStyle w:val="Prrafodelista"/>
        <w:numPr>
          <w:ilvl w:val="0"/>
          <w:numId w:val="1"/>
        </w:numPr>
        <w:spacing w:line="360" w:lineRule="auto"/>
        <w:jc w:val="both"/>
        <w:rPr>
          <w:rFonts w:ascii="Palatino Linotype" w:hAnsi="Palatino Linotype"/>
          <w:bCs/>
        </w:rPr>
      </w:pPr>
      <w:r>
        <w:rPr>
          <w:rFonts w:ascii="Palatino Linotype" w:hAnsi="Palatino Linotype"/>
          <w:bCs/>
        </w:rPr>
        <w:t>El o los documentos do</w:t>
      </w:r>
      <w:r w:rsidR="00D0159B">
        <w:rPr>
          <w:rFonts w:ascii="Palatino Linotype" w:hAnsi="Palatino Linotype"/>
          <w:bCs/>
        </w:rPr>
        <w:t xml:space="preserve">nde consten las estrategias para disminuir el robo de computadoras de vehículos en la Colonia Morelos, particularmente en la zona de la Escuela del Deporte, al veintidós de marzo de dos mil veintidós. </w:t>
      </w:r>
    </w:p>
    <w:p w14:paraId="005E7C6E" w14:textId="77777777" w:rsidR="00BB3132" w:rsidRDefault="00BB3132" w:rsidP="00BB3132">
      <w:pPr>
        <w:spacing w:line="360" w:lineRule="auto"/>
        <w:jc w:val="both"/>
        <w:rPr>
          <w:rFonts w:ascii="Palatino Linotype" w:hAnsi="Palatino Linotype"/>
          <w:bCs/>
        </w:rPr>
      </w:pPr>
    </w:p>
    <w:p w14:paraId="5788EE8D" w14:textId="77777777" w:rsidR="002609D8" w:rsidRPr="008D038F" w:rsidRDefault="002609D8" w:rsidP="002609D8">
      <w:pPr>
        <w:autoSpaceDE w:val="0"/>
        <w:autoSpaceDN w:val="0"/>
        <w:adjustRightInd w:val="0"/>
        <w:spacing w:before="240" w:line="360" w:lineRule="auto"/>
        <w:jc w:val="both"/>
        <w:rPr>
          <w:rFonts w:ascii="Palatino Linotype" w:hAnsi="Palatino Linotype" w:cs="Arial"/>
          <w:sz w:val="24"/>
          <w:szCs w:val="24"/>
        </w:rPr>
      </w:pPr>
      <w:r w:rsidRPr="008D038F">
        <w:rPr>
          <w:rFonts w:ascii="Palatino Linotype" w:hAnsi="Palatino Linotype" w:cs="Arial"/>
          <w:sz w:val="24"/>
          <w:szCs w:val="24"/>
        </w:rPr>
        <w:t xml:space="preserve">En este tenor, en alusión al requerimiento formulado por el particular, resulta oportuno traer a colación los artículos 24, fracción XII y 92, fracción II de la Ley de Transparencia y Acceso a la Información Pública del Estado de México y Municipios, dispositivos jurídicos que disponen a la literalidad lo siguiente: </w:t>
      </w:r>
    </w:p>
    <w:p w14:paraId="3B3486F1" w14:textId="77777777" w:rsidR="002609D8" w:rsidRPr="008B4658" w:rsidRDefault="002609D8" w:rsidP="002609D8">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24. Para el cumplimiento de los objetivos de esta Ley, los sujetos obligados deberán cumplir con las siguientes obligaciones, según corresponda, de acuerdo a su naturaleza:</w:t>
      </w:r>
    </w:p>
    <w:p w14:paraId="69299EB8" w14:textId="77777777" w:rsidR="002609D8" w:rsidRPr="008B4658" w:rsidRDefault="002609D8" w:rsidP="002609D8">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lastRenderedPageBreak/>
        <w:t>XII. Publicar y mantener actualizada la información relativa a las obligaciones generales de transparencia previstas en la presente Ley o determinadas así por el Instituto, y en general aquella que sea de interés público;</w:t>
      </w:r>
    </w:p>
    <w:p w14:paraId="7CBAEA82" w14:textId="77777777" w:rsidR="002609D8" w:rsidRPr="008B4658" w:rsidRDefault="002609D8" w:rsidP="002609D8">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9C36C1F" w14:textId="77777777" w:rsidR="002609D8" w:rsidRPr="008B4658" w:rsidRDefault="002609D8" w:rsidP="002609D8">
      <w:pPr>
        <w:autoSpaceDE w:val="0"/>
        <w:autoSpaceDN w:val="0"/>
        <w:adjustRightInd w:val="0"/>
        <w:spacing w:before="240" w:line="360" w:lineRule="auto"/>
        <w:ind w:left="851" w:right="851"/>
        <w:jc w:val="both"/>
        <w:rPr>
          <w:rFonts w:ascii="Palatino Linotype" w:hAnsi="Palatino Linotype"/>
          <w:b/>
          <w:bCs/>
          <w:i/>
          <w:iCs/>
          <w:u w:val="single"/>
        </w:rPr>
      </w:pPr>
      <w:r w:rsidRPr="008B4658">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917B482" w14:textId="77777777" w:rsidR="002609D8" w:rsidRPr="00BB541E" w:rsidRDefault="002609D8" w:rsidP="002609D8">
      <w:pPr>
        <w:autoSpaceDE w:val="0"/>
        <w:autoSpaceDN w:val="0"/>
        <w:adjustRightInd w:val="0"/>
        <w:spacing w:before="240" w:line="360" w:lineRule="auto"/>
        <w:ind w:left="851" w:right="851"/>
        <w:jc w:val="both"/>
        <w:rPr>
          <w:rFonts w:ascii="Palatino Linotype" w:hAnsi="Palatino Linotype"/>
          <w:b/>
          <w:i/>
          <w:iCs/>
        </w:rPr>
      </w:pPr>
      <w:r w:rsidRPr="008B4658">
        <w:rPr>
          <w:rFonts w:ascii="Palatino Linotype" w:hAnsi="Palatino Linotype"/>
          <w:i/>
          <w:iCs/>
        </w:rPr>
        <w:t xml:space="preserve">(…)” </w:t>
      </w:r>
      <w:r>
        <w:rPr>
          <w:rFonts w:ascii="Palatino Linotype" w:hAnsi="Palatino Linotype"/>
          <w:b/>
          <w:i/>
          <w:iCs/>
        </w:rPr>
        <w:t>(Sic)</w:t>
      </w:r>
    </w:p>
    <w:p w14:paraId="65D3B10D" w14:textId="77777777" w:rsidR="00B953BD" w:rsidRDefault="00B953BD" w:rsidP="002609D8">
      <w:pPr>
        <w:spacing w:line="360" w:lineRule="auto"/>
        <w:jc w:val="both"/>
        <w:rPr>
          <w:rFonts w:ascii="Palatino Linotype" w:hAnsi="Palatino Linotype" w:cs="Arial"/>
          <w:sz w:val="24"/>
          <w:szCs w:val="24"/>
        </w:rPr>
      </w:pPr>
    </w:p>
    <w:p w14:paraId="1CA629DF" w14:textId="51DC157C" w:rsidR="002609D8" w:rsidRDefault="00B2232C" w:rsidP="002609D8">
      <w:pPr>
        <w:spacing w:line="360" w:lineRule="auto"/>
        <w:jc w:val="both"/>
        <w:rPr>
          <w:rFonts w:ascii="Palatino Linotype" w:hAnsi="Palatino Linotype" w:cs="Arial"/>
          <w:b/>
          <w:bCs/>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03310566" wp14:editId="1222F0AE">
                <wp:simplePos x="0" y="0"/>
                <wp:positionH relativeFrom="column">
                  <wp:posOffset>-92583</wp:posOffset>
                </wp:positionH>
                <wp:positionV relativeFrom="paragraph">
                  <wp:posOffset>1062304</wp:posOffset>
                </wp:positionV>
                <wp:extent cx="6035040" cy="1755648"/>
                <wp:effectExtent l="0" t="0" r="22860" b="35560"/>
                <wp:wrapNone/>
                <wp:docPr id="6" name="Conector recto 6"/>
                <wp:cNvGraphicFramePr/>
                <a:graphic xmlns:a="http://schemas.openxmlformats.org/drawingml/2006/main">
                  <a:graphicData uri="http://schemas.microsoft.com/office/word/2010/wordprocessingShape">
                    <wps:wsp>
                      <wps:cNvCnPr/>
                      <wps:spPr>
                        <a:xfrm>
                          <a:off x="0" y="0"/>
                          <a:ext cx="6035040" cy="17556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739003" id="Conector recto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3pt,83.65pt" to="467.9pt,2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" strokecolor="#5b9bd5 [3204]" strokeweight=".5pt">
                <v:stroke joinstyle="miter"/>
              </v:line>
            </w:pict>
          </mc:Fallback>
        </mc:AlternateContent>
      </w:r>
      <w:r w:rsidR="00B953BD" w:rsidRPr="00B953BD">
        <w:rPr>
          <w:rFonts w:ascii="Palatino Linotype" w:hAnsi="Palatino Linotype" w:cs="Arial"/>
          <w:sz w:val="24"/>
          <w:szCs w:val="24"/>
        </w:rPr>
        <w:t>A</w:t>
      </w:r>
      <w:r w:rsidR="002609D8" w:rsidRPr="00B953BD">
        <w:rPr>
          <w:rFonts w:ascii="Palatino Linotype" w:hAnsi="Palatino Linotype" w:cs="Arial"/>
          <w:sz w:val="24"/>
          <w:szCs w:val="24"/>
        </w:rPr>
        <w:t xml:space="preserve"> mayor abundamiento, en alusión a la normatividad previamente plasmada, sirven de sustento las siguientes imágenes ilustrativas, correspondientes al organigrama del </w:t>
      </w:r>
      <w:r w:rsidR="002609D8" w:rsidRPr="00B953BD">
        <w:rPr>
          <w:rFonts w:ascii="Palatino Linotype" w:hAnsi="Palatino Linotype" w:cs="Arial"/>
          <w:b/>
          <w:bCs/>
          <w:sz w:val="24"/>
          <w:szCs w:val="24"/>
        </w:rPr>
        <w:t>Sujeto Obligado:</w:t>
      </w:r>
    </w:p>
    <w:p w14:paraId="053C2B40" w14:textId="0099F399" w:rsidR="00B953BD" w:rsidRDefault="00DF0F8A" w:rsidP="002609D8">
      <w:pPr>
        <w:spacing w:line="360" w:lineRule="auto"/>
        <w:jc w:val="both"/>
        <w:rPr>
          <w:rFonts w:ascii="Palatino Linotype" w:hAnsi="Palatino Linotype" w:cs="Arial"/>
          <w:b/>
          <w:bCs/>
          <w:sz w:val="24"/>
          <w:szCs w:val="24"/>
        </w:rPr>
      </w:pPr>
      <w:r>
        <w:rPr>
          <w:rFonts w:ascii="Palatino Linotype" w:hAnsi="Palatino Linotype" w:cs="Arial"/>
          <w:b/>
          <w:bCs/>
          <w:noProof/>
          <w:sz w:val="24"/>
          <w:szCs w:val="24"/>
          <w:lang w:eastAsia="es-MX"/>
        </w:rPr>
        <w:lastRenderedPageBreak/>
        <w:drawing>
          <wp:anchor distT="0" distB="0" distL="114300" distR="114300" simplePos="0" relativeHeight="251666432" behindDoc="0" locked="0" layoutInCell="1" allowOverlap="1" wp14:anchorId="5F46112A" wp14:editId="3B6AAA72">
            <wp:simplePos x="0" y="0"/>
            <wp:positionH relativeFrom="column">
              <wp:posOffset>1771992</wp:posOffset>
            </wp:positionH>
            <wp:positionV relativeFrom="paragraph">
              <wp:posOffset>3823193</wp:posOffset>
            </wp:positionV>
            <wp:extent cx="2019935" cy="2087880"/>
            <wp:effectExtent l="19050" t="19050" r="18415" b="26670"/>
            <wp:wrapThrough wrapText="bothSides">
              <wp:wrapPolygon edited="0">
                <wp:start x="-204" y="-197"/>
                <wp:lineTo x="-204" y="21679"/>
                <wp:lineTo x="21593" y="21679"/>
                <wp:lineTo x="21593" y="-197"/>
                <wp:lineTo x="-204" y="-197"/>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935" cy="20878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
          <w:bCs/>
          <w:noProof/>
          <w:sz w:val="24"/>
          <w:szCs w:val="24"/>
          <w:lang w:eastAsia="es-MX"/>
        </w:rPr>
        <w:drawing>
          <wp:anchor distT="0" distB="0" distL="114300" distR="114300" simplePos="0" relativeHeight="251660287" behindDoc="0" locked="0" layoutInCell="1" allowOverlap="1" wp14:anchorId="3F66F0E2" wp14:editId="20477173">
            <wp:simplePos x="0" y="0"/>
            <wp:positionH relativeFrom="column">
              <wp:posOffset>-2540</wp:posOffset>
            </wp:positionH>
            <wp:positionV relativeFrom="paragraph">
              <wp:posOffset>19401</wp:posOffset>
            </wp:positionV>
            <wp:extent cx="5748655" cy="3457575"/>
            <wp:effectExtent l="19050" t="19050" r="23495" b="28575"/>
            <wp:wrapThrough wrapText="bothSides">
              <wp:wrapPolygon edited="0">
                <wp:start x="-72" y="-119"/>
                <wp:lineTo x="-72" y="21660"/>
                <wp:lineTo x="21617" y="21660"/>
                <wp:lineTo x="21617" y="-119"/>
                <wp:lineTo x="-72" y="-119"/>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655" cy="3457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05C2B57" w14:textId="7444706D" w:rsidR="00B953BD" w:rsidRDefault="00B953BD" w:rsidP="002609D8">
      <w:pPr>
        <w:spacing w:line="360" w:lineRule="auto"/>
        <w:jc w:val="both"/>
        <w:rPr>
          <w:rFonts w:ascii="Palatino Linotype" w:hAnsi="Palatino Linotype" w:cs="Arial"/>
          <w:b/>
          <w:bCs/>
          <w:sz w:val="24"/>
          <w:szCs w:val="24"/>
        </w:rPr>
      </w:pPr>
    </w:p>
    <w:p w14:paraId="2AF78837" w14:textId="7418EBFC" w:rsidR="00B953BD" w:rsidRDefault="00B953BD" w:rsidP="002609D8">
      <w:pPr>
        <w:spacing w:line="360" w:lineRule="auto"/>
        <w:jc w:val="both"/>
        <w:rPr>
          <w:rFonts w:ascii="Palatino Linotype" w:hAnsi="Palatino Linotype" w:cs="Arial"/>
          <w:b/>
          <w:bCs/>
          <w:sz w:val="24"/>
          <w:szCs w:val="24"/>
        </w:rPr>
      </w:pPr>
    </w:p>
    <w:p w14:paraId="75317720" w14:textId="0DB4BDF0" w:rsidR="00B953BD" w:rsidRDefault="00B953BD" w:rsidP="002609D8">
      <w:pPr>
        <w:spacing w:line="360" w:lineRule="auto"/>
        <w:jc w:val="both"/>
        <w:rPr>
          <w:rFonts w:ascii="Palatino Linotype" w:hAnsi="Palatino Linotype" w:cs="Arial"/>
          <w:b/>
          <w:bCs/>
          <w:sz w:val="24"/>
          <w:szCs w:val="24"/>
        </w:rPr>
      </w:pPr>
    </w:p>
    <w:p w14:paraId="05B3FBF7" w14:textId="7B497120" w:rsidR="00B953BD" w:rsidRPr="00B953BD" w:rsidRDefault="00B953BD" w:rsidP="002609D8">
      <w:pPr>
        <w:spacing w:line="360" w:lineRule="auto"/>
        <w:jc w:val="both"/>
        <w:rPr>
          <w:rFonts w:ascii="Palatino Linotype" w:hAnsi="Palatino Linotype" w:cs="Arial"/>
          <w:b/>
          <w:bCs/>
          <w:sz w:val="24"/>
          <w:szCs w:val="24"/>
        </w:rPr>
      </w:pPr>
    </w:p>
    <w:p w14:paraId="3C637B6C" w14:textId="77777777" w:rsidR="00B953BD" w:rsidRDefault="00B953BD" w:rsidP="006831E4">
      <w:pPr>
        <w:pStyle w:val="Sinespaciado"/>
        <w:spacing w:line="360" w:lineRule="auto"/>
        <w:jc w:val="both"/>
        <w:rPr>
          <w:rFonts w:ascii="Palatino Linotype" w:hAnsi="Palatino Linotype" w:cs="Arial"/>
        </w:rPr>
      </w:pPr>
    </w:p>
    <w:p w14:paraId="0619A3EB" w14:textId="77777777" w:rsidR="00DF0F8A" w:rsidRDefault="00DF0F8A" w:rsidP="006831E4">
      <w:pPr>
        <w:pStyle w:val="Sinespaciado"/>
        <w:spacing w:line="360" w:lineRule="auto"/>
        <w:jc w:val="both"/>
        <w:rPr>
          <w:rFonts w:ascii="Palatino Linotype" w:hAnsi="Palatino Linotype" w:cs="Arial"/>
        </w:rPr>
      </w:pPr>
    </w:p>
    <w:p w14:paraId="20B2334F" w14:textId="77777777" w:rsidR="00DF0F8A" w:rsidRDefault="00DF0F8A" w:rsidP="006831E4">
      <w:pPr>
        <w:pStyle w:val="Sinespaciado"/>
        <w:spacing w:line="360" w:lineRule="auto"/>
        <w:jc w:val="both"/>
        <w:rPr>
          <w:rFonts w:ascii="Palatino Linotype" w:hAnsi="Palatino Linotype" w:cs="Arial"/>
        </w:rPr>
      </w:pPr>
    </w:p>
    <w:p w14:paraId="043F8A05" w14:textId="692DD9B5" w:rsidR="006831E4" w:rsidRDefault="006831E4" w:rsidP="006831E4">
      <w:pPr>
        <w:pStyle w:val="Sinespaciado"/>
        <w:spacing w:line="360" w:lineRule="auto"/>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diversas Direcciones, Subdirecciones, Departamentos y Unidades Administrativas </w:t>
      </w:r>
      <w:r>
        <w:rPr>
          <w:rFonts w:ascii="Palatino Linotype" w:hAnsi="Palatino Linotype" w:cs="Arial"/>
        </w:rPr>
        <w:lastRenderedPageBreak/>
        <w:t xml:space="preserve">para cumplir con sus fines y objetivos, resultando de nuestro más amplio interés </w:t>
      </w:r>
      <w:r w:rsidR="00DF0F8A">
        <w:rPr>
          <w:rFonts w:ascii="Palatino Linotype" w:hAnsi="Palatino Linotype" w:cs="Arial"/>
        </w:rPr>
        <w:t xml:space="preserve">la Dirección General de Seguridad y Protección. </w:t>
      </w:r>
      <w:r>
        <w:rPr>
          <w:rFonts w:ascii="Palatino Linotype" w:hAnsi="Palatino Linotype" w:cs="Arial"/>
        </w:rPr>
        <w:t xml:space="preserve"> </w:t>
      </w:r>
    </w:p>
    <w:p w14:paraId="7A2C8E1D" w14:textId="77777777" w:rsidR="005F2047" w:rsidRDefault="005F2047" w:rsidP="006831E4">
      <w:pPr>
        <w:pStyle w:val="Sinespaciado"/>
        <w:spacing w:line="360" w:lineRule="auto"/>
        <w:jc w:val="both"/>
        <w:rPr>
          <w:rFonts w:ascii="Palatino Linotype" w:hAnsi="Palatino Linotype" w:cs="Arial"/>
        </w:rPr>
      </w:pPr>
    </w:p>
    <w:p w14:paraId="6F67155E" w14:textId="37AA8E73" w:rsidR="00DF0F8A" w:rsidRDefault="00DF0F8A" w:rsidP="006831E4">
      <w:pPr>
        <w:pStyle w:val="Sinespaciado"/>
        <w:spacing w:line="360" w:lineRule="auto"/>
        <w:jc w:val="both"/>
        <w:rPr>
          <w:rFonts w:ascii="Palatino Linotype" w:hAnsi="Palatino Linotype" w:cs="Arial"/>
        </w:rPr>
      </w:pPr>
      <w:r>
        <w:rPr>
          <w:rFonts w:ascii="Palatino Linotype" w:hAnsi="Palatino Linotype" w:cs="Arial"/>
        </w:rPr>
        <w:t>En virtud de lo anterior, para delimitar las fronteras conceptuales de la unidad administrativa en cita, resulta oportuno traer a colaci</w:t>
      </w:r>
      <w:r w:rsidR="004C3081">
        <w:rPr>
          <w:rFonts w:ascii="Palatino Linotype" w:hAnsi="Palatino Linotype" w:cs="Arial"/>
        </w:rPr>
        <w:t xml:space="preserve">ón el artículo 7, fracciones II y III de la Ley General del Sistema Nacional de Seguridad Pública; </w:t>
      </w:r>
      <w:r w:rsidR="005B1F52">
        <w:rPr>
          <w:rFonts w:ascii="Palatino Linotype" w:hAnsi="Palatino Linotype" w:cs="Arial"/>
        </w:rPr>
        <w:t xml:space="preserve">los numerales 125, fracción VIII y 142 de la Ley Orgánica Municipal del Estado de México; </w:t>
      </w:r>
      <w:r w:rsidR="00B54C62">
        <w:rPr>
          <w:rFonts w:ascii="Palatino Linotype" w:hAnsi="Palatino Linotype" w:cs="Arial"/>
        </w:rPr>
        <w:t xml:space="preserve">así como el artículo 74, fracción VIII del Bando Municipal de Toluca, porciones normativas que disponen a la literalidad lo siguiente: </w:t>
      </w:r>
    </w:p>
    <w:p w14:paraId="4F3E5FE1" w14:textId="39A11384" w:rsidR="00DF0F8A" w:rsidRPr="004C3081" w:rsidRDefault="004C3081" w:rsidP="004C3081">
      <w:pPr>
        <w:pStyle w:val="Citas"/>
        <w:jc w:val="center"/>
        <w:rPr>
          <w:b/>
          <w:sz w:val="24"/>
          <w:szCs w:val="24"/>
        </w:rPr>
      </w:pPr>
      <w:r w:rsidRPr="004C3081">
        <w:rPr>
          <w:b/>
          <w:sz w:val="24"/>
          <w:szCs w:val="24"/>
        </w:rPr>
        <w:t>Ley General del Sistema Nacional de Seguridad Pública</w:t>
      </w:r>
    </w:p>
    <w:p w14:paraId="26F12AD5" w14:textId="6721199E" w:rsidR="00DF0F8A" w:rsidRDefault="005B1F52" w:rsidP="004C3081">
      <w:pPr>
        <w:pStyle w:val="Citas"/>
      </w:pPr>
      <w:r>
        <w:t>“</w:t>
      </w:r>
      <w:r w:rsidR="004C3081">
        <w:t>Artículo 7.-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332CE5C6" w14:textId="334152E0" w:rsidR="004C3081" w:rsidRDefault="004C3081" w:rsidP="004C3081">
      <w:pPr>
        <w:pStyle w:val="Citas"/>
      </w:pPr>
      <w:r>
        <w:t>(…)</w:t>
      </w:r>
    </w:p>
    <w:p w14:paraId="6C151DFC" w14:textId="2849D3B8" w:rsidR="004C3081" w:rsidRPr="00B54C62" w:rsidRDefault="004C3081" w:rsidP="004C3081">
      <w:pPr>
        <w:pStyle w:val="Citas"/>
        <w:rPr>
          <w:b/>
          <w:u w:val="single"/>
        </w:rPr>
      </w:pPr>
      <w:r w:rsidRPr="00B54C62">
        <w:rPr>
          <w:b/>
          <w:u w:val="single"/>
        </w:rPr>
        <w:t>II. Formular políticas integrales, sistemáticas, continuas y evaluables, así como programas y estrategias, en materia de seguridad pública;</w:t>
      </w:r>
    </w:p>
    <w:p w14:paraId="7AEF5DF9" w14:textId="0D76F02D" w:rsidR="004C3081" w:rsidRPr="00B54C62" w:rsidRDefault="004C3081" w:rsidP="004C3081">
      <w:pPr>
        <w:pStyle w:val="Citas"/>
        <w:rPr>
          <w:b/>
          <w:u w:val="single"/>
        </w:rPr>
      </w:pPr>
      <w:r w:rsidRPr="00B54C62">
        <w:rPr>
          <w:b/>
          <w:u w:val="single"/>
        </w:rPr>
        <w:t>III. Ejecutar, dar seguimiento y evaluar las políticas, estrategias y acciones, a través de las instancias previstas en esta ley;</w:t>
      </w:r>
    </w:p>
    <w:p w14:paraId="4A48693E" w14:textId="0BEFCE22" w:rsidR="005B1F52" w:rsidRPr="005B1F52" w:rsidRDefault="005B1F52" w:rsidP="004C3081">
      <w:pPr>
        <w:pStyle w:val="Citas"/>
        <w:rPr>
          <w:b/>
        </w:rPr>
      </w:pPr>
      <w:r>
        <w:t xml:space="preserve">(…)” </w:t>
      </w:r>
      <w:r>
        <w:rPr>
          <w:b/>
        </w:rPr>
        <w:t>(Sic)</w:t>
      </w:r>
    </w:p>
    <w:p w14:paraId="26E8A592" w14:textId="77777777" w:rsidR="004C3081" w:rsidRDefault="004C3081" w:rsidP="006831E4">
      <w:pPr>
        <w:pStyle w:val="Sinespaciado"/>
        <w:spacing w:line="360" w:lineRule="auto"/>
        <w:jc w:val="both"/>
        <w:rPr>
          <w:rFonts w:ascii="Palatino Linotype" w:hAnsi="Palatino Linotype" w:cs="Arial"/>
        </w:rPr>
      </w:pPr>
    </w:p>
    <w:p w14:paraId="0D04FD08" w14:textId="77777777" w:rsidR="00DF0F8A" w:rsidRDefault="00DF0F8A" w:rsidP="006831E4">
      <w:pPr>
        <w:pStyle w:val="Sinespaciado"/>
        <w:spacing w:line="360" w:lineRule="auto"/>
        <w:jc w:val="both"/>
        <w:rPr>
          <w:rFonts w:ascii="Palatino Linotype" w:hAnsi="Palatino Linotype" w:cs="Arial"/>
        </w:rPr>
      </w:pPr>
    </w:p>
    <w:p w14:paraId="3BCCFA74" w14:textId="3C32F676" w:rsidR="004C3081" w:rsidRPr="005B1F52" w:rsidRDefault="004C3081" w:rsidP="005B1F52">
      <w:pPr>
        <w:pStyle w:val="Citas"/>
        <w:jc w:val="center"/>
        <w:rPr>
          <w:b/>
        </w:rPr>
      </w:pPr>
      <w:r w:rsidRPr="005B1F52">
        <w:rPr>
          <w:b/>
        </w:rPr>
        <w:lastRenderedPageBreak/>
        <w:t>Ley Orgánica Municipal del Estado de México</w:t>
      </w:r>
    </w:p>
    <w:p w14:paraId="5586DA2E" w14:textId="2C247FAF" w:rsidR="004C3081" w:rsidRDefault="005B1F52" w:rsidP="005B1F52">
      <w:pPr>
        <w:pStyle w:val="Citas"/>
      </w:pPr>
      <w:r>
        <w:t>“</w:t>
      </w:r>
      <w:r w:rsidR="004C3081">
        <w:t>Artículo 125.- Los municipios tendrán a su cargo la prestación, explotación, administración y conservación de los servicios públicos municipales, considerándose enunciativa y no limitativamente, los siguientes:</w:t>
      </w:r>
    </w:p>
    <w:p w14:paraId="7367E8FA" w14:textId="717EC32D" w:rsidR="004C3081" w:rsidRDefault="004C3081" w:rsidP="005B1F52">
      <w:pPr>
        <w:pStyle w:val="Citas"/>
      </w:pPr>
      <w:r>
        <w:t>(…)</w:t>
      </w:r>
    </w:p>
    <w:p w14:paraId="27128C69" w14:textId="5BB94C82" w:rsidR="004C3081" w:rsidRDefault="004C3081" w:rsidP="005B1F52">
      <w:pPr>
        <w:pStyle w:val="Citas"/>
      </w:pPr>
      <w:r>
        <w:t>VIII. Seguridad pública y tránsito;</w:t>
      </w:r>
    </w:p>
    <w:p w14:paraId="6EB8F3B0" w14:textId="437113BF" w:rsidR="004C3081" w:rsidRDefault="004C3081" w:rsidP="005B1F52">
      <w:pPr>
        <w:pStyle w:val="Citas"/>
      </w:pPr>
      <w:r>
        <w:t>(…)</w:t>
      </w:r>
    </w:p>
    <w:p w14:paraId="640F5F8D" w14:textId="1157E3DC" w:rsidR="004C3081" w:rsidRDefault="004C3081" w:rsidP="005B1F52">
      <w:pPr>
        <w:pStyle w:val="Citas"/>
      </w:pPr>
      <w:r>
        <w:t>Artículo 142.-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73CD24B8" w14:textId="6CA1AE2A" w:rsidR="004C3081" w:rsidRPr="005B1F52" w:rsidRDefault="004C3081" w:rsidP="005B1F52">
      <w:pPr>
        <w:pStyle w:val="Citas"/>
        <w:rPr>
          <w:b/>
        </w:rPr>
      </w:pPr>
      <w:r>
        <w:t>En cada municipio se deberán integrar cuerpos de seguridad pública, de bomberos y, en su caso, de tránsito, estos servidores públicos preferentemente serán vecinos del municipio, de los cuales el presidente municipal será el jefe inmediato</w:t>
      </w:r>
      <w:r w:rsidR="005B1F52">
        <w:t xml:space="preserve">.” </w:t>
      </w:r>
      <w:r w:rsidR="005B1F52">
        <w:rPr>
          <w:b/>
        </w:rPr>
        <w:t>(Sic)</w:t>
      </w:r>
    </w:p>
    <w:p w14:paraId="716ADE3D" w14:textId="77777777" w:rsidR="004C3081" w:rsidRDefault="004C3081" w:rsidP="006831E4">
      <w:pPr>
        <w:pStyle w:val="Sinespaciado"/>
        <w:spacing w:line="360" w:lineRule="auto"/>
        <w:jc w:val="both"/>
        <w:rPr>
          <w:rFonts w:ascii="Palatino Linotype" w:hAnsi="Palatino Linotype" w:cs="Arial"/>
        </w:rPr>
      </w:pPr>
    </w:p>
    <w:p w14:paraId="316CF113" w14:textId="5FB5E500" w:rsidR="004C3081" w:rsidRPr="00B54C62" w:rsidRDefault="00B54C62" w:rsidP="00B54C62">
      <w:pPr>
        <w:pStyle w:val="Citas"/>
        <w:jc w:val="center"/>
        <w:rPr>
          <w:b/>
        </w:rPr>
      </w:pPr>
      <w:r w:rsidRPr="00B54C62">
        <w:rPr>
          <w:b/>
        </w:rPr>
        <w:t>Bando Municipal Toluca 2022</w:t>
      </w:r>
    </w:p>
    <w:p w14:paraId="3B6941FD" w14:textId="1FB6B317" w:rsidR="004C3081" w:rsidRDefault="00B54C62" w:rsidP="00B54C62">
      <w:pPr>
        <w:pStyle w:val="Citas"/>
      </w:pPr>
      <w:r>
        <w:t>“</w:t>
      </w:r>
      <w:r w:rsidR="007B5E84">
        <w:t>Artículo 74. Son atribuciones de las autoridades municipales en materia de Seguridad Pública las siguientes:</w:t>
      </w:r>
    </w:p>
    <w:p w14:paraId="125B4FB5" w14:textId="2394A2DB" w:rsidR="007B5E84" w:rsidRDefault="007B5E84" w:rsidP="00B54C62">
      <w:pPr>
        <w:pStyle w:val="Citas"/>
      </w:pPr>
      <w:r>
        <w:t>(…)</w:t>
      </w:r>
    </w:p>
    <w:p w14:paraId="18386A0D" w14:textId="27F0DFA0" w:rsidR="007B5E84" w:rsidRDefault="007B5E84" w:rsidP="00B54C62">
      <w:pPr>
        <w:pStyle w:val="Citas"/>
      </w:pPr>
      <w:r>
        <w:t>VIII. Vigilar la ejecución de programas, proyectos y acciones en materia de seguridad pública, así como de tránsito y vialidad;</w:t>
      </w:r>
    </w:p>
    <w:p w14:paraId="3F012B09" w14:textId="73812D85" w:rsidR="00B54C62" w:rsidRPr="00B54C62" w:rsidRDefault="00B54C62" w:rsidP="00B54C62">
      <w:pPr>
        <w:pStyle w:val="Citas"/>
        <w:rPr>
          <w:b/>
        </w:rPr>
      </w:pPr>
      <w:r>
        <w:lastRenderedPageBreak/>
        <w:t xml:space="preserve">(…)” </w:t>
      </w:r>
      <w:r>
        <w:rPr>
          <w:b/>
        </w:rPr>
        <w:t>(Sic)</w:t>
      </w:r>
    </w:p>
    <w:p w14:paraId="5EBFB5C5" w14:textId="77777777" w:rsidR="007B5E84" w:rsidRDefault="007B5E84" w:rsidP="006831E4">
      <w:pPr>
        <w:pStyle w:val="Sinespaciado"/>
        <w:spacing w:line="360" w:lineRule="auto"/>
        <w:jc w:val="both"/>
        <w:rPr>
          <w:rFonts w:ascii="Palatino Linotype" w:hAnsi="Palatino Linotype" w:cs="Arial"/>
        </w:rPr>
      </w:pPr>
    </w:p>
    <w:p w14:paraId="7DAB477A" w14:textId="2BE885A8" w:rsidR="006831E4" w:rsidRDefault="00B54C62" w:rsidP="009732F5">
      <w:pPr>
        <w:pStyle w:val="Sinespaciado"/>
        <w:spacing w:line="360" w:lineRule="auto"/>
        <w:jc w:val="both"/>
        <w:rPr>
          <w:rFonts w:ascii="Palatino Linotype" w:hAnsi="Palatino Linotype"/>
          <w:bCs/>
        </w:rPr>
      </w:pPr>
      <w:r>
        <w:rPr>
          <w:rFonts w:ascii="Palatino Linotype" w:hAnsi="Palatino Linotype" w:cs="Arial"/>
        </w:rPr>
        <w:t xml:space="preserve">En efecto de la normatividad previamente plasmada se desprende que la información requerida </w:t>
      </w:r>
      <w:r w:rsidR="009732F5">
        <w:rPr>
          <w:rFonts w:ascii="Palatino Linotype" w:hAnsi="Palatino Linotype" w:cs="Arial"/>
        </w:rPr>
        <w:t xml:space="preserve">es susceptible de ser generada, poseída o administrada por </w:t>
      </w:r>
      <w:r w:rsidR="009732F5">
        <w:rPr>
          <w:rFonts w:ascii="Palatino Linotype" w:hAnsi="Palatino Linotype" w:cs="Arial"/>
          <w:b/>
        </w:rPr>
        <w:t xml:space="preserve">El Sujeto Obligado. </w:t>
      </w:r>
      <w:r w:rsidR="009732F5">
        <w:rPr>
          <w:rFonts w:ascii="Palatino Linotype" w:hAnsi="Palatino Linotype" w:cs="Arial"/>
        </w:rPr>
        <w:t xml:space="preserve"> </w:t>
      </w:r>
    </w:p>
    <w:p w14:paraId="43CC59E3" w14:textId="77777777" w:rsidR="00F909A9" w:rsidRDefault="00F909A9" w:rsidP="00BB3132">
      <w:pPr>
        <w:spacing w:line="360" w:lineRule="auto"/>
        <w:jc w:val="both"/>
        <w:rPr>
          <w:rFonts w:ascii="Palatino Linotype" w:hAnsi="Palatino Linotype"/>
          <w:bCs/>
          <w:sz w:val="24"/>
          <w:szCs w:val="24"/>
        </w:rPr>
      </w:pPr>
    </w:p>
    <w:p w14:paraId="125C3D59" w14:textId="7BBCD119" w:rsidR="009732F5" w:rsidRDefault="00DF5C75" w:rsidP="00BB3132">
      <w:pPr>
        <w:spacing w:line="360" w:lineRule="auto"/>
        <w:jc w:val="both"/>
        <w:rPr>
          <w:rFonts w:ascii="Palatino Linotype" w:hAnsi="Palatino Linotype"/>
          <w:bCs/>
          <w:sz w:val="24"/>
          <w:szCs w:val="24"/>
        </w:rPr>
      </w:pPr>
      <w:r>
        <w:rPr>
          <w:rFonts w:ascii="Palatino Linotype" w:hAnsi="Palatino Linotype"/>
          <w:bCs/>
          <w:sz w:val="24"/>
          <w:szCs w:val="24"/>
        </w:rPr>
        <w:t xml:space="preserve">Una vez sentado lo anterior, como se mencionó en el antecedente segundo, </w:t>
      </w:r>
      <w:r>
        <w:rPr>
          <w:rFonts w:ascii="Palatino Linotype" w:hAnsi="Palatino Linotype"/>
          <w:b/>
          <w:bCs/>
          <w:sz w:val="24"/>
          <w:szCs w:val="24"/>
        </w:rPr>
        <w:t xml:space="preserve">El Sujeto Obligado, </w:t>
      </w:r>
      <w:r>
        <w:rPr>
          <w:rFonts w:ascii="Palatino Linotype" w:hAnsi="Palatino Linotype"/>
          <w:bCs/>
          <w:sz w:val="24"/>
          <w:szCs w:val="24"/>
        </w:rPr>
        <w:t xml:space="preserve">en fecha </w:t>
      </w:r>
      <w:r w:rsidR="009732F5">
        <w:rPr>
          <w:rFonts w:ascii="Palatino Linotype" w:hAnsi="Palatino Linotype"/>
          <w:bCs/>
          <w:sz w:val="24"/>
          <w:szCs w:val="24"/>
        </w:rPr>
        <w:t xml:space="preserve">diecinueve de abril de dos mil veintidós, dio respuesta a la solicitud de información </w:t>
      </w:r>
      <w:r w:rsidR="009732F5">
        <w:rPr>
          <w:rFonts w:ascii="Palatino Linotype" w:hAnsi="Palatino Linotype"/>
          <w:b/>
          <w:bCs/>
          <w:sz w:val="24"/>
          <w:szCs w:val="24"/>
        </w:rPr>
        <w:t xml:space="preserve">00748/TOLUCA/IP/2022 </w:t>
      </w:r>
      <w:r w:rsidR="009732F5">
        <w:rPr>
          <w:rFonts w:ascii="Palatino Linotype" w:hAnsi="Palatino Linotype"/>
          <w:bCs/>
          <w:sz w:val="24"/>
          <w:szCs w:val="24"/>
        </w:rPr>
        <w:t xml:space="preserve">en los siguientes términos: </w:t>
      </w:r>
    </w:p>
    <w:p w14:paraId="705B5AF1" w14:textId="3F8ED9DD" w:rsidR="009732F5" w:rsidRDefault="009732F5" w:rsidP="00BA6226">
      <w:pPr>
        <w:pStyle w:val="Prrafodelista"/>
        <w:numPr>
          <w:ilvl w:val="0"/>
          <w:numId w:val="2"/>
        </w:numPr>
        <w:spacing w:line="360" w:lineRule="auto"/>
        <w:jc w:val="both"/>
        <w:rPr>
          <w:rFonts w:ascii="Palatino Linotype" w:hAnsi="Palatino Linotype"/>
          <w:b/>
          <w:bCs/>
        </w:rPr>
      </w:pPr>
      <w:r>
        <w:rPr>
          <w:rFonts w:ascii="Palatino Linotype" w:hAnsi="Palatino Linotype"/>
          <w:b/>
          <w:bCs/>
        </w:rPr>
        <w:t xml:space="preserve">“Repsuesta 748_2022.pdf”: </w:t>
      </w:r>
      <w:r>
        <w:rPr>
          <w:rFonts w:ascii="Palatino Linotype" w:hAnsi="Palatino Linotype"/>
          <w:bCs/>
        </w:rPr>
        <w:t xml:space="preserve">Oficio sin número signado por la Titular de la Unidad de Transparencia y dirigido a la particular, de fecha diecinueve de abril de dos mil veintidós, en lo medular refiere que la información requerida mediante la solicitud de información </w:t>
      </w:r>
      <w:r>
        <w:rPr>
          <w:rFonts w:ascii="Palatino Linotype" w:hAnsi="Palatino Linotype"/>
          <w:b/>
          <w:bCs/>
        </w:rPr>
        <w:t xml:space="preserve">00748/TOLUCA/IP/2022 </w:t>
      </w:r>
      <w:r>
        <w:rPr>
          <w:rFonts w:ascii="Palatino Linotype" w:hAnsi="Palatino Linotype"/>
          <w:bCs/>
        </w:rPr>
        <w:t xml:space="preserve">fue clasificada como reservada, adjuntando para tal efecto Acta del Comité de Transparencia. </w:t>
      </w:r>
    </w:p>
    <w:p w14:paraId="5603744F" w14:textId="2DE503FA" w:rsidR="009732F5" w:rsidRPr="009732F5" w:rsidRDefault="009732F5" w:rsidP="00BA6226">
      <w:pPr>
        <w:pStyle w:val="Prrafodelista"/>
        <w:numPr>
          <w:ilvl w:val="0"/>
          <w:numId w:val="2"/>
        </w:numPr>
        <w:spacing w:line="360" w:lineRule="auto"/>
        <w:jc w:val="both"/>
        <w:rPr>
          <w:rFonts w:ascii="Palatino Linotype" w:hAnsi="Palatino Linotype"/>
          <w:b/>
          <w:bCs/>
        </w:rPr>
      </w:pPr>
      <w:r>
        <w:rPr>
          <w:rFonts w:ascii="Palatino Linotype" w:hAnsi="Palatino Linotype"/>
          <w:b/>
          <w:bCs/>
        </w:rPr>
        <w:t xml:space="preserve">“Centésima Octogésima Tercera Extraordinaria 22.pdf”: </w:t>
      </w:r>
      <w:r>
        <w:rPr>
          <w:rFonts w:ascii="Palatino Linotype" w:hAnsi="Palatino Linotype"/>
          <w:bCs/>
        </w:rPr>
        <w:t xml:space="preserve">Acta de la </w:t>
      </w:r>
      <w:r w:rsidR="008F4670">
        <w:rPr>
          <w:rFonts w:ascii="Palatino Linotype" w:hAnsi="Palatino Linotype"/>
          <w:bCs/>
        </w:rPr>
        <w:t>Centésima Octogésima</w:t>
      </w:r>
      <w:r>
        <w:rPr>
          <w:rFonts w:ascii="Palatino Linotype" w:hAnsi="Palatino Linotype"/>
          <w:bCs/>
        </w:rPr>
        <w:t xml:space="preserve"> Tercera Sesión Extraordinaria 2022 del Comité de Transparencia del Municipio de Toluca, en síntesis se clasifica como reservada la información requerida mediante la solicitud de información </w:t>
      </w:r>
      <w:r>
        <w:rPr>
          <w:rFonts w:ascii="Palatino Linotype" w:hAnsi="Palatino Linotype"/>
          <w:b/>
          <w:bCs/>
        </w:rPr>
        <w:t xml:space="preserve">00748/TOLUCA/IP/2022. </w:t>
      </w:r>
    </w:p>
    <w:p w14:paraId="5A37C0AB" w14:textId="77777777" w:rsidR="009732F5" w:rsidRDefault="009732F5" w:rsidP="00BB3132">
      <w:pPr>
        <w:spacing w:line="360" w:lineRule="auto"/>
        <w:jc w:val="both"/>
        <w:rPr>
          <w:rFonts w:ascii="Palatino Linotype" w:hAnsi="Palatino Linotype"/>
          <w:bCs/>
          <w:sz w:val="24"/>
          <w:szCs w:val="24"/>
        </w:rPr>
      </w:pPr>
    </w:p>
    <w:p w14:paraId="11A13D92" w14:textId="6D9CE950" w:rsidR="00F909A9" w:rsidRDefault="00690791" w:rsidP="00A84417">
      <w:pPr>
        <w:spacing w:before="240" w:line="360" w:lineRule="auto"/>
        <w:jc w:val="both"/>
        <w:rPr>
          <w:rFonts w:ascii="Palatino Linotype" w:hAnsi="Palatino Linotype"/>
          <w:sz w:val="24"/>
          <w:szCs w:val="24"/>
        </w:rPr>
      </w:pPr>
      <w:r>
        <w:rPr>
          <w:rFonts w:ascii="Palatino Linotype" w:hAnsi="Palatino Linotype"/>
          <w:sz w:val="24"/>
          <w:szCs w:val="24"/>
        </w:rPr>
        <w:t xml:space="preserve">Inconforme con la respuesta rendida por </w:t>
      </w:r>
      <w:r>
        <w:rPr>
          <w:rFonts w:ascii="Palatino Linotype" w:hAnsi="Palatino Linotype"/>
          <w:b/>
          <w:sz w:val="24"/>
          <w:szCs w:val="24"/>
        </w:rPr>
        <w:t xml:space="preserve">El Sujeto Obligado, El Recurrente </w:t>
      </w:r>
      <w:r>
        <w:rPr>
          <w:rFonts w:ascii="Palatino Linotype" w:hAnsi="Palatino Linotype"/>
          <w:sz w:val="24"/>
          <w:szCs w:val="24"/>
        </w:rPr>
        <w:t xml:space="preserve">interpuso recurso de revisión en fecha </w:t>
      </w:r>
      <w:r w:rsidR="00F909A9">
        <w:rPr>
          <w:rFonts w:ascii="Palatino Linotype" w:hAnsi="Palatino Linotype"/>
          <w:sz w:val="24"/>
          <w:szCs w:val="24"/>
        </w:rPr>
        <w:t>veintiuno de abril, admitiéndose el veintiséis de abril, ambos de dos mil veintidós. Señalando como razones o motivos de inconformidad:</w:t>
      </w:r>
    </w:p>
    <w:p w14:paraId="37AF99E0" w14:textId="3E8FD53D" w:rsidR="00F909A9" w:rsidRPr="00F909A9" w:rsidRDefault="00F909A9" w:rsidP="00F909A9">
      <w:pPr>
        <w:pStyle w:val="Citas"/>
        <w:rPr>
          <w:b/>
          <w:sz w:val="24"/>
          <w:szCs w:val="24"/>
        </w:rPr>
      </w:pPr>
      <w:r>
        <w:lastRenderedPageBreak/>
        <w:t xml:space="preserve">“No me entregaron lo que solicite” </w:t>
      </w:r>
      <w:r>
        <w:rPr>
          <w:b/>
        </w:rPr>
        <w:t>(Sic)</w:t>
      </w:r>
    </w:p>
    <w:p w14:paraId="06EE2890" w14:textId="77777777" w:rsidR="00F909A9" w:rsidRDefault="00F909A9" w:rsidP="005A4EBE">
      <w:pPr>
        <w:pStyle w:val="Citas"/>
        <w:ind w:left="0" w:right="0"/>
        <w:rPr>
          <w:i w:val="0"/>
          <w:sz w:val="24"/>
          <w:szCs w:val="24"/>
        </w:rPr>
      </w:pPr>
    </w:p>
    <w:p w14:paraId="42EF47B4" w14:textId="15A2E8B0" w:rsidR="005A4EBE" w:rsidRDefault="005A4EBE" w:rsidP="005A4EBE">
      <w:pPr>
        <w:pStyle w:val="Citas"/>
        <w:ind w:left="0" w:right="0"/>
        <w:rPr>
          <w:i w:val="0"/>
          <w:sz w:val="24"/>
          <w:szCs w:val="24"/>
        </w:rPr>
      </w:pPr>
      <w:r>
        <w:rPr>
          <w:i w:val="0"/>
          <w:sz w:val="24"/>
          <w:szCs w:val="24"/>
        </w:rPr>
        <w:t xml:space="preserve">En virtud de lo anterior, a toda luz se desprende que las razones o motivos de inconformidad esgrimidos por el particular se encuentran encauzados a denotar la actualización de las causales de procedencia previstas en el </w:t>
      </w:r>
      <w:r w:rsidR="00F909A9">
        <w:rPr>
          <w:i w:val="0"/>
          <w:sz w:val="24"/>
          <w:szCs w:val="24"/>
        </w:rPr>
        <w:t>artículo 179, fracciones</w:t>
      </w:r>
      <w:r>
        <w:rPr>
          <w:i w:val="0"/>
          <w:sz w:val="24"/>
          <w:szCs w:val="24"/>
        </w:rPr>
        <w:t xml:space="preserve"> I</w:t>
      </w:r>
      <w:r w:rsidR="00F909A9">
        <w:rPr>
          <w:i w:val="0"/>
          <w:sz w:val="24"/>
          <w:szCs w:val="24"/>
        </w:rPr>
        <w:t xml:space="preserve"> y II</w:t>
      </w:r>
      <w:r>
        <w:rPr>
          <w:i w:val="0"/>
          <w:sz w:val="24"/>
          <w:szCs w:val="24"/>
        </w:rPr>
        <w:t xml:space="preserve"> de la Ley de Transparencia y Acceso a la Información Pública del Estado de México y Municipios, normatividad que dispone a la literalidad lo siguiente: </w:t>
      </w:r>
    </w:p>
    <w:p w14:paraId="709EAE90" w14:textId="77777777" w:rsidR="005A4EBE" w:rsidRDefault="005A4EBE" w:rsidP="005A4EBE">
      <w:pPr>
        <w:pStyle w:val="Citas"/>
      </w:pPr>
      <w:r>
        <w:t xml:space="preserve"> “</w:t>
      </w:r>
      <w:r w:rsidRPr="00615A99">
        <w:t>Artículo 179. El recurso de revisión es un medio de protección que la Ley otorga a los particulares, para hacer valer su derecho de acceso a la información pública, y procederá en contra de las siguientes causas:</w:t>
      </w:r>
    </w:p>
    <w:p w14:paraId="129BB2EA" w14:textId="77777777" w:rsidR="005A4EBE" w:rsidRDefault="005A4EBE" w:rsidP="005A4EBE">
      <w:pPr>
        <w:pStyle w:val="Citas"/>
      </w:pPr>
      <w:r>
        <w:t xml:space="preserve">I. La negativa a la información solicitada; </w:t>
      </w:r>
    </w:p>
    <w:p w14:paraId="67C58D87" w14:textId="56CFA526" w:rsidR="00F909A9" w:rsidRDefault="00F909A9" w:rsidP="005A4EBE">
      <w:pPr>
        <w:pStyle w:val="Citas"/>
      </w:pPr>
      <w:r>
        <w:t>II. La clasificación de la información;</w:t>
      </w:r>
    </w:p>
    <w:p w14:paraId="7A8288A5" w14:textId="48B0A886" w:rsidR="005A4EBE" w:rsidRPr="005A4EBE" w:rsidRDefault="005A4EBE" w:rsidP="005A4EBE">
      <w:pPr>
        <w:pStyle w:val="Citas"/>
        <w:rPr>
          <w:b/>
        </w:rPr>
      </w:pPr>
      <w:r>
        <w:t xml:space="preserve">(…)” </w:t>
      </w:r>
      <w:r>
        <w:rPr>
          <w:b/>
        </w:rPr>
        <w:t>(Sic)</w:t>
      </w:r>
    </w:p>
    <w:p w14:paraId="25C563F5" w14:textId="77777777" w:rsidR="00F909A9" w:rsidRDefault="00F909A9" w:rsidP="00A84417">
      <w:pPr>
        <w:spacing w:before="240" w:line="360" w:lineRule="auto"/>
        <w:jc w:val="both"/>
        <w:rPr>
          <w:rFonts w:ascii="Palatino Linotype" w:hAnsi="Palatino Linotype"/>
          <w:sz w:val="24"/>
          <w:szCs w:val="24"/>
        </w:rPr>
      </w:pPr>
    </w:p>
    <w:p w14:paraId="60510822" w14:textId="562DF583" w:rsidR="00F909A9" w:rsidRDefault="00F909A9" w:rsidP="00F909A9">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Por otra parte, como fue mencionado en el antecedente quinto, </w:t>
      </w:r>
      <w:r>
        <w:rPr>
          <w:rFonts w:ascii="Palatino Linotype" w:hAnsi="Palatino Linotype" w:cs="Arial"/>
          <w:b/>
          <w:color w:val="000000"/>
          <w:sz w:val="24"/>
          <w:lang w:val="es-ES_tradnl"/>
        </w:rPr>
        <w:t xml:space="preserve">El Sujeto Obligado </w:t>
      </w:r>
      <w:r>
        <w:rPr>
          <w:rFonts w:ascii="Palatino Linotype" w:hAnsi="Palatino Linotype" w:cs="Arial"/>
          <w:color w:val="000000"/>
          <w:sz w:val="24"/>
          <w:lang w:val="es-ES_tradnl"/>
        </w:rPr>
        <w:t xml:space="preserve">rindió su informe justificado en fecha seis de mayo del presente, adjuntando para tal efecto lo siguiente: </w:t>
      </w:r>
    </w:p>
    <w:p w14:paraId="3C308499" w14:textId="45B5CFBD" w:rsidR="00F909A9" w:rsidRPr="00F909A9" w:rsidRDefault="00F909A9" w:rsidP="00BA6226">
      <w:pPr>
        <w:pStyle w:val="Prrafodelista"/>
        <w:numPr>
          <w:ilvl w:val="0"/>
          <w:numId w:val="3"/>
        </w:numPr>
        <w:spacing w:line="360" w:lineRule="auto"/>
        <w:jc w:val="both"/>
        <w:rPr>
          <w:rFonts w:ascii="Palatino Linotype" w:hAnsi="Palatino Linotype" w:cs="Arial"/>
          <w:b/>
          <w:color w:val="000000"/>
          <w:lang w:val="es-ES_tradnl"/>
        </w:rPr>
      </w:pPr>
      <w:r>
        <w:rPr>
          <w:rFonts w:ascii="Palatino Linotype" w:hAnsi="Palatino Linotype" w:cs="Arial"/>
          <w:b/>
          <w:color w:val="000000"/>
          <w:lang w:val="es-ES_tradnl"/>
        </w:rPr>
        <w:t xml:space="preserve">“RR 6305_2022.pdf”: </w:t>
      </w:r>
      <w:r>
        <w:rPr>
          <w:rFonts w:ascii="Palatino Linotype" w:hAnsi="Palatino Linotype" w:cs="Arial"/>
          <w:color w:val="000000"/>
          <w:lang w:val="es-ES_tradnl"/>
        </w:rPr>
        <w:t xml:space="preserve">Oficio </w:t>
      </w:r>
      <w:r>
        <w:rPr>
          <w:rFonts w:ascii="Palatino Linotype" w:hAnsi="Palatino Linotype" w:cs="Arial"/>
          <w:b/>
          <w:color w:val="000000"/>
          <w:lang w:val="es-ES_tradnl"/>
        </w:rPr>
        <w:t xml:space="preserve">UT/RR/00282/2022 </w:t>
      </w:r>
      <w:r>
        <w:rPr>
          <w:rFonts w:ascii="Palatino Linotype" w:hAnsi="Palatino Linotype" w:cs="Arial"/>
          <w:color w:val="000000"/>
          <w:lang w:val="es-ES_tradnl"/>
        </w:rPr>
        <w:t xml:space="preserve">signado por la Titular de la Unidad de Transparencia y dirigido al Comisionado Ponente, de fecha seis de mayo de dos mil veintidós, en síntesis ratifica la respuesta primigenia. </w:t>
      </w:r>
    </w:p>
    <w:p w14:paraId="096A892B" w14:textId="77777777" w:rsidR="00F909A9" w:rsidRDefault="00F909A9" w:rsidP="00F909A9">
      <w:pPr>
        <w:spacing w:after="0" w:line="360" w:lineRule="auto"/>
        <w:jc w:val="both"/>
        <w:rPr>
          <w:rFonts w:ascii="Palatino Linotype" w:hAnsi="Palatino Linotype" w:cs="Arial"/>
          <w:color w:val="000000"/>
          <w:sz w:val="24"/>
          <w:lang w:val="es-ES_tradnl"/>
        </w:rPr>
      </w:pPr>
    </w:p>
    <w:p w14:paraId="58DD06CE" w14:textId="77777777" w:rsidR="00B177F4" w:rsidRDefault="00B177F4" w:rsidP="00B177F4">
      <w:pPr>
        <w:spacing w:before="240" w:line="360" w:lineRule="auto"/>
        <w:jc w:val="both"/>
        <w:rPr>
          <w:rFonts w:ascii="Palatino Linotype" w:hAnsi="Palatino Linotype"/>
          <w:sz w:val="24"/>
          <w:szCs w:val="24"/>
        </w:rPr>
      </w:pPr>
      <w:r>
        <w:rPr>
          <w:rFonts w:ascii="Palatino Linotype" w:hAnsi="Palatino Linotype"/>
          <w:sz w:val="24"/>
          <w:szCs w:val="24"/>
        </w:rPr>
        <w:lastRenderedPageBreak/>
        <w:t>En razón de lo anterior, es óbice señalar que la información requerida es susceptible de clasificación, concebida como el acto administrativo</w:t>
      </w:r>
      <w:r w:rsidRPr="000A07D4">
        <w:rPr>
          <w:rFonts w:ascii="Palatino Linotype" w:hAnsi="Palatino Linotype"/>
          <w:sz w:val="24"/>
          <w:szCs w:val="24"/>
        </w:rPr>
        <w:t xml:space="preserve"> mediante el cual los </w:t>
      </w:r>
      <w:r w:rsidRPr="000A07D4">
        <w:rPr>
          <w:rFonts w:ascii="Palatino Linotype" w:hAnsi="Palatino Linotype"/>
          <w:b/>
          <w:sz w:val="24"/>
          <w:szCs w:val="24"/>
        </w:rPr>
        <w:t xml:space="preserve">Sujetos Obligados </w:t>
      </w:r>
      <w:r w:rsidRPr="000A07D4">
        <w:rPr>
          <w:rFonts w:ascii="Palatino Linotype" w:hAnsi="Palatino Linotype"/>
          <w:sz w:val="24"/>
          <w:szCs w:val="24"/>
        </w:rPr>
        <w:t xml:space="preserve">determinan que la información requerida actualiza alguno de los supuestos de confidencialidad </w:t>
      </w:r>
      <w:r w:rsidRPr="000A07D4">
        <w:rPr>
          <w:rFonts w:ascii="Palatino Linotype" w:hAnsi="Palatino Linotype"/>
          <w:b/>
          <w:sz w:val="24"/>
          <w:szCs w:val="24"/>
        </w:rPr>
        <w:t xml:space="preserve">o </w:t>
      </w:r>
      <w:r w:rsidRPr="000A07D4">
        <w:rPr>
          <w:rFonts w:ascii="Palatino Linotype" w:hAnsi="Palatino Linotype"/>
          <w:b/>
          <w:sz w:val="24"/>
          <w:szCs w:val="24"/>
          <w:u w:val="single"/>
        </w:rPr>
        <w:t>reserva,</w:t>
      </w:r>
      <w:r w:rsidRPr="000A07D4">
        <w:rPr>
          <w:rFonts w:ascii="Palatino Linotype" w:hAnsi="Palatino Linotype"/>
          <w:b/>
          <w:sz w:val="24"/>
          <w:szCs w:val="24"/>
        </w:rPr>
        <w:t xml:space="preserve"> </w:t>
      </w:r>
      <w:r w:rsidRPr="000A07D4">
        <w:rPr>
          <w:rFonts w:ascii="Palatino Linotype" w:hAnsi="Palatino Linotype"/>
          <w:sz w:val="24"/>
          <w:szCs w:val="24"/>
        </w:rPr>
        <w:t xml:space="preserve">de acuerdo con las bases y los principios inmersos en la normatividad aplicable. </w:t>
      </w:r>
    </w:p>
    <w:p w14:paraId="325AE03B" w14:textId="77777777" w:rsidR="00B177F4" w:rsidRPr="000A07D4" w:rsidRDefault="00B177F4" w:rsidP="00B177F4">
      <w:pPr>
        <w:autoSpaceDE w:val="0"/>
        <w:autoSpaceDN w:val="0"/>
        <w:adjustRightInd w:val="0"/>
        <w:spacing w:line="360" w:lineRule="auto"/>
        <w:jc w:val="both"/>
        <w:rPr>
          <w:rFonts w:ascii="Palatino Linotype" w:hAnsi="Palatino Linotype"/>
          <w:b/>
          <w:sz w:val="24"/>
          <w:szCs w:val="24"/>
        </w:rPr>
      </w:pPr>
      <w:r w:rsidRPr="000A07D4">
        <w:rPr>
          <w:rFonts w:ascii="Palatino Linotype" w:hAnsi="Palatino Linotype" w:cs="Arial"/>
          <w:sz w:val="24"/>
          <w:szCs w:val="24"/>
        </w:rPr>
        <w:t xml:space="preserve">Luego entonces, </w:t>
      </w:r>
      <w:r w:rsidRPr="000A07D4">
        <w:rPr>
          <w:rFonts w:ascii="Palatino Linotype" w:hAnsi="Palatino Linotype"/>
          <w:sz w:val="24"/>
          <w:szCs w:val="24"/>
        </w:rPr>
        <w:t xml:space="preserve">para realizar la reserva </w:t>
      </w:r>
      <w:r>
        <w:rPr>
          <w:rFonts w:ascii="Palatino Linotype" w:hAnsi="Palatino Linotype"/>
          <w:sz w:val="24"/>
          <w:szCs w:val="24"/>
        </w:rPr>
        <w:t xml:space="preserve">de </w:t>
      </w:r>
      <w:r w:rsidRPr="000A07D4">
        <w:rPr>
          <w:rFonts w:ascii="Palatino Linotype" w:hAnsi="Palatino Linotype"/>
          <w:sz w:val="24"/>
          <w:szCs w:val="24"/>
        </w:rPr>
        <w:t xml:space="preserve">la información, no basta con invocar alguna de las causales previstas en la Ley de transparencia local. En sentido contrario, dicha valoración debe realizarse a través de lo que se conoce como </w:t>
      </w:r>
      <w:r w:rsidRPr="000A07D4">
        <w:rPr>
          <w:rFonts w:ascii="Palatino Linotype" w:hAnsi="Palatino Linotype"/>
          <w:b/>
          <w:i/>
          <w:sz w:val="24"/>
          <w:szCs w:val="24"/>
        </w:rPr>
        <w:t xml:space="preserve">“prueba de daño”, </w:t>
      </w:r>
      <w:r w:rsidRPr="000A07D4">
        <w:rPr>
          <w:rFonts w:ascii="Palatino Linotype" w:hAnsi="Palatino Linotype"/>
          <w:sz w:val="24"/>
          <w:szCs w:val="24"/>
        </w:rPr>
        <w:t>que consiste en exponer los argumentos y razones, basados en elementos objetivos o verificables, a partir de los cuales se derive que la divulgación de información, en particular, puede afectar, poner en riesgo o dañar el interés protegido</w:t>
      </w:r>
      <w:r w:rsidRPr="000A07D4">
        <w:rPr>
          <w:sz w:val="24"/>
          <w:szCs w:val="24"/>
          <w:vertAlign w:val="superscript"/>
        </w:rPr>
        <w:footnoteReference w:id="2"/>
      </w:r>
      <w:r w:rsidRPr="000A07D4">
        <w:rPr>
          <w:rFonts w:ascii="Palatino Linotype" w:hAnsi="Palatino Linotype"/>
          <w:sz w:val="24"/>
          <w:szCs w:val="24"/>
        </w:rPr>
        <w:t>. Asimismo, ésta no debe basarse en meras especulaciones o suposiciones, sino en elementos objetivos que deban evaluar que existe un riego actual e inminente</w:t>
      </w:r>
      <w:r w:rsidRPr="000A07D4">
        <w:rPr>
          <w:sz w:val="24"/>
          <w:szCs w:val="24"/>
          <w:vertAlign w:val="superscript"/>
        </w:rPr>
        <w:footnoteReference w:id="3"/>
      </w:r>
      <w:r w:rsidRPr="000A07D4">
        <w:rPr>
          <w:rFonts w:ascii="Palatino Linotype" w:hAnsi="Palatino Linotype"/>
          <w:sz w:val="24"/>
          <w:szCs w:val="24"/>
        </w:rPr>
        <w:t>.</w:t>
      </w:r>
    </w:p>
    <w:p w14:paraId="4CA69B51" w14:textId="77777777" w:rsidR="00B177F4" w:rsidRPr="000A07D4" w:rsidRDefault="00B177F4" w:rsidP="00B177F4">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w:t>
      </w:r>
      <w:r w:rsidRPr="000A07D4">
        <w:rPr>
          <w:rFonts w:ascii="Palatino Linotype" w:hAnsi="Palatino Linotype"/>
          <w:color w:val="000000" w:themeColor="text1"/>
          <w:sz w:val="24"/>
          <w:szCs w:val="24"/>
        </w:rPr>
        <w:lastRenderedPageBreak/>
        <w:t xml:space="preserve">esto es, no se puede hacer una prueba de daño de un expediente completo, </w:t>
      </w:r>
      <w:r w:rsidRPr="000A07D4">
        <w:rPr>
          <w:rFonts w:ascii="Palatino Linotype" w:hAnsi="Palatino Linotype"/>
          <w:b/>
          <w:color w:val="000000" w:themeColor="text1"/>
          <w:sz w:val="24"/>
          <w:szCs w:val="24"/>
          <w:u w:val="single"/>
        </w:rPr>
        <w:t>sino de cada uno de los documentos que lo integran</w:t>
      </w:r>
      <w:r w:rsidRPr="000A07D4">
        <w:rPr>
          <w:rFonts w:ascii="Palatino Linotype" w:hAnsi="Palatino Linotype"/>
          <w:color w:val="000000" w:themeColor="text1"/>
          <w:sz w:val="24"/>
          <w:szCs w:val="24"/>
        </w:rPr>
        <w:t>.</w:t>
      </w:r>
    </w:p>
    <w:p w14:paraId="4F5F27C4" w14:textId="77777777" w:rsidR="00B177F4" w:rsidRPr="000A07D4" w:rsidRDefault="00B177F4" w:rsidP="00B177F4">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Para aplicar la prueba de daño, se deberán de precisar las razones objetivas por las que la apertura genera una afectación, acreditando que:</w:t>
      </w:r>
    </w:p>
    <w:p w14:paraId="108560F9" w14:textId="77777777" w:rsidR="00B177F4" w:rsidRPr="000A07D4" w:rsidRDefault="00B177F4" w:rsidP="00B177F4">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0A07D4">
        <w:rPr>
          <w:rFonts w:ascii="Palatino Linotype" w:hAnsi="Palatino Linotype" w:cs="Bookman Old Style"/>
          <w:bCs/>
          <w:color w:val="000000" w:themeColor="text1"/>
          <w:sz w:val="24"/>
          <w:szCs w:val="24"/>
          <w:lang w:val="es-ES_tradnl"/>
        </w:rPr>
        <w:t xml:space="preserve">I. </w:t>
      </w:r>
      <w:r w:rsidRPr="000A07D4">
        <w:rPr>
          <w:rFonts w:ascii="Palatino Linotype" w:hAnsi="Palatino Linotype" w:cs="Bookman Old Style"/>
          <w:color w:val="000000" w:themeColor="text1"/>
          <w:sz w:val="24"/>
          <w:szCs w:val="24"/>
          <w:lang w:val="es-ES_tradnl"/>
        </w:rPr>
        <w:t xml:space="preserve">La divulgación de la información representa un riesgo real, demostrable e identificable del perjuicio significativo al interés público o a la seguridad pública; </w:t>
      </w:r>
    </w:p>
    <w:p w14:paraId="67E5F0F8" w14:textId="77777777" w:rsidR="00B177F4" w:rsidRPr="000A07D4" w:rsidRDefault="00B177F4" w:rsidP="00B177F4">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0A07D4">
        <w:rPr>
          <w:rFonts w:ascii="Palatino Linotype" w:hAnsi="Palatino Linotype" w:cs="Bookman Old Style"/>
          <w:bCs/>
          <w:color w:val="000000" w:themeColor="text1"/>
          <w:sz w:val="24"/>
          <w:szCs w:val="24"/>
          <w:lang w:val="es-ES_tradnl"/>
        </w:rPr>
        <w:t xml:space="preserve">II. </w:t>
      </w:r>
      <w:r w:rsidRPr="000A07D4">
        <w:rPr>
          <w:rFonts w:ascii="Palatino Linotype" w:hAnsi="Palatino Linotype" w:cs="Bookman Old Style"/>
          <w:color w:val="000000" w:themeColor="text1"/>
          <w:sz w:val="24"/>
          <w:szCs w:val="24"/>
          <w:lang w:val="es-ES_tradnl"/>
        </w:rPr>
        <w:t xml:space="preserve">El riesgo de perjuicio que supondría la divulgación supera el interés público general de que se difunda; y </w:t>
      </w:r>
    </w:p>
    <w:p w14:paraId="7B5A42FD" w14:textId="77777777" w:rsidR="00B177F4" w:rsidRPr="000A07D4" w:rsidRDefault="00B177F4" w:rsidP="00B177F4">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0A07D4">
        <w:rPr>
          <w:rFonts w:ascii="Palatino Linotype" w:hAnsi="Palatino Linotype" w:cs="Bookman Old Style"/>
          <w:bCs/>
          <w:color w:val="000000" w:themeColor="text1"/>
          <w:sz w:val="24"/>
          <w:szCs w:val="24"/>
          <w:lang w:val="es-ES_tradnl"/>
        </w:rPr>
        <w:t xml:space="preserve">III. </w:t>
      </w:r>
      <w:r w:rsidRPr="000A07D4">
        <w:rPr>
          <w:rFonts w:ascii="Palatino Linotype" w:hAnsi="Palatino Linotype" w:cs="Bookman Old Style"/>
          <w:color w:val="000000" w:themeColor="text1"/>
          <w:sz w:val="24"/>
          <w:szCs w:val="24"/>
          <w:lang w:val="es-ES_tradnl"/>
        </w:rPr>
        <w:t xml:space="preserve">La limitación se adecua al principio de proporcionalidad y representa el medio menos restrictivo disponible para evitar el perjuicio. </w:t>
      </w:r>
    </w:p>
    <w:p w14:paraId="45D657D9" w14:textId="77777777" w:rsidR="008F4670" w:rsidRDefault="008F4670" w:rsidP="00B177F4">
      <w:pPr>
        <w:spacing w:line="360" w:lineRule="auto"/>
        <w:jc w:val="both"/>
        <w:rPr>
          <w:rFonts w:ascii="Palatino Linotype" w:hAnsi="Palatino Linotype"/>
          <w:color w:val="000000" w:themeColor="text1"/>
          <w:sz w:val="24"/>
          <w:szCs w:val="24"/>
        </w:rPr>
      </w:pPr>
    </w:p>
    <w:p w14:paraId="50C8EF80" w14:textId="77777777" w:rsidR="00B177F4" w:rsidRPr="000A07D4" w:rsidRDefault="00B177F4" w:rsidP="00B177F4">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4798EAA0" w14:textId="77777777" w:rsidR="00B177F4" w:rsidRPr="000A07D4" w:rsidRDefault="00B177F4" w:rsidP="00B177F4">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14:paraId="506DCFE5" w14:textId="77777777" w:rsidR="00B177F4" w:rsidRPr="000A07D4" w:rsidRDefault="00B177F4" w:rsidP="00B177F4">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lastRenderedPageBreak/>
        <w:t>Y, por último,  que la limitación es acorde con el principio de proporcionalidad, para ello, se sugiere emplear los tres juicios propuestos por la Corte Constitucional Colombiana</w:t>
      </w:r>
      <w:r w:rsidRPr="000A07D4">
        <w:rPr>
          <w:rStyle w:val="Refdenotaalpie"/>
          <w:rFonts w:ascii="Palatino Linotype" w:hAnsi="Palatino Linotype"/>
          <w:color w:val="000000" w:themeColor="text1"/>
        </w:rPr>
        <w:footnoteReference w:id="4"/>
      </w:r>
      <w:r w:rsidRPr="000A07D4">
        <w:rPr>
          <w:rFonts w:ascii="Palatino Linotype" w:hAnsi="Palatino Linotype"/>
          <w:color w:val="000000" w:themeColor="text1"/>
          <w:sz w:val="24"/>
          <w:szCs w:val="24"/>
        </w:rPr>
        <w:t>, siguiendo el principio de ponderación propuesto por el Tribunal Constitucional Alemán,</w:t>
      </w:r>
      <w:r w:rsidRPr="000A07D4">
        <w:rPr>
          <w:rStyle w:val="Refdenotaalpie"/>
          <w:rFonts w:ascii="Palatino Linotype" w:hAnsi="Palatino Linotype"/>
          <w:color w:val="000000" w:themeColor="text1"/>
        </w:rPr>
        <w:footnoteReference w:id="5"/>
      </w:r>
      <w:r w:rsidRPr="000A07D4">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1FCD60E1" w14:textId="77777777" w:rsidR="00B177F4" w:rsidRDefault="00B177F4" w:rsidP="00B177F4">
      <w:pPr>
        <w:spacing w:line="360" w:lineRule="auto"/>
        <w:jc w:val="both"/>
        <w:rPr>
          <w:rFonts w:ascii="Palatino Linotype" w:hAnsi="Palatino Linotype"/>
          <w:sz w:val="24"/>
          <w:szCs w:val="24"/>
          <w:lang w:val="es-ES"/>
        </w:rPr>
      </w:pPr>
      <w:r w:rsidRPr="000A07D4">
        <w:rPr>
          <w:rFonts w:ascii="Palatino Linotype" w:hAnsi="Palatino Linotype"/>
          <w:color w:val="000000" w:themeColor="text1"/>
          <w:sz w:val="24"/>
          <w:szCs w:val="24"/>
        </w:rPr>
        <w:t>Es así, que al configurarse tales requisitos, se otorga certidumbre jurídica y se protege la esfera más íntima del derecho humano constitucional y convencionalmente reconocido.</w:t>
      </w:r>
      <w:r>
        <w:rPr>
          <w:rFonts w:ascii="Palatino Linotype" w:hAnsi="Palatino Linotype"/>
          <w:color w:val="000000" w:themeColor="text1"/>
          <w:sz w:val="24"/>
          <w:szCs w:val="24"/>
        </w:rPr>
        <w:t xml:space="preserve"> </w:t>
      </w:r>
    </w:p>
    <w:p w14:paraId="0ACC8BCA" w14:textId="71FDD93B" w:rsidR="00F909A9" w:rsidRDefault="00C70B4A" w:rsidP="00A84417">
      <w:pPr>
        <w:spacing w:before="240" w:line="360" w:lineRule="auto"/>
        <w:jc w:val="both"/>
        <w:rPr>
          <w:rFonts w:ascii="Palatino Linotype" w:hAnsi="Palatino Linotype"/>
          <w:sz w:val="24"/>
          <w:szCs w:val="24"/>
        </w:rPr>
      </w:pPr>
      <w:r>
        <w:rPr>
          <w:rFonts w:ascii="Palatino Linotype" w:hAnsi="Palatino Linotype"/>
          <w:sz w:val="24"/>
          <w:szCs w:val="24"/>
        </w:rPr>
        <w:t xml:space="preserve">En virtud de lo anterior, se desprende que los Acuerdos de Reserva deberán de cumplir </w:t>
      </w:r>
      <w:r w:rsidR="00EC0826">
        <w:rPr>
          <w:rFonts w:ascii="Palatino Linotype" w:hAnsi="Palatino Linotype"/>
          <w:sz w:val="24"/>
          <w:szCs w:val="24"/>
        </w:rPr>
        <w:t>parámetros de forma y fondo, los cuales se abordan a continuación:</w:t>
      </w:r>
    </w:p>
    <w:tbl>
      <w:tblPr>
        <w:tblStyle w:val="Tablaconcuadrcula"/>
        <w:tblW w:w="9072" w:type="dxa"/>
        <w:tblLayout w:type="fixed"/>
        <w:tblLook w:val="04A0" w:firstRow="1" w:lastRow="0" w:firstColumn="1" w:lastColumn="0" w:noHBand="0" w:noVBand="1"/>
      </w:tblPr>
      <w:tblGrid>
        <w:gridCol w:w="1560"/>
        <w:gridCol w:w="1417"/>
        <w:gridCol w:w="6095"/>
      </w:tblGrid>
      <w:tr w:rsidR="00737817" w:rsidRPr="00A5268A" w14:paraId="6F63D452" w14:textId="77777777" w:rsidTr="00BD3D10">
        <w:tc>
          <w:tcPr>
            <w:tcW w:w="1560" w:type="dxa"/>
            <w:tcBorders>
              <w:top w:val="nil"/>
              <w:left w:val="nil"/>
            </w:tcBorders>
          </w:tcPr>
          <w:p w14:paraId="1A477C75" w14:textId="77777777" w:rsidR="00737817" w:rsidRPr="00A5268A" w:rsidRDefault="00737817" w:rsidP="00BD3D10">
            <w:pPr>
              <w:pStyle w:val="Prrafodelista"/>
              <w:spacing w:after="120"/>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437E44FC" w14:textId="77777777" w:rsidR="00737817" w:rsidRPr="00A5268A" w:rsidRDefault="00737817" w:rsidP="00BD3D10">
            <w:pPr>
              <w:pStyle w:val="Prrafodelista"/>
              <w:spacing w:after="120"/>
              <w:ind w:left="47"/>
              <w:jc w:val="center"/>
              <w:rPr>
                <w:rFonts w:ascii="Palatino Linotype" w:hAnsi="Palatino Linotype"/>
                <w:b/>
                <w:sz w:val="20"/>
                <w:szCs w:val="20"/>
              </w:rPr>
            </w:pPr>
            <w:r w:rsidRPr="00A5268A">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5E293F07" w14:textId="77777777" w:rsidR="00737817" w:rsidRPr="00A5268A" w:rsidRDefault="00737817" w:rsidP="00BD3D10">
            <w:pPr>
              <w:pStyle w:val="Prrafodelista"/>
              <w:spacing w:after="120"/>
              <w:ind w:left="47"/>
              <w:jc w:val="center"/>
              <w:rPr>
                <w:rFonts w:ascii="Palatino Linotype" w:hAnsi="Palatino Linotype"/>
                <w:b/>
              </w:rPr>
            </w:pPr>
            <w:r w:rsidRPr="00A5268A">
              <w:rPr>
                <w:rFonts w:ascii="Palatino Linotype" w:hAnsi="Palatino Linotype"/>
                <w:b/>
              </w:rPr>
              <w:t>Contenido</w:t>
            </w:r>
          </w:p>
        </w:tc>
      </w:tr>
      <w:tr w:rsidR="00737817" w:rsidRPr="00A5268A" w14:paraId="518F8525" w14:textId="77777777" w:rsidTr="00BD3D10">
        <w:tc>
          <w:tcPr>
            <w:tcW w:w="1560" w:type="dxa"/>
            <w:vAlign w:val="center"/>
          </w:tcPr>
          <w:p w14:paraId="63D53364" w14:textId="77777777" w:rsidR="00737817" w:rsidRPr="00B01CED" w:rsidRDefault="00737817" w:rsidP="00BD3D10">
            <w:pPr>
              <w:spacing w:after="120"/>
              <w:jc w:val="center"/>
              <w:rPr>
                <w:rFonts w:ascii="Palatino Linotype" w:hAnsi="Palatino Linotype"/>
                <w:b/>
                <w:sz w:val="16"/>
                <w:szCs w:val="16"/>
              </w:rPr>
            </w:pPr>
            <w:r w:rsidRPr="00B01CED">
              <w:rPr>
                <w:rFonts w:ascii="Palatino Linotype" w:hAnsi="Palatino Linotype"/>
                <w:b/>
                <w:sz w:val="16"/>
                <w:szCs w:val="16"/>
              </w:rPr>
              <w:t>Número de folio de la solicitud</w:t>
            </w:r>
          </w:p>
        </w:tc>
        <w:tc>
          <w:tcPr>
            <w:tcW w:w="1417" w:type="dxa"/>
            <w:tcBorders>
              <w:top w:val="single" w:sz="4" w:space="0" w:color="auto"/>
            </w:tcBorders>
            <w:vAlign w:val="center"/>
          </w:tcPr>
          <w:p w14:paraId="052168DC" w14:textId="77777777" w:rsidR="00737817" w:rsidRPr="00B01CED" w:rsidRDefault="00737817" w:rsidP="00BD3D10">
            <w:pPr>
              <w:spacing w:after="120"/>
              <w:ind w:left="47"/>
              <w:jc w:val="center"/>
              <w:rPr>
                <w:rFonts w:ascii="Palatino Linotype" w:hAnsi="Palatino Linotype"/>
                <w:b/>
              </w:rPr>
            </w:pPr>
            <w:r w:rsidRPr="00B01CED">
              <w:rPr>
                <w:rFonts w:ascii="Palatino Linotype" w:hAnsi="Palatino Linotype"/>
                <w:b/>
              </w:rPr>
              <w:t>Sí</w:t>
            </w:r>
          </w:p>
        </w:tc>
        <w:tc>
          <w:tcPr>
            <w:tcW w:w="6095" w:type="dxa"/>
            <w:tcBorders>
              <w:top w:val="single" w:sz="4" w:space="0" w:color="auto"/>
            </w:tcBorders>
            <w:vAlign w:val="center"/>
          </w:tcPr>
          <w:p w14:paraId="6DC0781E" w14:textId="77777777" w:rsidR="00737817" w:rsidRPr="00A5268A" w:rsidRDefault="00737817" w:rsidP="00BD3D10">
            <w:pPr>
              <w:spacing w:after="120"/>
              <w:ind w:left="-115"/>
              <w:jc w:val="center"/>
              <w:rPr>
                <w:rFonts w:ascii="Palatino Linotype" w:hAnsi="Palatino Linotype"/>
                <w:sz w:val="2"/>
              </w:rPr>
            </w:pPr>
          </w:p>
          <w:p w14:paraId="0BCCF995" w14:textId="0CAF1382" w:rsidR="00737817" w:rsidRPr="00A5268A" w:rsidRDefault="002F7E18" w:rsidP="00BD3D10">
            <w:pPr>
              <w:spacing w:after="120"/>
              <w:ind w:left="-115"/>
              <w:jc w:val="center"/>
              <w:rPr>
                <w:rFonts w:ascii="Palatino Linotype" w:hAnsi="Palatino Linotype"/>
              </w:rPr>
            </w:pPr>
            <w:r>
              <w:object w:dxaOrig="14100" w:dyaOrig="4380" w14:anchorId="5C651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6pt;height:160.85pt" o:ole="">
                  <v:imagedata r:id="rId10" o:title=""/>
                </v:shape>
                <o:OLEObject Type="Embed" ProgID="PBrush" ShapeID="_x0000_i1025" DrawAspect="Content" ObjectID="_1721246488" r:id="rId11"/>
              </w:object>
            </w:r>
          </w:p>
        </w:tc>
      </w:tr>
      <w:tr w:rsidR="00737817" w:rsidRPr="00A5268A" w14:paraId="4E1B4E4E" w14:textId="77777777" w:rsidTr="00BD3D10">
        <w:tc>
          <w:tcPr>
            <w:tcW w:w="1560" w:type="dxa"/>
            <w:vAlign w:val="center"/>
          </w:tcPr>
          <w:p w14:paraId="09F3C93E" w14:textId="77777777" w:rsidR="00737817" w:rsidRPr="00B01CED" w:rsidRDefault="00737817" w:rsidP="00BD3D10">
            <w:pPr>
              <w:spacing w:after="120"/>
              <w:jc w:val="center"/>
              <w:rPr>
                <w:rFonts w:ascii="Palatino Linotype" w:hAnsi="Palatino Linotype"/>
                <w:b/>
                <w:sz w:val="16"/>
                <w:szCs w:val="16"/>
              </w:rPr>
            </w:pPr>
            <w:r w:rsidRPr="00B01CED">
              <w:rPr>
                <w:rFonts w:ascii="Palatino Linotype" w:hAnsi="Palatino Linotype"/>
                <w:b/>
                <w:sz w:val="16"/>
                <w:szCs w:val="16"/>
              </w:rPr>
              <w:t>Referencia de la información solicitada</w:t>
            </w:r>
          </w:p>
        </w:tc>
        <w:tc>
          <w:tcPr>
            <w:tcW w:w="1417" w:type="dxa"/>
            <w:vAlign w:val="center"/>
          </w:tcPr>
          <w:p w14:paraId="687BF91B" w14:textId="77777777" w:rsidR="00737817" w:rsidRPr="00B01CED" w:rsidRDefault="00737817" w:rsidP="00BD3D10">
            <w:pPr>
              <w:spacing w:after="120"/>
              <w:ind w:left="47"/>
              <w:jc w:val="center"/>
              <w:rPr>
                <w:rFonts w:ascii="Palatino Linotype" w:hAnsi="Palatino Linotype"/>
                <w:b/>
              </w:rPr>
            </w:pPr>
            <w:r w:rsidRPr="00B01CED">
              <w:rPr>
                <w:rFonts w:ascii="Palatino Linotype" w:hAnsi="Palatino Linotype"/>
                <w:b/>
              </w:rPr>
              <w:t>Sí</w:t>
            </w:r>
          </w:p>
        </w:tc>
        <w:tc>
          <w:tcPr>
            <w:tcW w:w="6095" w:type="dxa"/>
            <w:vAlign w:val="center"/>
          </w:tcPr>
          <w:p w14:paraId="771079BD" w14:textId="236A5D86" w:rsidR="00737817" w:rsidRPr="00A5268A" w:rsidRDefault="002F7E18" w:rsidP="00BD3D10">
            <w:pPr>
              <w:spacing w:after="120"/>
              <w:jc w:val="center"/>
              <w:rPr>
                <w:rFonts w:ascii="Palatino Linotype" w:hAnsi="Palatino Linotype"/>
                <w:b/>
              </w:rPr>
            </w:pPr>
            <w:r>
              <w:object w:dxaOrig="17310" w:dyaOrig="8490" w14:anchorId="112D4D31">
                <v:shape id="_x0000_i1026" type="#_x0000_t75" style="width:293.6pt;height:201.95pt" o:ole="">
                  <v:imagedata r:id="rId12" o:title=""/>
                </v:shape>
                <o:OLEObject Type="Embed" ProgID="PBrush" ShapeID="_x0000_i1026" DrawAspect="Content" ObjectID="_1721246489" r:id="rId13"/>
              </w:object>
            </w:r>
          </w:p>
        </w:tc>
      </w:tr>
      <w:tr w:rsidR="00737817" w:rsidRPr="00A5268A" w14:paraId="3DF88F0F" w14:textId="77777777" w:rsidTr="00BD3D10">
        <w:tc>
          <w:tcPr>
            <w:tcW w:w="1560" w:type="dxa"/>
            <w:vAlign w:val="center"/>
          </w:tcPr>
          <w:p w14:paraId="0897EFEA" w14:textId="77777777" w:rsidR="00737817" w:rsidRPr="00B01CED" w:rsidRDefault="00737817" w:rsidP="00BD3D10">
            <w:pPr>
              <w:spacing w:after="120"/>
              <w:jc w:val="center"/>
              <w:rPr>
                <w:rFonts w:ascii="Palatino Linotype" w:hAnsi="Palatino Linotype"/>
                <w:b/>
                <w:sz w:val="16"/>
                <w:szCs w:val="16"/>
              </w:rPr>
            </w:pPr>
            <w:r w:rsidRPr="00B01CED">
              <w:rPr>
                <w:rFonts w:ascii="Palatino Linotype" w:hAnsi="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69CFC259" w14:textId="77777777" w:rsidR="00737817" w:rsidRPr="00B01CED" w:rsidRDefault="002F7E18" w:rsidP="00BD3D10">
            <w:pPr>
              <w:spacing w:after="120"/>
              <w:ind w:left="47"/>
              <w:jc w:val="center"/>
              <w:rPr>
                <w:rFonts w:ascii="Palatino Linotype" w:hAnsi="Palatino Linotype"/>
                <w:b/>
                <w:sz w:val="18"/>
                <w:szCs w:val="18"/>
              </w:rPr>
            </w:pPr>
            <w:r w:rsidRPr="00B01CED">
              <w:rPr>
                <w:rFonts w:ascii="Palatino Linotype" w:hAnsi="Palatino Linotype"/>
                <w:b/>
                <w:sz w:val="18"/>
                <w:szCs w:val="18"/>
              </w:rPr>
              <w:t xml:space="preserve">Parcialmente, </w:t>
            </w:r>
          </w:p>
          <w:p w14:paraId="47DB94DC" w14:textId="276336DB" w:rsidR="002F7E18" w:rsidRPr="00B01CED" w:rsidRDefault="002F7E18" w:rsidP="00BD3D10">
            <w:pPr>
              <w:spacing w:after="120"/>
              <w:ind w:left="47"/>
              <w:jc w:val="center"/>
              <w:rPr>
                <w:rFonts w:ascii="Palatino Linotype" w:hAnsi="Palatino Linotype"/>
                <w:sz w:val="18"/>
                <w:szCs w:val="18"/>
              </w:rPr>
            </w:pPr>
            <w:r w:rsidRPr="00B01CED">
              <w:rPr>
                <w:rFonts w:ascii="Palatino Linotype" w:hAnsi="Palatino Linotype"/>
                <w:sz w:val="18"/>
                <w:szCs w:val="18"/>
              </w:rPr>
              <w:t>Resultan faltantes las fracciones VII y XIII del artículo 113 de la Ley General de Transparencia</w:t>
            </w:r>
          </w:p>
        </w:tc>
        <w:tc>
          <w:tcPr>
            <w:tcW w:w="6095" w:type="dxa"/>
            <w:vAlign w:val="center"/>
          </w:tcPr>
          <w:p w14:paraId="4DEAA63F" w14:textId="1FC4D097" w:rsidR="00737817" w:rsidRPr="00A5268A" w:rsidRDefault="002F7E18" w:rsidP="00BD3D10">
            <w:pPr>
              <w:spacing w:after="120"/>
              <w:jc w:val="center"/>
              <w:rPr>
                <w:rFonts w:ascii="Palatino Linotype" w:hAnsi="Palatino Linotype"/>
                <w:b/>
                <w:noProof/>
                <w:lang w:eastAsia="es-MX"/>
              </w:rPr>
            </w:pPr>
            <w:r>
              <w:object w:dxaOrig="14745" w:dyaOrig="4305" w14:anchorId="50F42777">
                <v:shape id="_x0000_i1027" type="#_x0000_t75" style="width:293.6pt;height:115.95pt" o:ole="">
                  <v:imagedata r:id="rId14" o:title=""/>
                </v:shape>
                <o:OLEObject Type="Embed" ProgID="PBrush" ShapeID="_x0000_i1027" DrawAspect="Content" ObjectID="_1721246490" r:id="rId15"/>
              </w:object>
            </w:r>
          </w:p>
        </w:tc>
      </w:tr>
      <w:tr w:rsidR="00737817" w:rsidRPr="00A5268A" w14:paraId="598E3A45" w14:textId="77777777" w:rsidTr="00BD3D10">
        <w:tc>
          <w:tcPr>
            <w:tcW w:w="1560" w:type="dxa"/>
            <w:vAlign w:val="center"/>
          </w:tcPr>
          <w:p w14:paraId="039519EE" w14:textId="625FB2C9" w:rsidR="00737817" w:rsidRPr="00B01CED" w:rsidRDefault="00737817" w:rsidP="00BD3D10">
            <w:pPr>
              <w:tabs>
                <w:tab w:val="left" w:pos="317"/>
              </w:tabs>
              <w:spacing w:after="120"/>
              <w:jc w:val="center"/>
              <w:rPr>
                <w:rFonts w:ascii="Palatino Linotype" w:hAnsi="Palatino Linotype"/>
                <w:b/>
                <w:sz w:val="16"/>
                <w:szCs w:val="16"/>
              </w:rPr>
            </w:pPr>
            <w:r w:rsidRPr="00B01CED">
              <w:rPr>
                <w:rFonts w:ascii="Palatino Linotype" w:hAnsi="Palatino Linotype"/>
                <w:b/>
                <w:sz w:val="16"/>
                <w:szCs w:val="16"/>
              </w:rPr>
              <w:lastRenderedPageBreak/>
              <w:t>Fundamento y Motivación Legal</w:t>
            </w:r>
          </w:p>
        </w:tc>
        <w:tc>
          <w:tcPr>
            <w:tcW w:w="1417" w:type="dxa"/>
            <w:vAlign w:val="center"/>
          </w:tcPr>
          <w:p w14:paraId="74DC7332" w14:textId="77777777" w:rsidR="00737817" w:rsidRPr="00B01CED" w:rsidRDefault="002F7E18" w:rsidP="00BD3D10">
            <w:pPr>
              <w:spacing w:after="120"/>
              <w:ind w:left="47"/>
              <w:jc w:val="center"/>
              <w:rPr>
                <w:rFonts w:ascii="Palatino Linotype" w:hAnsi="Palatino Linotype"/>
                <w:b/>
                <w:sz w:val="18"/>
                <w:szCs w:val="18"/>
              </w:rPr>
            </w:pPr>
            <w:r w:rsidRPr="00B01CED">
              <w:rPr>
                <w:rFonts w:ascii="Palatino Linotype" w:hAnsi="Palatino Linotype"/>
                <w:b/>
                <w:sz w:val="18"/>
                <w:szCs w:val="18"/>
              </w:rPr>
              <w:t>Parcialmente</w:t>
            </w:r>
          </w:p>
          <w:p w14:paraId="483C4478" w14:textId="77777777" w:rsidR="002F7E18" w:rsidRPr="00B01CED" w:rsidRDefault="002F7E18" w:rsidP="00BD3D10">
            <w:pPr>
              <w:spacing w:after="120"/>
              <w:ind w:left="47"/>
              <w:jc w:val="center"/>
              <w:rPr>
                <w:rFonts w:ascii="Palatino Linotype" w:hAnsi="Palatino Linotype"/>
                <w:b/>
                <w:sz w:val="18"/>
                <w:szCs w:val="18"/>
              </w:rPr>
            </w:pPr>
          </w:p>
          <w:p w14:paraId="0A106D05" w14:textId="024600AA" w:rsidR="002F7E18" w:rsidRPr="00B01CED" w:rsidRDefault="002F7E18" w:rsidP="00BD3D10">
            <w:pPr>
              <w:spacing w:after="120"/>
              <w:ind w:left="47"/>
              <w:jc w:val="center"/>
              <w:rPr>
                <w:rFonts w:ascii="Palatino Linotype" w:hAnsi="Palatino Linotype"/>
                <w:sz w:val="18"/>
                <w:szCs w:val="18"/>
              </w:rPr>
            </w:pPr>
            <w:r w:rsidRPr="00B01CED">
              <w:rPr>
                <w:rFonts w:ascii="Palatino Linotype" w:hAnsi="Palatino Linotype"/>
                <w:sz w:val="18"/>
                <w:szCs w:val="18"/>
              </w:rPr>
              <w:t xml:space="preserve">Resulta faltante la fracción VI </w:t>
            </w:r>
            <w:r w:rsidR="00BD641B">
              <w:rPr>
                <w:rFonts w:ascii="Palatino Linotype" w:hAnsi="Palatino Linotype"/>
                <w:sz w:val="18"/>
                <w:szCs w:val="18"/>
              </w:rPr>
              <w:t xml:space="preserve">del artículo 140 </w:t>
            </w:r>
            <w:r w:rsidRPr="00B01CED">
              <w:rPr>
                <w:rFonts w:ascii="Palatino Linotype" w:hAnsi="Palatino Linotype"/>
                <w:sz w:val="18"/>
                <w:szCs w:val="18"/>
              </w:rPr>
              <w:t xml:space="preserve">de la Ley Local de Transparencia </w:t>
            </w:r>
          </w:p>
        </w:tc>
        <w:tc>
          <w:tcPr>
            <w:tcW w:w="6095" w:type="dxa"/>
            <w:vAlign w:val="center"/>
          </w:tcPr>
          <w:p w14:paraId="33331D14" w14:textId="77777777" w:rsidR="00737817" w:rsidRPr="00A5268A" w:rsidRDefault="00737817" w:rsidP="00BD3D10">
            <w:pPr>
              <w:spacing w:after="120"/>
              <w:jc w:val="center"/>
              <w:rPr>
                <w:rFonts w:ascii="Palatino Linotype" w:hAnsi="Palatino Linotype"/>
                <w:b/>
                <w:sz w:val="2"/>
              </w:rPr>
            </w:pPr>
          </w:p>
          <w:p w14:paraId="4AEF4DF3" w14:textId="39FBDCDD" w:rsidR="00737817" w:rsidRPr="00A5268A" w:rsidRDefault="002F7E18" w:rsidP="00BD3D10">
            <w:pPr>
              <w:spacing w:after="120"/>
              <w:ind w:left="47"/>
              <w:jc w:val="center"/>
              <w:rPr>
                <w:rFonts w:ascii="Palatino Linotype" w:hAnsi="Palatino Linotype"/>
                <w:b/>
              </w:rPr>
            </w:pPr>
            <w:r>
              <w:object w:dxaOrig="16140" w:dyaOrig="7050" w14:anchorId="157299C7">
                <v:shape id="_x0000_i1028" type="#_x0000_t75" style="width:293.6pt;height:223.5pt" o:ole="">
                  <v:imagedata r:id="rId16" o:title=""/>
                </v:shape>
                <o:OLEObject Type="Embed" ProgID="PBrush" ShapeID="_x0000_i1028" DrawAspect="Content" ObjectID="_1721246491" r:id="rId17"/>
              </w:object>
            </w:r>
          </w:p>
        </w:tc>
      </w:tr>
      <w:tr w:rsidR="00737817" w:rsidRPr="00A5268A" w14:paraId="7EEB4E51" w14:textId="77777777" w:rsidTr="00BD3D10">
        <w:tc>
          <w:tcPr>
            <w:tcW w:w="1560" w:type="dxa"/>
            <w:vAlign w:val="center"/>
          </w:tcPr>
          <w:p w14:paraId="405E3E7C" w14:textId="77777777" w:rsidR="00737817" w:rsidRPr="00B01CED" w:rsidRDefault="00737817" w:rsidP="00BD3D10">
            <w:pPr>
              <w:spacing w:after="120"/>
              <w:jc w:val="center"/>
              <w:rPr>
                <w:rFonts w:ascii="Palatino Linotype" w:hAnsi="Palatino Linotype"/>
                <w:b/>
                <w:sz w:val="16"/>
                <w:szCs w:val="16"/>
              </w:rPr>
            </w:pPr>
            <w:r w:rsidRPr="00B01CED">
              <w:rPr>
                <w:rFonts w:ascii="Palatino Linotype" w:hAnsi="Palatino Linotype"/>
                <w:b/>
                <w:sz w:val="16"/>
                <w:szCs w:val="16"/>
              </w:rPr>
              <w:t>Conexión entre los fundamentos y motivos que dieron origen a la Reserva de la información</w:t>
            </w:r>
          </w:p>
        </w:tc>
        <w:tc>
          <w:tcPr>
            <w:tcW w:w="1417" w:type="dxa"/>
            <w:vAlign w:val="center"/>
          </w:tcPr>
          <w:p w14:paraId="7A8FF794" w14:textId="5CC9E790" w:rsidR="00737817" w:rsidRPr="00B01CED" w:rsidRDefault="002F7E18" w:rsidP="00BD3D10">
            <w:pPr>
              <w:pStyle w:val="Prrafodelista"/>
              <w:spacing w:after="120"/>
              <w:ind w:left="29" w:firstLine="18"/>
              <w:jc w:val="center"/>
              <w:rPr>
                <w:rFonts w:ascii="Palatino Linotype" w:hAnsi="Palatino Linotype"/>
                <w:b/>
                <w:sz w:val="18"/>
                <w:szCs w:val="18"/>
              </w:rPr>
            </w:pPr>
            <w:r w:rsidRPr="00B01CED">
              <w:rPr>
                <w:rFonts w:ascii="Palatino Linotype" w:hAnsi="Palatino Linotype"/>
                <w:b/>
                <w:sz w:val="18"/>
                <w:szCs w:val="18"/>
              </w:rPr>
              <w:t>Parcialmente</w:t>
            </w:r>
          </w:p>
        </w:tc>
        <w:tc>
          <w:tcPr>
            <w:tcW w:w="6095" w:type="dxa"/>
            <w:vAlign w:val="center"/>
          </w:tcPr>
          <w:p w14:paraId="0019F57C" w14:textId="045916EC" w:rsidR="00737817" w:rsidRPr="00A5268A" w:rsidRDefault="002F7E18" w:rsidP="00BD3D10">
            <w:pPr>
              <w:pStyle w:val="Prrafodelista"/>
              <w:spacing w:after="120"/>
              <w:ind w:left="29" w:firstLine="18"/>
              <w:jc w:val="center"/>
              <w:rPr>
                <w:sz w:val="2"/>
              </w:rPr>
            </w:pPr>
            <w:r>
              <w:object w:dxaOrig="13350" w:dyaOrig="9435" w14:anchorId="52C6C68B">
                <v:shape id="_x0000_i1029" type="#_x0000_t75" style="width:293.6pt;height:302.05pt" o:ole="">
                  <v:imagedata r:id="rId18" o:title=""/>
                </v:shape>
                <o:OLEObject Type="Embed" ProgID="PBrush" ShapeID="_x0000_i1029" DrawAspect="Content" ObjectID="_1721246492" r:id="rId19"/>
              </w:object>
            </w:r>
          </w:p>
        </w:tc>
      </w:tr>
      <w:tr w:rsidR="00737817" w:rsidRPr="00A5268A" w14:paraId="3C6DBBE0" w14:textId="77777777" w:rsidTr="00BD3D10">
        <w:tc>
          <w:tcPr>
            <w:tcW w:w="9072" w:type="dxa"/>
            <w:gridSpan w:val="3"/>
            <w:shd w:val="clear" w:color="auto" w:fill="D9D9D9" w:themeFill="background1" w:themeFillShade="D9"/>
            <w:vAlign w:val="center"/>
          </w:tcPr>
          <w:p w14:paraId="24286314" w14:textId="77777777" w:rsidR="00737817" w:rsidRPr="00A5268A" w:rsidRDefault="00737817" w:rsidP="00BD3D10">
            <w:pPr>
              <w:pStyle w:val="Prrafodelista"/>
              <w:spacing w:after="120"/>
              <w:ind w:left="29" w:firstLine="18"/>
              <w:jc w:val="center"/>
              <w:rPr>
                <w:rFonts w:ascii="Palatino Linotype" w:hAnsi="Palatino Linotype"/>
              </w:rPr>
            </w:pPr>
            <w:r w:rsidRPr="00A5268A">
              <w:rPr>
                <w:rFonts w:ascii="Palatino Linotype" w:hAnsi="Palatino Linotype"/>
                <w:b/>
              </w:rPr>
              <w:t>Prueba de Daño</w:t>
            </w:r>
          </w:p>
        </w:tc>
      </w:tr>
      <w:tr w:rsidR="00737817" w:rsidRPr="00A5268A" w14:paraId="1DC6A12E" w14:textId="77777777" w:rsidTr="00BD3D10">
        <w:tc>
          <w:tcPr>
            <w:tcW w:w="1560" w:type="dxa"/>
            <w:vAlign w:val="center"/>
          </w:tcPr>
          <w:p w14:paraId="58CD5066" w14:textId="77777777" w:rsidR="00737817" w:rsidRPr="00B01CED" w:rsidRDefault="00737817" w:rsidP="00BD3D10">
            <w:pPr>
              <w:spacing w:after="120"/>
              <w:jc w:val="center"/>
              <w:rPr>
                <w:rFonts w:ascii="Palatino Linotype" w:hAnsi="Palatino Linotype"/>
                <w:b/>
                <w:sz w:val="16"/>
                <w:szCs w:val="16"/>
              </w:rPr>
            </w:pPr>
            <w:r w:rsidRPr="00B01CED">
              <w:rPr>
                <w:rFonts w:ascii="Palatino Linotype" w:hAnsi="Palatino Linotype"/>
                <w:b/>
                <w:sz w:val="16"/>
                <w:szCs w:val="16"/>
              </w:rPr>
              <w:lastRenderedPageBreak/>
              <w:t>Riesgo Real, Demostrable e Identificable</w:t>
            </w:r>
          </w:p>
          <w:p w14:paraId="57923298" w14:textId="77777777" w:rsidR="00737817" w:rsidRPr="00B01CED" w:rsidRDefault="00737817" w:rsidP="00BD3D10">
            <w:pPr>
              <w:spacing w:after="120"/>
              <w:jc w:val="center"/>
              <w:rPr>
                <w:rFonts w:ascii="Palatino Linotype" w:hAnsi="Palatino Linotype"/>
                <w:b/>
                <w:sz w:val="16"/>
                <w:szCs w:val="16"/>
              </w:rPr>
            </w:pPr>
            <w:r w:rsidRPr="00B01CED">
              <w:rPr>
                <w:rFonts w:ascii="Palatino Linotype" w:hAnsi="Palatino Linotype"/>
                <w:b/>
                <w:sz w:val="16"/>
                <w:szCs w:val="16"/>
              </w:rPr>
              <w:t>(Modo, Tiempo y Lugar)</w:t>
            </w:r>
          </w:p>
        </w:tc>
        <w:tc>
          <w:tcPr>
            <w:tcW w:w="1417" w:type="dxa"/>
            <w:vAlign w:val="center"/>
          </w:tcPr>
          <w:p w14:paraId="1EABCD62" w14:textId="373BE168" w:rsidR="00737817" w:rsidRPr="00B01CED" w:rsidRDefault="00EC0826" w:rsidP="00BD3D10">
            <w:pPr>
              <w:pStyle w:val="Prrafodelista"/>
              <w:spacing w:after="120"/>
              <w:ind w:left="29" w:firstLine="18"/>
              <w:jc w:val="center"/>
              <w:rPr>
                <w:rFonts w:ascii="Palatino Linotype" w:hAnsi="Palatino Linotype"/>
                <w:b/>
                <w:sz w:val="18"/>
                <w:szCs w:val="18"/>
              </w:rPr>
            </w:pPr>
            <w:r w:rsidRPr="00B01CED">
              <w:rPr>
                <w:rFonts w:ascii="Palatino Linotype" w:hAnsi="Palatino Linotype"/>
                <w:b/>
                <w:sz w:val="18"/>
                <w:szCs w:val="18"/>
              </w:rPr>
              <w:t>Parcialmente</w:t>
            </w:r>
          </w:p>
        </w:tc>
        <w:tc>
          <w:tcPr>
            <w:tcW w:w="6095" w:type="dxa"/>
            <w:vAlign w:val="center"/>
          </w:tcPr>
          <w:p w14:paraId="3FF2EC1D" w14:textId="52AEDC17" w:rsidR="00737817" w:rsidRPr="00A5268A" w:rsidRDefault="002F7E18" w:rsidP="00BD3D10">
            <w:pPr>
              <w:pStyle w:val="Prrafodelista"/>
              <w:spacing w:after="120"/>
              <w:ind w:left="29" w:firstLine="18"/>
              <w:jc w:val="center"/>
            </w:pPr>
            <w:r>
              <w:object w:dxaOrig="10710" w:dyaOrig="12600" w14:anchorId="0204C343">
                <v:shape id="_x0000_i1030" type="#_x0000_t75" style="width:293.6pt;height:345.05pt" o:ole="">
                  <v:imagedata r:id="rId20" o:title=""/>
                </v:shape>
                <o:OLEObject Type="Embed" ProgID="PBrush" ShapeID="_x0000_i1030" DrawAspect="Content" ObjectID="_1721246493" r:id="rId21"/>
              </w:object>
            </w:r>
            <w:r w:rsidR="00EC0826">
              <w:object w:dxaOrig="10110" w:dyaOrig="2160" w14:anchorId="5A8A268D">
                <v:shape id="_x0000_i1031" type="#_x0000_t75" style="width:294.55pt;height:62.65pt" o:ole="">
                  <v:imagedata r:id="rId22" o:title=""/>
                </v:shape>
                <o:OLEObject Type="Embed" ProgID="PBrush" ShapeID="_x0000_i1031" DrawAspect="Content" ObjectID="_1721246494" r:id="rId23"/>
              </w:object>
            </w:r>
          </w:p>
          <w:p w14:paraId="6558E143" w14:textId="73E18D87" w:rsidR="00737817" w:rsidRPr="00A5268A" w:rsidRDefault="00737817" w:rsidP="00BD3D10">
            <w:pPr>
              <w:pStyle w:val="Prrafodelista"/>
              <w:spacing w:after="120"/>
              <w:ind w:left="29" w:firstLine="18"/>
              <w:jc w:val="center"/>
              <w:rPr>
                <w:rFonts w:ascii="Palatino Linotype" w:hAnsi="Palatino Linotype"/>
                <w:sz w:val="2"/>
              </w:rPr>
            </w:pPr>
          </w:p>
        </w:tc>
      </w:tr>
      <w:tr w:rsidR="00737817" w:rsidRPr="00A5268A" w14:paraId="07E10B99" w14:textId="77777777" w:rsidTr="00BD3D10">
        <w:tc>
          <w:tcPr>
            <w:tcW w:w="1560" w:type="dxa"/>
            <w:vAlign w:val="center"/>
          </w:tcPr>
          <w:p w14:paraId="68223361" w14:textId="77777777" w:rsidR="00737817" w:rsidRPr="00B01CED" w:rsidRDefault="00737817" w:rsidP="00BD3D10">
            <w:pPr>
              <w:spacing w:after="120"/>
              <w:jc w:val="center"/>
              <w:rPr>
                <w:rFonts w:ascii="Palatino Linotype" w:hAnsi="Palatino Linotype"/>
                <w:b/>
                <w:sz w:val="16"/>
                <w:szCs w:val="16"/>
              </w:rPr>
            </w:pPr>
            <w:r w:rsidRPr="00B01CED">
              <w:rPr>
                <w:rFonts w:ascii="Palatino Linotype" w:hAnsi="Palatino Linotype"/>
                <w:b/>
                <w:sz w:val="16"/>
                <w:szCs w:val="16"/>
              </w:rPr>
              <w:t>Temporalidad de la Reserva de la información</w:t>
            </w:r>
          </w:p>
        </w:tc>
        <w:tc>
          <w:tcPr>
            <w:tcW w:w="1417" w:type="dxa"/>
            <w:vAlign w:val="center"/>
          </w:tcPr>
          <w:p w14:paraId="031A0FFF" w14:textId="77777777" w:rsidR="00737817" w:rsidRPr="00B01CED" w:rsidRDefault="00737817" w:rsidP="00BD3D10">
            <w:pPr>
              <w:pStyle w:val="Prrafodelista"/>
              <w:spacing w:after="120"/>
              <w:ind w:left="29" w:firstLine="18"/>
              <w:jc w:val="center"/>
              <w:rPr>
                <w:rFonts w:ascii="Palatino Linotype" w:hAnsi="Palatino Linotype"/>
                <w:b/>
              </w:rPr>
            </w:pPr>
            <w:r w:rsidRPr="00B01CED">
              <w:rPr>
                <w:rFonts w:ascii="Palatino Linotype" w:hAnsi="Palatino Linotype"/>
                <w:b/>
              </w:rPr>
              <w:t>Sí</w:t>
            </w:r>
          </w:p>
        </w:tc>
        <w:tc>
          <w:tcPr>
            <w:tcW w:w="6095" w:type="dxa"/>
            <w:vAlign w:val="center"/>
          </w:tcPr>
          <w:p w14:paraId="19E45180" w14:textId="77777777" w:rsidR="00737817" w:rsidRPr="00A5268A" w:rsidRDefault="00737817" w:rsidP="00BD3D10">
            <w:pPr>
              <w:pStyle w:val="Prrafodelista"/>
              <w:spacing w:after="120"/>
              <w:ind w:left="29" w:firstLine="18"/>
              <w:jc w:val="center"/>
              <w:rPr>
                <w:sz w:val="2"/>
              </w:rPr>
            </w:pPr>
          </w:p>
          <w:p w14:paraId="67176741" w14:textId="278805C9" w:rsidR="00737817" w:rsidRPr="00A5268A" w:rsidRDefault="00EC0826" w:rsidP="00BD3D10">
            <w:pPr>
              <w:pStyle w:val="Prrafodelista"/>
              <w:spacing w:after="120"/>
              <w:ind w:left="29" w:firstLine="18"/>
              <w:jc w:val="center"/>
              <w:rPr>
                <w:rFonts w:ascii="Palatino Linotype" w:hAnsi="Palatino Linotype"/>
              </w:rPr>
            </w:pPr>
            <w:r>
              <w:object w:dxaOrig="10155" w:dyaOrig="2700" w14:anchorId="4BE0E356">
                <v:shape id="_x0000_i1032" type="#_x0000_t75" style="width:293.6pt;height:103.8pt" o:ole="">
                  <v:imagedata r:id="rId24" o:title=""/>
                </v:shape>
                <o:OLEObject Type="Embed" ProgID="PBrush" ShapeID="_x0000_i1032" DrawAspect="Content" ObjectID="_1721246495" r:id="rId25"/>
              </w:object>
            </w:r>
          </w:p>
        </w:tc>
      </w:tr>
      <w:tr w:rsidR="00737817" w:rsidRPr="00A5268A" w14:paraId="060C4CFC" w14:textId="77777777" w:rsidTr="00BD3D10">
        <w:trPr>
          <w:trHeight w:val="3517"/>
        </w:trPr>
        <w:tc>
          <w:tcPr>
            <w:tcW w:w="1560" w:type="dxa"/>
            <w:vAlign w:val="center"/>
          </w:tcPr>
          <w:p w14:paraId="5F869E08" w14:textId="77777777" w:rsidR="00737817" w:rsidRPr="00B01CED" w:rsidRDefault="00737817" w:rsidP="00BD3D10">
            <w:pPr>
              <w:tabs>
                <w:tab w:val="left" w:pos="317"/>
              </w:tabs>
              <w:spacing w:after="120"/>
              <w:jc w:val="center"/>
              <w:rPr>
                <w:rFonts w:ascii="Palatino Linotype" w:hAnsi="Palatino Linotype"/>
                <w:b/>
                <w:sz w:val="16"/>
                <w:szCs w:val="16"/>
              </w:rPr>
            </w:pPr>
            <w:r w:rsidRPr="00B01CED">
              <w:rPr>
                <w:rFonts w:ascii="Palatino Linotype" w:hAnsi="Palatino Linotype"/>
                <w:b/>
                <w:sz w:val="16"/>
                <w:szCs w:val="16"/>
              </w:rPr>
              <w:lastRenderedPageBreak/>
              <w:t>Autoridades competentes.</w:t>
            </w:r>
          </w:p>
        </w:tc>
        <w:tc>
          <w:tcPr>
            <w:tcW w:w="1417" w:type="dxa"/>
            <w:vAlign w:val="center"/>
          </w:tcPr>
          <w:p w14:paraId="4A69949D" w14:textId="77777777" w:rsidR="00737817" w:rsidRPr="00B01CED" w:rsidRDefault="00737817" w:rsidP="00BD3D10">
            <w:pPr>
              <w:pStyle w:val="Prrafodelista"/>
              <w:spacing w:after="120"/>
              <w:ind w:left="29" w:firstLine="18"/>
              <w:jc w:val="center"/>
              <w:rPr>
                <w:rFonts w:ascii="Palatino Linotype" w:hAnsi="Palatino Linotype"/>
                <w:b/>
              </w:rPr>
            </w:pPr>
            <w:r w:rsidRPr="00B01CED">
              <w:rPr>
                <w:rFonts w:ascii="Palatino Linotype" w:hAnsi="Palatino Linotype"/>
                <w:b/>
              </w:rPr>
              <w:t>Sí</w:t>
            </w:r>
          </w:p>
        </w:tc>
        <w:tc>
          <w:tcPr>
            <w:tcW w:w="6095" w:type="dxa"/>
          </w:tcPr>
          <w:p w14:paraId="4F77209A" w14:textId="77777777" w:rsidR="00737817" w:rsidRPr="00A5268A" w:rsidRDefault="00737817" w:rsidP="00BD3D10">
            <w:pPr>
              <w:rPr>
                <w:sz w:val="8"/>
              </w:rPr>
            </w:pPr>
          </w:p>
          <w:p w14:paraId="282A9E6C" w14:textId="2BAA2468" w:rsidR="00737817" w:rsidRPr="00A5268A" w:rsidRDefault="00EC0826" w:rsidP="00BD3D10">
            <w:r w:rsidRPr="00EC0826">
              <w:rPr>
                <w:noProof/>
                <w:lang w:eastAsia="es-MX"/>
              </w:rPr>
              <w:drawing>
                <wp:inline distT="0" distB="0" distL="0" distR="0" wp14:anchorId="7C3D502E" wp14:editId="47E120BE">
                  <wp:extent cx="3485665" cy="3776869"/>
                  <wp:effectExtent l="0" t="0" r="635"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26"/>
                          <a:stretch>
                            <a:fillRect/>
                          </a:stretch>
                        </pic:blipFill>
                        <pic:spPr>
                          <a:xfrm>
                            <a:off x="0" y="0"/>
                            <a:ext cx="3495005" cy="3786989"/>
                          </a:xfrm>
                          <a:prstGeom prst="rect">
                            <a:avLst/>
                          </a:prstGeom>
                        </pic:spPr>
                      </pic:pic>
                    </a:graphicData>
                  </a:graphic>
                </wp:inline>
              </w:drawing>
            </w:r>
            <w:r w:rsidRPr="00EC0826">
              <w:rPr>
                <w:noProof/>
                <w:lang w:eastAsia="es-MX"/>
              </w:rPr>
              <w:drawing>
                <wp:inline distT="0" distB="0" distL="0" distR="0" wp14:anchorId="3943845F" wp14:editId="5A278BA8">
                  <wp:extent cx="3276600" cy="3301614"/>
                  <wp:effectExtent l="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27"/>
                          <a:stretch>
                            <a:fillRect/>
                          </a:stretch>
                        </pic:blipFill>
                        <pic:spPr>
                          <a:xfrm>
                            <a:off x="0" y="0"/>
                            <a:ext cx="3280052" cy="3305092"/>
                          </a:xfrm>
                          <a:prstGeom prst="rect">
                            <a:avLst/>
                          </a:prstGeom>
                        </pic:spPr>
                      </pic:pic>
                    </a:graphicData>
                  </a:graphic>
                </wp:inline>
              </w:drawing>
            </w:r>
          </w:p>
        </w:tc>
      </w:tr>
    </w:tbl>
    <w:p w14:paraId="02D439E6" w14:textId="17F92E7B" w:rsidR="00571389" w:rsidRDefault="00EC0826" w:rsidP="00A84417">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En razón de lo anterior, </w:t>
      </w:r>
      <w:r w:rsidR="00BB68CA">
        <w:rPr>
          <w:rFonts w:ascii="Palatino Linotype" w:hAnsi="Palatino Linotype"/>
          <w:sz w:val="24"/>
          <w:szCs w:val="24"/>
        </w:rPr>
        <w:t>se destaca que la pauta metodológica necesaria para clasificar la información como reservada se desprende inicialmente de identificar las causales aplicables</w:t>
      </w:r>
      <w:r w:rsidR="00571389">
        <w:rPr>
          <w:rFonts w:ascii="Palatino Linotype" w:hAnsi="Palatino Linotype"/>
          <w:sz w:val="24"/>
          <w:szCs w:val="24"/>
        </w:rPr>
        <w:t>, por ello, resulta oportuno realizar un análisis sistemático entre el</w:t>
      </w:r>
      <w:r w:rsidR="00BB68CA">
        <w:rPr>
          <w:rFonts w:ascii="Palatino Linotype" w:hAnsi="Palatino Linotype"/>
          <w:sz w:val="24"/>
          <w:szCs w:val="24"/>
        </w:rPr>
        <w:t xml:space="preserve"> numeral 140 de la Ley de Transparencia y Acceso a la Información Pública del Estado de México y Municipios, </w:t>
      </w:r>
      <w:r w:rsidR="00571389">
        <w:rPr>
          <w:rFonts w:ascii="Palatino Linotype" w:hAnsi="Palatino Linotype"/>
          <w:sz w:val="24"/>
          <w:szCs w:val="24"/>
        </w:rPr>
        <w:t xml:space="preserve">así como el artículo 81 de la Ley de Seguridad del Estado de México, porciones normativas que disponen a la literalidad lo siguiente: </w:t>
      </w:r>
    </w:p>
    <w:p w14:paraId="529F53EF" w14:textId="1D971BF1" w:rsidR="00571389" w:rsidRPr="00571389" w:rsidRDefault="00571389" w:rsidP="00571389">
      <w:pPr>
        <w:pStyle w:val="Citas"/>
        <w:jc w:val="center"/>
        <w:rPr>
          <w:b/>
        </w:rPr>
      </w:pPr>
      <w:r>
        <w:rPr>
          <w:b/>
        </w:rPr>
        <w:t xml:space="preserve">Ley de Transparencia y Acceso a la Información Pública del Estado de México y Municipios </w:t>
      </w:r>
    </w:p>
    <w:p w14:paraId="1366A327" w14:textId="05B4C801" w:rsidR="00BB68CA" w:rsidRDefault="00571389" w:rsidP="00BB68CA">
      <w:pPr>
        <w:pStyle w:val="Citas"/>
      </w:pPr>
      <w:r>
        <w:t>“</w:t>
      </w:r>
      <w:r w:rsidR="00BB68CA">
        <w:t xml:space="preserve">Artículo 140. El acceso a la información pública será restringido excepcionalmente, cuando por razones de interés público, ésta sea clasificada como reservada, conforme a los criterios siguientes: </w:t>
      </w:r>
    </w:p>
    <w:p w14:paraId="53D7FE6D" w14:textId="77777777" w:rsidR="00BB68CA" w:rsidRPr="00BB68CA" w:rsidRDefault="00BB68CA" w:rsidP="00BB68CA">
      <w:pPr>
        <w:pStyle w:val="Citas"/>
        <w:rPr>
          <w:b/>
          <w:u w:val="single"/>
        </w:rPr>
      </w:pPr>
      <w:r w:rsidRPr="00BB68CA">
        <w:rPr>
          <w:b/>
          <w:u w:val="single"/>
        </w:rPr>
        <w:t xml:space="preserve">I. Comprometa la seguridad pública y cuente con un propósito genuino y un efecto demostrable; </w:t>
      </w:r>
    </w:p>
    <w:p w14:paraId="47262BD0" w14:textId="77777777" w:rsidR="00BB68CA" w:rsidRDefault="00BB68CA" w:rsidP="00BB68CA">
      <w:pPr>
        <w:pStyle w:val="Citas"/>
      </w:pPr>
      <w:r>
        <w:t xml:space="preserve">II. Pueda menoscabar la conducción de las negociaciones y relaciones internacionales; </w:t>
      </w:r>
    </w:p>
    <w:p w14:paraId="204D0F16" w14:textId="77777777" w:rsidR="00BB68CA" w:rsidRDefault="00BB68CA" w:rsidP="00BB68CA">
      <w:pPr>
        <w:pStyle w:val="Citas"/>
      </w:pPr>
      <w: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4B1F0DB" w14:textId="77777777" w:rsidR="00BB68CA" w:rsidRPr="00007BD9" w:rsidRDefault="00BB68CA" w:rsidP="00BB68CA">
      <w:pPr>
        <w:pStyle w:val="Citas"/>
        <w:rPr>
          <w:b/>
          <w:u w:val="single"/>
        </w:rPr>
      </w:pPr>
      <w:r w:rsidRPr="00007BD9">
        <w:rPr>
          <w:b/>
          <w:u w:val="single"/>
        </w:rPr>
        <w:t xml:space="preserve">IV. Ponga en riesgo la vida, la seguridad o la salud de una persona física; </w:t>
      </w:r>
    </w:p>
    <w:p w14:paraId="2076442B" w14:textId="77777777" w:rsidR="00BB68CA" w:rsidRDefault="00BB68CA" w:rsidP="00BB68CA">
      <w:pPr>
        <w:pStyle w:val="Citas"/>
      </w:pPr>
      <w:r>
        <w:t xml:space="preserve">V. Aquella cuya divulgación obstruya o pueda causar un serio perjuicio a: </w:t>
      </w:r>
    </w:p>
    <w:p w14:paraId="53B48D2E" w14:textId="77777777" w:rsidR="00BB68CA" w:rsidRDefault="00BB68CA" w:rsidP="00BB68CA">
      <w:pPr>
        <w:pStyle w:val="Citas"/>
      </w:pPr>
      <w:r>
        <w:lastRenderedPageBreak/>
        <w:t xml:space="preserve">1. Las actividades de fiscalización, verificación, inspección, comprobación y auditoría sobre el cumplimiento de las Leyes; o </w:t>
      </w:r>
    </w:p>
    <w:p w14:paraId="1AB0879E" w14:textId="77777777" w:rsidR="00BB68CA" w:rsidRDefault="00BB68CA" w:rsidP="00BB68CA">
      <w:pPr>
        <w:pStyle w:val="Citas"/>
      </w:pPr>
      <w:r>
        <w:t xml:space="preserve">2. La recaudación de las contribuciones. </w:t>
      </w:r>
    </w:p>
    <w:p w14:paraId="6003F55F" w14:textId="77777777" w:rsidR="00BB68CA" w:rsidRDefault="00BB68CA" w:rsidP="00BB68CA">
      <w:pPr>
        <w:pStyle w:val="Citas"/>
      </w:pPr>
      <w:r w:rsidRPr="00BB68CA">
        <w:rPr>
          <w:b/>
          <w:u w:val="single"/>
        </w:rPr>
        <w:t>VI. Pueda causar daño u obstruya la prevención o persecución de los delitos,</w:t>
      </w:r>
      <w:r>
        <w:t xml:space="preserve">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15D81650" w14:textId="77777777" w:rsidR="00BB68CA" w:rsidRDefault="00BB68CA" w:rsidP="00BB68CA">
      <w:pPr>
        <w:pStyle w:val="Citas"/>
      </w:pPr>
      <w:r>
        <w:t xml:space="preserve">VII. La que contengan las opiniones, recomendaciones o puntos de vista que formen parte del proceso deliberativo de los servidores públicos, hasta en tanto sea adoptada la decisión definitiva, la cual deberá estar documentada; </w:t>
      </w:r>
    </w:p>
    <w:p w14:paraId="3896397C" w14:textId="77777777" w:rsidR="00BB68CA" w:rsidRDefault="00BB68CA" w:rsidP="00BB68CA">
      <w:pPr>
        <w:pStyle w:val="Citas"/>
      </w:pPr>
      <w:r>
        <w:t xml:space="preserve">VIII. Vulnere la conducción de los expedientes judiciales o de los procedimientos administrativos seguidos en forma de juicio, en tanto no hayan quedado firmes; </w:t>
      </w:r>
    </w:p>
    <w:p w14:paraId="79DF10B3" w14:textId="77777777" w:rsidR="00BB68CA" w:rsidRDefault="00BB68CA" w:rsidP="00BB68CA">
      <w:pPr>
        <w:pStyle w:val="Citas"/>
      </w:pPr>
      <w:r>
        <w:t xml:space="preserve">IX. Se encuentre contenida dentro de las investigaciones de hechos que la Ley señale como delitos y se tramiten ante el Ministerio Público; </w:t>
      </w:r>
    </w:p>
    <w:p w14:paraId="2E20FF38" w14:textId="77777777" w:rsidR="00BB68CA" w:rsidRDefault="00BB68CA" w:rsidP="00BB68CA">
      <w:pPr>
        <w:pStyle w:val="Citas"/>
      </w:pPr>
      <w: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6DE59CD9" w14:textId="77777777" w:rsidR="00BB68CA" w:rsidRDefault="00BB68CA" w:rsidP="00BB68CA">
      <w:pPr>
        <w:pStyle w:val="Citas"/>
      </w:pPr>
      <w:r>
        <w:lastRenderedPageBreak/>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21460BE9" w14:textId="0DF08E58" w:rsidR="00BB68CA" w:rsidRPr="00571389" w:rsidRDefault="00BB68CA" w:rsidP="00BB68CA">
      <w:pPr>
        <w:pStyle w:val="Citas"/>
        <w:rPr>
          <w:b/>
          <w:sz w:val="24"/>
          <w:szCs w:val="24"/>
        </w:rPr>
      </w:pPr>
      <w:r w:rsidRPr="00571389">
        <w:rPr>
          <w:b/>
          <w:u w:val="single"/>
        </w:rPr>
        <w:t>XI. Las que por disposición expresa de una ley tengan tal carácter, siempre que sean acordes con las bases, principios y disposiciones establecidos en esta Ley y no la contravengan; así como las previstas en tratados internacionales.</w:t>
      </w:r>
      <w:r w:rsidR="00571389">
        <w:rPr>
          <w:b/>
          <w:u w:val="single"/>
        </w:rPr>
        <w:t xml:space="preserve">” </w:t>
      </w:r>
      <w:r w:rsidR="00571389">
        <w:rPr>
          <w:b/>
        </w:rPr>
        <w:t>(Sic)</w:t>
      </w:r>
    </w:p>
    <w:p w14:paraId="227B50B9" w14:textId="0486C5AD" w:rsidR="00C70B4A" w:rsidRDefault="00571389" w:rsidP="00A84417">
      <w:pPr>
        <w:spacing w:before="240" w:line="360" w:lineRule="auto"/>
        <w:jc w:val="both"/>
        <w:rPr>
          <w:rFonts w:ascii="Palatino Linotype" w:hAnsi="Palatino Linotype"/>
          <w:sz w:val="24"/>
          <w:szCs w:val="24"/>
        </w:rPr>
      </w:pPr>
      <w:r>
        <w:rPr>
          <w:rFonts w:ascii="Palatino Linotype" w:hAnsi="Palatino Linotype"/>
          <w:sz w:val="24"/>
          <w:szCs w:val="24"/>
        </w:rPr>
        <w:t xml:space="preserve"> </w:t>
      </w:r>
    </w:p>
    <w:p w14:paraId="03699506" w14:textId="4A2C9880" w:rsidR="00571389" w:rsidRPr="008F4670" w:rsidRDefault="00007BD9" w:rsidP="008F4670">
      <w:pPr>
        <w:pStyle w:val="Citas"/>
        <w:jc w:val="center"/>
        <w:rPr>
          <w:b/>
        </w:rPr>
      </w:pPr>
      <w:r w:rsidRPr="008F4670">
        <w:rPr>
          <w:b/>
        </w:rPr>
        <w:t>Ley de Seguridad del Estado de México</w:t>
      </w:r>
    </w:p>
    <w:p w14:paraId="2A38F235" w14:textId="58BE2F1E" w:rsidR="00007BD9" w:rsidRDefault="008F4670" w:rsidP="00007BD9">
      <w:pPr>
        <w:pStyle w:val="Citas"/>
      </w:pPr>
      <w:r>
        <w:t>“</w:t>
      </w:r>
      <w:r w:rsidR="00007BD9">
        <w:t xml:space="preserve">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6B12C56B" w14:textId="65B0B158" w:rsidR="00007BD9" w:rsidRPr="00007BD9" w:rsidRDefault="00007BD9" w:rsidP="00007BD9">
      <w:pPr>
        <w:pStyle w:val="Citas"/>
        <w:rPr>
          <w:b/>
          <w:u w:val="single"/>
        </w:rPr>
      </w:pPr>
      <w:r w:rsidRPr="00007BD9">
        <w:rPr>
          <w:b/>
          <w:u w:val="single"/>
        </w:rPr>
        <w:t>I. Aquella cuya divulgación implique la revelación de normas, procedimientos, métodos, fuentes, especificaciones técnicas, sistemas, tecnología o equipos útiles a la generación de inteligencia para la seguridad pública o el combate a la delincuencia en el Estado de México;</w:t>
      </w:r>
    </w:p>
    <w:p w14:paraId="469071DB" w14:textId="11FEDDDC" w:rsidR="00007BD9" w:rsidRPr="008F4670" w:rsidRDefault="00007BD9" w:rsidP="00007BD9">
      <w:pPr>
        <w:pStyle w:val="Citas"/>
        <w:rPr>
          <w:b/>
        </w:rPr>
      </w:pPr>
      <w:r>
        <w:t>(…)</w:t>
      </w:r>
      <w:r w:rsidR="008F4670">
        <w:t xml:space="preserve">” </w:t>
      </w:r>
      <w:r w:rsidR="008F4670">
        <w:rPr>
          <w:b/>
        </w:rPr>
        <w:t>(Sic)</w:t>
      </w:r>
    </w:p>
    <w:p w14:paraId="6FD49A47" w14:textId="77777777" w:rsidR="00C70B4A" w:rsidRDefault="00C70B4A" w:rsidP="00A84417">
      <w:pPr>
        <w:spacing w:before="240" w:line="360" w:lineRule="auto"/>
        <w:jc w:val="both"/>
        <w:rPr>
          <w:rFonts w:ascii="Palatino Linotype" w:hAnsi="Palatino Linotype"/>
          <w:sz w:val="24"/>
          <w:szCs w:val="24"/>
        </w:rPr>
      </w:pPr>
    </w:p>
    <w:p w14:paraId="413DEF04" w14:textId="5EA58FC0" w:rsidR="00007BD9" w:rsidRDefault="00007BD9" w:rsidP="00A84417">
      <w:pPr>
        <w:spacing w:before="240" w:line="360" w:lineRule="auto"/>
        <w:jc w:val="both"/>
        <w:rPr>
          <w:rFonts w:ascii="Palatino Linotype" w:hAnsi="Palatino Linotype"/>
          <w:sz w:val="24"/>
          <w:szCs w:val="24"/>
        </w:rPr>
      </w:pPr>
      <w:r>
        <w:rPr>
          <w:rFonts w:ascii="Palatino Linotype" w:hAnsi="Palatino Linotype"/>
          <w:sz w:val="24"/>
          <w:szCs w:val="24"/>
        </w:rPr>
        <w:lastRenderedPageBreak/>
        <w:t>Luego entonces, esta Ponencia Resolutora estima que la información requerida es susceptible de actualizar las causales de procedencia de reserva de la información inmersas en</w:t>
      </w:r>
      <w:r w:rsidR="00B477A3">
        <w:rPr>
          <w:rFonts w:ascii="Palatino Linotype" w:hAnsi="Palatino Linotype"/>
          <w:sz w:val="24"/>
          <w:szCs w:val="24"/>
        </w:rPr>
        <w:t xml:space="preserve"> las fracciones I, IV, VI y XI</w:t>
      </w:r>
      <w:r w:rsidR="00142798">
        <w:rPr>
          <w:rFonts w:ascii="Palatino Linotype" w:hAnsi="Palatino Linotype"/>
          <w:sz w:val="24"/>
          <w:szCs w:val="24"/>
        </w:rPr>
        <w:t xml:space="preserve"> del artículo 140 de la Ley de Transparencia local</w:t>
      </w:r>
      <w:r w:rsidR="00B477A3">
        <w:rPr>
          <w:rFonts w:ascii="Palatino Linotype" w:hAnsi="Palatino Linotype"/>
          <w:sz w:val="24"/>
          <w:szCs w:val="24"/>
        </w:rPr>
        <w:t xml:space="preserve"> </w:t>
      </w:r>
      <w:r w:rsidR="00B477A3" w:rsidRPr="00A5285E">
        <w:rPr>
          <w:rFonts w:ascii="Palatino Linotype" w:hAnsi="Palatino Linotype"/>
          <w:sz w:val="24"/>
          <w:szCs w:val="24"/>
        </w:rPr>
        <w:t>(numeral 113, fracciones I, V, VII y XIII de la Ley General de Transparencia),</w:t>
      </w:r>
      <w:r w:rsidR="00B477A3">
        <w:rPr>
          <w:rFonts w:ascii="Palatino Linotype" w:hAnsi="Palatino Linotype"/>
          <w:sz w:val="24"/>
          <w:szCs w:val="24"/>
        </w:rPr>
        <w:t xml:space="preserve"> </w:t>
      </w:r>
      <w:r>
        <w:rPr>
          <w:rFonts w:ascii="Palatino Linotype" w:hAnsi="Palatino Linotype"/>
          <w:sz w:val="24"/>
          <w:szCs w:val="24"/>
        </w:rPr>
        <w:t xml:space="preserve">al tomar en consideración que: </w:t>
      </w:r>
    </w:p>
    <w:p w14:paraId="56A5679E" w14:textId="25F39D3C" w:rsidR="00007BD9" w:rsidRDefault="00007BD9" w:rsidP="00BA6226">
      <w:pPr>
        <w:pStyle w:val="Prrafodelista"/>
        <w:numPr>
          <w:ilvl w:val="0"/>
          <w:numId w:val="5"/>
        </w:numPr>
        <w:spacing w:before="240" w:line="360" w:lineRule="auto"/>
        <w:jc w:val="both"/>
        <w:rPr>
          <w:rFonts w:ascii="Palatino Linotype" w:hAnsi="Palatino Linotype"/>
        </w:rPr>
      </w:pPr>
      <w:r>
        <w:rPr>
          <w:rFonts w:ascii="Palatino Linotype" w:hAnsi="Palatino Linotype"/>
        </w:rPr>
        <w:t xml:space="preserve">Revelar la información requerida es susceptible de comprometer la seguridad pública pues se darían a conocer los mecanismos previstos para disminuir el robo de autopartes </w:t>
      </w:r>
      <w:r>
        <w:rPr>
          <w:rFonts w:ascii="Palatino Linotype" w:hAnsi="Palatino Linotype"/>
          <w:b/>
        </w:rPr>
        <w:t xml:space="preserve">–fracción I-. </w:t>
      </w:r>
    </w:p>
    <w:p w14:paraId="49297CC8" w14:textId="0C576472" w:rsidR="00007BD9" w:rsidRDefault="00007BD9" w:rsidP="00BA6226">
      <w:pPr>
        <w:pStyle w:val="Prrafodelista"/>
        <w:numPr>
          <w:ilvl w:val="0"/>
          <w:numId w:val="5"/>
        </w:numPr>
        <w:spacing w:before="240" w:line="360" w:lineRule="auto"/>
        <w:jc w:val="both"/>
        <w:rPr>
          <w:rFonts w:ascii="Palatino Linotype" w:hAnsi="Palatino Linotype"/>
        </w:rPr>
      </w:pPr>
      <w:r>
        <w:rPr>
          <w:rFonts w:ascii="Palatino Linotype" w:hAnsi="Palatino Linotype"/>
        </w:rPr>
        <w:t xml:space="preserve">La información requerida si es susceptible de comprometer la vida de personas físicas, pues si bien es cierto que bien jurídicamente tutelado del robo es la propiedad, lo cierto también es que </w:t>
      </w:r>
      <w:r w:rsidRPr="008F4670">
        <w:rPr>
          <w:rFonts w:ascii="Palatino Linotype" w:hAnsi="Palatino Linotype"/>
        </w:rPr>
        <w:t>puede encontrar otras variantes tal como el robo con violencia, conducta antijurídica que tutela el patrimonio, libertad, integridad física e incluso la vida</w:t>
      </w:r>
      <w:r w:rsidR="008F4670" w:rsidRPr="008F4670">
        <w:rPr>
          <w:rFonts w:ascii="Palatino Linotype" w:hAnsi="Palatino Linotype"/>
        </w:rPr>
        <w:t>, es decir, compromete la integridad de la ciudadanía pero también de integrantes de cuerpos de seguridad.</w:t>
      </w:r>
      <w:r w:rsidR="00D04204" w:rsidRPr="008F4670">
        <w:rPr>
          <w:rFonts w:ascii="Palatino Linotype" w:hAnsi="Palatino Linotype"/>
        </w:rPr>
        <w:t xml:space="preserve"> </w:t>
      </w:r>
      <w:r w:rsidRPr="008F4670">
        <w:rPr>
          <w:rFonts w:ascii="Palatino Linotype" w:hAnsi="Palatino Linotype"/>
        </w:rPr>
        <w:t xml:space="preserve"> </w:t>
      </w:r>
      <w:r w:rsidRPr="008F4670">
        <w:rPr>
          <w:rFonts w:ascii="Palatino Linotype" w:hAnsi="Palatino Linotype"/>
          <w:b/>
        </w:rPr>
        <w:t>–fracción IV</w:t>
      </w:r>
      <w:r>
        <w:rPr>
          <w:rFonts w:ascii="Palatino Linotype" w:hAnsi="Palatino Linotype"/>
          <w:b/>
        </w:rPr>
        <w:t xml:space="preserve">- </w:t>
      </w:r>
    </w:p>
    <w:p w14:paraId="2590FD06" w14:textId="7E571624" w:rsidR="00007BD9" w:rsidRPr="009F1287" w:rsidRDefault="00007BD9" w:rsidP="00BA6226">
      <w:pPr>
        <w:pStyle w:val="Prrafodelista"/>
        <w:numPr>
          <w:ilvl w:val="0"/>
          <w:numId w:val="5"/>
        </w:numPr>
        <w:spacing w:before="240" w:line="360" w:lineRule="auto"/>
        <w:jc w:val="both"/>
        <w:rPr>
          <w:rFonts w:ascii="Palatino Linotype" w:hAnsi="Palatino Linotype"/>
          <w:b/>
          <w:u w:val="single"/>
        </w:rPr>
      </w:pPr>
      <w:r w:rsidRPr="009F1287">
        <w:rPr>
          <w:rFonts w:ascii="Palatino Linotype" w:hAnsi="Palatino Linotype"/>
          <w:b/>
          <w:u w:val="single"/>
        </w:rPr>
        <w:t xml:space="preserve">Que el requerimiento formulado mediante la solicitud de información 00748/TOLUCA/IP/2022 guarda una estrecha relación con la prevención de delitos al estribar en las estrategias para disminuir el robo de computadoras de vehículos –fracción VI-, hipótesis normativa ausente en el acuerdo remitido por El Sujeto Obligado mediante respuesta primigenia. </w:t>
      </w:r>
    </w:p>
    <w:p w14:paraId="17ED1BFA" w14:textId="7F699C6D" w:rsidR="00007BD9" w:rsidRPr="00007BD9" w:rsidRDefault="00007BD9" w:rsidP="00BA6226">
      <w:pPr>
        <w:pStyle w:val="Prrafodelista"/>
        <w:numPr>
          <w:ilvl w:val="0"/>
          <w:numId w:val="5"/>
        </w:numPr>
        <w:spacing w:before="240" w:line="360" w:lineRule="auto"/>
        <w:jc w:val="both"/>
        <w:rPr>
          <w:rFonts w:ascii="Palatino Linotype" w:hAnsi="Palatino Linotype"/>
        </w:rPr>
      </w:pPr>
      <w:r>
        <w:rPr>
          <w:rFonts w:ascii="Palatino Linotype" w:hAnsi="Palatino Linotype"/>
        </w:rPr>
        <w:t xml:space="preserve">Finalmente, con relación a la fracción XI del artículo 140 de la Ley de Transparencia local, se destaca que se prevé como causal de procedencia de reserva de la información, hipótesis normativa que se tiene por actualizada </w:t>
      </w:r>
      <w:r>
        <w:rPr>
          <w:rFonts w:ascii="Palatino Linotype" w:hAnsi="Palatino Linotype"/>
        </w:rPr>
        <w:lastRenderedPageBreak/>
        <w:t>derivado de un análisis sistemático, armónico y congruente con el numeral 81, fracción I de la Ley de Seguridad del Estado de México (revelación de normas, procedimientos, métodos u otros insumos útiles para la generación de inteligencia para la seguridad p</w:t>
      </w:r>
      <w:r w:rsidR="00B2232C">
        <w:rPr>
          <w:rFonts w:ascii="Palatino Linotype" w:hAnsi="Palatino Linotype"/>
        </w:rPr>
        <w:t xml:space="preserve">ública). </w:t>
      </w:r>
    </w:p>
    <w:p w14:paraId="00073D01" w14:textId="77777777" w:rsidR="00007BD9" w:rsidRDefault="00007BD9" w:rsidP="00A84417">
      <w:pPr>
        <w:spacing w:before="240" w:line="360" w:lineRule="auto"/>
        <w:jc w:val="both"/>
        <w:rPr>
          <w:rFonts w:ascii="Palatino Linotype" w:hAnsi="Palatino Linotype"/>
          <w:sz w:val="24"/>
          <w:szCs w:val="24"/>
        </w:rPr>
      </w:pPr>
    </w:p>
    <w:p w14:paraId="06C2844C" w14:textId="2E975708" w:rsidR="00D04204" w:rsidRDefault="00007BD9" w:rsidP="00A84417">
      <w:pPr>
        <w:spacing w:before="240" w:line="360" w:lineRule="auto"/>
        <w:jc w:val="both"/>
        <w:rPr>
          <w:rFonts w:ascii="Palatino Linotype" w:hAnsi="Palatino Linotype"/>
          <w:sz w:val="24"/>
          <w:szCs w:val="24"/>
        </w:rPr>
      </w:pPr>
      <w:r>
        <w:rPr>
          <w:rFonts w:ascii="Palatino Linotype" w:hAnsi="Palatino Linotype"/>
          <w:sz w:val="24"/>
          <w:szCs w:val="24"/>
        </w:rPr>
        <w:t xml:space="preserve">Bajo este contexto, </w:t>
      </w:r>
      <w:r w:rsidR="00D04204">
        <w:rPr>
          <w:rFonts w:ascii="Palatino Linotype" w:hAnsi="Palatino Linotype"/>
          <w:sz w:val="24"/>
          <w:szCs w:val="24"/>
        </w:rPr>
        <w:t xml:space="preserve">para delimitar las fronteras conceptuales entre </w:t>
      </w:r>
      <w:r w:rsidR="00D04204" w:rsidRPr="00D04204">
        <w:rPr>
          <w:rFonts w:ascii="Palatino Linotype" w:hAnsi="Palatino Linotype"/>
          <w:b/>
          <w:sz w:val="24"/>
          <w:szCs w:val="24"/>
          <w:u w:val="single"/>
        </w:rPr>
        <w:t>falta</w:t>
      </w:r>
      <w:r w:rsidR="00D04204">
        <w:rPr>
          <w:rFonts w:ascii="Palatino Linotype" w:hAnsi="Palatino Linotype"/>
          <w:sz w:val="24"/>
          <w:szCs w:val="24"/>
        </w:rPr>
        <w:t xml:space="preserve"> e indebida fundamentación y motivación, cobra particular relevancia la corriente que emana del Tercer Tribunal Colegiado en Materia Civil del Primer Circuito, a través de la jurisprudencia con número de registro digital </w:t>
      </w:r>
      <w:r w:rsidR="00D04204">
        <w:rPr>
          <w:rFonts w:ascii="Palatino Linotype" w:hAnsi="Palatino Linotype"/>
          <w:b/>
          <w:sz w:val="24"/>
          <w:szCs w:val="24"/>
        </w:rPr>
        <w:t xml:space="preserve">170307 </w:t>
      </w:r>
      <w:r w:rsidR="00D04204">
        <w:rPr>
          <w:rFonts w:ascii="Palatino Linotype" w:hAnsi="Palatino Linotype"/>
          <w:sz w:val="24"/>
          <w:szCs w:val="24"/>
        </w:rPr>
        <w:t>de la Novena Época, visible en el Semanario Judicial de la Federación y su G</w:t>
      </w:r>
      <w:r w:rsidR="00575268">
        <w:rPr>
          <w:rFonts w:ascii="Palatino Linotype" w:hAnsi="Palatino Linotype"/>
          <w:sz w:val="24"/>
          <w:szCs w:val="24"/>
        </w:rPr>
        <w:t>aceta, Tomo XXVII, de febrero de 2008, tesis I.3o.C. J/47 en materia común, en la que establece lo siguiente:</w:t>
      </w:r>
    </w:p>
    <w:p w14:paraId="7D90DEFD" w14:textId="1AE98D9B" w:rsidR="00575268" w:rsidRPr="00575268" w:rsidRDefault="008F4670" w:rsidP="00575268">
      <w:pPr>
        <w:pStyle w:val="Citas"/>
        <w:rPr>
          <w:b/>
        </w:rPr>
      </w:pPr>
      <w:r>
        <w:rPr>
          <w:b/>
        </w:rPr>
        <w:t>“</w:t>
      </w:r>
      <w:r w:rsidR="00575268" w:rsidRPr="00575268">
        <w:rPr>
          <w:b/>
        </w:rPr>
        <w:t xml:space="preserve">FUNDAMENTACIÓN Y MOTIVACIÓN. LA DIFERENCIA ENTRE </w:t>
      </w:r>
      <w:r w:rsidR="00575268">
        <w:rPr>
          <w:b/>
        </w:rPr>
        <w:t>L</w:t>
      </w:r>
      <w:r w:rsidR="00575268" w:rsidRPr="00575268">
        <w:rPr>
          <w:b/>
        </w:rPr>
        <w:t>A FALTA Y LA INDEBIDA SATISFACCIÓN DE AMBOS REQUISITOS CONSTITUCIONALES TRASCIENDE AL ORDEN EN QUE DEBEN ESTUDIARSE LOS CONCEPTOS DE VIOLACIÓN Y A LOS EFECTOS DEL FALLO PROTECTOR.</w:t>
      </w:r>
    </w:p>
    <w:p w14:paraId="3524BA8F" w14:textId="77777777" w:rsidR="00575268" w:rsidRDefault="00575268" w:rsidP="00575268">
      <w:pPr>
        <w:pStyle w:val="Citas"/>
      </w:pPr>
      <w:r>
        <w:t xml:space="preserve">La falta de fundamentación y motivación es una violación formal diversa a la indebida o incorrecta fundamentación y motivación, que es una violación material o de fondo, siendo </w:t>
      </w:r>
      <w:r w:rsidRPr="00575268">
        <w:t>distintos los efectos que genera la existencia de una u otra, por lo que el estudio de aquella omisión debe hacerse de manera previa. En efecto, el artículo </w:t>
      </w:r>
      <w:hyperlink r:id="rId28" w:history="1">
        <w:r w:rsidRPr="00575268">
          <w:t>16 constitucional</w:t>
        </w:r>
      </w:hyperlink>
      <w:r w:rsidRPr="00575268">
        <w:t> establece, en su primer párrafo, el imperativo para las autoridades de fundar y motivar sus actos</w:t>
      </w:r>
      <w:r>
        <w:t xml:space="preserve"> que incidan en la esfera de los gobernados, pero la contravención al mandato constitucional que exige la expresión de ambas en </w:t>
      </w:r>
      <w:r>
        <w:lastRenderedPageBreak/>
        <w:t xml:space="preserve">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w:t>
      </w:r>
      <w:r>
        <w:lastRenderedPageBreak/>
        <w:t>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2AE38576" w14:textId="77777777" w:rsidR="00575268" w:rsidRDefault="00575268" w:rsidP="00575268">
      <w:pPr>
        <w:pStyle w:val="Citas"/>
      </w:pPr>
      <w:r>
        <w:t>TERCER TRIBUNAL COLEGIADO EN MATERIA CIVIL DEL PRIMER CIRCUITO.</w:t>
      </w:r>
    </w:p>
    <w:p w14:paraId="5B7246E3" w14:textId="77777777" w:rsidR="00575268" w:rsidRDefault="00575268" w:rsidP="00575268">
      <w:pPr>
        <w:pStyle w:val="Citas"/>
      </w:pPr>
      <w:r>
        <w:t>Amparo directo 551/2005. Jorge Luis Almaral Mendívil. 20 de octubre de 2005. Unanimidad de votos. Ponente: Neófito López Ramos. Secretario: Raúl Alfaro Telpalo.</w:t>
      </w:r>
    </w:p>
    <w:p w14:paraId="5435211C" w14:textId="77777777" w:rsidR="00575268" w:rsidRDefault="00575268" w:rsidP="00575268">
      <w:pPr>
        <w:pStyle w:val="Citas"/>
      </w:pPr>
      <w:r>
        <w:t>Amparo directo 66/2007. Juan Ramón Jaime Alcántara. 15 de febrero de 2007. Unanimidad de votos. Ponente: Neófito López Ramos. Secretario: Raúl Alfaro Telpalo.</w:t>
      </w:r>
    </w:p>
    <w:p w14:paraId="715C2441" w14:textId="77777777" w:rsidR="00575268" w:rsidRDefault="00575268" w:rsidP="00575268">
      <w:pPr>
        <w:pStyle w:val="Citas"/>
      </w:pPr>
      <w:r>
        <w:t>Amparo directo 364/2007. Guadalupe Rodríguez Daniel. 6 de julio de 2007. Unanimidad de votos. Ponente: Neófito López Ramos. Secretaria: Greta Lozada Amezcua.</w:t>
      </w:r>
    </w:p>
    <w:p w14:paraId="35779B89" w14:textId="77777777" w:rsidR="00575268" w:rsidRDefault="00575268" w:rsidP="00575268">
      <w:pPr>
        <w:pStyle w:val="Citas"/>
      </w:pPr>
      <w:r>
        <w:lastRenderedPageBreak/>
        <w:t>Amparo directo 513/2007. Autofinanciamiento México, S.A. de C.V. 4 de octubre de 2007. Unanimidad de votos. Ponente: Neófito López Ramos. Secretario: Raúl Alfaro Telpalo.</w:t>
      </w:r>
    </w:p>
    <w:p w14:paraId="59219569" w14:textId="5E696B10" w:rsidR="00575268" w:rsidRPr="008F4670" w:rsidRDefault="00575268" w:rsidP="00575268">
      <w:pPr>
        <w:pStyle w:val="Citas"/>
        <w:rPr>
          <w:b/>
        </w:rPr>
      </w:pPr>
      <w:r>
        <w:t>Amparo directo 562/2007. Arenas y Gravas Xaltepec, S.A. 11 de octubre de 2007. Unanimidad de votos. Ponente: Neófito López Ramos. Secretario: Raúl Alfaro Telpalo.</w:t>
      </w:r>
      <w:r w:rsidR="008F4670">
        <w:t xml:space="preserve">” </w:t>
      </w:r>
      <w:r w:rsidR="008F4670">
        <w:rPr>
          <w:b/>
        </w:rPr>
        <w:t>(Sic)</w:t>
      </w:r>
    </w:p>
    <w:p w14:paraId="030E2A67" w14:textId="77777777" w:rsidR="00575268" w:rsidRDefault="00575268" w:rsidP="00B46B42">
      <w:pPr>
        <w:spacing w:after="0" w:line="360" w:lineRule="auto"/>
        <w:jc w:val="both"/>
        <w:rPr>
          <w:rFonts w:ascii="Palatino Linotype" w:hAnsi="Palatino Linotype" w:cs="Arial"/>
          <w:noProof/>
          <w:color w:val="000000"/>
          <w:sz w:val="24"/>
          <w:lang w:eastAsia="es-MX"/>
        </w:rPr>
      </w:pPr>
    </w:p>
    <w:p w14:paraId="4C81177C" w14:textId="77777777" w:rsidR="009F2A10" w:rsidRPr="008F4670" w:rsidRDefault="00B46B42" w:rsidP="00B46B42">
      <w:pPr>
        <w:spacing w:after="0" w:line="360" w:lineRule="auto"/>
        <w:jc w:val="both"/>
        <w:rPr>
          <w:rFonts w:ascii="Palatino Linotype" w:hAnsi="Palatino Linotype" w:cs="Arial"/>
          <w:sz w:val="24"/>
          <w:szCs w:val="24"/>
        </w:rPr>
      </w:pPr>
      <w:r w:rsidRPr="008F4670">
        <w:rPr>
          <w:rFonts w:ascii="Palatino Linotype" w:hAnsi="Palatino Linotype" w:cs="Arial"/>
          <w:noProof/>
          <w:color w:val="000000"/>
          <w:sz w:val="24"/>
          <w:szCs w:val="24"/>
          <w:lang w:eastAsia="es-MX"/>
        </w:rPr>
        <w:t xml:space="preserve">Con base en lo anteriormente expuesto, se arriba a la conclusión de que </w:t>
      </w:r>
      <w:r w:rsidR="00575268" w:rsidRPr="008F4670">
        <w:rPr>
          <w:rFonts w:ascii="Palatino Linotype" w:hAnsi="Palatino Linotype" w:cs="Arial"/>
          <w:noProof/>
          <w:color w:val="000000"/>
          <w:sz w:val="24"/>
          <w:szCs w:val="24"/>
          <w:lang w:eastAsia="es-MX"/>
        </w:rPr>
        <w:t xml:space="preserve">el acuerdo de clasificación remitido no cumple con la pauta metodologica prevista en los </w:t>
      </w:r>
      <w:r w:rsidR="00575268" w:rsidRPr="008F4670">
        <w:rPr>
          <w:rFonts w:ascii="Palatino Linotype" w:hAnsi="Palatino Linotype" w:cs="Arial"/>
          <w:sz w:val="24"/>
          <w:szCs w:val="24"/>
        </w:rPr>
        <w:t>Lineamientos Generales en Materia de Clasificación y Desclasificación de la Información, así como para la Elaboración de Versiones Públicas, y dem</w:t>
      </w:r>
      <w:r w:rsidR="00175320" w:rsidRPr="008F4670">
        <w:rPr>
          <w:rFonts w:ascii="Palatino Linotype" w:hAnsi="Palatino Linotype" w:cs="Arial"/>
          <w:sz w:val="24"/>
          <w:szCs w:val="24"/>
        </w:rPr>
        <w:t xml:space="preserve">ás normatividad aplicable, lo anterior al tomar en consideración que el acuerdo remitido refleja falta de fundamentación y </w:t>
      </w:r>
      <w:r w:rsidR="009F2A10" w:rsidRPr="008F4670">
        <w:rPr>
          <w:rFonts w:ascii="Palatino Linotype" w:hAnsi="Palatino Linotype" w:cs="Arial"/>
          <w:sz w:val="24"/>
          <w:szCs w:val="24"/>
        </w:rPr>
        <w:t xml:space="preserve">motivación. </w:t>
      </w:r>
    </w:p>
    <w:p w14:paraId="26D6CB90" w14:textId="77777777" w:rsidR="009F2A10" w:rsidRDefault="009F2A10" w:rsidP="00B46B42">
      <w:pPr>
        <w:spacing w:after="0" w:line="360" w:lineRule="auto"/>
        <w:jc w:val="both"/>
        <w:rPr>
          <w:rFonts w:ascii="Palatino Linotype" w:hAnsi="Palatino Linotype" w:cs="Arial"/>
        </w:rPr>
      </w:pPr>
    </w:p>
    <w:p w14:paraId="50DE6161" w14:textId="194C1EFE" w:rsidR="00575268" w:rsidRPr="008F4670" w:rsidRDefault="00575268" w:rsidP="00B46B42">
      <w:pPr>
        <w:spacing w:after="0" w:line="360" w:lineRule="auto"/>
        <w:jc w:val="both"/>
        <w:rPr>
          <w:rFonts w:ascii="Palatino Linotype" w:hAnsi="Palatino Linotype" w:cs="Arial"/>
          <w:sz w:val="24"/>
          <w:szCs w:val="24"/>
        </w:rPr>
      </w:pPr>
      <w:r w:rsidRPr="008F4670">
        <w:rPr>
          <w:rFonts w:ascii="Palatino Linotype" w:hAnsi="Palatino Linotype" w:cs="Arial"/>
          <w:sz w:val="24"/>
          <w:szCs w:val="24"/>
        </w:rPr>
        <w:t>Luego entonces, resulta procedente ordenar la entrega de la siguiente información:</w:t>
      </w:r>
    </w:p>
    <w:p w14:paraId="1E981450" w14:textId="2E0D2DCC" w:rsidR="00575268" w:rsidRPr="008F4670" w:rsidRDefault="00A10F77" w:rsidP="00BA6226">
      <w:pPr>
        <w:pStyle w:val="Prrafodelista"/>
        <w:numPr>
          <w:ilvl w:val="0"/>
          <w:numId w:val="6"/>
        </w:numPr>
        <w:spacing w:line="360" w:lineRule="auto"/>
        <w:jc w:val="both"/>
        <w:rPr>
          <w:rFonts w:ascii="Palatino Linotype" w:hAnsi="Palatino Linotype" w:cs="Arial"/>
          <w:noProof/>
          <w:color w:val="000000"/>
          <w:lang w:eastAsia="es-MX"/>
        </w:rPr>
      </w:pPr>
      <w:r w:rsidRPr="008F4670">
        <w:rPr>
          <w:rFonts w:ascii="Palatino Linotype" w:hAnsi="Palatino Linotype" w:cs="Arial"/>
          <w:noProof/>
          <w:color w:val="000000"/>
          <w:lang w:eastAsia="es-MX"/>
        </w:rPr>
        <w:t xml:space="preserve">Acuerdo que emita el Comité de Transparencia por el cual se clasifique como reservada la información requerida mediante la solicitud </w:t>
      </w:r>
      <w:r w:rsidRPr="008F4670">
        <w:rPr>
          <w:rFonts w:ascii="Palatino Linotype" w:hAnsi="Palatino Linotype" w:cs="Arial"/>
          <w:b/>
          <w:noProof/>
          <w:color w:val="000000"/>
          <w:lang w:eastAsia="es-MX"/>
        </w:rPr>
        <w:t xml:space="preserve">00748/TOLUCA/IP/2022, </w:t>
      </w:r>
      <w:r w:rsidRPr="008F4670">
        <w:rPr>
          <w:rFonts w:ascii="Palatino Linotype" w:hAnsi="Palatino Linotype" w:cs="Arial"/>
          <w:noProof/>
          <w:color w:val="000000"/>
          <w:lang w:eastAsia="es-MX"/>
        </w:rPr>
        <w:t xml:space="preserve">debidamente fundamentado y motivado. </w:t>
      </w:r>
    </w:p>
    <w:p w14:paraId="10E325D2" w14:textId="77777777" w:rsidR="00575268" w:rsidRDefault="00575268" w:rsidP="00B46B42">
      <w:pPr>
        <w:spacing w:after="0" w:line="360" w:lineRule="auto"/>
        <w:jc w:val="both"/>
        <w:rPr>
          <w:rFonts w:ascii="Palatino Linotype" w:hAnsi="Palatino Linotype" w:cs="Arial"/>
          <w:noProof/>
          <w:color w:val="000000"/>
          <w:sz w:val="24"/>
          <w:lang w:eastAsia="es-MX"/>
        </w:rPr>
      </w:pPr>
    </w:p>
    <w:p w14:paraId="50268818" w14:textId="17F9CCEC" w:rsidR="00A10F77" w:rsidRPr="00D5257A" w:rsidRDefault="00A10F77" w:rsidP="00A10F77">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w:t>
      </w:r>
      <w:r w:rsidRPr="00D5257A">
        <w:rPr>
          <w:rFonts w:ascii="Palatino Linotype" w:hAnsi="Palatino Linotype"/>
          <w:sz w:val="24"/>
          <w:szCs w:val="24"/>
        </w:rPr>
        <w:lastRenderedPageBreak/>
        <w:t xml:space="preserve">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Pr>
          <w:rFonts w:ascii="Palatino Linotype" w:hAnsi="Palatino Linotype"/>
          <w:b/>
          <w:sz w:val="24"/>
          <w:szCs w:val="24"/>
        </w:rPr>
        <w:t>00748/TOLUCA/IP/2022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713FD9A8" w14:textId="77777777" w:rsidR="00A10F77" w:rsidRDefault="00A10F77" w:rsidP="00A10F77">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536D9B59" w14:textId="77777777" w:rsidR="00A10F77" w:rsidRDefault="00A10F77" w:rsidP="00B46B42">
      <w:pPr>
        <w:spacing w:after="0" w:line="360" w:lineRule="auto"/>
        <w:jc w:val="both"/>
        <w:rPr>
          <w:rFonts w:ascii="Palatino Linotype" w:hAnsi="Palatino Linotype" w:cs="Arial"/>
          <w:noProof/>
          <w:color w:val="000000"/>
          <w:sz w:val="24"/>
          <w:lang w:eastAsia="es-MX"/>
        </w:rPr>
      </w:pPr>
    </w:p>
    <w:p w14:paraId="43BF0C38" w14:textId="77777777" w:rsidR="00A10F77" w:rsidRPr="00D05C83" w:rsidRDefault="00A10F77" w:rsidP="00A10F77">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1344A31A" w14:textId="3042722B" w:rsidR="00A10F77" w:rsidRDefault="00A10F77" w:rsidP="00A10F77">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b/>
          <w:sz w:val="24"/>
          <w:szCs w:val="24"/>
        </w:rPr>
        <w:t>00748/TOLUCA/IP/2022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590549C4" w14:textId="77777777" w:rsidR="008F4670" w:rsidRDefault="008F4670" w:rsidP="00A10F77">
      <w:pPr>
        <w:spacing w:before="240" w:line="360" w:lineRule="auto"/>
        <w:jc w:val="both"/>
        <w:rPr>
          <w:rFonts w:ascii="Palatino Linotype" w:hAnsi="Palatino Linotype" w:cs="Arial"/>
          <w:sz w:val="24"/>
        </w:rPr>
      </w:pPr>
    </w:p>
    <w:p w14:paraId="535287C4" w14:textId="2D60DC32" w:rsidR="00A10F77" w:rsidRDefault="00A10F77" w:rsidP="00A10F77">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haga entrega al</w:t>
      </w:r>
      <w:r>
        <w:rPr>
          <w:rFonts w:ascii="Palatino Linotype" w:hAnsi="Palatino Linotype" w:cs="Arial"/>
          <w:b/>
          <w:sz w:val="24"/>
          <w:szCs w:val="24"/>
        </w:rPr>
        <w:t xml:space="preserve"> RECURRENTE, </w:t>
      </w:r>
      <w:r>
        <w:rPr>
          <w:rFonts w:ascii="Palatino Linotype" w:hAnsi="Palatino Linotype" w:cs="Arial"/>
          <w:sz w:val="24"/>
          <w:szCs w:val="24"/>
        </w:rPr>
        <w:t xml:space="preserve">a través del Sistema de Acceso a la Información Mexiquense </w:t>
      </w:r>
      <w:r w:rsidRPr="00123390">
        <w:rPr>
          <w:rFonts w:ascii="Palatino Linotype" w:hAnsi="Palatino Linotype" w:cs="Arial"/>
          <w:b/>
          <w:sz w:val="24"/>
          <w:szCs w:val="24"/>
        </w:rPr>
        <w:t>(</w:t>
      </w:r>
      <w:r w:rsidRPr="00D178CD">
        <w:rPr>
          <w:rFonts w:ascii="Palatino Linotype" w:hAnsi="Palatino Linotype" w:cs="Arial"/>
          <w:b/>
          <w:sz w:val="24"/>
          <w:szCs w:val="24"/>
        </w:rPr>
        <w:t>SAIMEX</w:t>
      </w:r>
      <w:r>
        <w:rPr>
          <w:rFonts w:ascii="Palatino Linotype" w:hAnsi="Palatino Linotype" w:cs="Arial"/>
          <w:b/>
          <w:sz w:val="24"/>
          <w:szCs w:val="24"/>
        </w:rPr>
        <w:t xml:space="preserve">) </w:t>
      </w:r>
      <w:r>
        <w:rPr>
          <w:rFonts w:ascii="Palatino Linotype" w:hAnsi="Palatino Linotype" w:cs="Arial"/>
          <w:sz w:val="24"/>
          <w:szCs w:val="24"/>
        </w:rPr>
        <w:t xml:space="preserve">de lo siguiente: </w:t>
      </w:r>
    </w:p>
    <w:p w14:paraId="202F3EA6" w14:textId="3BC263A5" w:rsidR="00A10F77" w:rsidRDefault="00A10F77" w:rsidP="00BA6226">
      <w:pPr>
        <w:pStyle w:val="Sinespaciado"/>
        <w:numPr>
          <w:ilvl w:val="0"/>
          <w:numId w:val="7"/>
        </w:numPr>
        <w:spacing w:line="360" w:lineRule="auto"/>
        <w:jc w:val="both"/>
        <w:rPr>
          <w:rFonts w:ascii="Palatino Linotype" w:hAnsi="Palatino Linotype"/>
          <w:i/>
          <w:iCs/>
        </w:rPr>
      </w:pPr>
      <w:r>
        <w:rPr>
          <w:rFonts w:ascii="Palatino Linotype" w:hAnsi="Palatino Linotype"/>
          <w:i/>
          <w:iCs/>
        </w:rPr>
        <w:t>Acuerdo que emita el Comité de Transparencia por el cual se clasifique como reservada la información requerida median</w:t>
      </w:r>
      <w:bookmarkStart w:id="0" w:name="_GoBack"/>
      <w:bookmarkEnd w:id="0"/>
      <w:r>
        <w:rPr>
          <w:rFonts w:ascii="Palatino Linotype" w:hAnsi="Palatino Linotype"/>
          <w:i/>
          <w:iCs/>
        </w:rPr>
        <w:t xml:space="preserve">te la solicitud de información </w:t>
      </w:r>
      <w:r>
        <w:rPr>
          <w:rFonts w:ascii="Palatino Linotype" w:hAnsi="Palatino Linotype"/>
          <w:b/>
          <w:i/>
          <w:iCs/>
        </w:rPr>
        <w:t xml:space="preserve">00748/TOLUCA/IP/2022, </w:t>
      </w:r>
      <w:r>
        <w:rPr>
          <w:rFonts w:ascii="Palatino Linotype" w:hAnsi="Palatino Linotype"/>
          <w:i/>
          <w:iCs/>
        </w:rPr>
        <w:t xml:space="preserve">debidamente fundamentado y motivado. </w:t>
      </w:r>
    </w:p>
    <w:p w14:paraId="77945061" w14:textId="77777777" w:rsidR="00A10F77" w:rsidRPr="00000006" w:rsidRDefault="00A10F77" w:rsidP="00A10F77">
      <w:pPr>
        <w:pStyle w:val="Prrafodelista"/>
        <w:spacing w:before="240" w:line="360" w:lineRule="auto"/>
        <w:ind w:left="782"/>
        <w:jc w:val="both"/>
        <w:rPr>
          <w:rFonts w:ascii="Palatino Linotype" w:hAnsi="Palatino Linotype" w:cs="Arial"/>
          <w:i/>
          <w:lang w:val="es-MX"/>
        </w:rPr>
      </w:pPr>
    </w:p>
    <w:p w14:paraId="0FDC9938" w14:textId="77777777" w:rsidR="00A10F77" w:rsidRDefault="00A10F77" w:rsidP="00A10F77">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xml:space="preserve">, para que conforme al artículo 186 último párrafo, 189 segundo párrafo y 194 de la Ley de Transparencia y Acceso a la Información Pública del Estado de </w:t>
      </w:r>
      <w:r w:rsidRPr="002A12F5">
        <w:rPr>
          <w:rFonts w:ascii="Palatino Linotype" w:hAnsi="Palatino Linotype" w:cs="Arial"/>
          <w:sz w:val="24"/>
          <w:szCs w:val="24"/>
        </w:rPr>
        <w:lastRenderedPageBreak/>
        <w:t>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1CEEB61D" w14:textId="77777777" w:rsidR="00A10F77" w:rsidRDefault="00A10F77" w:rsidP="00A10F77">
      <w:pPr>
        <w:autoSpaceDE w:val="0"/>
        <w:autoSpaceDN w:val="0"/>
        <w:adjustRightInd w:val="0"/>
        <w:spacing w:before="240" w:line="360" w:lineRule="auto"/>
        <w:jc w:val="both"/>
        <w:rPr>
          <w:rFonts w:ascii="Palatino Linotype" w:hAnsi="Palatino Linotype" w:cs="Arial"/>
          <w:sz w:val="24"/>
          <w:szCs w:val="24"/>
        </w:rPr>
      </w:pPr>
    </w:p>
    <w:p w14:paraId="0CCD35EE" w14:textId="77777777" w:rsidR="00A10F77" w:rsidRDefault="00A10F77" w:rsidP="00A10F7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D78E220" w14:textId="77777777" w:rsidR="00EC0826" w:rsidRDefault="00EC0826" w:rsidP="00A10F7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3A40C2C" w14:textId="77777777" w:rsidR="008F4670" w:rsidRDefault="008F4670" w:rsidP="008F4670">
      <w:pPr>
        <w:autoSpaceDE w:val="0"/>
        <w:autoSpaceDN w:val="0"/>
        <w:adjustRightInd w:val="0"/>
        <w:spacing w:after="0" w:line="360" w:lineRule="auto"/>
        <w:jc w:val="both"/>
        <w:rPr>
          <w:rFonts w:ascii="Palatino Linotype" w:hAnsi="Palatino Linotype" w:cs="Arial"/>
          <w:sz w:val="24"/>
          <w:szCs w:val="24"/>
        </w:rPr>
      </w:pPr>
      <w:r w:rsidRPr="00593F5D">
        <w:rPr>
          <w:rFonts w:ascii="Palatino Linotype" w:hAnsi="Palatino Linotype"/>
          <w:b/>
          <w:sz w:val="28"/>
          <w:szCs w:val="28"/>
        </w:rPr>
        <w:t>QUINTO</w:t>
      </w:r>
      <w:r w:rsidRPr="00593F5D">
        <w:rPr>
          <w:rFonts w:ascii="Palatino Linotype" w:hAnsi="Palatino Linotype"/>
          <w:b/>
          <w:sz w:val="24"/>
          <w:szCs w:val="24"/>
        </w:rPr>
        <w:t xml:space="preserve">. </w:t>
      </w:r>
      <w:r w:rsidRPr="00593F5D">
        <w:rPr>
          <w:rFonts w:ascii="Palatino Linotype" w:hAnsi="Palatino Linotype" w:cs="Arial"/>
          <w:b/>
          <w:sz w:val="24"/>
          <w:szCs w:val="24"/>
        </w:rPr>
        <w:t>Notifíquese</w:t>
      </w:r>
      <w:r w:rsidRPr="00593F5D">
        <w:rPr>
          <w:rFonts w:ascii="Palatino Linotype" w:hAnsi="Palatino Linotype" w:cs="Arial"/>
          <w:sz w:val="24"/>
          <w:szCs w:val="24"/>
        </w:rPr>
        <w:t xml:space="preserve"> a través del Sistema de Acceso a la Información Mexiquense </w:t>
      </w:r>
      <w:r w:rsidRPr="003D5267">
        <w:rPr>
          <w:rFonts w:ascii="Palatino Linotype" w:hAnsi="Palatino Linotype" w:cs="Arial"/>
          <w:b/>
          <w:sz w:val="24"/>
          <w:szCs w:val="24"/>
        </w:rPr>
        <w:t>(SAIMEX),</w:t>
      </w:r>
      <w:r w:rsidRPr="00593F5D">
        <w:rPr>
          <w:rFonts w:ascii="Palatino Linotype" w:hAnsi="Palatino Linotype" w:cs="Arial"/>
          <w:sz w:val="24"/>
          <w:szCs w:val="24"/>
        </w:rPr>
        <w:t xml:space="preserve"> al </w:t>
      </w:r>
      <w:r w:rsidRPr="00593F5D">
        <w:rPr>
          <w:rFonts w:ascii="Palatino Linotype" w:hAnsi="Palatino Linotype" w:cs="Arial"/>
          <w:b/>
          <w:sz w:val="24"/>
          <w:szCs w:val="24"/>
        </w:rPr>
        <w:t>Recurrente</w:t>
      </w:r>
      <w:r w:rsidRPr="00593F5D">
        <w:rPr>
          <w:rFonts w:ascii="Palatino Linotype" w:hAnsi="Palatino Linotype" w:cs="Arial"/>
          <w:sz w:val="24"/>
          <w:szCs w:val="24"/>
        </w:rPr>
        <w:t xml:space="preserv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1423972E"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726CC5F4" w14:textId="5AB118E4" w:rsidR="008F4670" w:rsidRPr="00627D99" w:rsidRDefault="008F4670" w:rsidP="008F4670">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lastRenderedPageBreak/>
        <w:t>MEJÍA AYALA, S</w:t>
      </w:r>
      <w:r>
        <w:rPr>
          <w:rFonts w:ascii="Palatino Linotype" w:hAnsi="Palatino Linotype" w:cs="Arial"/>
        </w:rPr>
        <w:t>HARON CRISTINA MORALES MARTÍNEZ</w:t>
      </w:r>
      <w:r w:rsidR="005869A2">
        <w:rPr>
          <w:rFonts w:ascii="Palatino Linotype" w:hAnsi="Palatino Linotype" w:cs="Arial"/>
        </w:rPr>
        <w:t xml:space="preserve"> (AUSENCIA JUSTIFICADA)</w:t>
      </w:r>
      <w:r>
        <w:rPr>
          <w:rFonts w:ascii="Palatino Linotype" w:hAnsi="Palatino Linotype" w:cs="Arial"/>
        </w:rPr>
        <w:t xml:space="preserve">, </w:t>
      </w:r>
      <w:r w:rsidRPr="00266B85">
        <w:rPr>
          <w:rFonts w:ascii="Palatino Linotype" w:hAnsi="Palatino Linotype" w:cs="Arial"/>
        </w:rPr>
        <w:t>LUIS GUSTAVO PARRA NORIEGA</w:t>
      </w:r>
      <w:r w:rsidR="004E780E">
        <w:rPr>
          <w:rFonts w:ascii="Palatino Linotype" w:hAnsi="Palatino Linotype" w:cs="Arial"/>
        </w:rPr>
        <w:t xml:space="preserve"> (VOTO PARTICULAR) </w:t>
      </w:r>
      <w:r w:rsidRPr="00266B85">
        <w:rPr>
          <w:rFonts w:ascii="Palatino Linotype" w:hAnsi="Palatino Linotype" w:cs="Arial"/>
        </w:rPr>
        <w:t xml:space="preserve">Y GUADALUPE RAMÍREZ PEÑA; EN LA </w:t>
      </w:r>
      <w:r>
        <w:rPr>
          <w:rFonts w:ascii="Palatino Linotype" w:hAnsi="Palatino Linotype" w:cs="Arial"/>
        </w:rPr>
        <w:t xml:space="preserve">VIGÉSIMA QUINTA SESIÓN ORDINARIA CELEBRADA EL SEIS DE JULIO DE DOS MIL VEINTIDÓS, ANTE EL </w:t>
      </w:r>
      <w:r w:rsidRPr="00627D99">
        <w:rPr>
          <w:rFonts w:ascii="Palatino Linotype" w:hAnsi="Palatino Linotype" w:cs="Arial"/>
          <w:sz w:val="23"/>
          <w:szCs w:val="23"/>
        </w:rPr>
        <w:t xml:space="preserve">  SECRETARIO TÉCNICO DEL PLENO, ALEXIS TAPIA RAMÍREZ. </w:t>
      </w:r>
    </w:p>
    <w:p w14:paraId="51F3121B" w14:textId="77777777" w:rsidR="008F4670" w:rsidRDefault="008F4670" w:rsidP="008F4670">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6612F80D" w14:textId="0D197428" w:rsidR="00A5285E" w:rsidRDefault="00574E18" w:rsidP="008F4670">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668480" behindDoc="0" locked="0" layoutInCell="1" allowOverlap="1" wp14:anchorId="2489D5C9" wp14:editId="47385708">
                <wp:simplePos x="0" y="0"/>
                <wp:positionH relativeFrom="column">
                  <wp:posOffset>-32385</wp:posOffset>
                </wp:positionH>
                <wp:positionV relativeFrom="paragraph">
                  <wp:posOffset>142240</wp:posOffset>
                </wp:positionV>
                <wp:extent cx="5848350" cy="5400675"/>
                <wp:effectExtent l="0" t="0" r="19050" b="28575"/>
                <wp:wrapNone/>
                <wp:docPr id="3" name="Conector recto 3"/>
                <wp:cNvGraphicFramePr/>
                <a:graphic xmlns:a="http://schemas.openxmlformats.org/drawingml/2006/main">
                  <a:graphicData uri="http://schemas.microsoft.com/office/word/2010/wordprocessingShape">
                    <wps:wsp>
                      <wps:cNvCnPr/>
                      <wps:spPr>
                        <a:xfrm>
                          <a:off x="0" y="0"/>
                          <a:ext cx="5848350" cy="5400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F6721" id="Conector recto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1.2pt" to="457.95pt,4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" strokecolor="#5b9bd5 [3204]" strokeweight=".5pt">
                <v:stroke joinstyle="miter"/>
              </v:line>
            </w:pict>
          </mc:Fallback>
        </mc:AlternateContent>
      </w:r>
    </w:p>
    <w:p w14:paraId="00C2EEAE" w14:textId="77777777" w:rsidR="00A5285E" w:rsidRDefault="00A5285E" w:rsidP="008F467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4B4886" w14:textId="77777777" w:rsidR="00A5285E" w:rsidRDefault="00A5285E" w:rsidP="008F467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02A292D" w14:textId="77777777" w:rsidR="00A5285E" w:rsidRDefault="00A5285E" w:rsidP="008F467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C7A893F" w14:textId="77777777" w:rsidR="00A5285E" w:rsidRDefault="00A5285E" w:rsidP="008F467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3F0374B" w14:textId="77777777" w:rsidR="00A5285E" w:rsidRDefault="00A5285E" w:rsidP="008F467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185E009" w14:textId="77777777" w:rsidR="00A5285E" w:rsidRDefault="00A5285E" w:rsidP="008F467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7F07E0D" w14:textId="77777777" w:rsidR="00A5285E" w:rsidRDefault="00A5285E" w:rsidP="008F467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20AF2F" w14:textId="77777777" w:rsidR="00A5285E" w:rsidRDefault="00A5285E" w:rsidP="008F467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ED7EA8" w14:textId="77777777" w:rsidR="00A5285E" w:rsidRDefault="00A5285E" w:rsidP="008F467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220D20B" w14:textId="77777777" w:rsidR="00A5285E" w:rsidRDefault="00A5285E" w:rsidP="008F467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026AFC3" w14:textId="77777777" w:rsidR="00A5285E" w:rsidRDefault="00A5285E" w:rsidP="008F467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731956C" w14:textId="77777777" w:rsidR="00A5285E" w:rsidRDefault="00A5285E" w:rsidP="008F467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43E11F3" w14:textId="77777777" w:rsidR="00A5285E" w:rsidRDefault="00A5285E" w:rsidP="008F467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C435637" w14:textId="77777777" w:rsidR="00A5285E" w:rsidRDefault="00A5285E" w:rsidP="008F467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E4F6C00" w14:textId="77777777" w:rsidR="00A5285E" w:rsidRDefault="00A5285E" w:rsidP="008F467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773A36A" w14:textId="77777777" w:rsidR="008F4670" w:rsidRDefault="008F4670" w:rsidP="005128DD">
      <w:pPr>
        <w:pStyle w:val="Prrafodelista"/>
        <w:autoSpaceDE w:val="0"/>
        <w:autoSpaceDN w:val="0"/>
        <w:adjustRightInd w:val="0"/>
        <w:spacing w:before="240" w:after="160" w:line="360" w:lineRule="auto"/>
        <w:ind w:left="0"/>
        <w:jc w:val="both"/>
        <w:rPr>
          <w:rFonts w:ascii="Palatino Linotype" w:hAnsi="Palatino Linotype"/>
          <w:bCs/>
        </w:rPr>
      </w:pPr>
    </w:p>
    <w:p w14:paraId="346B8818"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1C50C608"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61C9D50E"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16FF641D"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2F7FC357"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sz w:val="20"/>
          <w:szCs w:val="20"/>
        </w:rPr>
      </w:pPr>
    </w:p>
    <w:p w14:paraId="5375B307" w14:textId="77777777" w:rsidR="005128DD" w:rsidRPr="00C854CB" w:rsidRDefault="005128DD" w:rsidP="005128DD">
      <w:pPr>
        <w:pStyle w:val="Prrafodelista"/>
        <w:autoSpaceDE w:val="0"/>
        <w:autoSpaceDN w:val="0"/>
        <w:adjustRightInd w:val="0"/>
        <w:spacing w:before="240" w:after="160" w:line="360" w:lineRule="auto"/>
        <w:ind w:left="0"/>
        <w:jc w:val="both"/>
        <w:rPr>
          <w:rFonts w:ascii="Palatino Linotype" w:hAnsi="Palatino Linotype"/>
          <w:bCs/>
          <w:sz w:val="20"/>
          <w:szCs w:val="20"/>
        </w:rPr>
      </w:pPr>
    </w:p>
    <w:p w14:paraId="6561E5E3" w14:textId="77777777" w:rsidR="005128DD" w:rsidRDefault="005128DD" w:rsidP="005128DD">
      <w:pPr>
        <w:spacing w:before="240" w:line="360" w:lineRule="auto"/>
        <w:jc w:val="both"/>
        <w:rPr>
          <w:rFonts w:ascii="Palatino Linotype" w:hAnsi="Palatino Linotype" w:cs="Arial"/>
          <w:sz w:val="24"/>
          <w:szCs w:val="24"/>
        </w:rPr>
      </w:pPr>
    </w:p>
    <w:p w14:paraId="423848AD" w14:textId="77777777" w:rsidR="005128DD" w:rsidRDefault="005128DD" w:rsidP="005128DD">
      <w:pPr>
        <w:spacing w:before="240" w:line="360" w:lineRule="auto"/>
        <w:jc w:val="both"/>
        <w:rPr>
          <w:rFonts w:ascii="Palatino Linotype" w:hAnsi="Palatino Linotype" w:cs="Arial"/>
          <w:sz w:val="24"/>
          <w:szCs w:val="24"/>
        </w:rPr>
      </w:pPr>
    </w:p>
    <w:p w14:paraId="0448F7FB" w14:textId="77777777" w:rsidR="005128DD" w:rsidRDefault="005128DD" w:rsidP="005128DD">
      <w:pPr>
        <w:spacing w:before="240" w:line="360" w:lineRule="auto"/>
        <w:jc w:val="both"/>
        <w:rPr>
          <w:rFonts w:ascii="Palatino Linotype" w:hAnsi="Palatino Linotype" w:cs="Arial"/>
          <w:b/>
          <w:highlight w:val="green"/>
          <w:u w:val="single"/>
        </w:rPr>
      </w:pPr>
      <w:r w:rsidRPr="00D05C83">
        <w:rPr>
          <w:rFonts w:ascii="Palatino Linotype" w:hAnsi="Palatino Linotype" w:cs="Arial"/>
          <w:sz w:val="24"/>
          <w:szCs w:val="24"/>
        </w:rPr>
        <w:t xml:space="preserve"> </w:t>
      </w:r>
      <w:r>
        <w:rPr>
          <w:rFonts w:ascii="Palatino Linotype" w:hAnsi="Palatino Linotype" w:cs="Arial"/>
          <w:sz w:val="24"/>
          <w:szCs w:val="24"/>
        </w:rPr>
        <w:t xml:space="preserve"> </w:t>
      </w:r>
    </w:p>
    <w:p w14:paraId="7E2A180F" w14:textId="77777777" w:rsidR="005128DD" w:rsidRPr="005128DD" w:rsidRDefault="005128DD" w:rsidP="005128DD">
      <w:pPr>
        <w:spacing w:line="360" w:lineRule="auto"/>
        <w:contextualSpacing/>
        <w:jc w:val="both"/>
        <w:rPr>
          <w:rFonts w:ascii="Palatino Linotype" w:eastAsia="MS Mincho" w:hAnsi="Palatino Linotype"/>
        </w:rPr>
      </w:pPr>
    </w:p>
    <w:p w14:paraId="12C62F3F" w14:textId="315DB38B" w:rsidR="001A0906" w:rsidRDefault="001A0906" w:rsidP="00C274BE">
      <w:pPr>
        <w:pStyle w:val="Sinespaciado"/>
        <w:spacing w:line="360" w:lineRule="auto"/>
        <w:jc w:val="both"/>
        <w:rPr>
          <w:rFonts w:ascii="Palatino Linotype" w:hAnsi="Palatino Linotype" w:cs="Arial"/>
        </w:rPr>
      </w:pPr>
    </w:p>
    <w:sectPr w:rsidR="001A0906" w:rsidSect="00FB4AAD">
      <w:headerReference w:type="default" r:id="rId29"/>
      <w:footerReference w:type="default" r:id="rId30"/>
      <w:headerReference w:type="first" r:id="rId31"/>
      <w:footerReference w:type="first" r:id="rId3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42C5A" w14:textId="77777777" w:rsidR="00DA4D02" w:rsidRDefault="00DA4D02" w:rsidP="006168E4">
      <w:pPr>
        <w:spacing w:after="0" w:line="240" w:lineRule="auto"/>
      </w:pPr>
      <w:r>
        <w:separator/>
      </w:r>
    </w:p>
  </w:endnote>
  <w:endnote w:type="continuationSeparator" w:id="0">
    <w:p w14:paraId="2CA00BDA" w14:textId="77777777" w:rsidR="00DA4D02" w:rsidRDefault="00DA4D0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BF03E" w14:textId="16452611"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30DCD">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30DCD">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F2FDF" w14:textId="25E6BC1D"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30DC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30DCD">
      <w:rPr>
        <w:rFonts w:ascii="Palatino Linotype" w:hAnsi="Palatino Linotype"/>
        <w:bCs/>
        <w:noProof/>
        <w:sz w:val="20"/>
      </w:rPr>
      <w:t>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2B16E" w14:textId="77777777" w:rsidR="00DA4D02" w:rsidRDefault="00DA4D02" w:rsidP="006168E4">
      <w:pPr>
        <w:spacing w:after="0" w:line="240" w:lineRule="auto"/>
      </w:pPr>
      <w:r>
        <w:separator/>
      </w:r>
    </w:p>
  </w:footnote>
  <w:footnote w:type="continuationSeparator" w:id="0">
    <w:p w14:paraId="6B32B861" w14:textId="77777777" w:rsidR="00DA4D02" w:rsidRDefault="00DA4D02" w:rsidP="006168E4">
      <w:pPr>
        <w:spacing w:after="0" w:line="240" w:lineRule="auto"/>
      </w:pPr>
      <w:r>
        <w:continuationSeparator/>
      </w:r>
    </w:p>
  </w:footnote>
  <w:footnote w:id="1">
    <w:p w14:paraId="670B0D2B" w14:textId="77777777" w:rsidR="00C70B4A" w:rsidRPr="005552A8" w:rsidRDefault="00C70B4A" w:rsidP="003F38EB">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E0507D5" w14:textId="77777777" w:rsidR="00C70B4A" w:rsidRPr="005552A8" w:rsidRDefault="00C70B4A" w:rsidP="003F38EB">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35917A4" w14:textId="77777777" w:rsidR="00C70B4A" w:rsidRDefault="00C70B4A" w:rsidP="00B177F4">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3">
    <w:p w14:paraId="6BECD11B" w14:textId="77777777" w:rsidR="00C70B4A" w:rsidRDefault="00C70B4A" w:rsidP="00B177F4">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4">
    <w:p w14:paraId="250A65AA" w14:textId="77777777" w:rsidR="00C70B4A" w:rsidRPr="00D75A73" w:rsidRDefault="00C70B4A" w:rsidP="00B177F4">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5">
    <w:p w14:paraId="1AEB0101" w14:textId="77777777" w:rsidR="00C70B4A" w:rsidRPr="00D75A73" w:rsidRDefault="00C70B4A" w:rsidP="00B177F4">
      <w:pPr>
        <w:pStyle w:val="Textonotapie"/>
        <w:jc w:val="both"/>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5B96AF77" w:rsidR="00C70B4A" w:rsidRPr="00B4142F" w:rsidRDefault="00C70B4A"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06305/INFOEM/IP/RR/2022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362A2196" w:rsidR="00C70B4A" w:rsidRPr="00F06FED" w:rsidRDefault="00C70B4A" w:rsidP="00C01E1C">
          <w:pPr>
            <w:spacing w:after="120" w:line="256" w:lineRule="auto"/>
            <w:ind w:left="639" w:right="214"/>
            <w:jc w:val="both"/>
            <w:rPr>
              <w:rFonts w:ascii="Palatino Linotype" w:hAnsi="Palatino Linotype" w:cs="Arial"/>
            </w:rPr>
          </w:pPr>
          <w:r>
            <w:rPr>
              <w:rFonts w:ascii="Palatino Linotype" w:hAnsi="Palatino Linotype" w:cs="Arial"/>
              <w:szCs w:val="20"/>
            </w:rPr>
            <w:t>Ayuntamiento de Toluca</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0FC2562E" w:rsidR="00C70B4A" w:rsidRPr="00B4142F" w:rsidRDefault="00C70B4A"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06305/INFOEM/IP/RR/2022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72C43FB7" w:rsidR="00C70B4A" w:rsidRPr="00F06FED" w:rsidRDefault="00530DCD" w:rsidP="00CC0C5F">
          <w:pPr>
            <w:spacing w:after="120" w:line="256" w:lineRule="auto"/>
            <w:ind w:left="639" w:right="214"/>
            <w:jc w:val="both"/>
            <w:rPr>
              <w:rFonts w:ascii="Palatino Linotype" w:hAnsi="Palatino Linotype" w:cs="Arial"/>
            </w:rPr>
          </w:pPr>
          <w:r>
            <w:rPr>
              <w:rFonts w:ascii="Palatino Linotype" w:hAnsi="Palatino Linotype" w:cs="Arial"/>
            </w:rPr>
            <w:t>XXXXXXXXXXXXXXX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53E73317" w:rsidR="00C70B4A" w:rsidRDefault="00C70B4A"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26A4"/>
    <w:multiLevelType w:val="hybridMultilevel"/>
    <w:tmpl w:val="7C0073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C141DA"/>
    <w:multiLevelType w:val="hybridMultilevel"/>
    <w:tmpl w:val="2606F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855B56"/>
    <w:multiLevelType w:val="hybridMultilevel"/>
    <w:tmpl w:val="720E2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5" w15:restartNumberingAfterBreak="0">
    <w:nsid w:val="6B055BD1"/>
    <w:multiLevelType w:val="hybridMultilevel"/>
    <w:tmpl w:val="92E86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C06514E"/>
    <w:multiLevelType w:val="hybridMultilevel"/>
    <w:tmpl w:val="ABD0D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3"/>
  </w:num>
  <w:num w:numId="6">
    <w:abstractNumId w:val="6"/>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61F8"/>
    <w:rsid w:val="00007BD9"/>
    <w:rsid w:val="00010F2B"/>
    <w:rsid w:val="0001225E"/>
    <w:rsid w:val="000170DF"/>
    <w:rsid w:val="00020A70"/>
    <w:rsid w:val="00022604"/>
    <w:rsid w:val="000236FA"/>
    <w:rsid w:val="0002450B"/>
    <w:rsid w:val="0002766F"/>
    <w:rsid w:val="000306A7"/>
    <w:rsid w:val="00031C92"/>
    <w:rsid w:val="000363A2"/>
    <w:rsid w:val="0004199A"/>
    <w:rsid w:val="00045379"/>
    <w:rsid w:val="000461DF"/>
    <w:rsid w:val="00046AD8"/>
    <w:rsid w:val="00054DD0"/>
    <w:rsid w:val="00055224"/>
    <w:rsid w:val="0005543E"/>
    <w:rsid w:val="0005622A"/>
    <w:rsid w:val="0006076C"/>
    <w:rsid w:val="00060FB3"/>
    <w:rsid w:val="00061821"/>
    <w:rsid w:val="000623F9"/>
    <w:rsid w:val="00062482"/>
    <w:rsid w:val="00062D5C"/>
    <w:rsid w:val="00063A10"/>
    <w:rsid w:val="00063EFB"/>
    <w:rsid w:val="000662F8"/>
    <w:rsid w:val="00073E78"/>
    <w:rsid w:val="000758EF"/>
    <w:rsid w:val="00081988"/>
    <w:rsid w:val="00090AFC"/>
    <w:rsid w:val="00091552"/>
    <w:rsid w:val="00091C3A"/>
    <w:rsid w:val="000A2D37"/>
    <w:rsid w:val="000A3486"/>
    <w:rsid w:val="000A4DD1"/>
    <w:rsid w:val="000A70F8"/>
    <w:rsid w:val="000A71F4"/>
    <w:rsid w:val="000A733E"/>
    <w:rsid w:val="000A79DA"/>
    <w:rsid w:val="000B1702"/>
    <w:rsid w:val="000B4B51"/>
    <w:rsid w:val="000B7158"/>
    <w:rsid w:val="000C5B8B"/>
    <w:rsid w:val="000D0BC5"/>
    <w:rsid w:val="000D1B55"/>
    <w:rsid w:val="000D3C75"/>
    <w:rsid w:val="000D6116"/>
    <w:rsid w:val="000D7A3D"/>
    <w:rsid w:val="000E0557"/>
    <w:rsid w:val="000E0655"/>
    <w:rsid w:val="000E686B"/>
    <w:rsid w:val="000F3EE7"/>
    <w:rsid w:val="000F68B1"/>
    <w:rsid w:val="000F6F19"/>
    <w:rsid w:val="000F7AC2"/>
    <w:rsid w:val="00100E19"/>
    <w:rsid w:val="00102D69"/>
    <w:rsid w:val="00110EDB"/>
    <w:rsid w:val="00111DCD"/>
    <w:rsid w:val="00114CF9"/>
    <w:rsid w:val="0011564C"/>
    <w:rsid w:val="001167AA"/>
    <w:rsid w:val="00117157"/>
    <w:rsid w:val="00124855"/>
    <w:rsid w:val="00124EC6"/>
    <w:rsid w:val="001254F5"/>
    <w:rsid w:val="001336D3"/>
    <w:rsid w:val="001364AA"/>
    <w:rsid w:val="00136FAD"/>
    <w:rsid w:val="00142798"/>
    <w:rsid w:val="00144B4A"/>
    <w:rsid w:val="00146F0A"/>
    <w:rsid w:val="00147B36"/>
    <w:rsid w:val="00152124"/>
    <w:rsid w:val="00152C2B"/>
    <w:rsid w:val="001542FC"/>
    <w:rsid w:val="001646D0"/>
    <w:rsid w:val="001657E6"/>
    <w:rsid w:val="00172661"/>
    <w:rsid w:val="001742A5"/>
    <w:rsid w:val="00174495"/>
    <w:rsid w:val="00174EE4"/>
    <w:rsid w:val="00175279"/>
    <w:rsid w:val="00175320"/>
    <w:rsid w:val="00175897"/>
    <w:rsid w:val="00175C56"/>
    <w:rsid w:val="00177D2C"/>
    <w:rsid w:val="001804C3"/>
    <w:rsid w:val="00180B9F"/>
    <w:rsid w:val="00181CC5"/>
    <w:rsid w:val="00191926"/>
    <w:rsid w:val="00193784"/>
    <w:rsid w:val="00193FB6"/>
    <w:rsid w:val="001942EE"/>
    <w:rsid w:val="001A02EC"/>
    <w:rsid w:val="001A0906"/>
    <w:rsid w:val="001A22D7"/>
    <w:rsid w:val="001A32F0"/>
    <w:rsid w:val="001A577E"/>
    <w:rsid w:val="001A58DE"/>
    <w:rsid w:val="001A7C9B"/>
    <w:rsid w:val="001B05B9"/>
    <w:rsid w:val="001B1519"/>
    <w:rsid w:val="001B7B88"/>
    <w:rsid w:val="001C0BAD"/>
    <w:rsid w:val="001C7319"/>
    <w:rsid w:val="001C7D87"/>
    <w:rsid w:val="001D3E87"/>
    <w:rsid w:val="001D5F16"/>
    <w:rsid w:val="001D6FAB"/>
    <w:rsid w:val="001E1D18"/>
    <w:rsid w:val="001E2C0F"/>
    <w:rsid w:val="001E668A"/>
    <w:rsid w:val="001F0A4F"/>
    <w:rsid w:val="001F2A14"/>
    <w:rsid w:val="001F4ADC"/>
    <w:rsid w:val="001F71ED"/>
    <w:rsid w:val="00203D3A"/>
    <w:rsid w:val="00203FF3"/>
    <w:rsid w:val="002044B4"/>
    <w:rsid w:val="00207086"/>
    <w:rsid w:val="00211D60"/>
    <w:rsid w:val="0021501E"/>
    <w:rsid w:val="0021572A"/>
    <w:rsid w:val="002205C0"/>
    <w:rsid w:val="0022494A"/>
    <w:rsid w:val="00225507"/>
    <w:rsid w:val="0023373D"/>
    <w:rsid w:val="0023423C"/>
    <w:rsid w:val="00237F4F"/>
    <w:rsid w:val="0024112D"/>
    <w:rsid w:val="002428BA"/>
    <w:rsid w:val="00244177"/>
    <w:rsid w:val="00254477"/>
    <w:rsid w:val="00257337"/>
    <w:rsid w:val="002577FE"/>
    <w:rsid w:val="0025780C"/>
    <w:rsid w:val="002609D8"/>
    <w:rsid w:val="00262CBE"/>
    <w:rsid w:val="002646EF"/>
    <w:rsid w:val="00266AE6"/>
    <w:rsid w:val="00267C18"/>
    <w:rsid w:val="00273D0E"/>
    <w:rsid w:val="00280B8B"/>
    <w:rsid w:val="00282235"/>
    <w:rsid w:val="00292350"/>
    <w:rsid w:val="00292DC0"/>
    <w:rsid w:val="00297EF9"/>
    <w:rsid w:val="002A2034"/>
    <w:rsid w:val="002A24F4"/>
    <w:rsid w:val="002A38BF"/>
    <w:rsid w:val="002A597E"/>
    <w:rsid w:val="002B0FB9"/>
    <w:rsid w:val="002B4382"/>
    <w:rsid w:val="002B5DBD"/>
    <w:rsid w:val="002B72F9"/>
    <w:rsid w:val="002B7D92"/>
    <w:rsid w:val="002C498D"/>
    <w:rsid w:val="002C4FE1"/>
    <w:rsid w:val="002C72D2"/>
    <w:rsid w:val="002D2F00"/>
    <w:rsid w:val="002D79E2"/>
    <w:rsid w:val="002D7A5D"/>
    <w:rsid w:val="002E0A4A"/>
    <w:rsid w:val="002E0BC4"/>
    <w:rsid w:val="002E21B4"/>
    <w:rsid w:val="002E2D7B"/>
    <w:rsid w:val="002E5E6A"/>
    <w:rsid w:val="002F22FA"/>
    <w:rsid w:val="002F37BE"/>
    <w:rsid w:val="002F41CA"/>
    <w:rsid w:val="002F4C6A"/>
    <w:rsid w:val="002F527C"/>
    <w:rsid w:val="002F70F6"/>
    <w:rsid w:val="002F7E18"/>
    <w:rsid w:val="00300D0B"/>
    <w:rsid w:val="003043BE"/>
    <w:rsid w:val="00305181"/>
    <w:rsid w:val="00306096"/>
    <w:rsid w:val="00306974"/>
    <w:rsid w:val="00307014"/>
    <w:rsid w:val="0031645D"/>
    <w:rsid w:val="00320A67"/>
    <w:rsid w:val="00324AC9"/>
    <w:rsid w:val="003272FB"/>
    <w:rsid w:val="00330857"/>
    <w:rsid w:val="00331499"/>
    <w:rsid w:val="0033580E"/>
    <w:rsid w:val="00343D1E"/>
    <w:rsid w:val="0035054D"/>
    <w:rsid w:val="00354258"/>
    <w:rsid w:val="00355593"/>
    <w:rsid w:val="00357E0E"/>
    <w:rsid w:val="00361B9C"/>
    <w:rsid w:val="00361D89"/>
    <w:rsid w:val="003672FB"/>
    <w:rsid w:val="00370588"/>
    <w:rsid w:val="00370797"/>
    <w:rsid w:val="003746C6"/>
    <w:rsid w:val="00375763"/>
    <w:rsid w:val="00375BEA"/>
    <w:rsid w:val="00376CEC"/>
    <w:rsid w:val="00380758"/>
    <w:rsid w:val="003810B1"/>
    <w:rsid w:val="003815E5"/>
    <w:rsid w:val="00381E2B"/>
    <w:rsid w:val="003838B4"/>
    <w:rsid w:val="00387929"/>
    <w:rsid w:val="00390988"/>
    <w:rsid w:val="00393D5B"/>
    <w:rsid w:val="0039460D"/>
    <w:rsid w:val="00394A1E"/>
    <w:rsid w:val="003968C7"/>
    <w:rsid w:val="00397BF8"/>
    <w:rsid w:val="003A2246"/>
    <w:rsid w:val="003A2658"/>
    <w:rsid w:val="003A61F9"/>
    <w:rsid w:val="003A6975"/>
    <w:rsid w:val="003B1E88"/>
    <w:rsid w:val="003B5E96"/>
    <w:rsid w:val="003C5243"/>
    <w:rsid w:val="003C53ED"/>
    <w:rsid w:val="003D0B7E"/>
    <w:rsid w:val="003D4E0F"/>
    <w:rsid w:val="003D5C0A"/>
    <w:rsid w:val="003E16E1"/>
    <w:rsid w:val="003E1871"/>
    <w:rsid w:val="003E504D"/>
    <w:rsid w:val="003E656A"/>
    <w:rsid w:val="003E78B7"/>
    <w:rsid w:val="003F3016"/>
    <w:rsid w:val="003F38EB"/>
    <w:rsid w:val="003F76E5"/>
    <w:rsid w:val="004012CF"/>
    <w:rsid w:val="004015EE"/>
    <w:rsid w:val="00402FF3"/>
    <w:rsid w:val="0040673A"/>
    <w:rsid w:val="004069EB"/>
    <w:rsid w:val="00410ACB"/>
    <w:rsid w:val="00411E6F"/>
    <w:rsid w:val="00412600"/>
    <w:rsid w:val="004150FE"/>
    <w:rsid w:val="00422ED2"/>
    <w:rsid w:val="00423213"/>
    <w:rsid w:val="0042416D"/>
    <w:rsid w:val="00424EA1"/>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2881"/>
    <w:rsid w:val="004640F2"/>
    <w:rsid w:val="00467337"/>
    <w:rsid w:val="00467C17"/>
    <w:rsid w:val="00475345"/>
    <w:rsid w:val="00475F48"/>
    <w:rsid w:val="00476790"/>
    <w:rsid w:val="00477CC2"/>
    <w:rsid w:val="00477D47"/>
    <w:rsid w:val="004814EA"/>
    <w:rsid w:val="0048180A"/>
    <w:rsid w:val="00481C7A"/>
    <w:rsid w:val="00487DB5"/>
    <w:rsid w:val="004906C8"/>
    <w:rsid w:val="00492BC7"/>
    <w:rsid w:val="004938E6"/>
    <w:rsid w:val="004967E2"/>
    <w:rsid w:val="004975A8"/>
    <w:rsid w:val="004A114B"/>
    <w:rsid w:val="004A2363"/>
    <w:rsid w:val="004A290F"/>
    <w:rsid w:val="004A55D8"/>
    <w:rsid w:val="004A5FFD"/>
    <w:rsid w:val="004A7CE2"/>
    <w:rsid w:val="004B031A"/>
    <w:rsid w:val="004B234F"/>
    <w:rsid w:val="004B59BB"/>
    <w:rsid w:val="004B5CCC"/>
    <w:rsid w:val="004C2845"/>
    <w:rsid w:val="004C3081"/>
    <w:rsid w:val="004C7961"/>
    <w:rsid w:val="004D0658"/>
    <w:rsid w:val="004D08EB"/>
    <w:rsid w:val="004D3B15"/>
    <w:rsid w:val="004D54E3"/>
    <w:rsid w:val="004D761E"/>
    <w:rsid w:val="004E1A3D"/>
    <w:rsid w:val="004E2371"/>
    <w:rsid w:val="004E6BE9"/>
    <w:rsid w:val="004E754F"/>
    <w:rsid w:val="004E780E"/>
    <w:rsid w:val="004E7A84"/>
    <w:rsid w:val="004F0538"/>
    <w:rsid w:val="004F17D6"/>
    <w:rsid w:val="004F3024"/>
    <w:rsid w:val="004F33EA"/>
    <w:rsid w:val="004F4F45"/>
    <w:rsid w:val="005001FE"/>
    <w:rsid w:val="005020E9"/>
    <w:rsid w:val="00503655"/>
    <w:rsid w:val="00504BE3"/>
    <w:rsid w:val="00507065"/>
    <w:rsid w:val="005128DD"/>
    <w:rsid w:val="00514207"/>
    <w:rsid w:val="005149BE"/>
    <w:rsid w:val="00515090"/>
    <w:rsid w:val="005179E4"/>
    <w:rsid w:val="00521E57"/>
    <w:rsid w:val="005305EA"/>
    <w:rsid w:val="00530DCD"/>
    <w:rsid w:val="0053652A"/>
    <w:rsid w:val="005371E7"/>
    <w:rsid w:val="00537E4B"/>
    <w:rsid w:val="00540538"/>
    <w:rsid w:val="00542664"/>
    <w:rsid w:val="00544CF2"/>
    <w:rsid w:val="00551E8B"/>
    <w:rsid w:val="005520FE"/>
    <w:rsid w:val="0055263C"/>
    <w:rsid w:val="0055472B"/>
    <w:rsid w:val="00555D9A"/>
    <w:rsid w:val="00556513"/>
    <w:rsid w:val="00557F13"/>
    <w:rsid w:val="00562653"/>
    <w:rsid w:val="00563CE8"/>
    <w:rsid w:val="005662E2"/>
    <w:rsid w:val="00571389"/>
    <w:rsid w:val="005733EB"/>
    <w:rsid w:val="005734C5"/>
    <w:rsid w:val="0057453A"/>
    <w:rsid w:val="00574E18"/>
    <w:rsid w:val="00575268"/>
    <w:rsid w:val="00576D51"/>
    <w:rsid w:val="0057792B"/>
    <w:rsid w:val="00580802"/>
    <w:rsid w:val="00581A22"/>
    <w:rsid w:val="005860CB"/>
    <w:rsid w:val="005869A2"/>
    <w:rsid w:val="005918F3"/>
    <w:rsid w:val="00593E91"/>
    <w:rsid w:val="0059442D"/>
    <w:rsid w:val="00594D38"/>
    <w:rsid w:val="0059753D"/>
    <w:rsid w:val="005A0B49"/>
    <w:rsid w:val="005A1108"/>
    <w:rsid w:val="005A353A"/>
    <w:rsid w:val="005A4EBE"/>
    <w:rsid w:val="005A5C79"/>
    <w:rsid w:val="005A6D57"/>
    <w:rsid w:val="005A71FD"/>
    <w:rsid w:val="005B1F52"/>
    <w:rsid w:val="005B5840"/>
    <w:rsid w:val="005B5B70"/>
    <w:rsid w:val="005B5F05"/>
    <w:rsid w:val="005C17BF"/>
    <w:rsid w:val="005C57BA"/>
    <w:rsid w:val="005C6982"/>
    <w:rsid w:val="005C6B74"/>
    <w:rsid w:val="005C7AEA"/>
    <w:rsid w:val="005D125D"/>
    <w:rsid w:val="005D2B59"/>
    <w:rsid w:val="005D362F"/>
    <w:rsid w:val="005D370F"/>
    <w:rsid w:val="005D3E85"/>
    <w:rsid w:val="005D44D1"/>
    <w:rsid w:val="005D53D6"/>
    <w:rsid w:val="005E265D"/>
    <w:rsid w:val="005E3D7D"/>
    <w:rsid w:val="005E4D7C"/>
    <w:rsid w:val="005E5F6A"/>
    <w:rsid w:val="005F048E"/>
    <w:rsid w:val="005F2047"/>
    <w:rsid w:val="005F2C76"/>
    <w:rsid w:val="005F57F0"/>
    <w:rsid w:val="00601010"/>
    <w:rsid w:val="006028C9"/>
    <w:rsid w:val="0060676C"/>
    <w:rsid w:val="0060721D"/>
    <w:rsid w:val="0061042F"/>
    <w:rsid w:val="006168E4"/>
    <w:rsid w:val="00621F47"/>
    <w:rsid w:val="0062497C"/>
    <w:rsid w:val="00625200"/>
    <w:rsid w:val="006255AA"/>
    <w:rsid w:val="00630846"/>
    <w:rsid w:val="00631806"/>
    <w:rsid w:val="00637512"/>
    <w:rsid w:val="00640EE4"/>
    <w:rsid w:val="006466F5"/>
    <w:rsid w:val="00646C24"/>
    <w:rsid w:val="00652BC5"/>
    <w:rsid w:val="00661753"/>
    <w:rsid w:val="0066216F"/>
    <w:rsid w:val="006654F6"/>
    <w:rsid w:val="00675390"/>
    <w:rsid w:val="00676CAA"/>
    <w:rsid w:val="006802CF"/>
    <w:rsid w:val="006827AB"/>
    <w:rsid w:val="006831E4"/>
    <w:rsid w:val="00683B62"/>
    <w:rsid w:val="006848B7"/>
    <w:rsid w:val="006868A7"/>
    <w:rsid w:val="00690791"/>
    <w:rsid w:val="006915EA"/>
    <w:rsid w:val="00694828"/>
    <w:rsid w:val="006A3810"/>
    <w:rsid w:val="006A65EE"/>
    <w:rsid w:val="006A68B8"/>
    <w:rsid w:val="006A7CEB"/>
    <w:rsid w:val="006B1953"/>
    <w:rsid w:val="006B1BF1"/>
    <w:rsid w:val="006B20F0"/>
    <w:rsid w:val="006B26E3"/>
    <w:rsid w:val="006B3085"/>
    <w:rsid w:val="006B69CF"/>
    <w:rsid w:val="006B7444"/>
    <w:rsid w:val="006C17FD"/>
    <w:rsid w:val="006C28CA"/>
    <w:rsid w:val="006C350D"/>
    <w:rsid w:val="006C5E56"/>
    <w:rsid w:val="006C66E4"/>
    <w:rsid w:val="006D23FC"/>
    <w:rsid w:val="006D643D"/>
    <w:rsid w:val="006E063C"/>
    <w:rsid w:val="006E3851"/>
    <w:rsid w:val="006F1167"/>
    <w:rsid w:val="006F4044"/>
    <w:rsid w:val="006F46DC"/>
    <w:rsid w:val="006F4CC6"/>
    <w:rsid w:val="00701033"/>
    <w:rsid w:val="00701A3F"/>
    <w:rsid w:val="00702A03"/>
    <w:rsid w:val="00704EFD"/>
    <w:rsid w:val="007051A0"/>
    <w:rsid w:val="007078C8"/>
    <w:rsid w:val="00712E3A"/>
    <w:rsid w:val="00721506"/>
    <w:rsid w:val="007216DB"/>
    <w:rsid w:val="007246D3"/>
    <w:rsid w:val="00725F5A"/>
    <w:rsid w:val="007274EC"/>
    <w:rsid w:val="00737817"/>
    <w:rsid w:val="007404D5"/>
    <w:rsid w:val="00740BDD"/>
    <w:rsid w:val="00744287"/>
    <w:rsid w:val="00744EEF"/>
    <w:rsid w:val="00745D76"/>
    <w:rsid w:val="00747109"/>
    <w:rsid w:val="00747487"/>
    <w:rsid w:val="007505EB"/>
    <w:rsid w:val="00751B4B"/>
    <w:rsid w:val="00754CAE"/>
    <w:rsid w:val="00760D70"/>
    <w:rsid w:val="00763EE7"/>
    <w:rsid w:val="0076623B"/>
    <w:rsid w:val="00767E4B"/>
    <w:rsid w:val="007718AD"/>
    <w:rsid w:val="007742A7"/>
    <w:rsid w:val="007851D5"/>
    <w:rsid w:val="00793CFD"/>
    <w:rsid w:val="0079486A"/>
    <w:rsid w:val="00794F80"/>
    <w:rsid w:val="007A00E9"/>
    <w:rsid w:val="007A0454"/>
    <w:rsid w:val="007A0E44"/>
    <w:rsid w:val="007A1C9E"/>
    <w:rsid w:val="007A4CA1"/>
    <w:rsid w:val="007A5DFD"/>
    <w:rsid w:val="007B0398"/>
    <w:rsid w:val="007B2C77"/>
    <w:rsid w:val="007B2E78"/>
    <w:rsid w:val="007B5E84"/>
    <w:rsid w:val="007B6549"/>
    <w:rsid w:val="007C3F2F"/>
    <w:rsid w:val="007D10BD"/>
    <w:rsid w:val="007D1A27"/>
    <w:rsid w:val="007D1B24"/>
    <w:rsid w:val="007D1F15"/>
    <w:rsid w:val="007D25B1"/>
    <w:rsid w:val="007D2878"/>
    <w:rsid w:val="007D6FC3"/>
    <w:rsid w:val="007E319E"/>
    <w:rsid w:val="007E4FA1"/>
    <w:rsid w:val="007E7B07"/>
    <w:rsid w:val="007E7BAB"/>
    <w:rsid w:val="007E7DCE"/>
    <w:rsid w:val="007E7FA9"/>
    <w:rsid w:val="007F20AC"/>
    <w:rsid w:val="007F6623"/>
    <w:rsid w:val="00802C56"/>
    <w:rsid w:val="008053CE"/>
    <w:rsid w:val="00806EE9"/>
    <w:rsid w:val="00807750"/>
    <w:rsid w:val="00807E35"/>
    <w:rsid w:val="00811205"/>
    <w:rsid w:val="00812C48"/>
    <w:rsid w:val="008146F9"/>
    <w:rsid w:val="008218CD"/>
    <w:rsid w:val="00821AEB"/>
    <w:rsid w:val="00824DCD"/>
    <w:rsid w:val="008327EA"/>
    <w:rsid w:val="00833E8A"/>
    <w:rsid w:val="008357C0"/>
    <w:rsid w:val="00836987"/>
    <w:rsid w:val="00844009"/>
    <w:rsid w:val="00844569"/>
    <w:rsid w:val="00844CDE"/>
    <w:rsid w:val="00845083"/>
    <w:rsid w:val="00847CAF"/>
    <w:rsid w:val="00847D23"/>
    <w:rsid w:val="008556FF"/>
    <w:rsid w:val="00857106"/>
    <w:rsid w:val="00857765"/>
    <w:rsid w:val="00861770"/>
    <w:rsid w:val="00863327"/>
    <w:rsid w:val="00863A40"/>
    <w:rsid w:val="0086704E"/>
    <w:rsid w:val="00867B0E"/>
    <w:rsid w:val="00867F7E"/>
    <w:rsid w:val="00870F44"/>
    <w:rsid w:val="00872ECB"/>
    <w:rsid w:val="0087456A"/>
    <w:rsid w:val="00877C8E"/>
    <w:rsid w:val="00884054"/>
    <w:rsid w:val="00890B7A"/>
    <w:rsid w:val="00890C62"/>
    <w:rsid w:val="0089173B"/>
    <w:rsid w:val="0089437B"/>
    <w:rsid w:val="00895089"/>
    <w:rsid w:val="008951ED"/>
    <w:rsid w:val="0089761E"/>
    <w:rsid w:val="008977EE"/>
    <w:rsid w:val="008A0693"/>
    <w:rsid w:val="008A5928"/>
    <w:rsid w:val="008A75BE"/>
    <w:rsid w:val="008B0D6E"/>
    <w:rsid w:val="008B1AD9"/>
    <w:rsid w:val="008B1D2E"/>
    <w:rsid w:val="008B4DF4"/>
    <w:rsid w:val="008C08BE"/>
    <w:rsid w:val="008C229F"/>
    <w:rsid w:val="008C32A8"/>
    <w:rsid w:val="008C3445"/>
    <w:rsid w:val="008C4E94"/>
    <w:rsid w:val="008C55A3"/>
    <w:rsid w:val="008C7368"/>
    <w:rsid w:val="008D32F0"/>
    <w:rsid w:val="008E012F"/>
    <w:rsid w:val="008E6375"/>
    <w:rsid w:val="008F17A1"/>
    <w:rsid w:val="008F2158"/>
    <w:rsid w:val="008F4670"/>
    <w:rsid w:val="008F4C65"/>
    <w:rsid w:val="008F5D20"/>
    <w:rsid w:val="008F7579"/>
    <w:rsid w:val="0090019F"/>
    <w:rsid w:val="00902944"/>
    <w:rsid w:val="00905422"/>
    <w:rsid w:val="00906BD5"/>
    <w:rsid w:val="009104D1"/>
    <w:rsid w:val="00913133"/>
    <w:rsid w:val="009131C3"/>
    <w:rsid w:val="0091475B"/>
    <w:rsid w:val="0092120C"/>
    <w:rsid w:val="00921DB9"/>
    <w:rsid w:val="0092403D"/>
    <w:rsid w:val="0092524A"/>
    <w:rsid w:val="00933BEE"/>
    <w:rsid w:val="00934304"/>
    <w:rsid w:val="00934415"/>
    <w:rsid w:val="009402DB"/>
    <w:rsid w:val="00942E41"/>
    <w:rsid w:val="009440D8"/>
    <w:rsid w:val="009449B8"/>
    <w:rsid w:val="00944DC9"/>
    <w:rsid w:val="00945203"/>
    <w:rsid w:val="009454E7"/>
    <w:rsid w:val="0094603F"/>
    <w:rsid w:val="00951F85"/>
    <w:rsid w:val="00952850"/>
    <w:rsid w:val="009555DC"/>
    <w:rsid w:val="009611E0"/>
    <w:rsid w:val="00962383"/>
    <w:rsid w:val="00963120"/>
    <w:rsid w:val="00965FEE"/>
    <w:rsid w:val="0096643B"/>
    <w:rsid w:val="00966B7A"/>
    <w:rsid w:val="009706B5"/>
    <w:rsid w:val="00972BDF"/>
    <w:rsid w:val="00972CF8"/>
    <w:rsid w:val="009732F5"/>
    <w:rsid w:val="00973AFB"/>
    <w:rsid w:val="00973F49"/>
    <w:rsid w:val="0098182D"/>
    <w:rsid w:val="00982A98"/>
    <w:rsid w:val="009855E2"/>
    <w:rsid w:val="00987C03"/>
    <w:rsid w:val="00990E3D"/>
    <w:rsid w:val="00992977"/>
    <w:rsid w:val="0099557F"/>
    <w:rsid w:val="009A3511"/>
    <w:rsid w:val="009A686F"/>
    <w:rsid w:val="009A7912"/>
    <w:rsid w:val="009B0094"/>
    <w:rsid w:val="009B28E9"/>
    <w:rsid w:val="009B33A8"/>
    <w:rsid w:val="009B3487"/>
    <w:rsid w:val="009B390A"/>
    <w:rsid w:val="009B7C61"/>
    <w:rsid w:val="009C22B1"/>
    <w:rsid w:val="009C3793"/>
    <w:rsid w:val="009C62BD"/>
    <w:rsid w:val="009D26AD"/>
    <w:rsid w:val="009D341C"/>
    <w:rsid w:val="009E1411"/>
    <w:rsid w:val="009E19FC"/>
    <w:rsid w:val="009E52F2"/>
    <w:rsid w:val="009F1118"/>
    <w:rsid w:val="009F1287"/>
    <w:rsid w:val="009F25EB"/>
    <w:rsid w:val="009F2A10"/>
    <w:rsid w:val="009F3C1F"/>
    <w:rsid w:val="009F614E"/>
    <w:rsid w:val="009F762B"/>
    <w:rsid w:val="009F76BA"/>
    <w:rsid w:val="009F7E09"/>
    <w:rsid w:val="00A02047"/>
    <w:rsid w:val="00A035C0"/>
    <w:rsid w:val="00A036BE"/>
    <w:rsid w:val="00A0575E"/>
    <w:rsid w:val="00A068CE"/>
    <w:rsid w:val="00A10F77"/>
    <w:rsid w:val="00A12205"/>
    <w:rsid w:val="00A139AF"/>
    <w:rsid w:val="00A20113"/>
    <w:rsid w:val="00A24B74"/>
    <w:rsid w:val="00A3248C"/>
    <w:rsid w:val="00A339E6"/>
    <w:rsid w:val="00A33EF8"/>
    <w:rsid w:val="00A34362"/>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285E"/>
    <w:rsid w:val="00A544DC"/>
    <w:rsid w:val="00A55818"/>
    <w:rsid w:val="00A56556"/>
    <w:rsid w:val="00A625E2"/>
    <w:rsid w:val="00A63DC7"/>
    <w:rsid w:val="00A70289"/>
    <w:rsid w:val="00A72105"/>
    <w:rsid w:val="00A72465"/>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56F6"/>
    <w:rsid w:val="00AA5D62"/>
    <w:rsid w:val="00AB0571"/>
    <w:rsid w:val="00AB1E84"/>
    <w:rsid w:val="00AB2BF2"/>
    <w:rsid w:val="00AB3710"/>
    <w:rsid w:val="00AB4B0F"/>
    <w:rsid w:val="00AB6C3B"/>
    <w:rsid w:val="00AB7F4A"/>
    <w:rsid w:val="00AC226E"/>
    <w:rsid w:val="00AC722C"/>
    <w:rsid w:val="00AC7906"/>
    <w:rsid w:val="00AD1291"/>
    <w:rsid w:val="00AD134F"/>
    <w:rsid w:val="00AD1F40"/>
    <w:rsid w:val="00AD3428"/>
    <w:rsid w:val="00AD3AA2"/>
    <w:rsid w:val="00AD43B8"/>
    <w:rsid w:val="00AD4B1A"/>
    <w:rsid w:val="00AE008F"/>
    <w:rsid w:val="00AF0161"/>
    <w:rsid w:val="00AF2A1F"/>
    <w:rsid w:val="00AF2D9B"/>
    <w:rsid w:val="00B00628"/>
    <w:rsid w:val="00B01CED"/>
    <w:rsid w:val="00B0749B"/>
    <w:rsid w:val="00B10050"/>
    <w:rsid w:val="00B10A1E"/>
    <w:rsid w:val="00B11E08"/>
    <w:rsid w:val="00B12FF9"/>
    <w:rsid w:val="00B14039"/>
    <w:rsid w:val="00B149FA"/>
    <w:rsid w:val="00B177F4"/>
    <w:rsid w:val="00B22242"/>
    <w:rsid w:val="00B2232C"/>
    <w:rsid w:val="00B2330D"/>
    <w:rsid w:val="00B32CD3"/>
    <w:rsid w:val="00B34CED"/>
    <w:rsid w:val="00B35A93"/>
    <w:rsid w:val="00B3672D"/>
    <w:rsid w:val="00B433C9"/>
    <w:rsid w:val="00B437D8"/>
    <w:rsid w:val="00B46B42"/>
    <w:rsid w:val="00B4745C"/>
    <w:rsid w:val="00B477A3"/>
    <w:rsid w:val="00B50ECE"/>
    <w:rsid w:val="00B52D3E"/>
    <w:rsid w:val="00B52E55"/>
    <w:rsid w:val="00B534F0"/>
    <w:rsid w:val="00B54C62"/>
    <w:rsid w:val="00B57980"/>
    <w:rsid w:val="00B601D4"/>
    <w:rsid w:val="00B60DA2"/>
    <w:rsid w:val="00B6166B"/>
    <w:rsid w:val="00B61955"/>
    <w:rsid w:val="00B63BC9"/>
    <w:rsid w:val="00B653BB"/>
    <w:rsid w:val="00B66E86"/>
    <w:rsid w:val="00B67A20"/>
    <w:rsid w:val="00B710FE"/>
    <w:rsid w:val="00B724E8"/>
    <w:rsid w:val="00B87D50"/>
    <w:rsid w:val="00B9223B"/>
    <w:rsid w:val="00B953BD"/>
    <w:rsid w:val="00B97421"/>
    <w:rsid w:val="00BA2A94"/>
    <w:rsid w:val="00BA4D1F"/>
    <w:rsid w:val="00BA5339"/>
    <w:rsid w:val="00BA6226"/>
    <w:rsid w:val="00BA7AD1"/>
    <w:rsid w:val="00BB2250"/>
    <w:rsid w:val="00BB3132"/>
    <w:rsid w:val="00BB5448"/>
    <w:rsid w:val="00BB68CA"/>
    <w:rsid w:val="00BB721B"/>
    <w:rsid w:val="00BC0FDD"/>
    <w:rsid w:val="00BC22E0"/>
    <w:rsid w:val="00BC2A46"/>
    <w:rsid w:val="00BC3FA4"/>
    <w:rsid w:val="00BD004A"/>
    <w:rsid w:val="00BD352C"/>
    <w:rsid w:val="00BD5023"/>
    <w:rsid w:val="00BD5133"/>
    <w:rsid w:val="00BD58AB"/>
    <w:rsid w:val="00BD641B"/>
    <w:rsid w:val="00BE28ED"/>
    <w:rsid w:val="00C008B2"/>
    <w:rsid w:val="00C01ABC"/>
    <w:rsid w:val="00C01E1C"/>
    <w:rsid w:val="00C01F6B"/>
    <w:rsid w:val="00C12209"/>
    <w:rsid w:val="00C16927"/>
    <w:rsid w:val="00C2082E"/>
    <w:rsid w:val="00C24A09"/>
    <w:rsid w:val="00C25084"/>
    <w:rsid w:val="00C274BE"/>
    <w:rsid w:val="00C274C6"/>
    <w:rsid w:val="00C310B6"/>
    <w:rsid w:val="00C3330D"/>
    <w:rsid w:val="00C347FE"/>
    <w:rsid w:val="00C357BE"/>
    <w:rsid w:val="00C4006D"/>
    <w:rsid w:val="00C4530E"/>
    <w:rsid w:val="00C56C44"/>
    <w:rsid w:val="00C57028"/>
    <w:rsid w:val="00C572BB"/>
    <w:rsid w:val="00C604B3"/>
    <w:rsid w:val="00C6332C"/>
    <w:rsid w:val="00C6721D"/>
    <w:rsid w:val="00C677A9"/>
    <w:rsid w:val="00C70B4A"/>
    <w:rsid w:val="00C71CD1"/>
    <w:rsid w:val="00C73143"/>
    <w:rsid w:val="00C77685"/>
    <w:rsid w:val="00C77815"/>
    <w:rsid w:val="00C77977"/>
    <w:rsid w:val="00C77ABA"/>
    <w:rsid w:val="00C8085F"/>
    <w:rsid w:val="00C821B6"/>
    <w:rsid w:val="00C85378"/>
    <w:rsid w:val="00C90BE5"/>
    <w:rsid w:val="00C91B10"/>
    <w:rsid w:val="00C925E0"/>
    <w:rsid w:val="00C9297C"/>
    <w:rsid w:val="00CA5334"/>
    <w:rsid w:val="00CA6FDA"/>
    <w:rsid w:val="00CB0886"/>
    <w:rsid w:val="00CB3B6F"/>
    <w:rsid w:val="00CC0C5F"/>
    <w:rsid w:val="00CC2F3D"/>
    <w:rsid w:val="00CC4CF6"/>
    <w:rsid w:val="00CC51A7"/>
    <w:rsid w:val="00CC5FF3"/>
    <w:rsid w:val="00CC6072"/>
    <w:rsid w:val="00CD1612"/>
    <w:rsid w:val="00CD365B"/>
    <w:rsid w:val="00CD4BFA"/>
    <w:rsid w:val="00CE0E72"/>
    <w:rsid w:val="00CE2ADF"/>
    <w:rsid w:val="00CE367D"/>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FEC"/>
    <w:rsid w:val="00D17789"/>
    <w:rsid w:val="00D21565"/>
    <w:rsid w:val="00D22F7D"/>
    <w:rsid w:val="00D25BEE"/>
    <w:rsid w:val="00D2737E"/>
    <w:rsid w:val="00D274A9"/>
    <w:rsid w:val="00D302CF"/>
    <w:rsid w:val="00D32644"/>
    <w:rsid w:val="00D33619"/>
    <w:rsid w:val="00D400F4"/>
    <w:rsid w:val="00D43CF1"/>
    <w:rsid w:val="00D449AE"/>
    <w:rsid w:val="00D477C3"/>
    <w:rsid w:val="00D51B89"/>
    <w:rsid w:val="00D52AC7"/>
    <w:rsid w:val="00D54CA9"/>
    <w:rsid w:val="00D54D64"/>
    <w:rsid w:val="00D604FD"/>
    <w:rsid w:val="00D6340F"/>
    <w:rsid w:val="00D6535E"/>
    <w:rsid w:val="00D654EC"/>
    <w:rsid w:val="00D720DC"/>
    <w:rsid w:val="00D72D16"/>
    <w:rsid w:val="00D742B9"/>
    <w:rsid w:val="00D7492C"/>
    <w:rsid w:val="00D766CC"/>
    <w:rsid w:val="00D81029"/>
    <w:rsid w:val="00D8195B"/>
    <w:rsid w:val="00D821F8"/>
    <w:rsid w:val="00D848F9"/>
    <w:rsid w:val="00D84DDC"/>
    <w:rsid w:val="00D85695"/>
    <w:rsid w:val="00D8619F"/>
    <w:rsid w:val="00D86764"/>
    <w:rsid w:val="00D870AC"/>
    <w:rsid w:val="00D90B92"/>
    <w:rsid w:val="00D95611"/>
    <w:rsid w:val="00DA0DF2"/>
    <w:rsid w:val="00DA1152"/>
    <w:rsid w:val="00DA41D7"/>
    <w:rsid w:val="00DA494B"/>
    <w:rsid w:val="00DA4D02"/>
    <w:rsid w:val="00DA5B72"/>
    <w:rsid w:val="00DB5C0A"/>
    <w:rsid w:val="00DC0220"/>
    <w:rsid w:val="00DC6FF8"/>
    <w:rsid w:val="00DD13E2"/>
    <w:rsid w:val="00DE47A1"/>
    <w:rsid w:val="00DE7DCC"/>
    <w:rsid w:val="00DF003C"/>
    <w:rsid w:val="00DF0F8A"/>
    <w:rsid w:val="00DF137F"/>
    <w:rsid w:val="00DF4501"/>
    <w:rsid w:val="00DF5C75"/>
    <w:rsid w:val="00DF6971"/>
    <w:rsid w:val="00DF78AE"/>
    <w:rsid w:val="00E00E78"/>
    <w:rsid w:val="00E076C1"/>
    <w:rsid w:val="00E11E2E"/>
    <w:rsid w:val="00E13C83"/>
    <w:rsid w:val="00E15555"/>
    <w:rsid w:val="00E15B7D"/>
    <w:rsid w:val="00E2408E"/>
    <w:rsid w:val="00E27CDB"/>
    <w:rsid w:val="00E371EC"/>
    <w:rsid w:val="00E43116"/>
    <w:rsid w:val="00E444DA"/>
    <w:rsid w:val="00E51A48"/>
    <w:rsid w:val="00E550AA"/>
    <w:rsid w:val="00E571F8"/>
    <w:rsid w:val="00E64F0A"/>
    <w:rsid w:val="00E67668"/>
    <w:rsid w:val="00E70AEE"/>
    <w:rsid w:val="00E7107E"/>
    <w:rsid w:val="00E71C93"/>
    <w:rsid w:val="00E725D5"/>
    <w:rsid w:val="00E72AE3"/>
    <w:rsid w:val="00E73B51"/>
    <w:rsid w:val="00E8151C"/>
    <w:rsid w:val="00E81A88"/>
    <w:rsid w:val="00E81E9C"/>
    <w:rsid w:val="00E82E15"/>
    <w:rsid w:val="00E86FA6"/>
    <w:rsid w:val="00E936FF"/>
    <w:rsid w:val="00E939C8"/>
    <w:rsid w:val="00E93A33"/>
    <w:rsid w:val="00E93B6B"/>
    <w:rsid w:val="00EA1F89"/>
    <w:rsid w:val="00EA5177"/>
    <w:rsid w:val="00EB117B"/>
    <w:rsid w:val="00EB2BEB"/>
    <w:rsid w:val="00EB40D6"/>
    <w:rsid w:val="00EB4222"/>
    <w:rsid w:val="00EB5F75"/>
    <w:rsid w:val="00EB79CD"/>
    <w:rsid w:val="00EC0826"/>
    <w:rsid w:val="00ED5985"/>
    <w:rsid w:val="00EE0648"/>
    <w:rsid w:val="00EE0F2E"/>
    <w:rsid w:val="00EE1868"/>
    <w:rsid w:val="00EE2610"/>
    <w:rsid w:val="00EE2A41"/>
    <w:rsid w:val="00EE354B"/>
    <w:rsid w:val="00EE3C1D"/>
    <w:rsid w:val="00EE6EC2"/>
    <w:rsid w:val="00EF09FB"/>
    <w:rsid w:val="00EF102E"/>
    <w:rsid w:val="00EF1925"/>
    <w:rsid w:val="00EF2489"/>
    <w:rsid w:val="00EF697A"/>
    <w:rsid w:val="00F01A8C"/>
    <w:rsid w:val="00F02923"/>
    <w:rsid w:val="00F0351B"/>
    <w:rsid w:val="00F06472"/>
    <w:rsid w:val="00F10D6B"/>
    <w:rsid w:val="00F13254"/>
    <w:rsid w:val="00F1465C"/>
    <w:rsid w:val="00F177B1"/>
    <w:rsid w:val="00F22566"/>
    <w:rsid w:val="00F226DB"/>
    <w:rsid w:val="00F22963"/>
    <w:rsid w:val="00F232C2"/>
    <w:rsid w:val="00F24599"/>
    <w:rsid w:val="00F278FA"/>
    <w:rsid w:val="00F30F82"/>
    <w:rsid w:val="00F342B2"/>
    <w:rsid w:val="00F367F2"/>
    <w:rsid w:val="00F370A2"/>
    <w:rsid w:val="00F403EA"/>
    <w:rsid w:val="00F42753"/>
    <w:rsid w:val="00F42E10"/>
    <w:rsid w:val="00F440D8"/>
    <w:rsid w:val="00F44A7B"/>
    <w:rsid w:val="00F44FFA"/>
    <w:rsid w:val="00F45B6F"/>
    <w:rsid w:val="00F510DB"/>
    <w:rsid w:val="00F5627B"/>
    <w:rsid w:val="00F5724D"/>
    <w:rsid w:val="00F6021E"/>
    <w:rsid w:val="00F60AB3"/>
    <w:rsid w:val="00F62329"/>
    <w:rsid w:val="00F635AC"/>
    <w:rsid w:val="00F65A74"/>
    <w:rsid w:val="00F727B0"/>
    <w:rsid w:val="00F72A12"/>
    <w:rsid w:val="00F76A74"/>
    <w:rsid w:val="00F81124"/>
    <w:rsid w:val="00F816C6"/>
    <w:rsid w:val="00F817C5"/>
    <w:rsid w:val="00F841CB"/>
    <w:rsid w:val="00F858D5"/>
    <w:rsid w:val="00F909A9"/>
    <w:rsid w:val="00F91AEE"/>
    <w:rsid w:val="00F97C07"/>
    <w:rsid w:val="00FA047C"/>
    <w:rsid w:val="00FA19D2"/>
    <w:rsid w:val="00FA2545"/>
    <w:rsid w:val="00FA2625"/>
    <w:rsid w:val="00FA7EF6"/>
    <w:rsid w:val="00FB2524"/>
    <w:rsid w:val="00FB4AAD"/>
    <w:rsid w:val="00FB4E3D"/>
    <w:rsid w:val="00FB5F2A"/>
    <w:rsid w:val="00FB6CF8"/>
    <w:rsid w:val="00FC16E9"/>
    <w:rsid w:val="00FC279C"/>
    <w:rsid w:val="00FC45DE"/>
    <w:rsid w:val="00FC48CB"/>
    <w:rsid w:val="00FC4F9B"/>
    <w:rsid w:val="00FC59F0"/>
    <w:rsid w:val="00FD0B6D"/>
    <w:rsid w:val="00FD4599"/>
    <w:rsid w:val="00FD4784"/>
    <w:rsid w:val="00FD51A0"/>
    <w:rsid w:val="00FD65FE"/>
    <w:rsid w:val="00FD74EB"/>
    <w:rsid w:val="00FE009C"/>
    <w:rsid w:val="00FE01E5"/>
    <w:rsid w:val="00FE214F"/>
    <w:rsid w:val="00FE6BC1"/>
    <w:rsid w:val="00FF1082"/>
    <w:rsid w:val="00FF365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5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
    <w:name w:val="Unresolved Mention"/>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hyperlink" Target="javascript:void(0)" TargetMode="External"/><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footer" Target="footer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1FA68-1089-48D8-B1A6-F3EFE06A7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1973</TotalTime>
  <Pages>38</Pages>
  <Words>6775</Words>
  <Characters>37266</Characters>
  <Application>Microsoft Office Word</Application>
  <DocSecurity>0</DocSecurity>
  <Lines>310</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85</cp:revision>
  <cp:lastPrinted>2019-11-07T00:56:00Z</cp:lastPrinted>
  <dcterms:created xsi:type="dcterms:W3CDTF">2021-11-21T15:50:00Z</dcterms:created>
  <dcterms:modified xsi:type="dcterms:W3CDTF">2022-08-06T04:15:00Z</dcterms:modified>
</cp:coreProperties>
</file>