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91" w:rsidRDefault="00417391">
      <w:pPr>
        <w:spacing w:before="240" w:after="240" w:line="360" w:lineRule="auto"/>
        <w:jc w:val="both"/>
        <w:rPr>
          <w:rFonts w:ascii="Palatino Linotype" w:eastAsia="Palatino Linotype" w:hAnsi="Palatino Linotype" w:cs="Palatino Linotype"/>
        </w:rPr>
      </w:pP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veintisiete de enero de dos mil veintidós.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05414/INFOEM/IP/RR/2021</w:t>
      </w:r>
      <w:r>
        <w:rPr>
          <w:rFonts w:ascii="Palatino Linotype" w:eastAsia="Palatino Linotype" w:hAnsi="Palatino Linotype" w:cs="Palatino Linotype"/>
        </w:rPr>
        <w:t xml:space="preserve">, interpuesto por </w:t>
      </w:r>
      <w:r w:rsidR="0018535A" w:rsidRPr="0018535A">
        <w:rPr>
          <w:rFonts w:ascii="Palatino Linotype" w:eastAsia="Palatino Linotype" w:hAnsi="Palatino Linotype" w:cs="Palatino Linotype"/>
          <w:b/>
        </w:rPr>
        <w:t>XXXX XXXX XXXXXXX XXXXXX</w:t>
      </w:r>
      <w:r>
        <w:rPr>
          <w:rFonts w:ascii="Palatino Linotype" w:eastAsia="Palatino Linotype" w:hAnsi="Palatino Linotype" w:cs="Palatino Linotype"/>
        </w:rPr>
        <w:t xml:space="preserve">, a quien en lo sucesivo se le denominará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en contra de la respuesta a su solicitud de información con número de folio </w:t>
      </w:r>
      <w:r>
        <w:rPr>
          <w:rFonts w:ascii="Palatino Linotype" w:eastAsia="Palatino Linotype" w:hAnsi="Palatino Linotype" w:cs="Palatino Linotype"/>
          <w:b/>
          <w:sz w:val="22"/>
          <w:szCs w:val="22"/>
        </w:rPr>
        <w:t>00578/METEPEC/IP/2021</w:t>
      </w:r>
      <w:r>
        <w:rPr>
          <w:rFonts w:ascii="Palatino Linotype" w:eastAsia="Palatino Linotype" w:hAnsi="Palatino Linotype" w:cs="Palatino Linotype"/>
        </w:rPr>
        <w:t xml:space="preserve">, emitida por el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417391" w:rsidRDefault="00877E77">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417391" w:rsidRDefault="00877E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1. Solicitud de acceso a la información.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seis de octubre de dos mil veintiuno, el ahora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417391" w:rsidRDefault="00877E77">
      <w:pPr>
        <w:spacing w:before="240" w:after="240" w:line="360" w:lineRule="auto"/>
        <w:ind w:left="851" w:right="90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Solicito, hacerme entrega de una copia fiel (en versión digital) de los oficios que con su respectiva numeración CONSECUTIVA, forman parte del archivo, minutario o control de oficios que fueron GENERADOS por las REGIDURIAS PRIMERA, SEGUNDA, TERCERA, CUARTA, QUINTA, SEXTA Y SÉPTIMA del Ayuntamiento de Metepec durante el mes de JULIO, AGOSTO Y SEPTTIEMBRE de 2021</w:t>
      </w:r>
      <w:r>
        <w:rPr>
          <w:rFonts w:ascii="Palatino Linotype" w:eastAsia="Palatino Linotype" w:hAnsi="Palatino Linotype" w:cs="Palatino Linotype"/>
          <w:i/>
        </w:rPr>
        <w:t>” (sic)</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 xml:space="preserve">2. Solicitud de Aclaración. </w:t>
      </w:r>
      <w:r>
        <w:rPr>
          <w:rFonts w:ascii="Palatino Linotype" w:eastAsia="Palatino Linotype" w:hAnsi="Palatino Linotype" w:cs="Palatino Linotype"/>
        </w:rPr>
        <w:t xml:space="preserve">En fecha trece de octubre de dos mil veintiuno, el Sujeto Obligado le solicitó al particular aclarar su solicitud, </w:t>
      </w:r>
      <w:r>
        <w:rPr>
          <w:rFonts w:ascii="Palatino Linotype" w:eastAsia="Palatino Linotype" w:hAnsi="Palatino Linotype" w:cs="Palatino Linotype"/>
          <w:sz w:val="22"/>
          <w:szCs w:val="22"/>
        </w:rPr>
        <w:t>cuando señala “SEPTTIEMBRE”, pues para el Sujeto Obligado, los datos ingresados resultaban insuficientes o poco claros para proceder con la búsqueda de información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en el término de diez días hábiles, caso contrario se tendría por no presentada la solicitud de información, quedando a salvo sus derechos para volver a presentar la solicitud, lo anterior con fundamento en el artículo 159 de la Ley Transparencia y Acceso a la Información Pública del Estado de México y Municipios.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Requerimiento que fue desahogado por el hoy </w:t>
      </w:r>
      <w:r>
        <w:rPr>
          <w:rFonts w:ascii="Palatino Linotype" w:eastAsia="Palatino Linotype" w:hAnsi="Palatino Linotype" w:cs="Palatino Linotype"/>
          <w:i/>
        </w:rPr>
        <w:t xml:space="preserve">Recurrente </w:t>
      </w:r>
      <w:r>
        <w:rPr>
          <w:rFonts w:ascii="Palatino Linotype" w:eastAsia="Palatino Linotype" w:hAnsi="Palatino Linotype" w:cs="Palatino Linotype"/>
        </w:rPr>
        <w:t>en fecha seis de mayo de la presente anualidad, manifestando lo siguiente:</w:t>
      </w:r>
    </w:p>
    <w:p w:rsidR="00417391" w:rsidRDefault="00877E77">
      <w:pPr>
        <w:spacing w:before="240" w:after="240" w:line="360" w:lineRule="auto"/>
        <w:ind w:left="860" w:right="900"/>
        <w:jc w:val="both"/>
        <w:rPr>
          <w:rFonts w:ascii="Palatino Linotype" w:eastAsia="Palatino Linotype" w:hAnsi="Palatino Linotype" w:cs="Palatino Linotype"/>
          <w:sz w:val="16"/>
          <w:szCs w:val="16"/>
        </w:rPr>
      </w:pPr>
      <w:r>
        <w:rPr>
          <w:rFonts w:ascii="Palatino Linotype" w:eastAsia="Palatino Linotype" w:hAnsi="Palatino Linotype" w:cs="Palatino Linotype"/>
          <w:i/>
        </w:rPr>
        <w:t xml:space="preserve">“Respecto a la solicitud de ACLARACIÓN, por respeto a mi integridad profesional manifiesto que: me refiero al mes de SEPTIEMBRE, No sin antes aclarar además que, esta solicitud de ACLARACIÓN resulta a todas luces ABSURDA POR PARTE DE ALBERTO DANIEL GARCIA CURIEL, pues me parece que la solicitud es sumamente clara y en la redacción de tales líneas donde aparecen los nombres de los MESES SOLICITADOS, se enuncian cronológicamente de manera consecutiva y por una repetición de letra en el caso del mes de SEPTIEMBRE, NO ME DEJA LA MENOR DUDA QUE ÉSTA SOLICITUD DE ACLARACIÓN SE HIZO SIMPLEMENTE POR ALGUNA DE LAS DOS RAZONES SIGUIENTES: ya sea por retrasar intencionalmente el término para dar respuesta o bien por la incapacidad mental de quien así lo solicita, pues no cabe duda que cuando de lee "SEPTTIEMBRE", se </w:t>
      </w:r>
      <w:r>
        <w:rPr>
          <w:rFonts w:ascii="Palatino Linotype" w:eastAsia="Palatino Linotype" w:hAnsi="Palatino Linotype" w:cs="Palatino Linotype"/>
          <w:i/>
        </w:rPr>
        <w:lastRenderedPageBreak/>
        <w:t>establece claramente en términos simples que la doble "TT" es una duplicidad de letra que por "error de dedo" sucedió, pero que finalmente no cambia el sentido ni significado del mes de SEPTIEMBRE al cual se refiere.”</w:t>
      </w:r>
      <w:r>
        <w:rPr>
          <w:rFonts w:ascii="Palatino Linotype" w:eastAsia="Palatino Linotype" w:hAnsi="Palatino Linotype" w:cs="Palatino Linotype"/>
          <w:sz w:val="16"/>
          <w:szCs w:val="16"/>
        </w:rPr>
        <w:t>(sic)</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3.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cuatro de noviembre de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SAIMEX, notificó la siguiente respuesta al particular:</w:t>
      </w:r>
    </w:p>
    <w:p w:rsidR="00417391" w:rsidRDefault="00877E77">
      <w:pPr>
        <w:spacing w:before="240" w:after="240" w:line="360" w:lineRule="auto"/>
        <w:ind w:left="851" w:right="900"/>
        <w:jc w:val="both"/>
        <w:rPr>
          <w:rFonts w:ascii="Palatino Linotype" w:eastAsia="Palatino Linotype" w:hAnsi="Palatino Linotype" w:cs="Palatino Linotype"/>
          <w:sz w:val="16"/>
          <w:szCs w:val="16"/>
        </w:rPr>
      </w:pPr>
      <w:r>
        <w:rPr>
          <w:rFonts w:ascii="Verdana" w:eastAsia="Verdana" w:hAnsi="Verdana" w:cs="Verdana"/>
          <w:sz w:val="18"/>
          <w:szCs w:val="18"/>
        </w:rPr>
        <w:t> </w:t>
      </w:r>
      <w:r>
        <w:rPr>
          <w:rFonts w:ascii="Palatino Linotype" w:eastAsia="Palatino Linotype" w:hAnsi="Palatino Linotype" w:cs="Palatino Linotype"/>
          <w:i/>
        </w:rPr>
        <w:t>“</w:t>
      </w:r>
      <w:r>
        <w:rPr>
          <w:rFonts w:ascii="Palatino Linotype" w:eastAsia="Palatino Linotype" w:hAnsi="Palatino Linotype" w:cs="Palatino Linotype"/>
          <w:i/>
          <w:color w:val="000000"/>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Pr>
          <w:rFonts w:ascii="Palatino Linotype" w:eastAsia="Palatino Linotype" w:hAnsi="Palatino Linotype" w:cs="Palatino Linotype"/>
          <w:sz w:val="16"/>
          <w:szCs w:val="16"/>
        </w:rPr>
        <w:t xml:space="preserve"> (Sic)</w:t>
      </w:r>
    </w:p>
    <w:p w:rsidR="00417391" w:rsidRDefault="00877E77">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rPr>
        <w:t xml:space="preserve">Asimismo, adjuntó la carpeta denominado </w:t>
      </w:r>
      <w:hyperlink r:id="rId8">
        <w:r>
          <w:rPr>
            <w:rFonts w:ascii="Palatino Linotype" w:eastAsia="Palatino Linotype" w:hAnsi="Palatino Linotype" w:cs="Palatino Linotype"/>
            <w:b/>
            <w:color w:val="000000"/>
          </w:rPr>
          <w:t>578.zip</w:t>
        </w:r>
      </w:hyperlink>
      <w:r>
        <w:rPr>
          <w:rFonts w:ascii="Palatino Linotype" w:eastAsia="Palatino Linotype" w:hAnsi="Palatino Linotype" w:cs="Palatino Linotype"/>
          <w:b/>
        </w:rPr>
        <w:t xml:space="preserve">, </w:t>
      </w:r>
      <w:r>
        <w:rPr>
          <w:rFonts w:ascii="Palatino Linotype" w:eastAsia="Palatino Linotype" w:hAnsi="Palatino Linotype" w:cs="Palatino Linotype"/>
        </w:rPr>
        <w:t>que no se inserta por economía procesal, al ser del conocimiento de las partes, y toda vez que serán materia de análisis de la presente resolución.</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4.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El recurso de revisión se interpuso a través del SAIMEX con fecha cinco de noviembre de dos mil veintiuno, por parte del solicitante de información, quien expresó las siguientes manifestaciones:</w:t>
      </w:r>
    </w:p>
    <w:p w:rsidR="00417391" w:rsidRDefault="00877E77">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17391" w:rsidRDefault="00877E77">
      <w:pPr>
        <w:spacing w:before="240" w:after="240" w:line="360" w:lineRule="auto"/>
        <w:ind w:left="992" w:right="1043"/>
        <w:jc w:val="both"/>
        <w:rPr>
          <w:rFonts w:ascii="Palatino Linotype" w:eastAsia="Palatino Linotype" w:hAnsi="Palatino Linotype" w:cs="Palatino Linotype"/>
        </w:rPr>
      </w:pPr>
      <w:r>
        <w:rPr>
          <w:rFonts w:ascii="Palatino Linotype" w:eastAsia="Palatino Linotype" w:hAnsi="Palatino Linotype" w:cs="Palatino Linotype"/>
          <w:i/>
        </w:rPr>
        <w:lastRenderedPageBreak/>
        <w:t>“</w:t>
      </w:r>
      <w:r>
        <w:rPr>
          <w:rFonts w:ascii="Palatino Linotype" w:eastAsia="Palatino Linotype" w:hAnsi="Palatino Linotype" w:cs="Palatino Linotype"/>
          <w:i/>
          <w:color w:val="000000"/>
        </w:rPr>
        <w:t>La respuesta dada por el sujeto obligado a esta solicitud de 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rPr>
        <w:t>(sic)</w:t>
      </w:r>
    </w:p>
    <w:p w:rsidR="00417391" w:rsidRDefault="00877E77">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17391" w:rsidRDefault="00877E77">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El sujeto obligado AYUNTAMIENTO DE METEPEC, A TRAVÉS DE ALBERTO DANIEL GARCÍA CURIEL, encargado o titular de la Unidad de Transparencia Municipal de Metepec ES UN NEGLIGENTE E IRRESPONSABLE, al incurrir nuevamente y de forma reiterativa (como en varias ocasiones pasadas) en NO ENTREGAR LA INFORMACIÓN QUE LAS ÁREAS Y PERSONAS HABILITADAS le hacen llegar a fin de ponerla a disposición del solicitante. Lo anterior lo aseguro pues en esta ocasión las carpetas digitales adjuntas a la "respuesta" NO CONTINEN LA INFORMACIÓN REQUERIDA. ESTAN VACIAS. Motivo por el cual solicito enérgicamente se separe a este sujeto del puesto que cobra de los impuestos de nosotros como ciudadanos y se le sancione severamente pues es un NEGLIGENTE E IRRESPONSABLE TIPO. Por otro lado, pido me sea entregada la información que por derecho me corresponde recibir.</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5. Turno. </w:t>
      </w:r>
      <w:r>
        <w:rPr>
          <w:rFonts w:ascii="Palatino Linotype" w:eastAsia="Palatino Linotype" w:hAnsi="Palatino Linotype" w:cs="Palatino Linotype"/>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rPr>
        <w:lastRenderedPageBreak/>
        <w:t xml:space="preserve">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417391" w:rsidRDefault="00877E77">
      <w:pPr>
        <w:spacing w:before="240" w:after="240" w:line="360" w:lineRule="auto"/>
        <w:jc w:val="both"/>
      </w:pPr>
      <w:r>
        <w:rPr>
          <w:rFonts w:ascii="Palatino Linotype" w:eastAsia="Palatino Linotype" w:hAnsi="Palatino Linotype" w:cs="Palatino Linotype"/>
          <w:b/>
          <w:sz w:val="28"/>
          <w:szCs w:val="28"/>
        </w:rPr>
        <w:t xml:space="preserve">6. Admisión. </w:t>
      </w:r>
      <w:r>
        <w:rPr>
          <w:rFonts w:ascii="Palatino Linotype" w:eastAsia="Palatino Linotype" w:hAnsi="Palatino Linotype" w:cs="Palatino Linotype"/>
        </w:rPr>
        <w:t xml:space="preserve">Mediante auto de fecha diez de noviembre de dos mil veintiuno, este Órgano Garante, admitió a trámite el recurso de revisión respectivo, poniéndose a disposición de las partes, para que un plazo no mayor a siete días hábiles manifieste lo que a su derecho corresponda, a efecto de ofrecer pruebas, informe justificado y alegatos, lo anterior con fundamento en el artículo 185 fracciones I, II y IV de la Ley de Transparencia y Acceso a la Información Pública del Estado de México y Municipios. </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7. Manifestaciones.</w:t>
      </w:r>
      <w: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se observa que las partes</w:t>
      </w:r>
      <w:r>
        <w:rPr>
          <w:rFonts w:ascii="Palatino Linotype" w:eastAsia="Palatino Linotype" w:hAnsi="Palatino Linotype" w:cs="Palatino Linotype"/>
          <w:b/>
          <w:i/>
        </w:rPr>
        <w:t xml:space="preserve"> </w:t>
      </w:r>
      <w:r>
        <w:rPr>
          <w:rFonts w:ascii="Palatino Linotype" w:eastAsia="Palatino Linotype" w:hAnsi="Palatino Linotype" w:cs="Palatino Linotype"/>
        </w:rPr>
        <w:t>fueron omisas en presentar sus alegatos o manifestaciones que a su derecho correspondieran, en plazo previsto para ello.</w:t>
      </w:r>
    </w:p>
    <w:p w:rsidR="00417391" w:rsidRDefault="00877E7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8. Ampliación del plazo.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En fecha veinte de enero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fundamento en el artículo 181, párrafo tercero de la Ley de Transparencia y Acceso a la Información Pública del Estado de México y Municipios, se acordó la ampliación del plazo para su resolución. </w:t>
      </w:r>
    </w:p>
    <w:p w:rsidR="00417391" w:rsidRDefault="00877E77">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9.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veinte de enero de dos mil veintidós, se procedió a decretar el cierre de instrucción respectivo. </w:t>
      </w:r>
      <w:r>
        <w:rPr>
          <w:rFonts w:ascii="Palatino Linotype" w:eastAsia="Palatino Linotype" w:hAnsi="Palatino Linotype" w:cs="Palatino Linotype"/>
          <w:b/>
          <w:sz w:val="28"/>
          <w:szCs w:val="28"/>
        </w:rPr>
        <w:t xml:space="preserve"> </w:t>
      </w:r>
    </w:p>
    <w:p w:rsidR="00417391" w:rsidRDefault="00417391">
      <w:pPr>
        <w:pStyle w:val="Ttulo2"/>
        <w:jc w:val="center"/>
        <w:rPr>
          <w:rFonts w:ascii="Palatino Linotype" w:eastAsia="Palatino Linotype" w:hAnsi="Palatino Linotype" w:cs="Palatino Linotype"/>
          <w:b/>
          <w:color w:val="000000"/>
          <w:sz w:val="24"/>
          <w:szCs w:val="24"/>
        </w:rPr>
      </w:pPr>
    </w:p>
    <w:p w:rsidR="00417391" w:rsidRDefault="00877E77">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w:t>
      </w:r>
    </w:p>
    <w:p w:rsidR="00417391" w:rsidRDefault="00877E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PRIMERO. Competencia</w:t>
      </w:r>
      <w:r>
        <w:rPr>
          <w:rFonts w:ascii="Palatino Linotype" w:eastAsia="Palatino Linotype" w:hAnsi="Palatino Linotype" w:cs="Palatino Linotype"/>
          <w:b/>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 Oportunidad y Procediblidad del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Sujeto Obligado emitió la respuesta, toda vez que ésta fue pronunciada el día cuatro </w:t>
      </w:r>
      <w:r>
        <w:rPr>
          <w:rFonts w:ascii="Palatino Linotype" w:eastAsia="Palatino Linotype" w:hAnsi="Palatino Linotype" w:cs="Palatino Linotype"/>
        </w:rPr>
        <w:lastRenderedPageBreak/>
        <w:t xml:space="preserve">de noviembre de dos mil veintiuno, mientras que la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interpuso el recurso de revisión el cinco del mismo mes y año.</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al considerar la fecha en que se formuló la solicitud y la fecha en la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en la que se interpuso el recurso de revisión, éste se encuentra dentro de los márgenes temporales previstos en el citado precepto legal.</w:t>
      </w:r>
    </w:p>
    <w:p w:rsidR="00417391" w:rsidRDefault="00877E77">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Entonces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los artículos 176 y 179 fracción V del ordenamiento legal citado, que establecen los supuestos en que puede interponerse el recurso de revisión:</w:t>
      </w:r>
    </w:p>
    <w:p w:rsidR="00417391" w:rsidRDefault="00877E77">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 “Artículo 176. </w:t>
      </w:r>
      <w:r>
        <w:rPr>
          <w:rFonts w:ascii="Palatino Linotype" w:eastAsia="Palatino Linotype" w:hAnsi="Palatino Linotype" w:cs="Palatino Linotype"/>
          <w:i/>
          <w:sz w:val="20"/>
          <w:szCs w:val="20"/>
        </w:rPr>
        <w:t>El recurso de revisión  es la garantía secundaria mediante la cual se pretende reparar cualquier posible afectación al derecho de acceso a la información pública en términos del presente y siguiente Capítulo.</w:t>
      </w:r>
    </w:p>
    <w:p w:rsidR="00417391" w:rsidRDefault="00877E77">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179</w:t>
      </w:r>
      <w:r>
        <w:rPr>
          <w:rFonts w:ascii="Palatino Linotype" w:eastAsia="Palatino Linotype" w:hAnsi="Palatino Linotype" w:cs="Palatino Linotype"/>
          <w:b/>
          <w:sz w:val="20"/>
          <w:szCs w:val="20"/>
        </w:rPr>
        <w:t>.-</w:t>
      </w:r>
      <w:r>
        <w:rPr>
          <w:rFonts w:ascii="Bookman Old Style" w:eastAsia="Bookman Old Style" w:hAnsi="Bookman Old Style" w:cs="Bookman Old Style"/>
          <w:sz w:val="18"/>
          <w:szCs w:val="18"/>
        </w:rPr>
        <w:t xml:space="preserve"> </w:t>
      </w:r>
      <w:r>
        <w:rPr>
          <w:rFonts w:ascii="Palatino Linotype" w:eastAsia="Palatino Linotype" w:hAnsi="Palatino Linotype" w:cs="Palatino Linotype"/>
          <w:i/>
          <w:sz w:val="20"/>
          <w:szCs w:val="20"/>
        </w:rPr>
        <w:t>El recurso de revisión es un medio de protección que la Ley otorga a los particulares, para hacer valer su derecho de acceso a la información pública, y procederá en contra de las siguientes causas:</w:t>
      </w:r>
    </w:p>
    <w:p w:rsidR="00417391" w:rsidRDefault="00877E77">
      <w:pPr>
        <w:spacing w:before="120" w:after="120" w:line="360" w:lineRule="auto"/>
        <w:ind w:left="1134" w:right="941"/>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417391" w:rsidRDefault="00877E77">
      <w:pPr>
        <w:ind w:left="1134"/>
        <w:jc w:val="both"/>
        <w:rPr>
          <w:rFonts w:ascii="Palatino Linotype" w:eastAsia="Palatino Linotype" w:hAnsi="Palatino Linotype" w:cs="Palatino Linotype"/>
          <w:b/>
          <w:i/>
        </w:rPr>
      </w:pPr>
      <w:r>
        <w:rPr>
          <w:rFonts w:ascii="Palatino Linotype" w:eastAsia="Palatino Linotype" w:hAnsi="Palatino Linotype" w:cs="Palatino Linotype"/>
          <w:b/>
          <w:i/>
        </w:rPr>
        <w:t>IX. La entrega o puesta a disposición de información en un formato incomprensible y/o no accesible para el solicitante;</w:t>
      </w:r>
      <w:r>
        <w:rPr>
          <w:rFonts w:ascii="Palatino Linotype" w:eastAsia="Palatino Linotype" w:hAnsi="Palatino Linotype" w:cs="Palatino Linotype"/>
          <w:b/>
          <w:i/>
          <w:sz w:val="22"/>
          <w:szCs w:val="22"/>
        </w:rPr>
        <w:t xml:space="preserve"> …”</w:t>
      </w:r>
    </w:p>
    <w:p w:rsidR="0018535A" w:rsidRDefault="0018535A">
      <w:pPr>
        <w:spacing w:before="240" w:after="240" w:line="360" w:lineRule="auto"/>
        <w:jc w:val="both"/>
        <w:rPr>
          <w:rFonts w:ascii="Palatino Linotype" w:eastAsia="Palatino Linotype" w:hAnsi="Palatino Linotype" w:cs="Palatino Linotype"/>
          <w:b/>
          <w:sz w:val="28"/>
          <w:szCs w:val="28"/>
        </w:rPr>
      </w:pPr>
    </w:p>
    <w:p w:rsidR="0018535A" w:rsidRDefault="0018535A">
      <w:pPr>
        <w:spacing w:before="240" w:after="240" w:line="360" w:lineRule="auto"/>
        <w:jc w:val="both"/>
        <w:rPr>
          <w:rFonts w:ascii="Palatino Linotype" w:eastAsia="Palatino Linotype" w:hAnsi="Palatino Linotype" w:cs="Palatino Linotype"/>
          <w:b/>
          <w:sz w:val="28"/>
          <w:szCs w:val="28"/>
        </w:rPr>
      </w:pPr>
    </w:p>
    <w:p w:rsidR="00417391" w:rsidRDefault="00877E77">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TERCERO. Materia de la revisión.</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rsidR="00417391" w:rsidRDefault="00877E77">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 E</w:t>
      </w:r>
      <w:bookmarkStart w:id="0" w:name="_GoBack"/>
      <w:bookmarkEnd w:id="0"/>
      <w:r>
        <w:rPr>
          <w:rFonts w:ascii="Palatino Linotype" w:eastAsia="Palatino Linotype" w:hAnsi="Palatino Linotype" w:cs="Palatino Linotype"/>
          <w:b/>
          <w:sz w:val="28"/>
          <w:szCs w:val="28"/>
        </w:rPr>
        <w:t>studio del asunto.</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apartado se expondrán las razones y fundamentos de orden jurídico nacional y estatal que soportan la decisión de este Órgano Garante en el asunto que nos ocupa, tras analizar los motivos de inconformidad del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los argumentos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w:t>
      </w:r>
      <w:r>
        <w:rPr>
          <w:rFonts w:ascii="Palatino Linotype" w:eastAsia="Palatino Linotype" w:hAnsi="Palatino Linotype" w:cs="Palatino Linotype"/>
          <w:b/>
        </w:rPr>
        <w:t xml:space="preserve"> </w:t>
      </w:r>
      <w:r>
        <w:rPr>
          <w:rFonts w:ascii="Palatino Linotype" w:eastAsia="Palatino Linotype" w:hAnsi="Palatino Linotype" w:cs="Palatino Linotype"/>
        </w:rPr>
        <w:t>el marco jurídico aplicable.</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Dado lo expuesto, este Instituto estima necesario señalar que la naturaleza de la atención a las solicitudes radica en lo estatuido por el 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rsidR="00417391" w:rsidRDefault="00877E7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Mientras que el diverso 5 párrafo catorce fracción I de la Constitución Política del Estado Libre y Soberano de México dispone que </w:t>
      </w:r>
      <w:r>
        <w:rPr>
          <w:rFonts w:ascii="Palatino Linotype" w:eastAsia="Palatino Linotype" w:hAnsi="Palatino Linotype" w:cs="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rsidR="00417391" w:rsidRDefault="00877E7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Atendiendo a dichos preceptos jurídicos, el artículo 12 de la Ley de Transparencia y Acceso a la Información Pública del Estado de México y Municipios, establece que 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la sociedad o si esta contiene las actividades que llevan a cabo los sujetos obligados en el ejercicio de sus atribuciones, pues no debe perderse de vista que el artículo 24 fracción V de la Ley en cuestión, prevé que para el cumplimiento de los objetivos de la misma, los sujetos obligados deberán cumplir de entre otras obligaciones, la de promover la generación, documentación y publicación de la información en formatos abiertos y accesibles.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expuesto lo previo, del análisis a la totalidad de las constancias que obran en el expediente electrónico, se tiene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solicitó al particular aclarara su solicitud, por resultar insuficientes el dato relativo a “septtiembre” para efectos de localizar lo solicitado. </w:t>
      </w:r>
    </w:p>
    <w:p w:rsidR="00417391" w:rsidRDefault="00877E77">
      <w:pPr>
        <w:spacing w:before="240" w:after="240" w:line="372" w:lineRule="auto"/>
        <w:jc w:val="both"/>
        <w:rPr>
          <w:rFonts w:ascii="Palatino Linotype" w:eastAsia="Palatino Linotype" w:hAnsi="Palatino Linotype" w:cs="Palatino Linotype"/>
        </w:rPr>
      </w:pPr>
      <w:r>
        <w:rPr>
          <w:rFonts w:ascii="Palatino Linotype" w:eastAsia="Palatino Linotype" w:hAnsi="Palatino Linotype" w:cs="Palatino Linotype"/>
        </w:rPr>
        <w:t>Al respecto,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por el particular contaba con elementos suficientes para poder ser atendida.</w:t>
      </w:r>
    </w:p>
    <w:p w:rsidR="00417391" w:rsidRDefault="00877E77">
      <w:pPr>
        <w:spacing w:before="240" w:after="240" w:line="37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no debe perderse de vista que el derecho humano de acceso a la información, como la prerrogativa de las personas para buscar, difundir, investigar, recabar, recibir, y solicitar información pública, sin necesidad de acreditar personalidad ni interés jurídico, debe ser garantizado por todos los entes públicos, situación que no fue observada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el caso que nos ocupa, pues como ya se mencionó la aclaración pretendida no era procedente. </w:t>
      </w:r>
    </w:p>
    <w:p w:rsidR="00417391" w:rsidRDefault="00877E77">
      <w:pPr>
        <w:spacing w:before="240" w:after="240" w:line="372"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con la finalidad de garantizar plenamente el derecho a la información, se insta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en próximas ocasiones se apegue puntualmente a los principios que rigen el procedimiento de acceso a la información. </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de los vertido en el recurso de inconformidad este Instituto advierte manifestaciones subjetivas, misma que no serán materia, toda vez que este Organismo Garante tiene únicamente como atribuciones la de garantizar a los particulares el pleno ejercicio de su derecho de acceso para que éstos obtengan aquella información pública que se encuentre en posesión de los sujetos obligados, ya sea porque la generen, posean o administren; situación que no se advierte de la lectura a que el Titular de la Unidad de Transparencia</w:t>
      </w:r>
      <w:r>
        <w:t xml:space="preserve"> </w:t>
      </w:r>
      <w:r>
        <w:rPr>
          <w:rFonts w:ascii="Palatino Linotype" w:eastAsia="Palatino Linotype" w:hAnsi="Palatino Linotype" w:cs="Palatino Linotype"/>
          <w:i/>
        </w:rPr>
        <w:t>ES UN NEGLIGENTE E IRRESPONSABLE, al incurrir nuevamente y de forma reiterativa (como en varias ocasiones pasadas) en NO ENTREGAR LA INFORMACIÓN QUE LAS ÁREAS Y PERSONAS HABILITADAS le hacen llegar a fin de ponerla a disposición del solicitante</w:t>
      </w:r>
      <w:r>
        <w:rPr>
          <w:rFonts w:ascii="Palatino Linotype" w:eastAsia="Palatino Linotype" w:hAnsi="Palatino Linotype" w:cs="Palatino Linotype"/>
        </w:rPr>
        <w:t>, pues constituyen manifestaciones subjetivas realizadas por el particular que se traducen en un derecho a la libre expresión, que en términos de lo planteado en el numeral 19 de la Declaración Universal de Derechos Humanos, conlleva que sea inviolable la libertad de difundir opiniones, información e ideas, a través de cualquier medio.</w:t>
      </w:r>
    </w:p>
    <w:p w:rsidR="00417391" w:rsidRDefault="00877E77">
      <w:pPr>
        <w:shd w:val="clear" w:color="auto" w:fill="FFFFFF"/>
        <w:spacing w:before="240" w:after="240" w:line="360" w:lineRule="auto"/>
        <w:jc w:val="both"/>
        <w:rPr>
          <w:rFonts w:ascii="Georgia" w:eastAsia="Georgia" w:hAnsi="Georgia" w:cs="Georgia"/>
        </w:rPr>
      </w:pPr>
      <w:r>
        <w:rPr>
          <w:rFonts w:ascii="Palatino Linotype" w:eastAsia="Palatino Linotype" w:hAnsi="Palatino Linotype" w:cs="Palatino Linotype"/>
        </w:rPr>
        <w:t>Mientras que el derecho a la información lo podemos entender como la prerrogativa de las personas para buscar, difundir, investigar, recabar, recibir y solicitar información pública, sin necesidad de acreditar personalidad ni interés jurídico.</w:t>
      </w:r>
    </w:p>
    <w:p w:rsidR="00417391" w:rsidRDefault="00877E7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de lo anteriormente plasmado esta Autoridad determina que se encuentra impedida de hacer algún posicionamiento respecto a dichas manifestaciones por considerarlas subjetivas; máxime que esta no es la vía para </w:t>
      </w:r>
      <w:r>
        <w:rPr>
          <w:rFonts w:ascii="Palatino Linotype" w:eastAsia="Palatino Linotype" w:hAnsi="Palatino Linotype" w:cs="Palatino Linotype"/>
        </w:rPr>
        <w:lastRenderedPageBreak/>
        <w:t>hacerlas valer. Por lo que quedan a salvo sus derechos para hacerlos valer de considerarlo pertinente, ante la vía correspondiente.</w:t>
      </w:r>
    </w:p>
    <w:p w:rsidR="00417391" w:rsidRDefault="00877E77">
      <w:pPr>
        <w:shd w:val="clear" w:color="auto" w:fill="FFFFFF"/>
        <w:spacing w:before="120" w:after="120" w:line="360" w:lineRule="auto"/>
        <w:ind w:right="-240"/>
        <w:jc w:val="both"/>
        <w:rPr>
          <w:rFonts w:ascii="Palatino Linotype" w:eastAsia="Palatino Linotype" w:hAnsi="Palatino Linotype" w:cs="Palatino Linotype"/>
        </w:rPr>
      </w:pPr>
      <w:r>
        <w:rPr>
          <w:rFonts w:ascii="Palatino Linotype" w:eastAsia="Palatino Linotype" w:hAnsi="Palatino Linotype" w:cs="Palatino Linotype"/>
        </w:rPr>
        <w:t>De igual forma, no pasa desapercibido para este Órgano Garante, que el RECURRENTE en sus motivos de inconformidad manifiesta que: “</w:t>
      </w:r>
      <w:r>
        <w:rPr>
          <w:rFonts w:ascii="Palatino Linotype" w:eastAsia="Palatino Linotype" w:hAnsi="Palatino Linotype" w:cs="Palatino Linotype"/>
          <w:i/>
        </w:rPr>
        <w:t>...solicito enérgicamente se separe a este sujeto del puesto que cobra de los impuestos de nosotros como ciudadanos y se le sancione severamente pues es un NEGLIGENTE E IRRESPONSABLE TIPO</w:t>
      </w:r>
      <w:r>
        <w:rPr>
          <w:rFonts w:ascii="Palatino Linotype" w:eastAsia="Palatino Linotype" w:hAnsi="Palatino Linotype" w:cs="Palatino Linotype"/>
        </w:rPr>
        <w:t>…” al respecto, se le hace saber al recurrente, que el presente recurso de revisión no es la vía para iniciar un procedimiento administrativo en contra de los Servidores Públicos que señala, por una posible responsabilidad administrativa, por ello, se dejan a salvo sus derechos de interponer la queja correspondiente ante las instancias competentes.</w:t>
      </w:r>
    </w:p>
    <w:p w:rsidR="00417391" w:rsidRDefault="00877E7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Volviendo al estudio del presente asunto,</w:t>
      </w:r>
      <w:r>
        <w:rPr>
          <w:rFonts w:ascii="Palatino Linotype" w:eastAsia="Palatino Linotype" w:hAnsi="Palatino Linotype" w:cs="Palatino Linotype"/>
          <w:color w:val="000000"/>
        </w:rPr>
        <w:t xml:space="preserve"> resulta necesario recordar que el particular solicitó en el ejercicio de su derecho de acceso a la información, </w:t>
      </w:r>
      <w:r>
        <w:rPr>
          <w:rFonts w:ascii="Palatino Linotype" w:eastAsia="Palatino Linotype" w:hAnsi="Palatino Linotype" w:cs="Palatino Linotype"/>
          <w:i/>
        </w:rPr>
        <w:t>los oficios que con su respectiva numeración CONSECUTIVA, forman parte del archivo, minutario o control de oficios que fueron GENERADOS por las REGIDURIAS PRIMERA, SEGUNDA, TERCERA, CUARTA, QUINTA, SEXTA Y SÉPTIMA del Ayuntamiento de Metepec durante el mes de JULIO, AGOSTO Y SEPTTIEMBRE de 2021.</w:t>
      </w:r>
    </w:p>
    <w:p w:rsidR="00417391" w:rsidRDefault="00877E7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titular de la Unidad de Transparencia, manifestó que mediante el archivo adjuntó </w:t>
      </w:r>
      <w:r>
        <w:rPr>
          <w:rFonts w:ascii="Palatino Linotype" w:eastAsia="Palatino Linotype" w:hAnsi="Palatino Linotype" w:cs="Palatino Linotype"/>
          <w:b/>
          <w:color w:val="000000"/>
        </w:rPr>
        <w:t xml:space="preserve">578.zip, </w:t>
      </w:r>
      <w:r>
        <w:rPr>
          <w:rFonts w:ascii="Palatino Linotype" w:eastAsia="Palatino Linotype" w:hAnsi="Palatino Linotype" w:cs="Palatino Linotype"/>
          <w:color w:val="000000"/>
        </w:rPr>
        <w:t>se atendía la solicitud recibida.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Inconforme, el solicitante presentó recurso de revisión señalando como agravio </w:t>
      </w:r>
      <w:r>
        <w:rPr>
          <w:rFonts w:ascii="Palatino Linotype" w:eastAsia="Palatino Linotype" w:hAnsi="Palatino Linotype" w:cs="Palatino Linotype"/>
          <w:i/>
          <w:color w:val="000000"/>
        </w:rPr>
        <w:t>en</w:t>
      </w:r>
      <w:r>
        <w:rPr>
          <w:rFonts w:ascii="Palatino Linotype" w:eastAsia="Palatino Linotype" w:hAnsi="Palatino Linotype" w:cs="Palatino Linotype"/>
          <w:i/>
        </w:rPr>
        <w:t xml:space="preserve"> las carpetas digitales adjuntas a la "respuesta" NO CONTINEN LA INFORMACIÓN REQUERIDA. ESTAN VACIAS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además de realizar diversas manifestaciones </w:t>
      </w:r>
      <w:r>
        <w:rPr>
          <w:rFonts w:ascii="Palatino Linotype" w:eastAsia="Palatino Linotype" w:hAnsi="Palatino Linotype" w:cs="Palatino Linotype"/>
          <w:color w:val="000000"/>
        </w:rPr>
        <w:lastRenderedPageBreak/>
        <w:t xml:space="preserve">subjetivas o que no son materia de la </w:t>
      </w:r>
      <w:r>
        <w:rPr>
          <w:rFonts w:ascii="Palatino Linotype" w:eastAsia="Palatino Linotype" w:hAnsi="Palatino Linotype" w:cs="Palatino Linotype"/>
          <w:i/>
          <w:color w:val="000000"/>
        </w:rPr>
        <w:t>Litis</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tal como quedó precisado en párrafos anteriores. </w:t>
      </w:r>
    </w:p>
    <w:p w:rsidR="00417391" w:rsidRDefault="00877E77">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t xml:space="preserve">Una vez apuntado lo anterior, se hace constar que el Ayuntamiento de Metepec no niega la existencia de la información solicitada, sino por el contrario, acepta que administra y </w:t>
      </w:r>
      <w:r>
        <w:rPr>
          <w:rFonts w:ascii="Palatino Linotype" w:eastAsia="Palatino Linotype" w:hAnsi="Palatino Linotype" w:cs="Palatino Linotype"/>
        </w:rPr>
        <w:t>posee</w:t>
      </w:r>
      <w:r>
        <w:rPr>
          <w:rFonts w:ascii="Palatino Linotype" w:eastAsia="Palatino Linotype" w:hAnsi="Palatino Linotype" w:cs="Palatino Linotype"/>
          <w:color w:val="000000"/>
        </w:rPr>
        <w:t xml:space="preserve"> en sus archivos la documentación materia de la solicitud, no obstante, para efectos el presente estudio, </w:t>
      </w:r>
      <w:r>
        <w:rPr>
          <w:rFonts w:ascii="Palatino Linotype" w:eastAsia="Palatino Linotype" w:hAnsi="Palatino Linotype" w:cs="Palatino Linotype"/>
          <w:color w:val="222222"/>
        </w:rPr>
        <w:t>conviene precisar que se entiende “</w:t>
      </w:r>
      <w:r>
        <w:rPr>
          <w:rFonts w:ascii="Palatino Linotype" w:eastAsia="Palatino Linotype" w:hAnsi="Palatino Linotype" w:cs="Palatino Linotype"/>
          <w:i/>
          <w:color w:val="222222"/>
        </w:rPr>
        <w:t>oficios”,</w:t>
      </w:r>
      <w:r>
        <w:rPr>
          <w:rFonts w:ascii="Palatino Linotype" w:eastAsia="Palatino Linotype" w:hAnsi="Palatino Linotype" w:cs="Palatino Linotype"/>
          <w:color w:val="222222"/>
        </w:rPr>
        <w:t xml:space="preserve"> son una comunicación escrita, son documentos que permiten abrir consultas o llevar adelante distintas gestiones, es decir, un oficio resulta ser un medio formal de comunicación a instancias del sector público, ahora bien al solicitar oficios se debe entender que lo que pretende conocer el particular son aquellos documentos que bien pueden estar elaborados en forma de oficios o en formatos específicos.</w:t>
      </w:r>
    </w:p>
    <w:p w:rsidR="00417391" w:rsidRDefault="00877E77">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Si bien  esta ponencia no pudo localizar marco normativo para  generar  y elaborar documentación respecto de oficios, no menos cierto resulta necesario señalar que los oficios son documentos oficiales que se pueden generar para la comunicación interinstitucional, por lo que sirve citar por analogía los </w:t>
      </w:r>
      <w:r>
        <w:rPr>
          <w:rFonts w:ascii="Palatino Linotype" w:eastAsia="Palatino Linotype" w:hAnsi="Palatino Linotype" w:cs="Palatino Linotype"/>
          <w:b/>
          <w:color w:val="222222"/>
        </w:rPr>
        <w:t>Lineamientos para el trámite de la correspondencia de las unidades orgánicas del Poder Ejecutivo</w:t>
      </w:r>
      <w:r>
        <w:rPr>
          <w:rFonts w:ascii="Palatino Linotype" w:eastAsia="Palatino Linotype" w:hAnsi="Palatino Linotype" w:cs="Palatino Linotype"/>
          <w:color w:val="2222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417391" w:rsidRDefault="00877E77">
      <w:pPr>
        <w:shd w:val="clear" w:color="auto" w:fill="FFFFFF"/>
        <w:spacing w:after="120"/>
        <w:ind w:left="851" w:right="851"/>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2. Objetivo</w:t>
      </w:r>
    </w:p>
    <w:p w:rsidR="00417391" w:rsidRDefault="00877E77">
      <w:pPr>
        <w:shd w:val="clear" w:color="auto" w:fill="FFFFFF"/>
        <w:spacing w:after="120"/>
        <w:ind w:left="851" w:right="85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2. Objetivo</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Proporcionar a las áreas de recepción y despacho de correspondencia de las unidades orgánicas del Poder Ejecutivo</w:t>
      </w:r>
      <w:r>
        <w:rPr>
          <w:rFonts w:ascii="Palatino Linotype" w:eastAsia="Palatino Linotype" w:hAnsi="Palatino Linotype" w:cs="Palatino Linotype"/>
          <w:i/>
          <w:color w:val="000000"/>
          <w:sz w:val="20"/>
          <w:szCs w:val="20"/>
        </w:rPr>
        <w:t xml:space="preserve">, un instrumento técnico que les permita </w:t>
      </w:r>
      <w:r>
        <w:rPr>
          <w:rFonts w:ascii="Palatino Linotype" w:eastAsia="Palatino Linotype" w:hAnsi="Palatino Linotype" w:cs="Palatino Linotype"/>
          <w:i/>
          <w:color w:val="000000"/>
          <w:sz w:val="20"/>
          <w:szCs w:val="20"/>
        </w:rPr>
        <w:lastRenderedPageBreak/>
        <w:t>homogeneizar y </w:t>
      </w:r>
      <w:r>
        <w:rPr>
          <w:rFonts w:ascii="Palatino Linotype" w:eastAsia="Palatino Linotype" w:hAnsi="Palatino Linotype" w:cs="Palatino Linotype"/>
          <w:b/>
          <w:i/>
          <w:color w:val="000000"/>
          <w:sz w:val="20"/>
          <w:szCs w:val="20"/>
          <w:u w:val="single"/>
        </w:rPr>
        <w:t>eficientar los servicios de correspondencia, a fin de agilizar la comunicación formal así como coadyuvar a la oportuna toma de decisiones por parte de los servidores públicos</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222222"/>
          <w:sz w:val="20"/>
          <w:szCs w:val="20"/>
        </w:rPr>
        <w:t>Administración de documentos: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222222"/>
          <w:sz w:val="20"/>
          <w:szCs w:val="20"/>
          <w:u w:val="single"/>
        </w:rPr>
        <w:t>Conjunto de actividades vinculadas con la</w:t>
      </w:r>
      <w:r>
        <w:rPr>
          <w:rFonts w:ascii="Palatino Linotype" w:eastAsia="Palatino Linotype" w:hAnsi="Palatino Linotype" w:cs="Palatino Linotype"/>
          <w:i/>
          <w:color w:val="222222"/>
          <w:sz w:val="20"/>
          <w:szCs w:val="20"/>
        </w:rPr>
        <w:t> generación, adquisición</w:t>
      </w:r>
      <w:r>
        <w:rPr>
          <w:rFonts w:ascii="Palatino Linotype" w:eastAsia="Palatino Linotype" w:hAnsi="Palatino Linotype" w:cs="Palatino Linotype"/>
          <w:b/>
          <w:i/>
          <w:color w:val="222222"/>
          <w:sz w:val="20"/>
          <w:szCs w:val="20"/>
          <w:u w:val="single"/>
        </w:rPr>
        <w:t>, recepción</w:t>
      </w:r>
      <w:r>
        <w:rPr>
          <w:rFonts w:ascii="Palatino Linotype" w:eastAsia="Palatino Linotype" w:hAnsi="Palatino Linotype" w:cs="Palatino Linotype"/>
          <w:i/>
          <w:color w:val="222222"/>
          <w:sz w:val="20"/>
          <w:szCs w:val="20"/>
        </w:rPr>
        <w:t>, control, circulación, reproducción, organización, conservación, custodia, restauración, valoración, selección, eliminación</w:t>
      </w:r>
      <w:r>
        <w:rPr>
          <w:rFonts w:ascii="Palatino Linotype" w:eastAsia="Palatino Linotype" w:hAnsi="Palatino Linotype" w:cs="Palatino Linotype"/>
          <w:b/>
          <w:i/>
          <w:color w:val="222222"/>
          <w:sz w:val="20"/>
          <w:szCs w:val="20"/>
        </w:rPr>
        <w:t>, </w:t>
      </w:r>
      <w:r>
        <w:rPr>
          <w:rFonts w:ascii="Palatino Linotype" w:eastAsia="Palatino Linotype" w:hAnsi="Palatino Linotype" w:cs="Palatino Linotype"/>
          <w:b/>
          <w:i/>
          <w:color w:val="222222"/>
          <w:sz w:val="20"/>
          <w:szCs w:val="20"/>
          <w:u w:val="single"/>
        </w:rPr>
        <w:t>uso y divulgación de los documentos.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222222"/>
          <w:sz w:val="20"/>
          <w:szCs w:val="20"/>
        </w:rPr>
        <w:t> </w:t>
      </w:r>
      <w:r>
        <w:rPr>
          <w:rFonts w:ascii="Palatino Linotype" w:eastAsia="Palatino Linotype" w:hAnsi="Palatino Linotype" w:cs="Palatino Linotype"/>
          <w:b/>
          <w:i/>
          <w:color w:val="222222"/>
          <w:sz w:val="20"/>
          <w:szCs w:val="20"/>
        </w:rPr>
        <w:t>Circulación documental:</w:t>
      </w:r>
    </w:p>
    <w:p w:rsidR="00417391" w:rsidRDefault="00877E77">
      <w:pPr>
        <w:shd w:val="clear" w:color="auto" w:fill="FFFFFF"/>
        <w:spacing w:after="120"/>
        <w:ind w:left="851" w:right="851"/>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222222"/>
          <w:sz w:val="20"/>
          <w:szCs w:val="20"/>
        </w:rPr>
        <w:t> </w:t>
      </w:r>
      <w:r>
        <w:rPr>
          <w:rFonts w:ascii="Palatino Linotype" w:eastAsia="Palatino Linotype" w:hAnsi="Palatino Linotype" w:cs="Palatino Linotype"/>
          <w:i/>
          <w:color w:val="222222"/>
          <w:sz w:val="20"/>
          <w:szCs w:val="20"/>
        </w:rPr>
        <w:t>Tratamiento que se da al documento desde su generación hasta la conclusión del trámite y la determinación de su destino final.</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 3. Conceptualización básica</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Circular:</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000000"/>
          <w:sz w:val="20"/>
          <w:szCs w:val="20"/>
        </w:rPr>
        <w:t>Control de correspondencia:</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Proceso mediante el cual se registran los documentos a través de sistemas manuales o automatizados, para garantizar su destino y dar continuidad a la tramitación de asuntos.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Correspondencia oficial:</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Comunicaciones escritas que se producen, circulan y controlan entre las unidades orgánicas del Poder Ejecutivo Estatal.</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Documentación en trámite:</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lastRenderedPageBreak/>
        <w:t>Documento:</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Memorándum:</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000000"/>
          <w:sz w:val="20"/>
          <w:szCs w:val="20"/>
        </w:rPr>
        <w:t>Oficio:</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000000"/>
          <w:sz w:val="20"/>
          <w:szCs w:val="20"/>
        </w:rPr>
        <w:t>Producción de documentos: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b/>
          <w:i/>
          <w:color w:val="000000"/>
          <w:sz w:val="20"/>
          <w:szCs w:val="20"/>
        </w:rPr>
        <w:t>Es la generación de los documentos con el objeto de cumplir un trámite determinado, en el desarrollo de toda gestión, a partir del razonamiento de que su producción es necesaria y útil</w:t>
      </w: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222222"/>
          <w:sz w:val="20"/>
          <w:szCs w:val="20"/>
        </w:rPr>
        <w:t>Recepción de documentos: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 </w:t>
      </w:r>
      <w:r>
        <w:rPr>
          <w:rFonts w:ascii="Palatino Linotype" w:eastAsia="Palatino Linotype" w:hAnsi="Palatino Linotype" w:cs="Palatino Linotype"/>
          <w:b/>
          <w:i/>
          <w:color w:val="222222"/>
          <w:sz w:val="20"/>
          <w:szCs w:val="20"/>
          <w:u w:val="single"/>
        </w:rPr>
        <w:t>Acción de recibir e ingresar los documentos </w:t>
      </w:r>
      <w:r>
        <w:rPr>
          <w:rFonts w:ascii="Palatino Linotype" w:eastAsia="Palatino Linotype" w:hAnsi="Palatino Linotype" w:cs="Palatino Linotype"/>
          <w:i/>
          <w:color w:val="222222"/>
          <w:sz w:val="20"/>
          <w:szCs w:val="20"/>
        </w:rPr>
        <w:t>a las unidades orgánicas del Poder Ejecutivo Estatal </w:t>
      </w:r>
      <w:r>
        <w:rPr>
          <w:rFonts w:ascii="Palatino Linotype" w:eastAsia="Palatino Linotype" w:hAnsi="Palatino Linotype" w:cs="Palatino Linotype"/>
          <w:b/>
          <w:i/>
          <w:color w:val="222222"/>
          <w:sz w:val="20"/>
          <w:szCs w:val="20"/>
          <w:u w:val="single"/>
        </w:rPr>
        <w:t>para su atención, custodia o circulación</w:t>
      </w:r>
      <w:r>
        <w:rPr>
          <w:rFonts w:ascii="Palatino Linotype" w:eastAsia="Palatino Linotype" w:hAnsi="Palatino Linotype" w:cs="Palatino Linotype"/>
          <w:i/>
          <w:color w:val="222222"/>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222222"/>
          <w:sz w:val="20"/>
          <w:szCs w:val="20"/>
        </w:rPr>
        <w:t> </w:t>
      </w:r>
      <w:r>
        <w:rPr>
          <w:rFonts w:ascii="Palatino Linotype" w:eastAsia="Palatino Linotype" w:hAnsi="Palatino Linotype" w:cs="Palatino Linotype"/>
          <w:b/>
          <w:i/>
          <w:color w:val="000000"/>
          <w:sz w:val="20"/>
          <w:szCs w:val="20"/>
        </w:rPr>
        <w:t>4. Lineamientos generales</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w:t>
      </w:r>
    </w:p>
    <w:p w:rsidR="00417391" w:rsidRDefault="00877E77">
      <w:pPr>
        <w:shd w:val="clear" w:color="auto" w:fill="FFFFFF"/>
        <w:spacing w:after="120"/>
        <w:ind w:left="851" w:right="851"/>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i/>
          <w:color w:val="000000"/>
          <w:sz w:val="20"/>
          <w:szCs w:val="20"/>
        </w:rPr>
        <w:t>4.2 </w:t>
      </w:r>
      <w:r>
        <w:rPr>
          <w:rFonts w:ascii="Palatino Linotype" w:eastAsia="Palatino Linotype" w:hAnsi="Palatino Linotype" w:cs="Palatino Linotype"/>
          <w:b/>
          <w:i/>
          <w:color w:val="000000"/>
          <w:sz w:val="20"/>
          <w:szCs w:val="20"/>
        </w:rPr>
        <w:t>Las disposiciones establecidas en los presentes lineamientos son de </w:t>
      </w:r>
      <w:r>
        <w:rPr>
          <w:rFonts w:ascii="Palatino Linotype" w:eastAsia="Palatino Linotype" w:hAnsi="Palatino Linotype" w:cs="Palatino Linotype"/>
          <w:b/>
          <w:i/>
          <w:color w:val="000000"/>
          <w:sz w:val="20"/>
          <w:szCs w:val="20"/>
          <w:u w:val="single"/>
        </w:rPr>
        <w:t>observancia obligatoria para las unidades orgánicas del Poder Ejecutivo Estatal</w:t>
      </w:r>
      <w:r>
        <w:rPr>
          <w:rFonts w:ascii="Palatino Linotype" w:eastAsia="Palatino Linotype" w:hAnsi="Palatino Linotype" w:cs="Palatino Linotype"/>
          <w:i/>
          <w:color w:val="000000"/>
          <w:sz w:val="20"/>
          <w:szCs w:val="20"/>
          <w:u w:val="single"/>
        </w:rPr>
        <w:t>.</w:t>
      </w:r>
      <w:r>
        <w:rPr>
          <w:rFonts w:ascii="Palatino Linotype" w:eastAsia="Palatino Linotype" w:hAnsi="Palatino Linotype" w:cs="Palatino Linotype"/>
          <w:color w:val="000000"/>
          <w:sz w:val="20"/>
          <w:szCs w:val="20"/>
        </w:rPr>
        <w:t>…”</w:t>
      </w:r>
    </w:p>
    <w:p w:rsidR="00417391" w:rsidRDefault="00877E77">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Pr>
          <w:rFonts w:ascii="Palatino Linotype" w:eastAsia="Palatino Linotype" w:hAnsi="Palatino Linotype" w:cs="Palatino Linotype"/>
          <w:b/>
          <w:color w:val="222222"/>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417391" w:rsidRDefault="00877E77">
      <w:pPr>
        <w:shd w:val="clear" w:color="auto" w:fill="FFFFFF"/>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rPr>
        <w:t>A mayor abundamiento, cabe destacar que la </w:t>
      </w:r>
      <w:r>
        <w:rPr>
          <w:rFonts w:ascii="Palatino Linotype" w:eastAsia="Palatino Linotype" w:hAnsi="Palatino Linotype" w:cs="Palatino Linotype"/>
          <w:b/>
          <w:color w:val="222222"/>
        </w:rPr>
        <w:t xml:space="preserve">naturaleza de  la información requerida es información pública </w:t>
      </w:r>
      <w:r>
        <w:rPr>
          <w:rFonts w:ascii="Palatino Linotype" w:eastAsia="Palatino Linotype" w:hAnsi="Palatino Linotype" w:cs="Palatino Linotype"/>
          <w:color w:val="000000"/>
        </w:rPr>
        <w:t>de conformidad con el artículo 3, fracción XXII de la Ley de Transparencia y Acceso a la Información Pública del Estado de México y Municipios, que a la letra dice:</w:t>
      </w:r>
    </w:p>
    <w:p w:rsidR="00417391" w:rsidRDefault="00877E77">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3.</w:t>
      </w:r>
      <w:r>
        <w:rPr>
          <w:rFonts w:ascii="Palatino Linotype" w:eastAsia="Palatino Linotype" w:hAnsi="Palatino Linotype" w:cs="Palatino Linotype"/>
          <w:i/>
          <w:sz w:val="20"/>
          <w:szCs w:val="20"/>
        </w:rPr>
        <w:t xml:space="preserve"> Para los efectos de la presente Ley se entenderá por:</w:t>
      </w:r>
    </w:p>
    <w:p w:rsidR="00417391" w:rsidRDefault="00877E77">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17391" w:rsidRDefault="00877E77">
      <w:pPr>
        <w:spacing w:after="120"/>
        <w:ind w:left="1134"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sz w:val="20"/>
          <w:szCs w:val="20"/>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417391" w:rsidRDefault="00877E7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diverso artículo 4 de la Ley en la Materia, establece que la información pública generada, administrada o en posesión de los sujetos obligados en ejercicio </w:t>
      </w:r>
      <w:r>
        <w:rPr>
          <w:rFonts w:ascii="Palatino Linotype" w:eastAsia="Palatino Linotype" w:hAnsi="Palatino Linotype" w:cs="Palatino Linotype"/>
          <w:color w:val="000000"/>
        </w:rPr>
        <w:lastRenderedPageBreak/>
        <w:t>de sus atribuciones, será accesible de manera permanente a cualquier persona, privilegiando el principio de máxima publicidad de la información, tal y como se aprecia a continuación:</w:t>
      </w:r>
    </w:p>
    <w:p w:rsidR="00417391" w:rsidRDefault="00877E77">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w:t>
      </w:r>
      <w:r>
        <w:rPr>
          <w:rFonts w:ascii="Palatino Linotype" w:eastAsia="Palatino Linotype" w:hAnsi="Palatino Linotype" w:cs="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17391" w:rsidRDefault="00877E77">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17391" w:rsidRDefault="00877E77">
      <w:pPr>
        <w:spacing w:after="120"/>
        <w:ind w:left="851"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sz w:val="20"/>
          <w:szCs w:val="20"/>
        </w:rPr>
        <w:t>Los sujetos obligados deben poner en práctica, políticas y programas de acceso a la información que se apeguen a criterios de publicidad, veracidad, oportunidad, precisión y suficiencia en beneficio de los solicitantes.”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en términos de la Ley de Documentos Administrativos e Históricos del Estado de México, define a los documentos como </w:t>
      </w:r>
      <w:r>
        <w:rPr>
          <w:rFonts w:ascii="Palatino Linotype" w:eastAsia="Palatino Linotype" w:hAnsi="Palatino Linotype" w:cs="Palatino Linotype"/>
        </w:rPr>
        <w:t xml:space="preserve">cualquier objeto o archivo electrónico o de cualquier otra tecnología existente que pueda dar constancia de un hecho. </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Mientras que la Ley de Transparencia en la Entidad, establece lo que debe entenderse por documentos, siendo estos,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sin importar su fuente o fecha de elaboración.</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modo, que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p>
    <w:p w:rsidR="00417391" w:rsidRDefault="00877E7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 que se deriva que el alcance del Derecho de Acceso a la Información Pública, se refiere a los siguientes tres supuestos:</w:t>
      </w:r>
    </w:p>
    <w:p w:rsidR="00417391" w:rsidRDefault="00877E77">
      <w:pPr>
        <w:spacing w:before="240" w:after="240" w:line="360" w:lineRule="auto"/>
        <w:ind w:left="284" w:right="51"/>
        <w:jc w:val="both"/>
        <w:rPr>
          <w:rFonts w:ascii="Palatino Linotype" w:eastAsia="Palatino Linotype" w:hAnsi="Palatino Linotype" w:cs="Palatino Linotype"/>
        </w:rPr>
      </w:pPr>
      <w:r>
        <w:rPr>
          <w:rFonts w:ascii="Palatino Linotype" w:eastAsia="Palatino Linotype" w:hAnsi="Palatino Linotype" w:cs="Palatino Linotype"/>
        </w:rPr>
        <w:t>1º) Que se trate de información registrada en cualquier soporte, que en ejercicio de sus atribuciones, sea generada</w:t>
      </w:r>
      <w:r>
        <w:rPr>
          <w:rFonts w:ascii="Palatino Linotype" w:eastAsia="Palatino Linotype" w:hAnsi="Palatino Linotype" w:cs="Palatino Linotype"/>
          <w:b/>
        </w:rPr>
        <w:t xml:space="preserve"> </w:t>
      </w:r>
      <w:r>
        <w:rPr>
          <w:rFonts w:ascii="Palatino Linotype" w:eastAsia="Palatino Linotype" w:hAnsi="Palatino Linotype" w:cs="Palatino Linotype"/>
        </w:rPr>
        <w:t>por los Sujetos Obligados;</w:t>
      </w:r>
    </w:p>
    <w:p w:rsidR="00417391" w:rsidRDefault="00877E77">
      <w:pPr>
        <w:spacing w:before="240" w:after="240" w:line="360" w:lineRule="auto"/>
        <w:ind w:left="284" w:right="51"/>
        <w:jc w:val="both"/>
        <w:rPr>
          <w:rFonts w:ascii="Palatino Linotype" w:eastAsia="Palatino Linotype" w:hAnsi="Palatino Linotype" w:cs="Palatino Linotype"/>
        </w:rPr>
      </w:pPr>
      <w:r>
        <w:rPr>
          <w:rFonts w:ascii="Palatino Linotype" w:eastAsia="Palatino Linotype" w:hAnsi="Palatino Linotype" w:cs="Palatino Linotype"/>
        </w:rPr>
        <w:t>2º) Que se trate de información registrada en cualquier soporte, que en ejercicio de sus atribuciones, se encuentre en posesión de los Sujetos Obligados, y</w:t>
      </w:r>
    </w:p>
    <w:p w:rsidR="00417391" w:rsidRDefault="00877E77">
      <w:pPr>
        <w:spacing w:before="240" w:after="240" w:line="360" w:lineRule="auto"/>
        <w:ind w:left="284" w:right="51"/>
        <w:jc w:val="both"/>
        <w:rPr>
          <w:rFonts w:ascii="Palatino Linotype" w:eastAsia="Palatino Linotype" w:hAnsi="Palatino Linotype" w:cs="Palatino Linotype"/>
        </w:rPr>
      </w:pPr>
      <w:r>
        <w:rPr>
          <w:rFonts w:ascii="Palatino Linotype" w:eastAsia="Palatino Linotype" w:hAnsi="Palatino Linotype" w:cs="Palatino Linotype"/>
        </w:rPr>
        <w:t>3º) Que se trate de información registrada en cualquier soporte, que en ejercicio de sus atribuciones, sea administrada por los Sujetos Obligados.</w:t>
      </w:r>
    </w:p>
    <w:p w:rsidR="00417391" w:rsidRDefault="00877E7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rsidR="00417391" w:rsidRDefault="00877E77">
      <w:pPr>
        <w:spacing w:before="240" w:after="240" w:line="360" w:lineRule="auto"/>
        <w:ind w:right="49"/>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lastRenderedPageBreak/>
        <w:t xml:space="preserve">Una vez acotado el marco jurídico anterior, este Pleno considera tener presente que el </w:t>
      </w:r>
      <w:r>
        <w:rPr>
          <w:rFonts w:ascii="Palatino Linotype" w:eastAsia="Palatino Linotype" w:hAnsi="Palatino Linotype" w:cs="Palatino Linotype"/>
          <w:b/>
          <w:color w:val="222222"/>
          <w:highlight w:val="white"/>
        </w:rPr>
        <w:t xml:space="preserve">Sujeto Obligado </w:t>
      </w:r>
      <w:r>
        <w:rPr>
          <w:rFonts w:ascii="Palatino Linotype" w:eastAsia="Palatino Linotype" w:hAnsi="Palatino Linotype" w:cs="Palatino Linotype"/>
          <w:color w:val="222222"/>
          <w:highlight w:val="white"/>
        </w:rPr>
        <w:t>no negó la existencia de la información que es materia, por el contrario aceptó expresamente contar con ella, al señalar en su respuesta que remitió mediante archivo adjunto lo solicitado, sin embargo, tras la consulta a la información remitida, fue posible advertir que, tal y como lo argumentó el particular en la interposición del medio de defensa que nos ocupa, no es posible obtener los oficios requeridos, como se plasma en las siguiente captura de pantalla:</w:t>
      </w:r>
    </w:p>
    <w:p w:rsidR="00417391" w:rsidRDefault="00877E77">
      <w:pPr>
        <w:spacing w:before="240" w:after="240" w:line="360" w:lineRule="auto"/>
        <w:ind w:right="49"/>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noProof/>
          <w:color w:val="222222"/>
          <w:highlight w:val="white"/>
          <w:lang w:val="es-MX"/>
        </w:rPr>
        <w:drawing>
          <wp:inline distT="0" distB="0" distL="0" distR="0">
            <wp:extent cx="5612130" cy="110363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103630"/>
                    </a:xfrm>
                    <a:prstGeom prst="rect">
                      <a:avLst/>
                    </a:prstGeom>
                    <a:ln/>
                  </pic:spPr>
                </pic:pic>
              </a:graphicData>
            </a:graphic>
          </wp:inline>
        </w:drawing>
      </w:r>
    </w:p>
    <w:p w:rsidR="00417391" w:rsidRDefault="00877E77">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highlight w:val="white"/>
        </w:rPr>
        <w:t xml:space="preserve">Por lo tanto, </w:t>
      </w:r>
      <w:r>
        <w:rPr>
          <w:rFonts w:ascii="Palatino Linotype" w:eastAsia="Palatino Linotype" w:hAnsi="Palatino Linotype" w:cs="Palatino Linotype"/>
        </w:rPr>
        <w:t xml:space="preserve">resulta procedente ordenar la entrega de los </w:t>
      </w:r>
      <w:r>
        <w:rPr>
          <w:rFonts w:ascii="Palatino Linotype" w:eastAsia="Palatino Linotype" w:hAnsi="Palatino Linotype" w:cs="Palatino Linotype"/>
          <w:color w:val="000000"/>
        </w:rPr>
        <w:t xml:space="preserve">oficios </w:t>
      </w:r>
      <w:r>
        <w:rPr>
          <w:rFonts w:ascii="Palatino Linotype" w:eastAsia="Palatino Linotype" w:hAnsi="Palatino Linotype" w:cs="Palatino Linotype"/>
        </w:rPr>
        <w:t>GENERADOS por las REGIDURÍAS PRIMERA, SEGUNDA, TERCERA, CUARTA, QUINTA, SEXTA Y SÉPTIMA del Ayuntamiento de Metepec durante el mes de JULIO, AGOSTO Y SEPTIEMBRE de 2021</w:t>
      </w:r>
      <w:r>
        <w:rPr>
          <w:rFonts w:ascii="Palatino Linotype" w:eastAsia="Palatino Linotype" w:hAnsi="Palatino Linotype" w:cs="Palatino Linotype"/>
          <w:color w:val="000000"/>
        </w:rPr>
        <w:t>, debiendo salvaguardar los datos personales que en su caso pudieran obrar en la información ordenada, de conformidad con el considerando siguiente.</w:t>
      </w:r>
    </w:p>
    <w:p w:rsidR="00417391" w:rsidRDefault="00877E77">
      <w:pPr>
        <w:pBdr>
          <w:top w:val="nil"/>
          <w:left w:val="nil"/>
          <w:bottom w:val="nil"/>
          <w:right w:val="nil"/>
          <w:between w:val="nil"/>
        </w:pBdr>
        <w:spacing w:before="240" w:after="16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QUINTO. Versión Pública.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“Artículo 3. Para los efectos de la presente Ley se entenderá por:</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IX. Datos personales: La información concerniente a una persona, identificada o identificable según lo dispuesto por la Ley de Protección de Datos Personales del Estado de México; </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 Información clasificada: Aquella considerada por la presente Ley como reservada o confidencial;</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XLV. Versión pública: Documento en el que se elimine, suprime o borra la información clasificada como reservada o confidencial para permitir su acceso.</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91. El acceso a la información pública será restringido excepcionalmente, cuando ésta sea clasificada como reservada o confidencial.</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132. La clasificación de la información se llevará a cabo en el momento en que:</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Se reciba una solicitud de acceso a la información;</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Se determine mediante resolución de autoridad competente; o</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Se generen versiones públicas para dar cumplimiento a las obligaciones de transparencia previstas en esta Ley.</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143. Para los efectos de esta Ley se considera información confidencial, la clasificada como tal, de manera permanente, por su naturaleza, cuando:</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Se refiera a la información privada y los datos personales concernientes a una persona física o jurídico colectiva identificada o identificable;</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La que presenten los particulares a los sujetos obligados, de conformidad con lo dispuesto por las leyes o los tratados internacionales.</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confidencial no estará sujeta a temporalidad alguna y sólo podrán tener acceso a ella los titulares de la misma, sus representantes y los servidores públicos facultados para ello.</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No se considerará confidencial la información que se encuentre en los registros públicos o en fuentes de acceso público, ni tampoco la que sea considerada por la presente ley como información pública.”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Quincuagésimo séptimo. Se considera, en principio, como información pública y no podrá omitirse de las versiones públicas la siguiente: </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La relativa a las Obligaciones de Transparencia que contempla el Título V de la Ley General y las demás disposiciones legales aplicables; </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nombre de los servidores públicos en los documentos, y sus firmas autógrafas, cuando sean utilizados en el ejercicio de las facultades conferidas para el desempeño del servicio público, y </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Lo anterior, siempre y cuando no se acredite alguna causal de clasificación, prevista en las leyes o en los tratados internaciones suscritos por el Estado mexicano. </w:t>
      </w:r>
    </w:p>
    <w:p w:rsidR="00417391" w:rsidRDefault="00877E77">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Quincuagésimo octavo. Los sujetos obligados garantizarán que los sistemas o medios empleados para eliminar la información en las versiones públicas no permitan la recuperación o visualización de la misma.”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568"/>
        <w:gridCol w:w="968"/>
        <w:gridCol w:w="3446"/>
      </w:tblGrid>
      <w:tr w:rsidR="00417391" w:rsidTr="00417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417391" w:rsidRDefault="00877E77">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Parcial</w:t>
            </w:r>
          </w:p>
        </w:tc>
        <w:tc>
          <w:tcPr>
            <w:tcW w:w="4414" w:type="dxa"/>
            <w:gridSpan w:val="2"/>
          </w:tcPr>
          <w:p w:rsidR="00417391" w:rsidRDefault="00877E77">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Total</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Concepto</w:t>
            </w:r>
          </w:p>
        </w:tc>
        <w:tc>
          <w:tcPr>
            <w:tcW w:w="3568" w:type="dxa"/>
          </w:tcPr>
          <w:p w:rsidR="00417391" w:rsidRDefault="00877E7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417391" w:rsidRDefault="00877E7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417391" w:rsidRDefault="00877E7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417391" w:rsidTr="00417391">
        <w:tc>
          <w:tcPr>
            <w:cnfStyle w:val="001000000000" w:firstRow="0" w:lastRow="0" w:firstColumn="1" w:lastColumn="0" w:oddVBand="0" w:evenVBand="0" w:oddHBand="0" w:evenHBand="0" w:firstRowFirstColumn="0" w:firstRowLastColumn="0" w:lastRowFirstColumn="0" w:lastRowLastColumn="0"/>
            <w:tcW w:w="8828" w:type="dxa"/>
            <w:gridSpan w:val="4"/>
          </w:tcPr>
          <w:p w:rsidR="00417391" w:rsidRDefault="00877E77">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Sello oficial o logotipo del sujeto obligado</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clasificación</w:t>
            </w:r>
          </w:p>
        </w:tc>
        <w:tc>
          <w:tcPr>
            <w:tcW w:w="35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Área</w:t>
            </w:r>
          </w:p>
        </w:tc>
        <w:tc>
          <w:tcPr>
            <w:tcW w:w="35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Información reservada</w:t>
            </w:r>
          </w:p>
        </w:tc>
        <w:tc>
          <w:tcPr>
            <w:tcW w:w="35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Fundamento legal</w:t>
            </w:r>
          </w:p>
        </w:tc>
        <w:tc>
          <w:tcPr>
            <w:tcW w:w="35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Ampliación del periodo de reserva</w:t>
            </w:r>
          </w:p>
        </w:tc>
        <w:tc>
          <w:tcPr>
            <w:tcW w:w="35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Confidencial</w:t>
            </w:r>
          </w:p>
        </w:tc>
        <w:tc>
          <w:tcPr>
            <w:tcW w:w="35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lastRenderedPageBreak/>
              <w:t>Fundamento legal</w:t>
            </w:r>
          </w:p>
        </w:tc>
        <w:tc>
          <w:tcPr>
            <w:tcW w:w="35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del titular del área</w:t>
            </w:r>
          </w:p>
        </w:tc>
        <w:tc>
          <w:tcPr>
            <w:tcW w:w="35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desclasificación</w:t>
            </w:r>
          </w:p>
        </w:tc>
        <w:tc>
          <w:tcPr>
            <w:tcW w:w="35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877E77">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y cargo del servidor público</w:t>
            </w:r>
          </w:p>
        </w:tc>
        <w:tc>
          <w:tcPr>
            <w:tcW w:w="35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417391" w:rsidTr="0041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17391" w:rsidRDefault="00417391">
            <w:pPr>
              <w:jc w:val="both"/>
              <w:rPr>
                <w:rFonts w:ascii="Palatino Linotype" w:eastAsia="Palatino Linotype" w:hAnsi="Palatino Linotype" w:cs="Palatino Linotype"/>
                <w:sz w:val="12"/>
                <w:szCs w:val="12"/>
              </w:rPr>
            </w:pPr>
          </w:p>
        </w:tc>
        <w:tc>
          <w:tcPr>
            <w:tcW w:w="3568" w:type="dxa"/>
          </w:tcPr>
          <w:p w:rsidR="00417391" w:rsidRDefault="0041739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417391" w:rsidRDefault="00877E7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417391" w:rsidTr="00417391">
        <w:tc>
          <w:tcPr>
            <w:cnfStyle w:val="001000000000" w:firstRow="0" w:lastRow="0" w:firstColumn="1" w:lastColumn="0" w:oddVBand="0" w:evenVBand="0" w:oddHBand="0" w:evenHBand="0" w:firstRowFirstColumn="0" w:firstRowLastColumn="0" w:lastRowFirstColumn="0" w:lastRowLastColumn="0"/>
            <w:tcW w:w="846" w:type="dxa"/>
          </w:tcPr>
          <w:p w:rsidR="00417391" w:rsidRDefault="00417391">
            <w:pPr>
              <w:jc w:val="both"/>
              <w:rPr>
                <w:rFonts w:ascii="Palatino Linotype" w:eastAsia="Palatino Linotype" w:hAnsi="Palatino Linotype" w:cs="Palatino Linotype"/>
                <w:sz w:val="12"/>
                <w:szCs w:val="12"/>
              </w:rPr>
            </w:pPr>
          </w:p>
        </w:tc>
        <w:tc>
          <w:tcPr>
            <w:tcW w:w="3568" w:type="dxa"/>
          </w:tcPr>
          <w:p w:rsidR="00417391" w:rsidRDefault="0041739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417391" w:rsidRDefault="00877E7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417391" w:rsidRDefault="00877E77">
      <w:pPr>
        <w:shd w:val="clear" w:color="auto" w:fill="FFFFFF"/>
        <w:spacing w:before="240" w:after="240" w:line="360" w:lineRule="auto"/>
        <w:jc w:val="both"/>
        <w:rPr>
          <w:rFonts w:ascii="Arial" w:eastAsia="Arial" w:hAnsi="Arial" w:cs="Arial"/>
        </w:rPr>
      </w:pPr>
      <w:bookmarkStart w:id="1" w:name="_heading=h.gjdgxs" w:colFirst="0" w:colLast="0"/>
      <w:bookmarkEnd w:id="1"/>
      <w:r>
        <w:rPr>
          <w:rFonts w:ascii="Palatino Linotype" w:eastAsia="Palatino Linotype" w:hAnsi="Palatino Linotype" w:cs="Palatino Linotype"/>
        </w:rPr>
        <w:t>Así, con fundamento en lo prescrito en los artículos 5 párrafos vigésimo segundo, vigésimo tercero y vigésimo cuarto de la Constitución Política del Estado Libre y Soberano de México; 2, fracción II; 29, 36 fracciones I y II; 176, 178, 179, fracción I, 181, 185 de la Ley de Transparencia y Acceso a la Información Pública del Estado de México y Municipios, este Pleno:</w:t>
      </w:r>
    </w:p>
    <w:p w:rsidR="00417391" w:rsidRDefault="00877E77">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Resultan parcialmente fundado el motivo de inconformidad planteado por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en términos del Considerando CUARTO de la presente resolución, por lo que se determina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emitida por la Ayuntamiento de Metepec.</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 xml:space="preserve">Sujeto Obligado, atienda la solicitud de información número </w:t>
      </w:r>
      <w:r>
        <w:rPr>
          <w:rFonts w:ascii="Palatino Linotype" w:eastAsia="Palatino Linotype" w:hAnsi="Palatino Linotype" w:cs="Palatino Linotype"/>
          <w:b/>
        </w:rPr>
        <w:t>00578/METEPEC/IP/2021</w:t>
      </w:r>
      <w:r>
        <w:rPr>
          <w:rFonts w:ascii="Palatino Linotype" w:eastAsia="Palatino Linotype" w:hAnsi="Palatino Linotype" w:cs="Palatino Linotype"/>
        </w:rPr>
        <w:t>, y haga entrega vía SAIMEX, en versión pública de resultar procedente, en términos del Considerando CUARTO y QUINTO de esta resolución, lo siguiente:</w:t>
      </w:r>
    </w:p>
    <w:p w:rsidR="00417391" w:rsidRDefault="00877E77">
      <w:pPr>
        <w:numPr>
          <w:ilvl w:val="0"/>
          <w:numId w:val="1"/>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 xml:space="preserve">Los oficios GENERADOS por las </w:t>
      </w:r>
      <w:r>
        <w:rPr>
          <w:rFonts w:ascii="Palatino Linotype" w:eastAsia="Palatino Linotype" w:hAnsi="Palatino Linotype" w:cs="Palatino Linotype"/>
          <w:b/>
        </w:rPr>
        <w:t>REGIDURÍAS</w:t>
      </w:r>
      <w:r>
        <w:rPr>
          <w:rFonts w:ascii="Palatino Linotype" w:eastAsia="Palatino Linotype" w:hAnsi="Palatino Linotype" w:cs="Palatino Linotype"/>
          <w:b/>
          <w:color w:val="000000"/>
        </w:rPr>
        <w:t xml:space="preserve"> PRIMERA, SEGUNDA, TERCERA, CUARTA, QUINTA, SEXTA Y SÉPTIMA del Ayuntamiento de Metepec, durante el mes de JULIO, AGOSTO Y </w:t>
      </w:r>
      <w:r>
        <w:rPr>
          <w:rFonts w:ascii="Palatino Linotype" w:eastAsia="Palatino Linotype" w:hAnsi="Palatino Linotype" w:cs="Palatino Linotype"/>
          <w:b/>
        </w:rPr>
        <w:t>SEPTIEMBRE</w:t>
      </w:r>
      <w:r>
        <w:rPr>
          <w:rFonts w:ascii="Palatino Linotype" w:eastAsia="Palatino Linotype" w:hAnsi="Palatino Linotype" w:cs="Palatino Linotype"/>
          <w:b/>
          <w:color w:val="000000"/>
        </w:rPr>
        <w:t xml:space="preserve"> de 2021.</w:t>
      </w:r>
    </w:p>
    <w:p w:rsidR="00417391" w:rsidRDefault="00877E7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17391" w:rsidRDefault="00877E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recurrente la presente resolución vía Saimex, además que podrá impugnarla vía Juicio de Amparo en los términos de las leyes aplicables, de conformidad con lo establecido en el artículo 196 de la Ley de Transparencia y Acceso a la Información Pública del Estado de México y Municipios. </w:t>
      </w:r>
    </w:p>
    <w:p w:rsidR="00417391" w:rsidRDefault="00877E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Pr>
          <w:rFonts w:ascii="Palatino Linotype" w:eastAsia="Palatino Linotype" w:hAnsi="Palatino Linotype" w:cs="Palatino Linotype"/>
        </w:rPr>
        <w:lastRenderedPageBreak/>
        <w:t>MUNICIPIOS, CONFORMADO POR LOS COMISIONADOS JOSÉ MARTÍNEZ VILCHIS, MARÍA DEL ROSARIO MEJÍA AYALA, SHARON CRISTINA MORALES MARTÍNEZ (CON AUSENCIA JUSTIFICADA), LUIS GUSTAVO PARRA NORIEGA Y GUADALUPE RAMÍREZ PEÑA; EN LA TERCERA SESIÓN ORDINARIA CELEBRADA EL VEINTISÉIS DE ENERO DE DOS MIL VEINTIDÓS, ANTE EL SECRETARIO TÉCNICO DEL PLENO, ALEXIS TAPIA RAMÍREZ.</w:t>
      </w:r>
    </w:p>
    <w:p w:rsidR="00417391" w:rsidRDefault="00417391">
      <w:pPr>
        <w:spacing w:before="240" w:after="240" w:line="360" w:lineRule="auto"/>
        <w:jc w:val="both"/>
        <w:rPr>
          <w:rFonts w:ascii="Palatino Linotype" w:eastAsia="Palatino Linotype" w:hAnsi="Palatino Linotype" w:cs="Palatino Linotype"/>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p w:rsidR="00417391" w:rsidRDefault="00417391">
      <w:pPr>
        <w:spacing w:before="240" w:after="240"/>
        <w:jc w:val="both"/>
        <w:rPr>
          <w:rFonts w:ascii="Palatino Linotype" w:eastAsia="Palatino Linotype" w:hAnsi="Palatino Linotype" w:cs="Palatino Linotype"/>
          <w:sz w:val="16"/>
          <w:szCs w:val="16"/>
        </w:rPr>
      </w:pPr>
    </w:p>
    <w:sectPr w:rsidR="00417391">
      <w:headerReference w:type="default" r:id="rId10"/>
      <w:footerReference w:type="default" r:id="rId11"/>
      <w:headerReference w:type="first" r:id="rId12"/>
      <w:footerReference w:type="first" r:id="rId13"/>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80" w:rsidRDefault="00226C80">
      <w:r>
        <w:separator/>
      </w:r>
    </w:p>
  </w:endnote>
  <w:endnote w:type="continuationSeparator" w:id="0">
    <w:p w:rsidR="00226C80" w:rsidRDefault="0022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91" w:rsidRDefault="00877E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535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53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417391" w:rsidRDefault="00417391">
    <w:pPr>
      <w:pBdr>
        <w:top w:val="nil"/>
        <w:left w:val="nil"/>
        <w:bottom w:val="nil"/>
        <w:right w:val="nil"/>
        <w:between w:val="nil"/>
      </w:pBdr>
      <w:tabs>
        <w:tab w:val="center" w:pos="4252"/>
        <w:tab w:val="right" w:pos="8504"/>
      </w:tabs>
      <w:rPr>
        <w:color w:val="000000"/>
      </w:rPr>
    </w:pPr>
  </w:p>
  <w:p w:rsidR="00417391" w:rsidRDefault="0041739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91" w:rsidRDefault="00877E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535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53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417391" w:rsidRDefault="0041739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80" w:rsidRDefault="00226C80">
      <w:r>
        <w:separator/>
      </w:r>
    </w:p>
  </w:footnote>
  <w:footnote w:type="continuationSeparator" w:id="0">
    <w:p w:rsidR="00226C80" w:rsidRDefault="00226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91" w:rsidRDefault="00417391">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6240" w:type="dxa"/>
      <w:tblInd w:w="3746" w:type="dxa"/>
      <w:tblLayout w:type="fixed"/>
      <w:tblLook w:val="0400" w:firstRow="0" w:lastRow="0" w:firstColumn="0" w:lastColumn="0" w:noHBand="0" w:noVBand="1"/>
    </w:tblPr>
    <w:tblGrid>
      <w:gridCol w:w="2553"/>
      <w:gridCol w:w="3687"/>
    </w:tblGrid>
    <w:tr w:rsidR="00417391">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05414/INFOEM/IP/RR/2021</w:t>
          </w:r>
        </w:p>
      </w:tc>
    </w:tr>
    <w:tr w:rsidR="00417391">
      <w:trPr>
        <w:trHeight w:val="228"/>
      </w:trPr>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17391">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17391" w:rsidRDefault="00877E7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17391" w:rsidRDefault="00877E7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-1028699</wp:posOffset>
          </wp:positionH>
          <wp:positionV relativeFrom="paragraph">
            <wp:posOffset>-1027429</wp:posOffset>
          </wp:positionV>
          <wp:extent cx="7635875" cy="994346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417391" w:rsidRDefault="00417391">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91" w:rsidRDefault="00877E77">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-393699</wp:posOffset>
          </wp:positionV>
          <wp:extent cx="7635875" cy="994346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417391">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05414/INFOEM/IP/RR/2021</w:t>
          </w:r>
        </w:p>
      </w:tc>
    </w:tr>
    <w:tr w:rsidR="00417391">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417391" w:rsidRDefault="0018535A" w:rsidP="001853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877E7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877E7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877E7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417391">
      <w:trPr>
        <w:trHeight w:val="228"/>
      </w:trPr>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17391">
      <w:tc>
        <w:tcPr>
          <w:tcW w:w="2553" w:type="dxa"/>
          <w:vAlign w:val="center"/>
        </w:tcPr>
        <w:p w:rsidR="00417391" w:rsidRDefault="00877E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17391" w:rsidRDefault="00877E7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17391" w:rsidRDefault="0041739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901B9"/>
    <w:multiLevelType w:val="multilevel"/>
    <w:tmpl w:val="A58C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91"/>
    <w:rsid w:val="0018535A"/>
    <w:rsid w:val="00197A85"/>
    <w:rsid w:val="00226C80"/>
    <w:rsid w:val="00417391"/>
    <w:rsid w:val="00877E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C8AF4-6A6D-4321-993D-00C176E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087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6ZFiqzxDIt7pC9DM1lMGTIc7A==">AMUW2mUq8q0xZGI/A/YdSGTQDGOzaAdKul5Q+vg4N+kcGcelwe2Ey7SqgpyU+MJWrLBH7PWCh5Bf8ZcTauZSgWk/GsTKFAZGRFAAgdMTllFc3MpM8bL0STw78fU/ZMpxakO/Vx6NVcoS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6546</Words>
  <Characters>36003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2022-02-02T17:51:00Z</dcterms:created>
  <dcterms:modified xsi:type="dcterms:W3CDTF">2022-02-02T17:51:00Z</dcterms:modified>
</cp:coreProperties>
</file>