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6BD6" w14:textId="6D140C15" w:rsidR="00EA0165" w:rsidRPr="00BC16BD" w:rsidRDefault="00EA0165" w:rsidP="00BC16BD">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BC16BD">
        <w:rPr>
          <w:rFonts w:ascii="Palatino Linotype" w:eastAsiaTheme="minorEastAsia" w:hAnsi="Palatino Linotype" w:cstheme="minorBidi"/>
          <w:color w:val="000000" w:themeColor="text1"/>
          <w:lang w:val="es-ES_tradnl"/>
        </w:rPr>
        <w:t xml:space="preserve">n Metepec, Estado </w:t>
      </w:r>
      <w:r w:rsidR="005C57D2" w:rsidRPr="00BC16BD">
        <w:rPr>
          <w:rFonts w:ascii="Palatino Linotype" w:eastAsiaTheme="minorEastAsia" w:hAnsi="Palatino Linotype" w:cstheme="minorBidi"/>
          <w:color w:val="000000" w:themeColor="text1"/>
          <w:lang w:val="es-ES_tradnl"/>
        </w:rPr>
        <w:t>de México; de dieciséis</w:t>
      </w:r>
      <w:r w:rsidRPr="00BC16BD">
        <w:rPr>
          <w:rFonts w:ascii="Palatino Linotype" w:eastAsiaTheme="minorEastAsia" w:hAnsi="Palatino Linotype" w:cstheme="minorBidi"/>
          <w:color w:val="000000" w:themeColor="text1"/>
          <w:lang w:val="es-MX"/>
        </w:rPr>
        <w:t xml:space="preserve"> (</w:t>
      </w:r>
      <w:r w:rsidR="005C57D2" w:rsidRPr="00BC16BD">
        <w:rPr>
          <w:rFonts w:ascii="Palatino Linotype" w:eastAsiaTheme="minorEastAsia" w:hAnsi="Palatino Linotype" w:cstheme="minorBidi"/>
          <w:color w:val="000000" w:themeColor="text1"/>
          <w:lang w:val="es-MX"/>
        </w:rPr>
        <w:t>16</w:t>
      </w:r>
      <w:r w:rsidRPr="00BC16BD">
        <w:rPr>
          <w:rFonts w:ascii="Palatino Linotype" w:eastAsiaTheme="minorEastAsia" w:hAnsi="Palatino Linotype" w:cstheme="minorBidi"/>
          <w:color w:val="000000" w:themeColor="text1"/>
          <w:lang w:val="es-MX"/>
        </w:rPr>
        <w:t>) de</w:t>
      </w:r>
      <w:r w:rsidR="005C57D2" w:rsidRPr="00BC16BD">
        <w:rPr>
          <w:rFonts w:ascii="Palatino Linotype" w:eastAsiaTheme="minorEastAsia" w:hAnsi="Palatino Linotype" w:cstheme="minorBidi"/>
          <w:color w:val="000000" w:themeColor="text1"/>
          <w:lang w:val="es-MX"/>
        </w:rPr>
        <w:t xml:space="preserve"> febrero</w:t>
      </w:r>
      <w:r w:rsidR="00F03AFC" w:rsidRPr="00BC16BD">
        <w:rPr>
          <w:rFonts w:ascii="Palatino Linotype" w:eastAsiaTheme="minorEastAsia" w:hAnsi="Palatino Linotype" w:cstheme="minorBidi"/>
          <w:color w:val="000000" w:themeColor="text1"/>
          <w:lang w:val="es-MX"/>
        </w:rPr>
        <w:t xml:space="preserve"> </w:t>
      </w:r>
      <w:r w:rsidRPr="00BC16BD">
        <w:rPr>
          <w:rFonts w:ascii="Palatino Linotype" w:eastAsiaTheme="minorEastAsia" w:hAnsi="Palatino Linotype" w:cstheme="minorBidi"/>
          <w:color w:val="000000" w:themeColor="text1"/>
          <w:lang w:val="es-MX"/>
        </w:rPr>
        <w:t xml:space="preserve">de dos mil </w:t>
      </w:r>
      <w:r w:rsidR="005C57D2" w:rsidRPr="00BC16BD">
        <w:rPr>
          <w:rFonts w:ascii="Palatino Linotype" w:eastAsiaTheme="minorEastAsia" w:hAnsi="Palatino Linotype" w:cstheme="minorBidi"/>
          <w:color w:val="000000" w:themeColor="text1"/>
          <w:lang w:val="es-MX"/>
        </w:rPr>
        <w:t>veintidós.</w:t>
      </w:r>
    </w:p>
    <w:p w14:paraId="68E5E524" w14:textId="6098495E" w:rsidR="00EA0165" w:rsidRPr="00BC16BD" w:rsidRDefault="00EA0165" w:rsidP="00BC16BD">
      <w:pPr>
        <w:pStyle w:val="Prrafodelista"/>
        <w:tabs>
          <w:tab w:val="left" w:pos="0"/>
        </w:tabs>
        <w:spacing w:line="360" w:lineRule="auto"/>
        <w:ind w:left="0"/>
        <w:jc w:val="both"/>
        <w:rPr>
          <w:rFonts w:ascii="Palatino Linotype" w:eastAsia="MS Mincho" w:hAnsi="Palatino Linotype"/>
          <w:lang w:val="es-ES_tradnl"/>
        </w:rPr>
      </w:pPr>
      <w:r w:rsidRPr="00BC16BD">
        <w:rPr>
          <w:rFonts w:ascii="Palatino Linotype" w:eastAsia="MS Mincho" w:hAnsi="Palatino Linotype"/>
          <w:b/>
          <w:lang w:val="es-ES_tradnl"/>
        </w:rPr>
        <w:t>VISTO</w:t>
      </w:r>
      <w:r w:rsidRPr="00BC16BD">
        <w:rPr>
          <w:rFonts w:ascii="Palatino Linotype" w:eastAsia="MS Mincho" w:hAnsi="Palatino Linotype"/>
          <w:lang w:val="es-ES_tradnl"/>
        </w:rPr>
        <w:t xml:space="preserve"> el expediente electrónico formado con motivo del recurso de revisión</w:t>
      </w:r>
      <w:r w:rsidR="00923BD9" w:rsidRPr="00BC16BD">
        <w:rPr>
          <w:rFonts w:ascii="Palatino Linotype" w:eastAsia="MS Mincho" w:hAnsi="Palatino Linotype"/>
          <w:b/>
          <w:bCs/>
        </w:rPr>
        <w:t> </w:t>
      </w:r>
      <w:r w:rsidR="005C57D2" w:rsidRPr="00BC16BD">
        <w:rPr>
          <w:rFonts w:ascii="Palatino Linotype" w:eastAsia="MS Mincho" w:hAnsi="Palatino Linotype"/>
          <w:b/>
          <w:bCs/>
        </w:rPr>
        <w:t>06373/INFOEM/IP/RR/2021</w:t>
      </w:r>
      <w:r w:rsidRPr="00BC16BD">
        <w:rPr>
          <w:rFonts w:ascii="Palatino Linotype" w:eastAsia="MS Mincho" w:hAnsi="Palatino Linotype"/>
          <w:b/>
          <w:bCs/>
          <w:lang w:val="es-ES_tradnl"/>
        </w:rPr>
        <w:t xml:space="preserve">, </w:t>
      </w:r>
      <w:r w:rsidRPr="00BC16BD">
        <w:rPr>
          <w:rFonts w:ascii="Palatino Linotype" w:eastAsia="MS Mincho" w:hAnsi="Palatino Linotype"/>
          <w:lang w:val="es-ES_tradnl"/>
        </w:rPr>
        <w:t>promovido por</w:t>
      </w:r>
      <w:r w:rsidR="005C57D2" w:rsidRPr="00BC16BD">
        <w:rPr>
          <w:rFonts w:ascii="Palatino Linotype" w:hAnsi="Palatino Linotype"/>
          <w:color w:val="000000"/>
        </w:rPr>
        <w:t xml:space="preserve"> </w:t>
      </w:r>
      <w:r w:rsidR="0067464E" w:rsidRPr="0067464E">
        <w:rPr>
          <w:rFonts w:ascii="Palatino Linotype" w:eastAsia="MS Mincho" w:hAnsi="Palatino Linotype"/>
          <w:b/>
        </w:rPr>
        <w:t>XXXXXXX XXXX XXXXXXXX</w:t>
      </w:r>
      <w:r w:rsidR="0067464E" w:rsidRPr="0067464E">
        <w:rPr>
          <w:rFonts w:ascii="Palatino Linotype" w:eastAsia="MS Mincho" w:hAnsi="Palatino Linotype"/>
          <w:b/>
          <w:lang w:val="es-ES_tradnl"/>
        </w:rPr>
        <w:t xml:space="preserve"> </w:t>
      </w:r>
      <w:r w:rsidRPr="00BC16BD">
        <w:rPr>
          <w:rFonts w:ascii="Palatino Linotype" w:eastAsia="MS Mincho" w:hAnsi="Palatino Linotype"/>
          <w:lang w:val="es-ES_tradnl"/>
        </w:rPr>
        <w:t xml:space="preserve">en su calidad de </w:t>
      </w:r>
      <w:r w:rsidRPr="00BC16BD">
        <w:rPr>
          <w:rFonts w:ascii="Palatino Linotype" w:eastAsia="MS Mincho" w:hAnsi="Palatino Linotype"/>
          <w:b/>
          <w:lang w:val="es-ES_tradnl"/>
        </w:rPr>
        <w:t>RECURRENTE</w:t>
      </w:r>
      <w:r w:rsidR="00B4299A" w:rsidRPr="00BC16BD">
        <w:rPr>
          <w:rFonts w:ascii="Palatino Linotype" w:eastAsia="MS Mincho" w:hAnsi="Palatino Linotype"/>
          <w:lang w:val="es-ES_tradnl"/>
        </w:rPr>
        <w:t xml:space="preserve">, </w:t>
      </w:r>
      <w:r w:rsidR="005C57D2" w:rsidRPr="00BC16BD">
        <w:rPr>
          <w:rFonts w:ascii="Palatino Linotype" w:eastAsia="MS Mincho" w:hAnsi="Palatino Linotype"/>
          <w:lang w:val="es-ES_tradnl"/>
        </w:rPr>
        <w:t>en contra de la respuesta del</w:t>
      </w:r>
      <w:r w:rsidR="00923BD9" w:rsidRPr="00BC16BD">
        <w:rPr>
          <w:rFonts w:ascii="Palatino Linotype" w:eastAsia="MS Mincho" w:hAnsi="Palatino Linotype"/>
          <w:lang w:val="es-ES_tradnl"/>
        </w:rPr>
        <w:t xml:space="preserve"> </w:t>
      </w:r>
      <w:r w:rsidR="005C57D2" w:rsidRPr="00BC16BD">
        <w:rPr>
          <w:rFonts w:ascii="Palatino Linotype" w:eastAsia="MS Mincho" w:hAnsi="Palatino Linotype"/>
          <w:b/>
          <w:lang w:val="es-ES_tradnl"/>
        </w:rPr>
        <w:t>Ayuntamiento de Papalotla</w:t>
      </w:r>
      <w:r w:rsidR="003D473A" w:rsidRPr="00BC16BD">
        <w:rPr>
          <w:rFonts w:ascii="Palatino Linotype" w:eastAsia="MS Mincho" w:hAnsi="Palatino Linotype"/>
          <w:lang w:val="es-ES_tradnl"/>
        </w:rPr>
        <w:t xml:space="preserve"> </w:t>
      </w:r>
      <w:r w:rsidRPr="00BC16BD">
        <w:rPr>
          <w:rFonts w:ascii="Palatino Linotype" w:eastAsia="MS Mincho" w:hAnsi="Palatino Linotype"/>
          <w:lang w:val="es-ES_tradnl"/>
        </w:rPr>
        <w:t>en lo sucesivo el</w:t>
      </w:r>
      <w:r w:rsidRPr="00BC16BD">
        <w:rPr>
          <w:rFonts w:ascii="Palatino Linotype" w:eastAsia="MS Mincho" w:hAnsi="Palatino Linotype"/>
          <w:b/>
          <w:lang w:val="es-ES_tradnl"/>
        </w:rPr>
        <w:t xml:space="preserve"> SUJETO OBLIGADO, </w:t>
      </w:r>
      <w:r w:rsidRPr="00BC16BD">
        <w:rPr>
          <w:rFonts w:ascii="Palatino Linotype" w:eastAsia="MS Mincho" w:hAnsi="Palatino Linotype"/>
          <w:lang w:val="es-ES_tradnl"/>
        </w:rPr>
        <w:t xml:space="preserve">se procede a dictar la presente resolución, con base en los siguientes: </w:t>
      </w:r>
    </w:p>
    <w:p w14:paraId="64D30E95" w14:textId="2F57A823" w:rsidR="00F216D7" w:rsidRPr="00BC16BD" w:rsidRDefault="00EA0165" w:rsidP="00BC16BD">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95344549"/>
      <w:r w:rsidRPr="00BC16BD">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0448F19" w:rsidR="00707416" w:rsidRPr="00BC16BD" w:rsidRDefault="00EA0165" w:rsidP="00BC16BD">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BC16BD">
        <w:rPr>
          <w:rFonts w:ascii="Palatino Linotype" w:eastAsia="Calibri" w:hAnsi="Palatino Linotype" w:cs="Arial"/>
          <w:color w:val="000000" w:themeColor="text1"/>
        </w:rPr>
        <w:t>El</w:t>
      </w:r>
      <w:r w:rsidR="00F216D7" w:rsidRPr="00BC16BD">
        <w:rPr>
          <w:rFonts w:ascii="Palatino Linotype" w:eastAsia="Calibri" w:hAnsi="Palatino Linotype" w:cs="Arial"/>
          <w:color w:val="000000" w:themeColor="text1"/>
        </w:rPr>
        <w:t xml:space="preserve"> </w:t>
      </w:r>
      <w:r w:rsidR="00A65237" w:rsidRPr="00BC16BD">
        <w:rPr>
          <w:rFonts w:ascii="Palatino Linotype" w:eastAsia="Calibri" w:hAnsi="Palatino Linotype" w:cs="Arial"/>
          <w:color w:val="000000" w:themeColor="text1"/>
        </w:rPr>
        <w:t>venidos</w:t>
      </w:r>
      <w:r w:rsidR="00416E00" w:rsidRPr="00BC16BD">
        <w:rPr>
          <w:rFonts w:ascii="Palatino Linotype" w:eastAsia="Calibri" w:hAnsi="Palatino Linotype" w:cs="Arial"/>
          <w:color w:val="000000" w:themeColor="text1"/>
        </w:rPr>
        <w:t xml:space="preserve"> </w:t>
      </w:r>
      <w:r w:rsidRPr="00BC16BD">
        <w:rPr>
          <w:rFonts w:ascii="Palatino Linotype" w:eastAsia="Calibri" w:hAnsi="Palatino Linotype" w:cs="Arial"/>
          <w:color w:val="000000" w:themeColor="text1"/>
        </w:rPr>
        <w:t>(</w:t>
      </w:r>
      <w:r w:rsidR="00A65237" w:rsidRPr="00BC16BD">
        <w:rPr>
          <w:rFonts w:ascii="Palatino Linotype" w:eastAsia="Calibri" w:hAnsi="Palatino Linotype" w:cs="Arial"/>
          <w:color w:val="000000" w:themeColor="text1"/>
        </w:rPr>
        <w:t>22</w:t>
      </w:r>
      <w:r w:rsidRPr="00BC16BD">
        <w:rPr>
          <w:rFonts w:ascii="Palatino Linotype" w:eastAsia="Calibri" w:hAnsi="Palatino Linotype" w:cs="Arial"/>
          <w:color w:val="000000" w:themeColor="text1"/>
        </w:rPr>
        <w:t>) de</w:t>
      </w:r>
      <w:r w:rsidR="00A65237" w:rsidRPr="00BC16BD">
        <w:rPr>
          <w:rFonts w:ascii="Palatino Linotype" w:eastAsia="Calibri" w:hAnsi="Palatino Linotype" w:cs="Arial"/>
          <w:color w:val="000000" w:themeColor="text1"/>
        </w:rPr>
        <w:t xml:space="preserve"> noviembre</w:t>
      </w:r>
      <w:r w:rsidR="00707416" w:rsidRPr="00BC16BD">
        <w:rPr>
          <w:rFonts w:ascii="Palatino Linotype" w:eastAsia="Calibri" w:hAnsi="Palatino Linotype" w:cs="Arial"/>
          <w:color w:val="000000" w:themeColor="text1"/>
        </w:rPr>
        <w:t xml:space="preserve"> </w:t>
      </w:r>
      <w:r w:rsidRPr="00BC16BD">
        <w:rPr>
          <w:rFonts w:ascii="Palatino Linotype" w:eastAsia="Calibri" w:hAnsi="Palatino Linotype" w:cs="Arial"/>
          <w:color w:val="000000" w:themeColor="text1"/>
        </w:rPr>
        <w:t xml:space="preserve">de dos mil </w:t>
      </w:r>
      <w:r w:rsidR="002B2B24" w:rsidRPr="00BC16BD">
        <w:rPr>
          <w:rFonts w:ascii="Palatino Linotype" w:eastAsia="Calibri" w:hAnsi="Palatino Linotype" w:cs="Arial"/>
          <w:color w:val="000000" w:themeColor="text1"/>
        </w:rPr>
        <w:t>veintiuno</w:t>
      </w:r>
      <w:r w:rsidRPr="00BC16BD">
        <w:rPr>
          <w:rFonts w:ascii="Palatino Linotype" w:eastAsia="Calibri" w:hAnsi="Palatino Linotype" w:cs="Arial"/>
          <w:color w:val="000000" w:themeColor="text1"/>
        </w:rPr>
        <w:t xml:space="preserve">, </w:t>
      </w:r>
      <w:r w:rsidRPr="00BC16BD">
        <w:rPr>
          <w:rFonts w:ascii="Palatino Linotype" w:eastAsiaTheme="minorEastAsia" w:hAnsi="Palatino Linotype" w:cstheme="minorBidi"/>
          <w:color w:val="000000" w:themeColor="text1"/>
          <w:lang w:val="es-ES_tradnl"/>
        </w:rPr>
        <w:t>el particular presentó</w:t>
      </w:r>
      <w:r w:rsidRPr="00BC16BD">
        <w:rPr>
          <w:rFonts w:ascii="Palatino Linotype" w:eastAsiaTheme="minorEastAsia" w:hAnsi="Palatino Linotype" w:cstheme="minorBidi"/>
          <w:b/>
          <w:color w:val="000000" w:themeColor="text1"/>
          <w:lang w:val="es-ES_tradnl"/>
        </w:rPr>
        <w:t xml:space="preserve"> </w:t>
      </w:r>
      <w:r w:rsidR="00936BED" w:rsidRPr="00BC16BD">
        <w:rPr>
          <w:rFonts w:ascii="Palatino Linotype" w:eastAsiaTheme="minorEastAsia" w:hAnsi="Palatino Linotype" w:cstheme="minorBidi"/>
          <w:bCs/>
          <w:color w:val="000000" w:themeColor="text1"/>
          <w:lang w:val="es-ES_tradnl"/>
        </w:rPr>
        <w:t>a través de</w:t>
      </w:r>
      <w:r w:rsidR="00923BD9" w:rsidRPr="00BC16BD">
        <w:rPr>
          <w:rFonts w:ascii="Palatino Linotype" w:eastAsiaTheme="minorEastAsia" w:hAnsi="Palatino Linotype" w:cstheme="minorBidi"/>
          <w:bCs/>
          <w:color w:val="000000" w:themeColor="text1"/>
          <w:lang w:val="es-ES_tradnl"/>
        </w:rPr>
        <w:t>l</w:t>
      </w:r>
      <w:r w:rsidR="00923BD9" w:rsidRPr="00BC16BD">
        <w:rPr>
          <w:rFonts w:ascii="Palatino Linotype" w:eastAsia="Calibri" w:hAnsi="Palatino Linotype" w:cs="Arial"/>
          <w:color w:val="000000" w:themeColor="text1"/>
        </w:rPr>
        <w:t xml:space="preserve"> </w:t>
      </w:r>
      <w:r w:rsidR="00923BD9" w:rsidRPr="00BC16BD">
        <w:rPr>
          <w:rFonts w:ascii="Palatino Linotype" w:eastAsiaTheme="minorEastAsia" w:hAnsi="Palatino Linotype" w:cstheme="minorBidi"/>
          <w:bCs/>
          <w:color w:val="000000" w:themeColor="text1"/>
        </w:rPr>
        <w:t xml:space="preserve">Sistema de Acceso a la Información Mexiquense </w:t>
      </w:r>
      <w:r w:rsidR="00923BD9" w:rsidRPr="00BC16BD">
        <w:rPr>
          <w:rFonts w:ascii="Palatino Linotype" w:eastAsiaTheme="minorEastAsia" w:hAnsi="Palatino Linotype" w:cstheme="minorBidi"/>
          <w:b/>
          <w:bCs/>
          <w:color w:val="000000" w:themeColor="text1"/>
        </w:rPr>
        <w:t>(SAIMEX)</w:t>
      </w:r>
      <w:r w:rsidRPr="00BC16BD">
        <w:rPr>
          <w:rFonts w:ascii="Palatino Linotype" w:eastAsia="Calibri" w:hAnsi="Palatino Linotype" w:cs="Arial"/>
          <w:b/>
          <w:color w:val="000000" w:themeColor="text1"/>
        </w:rPr>
        <w:t xml:space="preserve">, </w:t>
      </w:r>
      <w:r w:rsidRPr="00BC16BD">
        <w:rPr>
          <w:rFonts w:ascii="Palatino Linotype" w:eastAsia="Calibri" w:hAnsi="Palatino Linotype" w:cs="Arial"/>
          <w:color w:val="000000" w:themeColor="text1"/>
        </w:rPr>
        <w:t>la solicitud de información pública registrada con el número</w:t>
      </w:r>
      <w:r w:rsidR="00923BD9" w:rsidRPr="00BC16BD">
        <w:rPr>
          <w:rFonts w:ascii="Palatino Linotype" w:hAnsi="Palatino Linotype"/>
          <w:color w:val="000000"/>
        </w:rPr>
        <w:t xml:space="preserve"> </w:t>
      </w:r>
      <w:r w:rsidR="00A65237" w:rsidRPr="00BC16BD">
        <w:rPr>
          <w:rFonts w:ascii="Palatino Linotype" w:hAnsi="Palatino Linotype"/>
          <w:b/>
          <w:bCs/>
          <w:color w:val="000000"/>
        </w:rPr>
        <w:t>00151/PAPALO/IP/2021</w:t>
      </w:r>
      <w:r w:rsidRPr="00BC16BD">
        <w:rPr>
          <w:rFonts w:ascii="Palatino Linotype" w:eastAsiaTheme="minorEastAsia" w:hAnsi="Palatino Linotype" w:cstheme="minorBidi"/>
          <w:b/>
          <w:bCs/>
          <w:color w:val="000000" w:themeColor="text1"/>
          <w:lang w:val="es-ES_tradnl"/>
        </w:rPr>
        <w:t>,</w:t>
      </w:r>
      <w:r w:rsidRPr="00BC16BD">
        <w:rPr>
          <w:rFonts w:ascii="Palatino Linotype" w:eastAsia="Calibri" w:hAnsi="Palatino Linotype" w:cs="Arial"/>
          <w:color w:val="000000" w:themeColor="text1"/>
        </w:rPr>
        <w:t xml:space="preserve"> mediante la cual requirió:</w:t>
      </w:r>
    </w:p>
    <w:p w14:paraId="119BF7E0" w14:textId="7F6BEA25" w:rsidR="00EA0165" w:rsidRPr="00BC16BD" w:rsidRDefault="00EA0165" w:rsidP="00BC16BD">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i/>
          <w:color w:val="000000" w:themeColor="text1"/>
          <w:lang w:val="es-ES_tradnl"/>
        </w:rPr>
        <w:t>“</w:t>
      </w:r>
      <w:r w:rsidR="00A65237" w:rsidRPr="00BC16BD">
        <w:rPr>
          <w:rFonts w:ascii="Palatino Linotype" w:eastAsiaTheme="minorEastAsia" w:hAnsi="Palatino Linotype" w:cstheme="minorBidi"/>
          <w:i/>
          <w:color w:val="000000" w:themeColor="text1"/>
          <w:lang w:val="es-ES_tradnl"/>
        </w:rPr>
        <w:t>Se solicita de la manera más atenta y respetuosa, con fundamento en el artículo 6° de la Constitución Política de los Estados Unidos Mexicanos, que se proporcione la información solicitada en el archivo adjunto de nombre "CensoAP"</w:t>
      </w:r>
      <w:r w:rsidRPr="00BC16BD">
        <w:rPr>
          <w:rFonts w:ascii="Palatino Linotype" w:eastAsiaTheme="minorEastAsia" w:hAnsi="Palatino Linotype" w:cstheme="minorBidi"/>
          <w:i/>
          <w:color w:val="000000" w:themeColor="text1"/>
          <w:lang w:val="es-ES_tradnl"/>
        </w:rPr>
        <w:t xml:space="preserve">.” </w:t>
      </w:r>
      <w:r w:rsidRPr="00BC16BD">
        <w:rPr>
          <w:rFonts w:ascii="Palatino Linotype" w:eastAsiaTheme="minorEastAsia" w:hAnsi="Palatino Linotype" w:cstheme="minorBidi"/>
          <w:color w:val="000000" w:themeColor="text1"/>
          <w:lang w:val="es-ES_tradnl"/>
        </w:rPr>
        <w:t>(Sic).</w:t>
      </w:r>
    </w:p>
    <w:p w14:paraId="1046CCE1" w14:textId="304A6F03" w:rsidR="00A415DB" w:rsidRPr="00BC16BD" w:rsidRDefault="00A415DB" w:rsidP="00BC16BD">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3FCB1201" w14:textId="5150F26C" w:rsidR="00A65237" w:rsidRPr="00BC16BD" w:rsidRDefault="00A65237" w:rsidP="00BC16B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BC16BD">
        <w:rPr>
          <w:rFonts w:ascii="Palatino Linotype" w:hAnsi="Palatino Linotype" w:cs="Arial"/>
          <w:color w:val="000000" w:themeColor="text1"/>
        </w:rPr>
        <w:t xml:space="preserve">A dicha solicitud de información se anexó el siguiente documento: </w:t>
      </w:r>
    </w:p>
    <w:p w14:paraId="2970F21A" w14:textId="5A9EB23E" w:rsidR="00A65237" w:rsidRPr="00BC16BD" w:rsidRDefault="00B9298F" w:rsidP="00BC16BD">
      <w:pPr>
        <w:numPr>
          <w:ilvl w:val="0"/>
          <w:numId w:val="38"/>
        </w:numPr>
        <w:spacing w:before="100" w:beforeAutospacing="1" w:after="100" w:afterAutospacing="1" w:line="360" w:lineRule="auto"/>
        <w:ind w:right="738"/>
        <w:rPr>
          <w:rFonts w:ascii="Palatino Linotype" w:hAnsi="Palatino Linotype" w:cs="Arial"/>
          <w:color w:val="333333"/>
          <w:lang w:val="es-MX"/>
        </w:rPr>
      </w:pPr>
      <w:hyperlink r:id="rId8" w:tgtFrame="_blank" w:history="1">
        <w:r w:rsidR="00A65237" w:rsidRPr="00BC16BD">
          <w:rPr>
            <w:rStyle w:val="Hipervnculo"/>
            <w:rFonts w:ascii="Palatino Linotype" w:hAnsi="Palatino Linotype" w:cs="Arial"/>
            <w:b/>
            <w:bCs/>
            <w:color w:val="auto"/>
            <w:u w:val="none"/>
          </w:rPr>
          <w:t>CensoAP.docx</w:t>
        </w:r>
      </w:hyperlink>
      <w:r w:rsidR="00A65237" w:rsidRPr="00BC16BD">
        <w:rPr>
          <w:rFonts w:ascii="Palatino Linotype" w:hAnsi="Palatino Linotype" w:cs="Arial"/>
          <w:color w:val="333333"/>
          <w:lang w:val="es-MX"/>
        </w:rPr>
        <w:t xml:space="preserve">: </w:t>
      </w:r>
      <w:r w:rsidR="00A65237" w:rsidRPr="00BC16BD">
        <w:rPr>
          <w:rFonts w:ascii="Palatino Linotype" w:hAnsi="Palatino Linotype" w:cs="Arial"/>
          <w:color w:val="000000" w:themeColor="text1"/>
        </w:rPr>
        <w:t xml:space="preserve">Documento electrónico que en dos (02) hojas contiene lo siguiente: </w:t>
      </w:r>
    </w:p>
    <w:p w14:paraId="1528DE66" w14:textId="414524D4" w:rsidR="00A65237" w:rsidRPr="00BC16BD" w:rsidRDefault="00A65237" w:rsidP="00BC16BD">
      <w:pPr>
        <w:spacing w:before="100" w:beforeAutospacing="1" w:after="100" w:afterAutospacing="1" w:line="360" w:lineRule="auto"/>
        <w:ind w:left="720"/>
        <w:rPr>
          <w:rFonts w:ascii="Palatino Linotype" w:hAnsi="Palatino Linotype" w:cs="Arial"/>
          <w:color w:val="333333"/>
          <w:lang w:val="es-MX"/>
        </w:rPr>
      </w:pPr>
    </w:p>
    <w:p w14:paraId="048CC658" w14:textId="6482188B" w:rsidR="00A65237" w:rsidRPr="00BC16BD" w:rsidRDefault="00A65237" w:rsidP="00BC16BD">
      <w:pPr>
        <w:spacing w:after="160" w:line="360" w:lineRule="auto"/>
        <w:rPr>
          <w:rFonts w:ascii="Palatino Linotype" w:eastAsia="Calibri" w:hAnsi="Palatino Linotype"/>
          <w:i/>
          <w:lang w:val="es-MX" w:eastAsia="en-US"/>
        </w:rPr>
      </w:pPr>
      <w:r w:rsidRPr="00BC16BD">
        <w:rPr>
          <w:rFonts w:ascii="Palatino Linotype" w:eastAsia="Calibri" w:hAnsi="Palatino Linotype"/>
          <w:i/>
          <w:lang w:val="es-MX" w:eastAsia="en-US"/>
        </w:rPr>
        <w:t>“Se solicita.</w:t>
      </w:r>
    </w:p>
    <w:p w14:paraId="27A1D2B8"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Censo de luminarios de alumbrado público realizado y firmado por la Comisión Federal de Electricidad (CFE), correspondiente a los años 2018, 2019, 2020 y 2021;</w:t>
      </w:r>
    </w:p>
    <w:p w14:paraId="061DB1E4"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Convenio para la recaudación del Derecho de Alumbrado Público (DAP), entre la CFE y el Municipio, correspondiente a los años 2018, 2019, 2020 y 2021;</w:t>
      </w:r>
    </w:p>
    <w:p w14:paraId="3C3E3186" w14:textId="77777777" w:rsidR="00A65237" w:rsidRPr="00BC16BD" w:rsidRDefault="00A65237" w:rsidP="00BC16BD">
      <w:pPr>
        <w:numPr>
          <w:ilvl w:val="0"/>
          <w:numId w:val="39"/>
        </w:numPr>
        <w:spacing w:after="160" w:line="360" w:lineRule="auto"/>
        <w:contextualSpacing/>
        <w:rPr>
          <w:rFonts w:ascii="Palatino Linotype" w:eastAsia="Calibri" w:hAnsi="Palatino Linotype"/>
          <w:i/>
          <w:lang w:val="es-MX" w:eastAsia="en-US"/>
        </w:rPr>
      </w:pPr>
      <w:r w:rsidRPr="00BC16BD">
        <w:rPr>
          <w:rFonts w:ascii="Palatino Linotype" w:eastAsia="Calibri" w:hAnsi="Palatino Linotype"/>
          <w:i/>
          <w:lang w:val="es-MX" w:eastAsia="en-US"/>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38FEB646"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2152"/>
        <w:gridCol w:w="2153"/>
        <w:gridCol w:w="2153"/>
      </w:tblGrid>
      <w:tr w:rsidR="00A65237" w:rsidRPr="00B6182F" w14:paraId="00E30575" w14:textId="77777777" w:rsidTr="00B6182F">
        <w:trPr>
          <w:trHeight w:val="422"/>
          <w:jc w:val="center"/>
        </w:trPr>
        <w:tc>
          <w:tcPr>
            <w:tcW w:w="2152" w:type="dxa"/>
            <w:vAlign w:val="center"/>
          </w:tcPr>
          <w:p w14:paraId="1EA3780B" w14:textId="77777777" w:rsidR="00A65237" w:rsidRPr="00B6182F" w:rsidRDefault="00A65237" w:rsidP="00B6182F">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2018</w:t>
            </w:r>
          </w:p>
        </w:tc>
        <w:tc>
          <w:tcPr>
            <w:tcW w:w="2153" w:type="dxa"/>
            <w:vAlign w:val="center"/>
          </w:tcPr>
          <w:p w14:paraId="004104F5"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Facturación alumbrado público</w:t>
            </w:r>
          </w:p>
        </w:tc>
        <w:tc>
          <w:tcPr>
            <w:tcW w:w="2153" w:type="dxa"/>
            <w:vAlign w:val="center"/>
          </w:tcPr>
          <w:p w14:paraId="5967DF0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DAP</w:t>
            </w:r>
          </w:p>
        </w:tc>
      </w:tr>
      <w:tr w:rsidR="00A65237" w:rsidRPr="00B6182F" w14:paraId="52427856" w14:textId="77777777" w:rsidTr="00B6182F">
        <w:trPr>
          <w:trHeight w:val="400"/>
          <w:jc w:val="center"/>
        </w:trPr>
        <w:tc>
          <w:tcPr>
            <w:tcW w:w="2152" w:type="dxa"/>
            <w:vAlign w:val="center"/>
          </w:tcPr>
          <w:p w14:paraId="2054FE12"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Enero</w:t>
            </w:r>
          </w:p>
        </w:tc>
        <w:tc>
          <w:tcPr>
            <w:tcW w:w="2153" w:type="dxa"/>
            <w:vAlign w:val="center"/>
          </w:tcPr>
          <w:p w14:paraId="77A3C497"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60B9C835"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03DDD146" w14:textId="77777777" w:rsidTr="00B6182F">
        <w:trPr>
          <w:trHeight w:val="422"/>
          <w:jc w:val="center"/>
        </w:trPr>
        <w:tc>
          <w:tcPr>
            <w:tcW w:w="2152" w:type="dxa"/>
            <w:vAlign w:val="center"/>
          </w:tcPr>
          <w:p w14:paraId="5B0F6856"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Febrero</w:t>
            </w:r>
          </w:p>
        </w:tc>
        <w:tc>
          <w:tcPr>
            <w:tcW w:w="2153" w:type="dxa"/>
            <w:vAlign w:val="center"/>
          </w:tcPr>
          <w:p w14:paraId="7922971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3F0A2943"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CF4CAF9" w14:textId="77777777" w:rsidTr="00B6182F">
        <w:trPr>
          <w:trHeight w:val="400"/>
          <w:jc w:val="center"/>
        </w:trPr>
        <w:tc>
          <w:tcPr>
            <w:tcW w:w="2152" w:type="dxa"/>
            <w:vAlign w:val="center"/>
          </w:tcPr>
          <w:p w14:paraId="6FB22D6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Marzo</w:t>
            </w:r>
          </w:p>
        </w:tc>
        <w:tc>
          <w:tcPr>
            <w:tcW w:w="2153" w:type="dxa"/>
            <w:vAlign w:val="center"/>
          </w:tcPr>
          <w:p w14:paraId="2185242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BC9EF7A"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0DA4F6E" w14:textId="77777777" w:rsidTr="00B6182F">
        <w:trPr>
          <w:trHeight w:val="422"/>
          <w:jc w:val="center"/>
        </w:trPr>
        <w:tc>
          <w:tcPr>
            <w:tcW w:w="2152" w:type="dxa"/>
            <w:vAlign w:val="center"/>
          </w:tcPr>
          <w:p w14:paraId="361BA06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Abril</w:t>
            </w:r>
          </w:p>
        </w:tc>
        <w:tc>
          <w:tcPr>
            <w:tcW w:w="2153" w:type="dxa"/>
            <w:vAlign w:val="center"/>
          </w:tcPr>
          <w:p w14:paraId="5CE46E9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4274AB3E"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30E72B08" w14:textId="77777777" w:rsidTr="00B6182F">
        <w:trPr>
          <w:trHeight w:val="400"/>
          <w:jc w:val="center"/>
        </w:trPr>
        <w:tc>
          <w:tcPr>
            <w:tcW w:w="2152" w:type="dxa"/>
            <w:vAlign w:val="center"/>
          </w:tcPr>
          <w:p w14:paraId="2225E3A3"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Mayo</w:t>
            </w:r>
          </w:p>
        </w:tc>
        <w:tc>
          <w:tcPr>
            <w:tcW w:w="2153" w:type="dxa"/>
            <w:vAlign w:val="center"/>
          </w:tcPr>
          <w:p w14:paraId="229AB24B"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23B6A51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30E71F5D" w14:textId="77777777" w:rsidTr="00B6182F">
        <w:trPr>
          <w:trHeight w:val="422"/>
          <w:jc w:val="center"/>
        </w:trPr>
        <w:tc>
          <w:tcPr>
            <w:tcW w:w="2152" w:type="dxa"/>
            <w:vAlign w:val="center"/>
          </w:tcPr>
          <w:p w14:paraId="2F6AB20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Junio</w:t>
            </w:r>
          </w:p>
        </w:tc>
        <w:tc>
          <w:tcPr>
            <w:tcW w:w="2153" w:type="dxa"/>
            <w:vAlign w:val="center"/>
          </w:tcPr>
          <w:p w14:paraId="2B3D0532"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5EFD27A7"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4054F29D" w14:textId="77777777" w:rsidTr="00B6182F">
        <w:trPr>
          <w:trHeight w:val="400"/>
          <w:jc w:val="center"/>
        </w:trPr>
        <w:tc>
          <w:tcPr>
            <w:tcW w:w="2152" w:type="dxa"/>
            <w:vAlign w:val="center"/>
          </w:tcPr>
          <w:p w14:paraId="2DAB09A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Julio</w:t>
            </w:r>
          </w:p>
        </w:tc>
        <w:tc>
          <w:tcPr>
            <w:tcW w:w="2153" w:type="dxa"/>
            <w:vAlign w:val="center"/>
          </w:tcPr>
          <w:p w14:paraId="159D2CF9"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49D30AD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76A919C" w14:textId="77777777" w:rsidTr="00B6182F">
        <w:trPr>
          <w:trHeight w:val="422"/>
          <w:jc w:val="center"/>
        </w:trPr>
        <w:tc>
          <w:tcPr>
            <w:tcW w:w="2152" w:type="dxa"/>
            <w:vAlign w:val="center"/>
          </w:tcPr>
          <w:p w14:paraId="15EC5691"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Agosto</w:t>
            </w:r>
          </w:p>
        </w:tc>
        <w:tc>
          <w:tcPr>
            <w:tcW w:w="2153" w:type="dxa"/>
            <w:vAlign w:val="center"/>
          </w:tcPr>
          <w:p w14:paraId="26C1B0E0"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6FAB3DB1"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1F009187" w14:textId="77777777" w:rsidTr="00B6182F">
        <w:trPr>
          <w:trHeight w:val="422"/>
          <w:jc w:val="center"/>
        </w:trPr>
        <w:tc>
          <w:tcPr>
            <w:tcW w:w="2152" w:type="dxa"/>
            <w:vAlign w:val="center"/>
          </w:tcPr>
          <w:p w14:paraId="6E60CD22"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Septiembre</w:t>
            </w:r>
          </w:p>
        </w:tc>
        <w:tc>
          <w:tcPr>
            <w:tcW w:w="2153" w:type="dxa"/>
            <w:vAlign w:val="center"/>
          </w:tcPr>
          <w:p w14:paraId="12AA8BCA"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33C1705E"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67135908" w14:textId="77777777" w:rsidTr="00B6182F">
        <w:trPr>
          <w:trHeight w:val="400"/>
          <w:jc w:val="center"/>
        </w:trPr>
        <w:tc>
          <w:tcPr>
            <w:tcW w:w="2152" w:type="dxa"/>
            <w:vAlign w:val="center"/>
          </w:tcPr>
          <w:p w14:paraId="73DBB78A"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Octubre</w:t>
            </w:r>
          </w:p>
        </w:tc>
        <w:tc>
          <w:tcPr>
            <w:tcW w:w="2153" w:type="dxa"/>
            <w:vAlign w:val="center"/>
          </w:tcPr>
          <w:p w14:paraId="4F1D1E9F"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2B2C8C69"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8589B8E" w14:textId="77777777" w:rsidTr="00B6182F">
        <w:trPr>
          <w:trHeight w:val="422"/>
          <w:jc w:val="center"/>
        </w:trPr>
        <w:tc>
          <w:tcPr>
            <w:tcW w:w="2152" w:type="dxa"/>
            <w:vAlign w:val="center"/>
          </w:tcPr>
          <w:p w14:paraId="6C4B6D48"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Noviembre</w:t>
            </w:r>
          </w:p>
        </w:tc>
        <w:tc>
          <w:tcPr>
            <w:tcW w:w="2153" w:type="dxa"/>
            <w:vAlign w:val="center"/>
          </w:tcPr>
          <w:p w14:paraId="24AC5A25"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30B0201"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r w:rsidR="00A65237" w:rsidRPr="00B6182F" w14:paraId="5BA825D0" w14:textId="77777777" w:rsidTr="00B6182F">
        <w:trPr>
          <w:trHeight w:val="400"/>
          <w:jc w:val="center"/>
        </w:trPr>
        <w:tc>
          <w:tcPr>
            <w:tcW w:w="2152" w:type="dxa"/>
            <w:vAlign w:val="center"/>
          </w:tcPr>
          <w:p w14:paraId="5A548375" w14:textId="77777777" w:rsidR="00A65237" w:rsidRPr="00B6182F" w:rsidRDefault="00A65237" w:rsidP="00BC16BD">
            <w:pPr>
              <w:spacing w:line="360" w:lineRule="auto"/>
              <w:jc w:val="center"/>
              <w:rPr>
                <w:rFonts w:ascii="Palatino Linotype" w:eastAsia="Calibri" w:hAnsi="Palatino Linotype"/>
                <w:i/>
                <w:sz w:val="14"/>
                <w:szCs w:val="24"/>
                <w:lang w:val="es-MX"/>
              </w:rPr>
            </w:pPr>
            <w:r w:rsidRPr="00B6182F">
              <w:rPr>
                <w:rFonts w:ascii="Palatino Linotype" w:eastAsia="Calibri" w:hAnsi="Palatino Linotype"/>
                <w:i/>
                <w:sz w:val="14"/>
                <w:szCs w:val="24"/>
                <w:lang w:val="es-MX"/>
              </w:rPr>
              <w:t>Diciembre</w:t>
            </w:r>
          </w:p>
        </w:tc>
        <w:tc>
          <w:tcPr>
            <w:tcW w:w="2153" w:type="dxa"/>
            <w:vAlign w:val="center"/>
          </w:tcPr>
          <w:p w14:paraId="77440D6C" w14:textId="77777777" w:rsidR="00A65237" w:rsidRPr="00B6182F" w:rsidRDefault="00A65237" w:rsidP="00BC16BD">
            <w:pPr>
              <w:spacing w:line="360" w:lineRule="auto"/>
              <w:jc w:val="center"/>
              <w:rPr>
                <w:rFonts w:ascii="Palatino Linotype" w:eastAsia="Calibri" w:hAnsi="Palatino Linotype"/>
                <w:i/>
                <w:sz w:val="14"/>
                <w:szCs w:val="24"/>
                <w:lang w:val="es-MX"/>
              </w:rPr>
            </w:pPr>
          </w:p>
        </w:tc>
        <w:tc>
          <w:tcPr>
            <w:tcW w:w="2153" w:type="dxa"/>
            <w:vAlign w:val="center"/>
          </w:tcPr>
          <w:p w14:paraId="08C3D3FC" w14:textId="77777777" w:rsidR="00A65237" w:rsidRPr="00B6182F" w:rsidRDefault="00A65237" w:rsidP="00BC16BD">
            <w:pPr>
              <w:spacing w:line="360" w:lineRule="auto"/>
              <w:jc w:val="center"/>
              <w:rPr>
                <w:rFonts w:ascii="Palatino Linotype" w:eastAsia="Calibri" w:hAnsi="Palatino Linotype"/>
                <w:i/>
                <w:sz w:val="14"/>
                <w:szCs w:val="24"/>
                <w:lang w:val="es-MX"/>
              </w:rPr>
            </w:pPr>
          </w:p>
        </w:tc>
      </w:tr>
    </w:tbl>
    <w:p w14:paraId="5CBF9066"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2207"/>
        <w:gridCol w:w="2208"/>
        <w:gridCol w:w="2208"/>
      </w:tblGrid>
      <w:tr w:rsidR="00A65237" w:rsidRPr="00B6182F" w14:paraId="05AB56D5" w14:textId="77777777" w:rsidTr="00B6182F">
        <w:trPr>
          <w:trHeight w:val="702"/>
          <w:jc w:val="center"/>
        </w:trPr>
        <w:tc>
          <w:tcPr>
            <w:tcW w:w="2207" w:type="dxa"/>
            <w:vAlign w:val="center"/>
          </w:tcPr>
          <w:p w14:paraId="3C139237"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lastRenderedPageBreak/>
              <w:t>2019</w:t>
            </w:r>
          </w:p>
        </w:tc>
        <w:tc>
          <w:tcPr>
            <w:tcW w:w="2208" w:type="dxa"/>
            <w:vAlign w:val="center"/>
          </w:tcPr>
          <w:p w14:paraId="55DD16C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Facturación alumbrado público</w:t>
            </w:r>
          </w:p>
        </w:tc>
        <w:tc>
          <w:tcPr>
            <w:tcW w:w="2208" w:type="dxa"/>
            <w:vAlign w:val="center"/>
          </w:tcPr>
          <w:p w14:paraId="1DC0B9F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DAP</w:t>
            </w:r>
          </w:p>
        </w:tc>
      </w:tr>
      <w:tr w:rsidR="00A65237" w:rsidRPr="00B6182F" w14:paraId="77159F0C" w14:textId="77777777" w:rsidTr="00B6182F">
        <w:trPr>
          <w:trHeight w:val="351"/>
          <w:jc w:val="center"/>
        </w:trPr>
        <w:tc>
          <w:tcPr>
            <w:tcW w:w="2207" w:type="dxa"/>
            <w:vAlign w:val="center"/>
          </w:tcPr>
          <w:p w14:paraId="192EE6E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Enero</w:t>
            </w:r>
          </w:p>
        </w:tc>
        <w:tc>
          <w:tcPr>
            <w:tcW w:w="2208" w:type="dxa"/>
            <w:vAlign w:val="center"/>
          </w:tcPr>
          <w:p w14:paraId="375CBDE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7BEE112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0836E5D" w14:textId="77777777" w:rsidTr="00B6182F">
        <w:trPr>
          <w:trHeight w:val="362"/>
          <w:jc w:val="center"/>
        </w:trPr>
        <w:tc>
          <w:tcPr>
            <w:tcW w:w="2207" w:type="dxa"/>
            <w:vAlign w:val="center"/>
          </w:tcPr>
          <w:p w14:paraId="13837617"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Febrero</w:t>
            </w:r>
          </w:p>
        </w:tc>
        <w:tc>
          <w:tcPr>
            <w:tcW w:w="2208" w:type="dxa"/>
            <w:vAlign w:val="center"/>
          </w:tcPr>
          <w:p w14:paraId="3556050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400BD1F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F4E5A64" w14:textId="77777777" w:rsidTr="00B6182F">
        <w:trPr>
          <w:trHeight w:val="351"/>
          <w:jc w:val="center"/>
        </w:trPr>
        <w:tc>
          <w:tcPr>
            <w:tcW w:w="2207" w:type="dxa"/>
            <w:vAlign w:val="center"/>
          </w:tcPr>
          <w:p w14:paraId="6D2DBA01"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Marzo</w:t>
            </w:r>
          </w:p>
        </w:tc>
        <w:tc>
          <w:tcPr>
            <w:tcW w:w="2208" w:type="dxa"/>
            <w:vAlign w:val="center"/>
          </w:tcPr>
          <w:p w14:paraId="0E459880"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1EF81BC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7A1DF35" w14:textId="77777777" w:rsidTr="00B6182F">
        <w:trPr>
          <w:trHeight w:val="351"/>
          <w:jc w:val="center"/>
        </w:trPr>
        <w:tc>
          <w:tcPr>
            <w:tcW w:w="2207" w:type="dxa"/>
            <w:vAlign w:val="center"/>
          </w:tcPr>
          <w:p w14:paraId="6BEE718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Abril</w:t>
            </w:r>
          </w:p>
        </w:tc>
        <w:tc>
          <w:tcPr>
            <w:tcW w:w="2208" w:type="dxa"/>
            <w:vAlign w:val="center"/>
          </w:tcPr>
          <w:p w14:paraId="3586925A"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06A94AA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C889F28" w14:textId="77777777" w:rsidTr="00B6182F">
        <w:trPr>
          <w:trHeight w:val="351"/>
          <w:jc w:val="center"/>
        </w:trPr>
        <w:tc>
          <w:tcPr>
            <w:tcW w:w="2207" w:type="dxa"/>
            <w:vAlign w:val="center"/>
          </w:tcPr>
          <w:p w14:paraId="07FCB55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Mayo</w:t>
            </w:r>
          </w:p>
        </w:tc>
        <w:tc>
          <w:tcPr>
            <w:tcW w:w="2208" w:type="dxa"/>
            <w:vAlign w:val="center"/>
          </w:tcPr>
          <w:p w14:paraId="04C6AB1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549D95C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71194C1" w14:textId="77777777" w:rsidTr="00B6182F">
        <w:trPr>
          <w:trHeight w:val="351"/>
          <w:jc w:val="center"/>
        </w:trPr>
        <w:tc>
          <w:tcPr>
            <w:tcW w:w="2207" w:type="dxa"/>
            <w:vAlign w:val="center"/>
          </w:tcPr>
          <w:p w14:paraId="604E9885"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Junio</w:t>
            </w:r>
          </w:p>
        </w:tc>
        <w:tc>
          <w:tcPr>
            <w:tcW w:w="2208" w:type="dxa"/>
            <w:vAlign w:val="center"/>
          </w:tcPr>
          <w:p w14:paraId="423E221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64AEF59E"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481921F" w14:textId="77777777" w:rsidTr="00B6182F">
        <w:trPr>
          <w:trHeight w:val="351"/>
          <w:jc w:val="center"/>
        </w:trPr>
        <w:tc>
          <w:tcPr>
            <w:tcW w:w="2207" w:type="dxa"/>
            <w:vAlign w:val="center"/>
          </w:tcPr>
          <w:p w14:paraId="6884683C"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Julio</w:t>
            </w:r>
          </w:p>
        </w:tc>
        <w:tc>
          <w:tcPr>
            <w:tcW w:w="2208" w:type="dxa"/>
            <w:vAlign w:val="center"/>
          </w:tcPr>
          <w:p w14:paraId="3A9FA18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1903DEA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6FD3D306" w14:textId="77777777" w:rsidTr="00B6182F">
        <w:trPr>
          <w:trHeight w:val="351"/>
          <w:jc w:val="center"/>
        </w:trPr>
        <w:tc>
          <w:tcPr>
            <w:tcW w:w="2207" w:type="dxa"/>
            <w:vAlign w:val="center"/>
          </w:tcPr>
          <w:p w14:paraId="39CF86D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Agosto</w:t>
            </w:r>
          </w:p>
        </w:tc>
        <w:tc>
          <w:tcPr>
            <w:tcW w:w="2208" w:type="dxa"/>
            <w:vAlign w:val="center"/>
          </w:tcPr>
          <w:p w14:paraId="69753FF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5224FB9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CB598BC" w14:textId="77777777" w:rsidTr="00B6182F">
        <w:trPr>
          <w:trHeight w:val="351"/>
          <w:jc w:val="center"/>
        </w:trPr>
        <w:tc>
          <w:tcPr>
            <w:tcW w:w="2207" w:type="dxa"/>
            <w:vAlign w:val="center"/>
          </w:tcPr>
          <w:p w14:paraId="2C5375D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Septiembre</w:t>
            </w:r>
          </w:p>
        </w:tc>
        <w:tc>
          <w:tcPr>
            <w:tcW w:w="2208" w:type="dxa"/>
            <w:vAlign w:val="center"/>
          </w:tcPr>
          <w:p w14:paraId="18DD22F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7692E70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03D964FE" w14:textId="77777777" w:rsidTr="00B6182F">
        <w:trPr>
          <w:trHeight w:val="351"/>
          <w:jc w:val="center"/>
        </w:trPr>
        <w:tc>
          <w:tcPr>
            <w:tcW w:w="2207" w:type="dxa"/>
            <w:vAlign w:val="center"/>
          </w:tcPr>
          <w:p w14:paraId="5DB1501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Octubre</w:t>
            </w:r>
          </w:p>
        </w:tc>
        <w:tc>
          <w:tcPr>
            <w:tcW w:w="2208" w:type="dxa"/>
            <w:vAlign w:val="center"/>
          </w:tcPr>
          <w:p w14:paraId="765B776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2E0152F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F2F9FB7" w14:textId="77777777" w:rsidTr="00B6182F">
        <w:trPr>
          <w:trHeight w:val="351"/>
          <w:jc w:val="center"/>
        </w:trPr>
        <w:tc>
          <w:tcPr>
            <w:tcW w:w="2207" w:type="dxa"/>
            <w:vAlign w:val="center"/>
          </w:tcPr>
          <w:p w14:paraId="460416C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Noviembre</w:t>
            </w:r>
          </w:p>
        </w:tc>
        <w:tc>
          <w:tcPr>
            <w:tcW w:w="2208" w:type="dxa"/>
            <w:vAlign w:val="center"/>
          </w:tcPr>
          <w:p w14:paraId="25EA941B"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3340920C"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BD17807" w14:textId="77777777" w:rsidTr="00B6182F">
        <w:trPr>
          <w:trHeight w:val="351"/>
          <w:jc w:val="center"/>
        </w:trPr>
        <w:tc>
          <w:tcPr>
            <w:tcW w:w="2207" w:type="dxa"/>
            <w:vAlign w:val="center"/>
          </w:tcPr>
          <w:p w14:paraId="710F02A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Diciembre</w:t>
            </w:r>
          </w:p>
        </w:tc>
        <w:tc>
          <w:tcPr>
            <w:tcW w:w="2208" w:type="dxa"/>
            <w:vAlign w:val="center"/>
          </w:tcPr>
          <w:p w14:paraId="67E58BF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2208" w:type="dxa"/>
            <w:vAlign w:val="center"/>
          </w:tcPr>
          <w:p w14:paraId="6C37980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bl>
    <w:p w14:paraId="59E19AE0" w14:textId="046A9E10" w:rsidR="00A65237" w:rsidRPr="00BC16BD" w:rsidRDefault="00A65237" w:rsidP="00BC16BD">
      <w:pPr>
        <w:spacing w:after="160" w:line="360" w:lineRule="auto"/>
        <w:rPr>
          <w:rFonts w:ascii="Palatino Linotype" w:eastAsia="Calibri" w:hAnsi="Palatino Linotype"/>
          <w:i/>
          <w:lang w:val="es-MX" w:eastAsia="en-US"/>
        </w:rPr>
      </w:pPr>
    </w:p>
    <w:p w14:paraId="3EFF63E2"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1932"/>
        <w:gridCol w:w="1933"/>
        <w:gridCol w:w="1933"/>
      </w:tblGrid>
      <w:tr w:rsidR="00A65237" w:rsidRPr="00B6182F" w14:paraId="059B6972" w14:textId="77777777" w:rsidTr="00B6182F">
        <w:trPr>
          <w:trHeight w:val="454"/>
          <w:jc w:val="center"/>
        </w:trPr>
        <w:tc>
          <w:tcPr>
            <w:tcW w:w="1932" w:type="dxa"/>
            <w:vAlign w:val="center"/>
          </w:tcPr>
          <w:p w14:paraId="66A7AD24"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2020</w:t>
            </w:r>
          </w:p>
        </w:tc>
        <w:tc>
          <w:tcPr>
            <w:tcW w:w="1933" w:type="dxa"/>
            <w:vAlign w:val="center"/>
          </w:tcPr>
          <w:p w14:paraId="49AA2854"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Facturación alumbrado público</w:t>
            </w:r>
          </w:p>
        </w:tc>
        <w:tc>
          <w:tcPr>
            <w:tcW w:w="1933" w:type="dxa"/>
            <w:vAlign w:val="center"/>
          </w:tcPr>
          <w:p w14:paraId="1FD9E7B9"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DAP</w:t>
            </w:r>
          </w:p>
        </w:tc>
      </w:tr>
      <w:tr w:rsidR="00A65237" w:rsidRPr="00B6182F" w14:paraId="0CB5B006" w14:textId="77777777" w:rsidTr="00B6182F">
        <w:trPr>
          <w:trHeight w:val="454"/>
          <w:jc w:val="center"/>
        </w:trPr>
        <w:tc>
          <w:tcPr>
            <w:tcW w:w="1932" w:type="dxa"/>
            <w:vAlign w:val="center"/>
          </w:tcPr>
          <w:p w14:paraId="3628E799"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Enero</w:t>
            </w:r>
          </w:p>
        </w:tc>
        <w:tc>
          <w:tcPr>
            <w:tcW w:w="1933" w:type="dxa"/>
            <w:vAlign w:val="center"/>
          </w:tcPr>
          <w:p w14:paraId="5A49A05D"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5599EA1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41904F92" w14:textId="77777777" w:rsidTr="00B6182F">
        <w:trPr>
          <w:trHeight w:val="454"/>
          <w:jc w:val="center"/>
        </w:trPr>
        <w:tc>
          <w:tcPr>
            <w:tcW w:w="1932" w:type="dxa"/>
            <w:vAlign w:val="center"/>
          </w:tcPr>
          <w:p w14:paraId="312E96D8"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Febrero</w:t>
            </w:r>
          </w:p>
        </w:tc>
        <w:tc>
          <w:tcPr>
            <w:tcW w:w="1933" w:type="dxa"/>
            <w:vAlign w:val="center"/>
          </w:tcPr>
          <w:p w14:paraId="635DACF1"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BC0768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60332A8" w14:textId="77777777" w:rsidTr="00B6182F">
        <w:trPr>
          <w:trHeight w:val="454"/>
          <w:jc w:val="center"/>
        </w:trPr>
        <w:tc>
          <w:tcPr>
            <w:tcW w:w="1932" w:type="dxa"/>
            <w:vAlign w:val="center"/>
          </w:tcPr>
          <w:p w14:paraId="584959CC"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Marzo</w:t>
            </w:r>
          </w:p>
        </w:tc>
        <w:tc>
          <w:tcPr>
            <w:tcW w:w="1933" w:type="dxa"/>
            <w:vAlign w:val="center"/>
          </w:tcPr>
          <w:p w14:paraId="1106C51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4BC314D6"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5F59879" w14:textId="77777777" w:rsidTr="00B6182F">
        <w:trPr>
          <w:trHeight w:val="454"/>
          <w:jc w:val="center"/>
        </w:trPr>
        <w:tc>
          <w:tcPr>
            <w:tcW w:w="1932" w:type="dxa"/>
            <w:vAlign w:val="center"/>
          </w:tcPr>
          <w:p w14:paraId="13BB1380"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Abril</w:t>
            </w:r>
          </w:p>
        </w:tc>
        <w:tc>
          <w:tcPr>
            <w:tcW w:w="1933" w:type="dxa"/>
            <w:vAlign w:val="center"/>
          </w:tcPr>
          <w:p w14:paraId="0AE7DF6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7C7169D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72DF36D7" w14:textId="77777777" w:rsidTr="00B6182F">
        <w:trPr>
          <w:trHeight w:val="454"/>
          <w:jc w:val="center"/>
        </w:trPr>
        <w:tc>
          <w:tcPr>
            <w:tcW w:w="1932" w:type="dxa"/>
            <w:vAlign w:val="center"/>
          </w:tcPr>
          <w:p w14:paraId="59E7251C"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Mayo</w:t>
            </w:r>
          </w:p>
        </w:tc>
        <w:tc>
          <w:tcPr>
            <w:tcW w:w="1933" w:type="dxa"/>
            <w:vAlign w:val="center"/>
          </w:tcPr>
          <w:p w14:paraId="1387842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50E4C17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B2C460D" w14:textId="77777777" w:rsidTr="00B6182F">
        <w:trPr>
          <w:trHeight w:val="435"/>
          <w:jc w:val="center"/>
        </w:trPr>
        <w:tc>
          <w:tcPr>
            <w:tcW w:w="1932" w:type="dxa"/>
            <w:vAlign w:val="center"/>
          </w:tcPr>
          <w:p w14:paraId="7847C7EB"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Junio</w:t>
            </w:r>
          </w:p>
        </w:tc>
        <w:tc>
          <w:tcPr>
            <w:tcW w:w="1933" w:type="dxa"/>
            <w:vAlign w:val="center"/>
          </w:tcPr>
          <w:p w14:paraId="74CD7F46"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0A9898D8"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FD14C15" w14:textId="77777777" w:rsidTr="00B6182F">
        <w:trPr>
          <w:trHeight w:val="454"/>
          <w:jc w:val="center"/>
        </w:trPr>
        <w:tc>
          <w:tcPr>
            <w:tcW w:w="1932" w:type="dxa"/>
            <w:vAlign w:val="center"/>
          </w:tcPr>
          <w:p w14:paraId="0C882150"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Julio</w:t>
            </w:r>
          </w:p>
        </w:tc>
        <w:tc>
          <w:tcPr>
            <w:tcW w:w="1933" w:type="dxa"/>
            <w:vAlign w:val="center"/>
          </w:tcPr>
          <w:p w14:paraId="5D72C391"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6C572C9"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738CC821" w14:textId="77777777" w:rsidTr="00B6182F">
        <w:trPr>
          <w:trHeight w:val="454"/>
          <w:jc w:val="center"/>
        </w:trPr>
        <w:tc>
          <w:tcPr>
            <w:tcW w:w="1932" w:type="dxa"/>
            <w:vAlign w:val="center"/>
          </w:tcPr>
          <w:p w14:paraId="0B608AEA"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Agosto</w:t>
            </w:r>
          </w:p>
        </w:tc>
        <w:tc>
          <w:tcPr>
            <w:tcW w:w="1933" w:type="dxa"/>
            <w:vAlign w:val="center"/>
          </w:tcPr>
          <w:p w14:paraId="11BDD8D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3B34CC42"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1CDE61F9" w14:textId="77777777" w:rsidTr="00B6182F">
        <w:trPr>
          <w:trHeight w:val="454"/>
          <w:jc w:val="center"/>
        </w:trPr>
        <w:tc>
          <w:tcPr>
            <w:tcW w:w="1932" w:type="dxa"/>
            <w:vAlign w:val="center"/>
          </w:tcPr>
          <w:p w14:paraId="7AE6971E"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Septiembre</w:t>
            </w:r>
          </w:p>
        </w:tc>
        <w:tc>
          <w:tcPr>
            <w:tcW w:w="1933" w:type="dxa"/>
            <w:vAlign w:val="center"/>
          </w:tcPr>
          <w:p w14:paraId="7B4040EC"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6B0794A5"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4CEA2B5D" w14:textId="77777777" w:rsidTr="00B6182F">
        <w:trPr>
          <w:trHeight w:val="454"/>
          <w:jc w:val="center"/>
        </w:trPr>
        <w:tc>
          <w:tcPr>
            <w:tcW w:w="1932" w:type="dxa"/>
            <w:vAlign w:val="center"/>
          </w:tcPr>
          <w:p w14:paraId="1A6153D1"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Octubre</w:t>
            </w:r>
          </w:p>
        </w:tc>
        <w:tc>
          <w:tcPr>
            <w:tcW w:w="1933" w:type="dxa"/>
            <w:vAlign w:val="center"/>
          </w:tcPr>
          <w:p w14:paraId="22D941E8"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03C237FA"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28E27AA3" w14:textId="77777777" w:rsidTr="00B6182F">
        <w:trPr>
          <w:trHeight w:val="454"/>
          <w:jc w:val="center"/>
        </w:trPr>
        <w:tc>
          <w:tcPr>
            <w:tcW w:w="1932" w:type="dxa"/>
            <w:vAlign w:val="center"/>
          </w:tcPr>
          <w:p w14:paraId="4E8E7BCE"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t>Noviembre</w:t>
            </w:r>
          </w:p>
        </w:tc>
        <w:tc>
          <w:tcPr>
            <w:tcW w:w="1933" w:type="dxa"/>
            <w:vAlign w:val="center"/>
          </w:tcPr>
          <w:p w14:paraId="4B3072B0"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1CACB683"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r w:rsidR="00A65237" w:rsidRPr="00B6182F" w14:paraId="3D950ED9" w14:textId="77777777" w:rsidTr="00B6182F">
        <w:trPr>
          <w:trHeight w:val="435"/>
          <w:jc w:val="center"/>
        </w:trPr>
        <w:tc>
          <w:tcPr>
            <w:tcW w:w="1932" w:type="dxa"/>
            <w:vAlign w:val="center"/>
          </w:tcPr>
          <w:p w14:paraId="138777CA" w14:textId="77777777" w:rsidR="00A65237" w:rsidRPr="00B6182F" w:rsidRDefault="00A65237" w:rsidP="00BC16BD">
            <w:pPr>
              <w:spacing w:line="360" w:lineRule="auto"/>
              <w:jc w:val="center"/>
              <w:rPr>
                <w:rFonts w:ascii="Palatino Linotype" w:eastAsia="Calibri" w:hAnsi="Palatino Linotype"/>
                <w:i/>
                <w:sz w:val="12"/>
                <w:szCs w:val="24"/>
                <w:lang w:val="es-MX"/>
              </w:rPr>
            </w:pPr>
            <w:r w:rsidRPr="00B6182F">
              <w:rPr>
                <w:rFonts w:ascii="Palatino Linotype" w:eastAsia="Calibri" w:hAnsi="Palatino Linotype"/>
                <w:i/>
                <w:sz w:val="12"/>
                <w:szCs w:val="24"/>
                <w:lang w:val="es-MX"/>
              </w:rPr>
              <w:lastRenderedPageBreak/>
              <w:t>Diciembre</w:t>
            </w:r>
          </w:p>
        </w:tc>
        <w:tc>
          <w:tcPr>
            <w:tcW w:w="1933" w:type="dxa"/>
            <w:vAlign w:val="center"/>
          </w:tcPr>
          <w:p w14:paraId="4F0B392E" w14:textId="77777777" w:rsidR="00A65237" w:rsidRPr="00B6182F" w:rsidRDefault="00A65237" w:rsidP="00BC16BD">
            <w:pPr>
              <w:spacing w:line="360" w:lineRule="auto"/>
              <w:jc w:val="center"/>
              <w:rPr>
                <w:rFonts w:ascii="Palatino Linotype" w:eastAsia="Calibri" w:hAnsi="Palatino Linotype"/>
                <w:i/>
                <w:sz w:val="12"/>
                <w:szCs w:val="24"/>
                <w:lang w:val="es-MX"/>
              </w:rPr>
            </w:pPr>
          </w:p>
        </w:tc>
        <w:tc>
          <w:tcPr>
            <w:tcW w:w="1933" w:type="dxa"/>
            <w:vAlign w:val="center"/>
          </w:tcPr>
          <w:p w14:paraId="7C9D6769" w14:textId="77777777" w:rsidR="00A65237" w:rsidRPr="00B6182F" w:rsidRDefault="00A65237" w:rsidP="00BC16BD">
            <w:pPr>
              <w:spacing w:line="360" w:lineRule="auto"/>
              <w:jc w:val="center"/>
              <w:rPr>
                <w:rFonts w:ascii="Palatino Linotype" w:eastAsia="Calibri" w:hAnsi="Palatino Linotype"/>
                <w:i/>
                <w:sz w:val="12"/>
                <w:szCs w:val="24"/>
                <w:lang w:val="es-MX"/>
              </w:rPr>
            </w:pPr>
          </w:p>
        </w:tc>
      </w:tr>
    </w:tbl>
    <w:p w14:paraId="1A675D4C" w14:textId="77777777" w:rsidR="00A65237" w:rsidRPr="00BC16BD" w:rsidRDefault="00A65237" w:rsidP="00BC16BD">
      <w:pPr>
        <w:spacing w:after="160" w:line="360" w:lineRule="auto"/>
        <w:rPr>
          <w:rFonts w:ascii="Palatino Linotype" w:eastAsia="Calibri" w:hAnsi="Palatino Linotype"/>
          <w:i/>
          <w:lang w:val="es-MX" w:eastAsia="en-US"/>
        </w:rPr>
      </w:pPr>
    </w:p>
    <w:tbl>
      <w:tblPr>
        <w:tblStyle w:val="Tablaconcuadrcula1"/>
        <w:tblW w:w="0" w:type="auto"/>
        <w:jc w:val="center"/>
        <w:tblLook w:val="04A0" w:firstRow="1" w:lastRow="0" w:firstColumn="1" w:lastColumn="0" w:noHBand="0" w:noVBand="1"/>
      </w:tblPr>
      <w:tblGrid>
        <w:gridCol w:w="1968"/>
        <w:gridCol w:w="1968"/>
        <w:gridCol w:w="1968"/>
      </w:tblGrid>
      <w:tr w:rsidR="00A65237" w:rsidRPr="00B6182F" w14:paraId="463547FE" w14:textId="77777777" w:rsidTr="00B6182F">
        <w:trPr>
          <w:trHeight w:val="702"/>
          <w:jc w:val="center"/>
        </w:trPr>
        <w:tc>
          <w:tcPr>
            <w:tcW w:w="1968" w:type="dxa"/>
            <w:vAlign w:val="center"/>
          </w:tcPr>
          <w:p w14:paraId="0A72E482"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2021</w:t>
            </w:r>
          </w:p>
        </w:tc>
        <w:tc>
          <w:tcPr>
            <w:tcW w:w="1968" w:type="dxa"/>
            <w:vAlign w:val="center"/>
          </w:tcPr>
          <w:p w14:paraId="74B51608"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Facturación alumbrado público</w:t>
            </w:r>
          </w:p>
        </w:tc>
        <w:tc>
          <w:tcPr>
            <w:tcW w:w="1968" w:type="dxa"/>
            <w:vAlign w:val="center"/>
          </w:tcPr>
          <w:p w14:paraId="621B23B2"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DAP</w:t>
            </w:r>
          </w:p>
        </w:tc>
      </w:tr>
      <w:tr w:rsidR="00A65237" w:rsidRPr="00B6182F" w14:paraId="062033AD" w14:textId="77777777" w:rsidTr="00B6182F">
        <w:trPr>
          <w:trHeight w:val="351"/>
          <w:jc w:val="center"/>
        </w:trPr>
        <w:tc>
          <w:tcPr>
            <w:tcW w:w="1968" w:type="dxa"/>
            <w:vAlign w:val="center"/>
          </w:tcPr>
          <w:p w14:paraId="0517BD6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Enero</w:t>
            </w:r>
          </w:p>
        </w:tc>
        <w:tc>
          <w:tcPr>
            <w:tcW w:w="1968" w:type="dxa"/>
            <w:vAlign w:val="center"/>
          </w:tcPr>
          <w:p w14:paraId="7ACAFCD9"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5853138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5511F640" w14:textId="77777777" w:rsidTr="00B6182F">
        <w:trPr>
          <w:trHeight w:val="362"/>
          <w:jc w:val="center"/>
        </w:trPr>
        <w:tc>
          <w:tcPr>
            <w:tcW w:w="1968" w:type="dxa"/>
            <w:vAlign w:val="center"/>
          </w:tcPr>
          <w:p w14:paraId="1C6B3856"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Febrero</w:t>
            </w:r>
          </w:p>
        </w:tc>
        <w:tc>
          <w:tcPr>
            <w:tcW w:w="1968" w:type="dxa"/>
            <w:vAlign w:val="center"/>
          </w:tcPr>
          <w:p w14:paraId="585CEF7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005B993A"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812C4C3" w14:textId="77777777" w:rsidTr="00B6182F">
        <w:trPr>
          <w:trHeight w:val="351"/>
          <w:jc w:val="center"/>
        </w:trPr>
        <w:tc>
          <w:tcPr>
            <w:tcW w:w="1968" w:type="dxa"/>
            <w:vAlign w:val="center"/>
          </w:tcPr>
          <w:p w14:paraId="2D20C739"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Marzo</w:t>
            </w:r>
          </w:p>
        </w:tc>
        <w:tc>
          <w:tcPr>
            <w:tcW w:w="1968" w:type="dxa"/>
            <w:vAlign w:val="center"/>
          </w:tcPr>
          <w:p w14:paraId="5D87B2FE"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39EA999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AB85ECE" w14:textId="77777777" w:rsidTr="00B6182F">
        <w:trPr>
          <w:trHeight w:val="351"/>
          <w:jc w:val="center"/>
        </w:trPr>
        <w:tc>
          <w:tcPr>
            <w:tcW w:w="1968" w:type="dxa"/>
            <w:vAlign w:val="center"/>
          </w:tcPr>
          <w:p w14:paraId="031372AA"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Abril</w:t>
            </w:r>
          </w:p>
        </w:tc>
        <w:tc>
          <w:tcPr>
            <w:tcW w:w="1968" w:type="dxa"/>
            <w:vAlign w:val="center"/>
          </w:tcPr>
          <w:p w14:paraId="1C22A71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78720F0D"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4851F422" w14:textId="77777777" w:rsidTr="00B6182F">
        <w:trPr>
          <w:trHeight w:val="351"/>
          <w:jc w:val="center"/>
        </w:trPr>
        <w:tc>
          <w:tcPr>
            <w:tcW w:w="1968" w:type="dxa"/>
            <w:vAlign w:val="center"/>
          </w:tcPr>
          <w:p w14:paraId="1E19F30F"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Mayo</w:t>
            </w:r>
          </w:p>
        </w:tc>
        <w:tc>
          <w:tcPr>
            <w:tcW w:w="1968" w:type="dxa"/>
            <w:vAlign w:val="center"/>
          </w:tcPr>
          <w:p w14:paraId="648E415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06D9DF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19EE8FC2" w14:textId="77777777" w:rsidTr="00B6182F">
        <w:trPr>
          <w:trHeight w:val="351"/>
          <w:jc w:val="center"/>
        </w:trPr>
        <w:tc>
          <w:tcPr>
            <w:tcW w:w="1968" w:type="dxa"/>
            <w:vAlign w:val="center"/>
          </w:tcPr>
          <w:p w14:paraId="0B0F894E"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Junio</w:t>
            </w:r>
          </w:p>
        </w:tc>
        <w:tc>
          <w:tcPr>
            <w:tcW w:w="1968" w:type="dxa"/>
            <w:vAlign w:val="center"/>
          </w:tcPr>
          <w:p w14:paraId="6E133DB7"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7333812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1E75973A" w14:textId="77777777" w:rsidTr="00B6182F">
        <w:trPr>
          <w:trHeight w:val="351"/>
          <w:jc w:val="center"/>
        </w:trPr>
        <w:tc>
          <w:tcPr>
            <w:tcW w:w="1968" w:type="dxa"/>
            <w:vAlign w:val="center"/>
          </w:tcPr>
          <w:p w14:paraId="700DD02D"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Julio</w:t>
            </w:r>
          </w:p>
        </w:tc>
        <w:tc>
          <w:tcPr>
            <w:tcW w:w="1968" w:type="dxa"/>
            <w:vAlign w:val="center"/>
          </w:tcPr>
          <w:p w14:paraId="5CF85238"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3D77228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A1F0B96" w14:textId="77777777" w:rsidTr="00B6182F">
        <w:trPr>
          <w:trHeight w:val="351"/>
          <w:jc w:val="center"/>
        </w:trPr>
        <w:tc>
          <w:tcPr>
            <w:tcW w:w="1968" w:type="dxa"/>
            <w:vAlign w:val="center"/>
          </w:tcPr>
          <w:p w14:paraId="2037464B"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Agosto</w:t>
            </w:r>
          </w:p>
        </w:tc>
        <w:tc>
          <w:tcPr>
            <w:tcW w:w="1968" w:type="dxa"/>
            <w:vAlign w:val="center"/>
          </w:tcPr>
          <w:p w14:paraId="039063E5"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555507F4"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2097630C" w14:textId="77777777" w:rsidTr="00B6182F">
        <w:trPr>
          <w:trHeight w:val="351"/>
          <w:jc w:val="center"/>
        </w:trPr>
        <w:tc>
          <w:tcPr>
            <w:tcW w:w="1968" w:type="dxa"/>
            <w:vAlign w:val="center"/>
          </w:tcPr>
          <w:p w14:paraId="540C3B34"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Septiembre</w:t>
            </w:r>
          </w:p>
        </w:tc>
        <w:tc>
          <w:tcPr>
            <w:tcW w:w="1968" w:type="dxa"/>
            <w:vAlign w:val="center"/>
          </w:tcPr>
          <w:p w14:paraId="74481F31"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0DE18AD2"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71139481" w14:textId="77777777" w:rsidTr="00B6182F">
        <w:trPr>
          <w:trHeight w:val="351"/>
          <w:jc w:val="center"/>
        </w:trPr>
        <w:tc>
          <w:tcPr>
            <w:tcW w:w="1968" w:type="dxa"/>
            <w:vAlign w:val="center"/>
          </w:tcPr>
          <w:p w14:paraId="6ABF8525"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Octubre</w:t>
            </w:r>
          </w:p>
        </w:tc>
        <w:tc>
          <w:tcPr>
            <w:tcW w:w="1968" w:type="dxa"/>
            <w:vAlign w:val="center"/>
          </w:tcPr>
          <w:p w14:paraId="5063C8B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1F17DA04"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3F8FCF34" w14:textId="77777777" w:rsidTr="00B6182F">
        <w:trPr>
          <w:trHeight w:val="351"/>
          <w:jc w:val="center"/>
        </w:trPr>
        <w:tc>
          <w:tcPr>
            <w:tcW w:w="1968" w:type="dxa"/>
            <w:vAlign w:val="center"/>
          </w:tcPr>
          <w:p w14:paraId="17351CE4"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Noviembre</w:t>
            </w:r>
          </w:p>
        </w:tc>
        <w:tc>
          <w:tcPr>
            <w:tcW w:w="1968" w:type="dxa"/>
            <w:vAlign w:val="center"/>
          </w:tcPr>
          <w:p w14:paraId="6BA20C66"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2C2A063"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r w:rsidR="00A65237" w:rsidRPr="00B6182F" w14:paraId="5D121CED" w14:textId="77777777" w:rsidTr="00B6182F">
        <w:trPr>
          <w:trHeight w:val="351"/>
          <w:jc w:val="center"/>
        </w:trPr>
        <w:tc>
          <w:tcPr>
            <w:tcW w:w="1968" w:type="dxa"/>
            <w:vAlign w:val="center"/>
          </w:tcPr>
          <w:p w14:paraId="0B0CE48C" w14:textId="77777777" w:rsidR="00A65237" w:rsidRPr="00B6182F" w:rsidRDefault="00A65237" w:rsidP="00BC16BD">
            <w:pPr>
              <w:spacing w:line="360" w:lineRule="auto"/>
              <w:jc w:val="center"/>
              <w:rPr>
                <w:rFonts w:ascii="Palatino Linotype" w:eastAsia="Calibri" w:hAnsi="Palatino Linotype"/>
                <w:i/>
                <w:sz w:val="16"/>
                <w:szCs w:val="24"/>
                <w:lang w:val="es-MX"/>
              </w:rPr>
            </w:pPr>
            <w:r w:rsidRPr="00B6182F">
              <w:rPr>
                <w:rFonts w:ascii="Palatino Linotype" w:eastAsia="Calibri" w:hAnsi="Palatino Linotype"/>
                <w:i/>
                <w:sz w:val="16"/>
                <w:szCs w:val="24"/>
                <w:lang w:val="es-MX"/>
              </w:rPr>
              <w:t>Diciembre</w:t>
            </w:r>
          </w:p>
        </w:tc>
        <w:tc>
          <w:tcPr>
            <w:tcW w:w="1968" w:type="dxa"/>
            <w:vAlign w:val="center"/>
          </w:tcPr>
          <w:p w14:paraId="08A87C7F" w14:textId="77777777" w:rsidR="00A65237" w:rsidRPr="00B6182F" w:rsidRDefault="00A65237" w:rsidP="00BC16BD">
            <w:pPr>
              <w:spacing w:line="360" w:lineRule="auto"/>
              <w:jc w:val="center"/>
              <w:rPr>
                <w:rFonts w:ascii="Palatino Linotype" w:eastAsia="Calibri" w:hAnsi="Palatino Linotype"/>
                <w:i/>
                <w:sz w:val="16"/>
                <w:szCs w:val="24"/>
                <w:lang w:val="es-MX"/>
              </w:rPr>
            </w:pPr>
          </w:p>
        </w:tc>
        <w:tc>
          <w:tcPr>
            <w:tcW w:w="1968" w:type="dxa"/>
            <w:vAlign w:val="center"/>
          </w:tcPr>
          <w:p w14:paraId="42BCB900" w14:textId="77777777" w:rsidR="00A65237" w:rsidRPr="00B6182F" w:rsidRDefault="00A65237" w:rsidP="00BC16BD">
            <w:pPr>
              <w:spacing w:line="360" w:lineRule="auto"/>
              <w:jc w:val="center"/>
              <w:rPr>
                <w:rFonts w:ascii="Palatino Linotype" w:eastAsia="Calibri" w:hAnsi="Palatino Linotype"/>
                <w:i/>
                <w:sz w:val="16"/>
                <w:szCs w:val="24"/>
                <w:lang w:val="es-MX"/>
              </w:rPr>
            </w:pPr>
          </w:p>
        </w:tc>
      </w:tr>
    </w:tbl>
    <w:p w14:paraId="14A29DBA" w14:textId="5D9B25DA" w:rsidR="00A65237" w:rsidRPr="00BC16BD" w:rsidRDefault="00A65237" w:rsidP="00BC16BD">
      <w:pPr>
        <w:spacing w:after="160" w:line="360" w:lineRule="auto"/>
        <w:rPr>
          <w:rFonts w:ascii="Palatino Linotype" w:eastAsia="Calibri" w:hAnsi="Palatino Linotype"/>
          <w:lang w:val="es-MX" w:eastAsia="en-US"/>
        </w:rPr>
      </w:pPr>
      <w:r w:rsidRPr="00BC16BD">
        <w:rPr>
          <w:rFonts w:ascii="Palatino Linotype" w:eastAsia="Calibri" w:hAnsi="Palatino Linotype"/>
          <w:lang w:val="es-MX" w:eastAsia="en-US"/>
        </w:rPr>
        <w:t>“ (Sic)</w:t>
      </w:r>
    </w:p>
    <w:p w14:paraId="73E918B8" w14:textId="60F55BAE" w:rsidR="0042021B" w:rsidRPr="00BC16BD" w:rsidRDefault="00923BD9" w:rsidP="00BC16BD">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BC16BD">
        <w:rPr>
          <w:rFonts w:ascii="Palatino Linotype" w:hAnsi="Palatino Linotype" w:cs="Arial"/>
        </w:rPr>
        <w:t>Se hace constar que se señaló como modalidad de entrega de la información</w:t>
      </w:r>
      <w:r w:rsidRPr="00BC16BD">
        <w:rPr>
          <w:rFonts w:ascii="Palatino Linotype" w:hAnsi="Palatino Linotype" w:cs="Arial"/>
          <w:b/>
        </w:rPr>
        <w:t>:</w:t>
      </w:r>
      <w:r w:rsidRPr="00BC16BD">
        <w:rPr>
          <w:rFonts w:ascii="Palatino Linotype" w:hAnsi="Palatino Linotype" w:cs="Arial"/>
        </w:rPr>
        <w:t xml:space="preserve"> </w:t>
      </w:r>
      <w:r w:rsidRPr="00BC16BD">
        <w:rPr>
          <w:rFonts w:ascii="Palatino Linotype" w:hAnsi="Palatino Linotype" w:cs="Arial"/>
          <w:b/>
        </w:rPr>
        <w:t>A través del SAIMEX.</w:t>
      </w:r>
    </w:p>
    <w:p w14:paraId="301543D6" w14:textId="77777777" w:rsidR="00923BD9" w:rsidRPr="00BC16BD" w:rsidRDefault="00923BD9" w:rsidP="00BC16BD">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3A130D6D" w14:textId="1FDBFCE8" w:rsidR="002B2B24" w:rsidRPr="00BC16BD" w:rsidRDefault="00A65237" w:rsidP="00BC16BD">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BC16BD">
        <w:rPr>
          <w:rFonts w:ascii="Palatino Linotype" w:eastAsiaTheme="minorEastAsia" w:hAnsi="Palatino Linotype" w:cstheme="minorBidi"/>
          <w:color w:val="000000" w:themeColor="text1"/>
          <w:lang w:val="es-ES_tradnl"/>
        </w:rPr>
        <w:t>El trece (13</w:t>
      </w:r>
      <w:r w:rsidR="00BA3CDE" w:rsidRPr="00BC16BD">
        <w:rPr>
          <w:rFonts w:ascii="Palatino Linotype" w:eastAsiaTheme="minorEastAsia" w:hAnsi="Palatino Linotype" w:cstheme="minorBidi"/>
          <w:color w:val="000000" w:themeColor="text1"/>
          <w:lang w:val="es-ES_tradnl"/>
        </w:rPr>
        <w:t>) de</w:t>
      </w:r>
      <w:r w:rsidRPr="00BC16BD">
        <w:rPr>
          <w:rFonts w:ascii="Palatino Linotype" w:eastAsiaTheme="minorEastAsia" w:hAnsi="Palatino Linotype" w:cstheme="minorBidi"/>
          <w:color w:val="000000" w:themeColor="text1"/>
          <w:lang w:val="es-ES_tradnl"/>
        </w:rPr>
        <w:t xml:space="preserve"> diciembre de dos mil veintiuno</w:t>
      </w:r>
      <w:r w:rsidR="00EA0165" w:rsidRPr="00BC16BD">
        <w:rPr>
          <w:rFonts w:ascii="Palatino Linotype" w:eastAsiaTheme="minorEastAsia" w:hAnsi="Palatino Linotype" w:cstheme="minorBidi"/>
          <w:color w:val="000000" w:themeColor="text1"/>
          <w:lang w:val="es-ES_tradnl"/>
        </w:rPr>
        <w:t xml:space="preserve">, el </w:t>
      </w:r>
      <w:r w:rsidR="00EA0165" w:rsidRPr="00BC16BD">
        <w:rPr>
          <w:rFonts w:ascii="Palatino Linotype" w:eastAsiaTheme="minorEastAsia" w:hAnsi="Palatino Linotype" w:cstheme="minorBidi"/>
          <w:b/>
          <w:color w:val="000000" w:themeColor="text1"/>
          <w:lang w:val="es-ES_tradnl"/>
        </w:rPr>
        <w:t>SUJETO OBLIGADO</w:t>
      </w:r>
      <w:r w:rsidR="00EA0165" w:rsidRPr="00BC16BD">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BC16BD" w:rsidRDefault="00D01CEF" w:rsidP="00BC16BD">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18C8AF6C" w14:textId="302EAA11" w:rsidR="00A65237" w:rsidRPr="00BC16BD" w:rsidRDefault="00EA0165" w:rsidP="00BC16B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w:t>
      </w:r>
      <w:r w:rsidR="00A65237" w:rsidRPr="00BC16BD">
        <w:rPr>
          <w:rFonts w:ascii="Palatino Linotype" w:eastAsiaTheme="minorEastAsia" w:hAnsi="Palatino Linotype" w:cstheme="minorBidi"/>
          <w:i/>
          <w:noProof/>
          <w:color w:val="000000" w:themeColor="text1"/>
          <w:lang w:val="es-MX" w:eastAsia="es-MX"/>
        </w:rPr>
        <w:t>Papalotla, México a 13 de Diciembre de 2021</w:t>
      </w:r>
    </w:p>
    <w:p w14:paraId="65FE8E5C" w14:textId="1DF3486E" w:rsidR="00A65237" w:rsidRPr="00BC16BD" w:rsidRDefault="00A65237" w:rsidP="00BC16B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 xml:space="preserve">Nombre del solicitante: </w:t>
      </w:r>
      <w:r w:rsidR="0067464E" w:rsidRPr="0067464E">
        <w:rPr>
          <w:rFonts w:ascii="Palatino Linotype" w:eastAsiaTheme="minorEastAsia" w:hAnsi="Palatino Linotype" w:cstheme="minorBidi"/>
          <w:i/>
          <w:noProof/>
          <w:color w:val="000000" w:themeColor="text1"/>
          <w:lang w:eastAsia="es-MX"/>
        </w:rPr>
        <w:t>XXXXXXX XXXX</w:t>
      </w:r>
      <w:bookmarkStart w:id="4" w:name="_GoBack"/>
      <w:bookmarkEnd w:id="4"/>
      <w:r w:rsidR="0067464E" w:rsidRPr="0067464E">
        <w:rPr>
          <w:rFonts w:ascii="Palatino Linotype" w:eastAsiaTheme="minorEastAsia" w:hAnsi="Palatino Linotype" w:cstheme="minorBidi"/>
          <w:i/>
          <w:noProof/>
          <w:color w:val="000000" w:themeColor="text1"/>
          <w:lang w:eastAsia="es-MX"/>
        </w:rPr>
        <w:t xml:space="preserve"> XXXXXXXX</w:t>
      </w:r>
    </w:p>
    <w:p w14:paraId="71A84E3D" w14:textId="21F7A486" w:rsidR="00A65237" w:rsidRPr="00BC16BD" w:rsidRDefault="00A65237" w:rsidP="00BC16BD">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Folio de la solicitud: 00151/PAPALO/IP/2021</w:t>
      </w:r>
    </w:p>
    <w:p w14:paraId="346F6A9E" w14:textId="77777777" w:rsidR="00A65237" w:rsidRPr="00BC16BD" w:rsidRDefault="00A65237" w:rsidP="00BC16BD">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0CE6CCC" w14:textId="7FAFFD4F" w:rsidR="00A65237" w:rsidRPr="00BC16BD" w:rsidRDefault="00A65237" w:rsidP="00BC16BD">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lastRenderedPageBreak/>
        <w:t>En virtud de lo dispuesto por los arábigos 1, 2, 3 fracción XLIV, 4, 12, 16, 23 fracción IV, 24 fracción XI y último párrafo, 50, 51, 53 fracciones II, IV, V y VI y 160 de la Ley de Transparencia y Acceso a la Información Publica del Estado de México y Municipios; en atención a su solicitud con número de folio 00151/PAPALO/IP/2021, generada a través de la plataforma digital denominada SAIMEX (Sistema de Acceso a la Información Mexiquense), donde requiere a este H. Ayuntamiento de Papalotla "Se solicita de la manera más atenta y respetuosa, con fundamento en el artículo 6° de la Constitución Política de los Estados Unidos Mexicanos, que se proporcione la información solicitada en el archivo adjunto de nombre "CensoAP" (sic); al respecto me permito adjuntar a la presente en formato PDF la información que obra dentro de este Sujeto Obligado.</w:t>
      </w:r>
    </w:p>
    <w:p w14:paraId="1D95C7B2" w14:textId="77777777" w:rsidR="00A65237" w:rsidRPr="00BC16BD" w:rsidRDefault="00A65237" w:rsidP="00BC16BD">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A30CB03" w14:textId="77777777" w:rsidR="00A65237" w:rsidRPr="00BC16BD" w:rsidRDefault="00A65237" w:rsidP="00BC16BD">
      <w:pPr>
        <w:spacing w:line="360" w:lineRule="auto"/>
        <w:ind w:left="567" w:right="567"/>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ATENTAMENTE</w:t>
      </w:r>
    </w:p>
    <w:p w14:paraId="1CD10B41" w14:textId="27F9D34B" w:rsidR="00EA0165" w:rsidRPr="00BC16BD" w:rsidRDefault="00A65237" w:rsidP="00BC16BD">
      <w:pPr>
        <w:spacing w:line="360" w:lineRule="auto"/>
        <w:ind w:left="567" w:right="567"/>
        <w:rPr>
          <w:rFonts w:ascii="Palatino Linotype" w:eastAsiaTheme="minorEastAsia" w:hAnsi="Palatino Linotype" w:cstheme="minorBidi"/>
          <w:i/>
          <w:noProof/>
          <w:color w:val="000000" w:themeColor="text1"/>
          <w:lang w:val="es-MX" w:eastAsia="es-MX"/>
        </w:rPr>
      </w:pPr>
      <w:r w:rsidRPr="00BC16BD">
        <w:rPr>
          <w:rFonts w:ascii="Palatino Linotype" w:eastAsiaTheme="minorEastAsia" w:hAnsi="Palatino Linotype" w:cstheme="minorBidi"/>
          <w:i/>
          <w:noProof/>
          <w:color w:val="000000" w:themeColor="text1"/>
          <w:lang w:val="es-MX" w:eastAsia="es-MX"/>
        </w:rPr>
        <w:t>LIC ANA KAREN VILLAFAN MIRANDA</w:t>
      </w:r>
      <w:r w:rsidR="001A0598" w:rsidRPr="00BC16BD">
        <w:rPr>
          <w:rFonts w:ascii="Palatino Linotype" w:eastAsiaTheme="minorEastAsia" w:hAnsi="Palatino Linotype" w:cstheme="minorBidi"/>
          <w:i/>
          <w:noProof/>
          <w:color w:val="000000" w:themeColor="text1"/>
          <w:lang w:val="es-MX" w:eastAsia="es-MX"/>
        </w:rPr>
        <w:t>.” (Sic)</w:t>
      </w:r>
    </w:p>
    <w:p w14:paraId="3FD7499C" w14:textId="77777777" w:rsidR="00D01CEF" w:rsidRPr="00BC16BD" w:rsidRDefault="00D01CEF" w:rsidP="00BC16BD">
      <w:pPr>
        <w:spacing w:line="360" w:lineRule="auto"/>
        <w:ind w:left="567" w:right="567"/>
        <w:rPr>
          <w:rFonts w:ascii="Palatino Linotype" w:eastAsiaTheme="minorEastAsia" w:hAnsi="Palatino Linotype" w:cstheme="minorBidi"/>
          <w:i/>
          <w:noProof/>
          <w:color w:val="000000" w:themeColor="text1"/>
          <w:lang w:val="es-MX" w:eastAsia="es-MX"/>
        </w:rPr>
      </w:pPr>
    </w:p>
    <w:p w14:paraId="1AA97197" w14:textId="3C70D1C4" w:rsidR="00EA0165" w:rsidRPr="00BC16BD" w:rsidRDefault="00EA0165" w:rsidP="00BC16BD">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 xml:space="preserve">Asimismo, el </w:t>
      </w:r>
      <w:r w:rsidRPr="00BC16BD">
        <w:rPr>
          <w:rFonts w:ascii="Palatino Linotype" w:eastAsiaTheme="minorEastAsia" w:hAnsi="Palatino Linotype" w:cstheme="minorBidi"/>
          <w:b/>
          <w:bCs/>
          <w:color w:val="000000" w:themeColor="text1"/>
          <w:lang w:val="es-ES_tradnl"/>
        </w:rPr>
        <w:t>SUJETO OBLIGADO</w:t>
      </w:r>
      <w:r w:rsidRPr="00BC16BD">
        <w:rPr>
          <w:rFonts w:ascii="Palatino Linotype" w:eastAsiaTheme="minorEastAsia" w:hAnsi="Palatino Linotype" w:cstheme="minorBidi"/>
          <w:color w:val="000000" w:themeColor="text1"/>
          <w:lang w:val="es-ES_tradnl"/>
        </w:rPr>
        <w:t xml:space="preserve"> adjuntó a su respuesta </w:t>
      </w:r>
      <w:r w:rsidR="009B5F4C" w:rsidRPr="00BC16BD">
        <w:rPr>
          <w:rFonts w:ascii="Palatino Linotype" w:eastAsiaTheme="minorEastAsia" w:hAnsi="Palatino Linotype" w:cstheme="minorBidi"/>
          <w:color w:val="000000" w:themeColor="text1"/>
          <w:lang w:val="es-ES_tradnl"/>
        </w:rPr>
        <w:t xml:space="preserve">los </w:t>
      </w:r>
      <w:r w:rsidR="00F11AAF" w:rsidRPr="00BC16BD">
        <w:rPr>
          <w:rFonts w:ascii="Palatino Linotype" w:eastAsiaTheme="minorEastAsia" w:hAnsi="Palatino Linotype" w:cstheme="minorBidi"/>
          <w:color w:val="000000" w:themeColor="text1"/>
          <w:lang w:val="es-ES_tradnl"/>
        </w:rPr>
        <w:t>archivo</w:t>
      </w:r>
      <w:r w:rsidR="009B5F4C" w:rsidRPr="00BC16BD">
        <w:rPr>
          <w:rFonts w:ascii="Palatino Linotype" w:eastAsiaTheme="minorEastAsia" w:hAnsi="Palatino Linotype" w:cstheme="minorBidi"/>
          <w:color w:val="000000" w:themeColor="text1"/>
          <w:lang w:val="es-ES_tradnl"/>
        </w:rPr>
        <w:t>s</w:t>
      </w:r>
      <w:r w:rsidR="00376142" w:rsidRPr="00BC16BD">
        <w:rPr>
          <w:rFonts w:ascii="Palatino Linotype" w:eastAsiaTheme="minorEastAsia" w:hAnsi="Palatino Linotype" w:cstheme="minorBidi"/>
          <w:color w:val="000000" w:themeColor="text1"/>
          <w:lang w:val="es-ES_tradnl"/>
        </w:rPr>
        <w:t xml:space="preserve"> </w:t>
      </w:r>
      <w:r w:rsidRPr="00BC16BD">
        <w:rPr>
          <w:rFonts w:ascii="Palatino Linotype" w:eastAsiaTheme="minorEastAsia" w:hAnsi="Palatino Linotype" w:cstheme="minorBidi"/>
          <w:color w:val="000000" w:themeColor="text1"/>
          <w:lang w:val="es-ES_tradnl"/>
        </w:rPr>
        <w:t>electrónico</w:t>
      </w:r>
      <w:r w:rsidR="00AE125E" w:rsidRPr="00BC16BD">
        <w:rPr>
          <w:rFonts w:ascii="Palatino Linotype" w:eastAsiaTheme="minorEastAsia" w:hAnsi="Palatino Linotype" w:cstheme="minorBidi"/>
          <w:color w:val="000000" w:themeColor="text1"/>
          <w:lang w:val="es-ES_tradnl"/>
        </w:rPr>
        <w:t>s</w:t>
      </w:r>
      <w:r w:rsidRPr="00BC16BD">
        <w:rPr>
          <w:rFonts w:ascii="Palatino Linotype" w:eastAsiaTheme="minorEastAsia" w:hAnsi="Palatino Linotype" w:cstheme="minorBidi"/>
          <w:color w:val="000000" w:themeColor="text1"/>
          <w:lang w:val="es-ES_tradnl"/>
        </w:rPr>
        <w:t xml:space="preserve"> que se describe</w:t>
      </w:r>
      <w:r w:rsidR="00BF0B64" w:rsidRPr="00BC16BD">
        <w:rPr>
          <w:rFonts w:ascii="Palatino Linotype" w:eastAsiaTheme="minorEastAsia" w:hAnsi="Palatino Linotype" w:cstheme="minorBidi"/>
          <w:color w:val="000000" w:themeColor="text1"/>
          <w:lang w:val="es-ES_tradnl"/>
        </w:rPr>
        <w:t>n</w:t>
      </w:r>
      <w:r w:rsidRPr="00BC16BD">
        <w:rPr>
          <w:rFonts w:ascii="Palatino Linotype" w:eastAsiaTheme="minorEastAsia" w:hAnsi="Palatino Linotype" w:cstheme="minorBidi"/>
          <w:color w:val="000000" w:themeColor="text1"/>
          <w:lang w:val="es-ES_tradnl"/>
        </w:rPr>
        <w:t xml:space="preserve"> a continuación:</w:t>
      </w:r>
    </w:p>
    <w:p w14:paraId="2C4ABD59" w14:textId="77777777" w:rsidR="00A3314E" w:rsidRPr="00BC16BD" w:rsidRDefault="00A3314E" w:rsidP="00BC16BD">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383612F" w14:textId="3F0D9074" w:rsidR="00DC3C93" w:rsidRPr="00BC16BD" w:rsidRDefault="00A65237" w:rsidP="00BC16BD">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r w:rsidRPr="00BC16BD">
        <w:rPr>
          <w:rFonts w:ascii="Palatino Linotype" w:hAnsi="Palatino Linotype"/>
          <w:b/>
        </w:rPr>
        <w:t>CONTESTACION SOLICITUD 151-PAPALO-IP-2021.pdf</w:t>
      </w:r>
      <w:hyperlink r:id="rId9" w:tgtFrame="_blank" w:history="1"/>
      <w:r w:rsidR="00556E99" w:rsidRPr="00BC16BD">
        <w:rPr>
          <w:rFonts w:ascii="Palatino Linotype" w:eastAsiaTheme="minorEastAsia" w:hAnsi="Palatino Linotype" w:cstheme="minorBidi"/>
          <w:color w:val="000000" w:themeColor="text1"/>
          <w:lang w:val="es-ES_tradnl"/>
        </w:rPr>
        <w:t>: D</w:t>
      </w:r>
      <w:r w:rsidRPr="00BC16BD">
        <w:rPr>
          <w:rFonts w:ascii="Palatino Linotype" w:eastAsiaTheme="minorEastAsia" w:hAnsi="Palatino Linotype" w:cstheme="minorBidi"/>
          <w:color w:val="000000" w:themeColor="text1"/>
          <w:lang w:val="es-ES_tradnl"/>
        </w:rPr>
        <w:t xml:space="preserve">ocumento electrónico que en una (01) hoja contiene el oficio dirigido al Solicitante y suscrito por la Titular de la Unidad de Transparencia, mediante el cual se refiere que se pone a disposición la información remitida por el servidor público habilitado. </w:t>
      </w:r>
    </w:p>
    <w:p w14:paraId="066B7A00" w14:textId="77777777" w:rsidR="00DC3C93" w:rsidRPr="00BC16BD" w:rsidRDefault="00DC3C93" w:rsidP="00BC16BD">
      <w:pPr>
        <w:pStyle w:val="Prrafodelista"/>
        <w:tabs>
          <w:tab w:val="left" w:pos="284"/>
          <w:tab w:val="left" w:pos="426"/>
          <w:tab w:val="left" w:pos="993"/>
          <w:tab w:val="left" w:pos="1134"/>
        </w:tabs>
        <w:spacing w:line="360" w:lineRule="auto"/>
        <w:ind w:left="567" w:right="616"/>
        <w:contextualSpacing/>
        <w:jc w:val="both"/>
        <w:rPr>
          <w:rFonts w:ascii="Palatino Linotype" w:eastAsiaTheme="minorEastAsia" w:hAnsi="Palatino Linotype" w:cstheme="minorBidi"/>
          <w:color w:val="000000" w:themeColor="text1"/>
          <w:lang w:val="es-ES_tradnl"/>
        </w:rPr>
      </w:pPr>
    </w:p>
    <w:p w14:paraId="764D7C32" w14:textId="08B3B2DC" w:rsidR="00923BD9" w:rsidRPr="00BC16BD" w:rsidRDefault="00A65237" w:rsidP="00BC16BD">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lang w:val="es-ES_tradnl"/>
        </w:rPr>
      </w:pPr>
      <w:r w:rsidRPr="00BC16BD">
        <w:rPr>
          <w:rFonts w:ascii="Palatino Linotype" w:eastAsiaTheme="minorEastAsia" w:hAnsi="Palatino Linotype" w:cstheme="minorBidi"/>
          <w:lang w:val="es-ES_tradnl"/>
        </w:rPr>
        <w:lastRenderedPageBreak/>
        <w:t xml:space="preserve"> </w:t>
      </w:r>
      <w:hyperlink r:id="rId10" w:tgtFrame="_blank" w:history="1">
        <w:r w:rsidR="00DC3C93" w:rsidRPr="00BC16BD">
          <w:rPr>
            <w:rStyle w:val="Hipervnculo"/>
            <w:rFonts w:ascii="Palatino Linotype" w:eastAsiaTheme="minorEastAsia" w:hAnsi="Palatino Linotype" w:cstheme="minorBidi"/>
            <w:b/>
            <w:bCs/>
            <w:color w:val="auto"/>
            <w:u w:val="none"/>
          </w:rPr>
          <w:t>Luminarias.pdf</w:t>
        </w:r>
      </w:hyperlink>
      <w:r w:rsidR="00DC3C93" w:rsidRPr="00BC16BD">
        <w:rPr>
          <w:rFonts w:ascii="Palatino Linotype" w:eastAsiaTheme="minorEastAsia" w:hAnsi="Palatino Linotype" w:cstheme="minorBidi"/>
          <w:lang w:val="es-ES_tradnl"/>
        </w:rPr>
        <w:t>: Documento electrónico que en nueve (09) hojas contiene:</w:t>
      </w:r>
    </w:p>
    <w:p w14:paraId="0F623F54" w14:textId="77777777" w:rsidR="00DC3C93" w:rsidRPr="00BC16BD" w:rsidRDefault="00DC3C93" w:rsidP="00BC16BD">
      <w:pPr>
        <w:pStyle w:val="Prrafodelista"/>
        <w:spacing w:line="360" w:lineRule="auto"/>
        <w:rPr>
          <w:rFonts w:ascii="Palatino Linotype" w:eastAsiaTheme="minorEastAsia" w:hAnsi="Palatino Linotype" w:cstheme="minorBidi"/>
          <w:lang w:val="es-ES_tradnl"/>
        </w:rPr>
      </w:pPr>
    </w:p>
    <w:p w14:paraId="70E169A0" w14:textId="34205010" w:rsidR="00DC3C93" w:rsidRPr="00BC16BD" w:rsidRDefault="00DC3C93" w:rsidP="00BC16BD">
      <w:pPr>
        <w:pStyle w:val="Prrafodelista"/>
        <w:numPr>
          <w:ilvl w:val="0"/>
          <w:numId w:val="4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lang w:val="es-ES_tradnl"/>
        </w:rPr>
      </w:pPr>
      <w:r w:rsidRPr="00BC16BD">
        <w:rPr>
          <w:rFonts w:ascii="Palatino Linotype" w:eastAsiaTheme="minorEastAsia" w:hAnsi="Palatino Linotype" w:cstheme="minorBidi"/>
          <w:lang w:val="es-ES_tradnl"/>
        </w:rPr>
        <w:t xml:space="preserve">Especificaciones sobre diversos equipos de iluminación de distenitas marcas. </w:t>
      </w:r>
    </w:p>
    <w:p w14:paraId="12750A82" w14:textId="31B6106D" w:rsidR="00C07899" w:rsidRPr="00BC16BD" w:rsidRDefault="00DC3C93" w:rsidP="00BC16BD">
      <w:pPr>
        <w:pStyle w:val="Prrafodelista"/>
        <w:numPr>
          <w:ilvl w:val="0"/>
          <w:numId w:val="40"/>
        </w:num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lang w:val="es-ES_tradnl"/>
        </w:rPr>
      </w:pPr>
      <w:r w:rsidRPr="00BC16BD">
        <w:rPr>
          <w:rFonts w:ascii="Palatino Linotype" w:eastAsiaTheme="minorEastAsia" w:hAnsi="Palatino Linotype" w:cstheme="minorBidi"/>
          <w:lang w:val="es-ES_tradnl"/>
        </w:rPr>
        <w:t xml:space="preserve">Minuta de trabajo de fecha veinticuatro (24) de mayo de dos mil diecinueve con el fin de revisar los resultados finales del censo de amparas de alumbrado público, por el H. Ayuntamiento de Papalotla, para tomar acuerdos correspondientes para su regulación contractual.  </w:t>
      </w:r>
    </w:p>
    <w:p w14:paraId="7132F863" w14:textId="77777777" w:rsidR="00A3314E" w:rsidRPr="00BC16BD" w:rsidRDefault="00A3314E" w:rsidP="00BC16BD">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3313F30C" w:rsidR="00EA0165" w:rsidRPr="00BC16BD" w:rsidRDefault="00EA0165" w:rsidP="00BC16BD">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hAnsi="Palatino Linotype" w:cs="Arial"/>
          <w:color w:val="000000" w:themeColor="text1"/>
        </w:rPr>
        <w:t xml:space="preserve">Derivado de la respuesta emitida por el </w:t>
      </w:r>
      <w:r w:rsidRPr="00BC16BD">
        <w:rPr>
          <w:rFonts w:ascii="Palatino Linotype" w:hAnsi="Palatino Linotype" w:cs="Arial"/>
          <w:b/>
          <w:color w:val="000000" w:themeColor="text1"/>
        </w:rPr>
        <w:t>SUJETO OBLIGADO</w:t>
      </w:r>
      <w:r w:rsidRPr="00BC16BD">
        <w:rPr>
          <w:rFonts w:ascii="Palatino Linotype" w:hAnsi="Palatino Linotype" w:cs="Arial"/>
          <w:color w:val="000000" w:themeColor="text1"/>
        </w:rPr>
        <w:t>, e</w:t>
      </w:r>
      <w:r w:rsidR="00044769" w:rsidRPr="00BC16BD">
        <w:rPr>
          <w:rFonts w:ascii="Palatino Linotype" w:hAnsi="Palatino Linotype" w:cs="Arial"/>
          <w:color w:val="000000" w:themeColor="text1"/>
        </w:rPr>
        <w:t>l quince (15) diciembre</w:t>
      </w:r>
      <w:r w:rsidR="00AB7DB9" w:rsidRPr="00BC16BD">
        <w:rPr>
          <w:rFonts w:ascii="Palatino Linotype" w:hAnsi="Palatino Linotype" w:cs="Arial"/>
          <w:color w:val="000000" w:themeColor="text1"/>
        </w:rPr>
        <w:t xml:space="preserve"> </w:t>
      </w:r>
      <w:r w:rsidRPr="00BC16BD">
        <w:rPr>
          <w:rFonts w:ascii="Palatino Linotype" w:hAnsi="Palatino Linotype" w:cs="Arial"/>
          <w:color w:val="000000" w:themeColor="text1"/>
        </w:rPr>
        <w:t>de dos mil veintiuno, el particular interpuso el recurso de revisión</w:t>
      </w:r>
      <w:r w:rsidR="00044769" w:rsidRPr="00BC16BD">
        <w:rPr>
          <w:rFonts w:ascii="Palatino Linotype" w:hAnsi="Palatino Linotype"/>
          <w:color w:val="000000"/>
        </w:rPr>
        <w:t xml:space="preserve"> </w:t>
      </w:r>
      <w:r w:rsidR="00044769" w:rsidRPr="00BC16BD">
        <w:rPr>
          <w:rFonts w:ascii="Palatino Linotype" w:hAnsi="Palatino Linotype" w:cs="Arial"/>
          <w:b/>
          <w:color w:val="000000" w:themeColor="text1"/>
        </w:rPr>
        <w:t>06373/INFOEM/IP/RR/2021</w:t>
      </w:r>
      <w:r w:rsidRPr="00BC16BD">
        <w:rPr>
          <w:rFonts w:ascii="Palatino Linotype" w:eastAsia="Calibri" w:hAnsi="Palatino Linotype" w:cs="Arial"/>
          <w:b/>
          <w:color w:val="000000" w:themeColor="text1"/>
        </w:rPr>
        <w:t>;</w:t>
      </w:r>
      <w:r w:rsidRPr="00BC16BD">
        <w:rPr>
          <w:rFonts w:ascii="Palatino Linotype" w:hAnsi="Palatino Linotype" w:cs="Arial"/>
          <w:color w:val="000000" w:themeColor="text1"/>
        </w:rPr>
        <w:t xml:space="preserve"> impugnación en la que refirió lo siguiente:</w:t>
      </w:r>
    </w:p>
    <w:p w14:paraId="176F4252" w14:textId="77777777" w:rsidR="00EA0165" w:rsidRPr="00BC16BD" w:rsidRDefault="00EA0165" w:rsidP="00BC16BD">
      <w:pPr>
        <w:tabs>
          <w:tab w:val="left" w:pos="426"/>
        </w:tabs>
        <w:spacing w:line="360" w:lineRule="auto"/>
        <w:ind w:left="284"/>
        <w:contextualSpacing/>
        <w:jc w:val="both"/>
        <w:rPr>
          <w:rFonts w:ascii="Palatino Linotype" w:hAnsi="Palatino Linotype" w:cs="Arial"/>
          <w:color w:val="000000" w:themeColor="text1"/>
        </w:rPr>
      </w:pPr>
    </w:p>
    <w:p w14:paraId="224FFDC9" w14:textId="27437D5C" w:rsidR="00EA0165" w:rsidRPr="00BC16BD" w:rsidRDefault="00EA0165" w:rsidP="00BC16BD">
      <w:pPr>
        <w:numPr>
          <w:ilvl w:val="0"/>
          <w:numId w:val="1"/>
        </w:numPr>
        <w:tabs>
          <w:tab w:val="left" w:pos="426"/>
          <w:tab w:val="left" w:pos="567"/>
        </w:tabs>
        <w:spacing w:line="360" w:lineRule="auto"/>
        <w:ind w:left="720" w:right="616" w:hanging="180"/>
        <w:contextualSpacing/>
        <w:jc w:val="both"/>
        <w:rPr>
          <w:rFonts w:ascii="Palatino Linotype" w:hAnsi="Palatino Linotype" w:cs="Arial"/>
          <w:color w:val="000000" w:themeColor="text1"/>
        </w:rPr>
      </w:pPr>
      <w:r w:rsidRPr="00BC16BD">
        <w:rPr>
          <w:rFonts w:ascii="Palatino Linotype" w:hAnsi="Palatino Linotype" w:cs="Arial"/>
          <w:b/>
          <w:color w:val="000000" w:themeColor="text1"/>
        </w:rPr>
        <w:t>Acto impugnado:</w:t>
      </w:r>
      <w:r w:rsidRPr="00BC16BD">
        <w:rPr>
          <w:rFonts w:ascii="Palatino Linotype" w:hAnsi="Palatino Linotype" w:cs="Arial"/>
          <w:color w:val="000000" w:themeColor="text1"/>
        </w:rPr>
        <w:t xml:space="preserve"> </w:t>
      </w:r>
      <w:r w:rsidRPr="00BC16BD">
        <w:rPr>
          <w:rFonts w:ascii="Palatino Linotype" w:hAnsi="Palatino Linotype" w:cs="Arial"/>
          <w:i/>
          <w:color w:val="000000" w:themeColor="text1"/>
        </w:rPr>
        <w:t>“</w:t>
      </w:r>
      <w:r w:rsidR="00044769" w:rsidRPr="00BC16BD">
        <w:rPr>
          <w:rFonts w:ascii="Palatino Linotype" w:hAnsi="Palatino Linotype" w:cs="Arial"/>
          <w:i/>
          <w:color w:val="000000" w:themeColor="text1"/>
        </w:rPr>
        <w:t>La respuesta del Sujeto Obligado</w:t>
      </w:r>
      <w:r w:rsidR="00AB7DB9" w:rsidRPr="00BC16BD">
        <w:rPr>
          <w:rFonts w:ascii="Palatino Linotype" w:hAnsi="Palatino Linotype" w:cs="Arial"/>
          <w:i/>
          <w:color w:val="000000" w:themeColor="text1"/>
        </w:rPr>
        <w:t>.”</w:t>
      </w:r>
      <w:r w:rsidRPr="00BC16BD">
        <w:rPr>
          <w:rFonts w:ascii="Palatino Linotype" w:hAnsi="Palatino Linotype" w:cs="Arial"/>
          <w:color w:val="000000" w:themeColor="text1"/>
        </w:rPr>
        <w:t>(Sic).</w:t>
      </w:r>
    </w:p>
    <w:p w14:paraId="71C7D21F" w14:textId="77777777" w:rsidR="00EA0165" w:rsidRPr="00BC16BD" w:rsidRDefault="00EA0165" w:rsidP="00BC16BD">
      <w:pPr>
        <w:tabs>
          <w:tab w:val="left" w:pos="0"/>
        </w:tabs>
        <w:spacing w:line="360" w:lineRule="auto"/>
        <w:ind w:left="567" w:right="616"/>
        <w:contextualSpacing/>
        <w:jc w:val="both"/>
        <w:rPr>
          <w:rFonts w:ascii="Palatino Linotype" w:hAnsi="Palatino Linotype" w:cs="Arial"/>
          <w:color w:val="000000" w:themeColor="text1"/>
        </w:rPr>
      </w:pPr>
    </w:p>
    <w:p w14:paraId="16E57192" w14:textId="53CAC10E" w:rsidR="00EA0165" w:rsidRPr="00BC16BD" w:rsidRDefault="00EA0165" w:rsidP="00BC16BD">
      <w:pPr>
        <w:numPr>
          <w:ilvl w:val="0"/>
          <w:numId w:val="1"/>
        </w:numPr>
        <w:tabs>
          <w:tab w:val="left" w:pos="0"/>
        </w:tabs>
        <w:spacing w:line="360" w:lineRule="auto"/>
        <w:ind w:left="810" w:right="616" w:hanging="180"/>
        <w:contextualSpacing/>
        <w:jc w:val="both"/>
        <w:rPr>
          <w:rFonts w:ascii="Palatino Linotype" w:hAnsi="Palatino Linotype" w:cs="Arial"/>
          <w:color w:val="000000" w:themeColor="text1"/>
        </w:rPr>
      </w:pPr>
      <w:r w:rsidRPr="00BC16BD">
        <w:rPr>
          <w:rFonts w:ascii="Palatino Linotype" w:hAnsi="Palatino Linotype" w:cs="Arial"/>
          <w:b/>
          <w:color w:val="000000" w:themeColor="text1"/>
        </w:rPr>
        <w:t>Razones o motivos de inconformidad:</w:t>
      </w:r>
      <w:r w:rsidRPr="00BC16BD">
        <w:rPr>
          <w:rFonts w:ascii="Palatino Linotype" w:hAnsi="Palatino Linotype" w:cs="Arial"/>
          <w:color w:val="000000" w:themeColor="text1"/>
        </w:rPr>
        <w:t xml:space="preserve"> </w:t>
      </w:r>
      <w:r w:rsidRPr="00BC16BD">
        <w:rPr>
          <w:rFonts w:ascii="Palatino Linotype" w:hAnsi="Palatino Linotype" w:cs="Arial"/>
          <w:i/>
          <w:color w:val="000000" w:themeColor="text1"/>
        </w:rPr>
        <w:t>“</w:t>
      </w:r>
      <w:r w:rsidR="00044769" w:rsidRPr="00BC16BD">
        <w:rPr>
          <w:rFonts w:ascii="Palatino Linotype" w:hAnsi="Palatino Linotype" w:cs="Arial"/>
          <w:i/>
          <w:color w:val="000000" w:themeColor="text1"/>
        </w:rPr>
        <w:t>Las razones de la inconformidad se detallan en el archivo adjunto de nombre "Recurso_Papalotla"</w:t>
      </w:r>
      <w:r w:rsidR="00AB7DB9" w:rsidRPr="00BC16BD">
        <w:rPr>
          <w:rFonts w:ascii="Palatino Linotype" w:hAnsi="Palatino Linotype" w:cs="Arial"/>
          <w:i/>
          <w:color w:val="000000" w:themeColor="text1"/>
        </w:rPr>
        <w:t>.</w:t>
      </w:r>
      <w:r w:rsidRPr="00BC16BD">
        <w:rPr>
          <w:rFonts w:ascii="Palatino Linotype" w:hAnsi="Palatino Linotype" w:cs="Arial"/>
          <w:i/>
          <w:color w:val="000000" w:themeColor="text1"/>
        </w:rPr>
        <w:t xml:space="preserve">” </w:t>
      </w:r>
      <w:r w:rsidRPr="00BC16BD">
        <w:rPr>
          <w:rFonts w:ascii="Palatino Linotype" w:hAnsi="Palatino Linotype" w:cs="Arial"/>
          <w:color w:val="000000" w:themeColor="text1"/>
        </w:rPr>
        <w:t>(Sic).</w:t>
      </w:r>
    </w:p>
    <w:p w14:paraId="552C6645" w14:textId="77777777" w:rsidR="001B234C" w:rsidRPr="00BC16BD" w:rsidRDefault="001B234C" w:rsidP="00BC16BD">
      <w:pPr>
        <w:tabs>
          <w:tab w:val="left" w:pos="0"/>
        </w:tabs>
        <w:spacing w:line="360" w:lineRule="auto"/>
        <w:ind w:right="616"/>
        <w:contextualSpacing/>
        <w:jc w:val="both"/>
        <w:rPr>
          <w:rFonts w:ascii="Palatino Linotype" w:hAnsi="Palatino Linotype" w:cs="Arial"/>
          <w:color w:val="000000" w:themeColor="text1"/>
        </w:rPr>
      </w:pPr>
    </w:p>
    <w:p w14:paraId="34658E36" w14:textId="5217D25A" w:rsidR="00044769" w:rsidRPr="00BC16BD" w:rsidRDefault="00044769"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eastAsia="Calibri" w:hAnsi="Palatino Linotype" w:cs="Arial"/>
          <w:color w:val="000000" w:themeColor="text1"/>
        </w:rPr>
        <w:t>A dicho recurso se revisión se anexó en siguiente documento:</w:t>
      </w:r>
    </w:p>
    <w:p w14:paraId="76125AE8" w14:textId="24E2096E" w:rsidR="00044769" w:rsidRPr="00BC16BD" w:rsidRDefault="00B9298F" w:rsidP="00BC16BD">
      <w:pPr>
        <w:numPr>
          <w:ilvl w:val="0"/>
          <w:numId w:val="44"/>
        </w:numPr>
        <w:spacing w:before="100" w:beforeAutospacing="1" w:after="100" w:afterAutospacing="1" w:line="360" w:lineRule="auto"/>
        <w:ind w:right="738"/>
        <w:rPr>
          <w:rFonts w:ascii="Palatino Linotype" w:hAnsi="Palatino Linotype" w:cs="Arial"/>
          <w:lang w:val="es-MX"/>
        </w:rPr>
      </w:pPr>
      <w:hyperlink r:id="rId11" w:tgtFrame="_blank" w:history="1">
        <w:r w:rsidR="00044769" w:rsidRPr="00BC16BD">
          <w:rPr>
            <w:rStyle w:val="Hipervnculo"/>
            <w:rFonts w:ascii="Palatino Linotype" w:hAnsi="Palatino Linotype" w:cs="Arial"/>
            <w:b/>
            <w:bCs/>
            <w:color w:val="auto"/>
            <w:u w:val="none"/>
          </w:rPr>
          <w:t>Recurso_Papalotla.pdf</w:t>
        </w:r>
      </w:hyperlink>
      <w:r w:rsidR="00044769" w:rsidRPr="00BC16BD">
        <w:rPr>
          <w:rFonts w:ascii="Palatino Linotype" w:hAnsi="Palatino Linotype" w:cs="Arial"/>
        </w:rPr>
        <w:t xml:space="preserve">: Documento electrónico que en una hoja contiene lo siguiente: </w:t>
      </w:r>
    </w:p>
    <w:p w14:paraId="0775DBAC" w14:textId="77777777"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color w:val="000000" w:themeColor="text1"/>
        </w:rPr>
        <w:lastRenderedPageBreak/>
        <w:t>“</w:t>
      </w:r>
      <w:r w:rsidRPr="00BC16BD">
        <w:rPr>
          <w:rFonts w:ascii="Palatino Linotype" w:eastAsia="Calibri" w:hAnsi="Palatino Linotype" w:cs="Arial"/>
          <w:i/>
          <w:color w:val="000000" w:themeColor="text1"/>
        </w:rPr>
        <w:t xml:space="preserve">De acuerdo con la respuesta proporcionada por el Sujeto Obligado, Municipio de Lerma, correspondiente a la solicitud de acceso a la información que respetuosamente fue realizada y de folio 00151/PAPALO/IP/2021, en la cual adjunta un archivo de nombre “CONTESTACION SOLICITUD 151-PAPALO-IP-2021”. </w:t>
      </w:r>
    </w:p>
    <w:p w14:paraId="032C7675" w14:textId="77777777"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13A8E35E" w14:textId="77777777"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t xml:space="preserve">El Sujeto Obligado no da atención a dos de los tres puntos incluidos en la solicitud de información, lo referente al convenio de recaudación por derecho de alumbrado público (DAP), así como la facturación por el servicio de alumbrado público municipal. </w:t>
      </w:r>
    </w:p>
    <w:p w14:paraId="63C75F65" w14:textId="77777777"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t>Ahora bien, de acuerdo con el Bando de Gobierno Municipal Papalotla 2021, el artículo 39 de dicho documento dice a la letra:</w:t>
      </w:r>
    </w:p>
    <w:p w14:paraId="4B2344F2" w14:textId="77777777"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3866E5A3" w14:textId="77777777" w:rsidR="00D4565B"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t xml:space="preserve">Artículo 39. A cargo de un Tesorero Municipal, quien procurará la correcta administración de la Hacienda Pública Municipal, por medio de la recaudación, y en su caso, previa autorización del H. Ayuntamiento, efectuará erogaciones, mismas que deben ejecutarse de manera responsable, eficaz y transparente… </w:t>
      </w:r>
    </w:p>
    <w:p w14:paraId="5B307AA6" w14:textId="77777777" w:rsidR="00D4565B" w:rsidRPr="00BC16BD" w:rsidRDefault="00D4565B"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404206D6" w14:textId="77777777" w:rsidR="00D4565B"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t xml:space="preserve">Así como se indica, esta dependencia es la encargada de efectuar las erogaciones hechas por el municipio, así como de la suscripción de convenios, entre los cuales está incluido el servicio de alumbrado público, como es plasmado en el artículo 92 del mismo Bando de Gobierno Municipal 2021, y que a la letra dice </w:t>
      </w:r>
    </w:p>
    <w:p w14:paraId="18FD0671" w14:textId="77777777" w:rsidR="00D4565B" w:rsidRPr="00BC16BD" w:rsidRDefault="00D4565B"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0AFBA2F6" w14:textId="77777777" w:rsidR="00D4565B"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lastRenderedPageBreak/>
        <w:t xml:space="preserve">Artículo 92. El Ayuntamiento tendrá a su cargo la administración y conservación del alumbrado público. Los habitantes del municipio interesados en la instalación, reparación y operación del servicio de alumbrado público deberán hacer la solicitud formal ante las autoridades municipales correspondientes, la vigilancia del buen uso y conservación de este servicio estará a cargo las autoridades auxiliares y de los vecinos de la comunidad… </w:t>
      </w:r>
    </w:p>
    <w:p w14:paraId="56FDC819" w14:textId="77777777" w:rsidR="00D4565B"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r w:rsidRPr="00BC16BD">
        <w:rPr>
          <w:rFonts w:ascii="Palatino Linotype" w:eastAsia="Calibri" w:hAnsi="Palatino Linotype" w:cs="Arial"/>
          <w:i/>
          <w:color w:val="000000" w:themeColor="text1"/>
        </w:rPr>
        <w:t xml:space="preserve">Siendo así, la respuesta del Sujeto Obligado indicaría que no se tiene registro contable de las erogaciones realizadas por el municipio o bien, se está negando el derecho de acceso a la información que tenemos como ciudadanos. </w:t>
      </w:r>
    </w:p>
    <w:p w14:paraId="013ED970" w14:textId="77777777" w:rsidR="00D4565B" w:rsidRPr="00BC16BD" w:rsidRDefault="00D4565B" w:rsidP="00BC16BD">
      <w:pPr>
        <w:pStyle w:val="Prrafodelista"/>
        <w:tabs>
          <w:tab w:val="left" w:pos="426"/>
        </w:tabs>
        <w:spacing w:line="360" w:lineRule="auto"/>
        <w:ind w:left="720" w:right="738"/>
        <w:contextualSpacing/>
        <w:jc w:val="both"/>
        <w:rPr>
          <w:rFonts w:ascii="Palatino Linotype" w:eastAsia="Calibri" w:hAnsi="Palatino Linotype" w:cs="Arial"/>
          <w:i/>
          <w:color w:val="000000" w:themeColor="text1"/>
        </w:rPr>
      </w:pPr>
    </w:p>
    <w:p w14:paraId="3E285EEB" w14:textId="3178C589" w:rsidR="00044769" w:rsidRPr="00BC16BD" w:rsidRDefault="00044769" w:rsidP="00BC16BD">
      <w:pPr>
        <w:pStyle w:val="Prrafodelista"/>
        <w:tabs>
          <w:tab w:val="left" w:pos="426"/>
        </w:tabs>
        <w:spacing w:line="360" w:lineRule="auto"/>
        <w:ind w:left="720" w:right="738"/>
        <w:contextualSpacing/>
        <w:jc w:val="both"/>
        <w:rPr>
          <w:rFonts w:ascii="Palatino Linotype" w:eastAsia="Calibri" w:hAnsi="Palatino Linotype" w:cs="Arial"/>
          <w:color w:val="000000" w:themeColor="text1"/>
        </w:rPr>
      </w:pPr>
      <w:r w:rsidRPr="00BC16BD">
        <w:rPr>
          <w:rFonts w:ascii="Palatino Linotype" w:eastAsia="Calibri" w:hAnsi="Palatino Linotype" w:cs="Arial"/>
          <w:i/>
          <w:color w:val="000000" w:themeColor="text1"/>
        </w:rPr>
        <w:t>Por los motivos antes expuestos, solicito de la manera más respetuosa que se dé respuesta a la solicitud de información que realicé de forma clara y cordial.”</w:t>
      </w:r>
      <w:r w:rsidRPr="00BC16BD">
        <w:rPr>
          <w:rFonts w:ascii="Palatino Linotype" w:eastAsia="Calibri" w:hAnsi="Palatino Linotype" w:cs="Arial"/>
          <w:color w:val="000000" w:themeColor="text1"/>
        </w:rPr>
        <w:t xml:space="preserve"> (Sic)</w:t>
      </w:r>
    </w:p>
    <w:p w14:paraId="7564EBCE" w14:textId="5757AA5B" w:rsidR="00044769" w:rsidRPr="00BC16BD" w:rsidRDefault="00044769" w:rsidP="00BC16BD">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7B42BA50" w14:textId="4278F5AF" w:rsidR="00EA0165" w:rsidRPr="00BC16BD" w:rsidRDefault="00EA0165"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hAnsi="Palatino Linotype" w:cs="Arial"/>
          <w:color w:val="000000" w:themeColor="text1"/>
        </w:rPr>
        <w:t xml:space="preserve">Se registró el recurso de revisión bajo el número de expediente </w:t>
      </w:r>
      <w:r w:rsidRPr="00BC16BD">
        <w:rPr>
          <w:rFonts w:ascii="Palatino Linotype" w:eastAsiaTheme="minorEastAsia" w:hAnsi="Palatino Linotype" w:cs="Arial"/>
          <w:bCs/>
          <w:color w:val="000000" w:themeColor="text1"/>
          <w:lang w:val="es-ES_tradnl"/>
        </w:rPr>
        <w:t xml:space="preserve">al rubro indicado, asimismo, con fundamento en lo dispuesto por el </w:t>
      </w:r>
      <w:r w:rsidRPr="00BC16BD">
        <w:rPr>
          <w:rFonts w:ascii="Palatino Linotype" w:eastAsia="Calibri" w:hAnsi="Palatino Linotype" w:cs="Arial"/>
          <w:color w:val="000000" w:themeColor="text1"/>
        </w:rPr>
        <w:t xml:space="preserve">artículo 185 fracción I de la </w:t>
      </w:r>
      <w:r w:rsidRPr="00BC16BD">
        <w:rPr>
          <w:rFonts w:ascii="Palatino Linotype" w:eastAsia="Calibri" w:hAnsi="Palatino Linotype" w:cs="Arial"/>
          <w:b/>
          <w:color w:val="000000" w:themeColor="text1"/>
        </w:rPr>
        <w:t xml:space="preserve">Ley de Transparencia y Acceso a la Información Pública del Estado de México y Municipios </w:t>
      </w:r>
      <w:r w:rsidR="005E6282" w:rsidRPr="00BC16BD">
        <w:rPr>
          <w:rFonts w:ascii="Palatino Linotype" w:hAnsi="Palatino Linotype" w:cs="Arial"/>
          <w:color w:val="000000" w:themeColor="text1"/>
        </w:rPr>
        <w:t>se turnó a</w:t>
      </w:r>
      <w:r w:rsidR="00351568" w:rsidRPr="00BC16BD">
        <w:rPr>
          <w:rFonts w:ascii="Palatino Linotype" w:hAnsi="Palatino Linotype" w:cs="Arial"/>
          <w:color w:val="000000" w:themeColor="text1"/>
        </w:rPr>
        <w:t xml:space="preserve"> la </w:t>
      </w:r>
      <w:r w:rsidR="00E3149E" w:rsidRPr="00BC16BD">
        <w:rPr>
          <w:rFonts w:ascii="Palatino Linotype" w:hAnsi="Palatino Linotype" w:cs="Arial"/>
          <w:b/>
          <w:color w:val="000000" w:themeColor="text1"/>
        </w:rPr>
        <w:t>C</w:t>
      </w:r>
      <w:r w:rsidR="00351568" w:rsidRPr="00BC16BD">
        <w:rPr>
          <w:rFonts w:ascii="Palatino Linotype" w:hAnsi="Palatino Linotype" w:cs="Arial"/>
          <w:b/>
          <w:color w:val="000000" w:themeColor="text1"/>
        </w:rPr>
        <w:t>omisionada María del Rosario Mejía Ayala</w:t>
      </w:r>
      <w:r w:rsidRPr="00BC16BD">
        <w:rPr>
          <w:rFonts w:ascii="Palatino Linotype" w:hAnsi="Palatino Linotype" w:cs="Arial"/>
          <w:b/>
          <w:color w:val="000000" w:themeColor="text1"/>
        </w:rPr>
        <w:t xml:space="preserve">, </w:t>
      </w:r>
      <w:r w:rsidRPr="00BC16BD">
        <w:rPr>
          <w:rFonts w:ascii="Palatino Linotype" w:hAnsi="Palatino Linotype" w:cs="Arial"/>
          <w:color w:val="000000" w:themeColor="text1"/>
        </w:rPr>
        <w:t xml:space="preserve">con el objeto de </w:t>
      </w:r>
      <w:r w:rsidRPr="00BC16BD">
        <w:rPr>
          <w:rFonts w:ascii="Palatino Linotype" w:hAnsi="Palatino Linotype" w:cs="Arial"/>
          <w:color w:val="000000" w:themeColor="text1"/>
          <w:lang w:val="es-MX"/>
        </w:rPr>
        <w:t>su análisis.</w:t>
      </w:r>
    </w:p>
    <w:p w14:paraId="49F28BD1" w14:textId="77777777" w:rsidR="00EA0165" w:rsidRPr="00BC16BD" w:rsidRDefault="00EA0165" w:rsidP="00BC16BD">
      <w:pPr>
        <w:tabs>
          <w:tab w:val="left" w:pos="426"/>
        </w:tabs>
        <w:spacing w:line="360" w:lineRule="auto"/>
        <w:contextualSpacing/>
        <w:jc w:val="both"/>
        <w:rPr>
          <w:rFonts w:ascii="Palatino Linotype" w:eastAsia="Calibri" w:hAnsi="Palatino Linotype" w:cs="Arial"/>
          <w:color w:val="000000" w:themeColor="text1"/>
        </w:rPr>
      </w:pPr>
    </w:p>
    <w:p w14:paraId="78EABB65" w14:textId="06FD10C2" w:rsidR="00EA0165" w:rsidRPr="00BC16BD" w:rsidRDefault="00351568" w:rsidP="00BC16BD">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BC16BD">
        <w:rPr>
          <w:rFonts w:ascii="Palatino Linotype" w:hAnsi="Palatino Linotype" w:cs="Arial"/>
          <w:color w:val="000000" w:themeColor="text1"/>
        </w:rPr>
        <w:t xml:space="preserve">La </w:t>
      </w:r>
      <w:r w:rsidRPr="00BC16BD">
        <w:rPr>
          <w:rFonts w:ascii="Palatino Linotype" w:hAnsi="Palatino Linotype" w:cs="Arial"/>
          <w:b/>
          <w:color w:val="000000" w:themeColor="text1"/>
        </w:rPr>
        <w:t>Comisionada María del Rosario Mejía Ayala</w:t>
      </w:r>
      <w:r w:rsidR="00EA0165" w:rsidRPr="00BC16BD">
        <w:rPr>
          <w:rFonts w:ascii="Palatino Linotype" w:eastAsia="Calibri" w:hAnsi="Palatino Linotype" w:cs="Arial"/>
          <w:color w:val="000000" w:themeColor="text1"/>
        </w:rPr>
        <w:t>, con fundamento en lo dispuesto por el artículo 185 fracción II de la ley de la materia, a través del acuerdo de admisión de</w:t>
      </w:r>
      <w:r w:rsidR="00D4565B" w:rsidRPr="00BC16BD">
        <w:rPr>
          <w:rFonts w:ascii="Palatino Linotype" w:eastAsia="Calibri" w:hAnsi="Palatino Linotype" w:cs="Arial"/>
          <w:color w:val="000000" w:themeColor="text1"/>
        </w:rPr>
        <w:t xml:space="preserve"> veintidós</w:t>
      </w:r>
      <w:r w:rsidR="008426D8" w:rsidRPr="00BC16BD">
        <w:rPr>
          <w:rFonts w:ascii="Palatino Linotype" w:eastAsia="Calibri" w:hAnsi="Palatino Linotype" w:cs="Arial"/>
          <w:color w:val="000000" w:themeColor="text1"/>
        </w:rPr>
        <w:t xml:space="preserve"> </w:t>
      </w:r>
      <w:r w:rsidR="00EA0165" w:rsidRPr="00BC16BD">
        <w:rPr>
          <w:rFonts w:ascii="Palatino Linotype" w:eastAsia="Calibri" w:hAnsi="Palatino Linotype" w:cs="Arial"/>
          <w:color w:val="000000" w:themeColor="text1"/>
        </w:rPr>
        <w:t>(</w:t>
      </w:r>
      <w:r w:rsidR="00D4565B" w:rsidRPr="00BC16BD">
        <w:rPr>
          <w:rFonts w:ascii="Palatino Linotype" w:eastAsia="Calibri" w:hAnsi="Palatino Linotype" w:cs="Arial"/>
          <w:color w:val="000000" w:themeColor="text1"/>
        </w:rPr>
        <w:t>22</w:t>
      </w:r>
      <w:r w:rsidR="00EA0165" w:rsidRPr="00BC16BD">
        <w:rPr>
          <w:rFonts w:ascii="Palatino Linotype" w:eastAsia="Calibri" w:hAnsi="Palatino Linotype" w:cs="Arial"/>
          <w:color w:val="000000" w:themeColor="text1"/>
        </w:rPr>
        <w:t>) de</w:t>
      </w:r>
      <w:r w:rsidR="00D4565B" w:rsidRPr="00BC16BD">
        <w:rPr>
          <w:rFonts w:ascii="Palatino Linotype" w:eastAsia="Calibri" w:hAnsi="Palatino Linotype" w:cs="Arial"/>
          <w:color w:val="000000" w:themeColor="text1"/>
        </w:rPr>
        <w:t xml:space="preserve"> diciembre</w:t>
      </w:r>
      <w:r w:rsidR="00EA0165" w:rsidRPr="00BC16BD">
        <w:rPr>
          <w:rFonts w:ascii="Palatino Linotype" w:eastAsia="Calibri" w:hAnsi="Palatino Linotype" w:cs="Arial"/>
          <w:color w:val="000000" w:themeColor="text1"/>
        </w:rPr>
        <w:t xml:space="preserve"> de dos mil veintiuno, puso a disposición de las partes el expediente electrónico </w:t>
      </w:r>
      <w:r w:rsidR="00EA0165" w:rsidRPr="00BC16BD">
        <w:rPr>
          <w:rFonts w:ascii="Palatino Linotype" w:eastAsia="Calibri" w:hAnsi="Palatino Linotype" w:cs="Arial"/>
          <w:color w:val="000000" w:themeColor="text1"/>
          <w:lang w:val="es-ES_tradnl"/>
        </w:rPr>
        <w:t xml:space="preserve">vía </w:t>
      </w:r>
      <w:r w:rsidR="00EA0165" w:rsidRPr="00BC16BD">
        <w:rPr>
          <w:rFonts w:ascii="Palatino Linotype" w:eastAsia="Calibri" w:hAnsi="Palatino Linotype" w:cs="Arial"/>
          <w:color w:val="000000" w:themeColor="text1"/>
        </w:rPr>
        <w:t xml:space="preserve">Sistema de Acceso a la Información Mexiquense a efecto de que en un plazo máximo de siete días manifestaran lo que a </w:t>
      </w:r>
      <w:r w:rsidR="00EA0165" w:rsidRPr="00BC16BD">
        <w:rPr>
          <w:rFonts w:ascii="Palatino Linotype" w:eastAsia="Calibri" w:hAnsi="Palatino Linotype" w:cs="Arial"/>
          <w:color w:val="000000" w:themeColor="text1"/>
        </w:rPr>
        <w:lastRenderedPageBreak/>
        <w:t xml:space="preserve">su derecho convinieran, ofrecieran pruebas y alegatos según corresponda a los casos concretos, de esta forma para que el </w:t>
      </w:r>
      <w:r w:rsidR="00EA0165" w:rsidRPr="00BC16BD">
        <w:rPr>
          <w:rFonts w:ascii="Palatino Linotype" w:eastAsia="Calibri" w:hAnsi="Palatino Linotype" w:cs="Arial"/>
          <w:b/>
          <w:color w:val="000000" w:themeColor="text1"/>
        </w:rPr>
        <w:t>SUJETO OBLIGADO</w:t>
      </w:r>
      <w:r w:rsidR="00EA0165" w:rsidRPr="00BC16BD">
        <w:rPr>
          <w:rFonts w:ascii="Palatino Linotype" w:eastAsia="Calibri" w:hAnsi="Palatino Linotype" w:cs="Arial"/>
          <w:color w:val="000000" w:themeColor="text1"/>
        </w:rPr>
        <w:t xml:space="preserve"> presentara el</w:t>
      </w:r>
      <w:r w:rsidR="00266490" w:rsidRPr="00BC16BD">
        <w:rPr>
          <w:rFonts w:ascii="Palatino Linotype" w:eastAsia="Calibri" w:hAnsi="Palatino Linotype" w:cs="Arial"/>
          <w:color w:val="000000" w:themeColor="text1"/>
        </w:rPr>
        <w:t xml:space="preserve"> </w:t>
      </w:r>
      <w:r w:rsidR="00D4565B" w:rsidRPr="00BC16BD">
        <w:rPr>
          <w:rFonts w:ascii="Palatino Linotype" w:eastAsia="Calibri" w:hAnsi="Palatino Linotype" w:cs="Arial"/>
          <w:color w:val="000000" w:themeColor="text1"/>
        </w:rPr>
        <w:t xml:space="preserve">informe justificado procedente, situación que no se suscitó por ninguna de las partes. </w:t>
      </w:r>
    </w:p>
    <w:p w14:paraId="10C90B71" w14:textId="6A9428D7" w:rsidR="002E2669" w:rsidRPr="00BC16BD" w:rsidRDefault="002E2669" w:rsidP="00BC16BD">
      <w:pPr>
        <w:tabs>
          <w:tab w:val="left" w:pos="426"/>
        </w:tabs>
        <w:spacing w:line="360" w:lineRule="auto"/>
        <w:ind w:right="616"/>
        <w:contextualSpacing/>
        <w:jc w:val="both"/>
        <w:rPr>
          <w:rFonts w:ascii="Palatino Linotype" w:eastAsia="Calibri" w:hAnsi="Palatino Linotype" w:cs="Arial"/>
          <w:i/>
          <w:color w:val="000000" w:themeColor="text1"/>
        </w:rPr>
      </w:pPr>
      <w:bookmarkStart w:id="5" w:name="_Toc461555889"/>
      <w:bookmarkStart w:id="6" w:name="_Toc466371858"/>
    </w:p>
    <w:p w14:paraId="0B120FD0" w14:textId="52964FCB" w:rsidR="00F62E09" w:rsidRPr="00BC16BD" w:rsidRDefault="00B13EF8" w:rsidP="00BC16BD">
      <w:pPr>
        <w:pStyle w:val="Prrafodelista"/>
        <w:numPr>
          <w:ilvl w:val="0"/>
          <w:numId w:val="5"/>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BC16BD">
        <w:rPr>
          <w:rFonts w:ascii="Palatino Linotype" w:eastAsiaTheme="minorEastAsia" w:hAnsi="Palatino Linotype" w:cstheme="minorBidi"/>
          <w:color w:val="000000" w:themeColor="text1"/>
          <w:lang w:val="es-ES_tradnl"/>
        </w:rPr>
        <w:t>Así las cosas</w:t>
      </w:r>
      <w:r w:rsidR="00E3149E" w:rsidRPr="00BC16BD">
        <w:rPr>
          <w:rFonts w:ascii="Palatino Linotype" w:eastAsiaTheme="minorEastAsia" w:hAnsi="Palatino Linotype" w:cstheme="minorBidi"/>
          <w:color w:val="000000" w:themeColor="text1"/>
          <w:lang w:val="es-ES_tradnl"/>
        </w:rPr>
        <w:t>,</w:t>
      </w:r>
      <w:r w:rsidRPr="00BC16BD">
        <w:rPr>
          <w:rFonts w:ascii="Palatino Linotype" w:eastAsiaTheme="minorEastAsia" w:hAnsi="Palatino Linotype" w:cstheme="minorBidi"/>
          <w:color w:val="000000" w:themeColor="text1"/>
          <w:lang w:val="es-ES_tradnl"/>
        </w:rPr>
        <w:t xml:space="preserve"> la</w:t>
      </w:r>
      <w:r w:rsidRPr="00BC16BD">
        <w:rPr>
          <w:rFonts w:ascii="Palatino Linotype" w:eastAsiaTheme="minorEastAsia" w:hAnsi="Palatino Linotype" w:cstheme="minorBidi"/>
          <w:b/>
          <w:color w:val="000000" w:themeColor="text1"/>
          <w:lang w:val="es-ES_tradnl"/>
        </w:rPr>
        <w:t xml:space="preserve"> Comisionada María del Rosario Mejía Ayala</w:t>
      </w:r>
      <w:r w:rsidRPr="00BC16BD">
        <w:rPr>
          <w:rFonts w:ascii="Palatino Linotype" w:eastAsiaTheme="minorEastAsia" w:hAnsi="Palatino Linotype" w:cstheme="minorBidi"/>
          <w:color w:val="000000" w:themeColor="text1"/>
          <w:lang w:val="es-ES_tradnl"/>
        </w:rPr>
        <w:t xml:space="preserve"> decretó el cierre de instrucción me</w:t>
      </w:r>
      <w:r w:rsidR="005079B9" w:rsidRPr="00BC16BD">
        <w:rPr>
          <w:rFonts w:ascii="Palatino Linotype" w:eastAsiaTheme="minorEastAsia" w:hAnsi="Palatino Linotype" w:cstheme="minorBidi"/>
          <w:color w:val="000000" w:themeColor="text1"/>
          <w:lang w:val="es-ES_tradnl"/>
        </w:rPr>
        <w:t>di</w:t>
      </w:r>
      <w:r w:rsidR="00D4565B" w:rsidRPr="00BC16BD">
        <w:rPr>
          <w:rFonts w:ascii="Palatino Linotype" w:eastAsiaTheme="minorEastAsia" w:hAnsi="Palatino Linotype" w:cstheme="minorBidi"/>
          <w:color w:val="000000" w:themeColor="text1"/>
          <w:lang w:val="es-ES_tradnl"/>
        </w:rPr>
        <w:t>ante acuerdo de fecha veinticuatro (24</w:t>
      </w:r>
      <w:r w:rsidR="005079B9" w:rsidRPr="00BC16BD">
        <w:rPr>
          <w:rFonts w:ascii="Palatino Linotype" w:eastAsiaTheme="minorEastAsia" w:hAnsi="Palatino Linotype" w:cstheme="minorBidi"/>
          <w:color w:val="000000" w:themeColor="text1"/>
          <w:lang w:val="es-ES_tradnl"/>
        </w:rPr>
        <w:t>) de</w:t>
      </w:r>
      <w:r w:rsidR="00D4565B" w:rsidRPr="00BC16BD">
        <w:rPr>
          <w:rFonts w:ascii="Palatino Linotype" w:eastAsiaTheme="minorEastAsia" w:hAnsi="Palatino Linotype" w:cstheme="minorBidi"/>
          <w:color w:val="000000" w:themeColor="text1"/>
          <w:lang w:val="es-ES_tradnl"/>
        </w:rPr>
        <w:t xml:space="preserve"> enero</w:t>
      </w:r>
      <w:r w:rsidR="001643F3" w:rsidRPr="00BC16BD">
        <w:rPr>
          <w:rFonts w:ascii="Palatino Linotype" w:eastAsiaTheme="minorEastAsia" w:hAnsi="Palatino Linotype" w:cstheme="minorBidi"/>
          <w:color w:val="000000" w:themeColor="text1"/>
          <w:lang w:val="es-ES_tradnl"/>
        </w:rPr>
        <w:t xml:space="preserve"> </w:t>
      </w:r>
      <w:r w:rsidR="00D4565B" w:rsidRPr="00BC16BD">
        <w:rPr>
          <w:rFonts w:ascii="Palatino Linotype" w:eastAsiaTheme="minorEastAsia" w:hAnsi="Palatino Linotype" w:cstheme="minorBidi"/>
          <w:color w:val="000000" w:themeColor="text1"/>
          <w:lang w:val="es-ES_tradnl"/>
        </w:rPr>
        <w:t xml:space="preserve">de dos mil veintidós. </w:t>
      </w:r>
    </w:p>
    <w:p w14:paraId="068D7840" w14:textId="77777777" w:rsidR="001B234C" w:rsidRPr="00BC16BD" w:rsidRDefault="001B234C" w:rsidP="00BC16BD">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1A06EC63" w14:textId="77777777" w:rsidR="0028674A" w:rsidRPr="00BC16BD" w:rsidRDefault="0028674A" w:rsidP="00BC16BD">
      <w:pPr>
        <w:spacing w:line="360" w:lineRule="auto"/>
        <w:rPr>
          <w:rFonts w:ascii="Palatino Linotype" w:hAnsi="Palatino Linotype"/>
          <w:lang w:val="es-MX" w:eastAsia="en-US"/>
        </w:rPr>
      </w:pPr>
      <w:bookmarkStart w:id="7" w:name="_Toc68804758"/>
    </w:p>
    <w:p w14:paraId="494F97AD" w14:textId="77777777" w:rsidR="00EA0165" w:rsidRPr="00BC16BD" w:rsidRDefault="00EA0165" w:rsidP="00BC16BD">
      <w:pPr>
        <w:pStyle w:val="Ttulo1"/>
        <w:spacing w:line="360" w:lineRule="auto"/>
        <w:jc w:val="center"/>
        <w:rPr>
          <w:rFonts w:ascii="Palatino Linotype" w:hAnsi="Palatino Linotype"/>
          <w:b/>
          <w:color w:val="000000" w:themeColor="text1"/>
          <w:sz w:val="24"/>
          <w:szCs w:val="24"/>
          <w:lang w:val="es-MX" w:eastAsia="en-US"/>
        </w:rPr>
      </w:pPr>
      <w:bookmarkStart w:id="8" w:name="_Toc95344550"/>
      <w:r w:rsidRPr="00BC16BD">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BC16BD" w:rsidRDefault="00EA0165" w:rsidP="00BC16BD">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5344551"/>
      <w:r w:rsidRPr="00BC16BD">
        <w:rPr>
          <w:rFonts w:ascii="Palatino Linotype" w:hAnsi="Palatino Linotype"/>
          <w:b/>
          <w:color w:val="000000" w:themeColor="text1"/>
          <w:sz w:val="24"/>
          <w:szCs w:val="24"/>
          <w:lang w:val="es-MX" w:eastAsia="en-US"/>
        </w:rPr>
        <w:t>PRIMERO. De la competencia</w:t>
      </w:r>
      <w:bookmarkEnd w:id="9"/>
      <w:bookmarkEnd w:id="10"/>
      <w:bookmarkEnd w:id="11"/>
      <w:r w:rsidR="00537427" w:rsidRPr="00BC16BD">
        <w:rPr>
          <w:rFonts w:ascii="Palatino Linotype" w:hAnsi="Palatino Linotype"/>
          <w:b/>
          <w:color w:val="000000" w:themeColor="text1"/>
          <w:sz w:val="24"/>
          <w:szCs w:val="24"/>
          <w:lang w:val="es-MX" w:eastAsia="en-US"/>
        </w:rPr>
        <w:t>.</w:t>
      </w:r>
      <w:bookmarkEnd w:id="12"/>
    </w:p>
    <w:p w14:paraId="341F67EC" w14:textId="77777777" w:rsidR="00EA0165" w:rsidRPr="00BC16BD" w:rsidRDefault="00EA0165" w:rsidP="00BC16BD">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BC16BD" w:rsidRDefault="00EA0165" w:rsidP="00BC16BD">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BC16BD">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C16BD">
        <w:rPr>
          <w:rFonts w:ascii="Palatino Linotype" w:eastAsia="Calibri" w:hAnsi="Palatino Linotype"/>
          <w:b/>
        </w:rPr>
        <w:t>Constitución Política de los Estados Unidos Mexicanos</w:t>
      </w:r>
      <w:r w:rsidRPr="00BC16BD">
        <w:rPr>
          <w:rFonts w:ascii="Palatino Linotype" w:eastAsia="Calibri" w:hAnsi="Palatino Linotype"/>
        </w:rPr>
        <w:t xml:space="preserve">; </w:t>
      </w:r>
      <w:r w:rsidRPr="00BC16BD">
        <w:rPr>
          <w:rFonts w:ascii="Palatino Linotype" w:eastAsia="Calibri" w:hAnsi="Palatino Linotype" w:cs="Arial"/>
          <w:bCs/>
          <w:color w:val="222222"/>
          <w:shd w:val="clear" w:color="auto" w:fill="FFFFFF"/>
          <w:lang w:eastAsia="en-US"/>
        </w:rPr>
        <w:t>5, párrafo</w:t>
      </w:r>
      <w:r w:rsidR="00543BF9" w:rsidRPr="00BC16BD">
        <w:rPr>
          <w:rFonts w:ascii="Palatino Linotype" w:eastAsia="Calibri" w:hAnsi="Palatino Linotype"/>
          <w:lang w:val="es-MX" w:eastAsia="en-US"/>
        </w:rPr>
        <w:t xml:space="preserve"> trigésimo, trigésimo primero y trigésimo segundo, fracciones I, II, III, IV y V</w:t>
      </w:r>
      <w:r w:rsidR="00543BF9" w:rsidRPr="00BC16BD">
        <w:rPr>
          <w:rFonts w:ascii="Palatino Linotype" w:eastAsia="MS Mincho" w:hAnsi="Palatino Linotype"/>
          <w:lang w:val="es-ES_tradnl"/>
        </w:rPr>
        <w:t xml:space="preserve"> </w:t>
      </w:r>
      <w:r w:rsidRPr="00BC16BD">
        <w:rPr>
          <w:rFonts w:ascii="Palatino Linotype" w:eastAsia="Calibri" w:hAnsi="Palatino Linotype"/>
        </w:rPr>
        <w:t xml:space="preserve">de la </w:t>
      </w:r>
      <w:r w:rsidRPr="00BC16BD">
        <w:rPr>
          <w:rFonts w:ascii="Palatino Linotype" w:eastAsia="Calibri" w:hAnsi="Palatino Linotype"/>
          <w:b/>
        </w:rPr>
        <w:t>Constitución Política del Estado Libre y Soberano de México</w:t>
      </w:r>
      <w:r w:rsidRPr="00BC16BD">
        <w:rPr>
          <w:rFonts w:ascii="Palatino Linotype" w:eastAsia="Calibri" w:hAnsi="Palatino Linotype"/>
        </w:rPr>
        <w:t xml:space="preserve">; artículos 1, 2 fracción II, 13, 29, 36 fracciones I y II, 176, 178, 179, 181 párrafo tercero y 185 </w:t>
      </w:r>
      <w:r w:rsidRPr="00BC16BD">
        <w:rPr>
          <w:rFonts w:ascii="Palatino Linotype" w:eastAsia="Calibri" w:hAnsi="Palatino Linotype" w:cs="Arial"/>
        </w:rPr>
        <w:t xml:space="preserve">de la </w:t>
      </w:r>
      <w:r w:rsidRPr="00BC16BD">
        <w:rPr>
          <w:rFonts w:ascii="Palatino Linotype" w:eastAsia="Calibri" w:hAnsi="Palatino Linotype" w:cs="Arial"/>
          <w:b/>
        </w:rPr>
        <w:t>Ley de Transparencia y Acceso a la Información Pública del Estado de México y Municipios</w:t>
      </w:r>
      <w:r w:rsidRPr="00BC16BD">
        <w:rPr>
          <w:rFonts w:ascii="Palatino Linotype" w:eastAsia="Calibri" w:hAnsi="Palatino Linotype" w:cs="Arial"/>
        </w:rPr>
        <w:t xml:space="preserve">; </w:t>
      </w:r>
      <w:r w:rsidRPr="00BC16BD">
        <w:rPr>
          <w:rFonts w:ascii="Palatino Linotype" w:eastAsia="Calibri" w:hAnsi="Palatino Linotype" w:cs="Arial"/>
          <w:b/>
        </w:rPr>
        <w:t>7, 9 fracciones I y XXIV, y 11</w:t>
      </w:r>
      <w:r w:rsidRPr="00BC16BD">
        <w:rPr>
          <w:rFonts w:ascii="Palatino Linotype" w:eastAsia="Calibri" w:hAnsi="Palatino Linotype" w:cs="Arial"/>
        </w:rPr>
        <w:t xml:space="preserve"> del </w:t>
      </w:r>
      <w:r w:rsidRPr="00BC16BD">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BC16BD">
        <w:rPr>
          <w:rFonts w:ascii="Palatino Linotype" w:eastAsia="Calibri" w:hAnsi="Palatino Linotype" w:cs="Arial"/>
          <w:b/>
        </w:rPr>
        <w:t>.</w:t>
      </w:r>
    </w:p>
    <w:p w14:paraId="343B0FCF" w14:textId="413622B7"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5344552"/>
      <w:r w:rsidRPr="00BC16BD">
        <w:rPr>
          <w:rFonts w:ascii="Palatino Linotype" w:hAnsi="Palatino Linotype"/>
          <w:b/>
          <w:color w:val="000000" w:themeColor="text1"/>
          <w:sz w:val="24"/>
          <w:szCs w:val="24"/>
          <w:lang w:val="es-MX" w:eastAsia="en-US"/>
        </w:rPr>
        <w:lastRenderedPageBreak/>
        <w:t>SEGUNDO. De la oportunidad y procedencia.</w:t>
      </w:r>
      <w:bookmarkEnd w:id="13"/>
      <w:bookmarkEnd w:id="14"/>
      <w:bookmarkEnd w:id="15"/>
      <w:bookmarkEnd w:id="16"/>
    </w:p>
    <w:p w14:paraId="58DA4526" w14:textId="77777777" w:rsidR="00EA0165" w:rsidRPr="00BC16BD" w:rsidRDefault="00EA0165" w:rsidP="00BC16BD">
      <w:pPr>
        <w:pStyle w:val="Ttulo1"/>
        <w:spacing w:line="360" w:lineRule="auto"/>
        <w:rPr>
          <w:rFonts w:ascii="Palatino Linotype" w:hAnsi="Palatino Linotype"/>
          <w:b/>
          <w:color w:val="000000" w:themeColor="text1"/>
          <w:sz w:val="24"/>
          <w:szCs w:val="24"/>
          <w:lang w:val="es-MX" w:eastAsia="en-US"/>
        </w:rPr>
      </w:pPr>
      <w:bookmarkStart w:id="17" w:name="_Toc67587985"/>
      <w:bookmarkStart w:id="18" w:name="_Toc68804761"/>
      <w:bookmarkStart w:id="19" w:name="_Toc95344553"/>
      <w:r w:rsidRPr="00BC16BD">
        <w:rPr>
          <w:rFonts w:ascii="Palatino Linotype" w:hAnsi="Palatino Linotype"/>
          <w:b/>
          <w:color w:val="000000" w:themeColor="text1"/>
          <w:sz w:val="24"/>
          <w:szCs w:val="24"/>
          <w:lang w:val="es-MX" w:eastAsia="en-US"/>
        </w:rPr>
        <w:t>I. De la interposición del recurso.</w:t>
      </w:r>
      <w:bookmarkEnd w:id="17"/>
      <w:bookmarkEnd w:id="18"/>
      <w:bookmarkEnd w:id="19"/>
      <w:r w:rsidRPr="00BC16BD">
        <w:rPr>
          <w:rFonts w:ascii="Palatino Linotype" w:hAnsi="Palatino Linotype"/>
          <w:b/>
          <w:color w:val="000000" w:themeColor="text1"/>
          <w:sz w:val="24"/>
          <w:szCs w:val="24"/>
          <w:lang w:val="es-MX" w:eastAsia="en-US"/>
        </w:rPr>
        <w:t xml:space="preserve"> </w:t>
      </w:r>
    </w:p>
    <w:p w14:paraId="489BB18C" w14:textId="77777777" w:rsidR="00EA0165" w:rsidRPr="00BC16BD" w:rsidRDefault="00EA0165" w:rsidP="00BC16BD">
      <w:pPr>
        <w:keepNext/>
        <w:keepLines/>
        <w:tabs>
          <w:tab w:val="left" w:pos="0"/>
        </w:tabs>
        <w:spacing w:line="360" w:lineRule="auto"/>
        <w:contextualSpacing/>
        <w:outlineLvl w:val="0"/>
        <w:rPr>
          <w:rFonts w:ascii="Palatino Linotype" w:eastAsia="MS Gothic" w:hAnsi="Palatino Linotype"/>
          <w:b/>
          <w:lang w:val="es-MX" w:eastAsia="en-US"/>
        </w:rPr>
      </w:pPr>
    </w:p>
    <w:p w14:paraId="5EA64B79" w14:textId="4FF06188" w:rsidR="00A2042B" w:rsidRDefault="00EA0165" w:rsidP="00BC16BD">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C16BD">
        <w:rPr>
          <w:rFonts w:ascii="Palatino Linotype" w:eastAsia="Calibri" w:hAnsi="Palatino Linotype" w:cs="Arial"/>
          <w:lang w:val="es-ES_tradnl"/>
        </w:rPr>
        <w:t xml:space="preserve">El medio de impugnación fue presentado a través del </w:t>
      </w:r>
      <w:r w:rsidRPr="00BC16BD">
        <w:rPr>
          <w:rFonts w:ascii="Palatino Linotype" w:eastAsia="Calibri" w:hAnsi="Palatino Linotype" w:cs="Arial"/>
          <w:b/>
          <w:lang w:val="es-ES_tradnl"/>
        </w:rPr>
        <w:t>SAIMEX,</w:t>
      </w:r>
      <w:r w:rsidRPr="00BC16BD">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BC16BD">
        <w:rPr>
          <w:rFonts w:ascii="Palatino Linotype" w:eastAsia="Calibri" w:hAnsi="Palatino Linotype" w:cs="Arial"/>
          <w:lang w:val="es-ES_tradnl"/>
        </w:rPr>
        <w:t xml:space="preserve">particular es de señalar que si el </w:t>
      </w:r>
      <w:r w:rsidRPr="00BC16BD">
        <w:rPr>
          <w:rFonts w:ascii="Palatino Linotype" w:eastAsia="Calibri" w:hAnsi="Palatino Linotype" w:cs="Arial"/>
          <w:b/>
          <w:lang w:val="es-ES_tradnl"/>
        </w:rPr>
        <w:t>SUJETO OBLIGADO</w:t>
      </w:r>
      <w:r w:rsidRPr="00BC16BD">
        <w:rPr>
          <w:rFonts w:ascii="Palatino Linotype" w:eastAsia="Calibri" w:hAnsi="Palatino Linotype" w:cs="Arial"/>
          <w:lang w:val="es-ES_tradnl"/>
        </w:rPr>
        <w:t xml:space="preserve"> entregó respuesta el d</w:t>
      </w:r>
      <w:r w:rsidR="003E0B9D" w:rsidRPr="00BC16BD">
        <w:rPr>
          <w:rFonts w:ascii="Palatino Linotype" w:eastAsia="Calibri" w:hAnsi="Palatino Linotype" w:cs="Arial"/>
          <w:lang w:val="es-ES_tradnl"/>
        </w:rPr>
        <w:t>ía trece (13</w:t>
      </w:r>
      <w:r w:rsidRPr="00BC16BD">
        <w:rPr>
          <w:rFonts w:ascii="Palatino Linotype" w:eastAsia="Calibri" w:hAnsi="Palatino Linotype" w:cs="Arial"/>
          <w:lang w:val="es-ES_tradnl"/>
        </w:rPr>
        <w:t>) de</w:t>
      </w:r>
      <w:r w:rsidR="003E0B9D" w:rsidRPr="00BC16BD">
        <w:rPr>
          <w:rFonts w:ascii="Palatino Linotype" w:eastAsia="Calibri" w:hAnsi="Palatino Linotype" w:cs="Arial"/>
          <w:lang w:val="es-ES_tradnl"/>
        </w:rPr>
        <w:t xml:space="preserve"> diciembre </w:t>
      </w:r>
      <w:r w:rsidRPr="00BC16BD">
        <w:rPr>
          <w:rFonts w:ascii="Palatino Linotype" w:eastAsia="Calibri" w:hAnsi="Palatino Linotype" w:cs="Arial"/>
          <w:lang w:val="es-ES_tradnl"/>
        </w:rPr>
        <w:t>de dos mil veintiuno</w:t>
      </w:r>
      <w:r w:rsidRPr="00BC16BD">
        <w:rPr>
          <w:rFonts w:ascii="Palatino Linotype" w:eastAsia="Calibri" w:hAnsi="Palatino Linotype" w:cs="Arial"/>
          <w:lang w:val="es-MX" w:eastAsia="en-US"/>
        </w:rPr>
        <w:t>, el plazo para interponer el recurso de rev</w:t>
      </w:r>
      <w:r w:rsidR="00E62DC6" w:rsidRPr="00BC16BD">
        <w:rPr>
          <w:rFonts w:ascii="Palatino Linotype" w:eastAsia="Calibri" w:hAnsi="Palatino Linotype" w:cs="Arial"/>
          <w:lang w:val="es-MX" w:eastAsia="en-US"/>
        </w:rPr>
        <w:t xml:space="preserve">isión </w:t>
      </w:r>
      <w:r w:rsidR="00A2042B" w:rsidRPr="00BC16BD">
        <w:rPr>
          <w:rFonts w:ascii="Palatino Linotype" w:eastAsia="Calibri" w:hAnsi="Palatino Linotype" w:cs="Arial"/>
          <w:lang w:val="es-MX" w:eastAsia="en-US"/>
        </w:rPr>
        <w:t>trascurrió del</w:t>
      </w:r>
      <w:r w:rsidR="00806829" w:rsidRPr="00BC16BD">
        <w:rPr>
          <w:rFonts w:ascii="Palatino Linotype" w:eastAsia="Calibri" w:hAnsi="Palatino Linotype" w:cs="Arial"/>
          <w:lang w:val="es-MX" w:eastAsia="en-US"/>
        </w:rPr>
        <w:t xml:space="preserve"> </w:t>
      </w:r>
      <w:r w:rsidR="003E0B9D" w:rsidRPr="00BC16BD">
        <w:rPr>
          <w:rFonts w:ascii="Palatino Linotype" w:eastAsia="Calibri" w:hAnsi="Palatino Linotype" w:cs="Arial"/>
          <w:lang w:val="es-MX" w:eastAsia="en-US"/>
        </w:rPr>
        <w:t>catorce (14</w:t>
      </w:r>
      <w:r w:rsidRPr="00BC16BD">
        <w:rPr>
          <w:rFonts w:ascii="Palatino Linotype" w:eastAsia="Calibri" w:hAnsi="Palatino Linotype" w:cs="Arial"/>
          <w:lang w:val="es-MX" w:eastAsia="en-US"/>
        </w:rPr>
        <w:t>)</w:t>
      </w:r>
      <w:r w:rsidR="00A2042B" w:rsidRPr="00BC16BD">
        <w:rPr>
          <w:rFonts w:ascii="Palatino Linotype" w:eastAsia="Calibri" w:hAnsi="Palatino Linotype" w:cs="Arial"/>
          <w:lang w:val="es-MX" w:eastAsia="en-US"/>
        </w:rPr>
        <w:t xml:space="preserve"> </w:t>
      </w:r>
      <w:r w:rsidR="003E0B9D" w:rsidRPr="00BC16BD">
        <w:rPr>
          <w:rFonts w:ascii="Palatino Linotype" w:eastAsia="Calibri" w:hAnsi="Palatino Linotype" w:cs="Arial"/>
          <w:lang w:val="es-MX" w:eastAsia="en-US"/>
        </w:rPr>
        <w:t xml:space="preserve"> de diciembre de dos mil veintiuno </w:t>
      </w:r>
      <w:r w:rsidRPr="00BC16BD">
        <w:rPr>
          <w:rFonts w:ascii="Palatino Linotype" w:eastAsia="Calibri" w:hAnsi="Palatino Linotype" w:cs="Arial"/>
          <w:lang w:val="es-MX" w:eastAsia="en-US"/>
        </w:rPr>
        <w:t xml:space="preserve">al </w:t>
      </w:r>
      <w:r w:rsidR="003E0B9D" w:rsidRPr="00BC16BD">
        <w:rPr>
          <w:rFonts w:ascii="Palatino Linotype" w:eastAsia="Calibri" w:hAnsi="Palatino Linotype" w:cs="Arial"/>
          <w:lang w:val="es-MX" w:eastAsia="en-US"/>
        </w:rPr>
        <w:t xml:space="preserve">diecinueve (19) de enero </w:t>
      </w:r>
      <w:r w:rsidR="00E62DC6" w:rsidRPr="00BC16BD">
        <w:rPr>
          <w:rFonts w:ascii="Palatino Linotype" w:eastAsia="Calibri" w:hAnsi="Palatino Linotype" w:cs="Arial"/>
          <w:lang w:val="es-MX" w:eastAsia="en-US"/>
        </w:rPr>
        <w:t xml:space="preserve">de dos mil </w:t>
      </w:r>
      <w:r w:rsidR="003E0B9D" w:rsidRPr="00BC16BD">
        <w:rPr>
          <w:rFonts w:ascii="Palatino Linotype" w:eastAsia="Calibri" w:hAnsi="Palatino Linotype" w:cs="Arial"/>
          <w:lang w:val="es-MX" w:eastAsia="en-US"/>
        </w:rPr>
        <w:t xml:space="preserve">veintidós, </w:t>
      </w:r>
      <w:r w:rsidR="00E62DC6" w:rsidRPr="00BC16BD">
        <w:rPr>
          <w:rFonts w:ascii="Palatino Linotype" w:eastAsia="Calibri" w:hAnsi="Palatino Linotype" w:cs="Arial"/>
          <w:lang w:val="es-MX" w:eastAsia="en-US"/>
        </w:rPr>
        <w:t xml:space="preserve"> </w:t>
      </w:r>
      <w:r w:rsidRPr="00BC16BD">
        <w:rPr>
          <w:rFonts w:ascii="Palatino Linotype" w:eastAsia="Calibri" w:hAnsi="Palatino Linotype" w:cs="Arial"/>
          <w:lang w:val="es-MX" w:eastAsia="en-US"/>
        </w:rPr>
        <w:t>por lo que si el particular i</w:t>
      </w:r>
      <w:r w:rsidR="00392E2B" w:rsidRPr="00BC16BD">
        <w:rPr>
          <w:rFonts w:ascii="Palatino Linotype" w:eastAsia="Calibri" w:hAnsi="Palatino Linotype" w:cs="Arial"/>
          <w:lang w:val="es-MX" w:eastAsia="en-US"/>
        </w:rPr>
        <w:t>nterpus</w:t>
      </w:r>
      <w:r w:rsidR="00806829" w:rsidRPr="00BC16BD">
        <w:rPr>
          <w:rFonts w:ascii="Palatino Linotype" w:eastAsia="Calibri" w:hAnsi="Palatino Linotype" w:cs="Arial"/>
          <w:lang w:val="es-MX" w:eastAsia="en-US"/>
        </w:rPr>
        <w:t xml:space="preserve">o </w:t>
      </w:r>
      <w:r w:rsidR="003E0B9D" w:rsidRPr="00BC16BD">
        <w:rPr>
          <w:rFonts w:ascii="Palatino Linotype" w:eastAsia="Calibri" w:hAnsi="Palatino Linotype" w:cs="Arial"/>
          <w:lang w:val="es-MX" w:eastAsia="en-US"/>
        </w:rPr>
        <w:t>recurso de revisión el quince (15</w:t>
      </w:r>
      <w:r w:rsidR="00BD6857" w:rsidRPr="00BC16BD">
        <w:rPr>
          <w:rFonts w:ascii="Palatino Linotype" w:eastAsia="Calibri" w:hAnsi="Palatino Linotype" w:cs="Arial"/>
          <w:lang w:val="es-MX" w:eastAsia="en-US"/>
        </w:rPr>
        <w:t>) de</w:t>
      </w:r>
      <w:r w:rsidR="003E0B9D" w:rsidRPr="00BC16BD">
        <w:rPr>
          <w:rFonts w:ascii="Palatino Linotype" w:eastAsia="Calibri" w:hAnsi="Palatino Linotype" w:cs="Arial"/>
          <w:lang w:val="es-MX" w:eastAsia="en-US"/>
        </w:rPr>
        <w:t xml:space="preserve"> diciembre </w:t>
      </w:r>
      <w:r w:rsidRPr="00BC16BD">
        <w:rPr>
          <w:rFonts w:ascii="Palatino Linotype" w:hAnsi="Palatino Linotype"/>
          <w:lang w:val="es-ES_tradnl"/>
        </w:rPr>
        <w:t xml:space="preserve">se encuentra dentro del periodo establecido por la Ley. </w:t>
      </w:r>
    </w:p>
    <w:p w14:paraId="54C3C28A" w14:textId="77777777" w:rsidR="00694F4C" w:rsidRPr="00A923D1" w:rsidRDefault="00694F4C" w:rsidP="00694F4C">
      <w:pPr>
        <w:keepNext/>
        <w:keepLines/>
        <w:spacing w:before="240" w:line="360" w:lineRule="auto"/>
        <w:jc w:val="both"/>
        <w:outlineLvl w:val="0"/>
        <w:rPr>
          <w:rFonts w:ascii="Palatino Linotype" w:eastAsiaTheme="majorEastAsia" w:hAnsi="Palatino Linotype" w:cstheme="majorBidi"/>
          <w:b/>
        </w:rPr>
      </w:pPr>
      <w:bookmarkStart w:id="20" w:name="_Toc86344477"/>
      <w:bookmarkStart w:id="21" w:name="_Toc92915186"/>
      <w:bookmarkStart w:id="22" w:name="_Toc93359218"/>
      <w:bookmarkStart w:id="23" w:name="_Toc94803028"/>
      <w:bookmarkStart w:id="24" w:name="_Toc95344554"/>
      <w:r w:rsidRPr="00A923D1">
        <w:rPr>
          <w:rFonts w:ascii="Palatino Linotype" w:eastAsiaTheme="majorEastAsia" w:hAnsi="Palatino Linotype" w:cstheme="majorBidi"/>
          <w:b/>
        </w:rPr>
        <w:t>II. Del nombre como requisito innecesario para la tramitación del recurso.</w:t>
      </w:r>
      <w:bookmarkEnd w:id="20"/>
      <w:bookmarkEnd w:id="21"/>
      <w:bookmarkEnd w:id="22"/>
      <w:bookmarkEnd w:id="23"/>
      <w:bookmarkEnd w:id="24"/>
      <w:r w:rsidRPr="00A923D1">
        <w:rPr>
          <w:rFonts w:ascii="Palatino Linotype" w:eastAsiaTheme="majorEastAsia" w:hAnsi="Palatino Linotype" w:cstheme="majorBidi"/>
          <w:b/>
        </w:rPr>
        <w:t xml:space="preserve"> </w:t>
      </w:r>
    </w:p>
    <w:p w14:paraId="750B09B0"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437F91CF" w14:textId="151E830F" w:rsidR="00694F4C" w:rsidRPr="00694F4C" w:rsidRDefault="00694F4C" w:rsidP="00694F4C">
      <w:pPr>
        <w:pStyle w:val="Prrafodelista"/>
        <w:numPr>
          <w:ilvl w:val="0"/>
          <w:numId w:val="5"/>
        </w:numPr>
        <w:tabs>
          <w:tab w:val="left" w:pos="0"/>
          <w:tab w:val="left" w:pos="426"/>
        </w:tabs>
        <w:spacing w:after="160" w:line="360" w:lineRule="auto"/>
        <w:ind w:left="0" w:right="49" w:firstLine="0"/>
        <w:contextualSpacing/>
        <w:jc w:val="both"/>
        <w:rPr>
          <w:rFonts w:ascii="Palatino Linotype" w:hAnsi="Palatino Linotype" w:cs="Arial"/>
          <w:b/>
          <w:lang w:val="es-ES_tradnl"/>
        </w:rPr>
      </w:pPr>
      <w:r w:rsidRPr="00694F4C">
        <w:rPr>
          <w:rFonts w:ascii="Palatino Linotype" w:hAnsi="Palatino Linotype" w:cs="Arial"/>
          <w:bCs/>
          <w:lang w:val="es-ES_tradnl"/>
        </w:rPr>
        <w:t xml:space="preserve">Por </w:t>
      </w:r>
      <w:r w:rsidRPr="00694F4C">
        <w:rPr>
          <w:rFonts w:ascii="Palatino Linotype" w:hAnsi="Palatino Linotype" w:cs="Arial"/>
          <w:bCs/>
        </w:rPr>
        <w:t xml:space="preserve">otro lado, de la revisión al expediente electrónico contenido en el sistema </w:t>
      </w:r>
      <w:r w:rsidRPr="00694F4C">
        <w:rPr>
          <w:rFonts w:ascii="Palatino Linotype" w:hAnsi="Palatino Linotype" w:cs="Arial"/>
          <w:b/>
          <w:bCs/>
        </w:rPr>
        <w:t>SAIMEX,</w:t>
      </w:r>
      <w:r w:rsidRPr="00694F4C">
        <w:rPr>
          <w:rFonts w:ascii="Palatino Linotype" w:hAnsi="Palatino Linotype" w:cs="Arial"/>
          <w:bCs/>
        </w:rPr>
        <w:t xml:space="preserve"> se desprende que la parte solicitante, en ejercicio de su derecho de acceso a la información pública, tanto en la solicitud de información como en el recurso de revisión, </w:t>
      </w:r>
      <w:r w:rsidRPr="00694F4C">
        <w:rPr>
          <w:rFonts w:ascii="Palatino Linotype" w:hAnsi="Palatino Linotype" w:cs="Arial"/>
          <w:b/>
          <w:bCs/>
        </w:rPr>
        <w:t>no señaló su nombre completo, ni se tiene certeza sobre su identidad</w:t>
      </w:r>
      <w:r w:rsidRPr="00694F4C">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10098932"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58E0F238"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lastRenderedPageBreak/>
        <w:t xml:space="preserve">Esto es así, ya que de conformidad con los artículos 6, apartado A, fracciones III y IV de la </w:t>
      </w:r>
      <w:r w:rsidRPr="00A923D1">
        <w:rPr>
          <w:rFonts w:ascii="Palatino Linotype" w:hAnsi="Palatino Linotype" w:cs="Arial"/>
          <w:b/>
          <w:bCs/>
        </w:rPr>
        <w:t>Constitución Política de los Estados Unidos Mexicanos</w:t>
      </w:r>
      <w:r w:rsidRPr="00A923D1">
        <w:rPr>
          <w:rFonts w:ascii="Palatino Linotype" w:hAnsi="Palatino Linotype" w:cs="Arial"/>
          <w:bCs/>
        </w:rPr>
        <w:t xml:space="preserve">; 5, párrafos trigésimo, trigésimo primero y trigésimo segundo, fracciones III, IV y V, de la </w:t>
      </w:r>
      <w:r w:rsidRPr="00A923D1">
        <w:rPr>
          <w:rFonts w:ascii="Palatino Linotype" w:hAnsi="Palatino Linotype" w:cs="Arial"/>
          <w:b/>
          <w:bCs/>
        </w:rPr>
        <w:t>Constitución Política del Estado Libre y Soberano de México</w:t>
      </w:r>
      <w:r w:rsidRPr="00A923D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8B92AE1"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02AEE018"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D7B0D8"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32A803D2"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2A76658"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1B0E3179" w14:textId="77777777" w:rsidR="00694F4C" w:rsidRPr="00A923D1"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lastRenderedPageBreak/>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A8CB59E" w14:textId="77777777" w:rsidR="00694F4C" w:rsidRPr="00A923D1" w:rsidRDefault="00694F4C" w:rsidP="00694F4C">
      <w:pPr>
        <w:tabs>
          <w:tab w:val="left" w:pos="426"/>
        </w:tabs>
        <w:spacing w:line="360" w:lineRule="auto"/>
        <w:ind w:right="49"/>
        <w:contextualSpacing/>
        <w:jc w:val="both"/>
        <w:rPr>
          <w:rFonts w:ascii="Palatino Linotype" w:hAnsi="Palatino Linotype" w:cs="Arial"/>
          <w:b/>
        </w:rPr>
      </w:pPr>
    </w:p>
    <w:p w14:paraId="53DA801D" w14:textId="4090651F" w:rsidR="00694F4C" w:rsidRPr="00694F4C" w:rsidRDefault="00694F4C" w:rsidP="00694F4C">
      <w:pPr>
        <w:numPr>
          <w:ilvl w:val="0"/>
          <w:numId w:val="5"/>
        </w:numPr>
        <w:tabs>
          <w:tab w:val="left" w:pos="426"/>
        </w:tabs>
        <w:spacing w:after="160" w:line="360" w:lineRule="auto"/>
        <w:ind w:left="0" w:right="49" w:firstLine="0"/>
        <w:contextualSpacing/>
        <w:jc w:val="both"/>
        <w:rPr>
          <w:rFonts w:ascii="Palatino Linotype" w:hAnsi="Palatino Linotype" w:cs="Arial"/>
          <w:b/>
        </w:rPr>
      </w:pPr>
      <w:r w:rsidRPr="00A923D1">
        <w:rPr>
          <w:rFonts w:ascii="Palatino Linotype" w:hAnsi="Palatino Linotype" w:cs="Arial"/>
          <w:bCs/>
        </w:rPr>
        <w:t xml:space="preserve">Por lo tanto, el nombre de la </w:t>
      </w:r>
      <w:r w:rsidRPr="00A923D1">
        <w:rPr>
          <w:rFonts w:ascii="Palatino Linotype" w:hAnsi="Palatino Linotype" w:cs="Arial"/>
          <w:b/>
          <w:bCs/>
        </w:rPr>
        <w:t>SOLICITANTE</w:t>
      </w:r>
      <w:r w:rsidRPr="00A923D1">
        <w:rPr>
          <w:rFonts w:ascii="Palatino Linotype" w:hAnsi="Palatino Linotype" w:cs="Arial"/>
          <w:bCs/>
        </w:rPr>
        <w:t xml:space="preserve"> y subsecuente </w:t>
      </w:r>
      <w:r w:rsidRPr="00A923D1">
        <w:rPr>
          <w:rFonts w:ascii="Palatino Linotype" w:hAnsi="Palatino Linotype" w:cs="Arial"/>
          <w:b/>
          <w:bCs/>
        </w:rPr>
        <w:t>RECURRENTE</w:t>
      </w:r>
      <w:r w:rsidRPr="00A923D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3667250E" w14:textId="517F1273" w:rsidR="00D217A4" w:rsidRPr="00BC16BD" w:rsidRDefault="00D53E41" w:rsidP="00BC16BD">
      <w:pPr>
        <w:pStyle w:val="Ttulo1"/>
        <w:spacing w:line="360" w:lineRule="auto"/>
        <w:jc w:val="both"/>
        <w:rPr>
          <w:rFonts w:ascii="Palatino Linotype" w:hAnsi="Palatino Linotype"/>
          <w:b/>
          <w:color w:val="000000" w:themeColor="text1"/>
          <w:sz w:val="24"/>
          <w:szCs w:val="24"/>
          <w:lang w:val="es-MX" w:eastAsia="en-US"/>
        </w:rPr>
      </w:pPr>
      <w:bookmarkStart w:id="25" w:name="_Toc85137160"/>
      <w:bookmarkStart w:id="26" w:name="_Toc95344555"/>
      <w:r w:rsidRPr="00BC16BD">
        <w:rPr>
          <w:rFonts w:ascii="Palatino Linotype" w:hAnsi="Palatino Linotype"/>
          <w:b/>
          <w:color w:val="auto"/>
          <w:sz w:val="24"/>
          <w:szCs w:val="24"/>
        </w:rPr>
        <w:t>II</w:t>
      </w:r>
      <w:bookmarkStart w:id="27" w:name="_Toc82023088"/>
      <w:bookmarkStart w:id="28" w:name="_Toc82784385"/>
      <w:bookmarkStart w:id="29" w:name="_Toc84940707"/>
      <w:bookmarkEnd w:id="25"/>
      <w:r w:rsidR="00694F4C">
        <w:rPr>
          <w:rFonts w:ascii="Palatino Linotype" w:hAnsi="Palatino Linotype"/>
          <w:b/>
          <w:color w:val="auto"/>
          <w:sz w:val="24"/>
          <w:szCs w:val="24"/>
        </w:rPr>
        <w:t>I</w:t>
      </w:r>
      <w:r w:rsidR="00806829" w:rsidRPr="00BC16BD">
        <w:rPr>
          <w:rFonts w:ascii="Palatino Linotype" w:hAnsi="Palatino Linotype"/>
          <w:b/>
          <w:color w:val="auto"/>
          <w:sz w:val="24"/>
          <w:szCs w:val="24"/>
        </w:rPr>
        <w:t xml:space="preserve">. </w:t>
      </w:r>
      <w:bookmarkStart w:id="30" w:name="_Toc67587987"/>
      <w:bookmarkStart w:id="31" w:name="_Toc68804763"/>
      <w:bookmarkEnd w:id="27"/>
      <w:bookmarkEnd w:id="28"/>
      <w:bookmarkEnd w:id="29"/>
      <w:r w:rsidR="00EA0165" w:rsidRPr="00BC16BD">
        <w:rPr>
          <w:rFonts w:ascii="Palatino Linotype" w:hAnsi="Palatino Linotype"/>
          <w:b/>
          <w:color w:val="000000" w:themeColor="text1"/>
          <w:sz w:val="24"/>
          <w:szCs w:val="24"/>
          <w:lang w:val="es-MX" w:eastAsia="en-US"/>
        </w:rPr>
        <w:t>De la determinación sobre la procedibilidad del recurso.</w:t>
      </w:r>
      <w:bookmarkEnd w:id="26"/>
      <w:bookmarkEnd w:id="30"/>
      <w:bookmarkEnd w:id="31"/>
      <w:r w:rsidR="00EA0165" w:rsidRPr="00BC16BD">
        <w:rPr>
          <w:rFonts w:ascii="Palatino Linotype" w:hAnsi="Palatino Linotype"/>
          <w:b/>
          <w:color w:val="000000" w:themeColor="text1"/>
          <w:sz w:val="24"/>
          <w:szCs w:val="24"/>
          <w:lang w:val="es-MX" w:eastAsia="en-US"/>
        </w:rPr>
        <w:t xml:space="preserve"> </w:t>
      </w:r>
    </w:p>
    <w:p w14:paraId="1115619A" w14:textId="77777777" w:rsidR="00D53E41" w:rsidRPr="00BC16BD" w:rsidRDefault="00D53E41" w:rsidP="00BC16BD">
      <w:pPr>
        <w:spacing w:line="360" w:lineRule="auto"/>
        <w:rPr>
          <w:rFonts w:ascii="Palatino Linotype" w:hAnsi="Palatino Linotype"/>
          <w:lang w:val="es-MX" w:eastAsia="en-US"/>
        </w:rPr>
      </w:pPr>
    </w:p>
    <w:p w14:paraId="7DF2873B" w14:textId="5111A977" w:rsidR="00EA0165" w:rsidRPr="00BC16BD" w:rsidRDefault="00EA0165" w:rsidP="00694F4C">
      <w:pPr>
        <w:pStyle w:val="Prrafodelista"/>
        <w:numPr>
          <w:ilvl w:val="0"/>
          <w:numId w:val="5"/>
        </w:numPr>
        <w:spacing w:after="160" w:line="360" w:lineRule="auto"/>
        <w:ind w:left="0" w:right="49" w:firstLine="0"/>
        <w:contextualSpacing/>
        <w:jc w:val="both"/>
        <w:rPr>
          <w:rFonts w:ascii="Palatino Linotype" w:hAnsi="Palatino Linotype"/>
          <w:lang w:val="es-ES_tradnl"/>
        </w:rPr>
      </w:pPr>
      <w:r w:rsidRPr="00BC16BD">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AA4C68" w14:textId="77777777" w:rsidR="00A2042B" w:rsidRPr="00BC16BD" w:rsidRDefault="00A2042B" w:rsidP="00BC16BD">
      <w:pPr>
        <w:pStyle w:val="Prrafodelista"/>
        <w:spacing w:after="160" w:line="360" w:lineRule="auto"/>
        <w:ind w:left="0" w:right="49"/>
        <w:contextualSpacing/>
        <w:jc w:val="both"/>
        <w:rPr>
          <w:rFonts w:ascii="Palatino Linotype" w:hAnsi="Palatino Linotype"/>
          <w:lang w:val="es-ES_tradnl"/>
        </w:rPr>
      </w:pPr>
    </w:p>
    <w:p w14:paraId="0EB2E86A" w14:textId="09724DF4" w:rsidR="003669E8" w:rsidRPr="00BC16BD" w:rsidRDefault="00992BC7" w:rsidP="00BC16BD">
      <w:pPr>
        <w:pStyle w:val="Ttulo1"/>
        <w:spacing w:line="360" w:lineRule="auto"/>
        <w:rPr>
          <w:rFonts w:ascii="Palatino Linotype" w:hAnsi="Palatino Linotype"/>
          <w:sz w:val="24"/>
          <w:szCs w:val="24"/>
          <w:lang w:eastAsia="es-ES_tradnl"/>
        </w:rPr>
      </w:pPr>
      <w:bookmarkStart w:id="32" w:name="_Toc95344556"/>
      <w:r w:rsidRPr="00BC16BD">
        <w:rPr>
          <w:rFonts w:ascii="Palatino Linotype" w:eastAsia="MS Mincho" w:hAnsi="Palatino Linotype"/>
          <w:b/>
          <w:color w:val="000000" w:themeColor="text1"/>
          <w:sz w:val="24"/>
          <w:szCs w:val="24"/>
          <w:lang w:val="es-ES_tradnl"/>
        </w:rPr>
        <w:t>TERCERO</w:t>
      </w:r>
      <w:r w:rsidRPr="00BC16BD">
        <w:rPr>
          <w:rFonts w:ascii="Palatino Linotype" w:hAnsi="Palatino Linotype" w:cs="Times New Roman"/>
          <w:b/>
          <w:color w:val="000000" w:themeColor="text1"/>
          <w:sz w:val="24"/>
          <w:szCs w:val="24"/>
        </w:rPr>
        <w:t>.</w:t>
      </w:r>
      <w:bookmarkStart w:id="33" w:name="_Toc67587990"/>
      <w:bookmarkStart w:id="34" w:name="_Toc68804766"/>
      <w:bookmarkStart w:id="35" w:name="_Toc455991148"/>
      <w:bookmarkStart w:id="36" w:name="_Toc450120669"/>
      <w:bookmarkStart w:id="37" w:name="_Toc461555896"/>
      <w:bookmarkStart w:id="38" w:name="_Toc462154385"/>
      <w:bookmarkStart w:id="39" w:name="_Toc462660376"/>
      <w:bookmarkStart w:id="40" w:name="_Toc462660687"/>
      <w:bookmarkStart w:id="41" w:name="_Toc462660766"/>
      <w:bookmarkStart w:id="42" w:name="_Toc465264624"/>
      <w:bookmarkStart w:id="43" w:name="_Toc465264870"/>
      <w:bookmarkStart w:id="44" w:name="_Toc465266520"/>
      <w:bookmarkStart w:id="45" w:name="_Toc466302258"/>
      <w:bookmarkStart w:id="46" w:name="_Toc466371866"/>
      <w:bookmarkStart w:id="47" w:name="_Toc466371925"/>
      <w:bookmarkStart w:id="48" w:name="_Toc466377654"/>
      <w:bookmarkStart w:id="49" w:name="_Toc478549736"/>
      <w:bookmarkStart w:id="50" w:name="_Toc478572850"/>
      <w:bookmarkStart w:id="51" w:name="_Toc479238537"/>
      <w:r w:rsidR="0065578F" w:rsidRPr="00BC16BD">
        <w:rPr>
          <w:rFonts w:ascii="Palatino Linotype" w:hAnsi="Palatino Linotype" w:cs="Times New Roman"/>
          <w:b/>
          <w:color w:val="000000" w:themeColor="text1"/>
          <w:sz w:val="24"/>
          <w:szCs w:val="24"/>
        </w:rPr>
        <w:t xml:space="preserve"> </w:t>
      </w:r>
      <w:r w:rsidR="00EA0165" w:rsidRPr="00BC16BD">
        <w:rPr>
          <w:rFonts w:ascii="Palatino Linotype" w:hAnsi="Palatino Linotype"/>
          <w:b/>
          <w:color w:val="000000" w:themeColor="text1"/>
          <w:sz w:val="24"/>
          <w:szCs w:val="24"/>
          <w:lang w:val="es-MX" w:eastAsia="en-US"/>
        </w:rPr>
        <w:t xml:space="preserve">Del planteamiento de la </w:t>
      </w:r>
      <w:r w:rsidR="00EA0165" w:rsidRPr="00BC16BD">
        <w:rPr>
          <w:rFonts w:ascii="Palatino Linotype" w:hAnsi="Palatino Linotype"/>
          <w:b/>
          <w:i/>
          <w:color w:val="000000" w:themeColor="text1"/>
          <w:sz w:val="24"/>
          <w:szCs w:val="24"/>
          <w:lang w:val="es-MX" w:eastAsia="en-US"/>
        </w:rPr>
        <w:t>Litis.</w:t>
      </w:r>
      <w:bookmarkEnd w:id="32"/>
      <w:bookmarkEnd w:id="33"/>
      <w:bookmarkEnd w:id="34"/>
    </w:p>
    <w:p w14:paraId="6B097BE2" w14:textId="0929F460" w:rsidR="00D217A4" w:rsidRPr="00BC16BD" w:rsidRDefault="00EA0165" w:rsidP="00694F4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BC16BD">
        <w:rPr>
          <w:rFonts w:ascii="Palatino Linotype" w:eastAsia="Calibri" w:hAnsi="Palatino Linotype" w:cs="Arial"/>
          <w:b/>
        </w:rPr>
        <w:t>Ley de Transparencia y Acceso a la Información Pública del Estado de México y Municipios</w:t>
      </w:r>
      <w:r w:rsidRPr="00BC16BD">
        <w:rPr>
          <w:rFonts w:ascii="Palatino Linotype" w:hAnsi="Palatino Linotype" w:cs="Arial"/>
          <w:lang w:val="es-ES_tradnl"/>
        </w:rPr>
        <w:t xml:space="preserve"> y determinar la confirmación; revocación o modificación; </w:t>
      </w:r>
      <w:r w:rsidRPr="00BC16BD">
        <w:rPr>
          <w:rFonts w:ascii="Palatino Linotype" w:hAnsi="Palatino Linotype" w:cs="Arial"/>
          <w:lang w:val="es-ES_tradnl"/>
        </w:rPr>
        <w:lastRenderedPageBreak/>
        <w:t xml:space="preserve">desechamiento o sobreseimiento; y en su </w:t>
      </w:r>
      <w:r w:rsidRPr="00BC16BD">
        <w:rPr>
          <w:rFonts w:ascii="Palatino Linotype" w:hAnsi="Palatino Linotype" w:cs="Arial"/>
          <w:b/>
          <w:lang w:val="es-ES_tradnl"/>
        </w:rPr>
        <w:t>caso ordenar la entrega de la información,</w:t>
      </w:r>
      <w:r w:rsidRPr="00BC16BD">
        <w:rPr>
          <w:rFonts w:ascii="Palatino Linotype" w:hAnsi="Palatino Linotype" w:cs="Arial"/>
          <w:lang w:val="es-ES_tradnl"/>
        </w:rPr>
        <w:t xml:space="preserve"> respecto a las respuestas o falta de ellas de los Sujetos Obligados.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E5F6627" w14:textId="77777777" w:rsidR="00D217A4" w:rsidRPr="00BC16BD" w:rsidRDefault="00D217A4" w:rsidP="00BC16BD">
      <w:pPr>
        <w:pStyle w:val="Prrafodelista"/>
        <w:spacing w:before="240" w:after="240" w:line="360" w:lineRule="auto"/>
        <w:ind w:left="0"/>
        <w:contextualSpacing/>
        <w:jc w:val="both"/>
        <w:rPr>
          <w:rFonts w:ascii="Palatino Linotype" w:hAnsi="Palatino Linotype"/>
          <w:i/>
          <w:lang w:val="es-ES_tradnl"/>
        </w:rPr>
      </w:pPr>
    </w:p>
    <w:p w14:paraId="22E5B958" w14:textId="00D4ECF1" w:rsidR="00D217A4" w:rsidRPr="00BC16BD" w:rsidRDefault="00EA0165" w:rsidP="00694F4C">
      <w:pPr>
        <w:pStyle w:val="Prrafodelista"/>
        <w:numPr>
          <w:ilvl w:val="0"/>
          <w:numId w:val="5"/>
        </w:numPr>
        <w:spacing w:before="240" w:after="240" w:line="360" w:lineRule="auto"/>
        <w:ind w:left="0" w:firstLine="0"/>
        <w:contextualSpacing/>
        <w:jc w:val="both"/>
        <w:rPr>
          <w:rFonts w:ascii="Palatino Linotype" w:eastAsia="MS Mincho" w:hAnsi="Palatino Linotype"/>
          <w:lang w:val="es-ES_tradnl"/>
        </w:rPr>
      </w:pPr>
      <w:r w:rsidRPr="00BC16BD">
        <w:rPr>
          <w:rFonts w:ascii="Palatino Linotype" w:eastAsia="MS Mincho" w:hAnsi="Palatino Linotype"/>
          <w:lang w:val="es-ES_tradnl"/>
        </w:rPr>
        <w:t xml:space="preserve">De las constancias en el expediente al rubro indicado, se desprende que el particular solicitó </w:t>
      </w:r>
      <w:r w:rsidR="003669E8" w:rsidRPr="00BC16BD">
        <w:rPr>
          <w:rFonts w:ascii="Palatino Linotype" w:eastAsia="MS Mincho" w:hAnsi="Palatino Linotype"/>
          <w:lang w:val="es-ES_tradnl"/>
        </w:rPr>
        <w:t xml:space="preserve">acceso </w:t>
      </w:r>
      <w:r w:rsidR="003D1DF9" w:rsidRPr="00BC16BD">
        <w:rPr>
          <w:rFonts w:ascii="Palatino Linotype" w:eastAsia="MS Mincho" w:hAnsi="Palatino Linotype"/>
          <w:lang w:val="es-ES_tradnl"/>
        </w:rPr>
        <w:t>a</w:t>
      </w:r>
      <w:r w:rsidR="00E00BFD" w:rsidRPr="00BC16BD">
        <w:rPr>
          <w:rFonts w:ascii="Palatino Linotype" w:eastAsia="MS Mincho" w:hAnsi="Palatino Linotype"/>
          <w:lang w:val="es-ES_tradnl"/>
        </w:rPr>
        <w:t xml:space="preserve"> </w:t>
      </w:r>
      <w:r w:rsidR="0085032B" w:rsidRPr="00BC16BD">
        <w:rPr>
          <w:rFonts w:ascii="Palatino Linotype" w:eastAsia="MS Mincho" w:hAnsi="Palatino Linotype"/>
          <w:lang w:val="es-ES_tradnl"/>
        </w:rPr>
        <w:t>información relacionada con</w:t>
      </w:r>
      <w:r w:rsidR="003E0B9D" w:rsidRPr="00BC16BD">
        <w:rPr>
          <w:rFonts w:ascii="Palatino Linotype" w:eastAsia="MS Mincho" w:hAnsi="Palatino Linotype"/>
          <w:lang w:val="es-ES_tradnl"/>
        </w:rPr>
        <w:t xml:space="preserve"> censo de alumbrado público, convenios  de recaudación de impuestos por derecho de alumbrado público y facturación por consumo de energía eléctrica</w:t>
      </w:r>
      <w:r w:rsidR="007E5467" w:rsidRPr="00BC16BD">
        <w:rPr>
          <w:rFonts w:ascii="Palatino Linotype" w:hAnsi="Palatino Linotype"/>
          <w:lang w:val="es-ES_tradnl"/>
        </w:rPr>
        <w:t>, requerimientos</w:t>
      </w:r>
      <w:r w:rsidR="00B0049C" w:rsidRPr="00BC16BD">
        <w:rPr>
          <w:rFonts w:ascii="Palatino Linotype" w:eastAsia="MS Mincho" w:hAnsi="Palatino Linotype"/>
          <w:lang w:val="es-ES_tradnl"/>
        </w:rPr>
        <w:t xml:space="preserve">, </w:t>
      </w:r>
      <w:r w:rsidR="007E5467" w:rsidRPr="00BC16BD">
        <w:rPr>
          <w:rFonts w:ascii="Palatino Linotype" w:eastAsia="MS Mincho" w:hAnsi="Palatino Linotype"/>
          <w:lang w:val="es-ES_tradnl"/>
        </w:rPr>
        <w:t xml:space="preserve">a los </w:t>
      </w:r>
      <w:r w:rsidR="00562ACE" w:rsidRPr="00BC16BD">
        <w:rPr>
          <w:rFonts w:ascii="Palatino Linotype" w:eastAsia="MS Mincho" w:hAnsi="Palatino Linotype"/>
          <w:lang w:val="es-ES_tradnl"/>
        </w:rPr>
        <w:t xml:space="preserve"> que se respondió</w:t>
      </w:r>
      <w:r w:rsidR="00EC6134" w:rsidRPr="00BC16BD">
        <w:rPr>
          <w:rFonts w:ascii="Palatino Linotype" w:eastAsia="MS Mincho" w:hAnsi="Palatino Linotype"/>
          <w:lang w:val="es-ES_tradnl"/>
        </w:rPr>
        <w:t xml:space="preserve"> </w:t>
      </w:r>
      <w:r w:rsidR="003E0B9D" w:rsidRPr="00BC16BD">
        <w:rPr>
          <w:rFonts w:ascii="Palatino Linotype" w:eastAsia="MS Mincho" w:hAnsi="Palatino Linotype"/>
          <w:lang w:val="es-ES_tradnl"/>
        </w:rPr>
        <w:t>realizando entrega de una minuta de trabajo con el fin de revisar los resultados finales del censo de amparas de alumbrado público, por el H. Ayuntamiento de Papalotla,</w:t>
      </w:r>
      <w:r w:rsidR="00EC6134" w:rsidRPr="00BC16BD">
        <w:rPr>
          <w:rFonts w:ascii="Palatino Linotype" w:eastAsia="MS Mincho" w:hAnsi="Palatino Linotype"/>
          <w:lang w:val="es-ES_tradnl"/>
        </w:rPr>
        <w:t xml:space="preserve"> no</w:t>
      </w:r>
      <w:r w:rsidR="009C61F1" w:rsidRPr="00BC16BD">
        <w:rPr>
          <w:rFonts w:ascii="Palatino Linotype" w:eastAsia="MS Mincho" w:hAnsi="Palatino Linotype"/>
          <w:lang w:val="es-ES_tradnl"/>
        </w:rPr>
        <w:t xml:space="preserve"> obstante lo anterior, </w:t>
      </w:r>
      <w:r w:rsidR="00B0049C" w:rsidRPr="00BC16BD">
        <w:rPr>
          <w:rFonts w:ascii="Palatino Linotype" w:eastAsia="MS Mincho" w:hAnsi="Palatino Linotype"/>
          <w:lang w:val="es-ES_tradnl"/>
        </w:rPr>
        <w:t xml:space="preserve">la parte recurrente </w:t>
      </w:r>
      <w:r w:rsidRPr="00BC16BD">
        <w:rPr>
          <w:rFonts w:ascii="Palatino Linotype" w:eastAsia="MS Mincho" w:hAnsi="Palatino Linotype"/>
          <w:lang w:val="es-ES_tradnl"/>
        </w:rPr>
        <w:t>se inconforma e interpone el presente recurso de revisión, argumentado como raz</w:t>
      </w:r>
      <w:r w:rsidR="00B153AD" w:rsidRPr="00BC16BD">
        <w:rPr>
          <w:rFonts w:ascii="Palatino Linotype" w:eastAsia="MS Mincho" w:hAnsi="Palatino Linotype"/>
          <w:lang w:val="es-ES_tradnl"/>
        </w:rPr>
        <w:t xml:space="preserve">ones o motivos de inconformidad la </w:t>
      </w:r>
      <w:r w:rsidR="00A2042B" w:rsidRPr="00BC16BD">
        <w:rPr>
          <w:rFonts w:ascii="Palatino Linotype" w:eastAsia="MS Mincho" w:hAnsi="Palatino Linotype"/>
          <w:lang w:val="es-ES_tradnl"/>
        </w:rPr>
        <w:t xml:space="preserve">entrega de información incompleta. </w:t>
      </w:r>
    </w:p>
    <w:p w14:paraId="44EC49A6" w14:textId="77777777" w:rsidR="00B153AD" w:rsidRPr="00BC16BD" w:rsidRDefault="00B153AD" w:rsidP="00BC16BD">
      <w:pPr>
        <w:pStyle w:val="Prrafodelista"/>
        <w:spacing w:before="240" w:after="240" w:line="360" w:lineRule="auto"/>
        <w:ind w:left="0"/>
        <w:contextualSpacing/>
        <w:jc w:val="both"/>
        <w:rPr>
          <w:rFonts w:ascii="Palatino Linotype" w:hAnsi="Palatino Linotype"/>
          <w:i/>
          <w:lang w:val="es-ES_tradnl"/>
        </w:rPr>
      </w:pPr>
    </w:p>
    <w:p w14:paraId="4F030FC3" w14:textId="70664F39" w:rsidR="00D217A4" w:rsidRPr="00BC16BD" w:rsidRDefault="00EA0165" w:rsidP="00694F4C">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eastAsia="MS Mincho" w:hAnsi="Palatino Linotype"/>
          <w:lang w:val="es-ES_tradnl"/>
        </w:rPr>
        <w:t xml:space="preserve">En ese sentido, el agravio del recurrente consiste en que la respuesta proporcionada por el </w:t>
      </w:r>
      <w:r w:rsidRPr="00BC16BD">
        <w:rPr>
          <w:rFonts w:ascii="Palatino Linotype" w:eastAsia="MS Mincho" w:hAnsi="Palatino Linotype"/>
          <w:b/>
          <w:lang w:val="es-ES_tradnl"/>
        </w:rPr>
        <w:t>SUJETO OBLIGADO</w:t>
      </w:r>
      <w:r w:rsidRPr="00BC16BD">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BC16BD">
        <w:rPr>
          <w:rFonts w:ascii="Palatino Linotype" w:eastAsia="MS Mincho" w:hAnsi="Palatino Linotype"/>
          <w:lang w:val="es-ES_tradnl"/>
        </w:rPr>
        <w:t xml:space="preserve"> se deberá garantiza</w:t>
      </w:r>
      <w:r w:rsidR="00543427" w:rsidRPr="00BC16BD">
        <w:rPr>
          <w:rFonts w:ascii="Palatino Linotype" w:eastAsia="MS Mincho" w:hAnsi="Palatino Linotype"/>
          <w:lang w:val="es-ES_tradnl"/>
        </w:rPr>
        <w:t>r que sea</w:t>
      </w:r>
      <w:r w:rsidR="0082641D" w:rsidRPr="00BC16BD">
        <w:rPr>
          <w:rFonts w:ascii="Palatino Linotype" w:eastAsia="MS Mincho" w:hAnsi="Palatino Linotype"/>
          <w:lang w:val="es-ES_tradnl"/>
        </w:rPr>
        <w:t xml:space="preserve"> </w:t>
      </w:r>
      <w:r w:rsidR="00A2042B" w:rsidRPr="00BC16BD">
        <w:rPr>
          <w:rFonts w:ascii="Palatino Linotype" w:eastAsia="MS Mincho" w:hAnsi="Palatino Linotype"/>
          <w:lang w:val="es-ES_tradnl"/>
        </w:rPr>
        <w:t xml:space="preserve">completa. </w:t>
      </w:r>
    </w:p>
    <w:p w14:paraId="35853B1F" w14:textId="77777777" w:rsidR="00D217A4" w:rsidRPr="00BC16BD" w:rsidRDefault="00D217A4" w:rsidP="00BC16BD">
      <w:pPr>
        <w:pStyle w:val="Prrafodelista"/>
        <w:spacing w:line="360" w:lineRule="auto"/>
        <w:rPr>
          <w:rFonts w:ascii="Palatino Linotype" w:eastAsia="MS Mincho" w:hAnsi="Palatino Linotype"/>
          <w:lang w:val="es-ES_tradnl"/>
        </w:rPr>
      </w:pPr>
    </w:p>
    <w:p w14:paraId="78993703" w14:textId="742A3F56" w:rsidR="002C7E93" w:rsidRPr="00694F4C" w:rsidRDefault="00EA0165" w:rsidP="00BC16BD">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BC16BD">
        <w:rPr>
          <w:rFonts w:ascii="Palatino Linotype" w:eastAsia="MS Mincho" w:hAnsi="Palatino Linotype"/>
          <w:lang w:val="es-ES_tradnl"/>
        </w:rPr>
        <w:t xml:space="preserve">Por lo que de este modo, el presente recurso de revisión se circunscribe a determinar si el </w:t>
      </w:r>
      <w:r w:rsidRPr="00BC16BD">
        <w:rPr>
          <w:rFonts w:ascii="Palatino Linotype" w:eastAsia="MS Mincho" w:hAnsi="Palatino Linotype"/>
          <w:b/>
          <w:lang w:val="es-ES_tradnl"/>
        </w:rPr>
        <w:t>SUJETO OBLIGADO</w:t>
      </w:r>
      <w:r w:rsidR="009C4F62" w:rsidRPr="00BC16BD">
        <w:rPr>
          <w:rFonts w:ascii="Palatino Linotype" w:eastAsia="MS Mincho" w:hAnsi="Palatino Linotype"/>
          <w:lang w:val="es-ES_tradnl"/>
        </w:rPr>
        <w:t xml:space="preserve"> con la respuesta otorgada</w:t>
      </w:r>
      <w:r w:rsidR="00562ACE" w:rsidRPr="00BC16BD">
        <w:rPr>
          <w:rFonts w:ascii="Palatino Linotype" w:eastAsia="MS Mincho" w:hAnsi="Palatino Linotype"/>
          <w:lang w:val="es-ES_tradnl"/>
        </w:rPr>
        <w:t xml:space="preserve">, </w:t>
      </w:r>
      <w:r w:rsidRPr="00BC16BD">
        <w:rPr>
          <w:rFonts w:ascii="Palatino Linotype" w:eastAsia="MS Mincho" w:hAnsi="Palatino Linotype"/>
          <w:lang w:val="es-ES_tradnl"/>
        </w:rPr>
        <w:t>vulnera el derecho de acceso a la información accionado por el particular a</w:t>
      </w:r>
      <w:r w:rsidR="005F7AD4" w:rsidRPr="00BC16BD">
        <w:rPr>
          <w:rFonts w:ascii="Palatino Linotype" w:eastAsia="MS Mincho" w:hAnsi="Palatino Linotype"/>
          <w:lang w:val="es-ES_tradnl"/>
        </w:rPr>
        <w:t>ctualizando la causal</w:t>
      </w:r>
      <w:r w:rsidRPr="00BC16BD">
        <w:rPr>
          <w:rFonts w:ascii="Palatino Linotype" w:eastAsia="MS Mincho" w:hAnsi="Palatino Linotype"/>
          <w:lang w:val="es-ES_tradnl"/>
        </w:rPr>
        <w:t xml:space="preserve"> de </w:t>
      </w:r>
      <w:r w:rsidRPr="00BC16BD">
        <w:rPr>
          <w:rFonts w:ascii="Palatino Linotype" w:eastAsia="MS Mincho" w:hAnsi="Palatino Linotype"/>
          <w:lang w:val="es-ES_tradnl"/>
        </w:rPr>
        <w:lastRenderedPageBreak/>
        <w:t>procedencia prevista</w:t>
      </w:r>
      <w:r w:rsidR="00650D78" w:rsidRPr="00BC16BD">
        <w:rPr>
          <w:rFonts w:ascii="Palatino Linotype" w:eastAsia="MS Mincho" w:hAnsi="Palatino Linotype"/>
          <w:lang w:val="es-ES_tradnl"/>
        </w:rPr>
        <w:t xml:space="preserve"> en el artículo 179 fracciones </w:t>
      </w:r>
      <w:r w:rsidR="00A2042B" w:rsidRPr="00BC16BD">
        <w:rPr>
          <w:rFonts w:ascii="Palatino Linotype" w:eastAsia="MS Mincho" w:hAnsi="Palatino Linotype"/>
          <w:lang w:val="es-ES_tradnl"/>
        </w:rPr>
        <w:t>V</w:t>
      </w:r>
      <w:r w:rsidR="009C4F62" w:rsidRPr="00BC16BD">
        <w:rPr>
          <w:rStyle w:val="Refdenotaalpie"/>
          <w:rFonts w:ascii="Palatino Linotype" w:eastAsia="MS Mincho" w:hAnsi="Palatino Linotype"/>
          <w:lang w:val="es-ES_tradnl"/>
        </w:rPr>
        <w:footnoteReference w:id="1"/>
      </w:r>
      <w:r w:rsidR="00562ACE" w:rsidRPr="00BC16BD">
        <w:rPr>
          <w:rFonts w:ascii="Palatino Linotype" w:eastAsia="MS Mincho" w:hAnsi="Palatino Linotype"/>
          <w:lang w:val="es-ES_tradnl"/>
        </w:rPr>
        <w:t xml:space="preserve"> </w:t>
      </w:r>
      <w:r w:rsidRPr="00BC16BD">
        <w:rPr>
          <w:rFonts w:ascii="Palatino Linotype" w:eastAsia="MS Mincho" w:hAnsi="Palatino Linotype"/>
          <w:lang w:val="es-ES_tradnl"/>
        </w:rPr>
        <w:t>de la Ley de Transparencia y Acceso a la Información del Estado de México y Municipios.</w:t>
      </w:r>
    </w:p>
    <w:p w14:paraId="38D9F738" w14:textId="64204143" w:rsidR="002C7E93" w:rsidRPr="00694F4C" w:rsidRDefault="009A1E3F" w:rsidP="00694F4C">
      <w:pPr>
        <w:pStyle w:val="Ttulo1"/>
        <w:spacing w:line="360" w:lineRule="auto"/>
        <w:rPr>
          <w:rFonts w:ascii="Palatino Linotype" w:hAnsi="Palatino Linotype"/>
          <w:b/>
          <w:color w:val="000000" w:themeColor="text1"/>
          <w:sz w:val="24"/>
          <w:szCs w:val="24"/>
          <w:lang w:val="es-MX" w:eastAsia="en-US"/>
        </w:rPr>
      </w:pPr>
      <w:bookmarkStart w:id="52" w:name="_Toc68804767"/>
      <w:bookmarkStart w:id="53" w:name="_Toc95344557"/>
      <w:bookmarkStart w:id="54" w:name="_Toc459174366"/>
      <w:bookmarkStart w:id="55" w:name="_Toc459659884"/>
      <w:bookmarkStart w:id="56" w:name="_Toc461687280"/>
      <w:bookmarkStart w:id="57" w:name="_Toc462771051"/>
      <w:bookmarkStart w:id="58" w:name="_Toc464139201"/>
      <w:r w:rsidRPr="00BC16BD">
        <w:rPr>
          <w:rFonts w:ascii="Palatino Linotype" w:hAnsi="Palatino Linotype"/>
          <w:b/>
          <w:color w:val="000000" w:themeColor="text1"/>
          <w:sz w:val="24"/>
          <w:szCs w:val="24"/>
          <w:lang w:val="es-MX" w:eastAsia="en-US"/>
        </w:rPr>
        <w:t>CUARTO</w:t>
      </w:r>
      <w:r w:rsidR="00F041CF" w:rsidRPr="00BC16BD">
        <w:rPr>
          <w:rFonts w:ascii="Palatino Linotype" w:hAnsi="Palatino Linotype"/>
          <w:b/>
          <w:color w:val="000000" w:themeColor="text1"/>
          <w:sz w:val="24"/>
          <w:szCs w:val="24"/>
          <w:lang w:val="es-MX" w:eastAsia="en-US"/>
        </w:rPr>
        <w:t>. Estudio y r</w:t>
      </w:r>
      <w:r w:rsidR="00EA0165" w:rsidRPr="00BC16BD">
        <w:rPr>
          <w:rFonts w:ascii="Palatino Linotype" w:hAnsi="Palatino Linotype"/>
          <w:b/>
          <w:color w:val="000000" w:themeColor="text1"/>
          <w:sz w:val="24"/>
          <w:szCs w:val="24"/>
          <w:lang w:val="es-MX" w:eastAsia="en-US"/>
        </w:rPr>
        <w:t>esolución del asunto.</w:t>
      </w:r>
      <w:bookmarkEnd w:id="52"/>
      <w:bookmarkEnd w:id="53"/>
    </w:p>
    <w:p w14:paraId="4C48BE97" w14:textId="1C92B791" w:rsidR="003523DE" w:rsidRPr="00BC16BD" w:rsidRDefault="00D91C33" w:rsidP="00BC16BD">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9" w:name="_Toc95344558"/>
      <w:r w:rsidRPr="00BC16BD">
        <w:rPr>
          <w:rFonts w:ascii="Palatino Linotype" w:hAnsi="Palatino Linotype"/>
          <w:b/>
          <w:color w:val="auto"/>
          <w:sz w:val="24"/>
          <w:szCs w:val="24"/>
          <w:lang w:val="es-MX" w:eastAsia="en-US"/>
        </w:rPr>
        <w:t>De la solicitud de información y la respuesta otorgada.</w:t>
      </w:r>
      <w:bookmarkEnd w:id="59"/>
      <w:r w:rsidRPr="00BC16BD">
        <w:rPr>
          <w:rFonts w:ascii="Palatino Linotype" w:hAnsi="Palatino Linotype"/>
          <w:b/>
          <w:color w:val="auto"/>
          <w:sz w:val="24"/>
          <w:szCs w:val="24"/>
          <w:lang w:val="es-MX" w:eastAsia="en-US"/>
        </w:rPr>
        <w:t xml:space="preserve"> </w:t>
      </w:r>
    </w:p>
    <w:p w14:paraId="4BF3BCA3" w14:textId="77777777" w:rsidR="00D91C33" w:rsidRPr="00BC16BD" w:rsidRDefault="00D91C33" w:rsidP="00BC16BD">
      <w:pPr>
        <w:pStyle w:val="Prrafodelista"/>
        <w:spacing w:line="360" w:lineRule="auto"/>
        <w:ind w:left="1080"/>
        <w:rPr>
          <w:rFonts w:ascii="Palatino Linotype" w:hAnsi="Palatino Linotype"/>
          <w:lang w:val="es-MX" w:eastAsia="en-US"/>
        </w:rPr>
      </w:pPr>
    </w:p>
    <w:p w14:paraId="113D11EC" w14:textId="77777777" w:rsidR="00D91C33" w:rsidRPr="00BC16BD" w:rsidRDefault="00EA0165" w:rsidP="00694F4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C16BD">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BC16BD">
        <w:rPr>
          <w:rFonts w:ascii="Palatino Linotype" w:eastAsia="Calibri" w:hAnsi="Palatino Linotype" w:cs="Arial"/>
          <w:b/>
          <w:lang w:eastAsia="en-US"/>
        </w:rPr>
        <w:t>Ley de Transparencia y Acceso a la Información Pública del Estado de México y Municipios</w:t>
      </w:r>
      <w:r w:rsidR="006C693D" w:rsidRPr="00BC16BD">
        <w:rPr>
          <w:rFonts w:ascii="Palatino Linotype" w:hAnsi="Palatino Linotype" w:cs="Arial"/>
          <w:lang w:eastAsia="es-MX"/>
        </w:rPr>
        <w:t>.</w:t>
      </w:r>
    </w:p>
    <w:p w14:paraId="6DCC758D" w14:textId="77777777" w:rsidR="00D91C33" w:rsidRPr="00BC16BD" w:rsidRDefault="00D91C33" w:rsidP="00BC16BD">
      <w:pPr>
        <w:pStyle w:val="Prrafodelista"/>
        <w:spacing w:before="240" w:after="360" w:line="360" w:lineRule="auto"/>
        <w:ind w:left="0"/>
        <w:contextualSpacing/>
        <w:jc w:val="both"/>
        <w:rPr>
          <w:rFonts w:ascii="Palatino Linotype" w:eastAsia="MS Mincho" w:hAnsi="Palatino Linotype" w:cs="Arial"/>
          <w:i/>
          <w:lang w:val="es-MX"/>
        </w:rPr>
      </w:pPr>
    </w:p>
    <w:p w14:paraId="353CFB8F" w14:textId="188471E4" w:rsidR="00691811" w:rsidRPr="00BC16BD" w:rsidRDefault="00D91C33" w:rsidP="00694F4C">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BC16BD">
        <w:rPr>
          <w:rFonts w:ascii="Palatino Linotype" w:eastAsia="MS Mincho" w:hAnsi="Palatino Linotype" w:cs="Arial"/>
          <w:lang w:val="es-MX"/>
        </w:rPr>
        <w:t xml:space="preserve">Así, de la lectura a la solicitud de información se observa </w:t>
      </w:r>
      <w:r w:rsidR="00302504" w:rsidRPr="00BC16BD">
        <w:rPr>
          <w:rFonts w:ascii="Palatino Linotype" w:eastAsia="MS Mincho" w:hAnsi="Palatino Linotype" w:cs="Arial"/>
          <w:lang w:val="es-MX"/>
        </w:rPr>
        <w:t xml:space="preserve">que el particular requirió al Ayuntamiento de Papalotla </w:t>
      </w:r>
      <w:r w:rsidRPr="00BC16BD">
        <w:rPr>
          <w:rFonts w:ascii="Palatino Linotype" w:eastAsia="MS Mincho" w:hAnsi="Palatino Linotype" w:cs="Arial"/>
          <w:lang w:val="es-MX"/>
        </w:rPr>
        <w:t xml:space="preserve">acceder a información relacionada </w:t>
      </w:r>
      <w:r w:rsidR="00104ECA" w:rsidRPr="00BC16BD">
        <w:rPr>
          <w:rFonts w:ascii="Palatino Linotype" w:eastAsia="MS Mincho" w:hAnsi="Palatino Linotype" w:cs="Arial"/>
          <w:lang w:val="es-MX"/>
        </w:rPr>
        <w:t>con</w:t>
      </w:r>
      <w:r w:rsidR="00302504" w:rsidRPr="00BC16BD">
        <w:rPr>
          <w:rFonts w:ascii="Palatino Linotype" w:eastAsia="MS Mincho" w:hAnsi="Palatino Linotype" w:cs="Arial"/>
          <w:lang w:val="es-MX"/>
        </w:rPr>
        <w:t xml:space="preserve"> diversa información estadística y financiera en relación a la prestación del servicio de alumbrado público</w:t>
      </w:r>
      <w:r w:rsidR="00691811" w:rsidRPr="00BC16BD">
        <w:rPr>
          <w:rFonts w:ascii="Palatino Linotype" w:eastAsia="MS Mincho" w:hAnsi="Palatino Linotype" w:cs="Arial"/>
          <w:lang w:val="es-MX"/>
        </w:rPr>
        <w:t xml:space="preserve">, </w:t>
      </w:r>
      <w:r w:rsidR="00B33A9A" w:rsidRPr="00BC16BD">
        <w:rPr>
          <w:rFonts w:ascii="Palatino Linotype" w:eastAsia="MS Mincho" w:hAnsi="Palatino Linotype" w:cs="Arial"/>
          <w:lang w:val="es-MX"/>
        </w:rPr>
        <w:t xml:space="preserve">por lo que </w:t>
      </w:r>
      <w:r w:rsidR="00691811" w:rsidRPr="00BC16BD">
        <w:rPr>
          <w:rFonts w:ascii="Palatino Linotype" w:eastAsia="Calibri" w:hAnsi="Palatino Linotype"/>
        </w:rPr>
        <w:t xml:space="preserve">este Pleno considera necesario </w:t>
      </w:r>
      <w:r w:rsidR="00691811" w:rsidRPr="00BC16BD">
        <w:rPr>
          <w:rFonts w:ascii="Palatino Linotype" w:eastAsia="Calibri" w:hAnsi="Palatino Linotype" w:cs="Arial"/>
        </w:rPr>
        <w:t xml:space="preserve">mencionar que, por cuestiones de claridad y transparencia en la decisión, </w:t>
      </w:r>
      <w:r w:rsidR="00691811" w:rsidRPr="00BC16BD">
        <w:rPr>
          <w:rFonts w:ascii="Palatino Linotype" w:eastAsia="Calibri" w:hAnsi="Palatino Linotype"/>
          <w:color w:val="000000"/>
        </w:rPr>
        <w:t>se estima pertinente elaborar un cuadro de análisis, mismo que se inserta a continuación:</w:t>
      </w:r>
    </w:p>
    <w:p w14:paraId="7C14EED6" w14:textId="7703BE14" w:rsidR="007A583C" w:rsidRPr="00BC16BD" w:rsidRDefault="007A583C" w:rsidP="00BC16BD">
      <w:pPr>
        <w:spacing w:before="240" w:after="360" w:line="360" w:lineRule="auto"/>
        <w:contextualSpacing/>
        <w:jc w:val="both"/>
        <w:rPr>
          <w:rFonts w:ascii="Palatino Linotype" w:eastAsia="MS Mincho" w:hAnsi="Palatino Linotype" w:cs="Arial"/>
          <w:i/>
          <w:lang w:val="es-MX"/>
        </w:rPr>
      </w:pPr>
    </w:p>
    <w:tbl>
      <w:tblPr>
        <w:tblStyle w:val="Tablaconcuadrcula2111"/>
        <w:tblpPr w:leftFromText="141" w:rightFromText="141" w:vertAnchor="text" w:tblpY="1"/>
        <w:tblOverlap w:val="never"/>
        <w:tblW w:w="9356" w:type="dxa"/>
        <w:tblLayout w:type="fixed"/>
        <w:tblLook w:val="04A0" w:firstRow="1" w:lastRow="0" w:firstColumn="1" w:lastColumn="0" w:noHBand="0" w:noVBand="1"/>
      </w:tblPr>
      <w:tblGrid>
        <w:gridCol w:w="709"/>
        <w:gridCol w:w="1843"/>
        <w:gridCol w:w="2552"/>
        <w:gridCol w:w="2693"/>
        <w:gridCol w:w="1559"/>
      </w:tblGrid>
      <w:tr w:rsidR="00691811" w:rsidRPr="00BC16BD" w14:paraId="22D276C6" w14:textId="77777777" w:rsidTr="002E2669">
        <w:trPr>
          <w:trHeight w:val="581"/>
        </w:trPr>
        <w:tc>
          <w:tcPr>
            <w:tcW w:w="9356" w:type="dxa"/>
            <w:gridSpan w:val="5"/>
          </w:tcPr>
          <w:p w14:paraId="50D064F0" w14:textId="77777777" w:rsidR="00691811" w:rsidRPr="00BC16BD" w:rsidRDefault="00691811" w:rsidP="00BC16BD">
            <w:pPr>
              <w:spacing w:line="360" w:lineRule="auto"/>
              <w:jc w:val="center"/>
              <w:rPr>
                <w:rFonts w:ascii="Palatino Linotype" w:eastAsia="Calibri" w:hAnsi="Palatino Linotype"/>
                <w:b/>
                <w:bCs/>
                <w:sz w:val="24"/>
                <w:szCs w:val="24"/>
                <w:lang w:val="es-MX"/>
              </w:rPr>
            </w:pPr>
          </w:p>
          <w:p w14:paraId="798394E2" w14:textId="7597B6EC" w:rsidR="00691811" w:rsidRPr="00BC16BD" w:rsidRDefault="00691811" w:rsidP="00BC16BD">
            <w:pPr>
              <w:spacing w:line="360" w:lineRule="auto"/>
              <w:jc w:val="center"/>
              <w:rPr>
                <w:rFonts w:ascii="Palatino Linotype" w:eastAsia="Calibri" w:hAnsi="Palatino Linotype"/>
                <w:b/>
                <w:bCs/>
                <w:sz w:val="24"/>
                <w:szCs w:val="24"/>
              </w:rPr>
            </w:pPr>
            <w:r w:rsidRPr="00BC16BD">
              <w:rPr>
                <w:rFonts w:ascii="Palatino Linotype" w:eastAsia="Calibri" w:hAnsi="Palatino Linotype"/>
                <w:b/>
                <w:bCs/>
                <w:sz w:val="24"/>
                <w:szCs w:val="24"/>
                <w:lang w:val="es-MX"/>
              </w:rPr>
              <w:t xml:space="preserve">Solicitud: </w:t>
            </w:r>
            <w:r w:rsidR="002C7E93" w:rsidRPr="00BC16BD">
              <w:rPr>
                <w:rFonts w:ascii="Palatino Linotype" w:hAnsi="Palatino Linotype"/>
                <w:b/>
                <w:bCs/>
                <w:sz w:val="24"/>
                <w:szCs w:val="24"/>
                <w:lang w:eastAsia="es-ES"/>
              </w:rPr>
              <w:t xml:space="preserve"> </w:t>
            </w:r>
            <w:r w:rsidR="004572C3" w:rsidRPr="00BC16BD">
              <w:rPr>
                <w:rFonts w:ascii="Palatino Linotype" w:hAnsi="Palatino Linotype"/>
                <w:b/>
                <w:bCs/>
                <w:color w:val="FF0000"/>
                <w:sz w:val="24"/>
                <w:szCs w:val="24"/>
                <w:lang w:eastAsia="es-ES"/>
              </w:rPr>
              <w:t xml:space="preserve"> </w:t>
            </w:r>
            <w:r w:rsidR="004572C3" w:rsidRPr="00BC16BD">
              <w:rPr>
                <w:rFonts w:ascii="Palatino Linotype" w:hAnsi="Palatino Linotype"/>
                <w:b/>
                <w:bCs/>
                <w:sz w:val="24"/>
                <w:szCs w:val="24"/>
                <w:lang w:eastAsia="es-ES"/>
              </w:rPr>
              <w:t>00151/PAPALO/IP/2021</w:t>
            </w:r>
          </w:p>
          <w:p w14:paraId="65BD1B70" w14:textId="7D01CE86" w:rsidR="002C7E93" w:rsidRPr="00BC16BD" w:rsidRDefault="002C7E93" w:rsidP="00BC16BD">
            <w:pPr>
              <w:spacing w:line="360" w:lineRule="auto"/>
              <w:rPr>
                <w:rFonts w:ascii="Palatino Linotype" w:eastAsia="Calibri" w:hAnsi="Palatino Linotype"/>
                <w:b/>
                <w:bCs/>
                <w:sz w:val="24"/>
                <w:szCs w:val="24"/>
                <w:lang w:val="es-MX"/>
              </w:rPr>
            </w:pPr>
          </w:p>
        </w:tc>
      </w:tr>
      <w:tr w:rsidR="00691811" w:rsidRPr="00BC16BD" w14:paraId="52F9038F" w14:textId="77777777" w:rsidTr="002E2669">
        <w:trPr>
          <w:trHeight w:val="582"/>
        </w:trPr>
        <w:tc>
          <w:tcPr>
            <w:tcW w:w="709" w:type="dxa"/>
            <w:shd w:val="clear" w:color="auto" w:fill="DBDBDB"/>
          </w:tcPr>
          <w:p w14:paraId="7F2350A9" w14:textId="77777777" w:rsidR="00691811" w:rsidRPr="00BC16BD" w:rsidRDefault="00691811" w:rsidP="00BC16BD">
            <w:pPr>
              <w:spacing w:line="360" w:lineRule="auto"/>
              <w:rPr>
                <w:rFonts w:ascii="Palatino Linotype" w:eastAsia="Calibri" w:hAnsi="Palatino Linotype"/>
                <w:sz w:val="24"/>
                <w:szCs w:val="24"/>
                <w:lang w:val="es-MX"/>
              </w:rPr>
            </w:pPr>
          </w:p>
          <w:p w14:paraId="08DA4F3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No.</w:t>
            </w:r>
          </w:p>
        </w:tc>
        <w:tc>
          <w:tcPr>
            <w:tcW w:w="1843" w:type="dxa"/>
            <w:shd w:val="clear" w:color="auto" w:fill="DBDBDB"/>
          </w:tcPr>
          <w:p w14:paraId="3A1DD982"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262E129D"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Requerida:</w:t>
            </w:r>
          </w:p>
        </w:tc>
        <w:tc>
          <w:tcPr>
            <w:tcW w:w="2552" w:type="dxa"/>
            <w:shd w:val="clear" w:color="auto" w:fill="DBDBDB"/>
          </w:tcPr>
          <w:p w14:paraId="508CE853"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48B9A972"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entregada en respuesta:</w:t>
            </w:r>
          </w:p>
        </w:tc>
        <w:tc>
          <w:tcPr>
            <w:tcW w:w="2693" w:type="dxa"/>
            <w:shd w:val="clear" w:color="auto" w:fill="DBDBDB"/>
          </w:tcPr>
          <w:p w14:paraId="15A6467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Información entregada en calidad de Informe Justificado:</w:t>
            </w:r>
          </w:p>
        </w:tc>
        <w:tc>
          <w:tcPr>
            <w:tcW w:w="1559" w:type="dxa"/>
            <w:shd w:val="clear" w:color="auto" w:fill="DBDBDB"/>
          </w:tcPr>
          <w:p w14:paraId="26EA2B15" w14:textId="77777777" w:rsidR="00691811" w:rsidRPr="00BC16BD" w:rsidRDefault="00691811" w:rsidP="00BC16BD">
            <w:pPr>
              <w:spacing w:line="360" w:lineRule="auto"/>
              <w:jc w:val="center"/>
              <w:rPr>
                <w:rFonts w:ascii="Palatino Linotype" w:eastAsia="Calibri" w:hAnsi="Palatino Linotype"/>
                <w:sz w:val="24"/>
                <w:szCs w:val="24"/>
                <w:lang w:val="es-MX"/>
              </w:rPr>
            </w:pPr>
          </w:p>
          <w:p w14:paraId="00839508" w14:textId="77777777" w:rsidR="00691811" w:rsidRPr="00BC16BD" w:rsidRDefault="00691811" w:rsidP="00BC16BD">
            <w:pPr>
              <w:spacing w:line="360" w:lineRule="auto"/>
              <w:jc w:val="center"/>
              <w:rPr>
                <w:rFonts w:ascii="Palatino Linotype" w:eastAsia="Calibri" w:hAnsi="Palatino Linotype"/>
                <w:sz w:val="24"/>
                <w:szCs w:val="24"/>
                <w:lang w:val="es-MX"/>
              </w:rPr>
            </w:pPr>
            <w:r w:rsidRPr="00BC16BD">
              <w:rPr>
                <w:rFonts w:ascii="Palatino Linotype" w:eastAsia="Calibri" w:hAnsi="Palatino Linotype"/>
                <w:sz w:val="24"/>
                <w:szCs w:val="24"/>
                <w:lang w:val="es-MX"/>
              </w:rPr>
              <w:t>¿Satisface la solicitud?</w:t>
            </w:r>
          </w:p>
        </w:tc>
      </w:tr>
      <w:tr w:rsidR="00691811" w:rsidRPr="00BC16BD" w14:paraId="35A3900E" w14:textId="77777777" w:rsidTr="002E2669">
        <w:trPr>
          <w:trHeight w:val="582"/>
        </w:trPr>
        <w:tc>
          <w:tcPr>
            <w:tcW w:w="709" w:type="dxa"/>
            <w:shd w:val="clear" w:color="auto" w:fill="FFFFFF" w:themeFill="background1"/>
          </w:tcPr>
          <w:p w14:paraId="360A72DF" w14:textId="77777777" w:rsidR="00691811" w:rsidRPr="00BC16BD" w:rsidRDefault="00691811" w:rsidP="00BC16BD">
            <w:pPr>
              <w:spacing w:line="360" w:lineRule="auto"/>
              <w:rPr>
                <w:rFonts w:ascii="Palatino Linotype" w:eastAsia="Calibri" w:hAnsi="Palatino Linotype"/>
                <w:sz w:val="24"/>
                <w:szCs w:val="24"/>
                <w:lang w:val="es-MX"/>
              </w:rPr>
            </w:pPr>
            <w:r w:rsidRPr="00BC16BD">
              <w:rPr>
                <w:rFonts w:ascii="Palatino Linotype" w:eastAsia="Calibri" w:hAnsi="Palatino Linotype"/>
                <w:sz w:val="24"/>
                <w:szCs w:val="24"/>
                <w:lang w:val="es-MX"/>
              </w:rPr>
              <w:t>1</w:t>
            </w:r>
          </w:p>
        </w:tc>
        <w:tc>
          <w:tcPr>
            <w:tcW w:w="1843" w:type="dxa"/>
            <w:shd w:val="clear" w:color="auto" w:fill="FFFFFF" w:themeFill="background1"/>
          </w:tcPr>
          <w:p w14:paraId="49E5A5DC" w14:textId="447C4461" w:rsidR="00691811" w:rsidRPr="00BC16BD" w:rsidRDefault="002C7E93" w:rsidP="00BC16BD">
            <w:pPr>
              <w:spacing w:after="160" w:line="360" w:lineRule="auto"/>
              <w:contextualSpacing/>
              <w:jc w:val="both"/>
              <w:rPr>
                <w:rFonts w:ascii="Palatino Linotype" w:eastAsia="Calibri" w:hAnsi="Palatino Linotype"/>
                <w:sz w:val="24"/>
                <w:szCs w:val="24"/>
                <w:lang w:val="es-MX"/>
              </w:rPr>
            </w:pPr>
            <w:r w:rsidRPr="00BC16BD">
              <w:rPr>
                <w:rFonts w:ascii="Palatino Linotype" w:hAnsi="Palatino Linotype"/>
                <w:sz w:val="24"/>
                <w:szCs w:val="24"/>
              </w:rPr>
              <w:t xml:space="preserve"> </w:t>
            </w:r>
            <w:r w:rsidR="00302504" w:rsidRPr="00BC16BD">
              <w:rPr>
                <w:rFonts w:ascii="Palatino Linotype" w:eastAsia="Calibri" w:hAnsi="Palatino Linotype"/>
                <w:sz w:val="24"/>
                <w:szCs w:val="24"/>
                <w:lang w:val="es-MX"/>
              </w:rPr>
              <w:t xml:space="preserve"> “Censo de luminarios de alumbrado público realizado y firmado por la Comisión Federal de Electricidad (CFE), correspondiente a los años 2018, 2019, 2020 y 2021; “ (sic)</w:t>
            </w:r>
          </w:p>
        </w:tc>
        <w:tc>
          <w:tcPr>
            <w:tcW w:w="2552" w:type="dxa"/>
            <w:shd w:val="clear" w:color="auto" w:fill="FFFFFF" w:themeFill="background1"/>
          </w:tcPr>
          <w:p w14:paraId="2662F2F8" w14:textId="77777777" w:rsidR="00302504" w:rsidRPr="00BC16BD" w:rsidRDefault="00B9298F"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hyperlink r:id="rId12" w:tgtFrame="_blank" w:history="1">
              <w:r w:rsidR="00302504" w:rsidRPr="00BC16BD">
                <w:rPr>
                  <w:rStyle w:val="Hipervnculo"/>
                  <w:rFonts w:ascii="Palatino Linotype" w:eastAsiaTheme="minorEastAsia" w:hAnsi="Palatino Linotype" w:cstheme="minorBidi"/>
                  <w:b/>
                  <w:bCs/>
                  <w:color w:val="auto"/>
                  <w:sz w:val="24"/>
                  <w:szCs w:val="24"/>
                  <w:u w:val="none"/>
                </w:rPr>
                <w:t>Luminarias.pdf</w:t>
              </w:r>
            </w:hyperlink>
            <w:r w:rsidR="00302504" w:rsidRPr="00BC16BD">
              <w:rPr>
                <w:rFonts w:ascii="Palatino Linotype" w:eastAsiaTheme="minorEastAsia" w:hAnsi="Palatino Linotype" w:cstheme="minorBidi"/>
                <w:sz w:val="24"/>
                <w:szCs w:val="24"/>
                <w:lang w:val="es-ES_tradnl"/>
              </w:rPr>
              <w:t>: Documento electrónico que en nueve (09) hojas contiene:</w:t>
            </w:r>
          </w:p>
          <w:p w14:paraId="3D0FE8FD" w14:textId="77777777" w:rsidR="00DC3C93" w:rsidRPr="00BC16BD" w:rsidRDefault="00DC3C93"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p>
          <w:p w14:paraId="266A0409" w14:textId="42A97612" w:rsidR="00302504" w:rsidRPr="00BC16BD" w:rsidRDefault="00302504"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r w:rsidRPr="00BC16BD">
              <w:rPr>
                <w:rFonts w:ascii="Palatino Linotype" w:eastAsiaTheme="minorEastAsia" w:hAnsi="Palatino Linotype" w:cstheme="minorBidi"/>
                <w:sz w:val="24"/>
                <w:szCs w:val="24"/>
                <w:lang w:val="es-ES_tradnl"/>
              </w:rPr>
              <w:t xml:space="preserve">-Especificaciones sobre diversos equipos de iluminación de distenitas marcas. </w:t>
            </w:r>
          </w:p>
          <w:p w14:paraId="38BE39D4" w14:textId="77777777" w:rsidR="00302504" w:rsidRPr="00BC16BD" w:rsidRDefault="00302504"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p>
          <w:p w14:paraId="4C2983BE" w14:textId="12852C3F" w:rsidR="00C07899" w:rsidRPr="00BC16BD" w:rsidRDefault="00302504"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r w:rsidRPr="00BC16BD">
              <w:rPr>
                <w:rFonts w:ascii="Palatino Linotype" w:eastAsiaTheme="minorEastAsia" w:hAnsi="Palatino Linotype" w:cstheme="minorBidi"/>
                <w:sz w:val="24"/>
                <w:szCs w:val="24"/>
                <w:lang w:val="es-ES_tradnl"/>
              </w:rPr>
              <w:t xml:space="preserve">-Minuta de trabajo de fecha veinticuatro (24) de mayo de dos mil diecinueve con el </w:t>
            </w:r>
            <w:r w:rsidRPr="00BC16BD">
              <w:rPr>
                <w:rFonts w:ascii="Palatino Linotype" w:eastAsiaTheme="minorEastAsia" w:hAnsi="Palatino Linotype" w:cstheme="minorBidi"/>
                <w:sz w:val="24"/>
                <w:szCs w:val="24"/>
                <w:lang w:val="es-ES_tradnl"/>
              </w:rPr>
              <w:lastRenderedPageBreak/>
              <w:t xml:space="preserve">fin de revisar los resultados finales del censo de amparas de alumbrado público, por el H. Ayuntamiento de Papalotla, para tomar acuerdos correspondientes para su regulación contractual.  </w:t>
            </w:r>
          </w:p>
          <w:p w14:paraId="72E62528" w14:textId="6541ACFB" w:rsidR="00691811" w:rsidRPr="00BC16BD" w:rsidRDefault="00691811" w:rsidP="00BC16BD">
            <w:pPr>
              <w:tabs>
                <w:tab w:val="left" w:pos="284"/>
                <w:tab w:val="left" w:pos="993"/>
                <w:tab w:val="left" w:pos="1134"/>
              </w:tabs>
              <w:spacing w:line="360" w:lineRule="auto"/>
              <w:ind w:right="57"/>
              <w:contextualSpacing/>
              <w:jc w:val="both"/>
              <w:rPr>
                <w:rFonts w:ascii="Palatino Linotype" w:eastAsiaTheme="minorEastAsia" w:hAnsi="Palatino Linotype" w:cstheme="minorBidi"/>
                <w:sz w:val="24"/>
                <w:szCs w:val="24"/>
                <w:lang w:val="es-ES_tradnl"/>
              </w:rPr>
            </w:pPr>
          </w:p>
        </w:tc>
        <w:tc>
          <w:tcPr>
            <w:tcW w:w="2693" w:type="dxa"/>
            <w:shd w:val="clear" w:color="auto" w:fill="FFFFFF" w:themeFill="background1"/>
          </w:tcPr>
          <w:p w14:paraId="10BE308E" w14:textId="1B23AE4E" w:rsidR="00C61471" w:rsidRPr="00BC16BD" w:rsidRDefault="00691811" w:rsidP="00BC16BD">
            <w:pPr>
              <w:spacing w:line="360" w:lineRule="auto"/>
              <w:ind w:left="28"/>
              <w:jc w:val="both"/>
              <w:rPr>
                <w:rFonts w:ascii="Palatino Linotype" w:eastAsia="Calibri" w:hAnsi="Palatino Linotype"/>
                <w:i/>
                <w:sz w:val="24"/>
                <w:szCs w:val="24"/>
              </w:rPr>
            </w:pPr>
            <w:r w:rsidRPr="00BC16BD">
              <w:rPr>
                <w:rFonts w:ascii="Palatino Linotype" w:eastAsia="Calibri" w:hAnsi="Palatino Linotype"/>
                <w:sz w:val="24"/>
                <w:szCs w:val="24"/>
                <w:lang w:val="es-MX"/>
              </w:rPr>
              <w:lastRenderedPageBreak/>
              <w:t xml:space="preserve"> </w:t>
            </w:r>
            <w:r w:rsidR="002C7E93" w:rsidRPr="00BC16BD">
              <w:rPr>
                <w:rFonts w:ascii="Palatino Linotype" w:eastAsia="Calibri" w:hAnsi="Palatino Linotype" w:cs="Arial"/>
                <w:b/>
                <w:sz w:val="24"/>
                <w:szCs w:val="24"/>
              </w:rPr>
              <w:t xml:space="preserve"> </w:t>
            </w:r>
          </w:p>
          <w:p w14:paraId="7B519CF9" w14:textId="076630C3" w:rsidR="00CE515F" w:rsidRPr="00BC16BD" w:rsidRDefault="00302504" w:rsidP="00BC16BD">
            <w:pPr>
              <w:spacing w:line="360" w:lineRule="auto"/>
              <w:ind w:left="28" w:hanging="28"/>
              <w:jc w:val="both"/>
              <w:rPr>
                <w:rFonts w:ascii="Palatino Linotype" w:eastAsia="Calibri" w:hAnsi="Palatino Linotype"/>
                <w:i/>
                <w:sz w:val="24"/>
                <w:szCs w:val="24"/>
              </w:rPr>
            </w:pPr>
            <w:r w:rsidRPr="00BC16BD">
              <w:rPr>
                <w:rFonts w:ascii="Palatino Linotype" w:eastAsia="Calibri" w:hAnsi="Palatino Linotype"/>
                <w:b/>
                <w:sz w:val="24"/>
                <w:szCs w:val="24"/>
              </w:rPr>
              <w:t>No se realizó manifestación al respecto</w:t>
            </w:r>
            <w:r w:rsidRPr="00BC16BD">
              <w:rPr>
                <w:rFonts w:ascii="Palatino Linotype" w:eastAsia="Calibri" w:hAnsi="Palatino Linotype"/>
                <w:i/>
                <w:sz w:val="24"/>
                <w:szCs w:val="24"/>
              </w:rPr>
              <w:t xml:space="preserve">. </w:t>
            </w:r>
          </w:p>
          <w:p w14:paraId="022C5D88" w14:textId="60411226" w:rsidR="00691811" w:rsidRPr="00BC16BD" w:rsidRDefault="00691811" w:rsidP="00BC16BD">
            <w:pPr>
              <w:spacing w:line="360" w:lineRule="auto"/>
              <w:rPr>
                <w:rFonts w:ascii="Palatino Linotype" w:eastAsia="Calibri" w:hAnsi="Palatino Linotype"/>
                <w:sz w:val="24"/>
                <w:szCs w:val="24"/>
                <w:lang w:val="es-MX"/>
              </w:rPr>
            </w:pPr>
          </w:p>
        </w:tc>
        <w:tc>
          <w:tcPr>
            <w:tcW w:w="1559" w:type="dxa"/>
            <w:shd w:val="clear" w:color="auto" w:fill="FFFFFF" w:themeFill="background1"/>
          </w:tcPr>
          <w:p w14:paraId="70E9161C" w14:textId="77777777" w:rsidR="00B33A9A" w:rsidRPr="00BC16BD" w:rsidRDefault="00B33A9A" w:rsidP="00BC16BD">
            <w:pPr>
              <w:spacing w:line="360" w:lineRule="auto"/>
              <w:jc w:val="center"/>
              <w:rPr>
                <w:rFonts w:ascii="Palatino Linotype" w:eastAsia="Calibri" w:hAnsi="Palatino Linotype"/>
                <w:sz w:val="24"/>
                <w:szCs w:val="24"/>
                <w:lang w:val="es-MX"/>
              </w:rPr>
            </w:pPr>
          </w:p>
          <w:p w14:paraId="25CC5689" w14:textId="77777777" w:rsidR="002856CF" w:rsidRPr="00BC16BD" w:rsidRDefault="002856CF" w:rsidP="00BC16BD">
            <w:pPr>
              <w:spacing w:line="360" w:lineRule="auto"/>
              <w:jc w:val="center"/>
              <w:rPr>
                <w:rFonts w:ascii="Palatino Linotype" w:eastAsia="Calibri" w:hAnsi="Palatino Linotype"/>
                <w:sz w:val="24"/>
                <w:szCs w:val="24"/>
                <w:lang w:val="es-MX"/>
              </w:rPr>
            </w:pPr>
          </w:p>
          <w:p w14:paraId="2B20889B" w14:textId="77777777" w:rsidR="002856CF" w:rsidRPr="00BC16BD" w:rsidRDefault="002856CF" w:rsidP="00BC16BD">
            <w:pPr>
              <w:spacing w:line="360" w:lineRule="auto"/>
              <w:jc w:val="center"/>
              <w:rPr>
                <w:rFonts w:ascii="Palatino Linotype" w:eastAsia="Calibri" w:hAnsi="Palatino Linotype"/>
                <w:sz w:val="24"/>
                <w:szCs w:val="24"/>
                <w:lang w:val="es-MX"/>
              </w:rPr>
            </w:pPr>
          </w:p>
          <w:p w14:paraId="7B0CD064" w14:textId="01A765B4" w:rsidR="007A1177" w:rsidRPr="00BC16BD" w:rsidRDefault="002C7E93"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SÍ</w:t>
            </w:r>
            <w:r w:rsidR="007A1177" w:rsidRPr="00BC16BD">
              <w:rPr>
                <w:rFonts w:ascii="Palatino Linotype" w:eastAsia="Calibri" w:hAnsi="Palatino Linotype"/>
                <w:b/>
                <w:sz w:val="24"/>
                <w:szCs w:val="24"/>
                <w:lang w:val="es-MX"/>
              </w:rPr>
              <w:t xml:space="preserve"> </w:t>
            </w:r>
          </w:p>
        </w:tc>
      </w:tr>
      <w:tr w:rsidR="002517E6" w:rsidRPr="00BC16BD" w14:paraId="407952D8" w14:textId="77777777" w:rsidTr="002E2669">
        <w:trPr>
          <w:trHeight w:val="582"/>
        </w:trPr>
        <w:tc>
          <w:tcPr>
            <w:tcW w:w="709" w:type="dxa"/>
            <w:shd w:val="clear" w:color="auto" w:fill="FFFFFF" w:themeFill="background1"/>
          </w:tcPr>
          <w:p w14:paraId="277E5C19" w14:textId="096BFF9D" w:rsidR="002C7E93" w:rsidRPr="00BC16BD" w:rsidRDefault="002C7E93" w:rsidP="00BC16BD">
            <w:pPr>
              <w:spacing w:line="360" w:lineRule="auto"/>
              <w:rPr>
                <w:rFonts w:ascii="Palatino Linotype" w:eastAsia="Calibri" w:hAnsi="Palatino Linotype"/>
                <w:b/>
                <w:sz w:val="24"/>
                <w:szCs w:val="24"/>
                <w:lang w:val="es-MX"/>
              </w:rPr>
            </w:pPr>
            <w:r w:rsidRPr="00BC16BD">
              <w:rPr>
                <w:rFonts w:ascii="Palatino Linotype" w:eastAsia="Calibri" w:hAnsi="Palatino Linotype"/>
                <w:b/>
                <w:sz w:val="24"/>
                <w:szCs w:val="24"/>
                <w:lang w:val="es-MX"/>
              </w:rPr>
              <w:t>2</w:t>
            </w:r>
          </w:p>
        </w:tc>
        <w:tc>
          <w:tcPr>
            <w:tcW w:w="1843" w:type="dxa"/>
            <w:shd w:val="clear" w:color="auto" w:fill="FFFFFF" w:themeFill="background1"/>
          </w:tcPr>
          <w:p w14:paraId="359FF736" w14:textId="50A0B28E" w:rsidR="002C7E93" w:rsidRPr="00BC16BD" w:rsidRDefault="002517E6" w:rsidP="00BC16BD">
            <w:pPr>
              <w:spacing w:line="360" w:lineRule="auto"/>
              <w:jc w:val="both"/>
              <w:rPr>
                <w:rFonts w:ascii="Palatino Linotype" w:eastAsia="MS Mincho" w:hAnsi="Palatino Linotype"/>
                <w:i/>
                <w:sz w:val="24"/>
                <w:szCs w:val="24"/>
                <w:lang w:val="es-ES_tradnl"/>
              </w:rPr>
            </w:pPr>
            <w:r w:rsidRPr="00BC16BD">
              <w:rPr>
                <w:rFonts w:ascii="Palatino Linotype" w:eastAsia="Calibri" w:hAnsi="Palatino Linotype"/>
                <w:sz w:val="24"/>
                <w:szCs w:val="24"/>
                <w:lang w:val="es-MX"/>
              </w:rPr>
              <w:t xml:space="preserve">“Convenio para la recaudación del Derecho de Alumbrado Público (DAP), entre la CFE y el Municipio, correspondiente a los años 2018, 2019, </w:t>
            </w:r>
            <w:r w:rsidRPr="00BC16BD">
              <w:rPr>
                <w:rFonts w:ascii="Palatino Linotype" w:eastAsia="Calibri" w:hAnsi="Palatino Linotype"/>
                <w:sz w:val="24"/>
                <w:szCs w:val="24"/>
                <w:lang w:val="es-MX"/>
              </w:rPr>
              <w:lastRenderedPageBreak/>
              <w:t>2020 y 2021” (Sic)</w:t>
            </w:r>
          </w:p>
        </w:tc>
        <w:tc>
          <w:tcPr>
            <w:tcW w:w="2552" w:type="dxa"/>
            <w:shd w:val="clear" w:color="auto" w:fill="FFFFFF" w:themeFill="background1"/>
          </w:tcPr>
          <w:p w14:paraId="54DB9B12" w14:textId="56B1CCE2" w:rsidR="002C7E93" w:rsidRPr="00BC16BD" w:rsidRDefault="002517E6" w:rsidP="00BC16BD">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Theme="minorEastAsia" w:hAnsi="Palatino Linotype" w:cstheme="minorBidi"/>
                <w:sz w:val="24"/>
                <w:szCs w:val="24"/>
                <w:lang w:val="es-ES_tradnl"/>
              </w:rPr>
            </w:pPr>
            <w:r w:rsidRPr="00BC16BD">
              <w:rPr>
                <w:rFonts w:ascii="Palatino Linotype" w:eastAsiaTheme="minorEastAsia" w:hAnsi="Palatino Linotype" w:cstheme="minorBidi"/>
                <w:b/>
                <w:sz w:val="24"/>
                <w:szCs w:val="24"/>
              </w:rPr>
              <w:lastRenderedPageBreak/>
              <w:t>No se realizó manifestación al respecto.</w:t>
            </w:r>
          </w:p>
        </w:tc>
        <w:tc>
          <w:tcPr>
            <w:tcW w:w="2693" w:type="dxa"/>
            <w:shd w:val="clear" w:color="auto" w:fill="FFFFFF" w:themeFill="background1"/>
          </w:tcPr>
          <w:p w14:paraId="07D8F42F" w14:textId="332E1B93" w:rsidR="002C7E93" w:rsidRPr="00BC16BD" w:rsidRDefault="00302504" w:rsidP="00BC16BD">
            <w:pPr>
              <w:spacing w:line="360" w:lineRule="auto"/>
              <w:ind w:left="28"/>
              <w:jc w:val="both"/>
              <w:rPr>
                <w:rFonts w:ascii="Palatino Linotype" w:eastAsia="Calibri" w:hAnsi="Palatino Linotype"/>
                <w:sz w:val="24"/>
                <w:szCs w:val="24"/>
                <w:lang w:val="es-MX"/>
              </w:rPr>
            </w:pPr>
            <w:r w:rsidRPr="00BC16BD">
              <w:rPr>
                <w:rFonts w:ascii="Palatino Linotype" w:eastAsia="Calibri" w:hAnsi="Palatino Linotype"/>
                <w:b/>
                <w:sz w:val="24"/>
                <w:szCs w:val="24"/>
              </w:rPr>
              <w:t xml:space="preserve">No se realizó manifestación al respecto. </w:t>
            </w:r>
          </w:p>
        </w:tc>
        <w:tc>
          <w:tcPr>
            <w:tcW w:w="1559" w:type="dxa"/>
            <w:shd w:val="clear" w:color="auto" w:fill="FFFFFF" w:themeFill="background1"/>
          </w:tcPr>
          <w:p w14:paraId="0E11E0C5" w14:textId="77777777" w:rsidR="002C7E93" w:rsidRPr="00BC16BD" w:rsidRDefault="002C7E93" w:rsidP="00BC16BD">
            <w:pPr>
              <w:spacing w:line="360" w:lineRule="auto"/>
              <w:jc w:val="center"/>
              <w:rPr>
                <w:rFonts w:ascii="Palatino Linotype" w:eastAsia="Calibri" w:hAnsi="Palatino Linotype"/>
                <w:sz w:val="24"/>
                <w:szCs w:val="24"/>
                <w:lang w:val="es-MX"/>
              </w:rPr>
            </w:pPr>
          </w:p>
          <w:p w14:paraId="5EE8AD1F" w14:textId="77777777" w:rsidR="002C7E93" w:rsidRPr="00BC16BD" w:rsidRDefault="002C7E93" w:rsidP="00BC16BD">
            <w:pPr>
              <w:spacing w:line="360" w:lineRule="auto"/>
              <w:jc w:val="center"/>
              <w:rPr>
                <w:rFonts w:ascii="Palatino Linotype" w:eastAsia="Calibri" w:hAnsi="Palatino Linotype"/>
                <w:sz w:val="24"/>
                <w:szCs w:val="24"/>
                <w:lang w:val="es-MX"/>
              </w:rPr>
            </w:pPr>
          </w:p>
          <w:p w14:paraId="1F466A03" w14:textId="77777777" w:rsidR="002C7E93" w:rsidRPr="00BC16BD" w:rsidRDefault="002C7E93" w:rsidP="00BC16BD">
            <w:pPr>
              <w:spacing w:line="360" w:lineRule="auto"/>
              <w:jc w:val="center"/>
              <w:rPr>
                <w:rFonts w:ascii="Palatino Linotype" w:eastAsia="Calibri" w:hAnsi="Palatino Linotype"/>
                <w:sz w:val="24"/>
                <w:szCs w:val="24"/>
                <w:lang w:val="es-MX"/>
              </w:rPr>
            </w:pPr>
          </w:p>
          <w:p w14:paraId="291C5F1B" w14:textId="65679158" w:rsidR="002C7E93" w:rsidRPr="00BC16BD" w:rsidRDefault="002517E6"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NO</w:t>
            </w:r>
          </w:p>
        </w:tc>
      </w:tr>
      <w:tr w:rsidR="002517E6" w:rsidRPr="00BC16BD" w14:paraId="41BC2B6E" w14:textId="77777777" w:rsidTr="002E2669">
        <w:trPr>
          <w:trHeight w:val="582"/>
        </w:trPr>
        <w:tc>
          <w:tcPr>
            <w:tcW w:w="709" w:type="dxa"/>
            <w:shd w:val="clear" w:color="auto" w:fill="FFFFFF" w:themeFill="background1"/>
          </w:tcPr>
          <w:p w14:paraId="0101EA8C" w14:textId="0C2008B0" w:rsidR="002517E6" w:rsidRPr="00BC16BD" w:rsidRDefault="002517E6" w:rsidP="00BC16BD">
            <w:pPr>
              <w:spacing w:line="360" w:lineRule="auto"/>
              <w:rPr>
                <w:rFonts w:ascii="Palatino Linotype" w:eastAsia="Calibri" w:hAnsi="Palatino Linotype"/>
                <w:b/>
                <w:sz w:val="24"/>
                <w:szCs w:val="24"/>
                <w:lang w:val="es-MX"/>
              </w:rPr>
            </w:pPr>
            <w:r w:rsidRPr="00BC16BD">
              <w:rPr>
                <w:rFonts w:ascii="Palatino Linotype" w:eastAsia="Calibri" w:hAnsi="Palatino Linotype"/>
                <w:b/>
                <w:sz w:val="24"/>
                <w:szCs w:val="24"/>
                <w:lang w:val="es-MX"/>
              </w:rPr>
              <w:t>3</w:t>
            </w:r>
          </w:p>
        </w:tc>
        <w:tc>
          <w:tcPr>
            <w:tcW w:w="1843" w:type="dxa"/>
            <w:shd w:val="clear" w:color="auto" w:fill="FFFFFF" w:themeFill="background1"/>
          </w:tcPr>
          <w:p w14:paraId="1E696CD6" w14:textId="53FFFB6C" w:rsidR="002517E6" w:rsidRPr="00BC16BD" w:rsidRDefault="002517E6" w:rsidP="00BC16BD">
            <w:pPr>
              <w:spacing w:after="160" w:line="360" w:lineRule="auto"/>
              <w:contextualSpacing/>
              <w:jc w:val="both"/>
              <w:rPr>
                <w:rFonts w:ascii="Palatino Linotype" w:eastAsia="Calibri" w:hAnsi="Palatino Linotype"/>
                <w:sz w:val="24"/>
                <w:szCs w:val="24"/>
                <w:lang w:val="es-MX"/>
              </w:rPr>
            </w:pPr>
            <w:r w:rsidRPr="00BC16BD">
              <w:rPr>
                <w:rFonts w:ascii="Palatino Linotype" w:eastAsia="Calibri" w:hAnsi="Palatino Linotype"/>
                <w:sz w:val="24"/>
                <w:szCs w:val="24"/>
                <w:lang w:val="es-MX"/>
              </w:rPr>
              <w:t xml:space="preserve">“Facturación por el consumo de energía eléctrica en el alumbrado público municipal, así como la recaudación del DAP, ambos desglosados de manera mensual, correspondiente a los años 2018, 2019, 2020 y 2021 (se adjunta tabla para el fácil llenado de la </w:t>
            </w:r>
            <w:r w:rsidRPr="00BC16BD">
              <w:rPr>
                <w:rFonts w:ascii="Palatino Linotype" w:eastAsia="Calibri" w:hAnsi="Palatino Linotype"/>
                <w:sz w:val="24"/>
                <w:szCs w:val="24"/>
                <w:lang w:val="es-MX"/>
              </w:rPr>
              <w:lastRenderedPageBreak/>
              <w:t>información).” (Sic)</w:t>
            </w:r>
          </w:p>
          <w:p w14:paraId="418FA0C0" w14:textId="77777777" w:rsidR="002517E6" w:rsidRPr="00BC16BD" w:rsidRDefault="002517E6" w:rsidP="00BC16BD">
            <w:pPr>
              <w:spacing w:line="360" w:lineRule="auto"/>
              <w:jc w:val="both"/>
              <w:rPr>
                <w:rFonts w:ascii="Palatino Linotype" w:eastAsia="MS Mincho" w:hAnsi="Palatino Linotype"/>
                <w:i/>
                <w:sz w:val="24"/>
                <w:szCs w:val="24"/>
                <w:lang w:val="es-MX"/>
              </w:rPr>
            </w:pPr>
          </w:p>
        </w:tc>
        <w:tc>
          <w:tcPr>
            <w:tcW w:w="2552" w:type="dxa"/>
            <w:shd w:val="clear" w:color="auto" w:fill="FFFFFF" w:themeFill="background1"/>
          </w:tcPr>
          <w:p w14:paraId="3E16BFD1" w14:textId="77777777" w:rsidR="002517E6" w:rsidRPr="00BC16BD" w:rsidRDefault="002517E6" w:rsidP="00BC16BD">
            <w:pPr>
              <w:widowControl w:val="0"/>
              <w:tabs>
                <w:tab w:val="left" w:pos="0"/>
              </w:tabs>
              <w:autoSpaceDE w:val="0"/>
              <w:autoSpaceDN w:val="0"/>
              <w:adjustRightInd w:val="0"/>
              <w:spacing w:before="240" w:after="240" w:line="360" w:lineRule="auto"/>
              <w:ind w:left="29" w:right="39" w:hanging="29"/>
              <w:contextualSpacing/>
              <w:jc w:val="both"/>
              <w:rPr>
                <w:rFonts w:ascii="Palatino Linotype" w:eastAsiaTheme="minorEastAsia" w:hAnsi="Palatino Linotype" w:cstheme="minorBidi"/>
                <w:sz w:val="24"/>
                <w:szCs w:val="24"/>
                <w:lang w:val="es-ES_tradnl"/>
              </w:rPr>
            </w:pPr>
          </w:p>
        </w:tc>
        <w:tc>
          <w:tcPr>
            <w:tcW w:w="2693" w:type="dxa"/>
            <w:shd w:val="clear" w:color="auto" w:fill="FFFFFF" w:themeFill="background1"/>
          </w:tcPr>
          <w:p w14:paraId="09C9809B" w14:textId="77777777" w:rsidR="002517E6" w:rsidRPr="00BC16BD" w:rsidRDefault="002517E6" w:rsidP="00BC16BD">
            <w:pPr>
              <w:spacing w:line="360" w:lineRule="auto"/>
              <w:ind w:left="28"/>
              <w:jc w:val="both"/>
              <w:rPr>
                <w:rFonts w:ascii="Palatino Linotype" w:eastAsia="Calibri" w:hAnsi="Palatino Linotype"/>
                <w:b/>
                <w:sz w:val="24"/>
                <w:szCs w:val="24"/>
              </w:rPr>
            </w:pPr>
          </w:p>
        </w:tc>
        <w:tc>
          <w:tcPr>
            <w:tcW w:w="1559" w:type="dxa"/>
            <w:shd w:val="clear" w:color="auto" w:fill="FFFFFF" w:themeFill="background1"/>
          </w:tcPr>
          <w:p w14:paraId="2F1E861C" w14:textId="77777777" w:rsidR="002517E6" w:rsidRPr="00BC16BD" w:rsidRDefault="002517E6" w:rsidP="00BC16BD">
            <w:pPr>
              <w:spacing w:line="360" w:lineRule="auto"/>
              <w:jc w:val="center"/>
              <w:rPr>
                <w:rFonts w:ascii="Palatino Linotype" w:eastAsia="Calibri" w:hAnsi="Palatino Linotype"/>
                <w:sz w:val="24"/>
                <w:szCs w:val="24"/>
                <w:lang w:val="es-MX"/>
              </w:rPr>
            </w:pPr>
          </w:p>
          <w:p w14:paraId="447A47F2" w14:textId="77777777" w:rsidR="002517E6" w:rsidRPr="00BC16BD" w:rsidRDefault="002517E6" w:rsidP="00BC16BD">
            <w:pPr>
              <w:spacing w:line="360" w:lineRule="auto"/>
              <w:jc w:val="center"/>
              <w:rPr>
                <w:rFonts w:ascii="Palatino Linotype" w:eastAsia="Calibri" w:hAnsi="Palatino Linotype"/>
                <w:sz w:val="24"/>
                <w:szCs w:val="24"/>
                <w:lang w:val="es-MX"/>
              </w:rPr>
            </w:pPr>
          </w:p>
          <w:p w14:paraId="12577F52" w14:textId="30A0F01A" w:rsidR="002517E6" w:rsidRPr="00BC16BD" w:rsidRDefault="002517E6" w:rsidP="00BC16BD">
            <w:pPr>
              <w:spacing w:line="360" w:lineRule="auto"/>
              <w:jc w:val="center"/>
              <w:rPr>
                <w:rFonts w:ascii="Palatino Linotype" w:eastAsia="Calibri" w:hAnsi="Palatino Linotype"/>
                <w:b/>
                <w:sz w:val="24"/>
                <w:szCs w:val="24"/>
                <w:lang w:val="es-MX"/>
              </w:rPr>
            </w:pPr>
            <w:r w:rsidRPr="00BC16BD">
              <w:rPr>
                <w:rFonts w:ascii="Palatino Linotype" w:eastAsia="Calibri" w:hAnsi="Palatino Linotype"/>
                <w:b/>
                <w:sz w:val="24"/>
                <w:szCs w:val="24"/>
                <w:lang w:val="es-MX"/>
              </w:rPr>
              <w:t>NO</w:t>
            </w:r>
          </w:p>
        </w:tc>
      </w:tr>
    </w:tbl>
    <w:p w14:paraId="53592EB4" w14:textId="77777777" w:rsidR="002C7E93" w:rsidRPr="00BC16BD" w:rsidRDefault="002C7E93" w:rsidP="00BC16BD">
      <w:pPr>
        <w:tabs>
          <w:tab w:val="left" w:pos="0"/>
          <w:tab w:val="left" w:pos="426"/>
        </w:tabs>
        <w:spacing w:before="240" w:after="240" w:line="360" w:lineRule="auto"/>
        <w:ind w:right="49"/>
        <w:contextualSpacing/>
        <w:jc w:val="both"/>
        <w:rPr>
          <w:rFonts w:ascii="Palatino Linotype" w:eastAsia="MS Mincho" w:hAnsi="Palatino Linotype" w:cs="Arial"/>
          <w:lang w:val="es-MX"/>
        </w:rPr>
      </w:pPr>
      <w:bookmarkStart w:id="60" w:name="_Toc84264165"/>
    </w:p>
    <w:p w14:paraId="57E3A5B6" w14:textId="77777777" w:rsidR="002C7E93" w:rsidRPr="00BC16BD" w:rsidRDefault="002C7E93" w:rsidP="00BC16BD">
      <w:pPr>
        <w:tabs>
          <w:tab w:val="left" w:pos="0"/>
          <w:tab w:val="left" w:pos="426"/>
        </w:tabs>
        <w:spacing w:before="240" w:after="240" w:line="360" w:lineRule="auto"/>
        <w:ind w:right="49"/>
        <w:contextualSpacing/>
        <w:jc w:val="both"/>
        <w:rPr>
          <w:rFonts w:ascii="Palatino Linotype" w:eastAsia="MS Mincho" w:hAnsi="Palatino Linotype" w:cs="Arial"/>
          <w:lang w:val="es-MX"/>
        </w:rPr>
      </w:pPr>
    </w:p>
    <w:p w14:paraId="612458D0" w14:textId="438B8CF5" w:rsidR="00117030" w:rsidRPr="00BC16BD" w:rsidRDefault="00C548CF" w:rsidP="00694F4C">
      <w:pPr>
        <w:numPr>
          <w:ilvl w:val="0"/>
          <w:numId w:val="5"/>
        </w:numPr>
        <w:tabs>
          <w:tab w:val="left" w:pos="0"/>
          <w:tab w:val="left" w:pos="426"/>
        </w:tabs>
        <w:spacing w:before="240" w:after="240" w:line="360" w:lineRule="auto"/>
        <w:ind w:left="0" w:right="49" w:firstLine="0"/>
        <w:contextualSpacing/>
        <w:jc w:val="both"/>
        <w:rPr>
          <w:rFonts w:ascii="Palatino Linotype" w:eastAsia="MS Mincho" w:hAnsi="Palatino Linotype" w:cs="Arial"/>
          <w:lang w:val="es-MX"/>
        </w:rPr>
      </w:pPr>
      <w:r w:rsidRPr="00BC16BD">
        <w:rPr>
          <w:rFonts w:ascii="Palatino Linotype" w:eastAsia="MS Mincho" w:hAnsi="Palatino Linotype" w:cs="Arial"/>
          <w:color w:val="000000"/>
          <w:lang w:val="es-ES_tradnl"/>
        </w:rPr>
        <w:t>Así las cosas, este Instituto de Transparencia, de conformidad con los principios de eficacia y profesionalismo</w:t>
      </w:r>
      <w:r w:rsidRPr="00BC16BD">
        <w:rPr>
          <w:rStyle w:val="Refdenotaalpie"/>
          <w:rFonts w:ascii="Palatino Linotype" w:eastAsia="MS Mincho" w:hAnsi="Palatino Linotype" w:cs="Arial"/>
          <w:color w:val="000000"/>
          <w:lang w:val="es-ES_tradnl"/>
        </w:rPr>
        <w:footnoteReference w:id="2"/>
      </w:r>
      <w:r w:rsidRPr="00BC16BD">
        <w:rPr>
          <w:rFonts w:ascii="Palatino Linotype" w:eastAsia="MS Mincho" w:hAnsi="Palatino Linotype" w:cs="Arial"/>
          <w:color w:val="000000"/>
          <w:lang w:val="es-ES_tradnl"/>
        </w:rPr>
        <w:t xml:space="preserve">, procederá a verificar la información remitida por el </w:t>
      </w:r>
      <w:r w:rsidRPr="00BC16BD">
        <w:rPr>
          <w:rFonts w:ascii="Palatino Linotype" w:eastAsia="MS Mincho" w:hAnsi="Palatino Linotype" w:cs="Arial"/>
          <w:b/>
          <w:color w:val="000000"/>
          <w:lang w:val="es-ES_tradnl"/>
        </w:rPr>
        <w:t>SUJETO OBLIGADO y</w:t>
      </w:r>
      <w:r w:rsidRPr="00BC16BD">
        <w:rPr>
          <w:rFonts w:ascii="Palatino Linotype" w:eastAsia="MS Mincho" w:hAnsi="Palatino Linotype" w:cs="Arial"/>
          <w:color w:val="000000"/>
          <w:lang w:val="es-ES_tradnl"/>
        </w:rPr>
        <w:t xml:space="preserve"> las manifestaciones realizadas por el </w:t>
      </w:r>
      <w:r w:rsidRPr="00BC16BD">
        <w:rPr>
          <w:rFonts w:ascii="Palatino Linotype" w:eastAsia="MS Mincho" w:hAnsi="Palatino Linotype" w:cs="Arial"/>
          <w:b/>
          <w:color w:val="000000"/>
          <w:lang w:val="es-ES_tradnl"/>
        </w:rPr>
        <w:t xml:space="preserve">SOLICTANTE </w:t>
      </w:r>
      <w:r w:rsidRPr="00BC16BD">
        <w:rPr>
          <w:rFonts w:ascii="Palatino Linotype" w:eastAsia="MS Mincho" w:hAnsi="Palatino Linotype" w:cs="Arial"/>
          <w:color w:val="000000"/>
          <w:lang w:val="es-ES_tradnl"/>
        </w:rPr>
        <w:t xml:space="preserve">a efecto de determinar </w:t>
      </w:r>
      <w:bookmarkEnd w:id="60"/>
      <w:r w:rsidR="002E2669" w:rsidRPr="00BC16BD">
        <w:rPr>
          <w:rFonts w:ascii="Palatino Linotype" w:eastAsia="MS Mincho" w:hAnsi="Palatino Linotype" w:cs="Arial"/>
          <w:color w:val="000000"/>
          <w:lang w:val="es-ES_tradnl"/>
        </w:rPr>
        <w:t xml:space="preserve">si la información remitida se encuentra apegada a lo que </w:t>
      </w:r>
      <w:r w:rsidR="002517E6" w:rsidRPr="00BC16BD">
        <w:rPr>
          <w:rFonts w:ascii="Palatino Linotype" w:eastAsia="MS Mincho" w:hAnsi="Palatino Linotype" w:cs="Arial"/>
          <w:color w:val="000000"/>
          <w:lang w:val="es-ES_tradnl"/>
        </w:rPr>
        <w:t>establece la Ley Estatal en materia de T</w:t>
      </w:r>
      <w:r w:rsidR="002E2669" w:rsidRPr="00BC16BD">
        <w:rPr>
          <w:rFonts w:ascii="Palatino Linotype" w:eastAsia="MS Mincho" w:hAnsi="Palatino Linotype" w:cs="Arial"/>
          <w:color w:val="000000"/>
          <w:lang w:val="es-ES_tradnl"/>
        </w:rPr>
        <w:t xml:space="preserve">ransparencia. </w:t>
      </w:r>
    </w:p>
    <w:p w14:paraId="655CC1AF" w14:textId="685ACC0F" w:rsidR="00DF0C2C" w:rsidRPr="00BC16BD" w:rsidRDefault="00DF0C2C" w:rsidP="00BC16BD">
      <w:pPr>
        <w:pStyle w:val="Ttulo1"/>
        <w:numPr>
          <w:ilvl w:val="0"/>
          <w:numId w:val="7"/>
        </w:numPr>
        <w:spacing w:line="360" w:lineRule="auto"/>
        <w:ind w:left="0" w:firstLine="0"/>
        <w:rPr>
          <w:rFonts w:ascii="Palatino Linotype" w:hAnsi="Palatino Linotype"/>
          <w:b/>
          <w:color w:val="000000" w:themeColor="text1"/>
          <w:sz w:val="24"/>
          <w:szCs w:val="24"/>
          <w:lang w:val="es-MX"/>
        </w:rPr>
      </w:pPr>
      <w:bookmarkStart w:id="61" w:name="_Toc95344559"/>
      <w:r w:rsidRPr="00BC16BD">
        <w:rPr>
          <w:rFonts w:ascii="Palatino Linotype" w:hAnsi="Palatino Linotype"/>
          <w:b/>
          <w:color w:val="000000" w:themeColor="text1"/>
          <w:sz w:val="24"/>
          <w:szCs w:val="24"/>
          <w:lang w:val="es-MX"/>
        </w:rPr>
        <w:t xml:space="preserve">De los motivos de inconformidad aducidos </w:t>
      </w:r>
      <w:r w:rsidR="00F555BE" w:rsidRPr="00BC16BD">
        <w:rPr>
          <w:rFonts w:ascii="Palatino Linotype" w:hAnsi="Palatino Linotype"/>
          <w:b/>
          <w:color w:val="000000" w:themeColor="text1"/>
          <w:sz w:val="24"/>
          <w:szCs w:val="24"/>
          <w:lang w:val="es-MX"/>
        </w:rPr>
        <w:t xml:space="preserve">por </w:t>
      </w:r>
      <w:r w:rsidRPr="00BC16BD">
        <w:rPr>
          <w:rFonts w:ascii="Palatino Linotype" w:hAnsi="Palatino Linotype"/>
          <w:b/>
          <w:color w:val="000000" w:themeColor="text1"/>
          <w:sz w:val="24"/>
          <w:szCs w:val="24"/>
          <w:lang w:val="es-MX"/>
        </w:rPr>
        <w:t>la parte recurrente.</w:t>
      </w:r>
      <w:bookmarkEnd w:id="61"/>
      <w:r w:rsidRPr="00BC16BD">
        <w:rPr>
          <w:rFonts w:ascii="Palatino Linotype" w:hAnsi="Palatino Linotype"/>
          <w:b/>
          <w:color w:val="000000" w:themeColor="text1"/>
          <w:sz w:val="24"/>
          <w:szCs w:val="24"/>
          <w:lang w:val="es-MX"/>
        </w:rPr>
        <w:t xml:space="preserve"> </w:t>
      </w:r>
    </w:p>
    <w:p w14:paraId="31464AC7" w14:textId="77777777" w:rsidR="00D92D94" w:rsidRPr="00BC16BD" w:rsidRDefault="00D92D94" w:rsidP="00BC16BD">
      <w:pPr>
        <w:spacing w:line="360" w:lineRule="auto"/>
        <w:rPr>
          <w:rFonts w:ascii="Palatino Linotype" w:eastAsia="MS Mincho" w:hAnsi="Palatino Linotype"/>
          <w:lang w:val="es-MX"/>
        </w:rPr>
      </w:pPr>
    </w:p>
    <w:p w14:paraId="43E44C6F" w14:textId="281BCDED" w:rsidR="00F0358A" w:rsidRPr="00BC16BD" w:rsidRDefault="00DF0C2C" w:rsidP="00694F4C">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C16BD">
        <w:rPr>
          <w:rFonts w:ascii="Palatino Linotype" w:hAnsi="Palatino Linotype" w:cs="Arial"/>
          <w:lang w:eastAsia="es-MX"/>
        </w:rPr>
        <w:t>Señalado lo anterior</w:t>
      </w:r>
      <w:r w:rsidR="003C4A72" w:rsidRPr="00BC16BD">
        <w:rPr>
          <w:rFonts w:ascii="Palatino Linotype" w:hAnsi="Palatino Linotype" w:cs="Arial"/>
          <w:lang w:eastAsia="es-MX"/>
        </w:rPr>
        <w:t xml:space="preserve">, </w:t>
      </w:r>
      <w:r w:rsidR="00F0358A" w:rsidRPr="00BC16BD">
        <w:rPr>
          <w:rFonts w:ascii="Palatino Linotype" w:hAnsi="Palatino Linotype" w:cs="Arial"/>
          <w:lang w:eastAsia="es-MX"/>
        </w:rPr>
        <w:t xml:space="preserve">y </w:t>
      </w:r>
      <w:r w:rsidR="002E2669" w:rsidRPr="00BC16BD">
        <w:rPr>
          <w:rFonts w:ascii="Palatino Linotype" w:hAnsi="Palatino Linotype" w:cs="Arial"/>
          <w:lang w:eastAsia="es-MX"/>
        </w:rPr>
        <w:t>a efecto de delimitar la controversia del presente asunto es pertinente</w:t>
      </w:r>
      <w:r w:rsidRPr="00BC16BD">
        <w:rPr>
          <w:rFonts w:ascii="Palatino Linotype" w:hAnsi="Palatino Linotype" w:cs="Arial"/>
          <w:lang w:eastAsia="es-MX"/>
        </w:rPr>
        <w:t xml:space="preserve"> </w:t>
      </w:r>
      <w:r w:rsidR="002E2669" w:rsidRPr="00BC16BD">
        <w:rPr>
          <w:rFonts w:ascii="Palatino Linotype" w:hAnsi="Palatino Linotype" w:cs="Arial"/>
          <w:lang w:eastAsia="es-MX"/>
        </w:rPr>
        <w:t xml:space="preserve">mencionar que </w:t>
      </w:r>
      <w:r w:rsidR="00F0358A" w:rsidRPr="00BC16BD">
        <w:rPr>
          <w:rFonts w:ascii="Palatino Linotype" w:hAnsi="Palatino Linotype" w:cs="Arial"/>
          <w:lang w:eastAsia="es-MX"/>
        </w:rPr>
        <w:t>la</w:t>
      </w:r>
      <w:r w:rsidR="00C61471" w:rsidRPr="00BC16BD">
        <w:rPr>
          <w:rFonts w:ascii="Palatino Linotype" w:hAnsi="Palatino Linotype" w:cs="Arial"/>
          <w:lang w:eastAsia="es-MX"/>
        </w:rPr>
        <w:t xml:space="preserve"> respuesta </w:t>
      </w:r>
      <w:r w:rsidR="00F0358A" w:rsidRPr="00BC16BD">
        <w:rPr>
          <w:rFonts w:ascii="Palatino Linotype" w:hAnsi="Palatino Linotype" w:cs="Arial"/>
          <w:lang w:eastAsia="es-MX"/>
        </w:rPr>
        <w:t>qu</w:t>
      </w:r>
      <w:r w:rsidR="00AB34DB" w:rsidRPr="00BC16BD">
        <w:rPr>
          <w:rFonts w:ascii="Palatino Linotype" w:hAnsi="Palatino Linotype" w:cs="Arial"/>
          <w:lang w:eastAsia="es-MX"/>
        </w:rPr>
        <w:t xml:space="preserve">e se otorga </w:t>
      </w:r>
      <w:r w:rsidR="00B6182F" w:rsidRPr="00BC16BD">
        <w:rPr>
          <w:rFonts w:ascii="Palatino Linotype" w:hAnsi="Palatino Linotype" w:cs="Arial"/>
          <w:lang w:eastAsia="es-MX"/>
        </w:rPr>
        <w:t>al requerimiento señalado</w:t>
      </w:r>
      <w:r w:rsidR="00AB34DB" w:rsidRPr="00BC16BD">
        <w:rPr>
          <w:rFonts w:ascii="Palatino Linotype" w:hAnsi="Palatino Linotype" w:cs="Arial"/>
          <w:lang w:eastAsia="es-MX"/>
        </w:rPr>
        <w:t xml:space="preserve"> en el</w:t>
      </w:r>
      <w:r w:rsidR="00F0358A" w:rsidRPr="00BC16BD">
        <w:rPr>
          <w:rFonts w:ascii="Palatino Linotype" w:hAnsi="Palatino Linotype" w:cs="Arial"/>
          <w:lang w:eastAsia="es-MX"/>
        </w:rPr>
        <w:t xml:space="preserve"> </w:t>
      </w:r>
      <w:r w:rsidR="00AB34DB" w:rsidRPr="00BC16BD">
        <w:rPr>
          <w:rFonts w:ascii="Palatino Linotype" w:hAnsi="Palatino Linotype" w:cs="Arial"/>
          <w:lang w:eastAsia="es-MX"/>
        </w:rPr>
        <w:t>punto</w:t>
      </w:r>
      <w:r w:rsidR="002856CF" w:rsidRPr="00BC16BD">
        <w:rPr>
          <w:rFonts w:ascii="Palatino Linotype" w:hAnsi="Palatino Linotype" w:cs="Arial"/>
          <w:lang w:eastAsia="es-MX"/>
        </w:rPr>
        <w:t xml:space="preserve"> 1 </w:t>
      </w:r>
      <w:r w:rsidR="00F0358A" w:rsidRPr="00BC16BD">
        <w:rPr>
          <w:rFonts w:ascii="Palatino Linotype" w:hAnsi="Palatino Linotype" w:cs="Arial"/>
          <w:lang w:eastAsia="es-MX"/>
        </w:rPr>
        <w:t xml:space="preserve">del cuadro de análisis previamente referido </w:t>
      </w:r>
      <w:r w:rsidR="00F0358A" w:rsidRPr="00BC16BD">
        <w:rPr>
          <w:rFonts w:ascii="Palatino Linotype" w:hAnsi="Palatino Linotype" w:cs="Arial"/>
          <w:lang w:val="es-MX"/>
        </w:rPr>
        <w:t xml:space="preserve">debe entenderse como consentida por el </w:t>
      </w:r>
      <w:r w:rsidR="00F0358A" w:rsidRPr="00BC16BD">
        <w:rPr>
          <w:rFonts w:ascii="Palatino Linotype" w:hAnsi="Palatino Linotype" w:cs="Arial"/>
          <w:b/>
          <w:bCs/>
          <w:lang w:val="es-MX"/>
        </w:rPr>
        <w:t>RECURRENTE</w:t>
      </w:r>
      <w:r w:rsidR="00F0358A" w:rsidRPr="00BC16BD">
        <w:rPr>
          <w:rFonts w:ascii="Palatino Linotype" w:hAnsi="Palatino Linotype" w:cs="Arial"/>
          <w:lang w:val="es-MX"/>
        </w:rPr>
        <w:t xml:space="preserve">. </w:t>
      </w:r>
    </w:p>
    <w:p w14:paraId="034B32D7" w14:textId="77777777" w:rsidR="00F0358A" w:rsidRPr="00BC16BD" w:rsidRDefault="00F0358A" w:rsidP="00BC16BD">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2EB6B02D" w14:textId="77777777" w:rsidR="002517E6" w:rsidRPr="00BC16BD" w:rsidRDefault="00F0358A" w:rsidP="00694F4C">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C16BD">
        <w:rPr>
          <w:rFonts w:ascii="Palatino Linotype" w:hAnsi="Palatino Linotype" w:cs="Arial"/>
          <w:lang w:val="es-MX"/>
        </w:rPr>
        <w:lastRenderedPageBreak/>
        <w:t xml:space="preserve">Ello es así, debido a que cuando el solicitante no expresa razón o motivo de inconformidad en contra de todos los rubros de la respuesta que pudieran ser un agravio a su derecho, los mismos deben estimarse atendidos. </w:t>
      </w:r>
    </w:p>
    <w:p w14:paraId="0EBE3125" w14:textId="77777777" w:rsidR="002517E6" w:rsidRPr="00BC16BD" w:rsidRDefault="002517E6" w:rsidP="00BC16BD">
      <w:pPr>
        <w:pStyle w:val="Prrafodelista"/>
        <w:spacing w:line="360" w:lineRule="auto"/>
        <w:rPr>
          <w:rFonts w:ascii="Palatino Linotype" w:hAnsi="Palatino Linotype" w:cs="Arial"/>
          <w:lang w:val="es-MX"/>
        </w:rPr>
      </w:pPr>
    </w:p>
    <w:p w14:paraId="15DAB1DF" w14:textId="5EBA5E0B" w:rsidR="00F0358A" w:rsidRPr="00BC16BD" w:rsidRDefault="00F0358A" w:rsidP="00694F4C">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C16BD">
        <w:rPr>
          <w:rFonts w:ascii="Palatino Linotype" w:hAnsi="Palatino Linotype" w:cs="Arial"/>
          <w:lang w:val="es-MX"/>
        </w:rPr>
        <w:t>Sirve de apoyo a lo anterior, por analogía, la Tesis Jurisprudencial Número 3ª./J.7/91, publicada en el Semanario Judicial de la Federación y su Gaceta bajo el número de registro 174,177, que establece lo siguiente:</w:t>
      </w:r>
    </w:p>
    <w:p w14:paraId="01E66CFD" w14:textId="77777777" w:rsidR="00F0358A" w:rsidRPr="00BC16BD" w:rsidRDefault="00F0358A" w:rsidP="00BC16BD">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7FEFE97E" w14:textId="77777777" w:rsidR="00F0358A" w:rsidRPr="00BC16BD" w:rsidRDefault="00F0358A" w:rsidP="00BC16BD">
      <w:pPr>
        <w:spacing w:line="360" w:lineRule="auto"/>
        <w:ind w:left="567" w:right="567"/>
        <w:jc w:val="both"/>
        <w:rPr>
          <w:rFonts w:ascii="Palatino Linotype" w:eastAsiaTheme="minorEastAsia" w:hAnsi="Palatino Linotype" w:cs="Arial"/>
          <w:i/>
          <w:lang w:val="es-MX" w:eastAsia="es-MX"/>
        </w:rPr>
      </w:pPr>
      <w:r w:rsidRPr="00BC16BD">
        <w:rPr>
          <w:rFonts w:ascii="Palatino Linotype" w:eastAsiaTheme="minorEastAsia" w:hAnsi="Palatino Linotype" w:cs="Arial"/>
          <w:b/>
          <w:i/>
          <w:lang w:val="es-MX" w:eastAsia="es-MX"/>
        </w:rPr>
        <w:t>REVISIÓN EN AMPARO. LOS RESOLUTIVOS NO COMBATIDOS DEBEN DECLARARSE FIRMES</w:t>
      </w:r>
      <w:r w:rsidRPr="00BC16BD">
        <w:rPr>
          <w:rFonts w:ascii="Palatino Linotype" w:eastAsiaTheme="minorEastAsia" w:hAnsi="Palatino Linotype" w:cs="Arial"/>
          <w:i/>
          <w:lang w:val="es-MX"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1DD80D6" w14:textId="77777777" w:rsidR="00F0358A" w:rsidRPr="00BC16BD" w:rsidRDefault="00F0358A" w:rsidP="00BC16B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9A4581A" w14:textId="623C8464" w:rsidR="00F0358A" w:rsidRPr="00BC16BD" w:rsidRDefault="00F0358A" w:rsidP="00694F4C">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C16BD">
        <w:rPr>
          <w:rFonts w:ascii="Palatino Linotype" w:eastAsiaTheme="minorEastAsia" w:hAnsi="Palatino Linotype" w:cstheme="minorBidi"/>
          <w:color w:val="000000" w:themeColor="text1"/>
          <w:lang w:val="es-MX"/>
        </w:rPr>
        <w:t xml:space="preserve">Luego entonces, </w:t>
      </w:r>
      <w:r w:rsidRPr="00BC16BD">
        <w:rPr>
          <w:rFonts w:ascii="Palatino Linotype" w:hAnsi="Palatino Linotype" w:cs="Arial"/>
          <w:lang w:val="es-MX"/>
        </w:rPr>
        <w:t xml:space="preserve">la parte de la solicitud sobre la que no se expresó inconformidad, debe declararse consentida por el hoy </w:t>
      </w:r>
      <w:r w:rsidRPr="00BC16BD">
        <w:rPr>
          <w:rFonts w:ascii="Palatino Linotype" w:hAnsi="Palatino Linotype" w:cs="Arial"/>
          <w:b/>
          <w:lang w:val="es-MX"/>
        </w:rPr>
        <w:t>RECURRENTE</w:t>
      </w:r>
      <w:r w:rsidRPr="00BC16BD">
        <w:rPr>
          <w:rFonts w:ascii="Palatino Linotype" w:hAnsi="Palatino Linotype" w:cs="Arial"/>
          <w:lang w:val="es-MX"/>
        </w:rPr>
        <w:t xml:space="preserve">, ya que no pueden producirse efectos jurídicos tendentes a revocar, confirmar o modificar la parte de la respuesta con relación a la parte de la solicitud que no fue motivo de disenso ya que se infiere un consentimiento del particular ante la falta de impugnación eficaz. Sirve de sustento a lo anterior, por analogía, la tesis </w:t>
      </w:r>
      <w:r w:rsidRPr="00BC16BD">
        <w:rPr>
          <w:rFonts w:ascii="Palatino Linotype" w:hAnsi="Palatino Linotype" w:cs="Arial"/>
          <w:lang w:val="es-MX"/>
        </w:rPr>
        <w:lastRenderedPageBreak/>
        <w:t>jurisprudencial número VI.3o.C. J/60, publicada en el Semanario Judicial de la Federación y su Gaceta bajo el número de registro 176,608 que a la letra dice:</w:t>
      </w:r>
    </w:p>
    <w:p w14:paraId="50D4A66D" w14:textId="77777777" w:rsidR="00F0358A" w:rsidRPr="00BC16BD" w:rsidRDefault="00F0358A" w:rsidP="00BC16BD">
      <w:pPr>
        <w:tabs>
          <w:tab w:val="left" w:pos="426"/>
        </w:tabs>
        <w:spacing w:before="240" w:line="360" w:lineRule="auto"/>
        <w:ind w:right="51"/>
        <w:contextualSpacing/>
        <w:jc w:val="both"/>
        <w:rPr>
          <w:rFonts w:ascii="Palatino Linotype" w:eastAsiaTheme="minorEastAsia" w:hAnsi="Palatino Linotype" w:cstheme="minorBidi"/>
          <w:color w:val="000000" w:themeColor="text1"/>
          <w:lang w:val="es-MX"/>
        </w:rPr>
      </w:pPr>
    </w:p>
    <w:p w14:paraId="09017A4B" w14:textId="77777777" w:rsidR="00F0358A" w:rsidRPr="00BC16BD" w:rsidRDefault="00F0358A" w:rsidP="00BC16BD">
      <w:pPr>
        <w:spacing w:line="360" w:lineRule="auto"/>
        <w:ind w:left="567" w:right="567"/>
        <w:jc w:val="both"/>
        <w:rPr>
          <w:rFonts w:ascii="Palatino Linotype" w:eastAsiaTheme="minorEastAsia" w:hAnsi="Palatino Linotype" w:cs="Arial"/>
          <w:i/>
          <w:lang w:val="es-MX" w:eastAsia="es-MX"/>
        </w:rPr>
      </w:pPr>
      <w:r w:rsidRPr="00BC16BD">
        <w:rPr>
          <w:rFonts w:ascii="Palatino Linotype" w:eastAsiaTheme="minorEastAsia" w:hAnsi="Palatino Linotype" w:cs="Arial"/>
          <w:b/>
          <w:i/>
          <w:lang w:val="es-MX" w:eastAsia="es-MX"/>
        </w:rPr>
        <w:t>ACTOS CONSENTIDOS. SON LOS QUE NO SE IMPUGNAN MEDIANTE EL RECURSO IDÓNEO</w:t>
      </w:r>
      <w:r w:rsidRPr="00BC16BD">
        <w:rPr>
          <w:rFonts w:ascii="Palatino Linotype" w:eastAsiaTheme="minorEastAsia" w:hAnsi="Palatino Linotype" w:cs="Arial"/>
          <w:i/>
          <w:lang w:val="es-MX"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C68CD7" w14:textId="77777777" w:rsidR="00F0358A" w:rsidRPr="00BC16BD" w:rsidRDefault="00F0358A" w:rsidP="00BC16BD">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A595266" w14:textId="75969934" w:rsidR="00D92D94" w:rsidRPr="00BC16BD" w:rsidRDefault="00D92D94" w:rsidP="00694F4C">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BC16BD">
        <w:rPr>
          <w:rFonts w:ascii="Palatino Linotype" w:eastAsia="MS Mincho" w:hAnsi="Palatino Linotype"/>
          <w:color w:val="000000"/>
          <w:lang w:val="es-ES_tradnl"/>
        </w:rPr>
        <w:t xml:space="preserve">Por otro lado, es pertinente mencionar que </w:t>
      </w:r>
      <w:r w:rsidRPr="00BC16BD">
        <w:rPr>
          <w:rFonts w:ascii="Palatino Linotype" w:eastAsia="MS Mincho" w:hAnsi="Palatino Linotype"/>
          <w:lang w:val="es-ES_tradnl"/>
        </w:rPr>
        <w:t xml:space="preserve">este Órgano Garante no tiene facultades para pronunciarse sobre la veracidad de la información que los sujetos Obligados ponen a disposición de los particulares, toda vez que se aleja de las atribuciones de éste Instituto, máxime que al momento en que el </w:t>
      </w:r>
      <w:r w:rsidRPr="00BC16BD">
        <w:rPr>
          <w:rFonts w:ascii="Palatino Linotype" w:eastAsia="MS Mincho" w:hAnsi="Palatino Linotype"/>
          <w:b/>
          <w:lang w:val="es-ES_tradnl"/>
        </w:rPr>
        <w:t>SUJETO OBLIGADO</w:t>
      </w:r>
      <w:r w:rsidRPr="00BC16BD">
        <w:rPr>
          <w:rFonts w:ascii="Palatino Linotype" w:eastAsia="MS Mincho" w:hAnsi="Palatino Linotype"/>
          <w:lang w:val="es-ES_tradnl"/>
        </w:rPr>
        <w:t xml:space="preserve"> pone a disposición la información, la misma tiene el carácter de oficial, ergo, se presume veraz, tan es así que la misma queda registrada en el Sistema de Acceso a la Información Mexiquense (SAIMEX).</w:t>
      </w:r>
    </w:p>
    <w:p w14:paraId="2D806242" w14:textId="77777777" w:rsidR="00D92D94" w:rsidRPr="00BC16BD" w:rsidRDefault="00D92D94" w:rsidP="00BC16BD">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1FBAC209" w14:textId="20AAA2FD" w:rsidR="00D92D94" w:rsidRPr="00BC16BD" w:rsidRDefault="00D92D94" w:rsidP="00694F4C">
      <w:pPr>
        <w:pStyle w:val="Prrafodelista"/>
        <w:numPr>
          <w:ilvl w:val="0"/>
          <w:numId w:val="5"/>
        </w:numPr>
        <w:tabs>
          <w:tab w:val="left" w:pos="426"/>
        </w:tabs>
        <w:spacing w:after="160" w:line="360" w:lineRule="auto"/>
        <w:ind w:left="0" w:right="51" w:firstLine="0"/>
        <w:contextualSpacing/>
        <w:jc w:val="both"/>
        <w:rPr>
          <w:rFonts w:ascii="Palatino Linotype" w:eastAsia="MS Mincho" w:hAnsi="Palatino Linotype"/>
          <w:color w:val="000000"/>
          <w:lang w:val="es-ES_tradnl"/>
        </w:rPr>
      </w:pPr>
      <w:r w:rsidRPr="00BC16BD">
        <w:rPr>
          <w:rFonts w:ascii="Palatino Linotype" w:eastAsia="MS Mincho" w:hAnsi="Palatino Linotype"/>
          <w:color w:val="000000"/>
          <w:lang w:val="es-ES_tradnl"/>
        </w:rPr>
        <w:t xml:space="preserve">Sirve </w:t>
      </w:r>
      <w:r w:rsidRPr="00BC16BD">
        <w:rPr>
          <w:rFonts w:ascii="Palatino Linotype" w:eastAsia="MS Mincho" w:hAnsi="Palatino Linotype"/>
          <w:lang w:val="es-ES_tradnl"/>
        </w:rPr>
        <w:t>de apoyo a lo anterior, el Criterio 31-10 emitido por el entonces Instituto Federal de Acceso a la Información y Protección de Datos, mismo que dice:</w:t>
      </w:r>
    </w:p>
    <w:p w14:paraId="5AB2A8D6" w14:textId="77777777" w:rsidR="00D92D94" w:rsidRPr="00BC16BD" w:rsidRDefault="00D92D94" w:rsidP="00BC16BD">
      <w:pPr>
        <w:tabs>
          <w:tab w:val="left" w:pos="426"/>
        </w:tabs>
        <w:spacing w:line="360" w:lineRule="auto"/>
        <w:ind w:right="758"/>
        <w:contextualSpacing/>
        <w:jc w:val="both"/>
        <w:rPr>
          <w:rFonts w:ascii="Palatino Linotype" w:eastAsia="MS Mincho" w:hAnsi="Palatino Linotype"/>
          <w:color w:val="000000"/>
          <w:lang w:val="es-ES_tradnl"/>
        </w:rPr>
      </w:pPr>
    </w:p>
    <w:p w14:paraId="25C9FEB6" w14:textId="71732B38" w:rsidR="00CB6E8B" w:rsidRPr="00BC16BD" w:rsidRDefault="00D92D94" w:rsidP="00BC16BD">
      <w:pPr>
        <w:spacing w:line="360" w:lineRule="auto"/>
        <w:ind w:left="567" w:right="758"/>
        <w:jc w:val="both"/>
        <w:rPr>
          <w:rFonts w:ascii="Palatino Linotype" w:eastAsia="MS Mincho" w:hAnsi="Palatino Linotype"/>
          <w:i/>
        </w:rPr>
      </w:pPr>
      <w:r w:rsidRPr="00BC16BD">
        <w:rPr>
          <w:rFonts w:ascii="Palatino Linotype" w:eastAsia="MS Mincho" w:hAnsi="Palatino Linotype"/>
          <w:i/>
        </w:rPr>
        <w:lastRenderedPageBreak/>
        <w:t>“</w:t>
      </w:r>
      <w:r w:rsidRPr="00BC16BD">
        <w:rPr>
          <w:rFonts w:ascii="Palatino Linotype" w:eastAsia="MS Mincho" w:hAnsi="Palatino Linotype"/>
          <w:b/>
          <w:i/>
        </w:rPr>
        <w:t>El Instituto Federal de Acceso a la Información y Protección de Datos no cuenta con facultades para pronunciarse respecto de la veracidad de los documentos proporcionados por los sujetos obligados.</w:t>
      </w:r>
      <w:r w:rsidRPr="00BC16BD">
        <w:rPr>
          <w:rFonts w:ascii="Palatino Linotype" w:eastAsia="MS Mincho"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w:t>
      </w:r>
      <w:r w:rsidR="00B92A80" w:rsidRPr="00BC16BD">
        <w:rPr>
          <w:rFonts w:ascii="Palatino Linotype" w:eastAsia="MS Mincho" w:hAnsi="Palatino Linotype"/>
          <w:i/>
        </w:rPr>
        <w:t>recurso revisión, al respecto.”</w:t>
      </w:r>
    </w:p>
    <w:p w14:paraId="46D6D680" w14:textId="1FFCD553" w:rsidR="00B92A80" w:rsidRPr="00BC16BD" w:rsidRDefault="00B92A80" w:rsidP="00BC16BD">
      <w:pPr>
        <w:spacing w:line="360" w:lineRule="auto"/>
        <w:ind w:right="758"/>
        <w:jc w:val="both"/>
        <w:rPr>
          <w:rFonts w:ascii="Palatino Linotype" w:eastAsia="MS Mincho" w:hAnsi="Palatino Linotype"/>
          <w:i/>
        </w:rPr>
      </w:pPr>
    </w:p>
    <w:p w14:paraId="42D90EFC" w14:textId="77777777" w:rsidR="00B92A80" w:rsidRPr="00BC16BD" w:rsidRDefault="00B92A80" w:rsidP="00BC16BD">
      <w:pPr>
        <w:pStyle w:val="Ttulo1"/>
        <w:spacing w:line="360" w:lineRule="auto"/>
        <w:rPr>
          <w:rFonts w:ascii="Palatino Linotype" w:eastAsia="MS Mincho" w:hAnsi="Palatino Linotype" w:cs="Arial"/>
          <w:b/>
          <w:color w:val="auto"/>
          <w:sz w:val="24"/>
          <w:szCs w:val="24"/>
          <w:lang w:val="es-MX"/>
        </w:rPr>
      </w:pPr>
      <w:bookmarkStart w:id="62" w:name="_Toc95264751"/>
      <w:bookmarkStart w:id="63" w:name="_Toc95344560"/>
      <w:r w:rsidRPr="00BC16BD">
        <w:rPr>
          <w:rFonts w:ascii="Palatino Linotype" w:hAnsi="Palatino Linotype"/>
          <w:b/>
          <w:color w:val="auto"/>
          <w:sz w:val="24"/>
          <w:szCs w:val="24"/>
          <w:lang w:val="es-MX" w:eastAsia="en-US"/>
        </w:rPr>
        <w:t>II. De la competencia del Sujeto Obligado para poseer, generar o administrar la información.</w:t>
      </w:r>
      <w:bookmarkEnd w:id="62"/>
      <w:bookmarkEnd w:id="63"/>
      <w:r w:rsidRPr="00BC16BD">
        <w:rPr>
          <w:rFonts w:ascii="Palatino Linotype" w:hAnsi="Palatino Linotype"/>
          <w:b/>
          <w:color w:val="auto"/>
          <w:sz w:val="24"/>
          <w:szCs w:val="24"/>
          <w:lang w:val="es-MX" w:eastAsia="en-US"/>
        </w:rPr>
        <w:t xml:space="preserve"> </w:t>
      </w:r>
    </w:p>
    <w:p w14:paraId="2F5BC796" w14:textId="77777777" w:rsidR="00B92A80" w:rsidRPr="00BC16BD" w:rsidRDefault="00B92A80" w:rsidP="00BC16BD">
      <w:pPr>
        <w:spacing w:line="360" w:lineRule="auto"/>
        <w:ind w:right="758"/>
        <w:jc w:val="both"/>
        <w:rPr>
          <w:rFonts w:ascii="Palatino Linotype" w:eastAsia="MS Mincho" w:hAnsi="Palatino Linotype"/>
          <w:i/>
        </w:rPr>
      </w:pPr>
    </w:p>
    <w:p w14:paraId="093205FA" w14:textId="564F7988" w:rsidR="00B92A80" w:rsidRPr="00BC16BD" w:rsidRDefault="00B92A80" w:rsidP="00694F4C">
      <w:pPr>
        <w:pStyle w:val="Prrafodelista"/>
        <w:numPr>
          <w:ilvl w:val="0"/>
          <w:numId w:val="5"/>
        </w:numPr>
        <w:spacing w:line="360" w:lineRule="auto"/>
        <w:ind w:left="0" w:firstLine="0"/>
        <w:jc w:val="both"/>
        <w:rPr>
          <w:rFonts w:ascii="Palatino Linotype" w:eastAsia="MS Mincho" w:hAnsi="Palatino Linotype" w:cs="Arial"/>
          <w:i/>
          <w:lang w:val="es-MX"/>
        </w:rPr>
      </w:pPr>
      <w:r w:rsidRPr="00BC16BD">
        <w:rPr>
          <w:rFonts w:ascii="Palatino Linotype" w:hAnsi="Palatino Linotype"/>
          <w:lang w:val="es-ES_tradnl"/>
        </w:rPr>
        <w:t xml:space="preserve">Ahora bien, en relación al punto 2 y 3 del cuadro de análisis antes citado, se advierte que el </w:t>
      </w:r>
      <w:r w:rsidRPr="00BC16BD">
        <w:rPr>
          <w:rFonts w:ascii="Palatino Linotype" w:hAnsi="Palatino Linotype"/>
          <w:b/>
          <w:lang w:val="es-ES_tradnl"/>
        </w:rPr>
        <w:t xml:space="preserve">SUJETO OBLIGADO </w:t>
      </w:r>
      <w:r w:rsidRPr="00BC16BD">
        <w:rPr>
          <w:rFonts w:ascii="Palatino Linotype" w:hAnsi="Palatino Linotype"/>
          <w:lang w:val="es-ES_tradnl"/>
        </w:rPr>
        <w:t xml:space="preserve">no emitió respuesta, </w:t>
      </w:r>
      <w:r w:rsidRPr="00BC16BD">
        <w:rPr>
          <w:rFonts w:ascii="Palatino Linotype" w:eastAsia="MS Mincho" w:hAnsi="Palatino Linotype" w:cs="Arial"/>
          <w:color w:val="000000"/>
          <w:lang w:val="es-MX"/>
        </w:rPr>
        <w:t>así</w:t>
      </w:r>
      <w:r w:rsidRPr="00BC16BD">
        <w:rPr>
          <w:rFonts w:ascii="Palatino Linotype" w:eastAsia="Calibri" w:hAnsi="Palatino Linotype" w:cs="Arial"/>
          <w:bCs/>
        </w:rPr>
        <w:t xml:space="preserve">, es pertinente mencionar que, </w:t>
      </w:r>
      <w:r w:rsidRPr="00BC16BD">
        <w:rPr>
          <w:rFonts w:ascii="Palatino Linotype" w:eastAsia="MS Mincho" w:hAnsi="Palatino Linotype"/>
          <w:lang w:eastAsia="es-ES_tradnl"/>
        </w:rPr>
        <w:t xml:space="preserve">el </w:t>
      </w:r>
      <w:r w:rsidRPr="00BC16BD">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Obligados tienen el ineludible compromiso de documentar todos los actos que deriven de sus </w:t>
      </w:r>
      <w:r w:rsidRPr="00BC16BD">
        <w:rPr>
          <w:rFonts w:ascii="Palatino Linotype" w:eastAsia="Calibri" w:hAnsi="Palatino Linotype" w:cs="Arial"/>
          <w:color w:val="000000"/>
          <w:lang w:val="es-MX" w:eastAsia="en-US"/>
        </w:rPr>
        <w:lastRenderedPageBreak/>
        <w:t>atribuciones, funciones y competencias considerando desde su origen la eventual publicidad de la información como a continuación se observa:</w:t>
      </w:r>
    </w:p>
    <w:p w14:paraId="5F1BF141" w14:textId="77777777" w:rsidR="00B92A80" w:rsidRPr="00BC16BD" w:rsidRDefault="00B92A80" w:rsidP="00BC16BD">
      <w:pPr>
        <w:pStyle w:val="Prrafodelista"/>
        <w:spacing w:before="240" w:after="360" w:line="360" w:lineRule="auto"/>
        <w:ind w:left="0"/>
        <w:contextualSpacing/>
        <w:jc w:val="both"/>
        <w:rPr>
          <w:rFonts w:ascii="Palatino Linotype" w:eastAsia="MS Mincho" w:hAnsi="Palatino Linotype" w:cs="Arial"/>
          <w:i/>
          <w:lang w:val="es-MX"/>
        </w:rPr>
      </w:pPr>
    </w:p>
    <w:p w14:paraId="6C2C8A32" w14:textId="6C8E9314" w:rsidR="00B92A80" w:rsidRPr="00BC16BD" w:rsidRDefault="00B92A80" w:rsidP="00BC16B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BC16BD">
        <w:rPr>
          <w:rFonts w:ascii="Palatino Linotype" w:eastAsia="Calibri" w:hAnsi="Palatino Linotype"/>
          <w:b/>
          <w:i/>
          <w:lang w:val="es-MX" w:eastAsia="es-ES_tradnl"/>
        </w:rPr>
        <w:t>Artículo 18.</w:t>
      </w:r>
      <w:r w:rsidRPr="00BC16BD">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4AD6425" w14:textId="77777777" w:rsidR="00B92A80" w:rsidRPr="00BC16BD" w:rsidRDefault="00B92A80" w:rsidP="00BC16BD">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03BE88EB" w14:textId="3D9308B3" w:rsidR="00B92A80" w:rsidRPr="00BC16BD" w:rsidRDefault="00B92A80"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BC16BD">
        <w:rPr>
          <w:rFonts w:ascii="Palatino Linotype" w:eastAsia="Calibri" w:hAnsi="Palatino Linotype" w:cs="Arial"/>
          <w:lang w:val="es-MX" w:eastAsia="en-US"/>
        </w:rPr>
        <w:t xml:space="preserve">Por otro lado, </w:t>
      </w:r>
      <w:r w:rsidRPr="00BC16BD">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BC16BD">
        <w:rPr>
          <w:rFonts w:ascii="Palatino Linotype" w:hAnsi="Palatino Linotype"/>
          <w:b/>
          <w:lang w:val="es-MX" w:eastAsia="es-MX"/>
        </w:rPr>
        <w:t>SUJETOS OBLIGADOS</w:t>
      </w:r>
      <w:r w:rsidRPr="00BC16BD">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F975073" w14:textId="77777777" w:rsidR="00B92A80" w:rsidRPr="00BC16BD" w:rsidRDefault="00B92A80" w:rsidP="00BC16BD">
      <w:pPr>
        <w:spacing w:before="240" w:after="240" w:line="360" w:lineRule="auto"/>
        <w:ind w:right="49"/>
        <w:contextualSpacing/>
        <w:jc w:val="both"/>
        <w:rPr>
          <w:rFonts w:ascii="Palatino Linotype" w:eastAsia="Calibri" w:hAnsi="Palatino Linotype" w:cs="Arial"/>
          <w:lang w:val="es-MX" w:eastAsia="en-US"/>
        </w:rPr>
      </w:pPr>
    </w:p>
    <w:p w14:paraId="2AF624A5"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w:t>
      </w:r>
      <w:r w:rsidRPr="00BC16BD">
        <w:rPr>
          <w:rFonts w:ascii="Palatino Linotype" w:hAnsi="Palatino Linotype"/>
          <w:b/>
          <w:i/>
          <w:lang w:eastAsia="en-US"/>
        </w:rPr>
        <w:t>Artículo 4.</w:t>
      </w:r>
      <w:r w:rsidRPr="00BC16BD">
        <w:rPr>
          <w:rFonts w:ascii="Palatino Linotype" w:hAnsi="Palatino Linotype"/>
          <w:i/>
          <w:lang w:eastAsia="en-US"/>
        </w:rPr>
        <w:t xml:space="preserve"> </w:t>
      </w:r>
    </w:p>
    <w:p w14:paraId="3FE891C0"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w:t>
      </w:r>
    </w:p>
    <w:p w14:paraId="582C5B59"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BC16BD">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BC16BD">
        <w:rPr>
          <w:rFonts w:ascii="Palatino Linotype" w:hAnsi="Palatino Linotype"/>
          <w:b/>
          <w:i/>
          <w:lang w:eastAsia="en-US"/>
        </w:rPr>
        <w:t>principio de máxima publicidad</w:t>
      </w:r>
      <w:r w:rsidRPr="00BC16BD">
        <w:rPr>
          <w:rFonts w:ascii="Palatino Linotype" w:hAnsi="Palatino Linotype"/>
          <w:i/>
          <w:lang w:eastAsia="en-US"/>
        </w:rPr>
        <w:t xml:space="preserve"> de la información. </w:t>
      </w:r>
      <w:r w:rsidRPr="00BC16BD">
        <w:rPr>
          <w:rFonts w:ascii="Palatino Linotype" w:hAnsi="Palatino Linotype"/>
          <w:i/>
          <w:lang w:eastAsia="en-US"/>
        </w:rPr>
        <w:lastRenderedPageBreak/>
        <w:t>Solo podrá ser clasificada excepcionalmente como reservada temporalmente por razones de interés público, en los términos de las causas legítimas y estrictamente necesarias previstas por esta Ley.”</w:t>
      </w:r>
    </w:p>
    <w:p w14:paraId="38B9550D"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w:t>
      </w:r>
    </w:p>
    <w:p w14:paraId="3900A6E5" w14:textId="77777777" w:rsidR="00B92A80" w:rsidRPr="00BC16BD" w:rsidRDefault="00B92A80" w:rsidP="00BC16BD">
      <w:pPr>
        <w:spacing w:after="160" w:line="360" w:lineRule="auto"/>
        <w:ind w:right="567"/>
        <w:jc w:val="both"/>
        <w:rPr>
          <w:rFonts w:ascii="Palatino Linotype" w:hAnsi="Palatino Linotype"/>
          <w:lang w:eastAsia="en-US"/>
        </w:rPr>
      </w:pPr>
    </w:p>
    <w:p w14:paraId="690F6A7E" w14:textId="77777777" w:rsidR="00B92A80" w:rsidRPr="00BC16BD" w:rsidRDefault="00B92A80" w:rsidP="00BC16BD">
      <w:pPr>
        <w:spacing w:after="160" w:line="360" w:lineRule="auto"/>
        <w:ind w:left="567" w:right="567"/>
        <w:jc w:val="both"/>
        <w:rPr>
          <w:rFonts w:ascii="Palatino Linotype" w:hAnsi="Palatino Linotype"/>
          <w:i/>
          <w:lang w:eastAsia="en-US"/>
        </w:rPr>
      </w:pPr>
      <w:r w:rsidRPr="00BC16BD">
        <w:rPr>
          <w:rFonts w:ascii="Palatino Linotype" w:hAnsi="Palatino Linotype"/>
          <w:i/>
          <w:lang w:eastAsia="en-US"/>
        </w:rPr>
        <w:t>(Énfasis añadido)</w:t>
      </w:r>
    </w:p>
    <w:p w14:paraId="0F7552AC" w14:textId="77777777" w:rsidR="00B92A80" w:rsidRPr="00BC16BD" w:rsidRDefault="00B92A80" w:rsidP="00BC16BD">
      <w:pPr>
        <w:spacing w:after="160" w:line="360" w:lineRule="auto"/>
        <w:ind w:left="567" w:right="738"/>
        <w:jc w:val="both"/>
        <w:rPr>
          <w:rFonts w:ascii="Palatino Linotype" w:hAnsi="Palatino Linotype"/>
          <w:i/>
          <w:lang w:eastAsia="en-US"/>
        </w:rPr>
      </w:pPr>
    </w:p>
    <w:p w14:paraId="22F13D5E" w14:textId="77777777" w:rsidR="00B92A80" w:rsidRPr="00BC16BD" w:rsidRDefault="00B92A80" w:rsidP="00694F4C">
      <w:pPr>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BC16BD">
        <w:rPr>
          <w:rFonts w:ascii="Palatino Linotype" w:eastAsia="Calibri" w:hAnsi="Palatino Linotype" w:cs="Arial"/>
          <w:lang w:val="es-MX" w:eastAsia="en-US"/>
        </w:rPr>
        <w:t xml:space="preserve">En ese sentido, no debe de pasar de vista para el </w:t>
      </w:r>
      <w:r w:rsidRPr="00BC16BD">
        <w:rPr>
          <w:rFonts w:ascii="Palatino Linotype" w:eastAsia="Calibri" w:hAnsi="Palatino Linotype" w:cs="Arial"/>
          <w:b/>
          <w:lang w:val="es-MX" w:eastAsia="en-US"/>
        </w:rPr>
        <w:t>SUJETO OBLIGADO</w:t>
      </w:r>
      <w:r w:rsidRPr="00BC16BD">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BCC116C" w14:textId="77777777" w:rsidR="00B92A80" w:rsidRPr="00BC16BD" w:rsidRDefault="00B92A80" w:rsidP="00BC16BD">
      <w:pPr>
        <w:spacing w:before="240" w:after="240" w:line="360" w:lineRule="auto"/>
        <w:ind w:left="426" w:right="49"/>
        <w:contextualSpacing/>
        <w:jc w:val="both"/>
        <w:rPr>
          <w:rFonts w:ascii="Palatino Linotype" w:eastAsia="Calibri" w:hAnsi="Palatino Linotype" w:cs="Arial"/>
          <w:lang w:val="es-MX" w:eastAsia="en-US"/>
        </w:rPr>
      </w:pPr>
    </w:p>
    <w:p w14:paraId="7EC520A4"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Pr="00BC16BD">
        <w:rPr>
          <w:rFonts w:ascii="Palatino Linotype" w:eastAsia="Calibri" w:hAnsi="Palatino Linotype"/>
          <w:b/>
          <w:i/>
          <w:lang w:val="es-MX" w:eastAsia="en-US"/>
        </w:rPr>
        <w:t>Artículo 8.</w:t>
      </w:r>
      <w:r w:rsidRPr="00BC16BD">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B822D8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7C1ABC0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b/>
          <w:i/>
          <w:lang w:val="es-MX" w:eastAsia="en-US"/>
        </w:rPr>
        <w:lastRenderedPageBreak/>
        <w:t>En la aplicación e interpretación de la presente Ley deberá prevalecer el principio de máxima publicidad,</w:t>
      </w:r>
      <w:r w:rsidRPr="00BC16BD">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8AD880F"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24495DA0"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2D99831D"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r w:rsidRPr="00BC16BD">
        <w:rPr>
          <w:rFonts w:ascii="Palatino Linotype" w:eastAsia="Calibri" w:hAnsi="Palatino Linotype"/>
          <w:i/>
          <w:lang w:val="es-MX" w:eastAsia="en-US"/>
        </w:rPr>
        <w:t>(Énfasis añadido)</w:t>
      </w:r>
    </w:p>
    <w:p w14:paraId="7547CE04" w14:textId="77777777" w:rsidR="00B92A80" w:rsidRPr="00BC16BD" w:rsidRDefault="00B92A80" w:rsidP="00BC16BD">
      <w:pPr>
        <w:spacing w:after="160" w:line="360" w:lineRule="auto"/>
        <w:ind w:left="567" w:right="567"/>
        <w:jc w:val="both"/>
        <w:rPr>
          <w:rFonts w:ascii="Palatino Linotype" w:eastAsia="Calibri" w:hAnsi="Palatino Linotype"/>
          <w:i/>
          <w:lang w:val="es-MX" w:eastAsia="en-US"/>
        </w:rPr>
      </w:pPr>
    </w:p>
    <w:p w14:paraId="5EB77187" w14:textId="77777777" w:rsidR="00B92A80" w:rsidRPr="00BC16BD" w:rsidRDefault="00B92A80" w:rsidP="00694F4C">
      <w:pPr>
        <w:numPr>
          <w:ilvl w:val="0"/>
          <w:numId w:val="5"/>
        </w:numPr>
        <w:spacing w:after="160" w:line="360" w:lineRule="auto"/>
        <w:ind w:left="0" w:firstLine="0"/>
        <w:contextualSpacing/>
        <w:jc w:val="both"/>
        <w:rPr>
          <w:rFonts w:ascii="Palatino Linotype" w:eastAsia="MS Mincho" w:hAnsi="Palatino Linotype"/>
          <w:lang w:val="es-MX" w:eastAsia="en-US"/>
        </w:rPr>
      </w:pPr>
      <w:r w:rsidRPr="00BC16BD">
        <w:rPr>
          <w:rFonts w:ascii="Palatino Linotype" w:eastAsia="Calibri" w:hAnsi="Palatino Linotype" w:cs="Arial"/>
          <w:bCs/>
          <w:lang w:val="es-MX" w:eastAsia="en-US"/>
        </w:rPr>
        <w:t xml:space="preserve">Además, </w:t>
      </w:r>
      <w:r w:rsidRPr="00BC16BD">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3E8B2E78" w14:textId="77777777" w:rsidR="00B92A80" w:rsidRPr="00BC16BD" w:rsidRDefault="00B92A80" w:rsidP="00BC16BD">
      <w:pPr>
        <w:spacing w:after="160" w:line="360" w:lineRule="auto"/>
        <w:contextualSpacing/>
        <w:jc w:val="both"/>
        <w:rPr>
          <w:rFonts w:ascii="Palatino Linotype" w:hAnsi="Palatino Linotype" w:cs="Arial"/>
          <w:i/>
          <w:lang w:val="es-MX" w:eastAsia="en-US"/>
        </w:rPr>
      </w:pPr>
    </w:p>
    <w:p w14:paraId="7C82970B" w14:textId="77777777" w:rsidR="00B92A80" w:rsidRPr="00BC16BD" w:rsidRDefault="00B92A80" w:rsidP="00BC16BD">
      <w:pPr>
        <w:spacing w:after="160" w:line="360" w:lineRule="auto"/>
        <w:ind w:left="426" w:right="616"/>
        <w:contextualSpacing/>
        <w:jc w:val="both"/>
        <w:rPr>
          <w:rFonts w:ascii="Palatino Linotype" w:hAnsi="Palatino Linotype" w:cs="Arial"/>
          <w:i/>
          <w:lang w:val="es-MX" w:eastAsia="en-US"/>
        </w:rPr>
      </w:pPr>
      <w:r w:rsidRPr="00BC16BD">
        <w:rPr>
          <w:rFonts w:ascii="Palatino Linotype" w:hAnsi="Palatino Linotype" w:cs="Arial"/>
          <w:b/>
          <w:i/>
          <w:lang w:eastAsia="en-US"/>
        </w:rPr>
        <w:t>“Artículo 23.</w:t>
      </w:r>
      <w:r w:rsidRPr="00BC16BD">
        <w:rPr>
          <w:rFonts w:ascii="Palatino Linotype" w:hAnsi="Palatino Linotype" w:cs="Arial"/>
          <w:i/>
          <w:lang w:eastAsia="en-US"/>
        </w:rPr>
        <w:t xml:space="preserve"> Son sujetos obligados a transparentar y permitir el acceso a su información y proteger los datos personales que obren en su poder:”</w:t>
      </w:r>
    </w:p>
    <w:p w14:paraId="38E97EF4" w14:textId="77777777" w:rsidR="00B92A80" w:rsidRPr="00BC16BD" w:rsidRDefault="00B92A80" w:rsidP="00BC16BD">
      <w:pPr>
        <w:spacing w:after="160" w:line="360" w:lineRule="auto"/>
        <w:contextualSpacing/>
        <w:jc w:val="both"/>
        <w:rPr>
          <w:rFonts w:ascii="Palatino Linotype" w:eastAsia="MS Mincho" w:hAnsi="Palatino Linotype"/>
          <w:lang w:val="es-MX" w:eastAsia="en-US"/>
        </w:rPr>
      </w:pPr>
    </w:p>
    <w:p w14:paraId="70B81727"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lang w:val="es-MX"/>
        </w:rPr>
      </w:pPr>
      <w:r w:rsidRPr="00BC16BD">
        <w:rPr>
          <w:rFonts w:ascii="Palatino Linotype" w:eastAsia="MS Mincho" w:hAnsi="Palatino Linotype" w:cs="Arial"/>
          <w:lang w:val="es-MX"/>
        </w:rPr>
        <w:t>(…)</w:t>
      </w:r>
    </w:p>
    <w:p w14:paraId="615D1C11"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b/>
          <w:lang w:val="es-MX"/>
        </w:rPr>
      </w:pPr>
    </w:p>
    <w:p w14:paraId="4C0A9D67" w14:textId="77777777" w:rsidR="00B92A80" w:rsidRPr="00BC16BD" w:rsidRDefault="00B92A80" w:rsidP="00BC16BD">
      <w:pPr>
        <w:spacing w:before="240" w:after="240" w:line="360" w:lineRule="auto"/>
        <w:ind w:left="567" w:right="616"/>
        <w:contextualSpacing/>
        <w:jc w:val="both"/>
        <w:rPr>
          <w:rFonts w:ascii="Palatino Linotype" w:eastAsia="MS Mincho" w:hAnsi="Palatino Linotype" w:cs="Arial"/>
          <w:b/>
          <w:i/>
          <w:lang w:val="es-MX"/>
        </w:rPr>
      </w:pPr>
      <w:r w:rsidRPr="00BC16BD">
        <w:rPr>
          <w:rFonts w:ascii="Palatino Linotype" w:eastAsia="MS Mincho" w:hAnsi="Palatino Linotype" w:cs="Arial"/>
          <w:b/>
          <w:i/>
        </w:rPr>
        <w:lastRenderedPageBreak/>
        <w:t>IV. Los ayuntamientos y las dependencias, organismos, órganos y entidades de la administración municipal</w:t>
      </w:r>
      <w:r w:rsidRPr="00BC16BD">
        <w:rPr>
          <w:rFonts w:ascii="Palatino Linotype" w:eastAsia="MS Mincho" w:hAnsi="Palatino Linotype" w:cs="Arial"/>
          <w:b/>
          <w:i/>
          <w:lang w:val="es-MX"/>
        </w:rPr>
        <w:t>;"</w:t>
      </w:r>
    </w:p>
    <w:p w14:paraId="4E456178" w14:textId="77777777" w:rsidR="00B92A80" w:rsidRPr="00BC16BD" w:rsidRDefault="00B92A80" w:rsidP="00BC16BD">
      <w:pPr>
        <w:tabs>
          <w:tab w:val="left" w:pos="851"/>
        </w:tabs>
        <w:spacing w:line="360" w:lineRule="auto"/>
        <w:ind w:right="616"/>
        <w:contextualSpacing/>
        <w:jc w:val="both"/>
        <w:rPr>
          <w:rFonts w:ascii="Palatino Linotype" w:hAnsi="Palatino Linotype" w:cs="Arial"/>
          <w:b/>
          <w:i/>
          <w:lang w:val="es-MX" w:eastAsia="en-US"/>
        </w:rPr>
      </w:pPr>
    </w:p>
    <w:p w14:paraId="56B90565" w14:textId="77777777" w:rsidR="00B92A80" w:rsidRPr="00BC16BD" w:rsidRDefault="00B92A80" w:rsidP="00BC16BD">
      <w:pPr>
        <w:tabs>
          <w:tab w:val="left" w:pos="851"/>
        </w:tabs>
        <w:spacing w:line="360" w:lineRule="auto"/>
        <w:ind w:left="567" w:right="616"/>
        <w:contextualSpacing/>
        <w:jc w:val="both"/>
        <w:rPr>
          <w:rFonts w:ascii="Palatino Linotype" w:hAnsi="Palatino Linotype" w:cs="Arial"/>
          <w:i/>
          <w:lang w:val="es-MX" w:eastAsia="en-US"/>
        </w:rPr>
      </w:pPr>
      <w:r w:rsidRPr="00BC16BD">
        <w:rPr>
          <w:rFonts w:ascii="Palatino Linotype" w:hAnsi="Palatino Linotype" w:cs="Arial"/>
          <w:i/>
          <w:lang w:val="es-MX" w:eastAsia="en-US"/>
        </w:rPr>
        <w:t>(…)”</w:t>
      </w:r>
    </w:p>
    <w:p w14:paraId="1310D480" w14:textId="77777777" w:rsidR="00B92A80" w:rsidRPr="00BC16BD" w:rsidRDefault="00B92A80" w:rsidP="00BC16BD">
      <w:pPr>
        <w:spacing w:line="360" w:lineRule="auto"/>
        <w:rPr>
          <w:rFonts w:ascii="Palatino Linotype" w:hAnsi="Palatino Linotype"/>
        </w:rPr>
      </w:pPr>
    </w:p>
    <w:p w14:paraId="07B5000E" w14:textId="77777777" w:rsidR="00B92A80" w:rsidRPr="00BC16BD" w:rsidRDefault="00B92A80" w:rsidP="00694F4C">
      <w:pPr>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t xml:space="preserve">En ese sentido y en relación al tema que nos ocupa resulta trascendente lo establecido por el artículo 12 de la Ley de Transparencia Estatal, mismo que señala que quienes generen, recopilan, administren, manejen, procesen, archiven o conserven información pública son responsables de proporcionarla en los términos que obre en sus archivos, como a continuación se observa:    </w:t>
      </w:r>
    </w:p>
    <w:p w14:paraId="45CFCC7D" w14:textId="77777777" w:rsidR="00B92A80" w:rsidRPr="00BC16BD" w:rsidRDefault="00B92A80" w:rsidP="00BC16BD">
      <w:pPr>
        <w:spacing w:before="240" w:after="240" w:line="360" w:lineRule="auto"/>
        <w:ind w:right="49"/>
        <w:contextualSpacing/>
        <w:jc w:val="both"/>
        <w:rPr>
          <w:rFonts w:ascii="Palatino Linotype" w:eastAsia="Calibri" w:hAnsi="Palatino Linotype"/>
        </w:rPr>
      </w:pPr>
    </w:p>
    <w:p w14:paraId="4FE4A21D" w14:textId="77777777" w:rsidR="00B92A80" w:rsidRPr="00BC16BD" w:rsidRDefault="00B92A80"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b/>
          <w:i/>
        </w:rPr>
        <w:t>“Artículo 12.</w:t>
      </w:r>
      <w:r w:rsidRPr="00BC16BD">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12C100D" w14:textId="77777777" w:rsidR="00B92A80" w:rsidRPr="00BC16BD" w:rsidRDefault="00B92A80" w:rsidP="00BC16BD">
      <w:pPr>
        <w:spacing w:before="240" w:after="240" w:line="360" w:lineRule="auto"/>
        <w:ind w:left="540" w:right="738"/>
        <w:contextualSpacing/>
        <w:jc w:val="both"/>
        <w:rPr>
          <w:rFonts w:ascii="Palatino Linotype" w:hAnsi="Palatino Linotype"/>
          <w:i/>
        </w:rPr>
      </w:pPr>
    </w:p>
    <w:p w14:paraId="62706A35" w14:textId="77777777" w:rsidR="00B92A80" w:rsidRPr="00BC16BD" w:rsidRDefault="00B92A80" w:rsidP="00BC16BD">
      <w:pPr>
        <w:spacing w:before="240" w:after="240" w:line="360" w:lineRule="auto"/>
        <w:ind w:left="540" w:right="738"/>
        <w:contextualSpacing/>
        <w:jc w:val="both"/>
        <w:rPr>
          <w:rFonts w:ascii="Palatino Linotype" w:eastAsia="Calibri" w:hAnsi="Palatino Linotype"/>
          <w:i/>
        </w:rPr>
      </w:pPr>
      <w:r w:rsidRPr="00BC16BD">
        <w:rPr>
          <w:rFonts w:ascii="Palatino Linotype" w:hAnsi="Palatino Linotype"/>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0DA768E5" w14:textId="77777777" w:rsidR="00B92A80" w:rsidRPr="00BC16BD" w:rsidRDefault="00B92A80" w:rsidP="00BC16BD">
      <w:pPr>
        <w:spacing w:before="240" w:after="240" w:line="360" w:lineRule="auto"/>
        <w:ind w:right="49"/>
        <w:contextualSpacing/>
        <w:jc w:val="both"/>
        <w:rPr>
          <w:rFonts w:ascii="Palatino Linotype" w:eastAsia="Calibri" w:hAnsi="Palatino Linotype"/>
        </w:rPr>
      </w:pPr>
    </w:p>
    <w:p w14:paraId="6A6FD369" w14:textId="77777777" w:rsidR="00B92A80" w:rsidRPr="00BC16BD" w:rsidRDefault="00B92A80"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5F0E4227" w14:textId="77777777" w:rsidR="00B92A80" w:rsidRPr="00BC16BD" w:rsidRDefault="00B92A80" w:rsidP="00BC16BD">
      <w:pPr>
        <w:pStyle w:val="Prrafodelista"/>
        <w:spacing w:before="240" w:after="240" w:line="360" w:lineRule="auto"/>
        <w:ind w:left="0" w:right="49"/>
        <w:contextualSpacing/>
        <w:jc w:val="both"/>
        <w:rPr>
          <w:rFonts w:ascii="Palatino Linotype" w:eastAsia="Calibri" w:hAnsi="Palatino Linotype"/>
        </w:rPr>
      </w:pPr>
    </w:p>
    <w:p w14:paraId="410CB84C" w14:textId="77777777" w:rsidR="00B92A80" w:rsidRPr="00BC16BD" w:rsidRDefault="00B92A80" w:rsidP="00BC16BD">
      <w:pPr>
        <w:pStyle w:val="Prrafodelista"/>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rPr>
        <w:t>“</w:t>
      </w:r>
      <w:r w:rsidRPr="00BC16BD">
        <w:rPr>
          <w:rFonts w:ascii="Palatino Linotype" w:eastAsia="Calibri" w:hAnsi="Palatino Linotype"/>
          <w:b/>
          <w:i/>
        </w:rPr>
        <w:t>Artículo 7.</w:t>
      </w:r>
      <w:r w:rsidRPr="00BC16BD">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60A8941" w14:textId="1A52A91F" w:rsidR="003A3518" w:rsidRPr="00BC16BD" w:rsidRDefault="003A3518" w:rsidP="00BC16BD">
      <w:pPr>
        <w:pStyle w:val="Prrafodelista"/>
        <w:widowControl w:val="0"/>
        <w:tabs>
          <w:tab w:val="left" w:pos="0"/>
        </w:tabs>
        <w:autoSpaceDE w:val="0"/>
        <w:autoSpaceDN w:val="0"/>
        <w:adjustRightInd w:val="0"/>
        <w:spacing w:before="240" w:after="240" w:line="360" w:lineRule="auto"/>
        <w:ind w:left="0" w:right="49"/>
        <w:contextualSpacing/>
        <w:jc w:val="both"/>
        <w:rPr>
          <w:rFonts w:ascii="Palatino Linotype" w:eastAsia="Calibri" w:hAnsi="Palatino Linotype"/>
          <w:i/>
        </w:rPr>
      </w:pPr>
    </w:p>
    <w:p w14:paraId="5D7F5FB8" w14:textId="0F34E860" w:rsidR="00B92A80" w:rsidRPr="00BC16BD" w:rsidRDefault="00B92A80" w:rsidP="00694F4C">
      <w:pPr>
        <w:pStyle w:val="Prrafodelista"/>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Mincho" w:hAnsi="Palatino Linotype"/>
          <w:color w:val="000000"/>
          <w:lang w:val="es-MX" w:eastAsia="en-US"/>
        </w:rPr>
        <w:t xml:space="preserve">En relación al asunto que nos ocupa el artículo 92 de la multicitada Ley </w:t>
      </w:r>
      <w:r w:rsidR="00686C5C" w:rsidRPr="00BC16BD">
        <w:rPr>
          <w:rFonts w:ascii="Palatino Linotype" w:eastAsia="MS Mincho" w:hAnsi="Palatino Linotype"/>
          <w:color w:val="000000"/>
          <w:lang w:val="es-MX" w:eastAsia="en-US"/>
        </w:rPr>
        <w:t>Estatal de</w:t>
      </w:r>
      <w:r w:rsidRPr="00BC16BD">
        <w:rPr>
          <w:rFonts w:ascii="Palatino Linotype" w:eastAsia="MS Mincho" w:hAnsi="Palatino Linotype"/>
          <w:color w:val="000000"/>
          <w:lang w:val="es-MX" w:eastAsia="en-US"/>
        </w:rPr>
        <w:t xml:space="preserve"> Transparencia refiere lo siguiente</w:t>
      </w:r>
      <w:r w:rsidR="00686C5C" w:rsidRPr="00BC16BD">
        <w:rPr>
          <w:rFonts w:ascii="Palatino Linotype" w:eastAsia="MS Mincho" w:hAnsi="Palatino Linotype"/>
          <w:color w:val="000000"/>
          <w:lang w:val="es-MX" w:eastAsia="en-US"/>
        </w:rPr>
        <w:t xml:space="preserve">: </w:t>
      </w:r>
    </w:p>
    <w:p w14:paraId="7A88087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23CE690" w14:textId="77777777" w:rsidR="00686C5C" w:rsidRPr="00BC16BD" w:rsidRDefault="00B92A80"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“Artículo 92.</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Los sujetos obligados deberán poner a disposición del público de manera permanente y actualizada</w:t>
      </w:r>
      <w:r w:rsidRPr="00BC16BD">
        <w:rPr>
          <w:rFonts w:ascii="Palatino Linotype" w:eastAsia="Calibri" w:hAnsi="Palatino Linotype"/>
          <w:i/>
          <w:lang w:val="es-MX" w:eastAsia="en-US"/>
        </w:rPr>
        <w:t xml:space="preserve"> de forma sencilla, precisa y entendible, en los respectivos medios electrónicos, de acuerdo con sus facultades, atribuciones, funciones u objeto social, según corresponda, </w:t>
      </w:r>
      <w:r w:rsidRPr="00BC16BD">
        <w:rPr>
          <w:rFonts w:ascii="Palatino Linotype" w:eastAsia="Calibri" w:hAnsi="Palatino Linotype"/>
          <w:b/>
          <w:i/>
          <w:lang w:val="es-MX" w:eastAsia="en-US"/>
        </w:rPr>
        <w:t>la información</w:t>
      </w:r>
      <w:r w:rsidRPr="00BC16BD">
        <w:rPr>
          <w:rFonts w:ascii="Palatino Linotype" w:eastAsia="Calibri" w:hAnsi="Palatino Linotype"/>
          <w:i/>
          <w:lang w:val="es-MX" w:eastAsia="en-US"/>
        </w:rPr>
        <w:t xml:space="preserve">, por lo menos, </w:t>
      </w:r>
      <w:r w:rsidRPr="00BC16BD">
        <w:rPr>
          <w:rFonts w:ascii="Palatino Linotype" w:eastAsia="Calibri" w:hAnsi="Palatino Linotype"/>
          <w:b/>
          <w:i/>
          <w:lang w:val="es-MX" w:eastAsia="en-US"/>
        </w:rPr>
        <w:t>de los temas</w:t>
      </w:r>
      <w:r w:rsidRPr="00BC16BD">
        <w:rPr>
          <w:rFonts w:ascii="Palatino Linotype" w:eastAsia="Calibri" w:hAnsi="Palatino Linotype"/>
          <w:i/>
          <w:lang w:val="es-MX" w:eastAsia="en-US"/>
        </w:rPr>
        <w:t xml:space="preserve">, documentos y políticas </w:t>
      </w:r>
      <w:r w:rsidRPr="00BC16BD">
        <w:rPr>
          <w:rFonts w:ascii="Palatino Linotype" w:eastAsia="Calibri" w:hAnsi="Palatino Linotype"/>
          <w:b/>
          <w:i/>
          <w:lang w:val="es-MX" w:eastAsia="en-US"/>
        </w:rPr>
        <w:t>que a continuación se señalan</w:t>
      </w:r>
      <w:r w:rsidR="00686C5C" w:rsidRPr="00BC16BD">
        <w:rPr>
          <w:rFonts w:ascii="Palatino Linotype" w:eastAsia="Calibri" w:hAnsi="Palatino Linotype"/>
          <w:i/>
          <w:lang w:val="es-MX" w:eastAsia="en-US"/>
        </w:rPr>
        <w:t xml:space="preserve">: </w:t>
      </w:r>
    </w:p>
    <w:p w14:paraId="615A74FC" w14:textId="77777777" w:rsidR="00686C5C" w:rsidRPr="00BC16BD" w:rsidRDefault="00686C5C"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p>
    <w:p w14:paraId="4FBA6A71" w14:textId="0A451569" w:rsidR="00B92A80" w:rsidRPr="00BC16BD" w:rsidRDefault="00686C5C" w:rsidP="00BC16BD">
      <w:pPr>
        <w:tabs>
          <w:tab w:val="left" w:pos="142"/>
          <w:tab w:val="left" w:pos="284"/>
        </w:tabs>
        <w:spacing w:line="360" w:lineRule="auto"/>
        <w:ind w:left="567" w:right="616"/>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D925262" w14:textId="77777777" w:rsidR="00B92A80" w:rsidRPr="00BC16BD" w:rsidRDefault="00B92A80" w:rsidP="00BC16BD">
      <w:pPr>
        <w:tabs>
          <w:tab w:val="left" w:pos="142"/>
          <w:tab w:val="left" w:pos="284"/>
        </w:tabs>
        <w:spacing w:line="360" w:lineRule="auto"/>
        <w:ind w:left="567" w:right="616"/>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 xml:space="preserve"> </w:t>
      </w:r>
    </w:p>
    <w:p w14:paraId="316F5192" w14:textId="08A1B594"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 xml:space="preserve">XXV. </w:t>
      </w:r>
      <w:r w:rsidRPr="00BC16BD">
        <w:rPr>
          <w:rFonts w:ascii="Palatino Linotype" w:eastAsia="Calibri" w:hAnsi="Palatino Linotype"/>
          <w:i/>
          <w:lang w:val="es-MX" w:eastAsia="en-US"/>
        </w:rPr>
        <w:t xml:space="preserve">La información financiera sobre el presupuesto asignado, así como los informes del ejercicio trimestral del gasto, en términos de la Ley General de </w:t>
      </w:r>
      <w:r w:rsidRPr="00BC16BD">
        <w:rPr>
          <w:rFonts w:ascii="Palatino Linotype" w:eastAsia="Calibri" w:hAnsi="Palatino Linotype"/>
          <w:i/>
          <w:lang w:val="es-MX" w:eastAsia="en-US"/>
        </w:rPr>
        <w:lastRenderedPageBreak/>
        <w:t>Contabilidad Gubernamental y demás disposiciones jurídicas aplicables;</w:t>
      </w:r>
      <w:r w:rsidRPr="00BC16BD">
        <w:rPr>
          <w:rFonts w:ascii="Palatino Linotype" w:eastAsia="Calibri" w:hAnsi="Palatino Linotype"/>
          <w:b/>
          <w:i/>
          <w:lang w:val="es-MX" w:eastAsia="en-US"/>
        </w:rPr>
        <w:cr/>
      </w:r>
      <w:r w:rsidRPr="00BC16BD">
        <w:rPr>
          <w:rFonts w:ascii="Palatino Linotype" w:eastAsia="Calibri" w:hAnsi="Palatino Linotype"/>
          <w:i/>
          <w:lang w:val="es-MX" w:eastAsia="en-US"/>
        </w:rPr>
        <w:t>(…)</w:t>
      </w:r>
    </w:p>
    <w:p w14:paraId="3EBFA876" w14:textId="77777777"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301B8D6A" w14:textId="5B217A80"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r w:rsidRPr="00BC16BD">
        <w:rPr>
          <w:rFonts w:ascii="Palatino Linotype" w:eastAsia="Calibri" w:hAnsi="Palatino Linotype"/>
          <w:b/>
          <w:i/>
          <w:lang w:eastAsia="en-US"/>
        </w:rPr>
        <w:t>XXXII.</w:t>
      </w:r>
      <w:r w:rsidRPr="00BC16BD">
        <w:rPr>
          <w:rFonts w:ascii="Palatino Linotype" w:eastAsia="Calibri" w:hAnsi="Palatino Linotype"/>
          <w:i/>
          <w:lang w:eastAsia="en-US"/>
        </w:rPr>
        <w:t xml:space="preserve">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E655805" w14:textId="40BD4C05"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p>
    <w:p w14:paraId="391A22D9" w14:textId="15C2B338"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r w:rsidRPr="00BC16BD">
        <w:rPr>
          <w:rFonts w:ascii="Palatino Linotype" w:eastAsia="Calibri" w:hAnsi="Palatino Linotype"/>
          <w:i/>
          <w:lang w:eastAsia="en-US"/>
        </w:rPr>
        <w:t>(…)</w:t>
      </w:r>
    </w:p>
    <w:p w14:paraId="5CE763C4" w14:textId="77777777" w:rsidR="004572C3" w:rsidRPr="00BC16BD" w:rsidRDefault="004572C3" w:rsidP="00BC16BD">
      <w:pPr>
        <w:tabs>
          <w:tab w:val="left" w:pos="142"/>
          <w:tab w:val="left" w:pos="284"/>
        </w:tabs>
        <w:spacing w:line="360" w:lineRule="auto"/>
        <w:ind w:left="567" w:right="616"/>
        <w:jc w:val="both"/>
        <w:rPr>
          <w:rFonts w:ascii="Palatino Linotype" w:eastAsia="Calibri" w:hAnsi="Palatino Linotype"/>
          <w:i/>
          <w:lang w:eastAsia="en-US"/>
        </w:rPr>
      </w:pPr>
    </w:p>
    <w:p w14:paraId="16990AF5" w14:textId="26D1ADC4"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XXXV.</w:t>
      </w:r>
      <w:r w:rsidRPr="00BC16BD">
        <w:rPr>
          <w:rFonts w:ascii="Palatino Linotype" w:eastAsia="Calibri" w:hAnsi="Palatino Linotype"/>
          <w:i/>
          <w:lang w:val="es-MX" w:eastAsia="en-US"/>
        </w:rPr>
        <w:t xml:space="preserve"> Informes de avances programáticos o presupuestales, balances generales y estado financiero;</w:t>
      </w:r>
      <w:r w:rsidRPr="00BC16BD">
        <w:rPr>
          <w:rFonts w:ascii="Palatino Linotype" w:eastAsia="Calibri" w:hAnsi="Palatino Linotype"/>
          <w:i/>
          <w:lang w:val="es-MX" w:eastAsia="en-US"/>
        </w:rPr>
        <w:cr/>
        <w:t>(…)</w:t>
      </w:r>
    </w:p>
    <w:p w14:paraId="55040EF8" w14:textId="77777777"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08462655" w14:textId="7B9B2107" w:rsidR="00B92A80" w:rsidRPr="00BC16BD" w:rsidRDefault="00B92A80"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b/>
          <w:i/>
          <w:lang w:val="es-MX" w:eastAsia="en-US"/>
        </w:rPr>
        <w:t>XLVII.</w:t>
      </w:r>
      <w:r w:rsidRPr="00BC16BD">
        <w:rPr>
          <w:rFonts w:ascii="Palatino Linotype" w:eastAsia="Calibri" w:hAnsi="Palatino Linotype"/>
          <w:i/>
          <w:lang w:val="es-MX" w:eastAsia="en-US"/>
        </w:rPr>
        <w:t xml:space="preserve"> Los ingresos recibidos por cualquier concepto señalando el nombre de los responsables de recibirlos, administrarlos y ejercerlos, indicando el destino de cada uno de ellos;”</w:t>
      </w:r>
    </w:p>
    <w:p w14:paraId="090389F5" w14:textId="69AC9CA4"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1E023179" w14:textId="77251815"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6519D7D3" w14:textId="77777777"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73F23857" w14:textId="43F4DD28"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p>
    <w:p w14:paraId="23D5318F" w14:textId="5604D7DB" w:rsidR="00A5786B" w:rsidRPr="00BC16BD" w:rsidRDefault="00A5786B" w:rsidP="00BC16BD">
      <w:pPr>
        <w:tabs>
          <w:tab w:val="left" w:pos="142"/>
          <w:tab w:val="left" w:pos="284"/>
        </w:tabs>
        <w:spacing w:line="360" w:lineRule="auto"/>
        <w:ind w:left="567" w:right="616"/>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9DDB468" w14:textId="77777777" w:rsidR="00686C5C" w:rsidRPr="00BC16BD" w:rsidRDefault="00686C5C" w:rsidP="00BC16BD">
      <w:pPr>
        <w:tabs>
          <w:tab w:val="left" w:pos="142"/>
          <w:tab w:val="left" w:pos="284"/>
        </w:tabs>
        <w:spacing w:line="360" w:lineRule="auto"/>
        <w:ind w:left="567" w:right="616"/>
        <w:jc w:val="both"/>
        <w:rPr>
          <w:rFonts w:ascii="Palatino Linotype" w:eastAsia="Calibri" w:hAnsi="Palatino Linotype"/>
          <w:lang w:val="es-MX" w:eastAsia="en-US"/>
        </w:rPr>
      </w:pPr>
    </w:p>
    <w:p w14:paraId="6C0D56BF" w14:textId="1B102D19" w:rsidR="00627D79" w:rsidRPr="00BC16BD" w:rsidRDefault="00B92A80" w:rsidP="00BC16BD">
      <w:pPr>
        <w:tabs>
          <w:tab w:val="left" w:pos="142"/>
          <w:tab w:val="left" w:pos="284"/>
        </w:tabs>
        <w:spacing w:line="360" w:lineRule="auto"/>
        <w:ind w:left="567" w:right="616"/>
        <w:jc w:val="both"/>
        <w:rPr>
          <w:rFonts w:ascii="Palatino Linotype" w:eastAsia="Calibri" w:hAnsi="Palatino Linotype"/>
          <w:lang w:val="es-MX" w:eastAsia="en-US"/>
        </w:rPr>
      </w:pPr>
      <w:r w:rsidRPr="00BC16BD">
        <w:rPr>
          <w:rFonts w:ascii="Palatino Linotype" w:eastAsia="Calibri" w:hAnsi="Palatino Linotype"/>
          <w:lang w:val="es-MX" w:eastAsia="en-US"/>
        </w:rPr>
        <w:t>(Énfasis añadido)</w:t>
      </w:r>
    </w:p>
    <w:p w14:paraId="56C5BFEB" w14:textId="22F9DCAF" w:rsidR="00627D79" w:rsidRPr="00BC16BD" w:rsidRDefault="00627D79" w:rsidP="00694F4C">
      <w:pPr>
        <w:pStyle w:val="Prrafodelista"/>
        <w:numPr>
          <w:ilvl w:val="0"/>
          <w:numId w:val="5"/>
        </w:numPr>
        <w:spacing w:before="240" w:after="240" w:line="360" w:lineRule="auto"/>
        <w:ind w:left="0" w:right="49" w:firstLine="0"/>
        <w:contextualSpacing/>
        <w:jc w:val="both"/>
        <w:rPr>
          <w:rFonts w:ascii="Palatino Linotype" w:eastAsia="Calibri" w:hAnsi="Palatino Linotype"/>
        </w:rPr>
      </w:pPr>
      <w:r w:rsidRPr="00BC16BD">
        <w:rPr>
          <w:rFonts w:ascii="Palatino Linotype" w:eastAsia="Calibri" w:hAnsi="Palatino Linotype"/>
        </w:rPr>
        <w:lastRenderedPageBreak/>
        <w:t xml:space="preserve">Demostrada la procedencia del acceso en términos de la Ley de Transparencia Estatal, resulta oportuno traer a contexto lo que señala la Ley Orgánica Municipal del Estado de México, misma que tiene por objeto </w:t>
      </w:r>
      <w:r w:rsidRPr="00BC16BD">
        <w:rPr>
          <w:rFonts w:ascii="Palatino Linotype" w:hAnsi="Palatino Linotype"/>
          <w:color w:val="333333"/>
        </w:rPr>
        <w:t xml:space="preserve">regular las bases para la integración y organización del territorio, la población, el gobierno y la administración pública municipal y señala como atribuciones de los Ayuntamientos y del Presidente Municipal, las siguientes: </w:t>
      </w:r>
    </w:p>
    <w:p w14:paraId="7B606ED0" w14:textId="77777777" w:rsidR="00627D79" w:rsidRPr="00BC16BD" w:rsidRDefault="00627D79" w:rsidP="00BC16BD">
      <w:pPr>
        <w:spacing w:before="240" w:after="240" w:line="360" w:lineRule="auto"/>
        <w:ind w:right="49"/>
        <w:contextualSpacing/>
        <w:jc w:val="both"/>
        <w:rPr>
          <w:rFonts w:ascii="Palatino Linotype" w:eastAsia="Calibri" w:hAnsi="Palatino Linotype"/>
        </w:rPr>
      </w:pPr>
    </w:p>
    <w:p w14:paraId="3D88169A"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hAnsi="Palatino Linotype"/>
          <w:b/>
          <w:i/>
        </w:rPr>
        <w:t>“Artículo 2.-</w:t>
      </w:r>
      <w:r w:rsidRPr="00BC16BD">
        <w:rPr>
          <w:rFonts w:ascii="Palatino Linotype" w:hAnsi="Palatino Linotype"/>
          <w:i/>
        </w:rPr>
        <w:t xml:space="preserve"> Las </w:t>
      </w:r>
      <w:r w:rsidRPr="00BC16BD">
        <w:rPr>
          <w:rFonts w:ascii="Palatino Linotype" w:hAnsi="Palatino Linotype"/>
          <w:b/>
          <w:i/>
        </w:rPr>
        <w:t>autoridades municipales</w:t>
      </w:r>
      <w:r w:rsidRPr="00BC16BD">
        <w:rPr>
          <w:rFonts w:ascii="Palatino Linotype" w:hAnsi="Palatino Linotype"/>
          <w:i/>
        </w:rPr>
        <w:t xml:space="preserve"> tienen las atribuciones que les señalen los ordenamientos federales, locales y municipales y las derivadas de los convenios que se celebren con el Gobierno del Estado o con otros municipios.</w:t>
      </w:r>
    </w:p>
    <w:p w14:paraId="28D7E14C"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Artículo.</w:t>
      </w:r>
    </w:p>
    <w:p w14:paraId="7CEAE1C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59E529FF"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Artículo 31.-</w:t>
      </w:r>
      <w:r w:rsidRPr="00BC16BD">
        <w:rPr>
          <w:rFonts w:ascii="Palatino Linotype" w:eastAsia="Calibri" w:hAnsi="Palatino Linotype"/>
          <w:i/>
        </w:rPr>
        <w:t xml:space="preserve"> Son atribuciones de los ayuntamientos:</w:t>
      </w:r>
    </w:p>
    <w:p w14:paraId="47890237"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6E26C501" w14:textId="77777777" w:rsidR="00627D79" w:rsidRPr="00BC16BD" w:rsidRDefault="00627D79"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i/>
        </w:rPr>
        <w:t xml:space="preserve">VII. </w:t>
      </w:r>
      <w:r w:rsidRPr="00BC16BD">
        <w:rPr>
          <w:rFonts w:ascii="Palatino Linotype" w:hAnsi="Palatino Linotype"/>
          <w:b/>
          <w:i/>
        </w:rPr>
        <w:t xml:space="preserve">Convenir, contratar </w:t>
      </w:r>
      <w:r w:rsidRPr="00BC16BD">
        <w:rPr>
          <w:rFonts w:ascii="Palatino Linotype" w:hAnsi="Palatino Linotype"/>
          <w:i/>
        </w:rPr>
        <w:t>o concesionar, en términos de ley, la ejecución de obras y la prestación de servicios públicos, con el Estado, con otros municipios de la entidad o con particulares, recabando, cuando proceda, la autorización de la Legislatura del Estado</w:t>
      </w:r>
    </w:p>
    <w:p w14:paraId="6060AD13" w14:textId="77777777" w:rsidR="00627D79" w:rsidRPr="00BC16BD" w:rsidRDefault="00627D79" w:rsidP="00BC16BD">
      <w:pPr>
        <w:spacing w:before="240" w:after="240" w:line="360" w:lineRule="auto"/>
        <w:ind w:left="540" w:right="738"/>
        <w:contextualSpacing/>
        <w:jc w:val="both"/>
        <w:rPr>
          <w:rFonts w:ascii="Palatino Linotype" w:hAnsi="Palatino Linotype"/>
          <w:i/>
        </w:rPr>
      </w:pPr>
      <w:r w:rsidRPr="00BC16BD">
        <w:rPr>
          <w:rFonts w:ascii="Palatino Linotype" w:hAnsi="Palatino Linotype"/>
          <w:i/>
        </w:rPr>
        <w:t>(…)</w:t>
      </w:r>
    </w:p>
    <w:p w14:paraId="77DC998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XX. Autorizar la contratación de empréstitos, en términos de la Ley de Deuda Pública Municipal del Estado de México;</w:t>
      </w:r>
    </w:p>
    <w:p w14:paraId="64FAB1E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0087A717"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F21CB5C"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Artículo 48.-</w:t>
      </w:r>
      <w:r w:rsidRPr="00BC16BD">
        <w:rPr>
          <w:rFonts w:ascii="Palatino Linotype" w:eastAsia="Calibri" w:hAnsi="Palatino Linotype"/>
          <w:i/>
        </w:rPr>
        <w:t xml:space="preserve"> El presidente municipal tiene las siguientes atribuciones:</w:t>
      </w:r>
    </w:p>
    <w:p w14:paraId="7E83767D"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lastRenderedPageBreak/>
        <w:t>(…)</w:t>
      </w:r>
    </w:p>
    <w:p w14:paraId="14659EB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198664FE"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b/>
          <w:i/>
        </w:rPr>
        <w:t>VIII.</w:t>
      </w:r>
      <w:r w:rsidRPr="00BC16BD">
        <w:rPr>
          <w:rFonts w:ascii="Palatino Linotype" w:eastAsia="Calibri" w:hAnsi="Palatino Linotype"/>
          <w:i/>
        </w:rPr>
        <w:t xml:space="preserve"> </w:t>
      </w:r>
      <w:r w:rsidRPr="00BC16BD">
        <w:rPr>
          <w:rFonts w:ascii="Palatino Linotype" w:eastAsia="Calibri" w:hAnsi="Palatino Linotype"/>
          <w:b/>
          <w:i/>
        </w:rPr>
        <w:t>Contratar</w:t>
      </w:r>
      <w:r w:rsidRPr="00BC16BD">
        <w:rPr>
          <w:rFonts w:ascii="Palatino Linotype" w:eastAsia="Calibri" w:hAnsi="Palatino Linotype"/>
          <w:i/>
        </w:rPr>
        <w:t xml:space="preserve"> y concertar en representación del ayuntamiento y previo acuerdo de éste, la realización de obras y la prestación de servicios públicos, por terceros o con el concurso del Estado o de otros ayuntamientos;</w:t>
      </w:r>
    </w:p>
    <w:p w14:paraId="53DD1294"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31E9B58"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283A682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63BB145B"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 xml:space="preserve">IX. Nombrar, </w:t>
      </w:r>
      <w:r w:rsidRPr="00BC16BD">
        <w:rPr>
          <w:rFonts w:ascii="Palatino Linotype" w:eastAsia="Calibri" w:hAnsi="Palatino Linotype"/>
          <w:b/>
          <w:i/>
        </w:rPr>
        <w:t xml:space="preserve">contratar </w:t>
      </w:r>
      <w:r w:rsidRPr="00BC16BD">
        <w:rPr>
          <w:rFonts w:ascii="Palatino Linotype" w:eastAsia="Calibri" w:hAnsi="Palatino Linotype"/>
          <w:i/>
        </w:rPr>
        <w:t>o promover directamente o por interpósita persona como servidores públicos a personas con quienes tengan parentesco consanguíneo hasta el cuarto grado, por afinidad o civil. Tampoco pueden recibir propuestas o celebrar contratos relativos a la adquisición, enajenación y arrendamiento de bienes y la contratación de servicios con personas con quienes tenga interés personal, familiar o de negocios, en términos de las disposiciones jurídicas aplicables.</w:t>
      </w:r>
    </w:p>
    <w:p w14:paraId="1B08E5FD"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p>
    <w:p w14:paraId="3F6BE936" w14:textId="77777777" w:rsidR="00627D79" w:rsidRPr="00BC16BD" w:rsidRDefault="00627D79" w:rsidP="00BC16BD">
      <w:pPr>
        <w:spacing w:before="240" w:after="240" w:line="360" w:lineRule="auto"/>
        <w:ind w:left="540" w:right="738"/>
        <w:contextualSpacing/>
        <w:jc w:val="both"/>
        <w:rPr>
          <w:rFonts w:ascii="Palatino Linotype" w:eastAsia="Calibri" w:hAnsi="Palatino Linotype"/>
          <w:i/>
        </w:rPr>
      </w:pPr>
      <w:r w:rsidRPr="00BC16BD">
        <w:rPr>
          <w:rFonts w:ascii="Palatino Linotype" w:eastAsia="Calibri" w:hAnsi="Palatino Linotype"/>
          <w:i/>
        </w:rPr>
        <w:t>(…)</w:t>
      </w:r>
    </w:p>
    <w:p w14:paraId="1DEB98BA" w14:textId="088A74A0"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884A7F5" w14:textId="6CA4218A" w:rsidR="00B92A80" w:rsidRPr="00BC16BD" w:rsidRDefault="00627D79"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 xml:space="preserve">Por otro lado </w:t>
      </w:r>
      <w:r w:rsidR="00B92A80" w:rsidRPr="00BC16BD">
        <w:rPr>
          <w:rFonts w:ascii="Palatino Linotype" w:eastAsia="MS Mincho" w:hAnsi="Palatino Linotype"/>
          <w:lang w:val="es-MX" w:eastAsia="en-US"/>
        </w:rPr>
        <w:t xml:space="preserve">todo ingreso y egreso del Ayuntamiento de </w:t>
      </w:r>
      <w:r w:rsidR="00686C5C" w:rsidRPr="00BC16BD">
        <w:rPr>
          <w:rFonts w:ascii="Palatino Linotype" w:eastAsia="MS Mincho" w:hAnsi="Palatino Linotype"/>
          <w:lang w:val="es-MX" w:eastAsia="en-US"/>
        </w:rPr>
        <w:t xml:space="preserve">Papalotla </w:t>
      </w:r>
      <w:r w:rsidR="00B92A80" w:rsidRPr="00BC16BD">
        <w:rPr>
          <w:rFonts w:ascii="Palatino Linotype" w:eastAsia="MS Mincho" w:hAnsi="Palatino Linotype"/>
          <w:lang w:val="es-MX" w:eastAsia="en-US"/>
        </w:rPr>
        <w:t xml:space="preserve">debe manejarse de forma transparente y ser accesible para los particulares, puesto que la información financiera, los informes presupuestales, así como los ingresos recibidos por cualquier motivo (como puede ser el Derecho al Alumbrado Público, en el caso concreto), forman parte de las obligaciones de transparencia que tiene el </w:t>
      </w:r>
      <w:r w:rsidR="00B92A80" w:rsidRPr="00BC16BD">
        <w:rPr>
          <w:rFonts w:ascii="Palatino Linotype" w:eastAsia="MS Mincho" w:hAnsi="Palatino Linotype"/>
          <w:b/>
          <w:lang w:val="es-MX" w:eastAsia="en-US"/>
        </w:rPr>
        <w:t xml:space="preserve">SUJETO </w:t>
      </w:r>
      <w:r w:rsidR="00B92A80" w:rsidRPr="00BC16BD">
        <w:rPr>
          <w:rFonts w:ascii="Palatino Linotype" w:eastAsia="MS Mincho" w:hAnsi="Palatino Linotype"/>
          <w:b/>
          <w:bCs/>
          <w:lang w:val="es-MX" w:eastAsia="en-US"/>
        </w:rPr>
        <w:t>OBLIGADO</w:t>
      </w:r>
      <w:r w:rsidR="00B92A80" w:rsidRPr="00BC16BD">
        <w:rPr>
          <w:rFonts w:ascii="Palatino Linotype" w:eastAsia="MS Mincho" w:hAnsi="Palatino Linotype"/>
          <w:lang w:val="es-MX" w:eastAsia="en-US"/>
        </w:rPr>
        <w:t>, las cuales debe poner a disposición de los particulares de manera accesible y permanente.</w:t>
      </w:r>
    </w:p>
    <w:p w14:paraId="542C3A6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FCA0199"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 xml:space="preserve">Ante </w:t>
      </w:r>
      <w:r w:rsidRPr="00BC16BD">
        <w:rPr>
          <w:rFonts w:ascii="Palatino Linotype" w:eastAsia="MS Mincho" w:hAnsi="Palatino Linotype"/>
          <w:lang w:val="es-MX" w:eastAsia="en-US"/>
        </w:rPr>
        <w:t xml:space="preserve">esto, es necesario partir de lo establecido en los artículos </w:t>
      </w:r>
      <w:r w:rsidRPr="00BC16BD">
        <w:rPr>
          <w:rFonts w:ascii="Palatino Linotype" w:eastAsia="MS Mincho" w:hAnsi="Palatino Linotype"/>
          <w:color w:val="000000"/>
          <w:lang w:val="es-MX" w:eastAsia="en-US"/>
        </w:rPr>
        <w:t>115, fracción V, y</w:t>
      </w:r>
      <w:r w:rsidRPr="00BC16BD">
        <w:rPr>
          <w:rFonts w:ascii="Palatino Linotype" w:eastAsia="MS Mincho" w:hAnsi="Palatino Linotype"/>
          <w:lang w:val="es-MX" w:eastAsia="en-US"/>
        </w:rPr>
        <w:t xml:space="preserve"> 121</w:t>
      </w:r>
      <w:r w:rsidRPr="00BC16BD">
        <w:rPr>
          <w:rFonts w:ascii="Palatino Linotype" w:hAnsi="Palatino Linotype" w:cs="Arial"/>
          <w:lang w:eastAsia="en-US"/>
        </w:rPr>
        <w:t xml:space="preserve"> de la </w:t>
      </w:r>
      <w:r w:rsidRPr="00BC16BD">
        <w:rPr>
          <w:rFonts w:ascii="Palatino Linotype" w:hAnsi="Palatino Linotype" w:cs="Arial"/>
          <w:b/>
          <w:lang w:eastAsia="en-US"/>
        </w:rPr>
        <w:t>Constitución Política de los Estados Unidos Mexicanos</w:t>
      </w:r>
      <w:r w:rsidRPr="00BC16BD">
        <w:rPr>
          <w:rFonts w:ascii="Palatino Linotype" w:hAnsi="Palatino Linotype" w:cs="Arial"/>
          <w:lang w:eastAsia="en-US"/>
        </w:rPr>
        <w:t xml:space="preserve"> que a la letra dice:</w:t>
      </w:r>
    </w:p>
    <w:p w14:paraId="43AC258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E2932F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r w:rsidRPr="00BC16BD">
        <w:rPr>
          <w:rFonts w:ascii="Palatino Linotype" w:eastAsia="MS Gothic" w:hAnsi="Palatino Linotype"/>
          <w:b/>
          <w:i/>
          <w:lang w:val="es-MX" w:eastAsia="en-US"/>
        </w:rPr>
        <w:t>Artículo 115.</w:t>
      </w:r>
      <w:r w:rsidRPr="00BC16BD">
        <w:rPr>
          <w:rFonts w:ascii="Palatino Linotype" w:eastAsia="MS Gothic" w:hAnsi="Palatino Linotype"/>
          <w:i/>
          <w:lang w:val="es-MX" w:eastAsia="en-U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D951608"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p>
    <w:p w14:paraId="6B7B04C0"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III.</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tendrán a su cargo las funciones y servicios públicos siguientes:</w:t>
      </w:r>
      <w:r w:rsidRPr="00BC16BD">
        <w:rPr>
          <w:rFonts w:ascii="Palatino Linotype" w:eastAsia="MS Gothic" w:hAnsi="Palatino Linotype"/>
          <w:i/>
          <w:lang w:val="es-MX" w:eastAsia="en-US"/>
        </w:rPr>
        <w:cr/>
      </w:r>
      <w:r w:rsidRPr="00BC16BD">
        <w:rPr>
          <w:rFonts w:ascii="Palatino Linotype" w:eastAsia="MS Gothic" w:hAnsi="Palatino Linotype"/>
          <w:b/>
          <w:i/>
          <w:lang w:val="es-MX" w:eastAsia="en-US"/>
        </w:rPr>
        <w:t>a)</w:t>
      </w:r>
      <w:r w:rsidRPr="00BC16BD">
        <w:rPr>
          <w:rFonts w:ascii="Palatino Linotype" w:eastAsia="MS Gothic" w:hAnsi="Palatino Linotype"/>
          <w:i/>
          <w:lang w:val="es-MX" w:eastAsia="en-US"/>
        </w:rPr>
        <w:t xml:space="preserve"> Agua potable, drenaje, alcantarillado, tratamiento y disposición de sus aguas residuales;</w:t>
      </w:r>
    </w:p>
    <w:p w14:paraId="69721D6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i/>
          <w:lang w:val="es-MX" w:eastAsia="en-US"/>
        </w:rPr>
      </w:pPr>
      <w:r w:rsidRPr="00BC16BD">
        <w:rPr>
          <w:rFonts w:ascii="Palatino Linotype" w:eastAsia="MS Gothic" w:hAnsi="Palatino Linotype"/>
          <w:b/>
          <w:i/>
          <w:lang w:val="es-MX" w:eastAsia="en-US"/>
        </w:rPr>
        <w:t>b) Alumbrado público.</w:t>
      </w:r>
    </w:p>
    <w:p w14:paraId="59DEE8BC"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c)</w:t>
      </w:r>
      <w:r w:rsidRPr="00BC16BD">
        <w:rPr>
          <w:rFonts w:ascii="Palatino Linotype" w:eastAsia="MS Gothic" w:hAnsi="Palatino Linotype"/>
          <w:i/>
          <w:lang w:val="es-MX" w:eastAsia="en-US"/>
        </w:rPr>
        <w:t xml:space="preserve"> Limpia, recolección, traslado, tratamiento y disposición final de residuos;</w:t>
      </w:r>
    </w:p>
    <w:p w14:paraId="579358D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d)</w:t>
      </w:r>
      <w:r w:rsidRPr="00BC16BD">
        <w:rPr>
          <w:rFonts w:ascii="Palatino Linotype" w:eastAsia="MS Gothic" w:hAnsi="Palatino Linotype"/>
          <w:i/>
          <w:lang w:val="es-MX" w:eastAsia="en-US"/>
        </w:rPr>
        <w:t xml:space="preserve"> Mercados y centrales de abasto.</w:t>
      </w:r>
    </w:p>
    <w:p w14:paraId="4AC473E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e)</w:t>
      </w:r>
      <w:r w:rsidRPr="00BC16BD">
        <w:rPr>
          <w:rFonts w:ascii="Palatino Linotype" w:eastAsia="MS Gothic" w:hAnsi="Palatino Linotype"/>
          <w:i/>
          <w:lang w:val="es-MX" w:eastAsia="en-US"/>
        </w:rPr>
        <w:t xml:space="preserve"> Panteones.</w:t>
      </w:r>
    </w:p>
    <w:p w14:paraId="6D9EE3B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f)</w:t>
      </w:r>
      <w:r w:rsidRPr="00BC16BD">
        <w:rPr>
          <w:rFonts w:ascii="Palatino Linotype" w:eastAsia="MS Gothic" w:hAnsi="Palatino Linotype"/>
          <w:i/>
          <w:lang w:val="es-MX" w:eastAsia="en-US"/>
        </w:rPr>
        <w:t xml:space="preserve"> Rastro.</w:t>
      </w:r>
    </w:p>
    <w:p w14:paraId="0392E74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g)</w:t>
      </w:r>
      <w:r w:rsidRPr="00BC16BD">
        <w:rPr>
          <w:rFonts w:ascii="Palatino Linotype" w:eastAsia="MS Gothic" w:hAnsi="Palatino Linotype"/>
          <w:i/>
          <w:lang w:val="es-MX" w:eastAsia="en-US"/>
        </w:rPr>
        <w:t xml:space="preserve"> Calles, parques y jardines y su equipamiento;</w:t>
      </w:r>
    </w:p>
    <w:p w14:paraId="35BF7C1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h)</w:t>
      </w:r>
      <w:r w:rsidRPr="00BC16BD">
        <w:rPr>
          <w:rFonts w:ascii="Palatino Linotype" w:eastAsia="MS Gothic" w:hAnsi="Palatino Linotype"/>
          <w:i/>
          <w:lang w:val="es-MX" w:eastAsia="en-US"/>
        </w:rPr>
        <w:t xml:space="preserve"> Seguridad pública, en los términos del artículo 21 de esta Constitución, policía preventiva municipal y tránsito; e</w:t>
      </w:r>
    </w:p>
    <w:p w14:paraId="0E093EE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w:t>
      </w:r>
      <w:r w:rsidRPr="00BC16BD">
        <w:rPr>
          <w:rFonts w:ascii="Palatino Linotype" w:eastAsia="MS Gothic" w:hAnsi="Palatino Linotype"/>
          <w:i/>
          <w:lang w:val="es-MX" w:eastAsia="en-US"/>
        </w:rPr>
        <w:t xml:space="preserve"> Los demás que las Legislaturas locales determinen según las condiciones territoriales y socio-económicas de los Municipios, así como su capacidad administrativa y financiera.</w:t>
      </w:r>
    </w:p>
    <w:p w14:paraId="13BED9A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p>
    <w:p w14:paraId="1BB04B7C"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lastRenderedPageBreak/>
        <w:t>Sin perjuicio de su competencia constitucional, en el desempeño de las funciones o la prestación de los servicios a su cargo,</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observarán lo dispuesto por las leyes federales y estatales.</w:t>
      </w:r>
    </w:p>
    <w:p w14:paraId="554CA4E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MS Gothic" w:hAnsi="Palatino Linotype"/>
          <w:i/>
          <w:lang w:val="es-MX" w:eastAsia="en-US"/>
        </w:rPr>
        <w:t>(…)”</w:t>
      </w:r>
    </w:p>
    <w:p w14:paraId="785EBEA7" w14:textId="77777777" w:rsidR="00B92A80" w:rsidRPr="00BC16BD" w:rsidRDefault="00B92A80" w:rsidP="00BC16BD">
      <w:pPr>
        <w:spacing w:line="360" w:lineRule="auto"/>
        <w:ind w:left="567" w:right="616"/>
        <w:contextualSpacing/>
        <w:jc w:val="both"/>
        <w:rPr>
          <w:rFonts w:ascii="Palatino Linotype" w:eastAsia="Calibri" w:hAnsi="Palatino Linotype"/>
          <w:b/>
          <w:lang w:val="es-MX" w:eastAsia="en-US"/>
        </w:rPr>
      </w:pPr>
      <w:r w:rsidRPr="00BC16BD">
        <w:rPr>
          <w:rFonts w:ascii="Palatino Linotype" w:eastAsia="Calibri" w:hAnsi="Palatino Linotype"/>
          <w:lang w:val="es-MX" w:eastAsia="en-US"/>
        </w:rPr>
        <w:t>(Énfasis añadido)</w:t>
      </w:r>
    </w:p>
    <w:p w14:paraId="65C50839"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52D960C7"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Así las cosas, nuestra </w:t>
      </w:r>
      <w:r w:rsidRPr="00BC16BD">
        <w:rPr>
          <w:rFonts w:ascii="Palatino Linotype" w:eastAsia="MS Gothic" w:hAnsi="Palatino Linotype"/>
          <w:i/>
          <w:lang w:val="es-MX" w:eastAsia="en-US"/>
        </w:rPr>
        <w:t>Magna Carta</w:t>
      </w:r>
      <w:r w:rsidRPr="00BC16BD">
        <w:rPr>
          <w:rFonts w:ascii="Palatino Linotype" w:eastAsia="MS Gothic" w:hAnsi="Palatino Linotype"/>
          <w:lang w:val="es-MX" w:eastAsia="en-US"/>
        </w:rPr>
        <w:t xml:space="preserve"> otorga a los municipios la responsabilidad de administrar los servicios públicos dentro de su demarcación territorial, reconociendo al alumbrado público como uno de ellos.</w:t>
      </w:r>
    </w:p>
    <w:p w14:paraId="7862859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6ACB146"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Más adelante, dentro del mismo dispositivo constitucional, se establece los siguiente:</w:t>
      </w:r>
    </w:p>
    <w:p w14:paraId="5A19B128"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26AE2692"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Artículo 115.</w:t>
      </w:r>
      <w:r w:rsidRPr="00BC16BD">
        <w:rPr>
          <w:rFonts w:ascii="Palatino Linotype" w:eastAsia="MS Gothic" w:hAnsi="Palatino Linotype"/>
          <w:i/>
          <w:lang w:val="es-MX" w:eastAsia="en-US"/>
        </w:rPr>
        <w:t xml:space="preserve"> (…)</w:t>
      </w:r>
    </w:p>
    <w:p w14:paraId="020A7D1E"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t>(…)</w:t>
      </w:r>
    </w:p>
    <w:p w14:paraId="676EA5B6"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IV.</w:t>
      </w:r>
      <w:r w:rsidRPr="00BC16BD">
        <w:rPr>
          <w:rFonts w:ascii="Palatino Linotype" w:eastAsia="MS Gothic" w:hAnsi="Palatino Linotype"/>
          <w:i/>
          <w:lang w:val="es-MX" w:eastAsia="en-US"/>
        </w:rPr>
        <w:t xml:space="preserve"> </w:t>
      </w:r>
      <w:r w:rsidRPr="00BC16BD">
        <w:rPr>
          <w:rFonts w:ascii="Palatino Linotype" w:eastAsia="MS Gothic" w:hAnsi="Palatino Linotype"/>
          <w:b/>
          <w:i/>
          <w:lang w:val="es-MX" w:eastAsia="en-US"/>
        </w:rPr>
        <w:t>Los municipios administrarán libremente su hacienda, la cual se formará de</w:t>
      </w:r>
      <w:r w:rsidRPr="00BC16BD">
        <w:rPr>
          <w:rFonts w:ascii="Palatino Linotype" w:eastAsia="MS Gothic" w:hAnsi="Palatino Linotype"/>
          <w:i/>
          <w:lang w:val="es-MX" w:eastAsia="en-US"/>
        </w:rPr>
        <w:t xml:space="preserve"> los rendimientos de los bienes que les pertenezcan, así como de </w:t>
      </w:r>
      <w:r w:rsidRPr="00BC16BD">
        <w:rPr>
          <w:rFonts w:ascii="Palatino Linotype" w:eastAsia="MS Gothic" w:hAnsi="Palatino Linotype"/>
          <w:b/>
          <w:i/>
          <w:lang w:val="es-MX" w:eastAsia="en-US"/>
        </w:rPr>
        <w:t>las contribuciones y otros ingresos que las legislaturas establezcan a su favor, y</w:t>
      </w:r>
      <w:r w:rsidRPr="00BC16BD">
        <w:rPr>
          <w:rFonts w:ascii="Palatino Linotype" w:eastAsia="MS Gothic" w:hAnsi="Palatino Linotype"/>
          <w:i/>
          <w:lang w:val="es-MX" w:eastAsia="en-US"/>
        </w:rPr>
        <w:t xml:space="preserve"> en todo caso:</w:t>
      </w:r>
    </w:p>
    <w:p w14:paraId="1AD831B4"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 xml:space="preserve">a) </w:t>
      </w:r>
      <w:r w:rsidRPr="00BC16BD">
        <w:rPr>
          <w:rFonts w:ascii="Palatino Linotype" w:eastAsia="MS Gothic" w:hAnsi="Palatino Linotype"/>
          <w:i/>
          <w:lang w:val="es-MX" w:eastAsia="en-US"/>
        </w:rPr>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72F79729"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i/>
          <w:lang w:val="es-MX" w:eastAsia="en-US"/>
        </w:rPr>
        <w:lastRenderedPageBreak/>
        <w:t>Los municipios podrán celebrar convenios con el Estado para que éste se haga cargo de algunas de las funciones relacionadas con la administración de esas contribuciones.</w:t>
      </w:r>
    </w:p>
    <w:p w14:paraId="1F6EF8C2"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b)</w:t>
      </w:r>
      <w:r w:rsidRPr="00BC16BD">
        <w:rPr>
          <w:rFonts w:ascii="Palatino Linotype" w:eastAsia="MS Gothic" w:hAnsi="Palatino Linotype"/>
          <w:i/>
          <w:lang w:val="es-MX" w:eastAsia="en-US"/>
        </w:rPr>
        <w:t xml:space="preserve"> Las participaciones federales, que serán cubiertas por la Federación a los Municipios con arreglo a las bases, montos y plazos que anualmente se determinen por las Legislaturas de los Estados.</w:t>
      </w:r>
    </w:p>
    <w:p w14:paraId="7F49DD80"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i/>
          <w:lang w:val="es-MX" w:eastAsia="en-US"/>
        </w:rPr>
      </w:pPr>
      <w:r w:rsidRPr="00BC16BD">
        <w:rPr>
          <w:rFonts w:ascii="Palatino Linotype" w:eastAsia="MS Gothic" w:hAnsi="Palatino Linotype"/>
          <w:b/>
          <w:i/>
          <w:lang w:val="es-MX" w:eastAsia="en-US"/>
        </w:rPr>
        <w:t>c) Los ingresos derivados de la prestación de servicios públicos a su cargo.</w:t>
      </w:r>
    </w:p>
    <w:p w14:paraId="4FC36C16"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lang w:val="es-MX" w:eastAsia="en-US"/>
        </w:rPr>
      </w:pPr>
      <w:r w:rsidRPr="00BC16BD">
        <w:rPr>
          <w:rFonts w:ascii="Palatino Linotype" w:eastAsia="MS Gothic" w:hAnsi="Palatino Linotype"/>
          <w:i/>
          <w:lang w:val="es-MX" w:eastAsia="en-US"/>
        </w:rPr>
        <w:t>(…)”</w:t>
      </w:r>
    </w:p>
    <w:p w14:paraId="17167A1C" w14:textId="77777777" w:rsidR="00B92A80" w:rsidRPr="00BC16BD" w:rsidRDefault="00B92A80" w:rsidP="00BC16BD">
      <w:pPr>
        <w:tabs>
          <w:tab w:val="left" w:pos="142"/>
          <w:tab w:val="left" w:pos="284"/>
          <w:tab w:val="left" w:pos="426"/>
        </w:tabs>
        <w:spacing w:before="240" w:after="240" w:line="360" w:lineRule="auto"/>
        <w:ind w:left="720" w:right="567"/>
        <w:contextualSpacing/>
        <w:jc w:val="both"/>
        <w:rPr>
          <w:rFonts w:ascii="Palatino Linotype" w:eastAsia="MS Gothic" w:hAnsi="Palatino Linotype"/>
          <w:lang w:val="es-MX" w:eastAsia="en-US"/>
        </w:rPr>
      </w:pPr>
      <w:r w:rsidRPr="00BC16BD">
        <w:rPr>
          <w:rFonts w:ascii="Palatino Linotype" w:eastAsia="MS Gothic" w:hAnsi="Palatino Linotype"/>
          <w:lang w:val="es-MX" w:eastAsia="en-US"/>
        </w:rPr>
        <w:t>(Énfasis añadido)</w:t>
      </w:r>
    </w:p>
    <w:p w14:paraId="5457502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4AAA2B0"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Por lo anterior, podemos concebir al Derecho al Alumbrado Público, como una fuente de ingresos de los municipios, que deriva de su cuidado y administración como uno de los servicios públicos que ofrece a su ciudadanía.</w:t>
      </w:r>
    </w:p>
    <w:p w14:paraId="11300E7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BA7742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Lo anterior se robustece de la lectura a la Ley de Ingresos de los Municipios del Estado de México para el Ejercicio Fiscal del Año 2019, el cual señala en su artículo 1 lo siguiente:</w:t>
      </w:r>
    </w:p>
    <w:p w14:paraId="621FA0E2"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26BD83D" w14:textId="5015463F"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Pr="00BC16BD">
        <w:rPr>
          <w:rFonts w:ascii="Palatino Linotype" w:eastAsia="Calibri" w:hAnsi="Palatino Linotype"/>
          <w:b/>
          <w:i/>
          <w:lang w:val="es-MX" w:eastAsia="en-US"/>
        </w:rPr>
        <w:t>Artículo 1.- La hacienda pública de los municipios</w:t>
      </w:r>
      <w:r w:rsidR="00A5786B" w:rsidRPr="00BC16BD">
        <w:rPr>
          <w:rFonts w:ascii="Palatino Linotype" w:eastAsia="Calibri" w:hAnsi="Palatino Linotype"/>
          <w:i/>
          <w:lang w:val="es-MX" w:eastAsia="en-US"/>
        </w:rPr>
        <w:t xml:space="preserve"> del Estado de México</w:t>
      </w:r>
      <w:r w:rsidRPr="00BC16BD">
        <w:rPr>
          <w:rFonts w:ascii="Palatino Linotype" w:eastAsia="Calibri" w:hAnsi="Palatino Linotype"/>
          <w:b/>
          <w:i/>
          <w:lang w:val="es-MX" w:eastAsia="en-US"/>
        </w:rPr>
        <w:t>, los ingresos provenientes de los conceptos que a continuación se enumeran:</w:t>
      </w:r>
    </w:p>
    <w:p w14:paraId="2E5389B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55D6ADCF"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3. DERECHOS:</w:t>
      </w:r>
    </w:p>
    <w:p w14:paraId="27D6BBD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73F1C2B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lastRenderedPageBreak/>
        <w:t>3.2.11. Por Servicios de Alumbrado Público.</w:t>
      </w:r>
    </w:p>
    <w:p w14:paraId="1CC7872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Calibri" w:hAnsi="Palatino Linotype"/>
          <w:i/>
          <w:lang w:val="es-MX" w:eastAsia="en-US"/>
        </w:rPr>
        <w:t>(…)”</w:t>
      </w:r>
    </w:p>
    <w:p w14:paraId="2D989E23"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(Énfasis añadido)</w:t>
      </w:r>
    </w:p>
    <w:p w14:paraId="52F77CAE" w14:textId="77777777" w:rsidR="00B92A80" w:rsidRPr="00BC16BD" w:rsidRDefault="00B92A80" w:rsidP="00BC16BD">
      <w:pPr>
        <w:tabs>
          <w:tab w:val="left" w:pos="0"/>
          <w:tab w:val="left" w:pos="284"/>
          <w:tab w:val="left" w:pos="426"/>
        </w:tabs>
        <w:spacing w:before="240" w:after="240" w:line="360" w:lineRule="auto"/>
        <w:contextualSpacing/>
        <w:jc w:val="both"/>
        <w:rPr>
          <w:rFonts w:ascii="Palatino Linotype" w:eastAsia="MS Gothic" w:hAnsi="Palatino Linotype"/>
          <w:b/>
          <w:lang w:val="es-MX" w:eastAsia="en-US"/>
        </w:rPr>
      </w:pPr>
    </w:p>
    <w:p w14:paraId="7B77027D" w14:textId="77777777" w:rsidR="00B92A80" w:rsidRPr="00BC16BD" w:rsidRDefault="00B92A80" w:rsidP="00694F4C">
      <w:pPr>
        <w:numPr>
          <w:ilvl w:val="0"/>
          <w:numId w:val="5"/>
        </w:numPr>
        <w:tabs>
          <w:tab w:val="left" w:pos="0"/>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En el mismo sentido, el Código Financiero del Estado de México y Municipios, considera en sus numerales 161 y 162 lo siguiente:</w:t>
      </w:r>
    </w:p>
    <w:p w14:paraId="1FA7691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477CF4D" w14:textId="51E456AD"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Pr="00BC16BD">
        <w:rPr>
          <w:rFonts w:ascii="Palatino Linotype" w:eastAsia="Calibri" w:hAnsi="Palatino Linotype"/>
          <w:b/>
          <w:i/>
          <w:lang w:val="es-MX" w:eastAsia="en-US"/>
        </w:rPr>
        <w:t>Artículo 161.-</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Por la prestación del servicio de alumbrado público se pagará bimestralmente:</w:t>
      </w:r>
      <w:r w:rsidRPr="00BC16BD">
        <w:rPr>
          <w:rFonts w:ascii="Palatino Linotype" w:eastAsia="Calibri" w:hAnsi="Palatino Linotype"/>
          <w:i/>
          <w:lang w:val="es-MX" w:eastAsia="en-US"/>
        </w:rPr>
        <w:t xml:space="preserve"> </w:t>
      </w:r>
    </w:p>
    <w:p w14:paraId="3FDE07AF"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3358BA67"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El 10% del cargo a cubrir por la recepción del servicio contratado cuando se apliquen las tarifas 1, 2 y 3</w:t>
      </w:r>
      <w:r w:rsidRPr="00BC16BD">
        <w:rPr>
          <w:rFonts w:ascii="Palatino Linotype" w:eastAsia="Calibri" w:hAnsi="Palatino Linotype"/>
          <w:i/>
          <w:lang w:val="es-MX" w:eastAsia="en-US"/>
        </w:rPr>
        <w:t xml:space="preserve"> del acuerdo que autoriza el ajuste de las tarifas para el suministro y venta de energía eléctrica. </w:t>
      </w:r>
    </w:p>
    <w:p w14:paraId="6DF3DDF4"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II.</w:t>
      </w:r>
      <w:r w:rsidRPr="00BC16BD">
        <w:rPr>
          <w:rFonts w:ascii="Palatino Linotype" w:eastAsia="Calibri" w:hAnsi="Palatino Linotype"/>
          <w:i/>
          <w:lang w:val="es-MX" w:eastAsia="en-US"/>
        </w:rPr>
        <w:t xml:space="preserve"> </w:t>
      </w:r>
      <w:r w:rsidRPr="00BC16BD">
        <w:rPr>
          <w:rFonts w:ascii="Palatino Linotype" w:eastAsia="Calibri" w:hAnsi="Palatino Linotype"/>
          <w:b/>
          <w:i/>
          <w:lang w:val="es-MX" w:eastAsia="en-US"/>
        </w:rPr>
        <w:t>El 2.5% en aquellos casos en que se apliquen las tarifas H-M u O-M y H-S o H-T</w:t>
      </w:r>
      <w:r w:rsidRPr="00BC16BD">
        <w:rPr>
          <w:rFonts w:ascii="Palatino Linotype" w:eastAsia="Calibri" w:hAnsi="Palatino Linotype"/>
          <w:i/>
          <w:lang w:val="es-MX" w:eastAsia="en-US"/>
        </w:rPr>
        <w:t xml:space="preserve">, el mismo no podrá exceder de 5 veces el valor diario de la Unidad de Medida y Actualización vigente, elevado al mes. </w:t>
      </w:r>
    </w:p>
    <w:p w14:paraId="3F96BFF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 xml:space="preserve">Tratándose de los propietarios, poseedores o usuarios de predios urbanos sin construcciones o edificaciones, o bien </w:t>
      </w:r>
      <w:r w:rsidRPr="00BC16BD">
        <w:rPr>
          <w:rFonts w:ascii="Palatino Linotype" w:eastAsia="Calibri" w:hAnsi="Palatino Linotype"/>
          <w:b/>
          <w:i/>
          <w:lang w:val="es-MX" w:eastAsia="en-US"/>
        </w:rPr>
        <w:t>cuando no se haya contratado el servicio</w:t>
      </w:r>
      <w:r w:rsidRPr="00BC16BD">
        <w:rPr>
          <w:rFonts w:ascii="Palatino Linotype" w:eastAsia="Calibri" w:hAnsi="Palatino Linotype"/>
          <w:i/>
          <w:lang w:val="es-MX" w:eastAsia="en-US"/>
        </w:rPr>
        <w:t xml:space="preserve"> a que aluden las fracciones anteriores, </w:t>
      </w:r>
      <w:r w:rsidRPr="00BC16BD">
        <w:rPr>
          <w:rFonts w:ascii="Palatino Linotype" w:eastAsia="Calibri" w:hAnsi="Palatino Linotype"/>
          <w:b/>
          <w:i/>
          <w:lang w:val="es-MX" w:eastAsia="en-US"/>
        </w:rPr>
        <w:t>la cuota anual de los derechos que son materia de esta sección, será de 2 veces el valor diario de la Unidad de Medida y Actualización vigente</w:t>
      </w:r>
      <w:r w:rsidRPr="00BC16BD">
        <w:rPr>
          <w:rFonts w:ascii="Palatino Linotype" w:eastAsia="Calibri" w:hAnsi="Palatino Linotype"/>
          <w:i/>
          <w:lang w:val="es-MX" w:eastAsia="en-US"/>
        </w:rPr>
        <w:t xml:space="preserve">. En estos casos, el entero deberá realizarse dentro del primer trimestre de cada año, o dentro del trimestre siguiente al en que se haya tomado el acuerdo de cabildo, en la tesorería correspondiente. </w:t>
      </w:r>
    </w:p>
    <w:p w14:paraId="155051E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 xml:space="preserve">No procederá su actualización en los términos que dispone este Código. </w:t>
      </w:r>
    </w:p>
    <w:p w14:paraId="45631AE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060CFAA6"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 xml:space="preserve">Artículo 162.- </w:t>
      </w:r>
      <w:r w:rsidRPr="00BC16BD">
        <w:rPr>
          <w:rFonts w:ascii="Palatino Linotype" w:eastAsia="Calibri" w:hAnsi="Palatino Linotype"/>
          <w:i/>
          <w:lang w:val="es-MX" w:eastAsia="en-US"/>
        </w:rPr>
        <w:t xml:space="preserve">Tratándose de microindustrias ubicadas en los inmuebles de referencia y que estén registradas en el Padrón Nacional de la Microindustria, estarán exentas del pago de los derechos previstos en esta Sección. </w:t>
      </w:r>
    </w:p>
    <w:p w14:paraId="3AF8722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lang w:val="es-MX" w:eastAsia="en-US"/>
        </w:rPr>
      </w:pPr>
      <w:r w:rsidRPr="00BC16BD">
        <w:rPr>
          <w:rFonts w:ascii="Palatino Linotype" w:eastAsia="Calibri" w:hAnsi="Palatino Linotype"/>
          <w:i/>
          <w:lang w:val="es-MX" w:eastAsia="en-U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p>
    <w:p w14:paraId="683FC5F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lang w:val="es-MX" w:eastAsia="en-US"/>
        </w:rPr>
      </w:pPr>
      <w:r w:rsidRPr="00BC16BD">
        <w:rPr>
          <w:rFonts w:ascii="Palatino Linotype" w:eastAsia="Calibri" w:hAnsi="Palatino Linotype"/>
          <w:lang w:val="es-MX" w:eastAsia="en-US"/>
        </w:rPr>
        <w:t>(Énfasis añadido)</w:t>
      </w:r>
    </w:p>
    <w:p w14:paraId="719B5EDD"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09329F6" w14:textId="77777777" w:rsidR="00B92A80" w:rsidRPr="00BC16BD" w:rsidRDefault="00B92A80" w:rsidP="00694F4C">
      <w:pPr>
        <w:numPr>
          <w:ilvl w:val="0"/>
          <w:numId w:val="5"/>
        </w:numPr>
        <w:tabs>
          <w:tab w:val="left" w:pos="142"/>
          <w:tab w:val="left" w:pos="284"/>
          <w:tab w:val="left" w:pos="426"/>
        </w:tabs>
        <w:spacing w:before="240" w:after="240" w:line="360" w:lineRule="auto"/>
        <w:ind w:left="142" w:hanging="142"/>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las transcripciones anteriores se concluye que el Servicio de Alumbrado Público, dentro del Estado de México, está considerado como una prestación que se deberá pagar de manera bimestral, cuyo monto dependerá de la tarifa por consumo de energía eléctrica que pague cada uno de los usuarios.</w:t>
      </w:r>
    </w:p>
    <w:p w14:paraId="58BDAEF0"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7FED0EAA" w14:textId="2D86AA32"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Aho</w:t>
      </w:r>
      <w:r w:rsidR="00B1531D" w:rsidRPr="00BC16BD">
        <w:rPr>
          <w:rFonts w:ascii="Palatino Linotype" w:eastAsia="MS Gothic" w:hAnsi="Palatino Linotype"/>
          <w:lang w:val="es-MX" w:eastAsia="en-US"/>
        </w:rPr>
        <w:t>ra bien, el Bando Municipal 2021</w:t>
      </w:r>
      <w:r w:rsidRPr="00BC16BD">
        <w:rPr>
          <w:rFonts w:ascii="Palatino Linotype" w:eastAsia="MS Gothic" w:hAnsi="Palatino Linotype"/>
          <w:lang w:val="es-MX" w:eastAsia="en-US"/>
        </w:rPr>
        <w:t xml:space="preserve"> de </w:t>
      </w:r>
      <w:r w:rsidR="00B1531D" w:rsidRPr="00BC16BD">
        <w:rPr>
          <w:rFonts w:ascii="Palatino Linotype" w:eastAsia="MS Gothic" w:hAnsi="Palatino Linotype"/>
          <w:lang w:val="es-MX" w:eastAsia="en-US"/>
        </w:rPr>
        <w:t>Papalotla</w:t>
      </w:r>
      <w:r w:rsidRPr="00BC16BD">
        <w:rPr>
          <w:rFonts w:ascii="Palatino Linotype" w:eastAsia="MS Gothic" w:hAnsi="Palatino Linotype"/>
          <w:lang w:val="es-MX" w:eastAsia="en-US"/>
        </w:rPr>
        <w:t>, por lo que respecta al alumbrado público, dispone lo siguiente:</w:t>
      </w:r>
    </w:p>
    <w:p w14:paraId="44589C06"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52C91482" w14:textId="7CE22908" w:rsidR="00A5786B"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r w:rsidR="00A5786B" w:rsidRPr="00BC16BD">
        <w:rPr>
          <w:rFonts w:ascii="Palatino Linotype" w:eastAsia="Calibri" w:hAnsi="Palatino Linotype"/>
          <w:i/>
          <w:lang w:val="es-MX" w:eastAsia="en-US"/>
        </w:rPr>
        <w:t>Artículo 74. Los servicios públicos a cargo del Ayuntamiento son los siguientes:</w:t>
      </w:r>
    </w:p>
    <w:p w14:paraId="0B4D0934"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0724AE93"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I. Agua potable, drenaje, alcantarillado y disposición de aguas residuales;</w:t>
      </w:r>
    </w:p>
    <w:p w14:paraId="2549EDBC"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II. Limpia, recolección, traslado y disposición final de los residuos sólidos;</w:t>
      </w:r>
    </w:p>
    <w:p w14:paraId="2031FED8"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III. Mercados y Regulación Comercial;</w:t>
      </w:r>
    </w:p>
    <w:p w14:paraId="390A6B20"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lastRenderedPageBreak/>
        <w:t>IV. Panteón Municipal;</w:t>
      </w:r>
    </w:p>
    <w:p w14:paraId="5FBC8F7A"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V. Calles, jardines, áreas verdes y recreativas, y equipamiento de espacios públicos;</w:t>
      </w:r>
    </w:p>
    <w:p w14:paraId="5FD927E4"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VI. Seguridad pública, protección civil y bomberos;</w:t>
      </w:r>
    </w:p>
    <w:p w14:paraId="28DC373D"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b/>
          <w:i/>
          <w:lang w:val="es-MX" w:eastAsia="en-US"/>
        </w:rPr>
      </w:pPr>
      <w:r w:rsidRPr="00BC16BD">
        <w:rPr>
          <w:rFonts w:ascii="Palatino Linotype" w:eastAsia="Calibri" w:hAnsi="Palatino Linotype"/>
          <w:b/>
          <w:i/>
          <w:lang w:val="es-MX" w:eastAsia="en-US"/>
        </w:rPr>
        <w:t>VII. Alumbrado público;</w:t>
      </w:r>
    </w:p>
    <w:p w14:paraId="233FD7BC" w14:textId="77777777" w:rsidR="00A5786B"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VIII. Medio ambiente, salud y bienestar animal;</w:t>
      </w:r>
    </w:p>
    <w:p w14:paraId="3CCEBA6E" w14:textId="3F9AD11A" w:rsidR="00B92A80" w:rsidRPr="00BC16BD" w:rsidRDefault="00A5786B"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IX. Los demás que estime el Ayuntamiento como nece</w:t>
      </w:r>
      <w:r w:rsidR="00B1531D" w:rsidRPr="00BC16BD">
        <w:rPr>
          <w:rFonts w:ascii="Palatino Linotype" w:eastAsia="Calibri" w:hAnsi="Palatino Linotype"/>
          <w:i/>
          <w:lang w:val="es-MX" w:eastAsia="en-US"/>
        </w:rPr>
        <w:t>sarios para beneficio colectivo</w:t>
      </w:r>
      <w:r w:rsidR="00B92A80" w:rsidRPr="00BC16BD">
        <w:rPr>
          <w:rFonts w:ascii="Palatino Linotype" w:eastAsia="Calibri" w:hAnsi="Palatino Linotype"/>
          <w:i/>
          <w:lang w:val="es-MX" w:eastAsia="en-US"/>
        </w:rPr>
        <w:t>.”</w:t>
      </w:r>
    </w:p>
    <w:p w14:paraId="3154B1AE" w14:textId="1E498025" w:rsidR="00B1531D" w:rsidRPr="00BC16BD" w:rsidRDefault="00B1531D"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p>
    <w:p w14:paraId="04C5D254" w14:textId="6CE73504" w:rsidR="00B1531D" w:rsidRPr="00BC16BD" w:rsidRDefault="00B1531D"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eastAsia="en-US"/>
        </w:rPr>
        <w:t>Artículo 92.</w:t>
      </w:r>
      <w:r w:rsidRPr="00BC16BD">
        <w:rPr>
          <w:rFonts w:ascii="Palatino Linotype" w:eastAsia="Calibri" w:hAnsi="Palatino Linotype"/>
          <w:i/>
          <w:lang w:eastAsia="en-US"/>
        </w:rPr>
        <w:t xml:space="preserve"> El Ayuntamiento tendrá a su cargo la administración y conservación del alumbrado público. Los habitantes del municipio interesados en la instalación, reparación y operación del servicio de alumbrado público deberán hacer la solicitud formal ante las autoridades municipales correspondientes, la vigilancia del buen uso y conservación de este servicio estará a cargo las autoridades auxiliares y de los vecinos de la comunidad.</w:t>
      </w:r>
      <w:r w:rsidR="00694F4C">
        <w:rPr>
          <w:rFonts w:ascii="Palatino Linotype" w:eastAsia="Calibri" w:hAnsi="Palatino Linotype"/>
          <w:i/>
          <w:lang w:eastAsia="en-US"/>
        </w:rPr>
        <w:t>” (Sic)</w:t>
      </w:r>
    </w:p>
    <w:p w14:paraId="61D2E27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141FDDD0" w14:textId="45DECE54" w:rsidR="00627D79"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tal manera que el alumbrado público es considerado por e</w:t>
      </w:r>
      <w:r w:rsidR="00B1531D" w:rsidRPr="00BC16BD">
        <w:rPr>
          <w:rFonts w:ascii="Palatino Linotype" w:eastAsia="MS Gothic" w:hAnsi="Palatino Linotype"/>
          <w:lang w:val="es-MX" w:eastAsia="en-US"/>
        </w:rPr>
        <w:t>l Ayuntamiento de Naucalpan de Papalotla</w:t>
      </w:r>
      <w:r w:rsidRPr="00BC16BD">
        <w:rPr>
          <w:rFonts w:ascii="Palatino Linotype" w:eastAsia="MS Gothic" w:hAnsi="Palatino Linotype"/>
          <w:lang w:val="es-MX" w:eastAsia="en-US"/>
        </w:rPr>
        <w:t xml:space="preserve"> como uno de los servicios públicos de los que debe encargarse de explotar, conservar y administrar</w:t>
      </w:r>
      <w:r w:rsidR="00B1531D" w:rsidRPr="00BC16BD">
        <w:rPr>
          <w:rFonts w:ascii="Palatino Linotype" w:eastAsia="MS Gothic" w:hAnsi="Palatino Linotype"/>
          <w:lang w:val="es-MX" w:eastAsia="en-US"/>
        </w:rPr>
        <w:t>. Mismo que estará a cargo del Gobierno Municipal</w:t>
      </w:r>
      <w:r w:rsidRPr="00BC16BD">
        <w:rPr>
          <w:rFonts w:ascii="Palatino Linotype" w:eastAsia="MS Gothic" w:hAnsi="Palatino Linotype"/>
          <w:lang w:val="es-MX" w:eastAsia="en-US"/>
        </w:rPr>
        <w:t xml:space="preserve">, la cual, de conformidad con el </w:t>
      </w:r>
      <w:r w:rsidR="00B1531D" w:rsidRPr="00BC16BD">
        <w:rPr>
          <w:rFonts w:ascii="Palatino Linotype" w:eastAsia="MS Gothic" w:hAnsi="Palatino Linotype"/>
          <w:lang w:val="es-MX" w:eastAsia="en-US"/>
        </w:rPr>
        <w:t>Bando Municipal de Papalotla</w:t>
      </w:r>
      <w:r w:rsidR="00B1531D" w:rsidRPr="00BC16BD">
        <w:rPr>
          <w:rStyle w:val="Refdenotaalpie"/>
          <w:rFonts w:ascii="Palatino Linotype" w:eastAsia="MS Gothic" w:hAnsi="Palatino Linotype"/>
          <w:lang w:val="es-MX" w:eastAsia="en-US"/>
        </w:rPr>
        <w:footnoteReference w:id="3"/>
      </w:r>
      <w:r w:rsidRPr="00BC16BD">
        <w:rPr>
          <w:rFonts w:ascii="Palatino Linotype" w:eastAsia="MS Gothic" w:hAnsi="Palatino Linotype"/>
          <w:lang w:val="es-MX" w:eastAsia="en-US"/>
        </w:rPr>
        <w:t xml:space="preserve">, tendrá a su cargo, prestar los servicios públicos municipales </w:t>
      </w:r>
      <w:r w:rsidR="00B1531D" w:rsidRPr="00BC16BD">
        <w:rPr>
          <w:rFonts w:ascii="Palatino Linotype" w:eastAsia="MS Gothic" w:hAnsi="Palatino Linotype"/>
          <w:b/>
          <w:lang w:eastAsia="en-US"/>
        </w:rPr>
        <w:t xml:space="preserve">de manera directa o </w:t>
      </w:r>
      <w:r w:rsidR="00B1531D" w:rsidRPr="00BC16BD">
        <w:rPr>
          <w:rFonts w:ascii="Palatino Linotype" w:eastAsia="MS Gothic" w:hAnsi="Palatino Linotype"/>
          <w:b/>
          <w:lang w:eastAsia="en-US"/>
        </w:rPr>
        <w:lastRenderedPageBreak/>
        <w:t>descentralizada, o bien podrá otorgar la concesión a particulares siempre y cuando exista previo acuerdo del Ayuntamiento y cuando no se trate de los servicios de seguridad pública preventiva, vialidad y aquellos que alteren las estructura y organización municipal.</w:t>
      </w:r>
    </w:p>
    <w:p w14:paraId="0F9E4310" w14:textId="77777777"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2FB2ED9" w14:textId="2802D85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No obstante, si analizamos el contenido del Presupuesto Basado en Resultados Municipal</w:t>
      </w:r>
      <w:r w:rsidR="00627D79" w:rsidRPr="00BC16BD">
        <w:rPr>
          <w:rFonts w:ascii="Palatino Linotype" w:eastAsia="MS Gothic" w:hAnsi="Palatino Linotype"/>
          <w:lang w:val="es-MX" w:eastAsia="en-US"/>
        </w:rPr>
        <w:t xml:space="preserve"> de los años 2018, 2019, 2020 y 2021</w:t>
      </w:r>
      <w:r w:rsidRPr="00BC16BD">
        <w:rPr>
          <w:rFonts w:ascii="Palatino Linotype" w:eastAsia="MS Gothic" w:hAnsi="Palatino Linotype"/>
          <w:lang w:val="es-MX" w:eastAsia="en-US"/>
        </w:rPr>
        <w:t xml:space="preserve">, destaca que el Derecho al Alumbrado Público se encuentra considerado como </w:t>
      </w:r>
      <w:r w:rsidR="00627D79" w:rsidRPr="00BC16BD">
        <w:rPr>
          <w:rFonts w:ascii="Palatino Linotype" w:eastAsia="MS Gothic" w:hAnsi="Palatino Linotype"/>
          <w:lang w:val="es-MX" w:eastAsia="en-US"/>
        </w:rPr>
        <w:t>una partida presupuestal</w:t>
      </w:r>
      <w:r w:rsidRPr="00BC16BD">
        <w:rPr>
          <w:rFonts w:ascii="Palatino Linotype" w:eastAsia="MS Gothic" w:hAnsi="Palatino Linotype"/>
          <w:lang w:val="es-MX" w:eastAsia="en-US"/>
        </w:rPr>
        <w:t>, como</w:t>
      </w:r>
      <w:r w:rsidR="00627D79" w:rsidRPr="00BC16BD">
        <w:rPr>
          <w:rFonts w:ascii="Palatino Linotype" w:eastAsia="MS Gothic" w:hAnsi="Palatino Linotype"/>
          <w:lang w:val="es-MX" w:eastAsia="en-US"/>
        </w:rPr>
        <w:t xml:space="preserve"> se</w:t>
      </w:r>
      <w:r w:rsidRPr="00BC16BD">
        <w:rPr>
          <w:rFonts w:ascii="Palatino Linotype" w:eastAsia="MS Gothic" w:hAnsi="Palatino Linotype"/>
          <w:lang w:val="es-MX" w:eastAsia="en-US"/>
        </w:rPr>
        <w:t xml:space="preserve"> muestra a continuación el siguiente fragmento del formato de mérito:</w:t>
      </w:r>
    </w:p>
    <w:p w14:paraId="594134AA"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58E44EF" w14:textId="52855041" w:rsidR="00B92A80" w:rsidRPr="00BC16BD" w:rsidRDefault="00627D79" w:rsidP="00BC16BD">
      <w:pPr>
        <w:tabs>
          <w:tab w:val="left" w:pos="142"/>
          <w:tab w:val="left" w:pos="284"/>
          <w:tab w:val="left" w:pos="426"/>
        </w:tabs>
        <w:spacing w:before="240" w:after="240" w:line="360" w:lineRule="auto"/>
        <w:contextualSpacing/>
        <w:jc w:val="center"/>
        <w:rPr>
          <w:rFonts w:ascii="Palatino Linotype" w:eastAsia="MS Gothic" w:hAnsi="Palatino Linotype"/>
          <w:b/>
          <w:lang w:val="es-MX" w:eastAsia="en-US"/>
        </w:rPr>
      </w:pPr>
      <w:r w:rsidRPr="00BC16BD">
        <w:rPr>
          <w:rFonts w:ascii="Palatino Linotype" w:hAnsi="Palatino Linotype"/>
          <w:noProof/>
          <w:lang w:val="en-US" w:eastAsia="en-US"/>
        </w:rPr>
        <mc:AlternateContent>
          <mc:Choice Requires="wps">
            <w:drawing>
              <wp:anchor distT="0" distB="0" distL="114300" distR="114300" simplePos="0" relativeHeight="251659264" behindDoc="0" locked="0" layoutInCell="1" allowOverlap="1" wp14:anchorId="5F64B6E3" wp14:editId="6B270D43">
                <wp:simplePos x="0" y="0"/>
                <wp:positionH relativeFrom="column">
                  <wp:posOffset>1663065</wp:posOffset>
                </wp:positionH>
                <wp:positionV relativeFrom="paragraph">
                  <wp:posOffset>784860</wp:posOffset>
                </wp:positionV>
                <wp:extent cx="885825" cy="381000"/>
                <wp:effectExtent l="57150" t="19050" r="85725" b="95250"/>
                <wp:wrapNone/>
                <wp:docPr id="2" name="Rectángulo 2"/>
                <wp:cNvGraphicFramePr/>
                <a:graphic xmlns:a="http://schemas.openxmlformats.org/drawingml/2006/main">
                  <a:graphicData uri="http://schemas.microsoft.com/office/word/2010/wordprocessingShape">
                    <wps:wsp>
                      <wps:cNvSpPr/>
                      <wps:spPr>
                        <a:xfrm>
                          <a:off x="0" y="0"/>
                          <a:ext cx="885825" cy="381000"/>
                        </a:xfrm>
                        <a:prstGeom prst="rect">
                          <a:avLst/>
                        </a:prstGeom>
                        <a:noFill/>
                        <a:ln>
                          <a:solidFill>
                            <a:schemeClr val="accent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A2C904" id="Rectángulo 2" o:spid="_x0000_s1026" style="position:absolute;margin-left:130.95pt;margin-top:61.8pt;width:69.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" filled="f" strokecolor="#c0504d [3205]">
                <v:shadow on="t" color="black" opacity="22937f" origin=",.5" offset="0,.63889mm"/>
              </v:rect>
            </w:pict>
          </mc:Fallback>
        </mc:AlternateContent>
      </w:r>
      <w:r w:rsidRPr="00BC16BD">
        <w:rPr>
          <w:rFonts w:ascii="Palatino Linotype" w:hAnsi="Palatino Linotype"/>
          <w:noProof/>
          <w:lang w:val="en-US" w:eastAsia="en-US"/>
        </w:rPr>
        <w:drawing>
          <wp:inline distT="0" distB="0" distL="0" distR="0" wp14:anchorId="697C6AD5" wp14:editId="12A38E99">
            <wp:extent cx="5540131" cy="1514475"/>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899" t="26252" r="14460" b="38443"/>
                    <a:stretch/>
                  </pic:blipFill>
                  <pic:spPr bwMode="auto">
                    <a:xfrm>
                      <a:off x="0" y="0"/>
                      <a:ext cx="5542446" cy="1515108"/>
                    </a:xfrm>
                    <a:prstGeom prst="rect">
                      <a:avLst/>
                    </a:prstGeom>
                    <a:ln>
                      <a:noFill/>
                    </a:ln>
                    <a:extLst>
                      <a:ext uri="{53640926-AAD7-44D8-BBD7-CCE9431645EC}">
                        <a14:shadowObscured xmlns:a14="http://schemas.microsoft.com/office/drawing/2010/main"/>
                      </a:ext>
                    </a:extLst>
                  </pic:spPr>
                </pic:pic>
              </a:graphicData>
            </a:graphic>
          </wp:inline>
        </w:drawing>
      </w:r>
    </w:p>
    <w:p w14:paraId="2DF7633C"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06A6C98B" w14:textId="4A5FB37D"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Habiendo demostrado entonces la existencia del ingreso a las arcas municipales por el concepto del servicio de alumbrado público, conviene referir que la Ley Orgánica Municipal del Estado de México, refiere que la Tesorería Municipal es el órgano encargado de la recaudación de los ingresos municipales y responsable de realizar las erogaciones que haga el </w:t>
      </w:r>
      <w:r w:rsidRPr="00BC16BD">
        <w:rPr>
          <w:rFonts w:ascii="Palatino Linotype" w:eastAsia="MS Gothic" w:hAnsi="Palatino Linotype"/>
          <w:b/>
          <w:lang w:val="es-MX" w:eastAsia="en-US"/>
        </w:rPr>
        <w:t>SUJETO OBLIGADO</w:t>
      </w:r>
      <w:r w:rsidRPr="00BC16BD">
        <w:rPr>
          <w:rFonts w:ascii="Palatino Linotype" w:eastAsia="MS Gothic" w:hAnsi="Palatino Linotype"/>
          <w:b/>
          <w:vertAlign w:val="superscript"/>
          <w:lang w:val="es-MX" w:eastAsia="en-US"/>
        </w:rPr>
        <w:footnoteReference w:id="4"/>
      </w:r>
      <w:r w:rsidRPr="00BC16BD">
        <w:rPr>
          <w:rFonts w:ascii="Palatino Linotype" w:eastAsia="MS Gothic" w:hAnsi="Palatino Linotype"/>
          <w:lang w:val="es-MX" w:eastAsia="en-US"/>
        </w:rPr>
        <w:t xml:space="preserve"> y, de acuerdo con el numeral 95, su Titular tendrá las siguientes atribuciones:</w:t>
      </w:r>
    </w:p>
    <w:p w14:paraId="5475A6F7" w14:textId="77777777" w:rsidR="00627D79" w:rsidRPr="00BC16BD" w:rsidRDefault="00627D79"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478E9DAE"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4544014A"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Artículo 95.-</w:t>
      </w:r>
      <w:r w:rsidRPr="00BC16BD">
        <w:rPr>
          <w:rFonts w:ascii="Palatino Linotype" w:eastAsia="Calibri" w:hAnsi="Palatino Linotype"/>
          <w:i/>
          <w:lang w:val="es-MX" w:eastAsia="en-US"/>
        </w:rPr>
        <w:t xml:space="preserve"> Son atribuciones del tesorero municipal: </w:t>
      </w:r>
    </w:p>
    <w:p w14:paraId="5CF24EFF"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w:t>
      </w:r>
      <w:r w:rsidRPr="00BC16BD">
        <w:rPr>
          <w:rFonts w:ascii="Palatino Linotype" w:eastAsia="Calibri" w:hAnsi="Palatino Linotype"/>
          <w:i/>
          <w:lang w:val="es-MX" w:eastAsia="en-US"/>
        </w:rPr>
        <w:t xml:space="preserve"> Administrar la hacienda pública municipal, de conformidad con las disposiciones legales aplicables; </w:t>
      </w:r>
    </w:p>
    <w:p w14:paraId="56CD61A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II.</w:t>
      </w:r>
      <w:r w:rsidRPr="00BC16BD">
        <w:rPr>
          <w:rFonts w:ascii="Palatino Linotype" w:eastAsia="Calibri" w:hAnsi="Palatino Linotype"/>
          <w:i/>
          <w:lang w:val="es-MX" w:eastAsia="en-US"/>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14:paraId="20293045"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672D9BA9"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IV.</w:t>
      </w:r>
      <w:r w:rsidRPr="00BC16BD">
        <w:rPr>
          <w:rFonts w:ascii="Palatino Linotype" w:eastAsia="Calibri" w:hAnsi="Palatino Linotype"/>
          <w:i/>
          <w:lang w:val="es-MX" w:eastAsia="en-US"/>
        </w:rPr>
        <w:t xml:space="preserve"> Llevar los registros contables, financieros y administrativos de los ingresos, egresos, e inventarios; </w:t>
      </w:r>
    </w:p>
    <w:p w14:paraId="5BB97F01"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V.</w:t>
      </w:r>
      <w:r w:rsidRPr="00BC16BD">
        <w:rPr>
          <w:rFonts w:ascii="Palatino Linotype" w:eastAsia="Calibri" w:hAnsi="Palatino Linotype"/>
          <w:i/>
          <w:lang w:val="es-MX" w:eastAsia="en-US"/>
        </w:rPr>
        <w:t xml:space="preserve"> Proporcionar oportunamente al ayuntamiento todos los datos o informes que sean necesarios para la formulación del Presupuesto de Egresos Municipales, vigilando que se ajuste a las disposiciones de esta Ley y otros ordenamientos aplicables; </w:t>
      </w:r>
    </w:p>
    <w:p w14:paraId="764A36A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VI.</w:t>
      </w:r>
      <w:r w:rsidRPr="00BC16BD">
        <w:rPr>
          <w:rFonts w:ascii="Palatino Linotype" w:eastAsia="Calibri" w:hAnsi="Palatino Linotype"/>
          <w:i/>
          <w:lang w:val="es-MX" w:eastAsia="en-US"/>
        </w:rPr>
        <w:t xml:space="preserve"> Presentar anualmente al ayuntamiento un informe de la situación contable financiera de la Tesorería Municipal;</w:t>
      </w:r>
    </w:p>
    <w:p w14:paraId="1820B1F1"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t>(…)</w:t>
      </w:r>
    </w:p>
    <w:p w14:paraId="3957206D"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b/>
          <w:i/>
          <w:lang w:val="es-MX" w:eastAsia="en-US"/>
        </w:rPr>
        <w:t>XIX.</w:t>
      </w:r>
      <w:r w:rsidRPr="00BC16BD">
        <w:rPr>
          <w:rFonts w:ascii="Palatino Linotype" w:eastAsia="Calibri" w:hAnsi="Palatino Linotype"/>
          <w:i/>
          <w:lang w:val="es-MX" w:eastAsia="en-US"/>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5E83C013"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Calibri" w:hAnsi="Palatino Linotype"/>
          <w:i/>
          <w:lang w:val="es-MX" w:eastAsia="en-US"/>
        </w:rPr>
      </w:pPr>
      <w:r w:rsidRPr="00BC16BD">
        <w:rPr>
          <w:rFonts w:ascii="Palatino Linotype" w:eastAsia="Calibri" w:hAnsi="Palatino Linotype"/>
          <w:i/>
          <w:lang w:val="es-MX" w:eastAsia="en-US"/>
        </w:rPr>
        <w:lastRenderedPageBreak/>
        <w:t>(…)</w:t>
      </w:r>
    </w:p>
    <w:p w14:paraId="7F6C87DE" w14:textId="77777777" w:rsidR="00B92A80" w:rsidRPr="00BC16BD" w:rsidRDefault="00B92A80" w:rsidP="00BC16BD">
      <w:pPr>
        <w:tabs>
          <w:tab w:val="left" w:pos="142"/>
          <w:tab w:val="left" w:pos="284"/>
          <w:tab w:val="left" w:pos="426"/>
        </w:tabs>
        <w:spacing w:before="240" w:after="240" w:line="360" w:lineRule="auto"/>
        <w:ind w:left="567" w:right="567"/>
        <w:contextualSpacing/>
        <w:jc w:val="both"/>
        <w:rPr>
          <w:rFonts w:ascii="Palatino Linotype" w:eastAsia="MS Gothic" w:hAnsi="Palatino Linotype"/>
          <w:b/>
          <w:i/>
          <w:lang w:val="es-MX" w:eastAsia="en-US"/>
        </w:rPr>
      </w:pPr>
      <w:r w:rsidRPr="00BC16BD">
        <w:rPr>
          <w:rFonts w:ascii="Palatino Linotype" w:eastAsia="Calibri" w:hAnsi="Palatino Linotype"/>
          <w:b/>
          <w:i/>
          <w:lang w:val="es-MX" w:eastAsia="en-US"/>
        </w:rPr>
        <w:t>XXI.</w:t>
      </w:r>
      <w:r w:rsidRPr="00BC16BD">
        <w:rPr>
          <w:rFonts w:ascii="Palatino Linotype" w:eastAsia="Calibri" w:hAnsi="Palatino Linotype"/>
          <w:i/>
          <w:lang w:val="es-MX" w:eastAsia="en-US"/>
        </w:rPr>
        <w:t xml:space="preserve"> Entregar oportunamente a él o los Síndicos, según sea el caso, el informe mensual que corresponda, a fin de que se revise, y de ser necesario, para que se formulen las observaciones respectivas.”</w:t>
      </w:r>
    </w:p>
    <w:p w14:paraId="01A5503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E038F39" w14:textId="18F103DC"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De tal manera que toda información referente a la recaudación, fiscalización e ingresos recibidos por el municipio, como es el caso del Derecho al Alumbrado Público, cobrado por la Comisión Federal de Electricidad mediante los recibos de pago mensuales a los usuarios del servicio de energía eléctrica, deberá estar bajo el control, administración y resguardo de la T</w:t>
      </w:r>
      <w:r w:rsidR="005C59A8" w:rsidRPr="00BC16BD">
        <w:rPr>
          <w:rFonts w:ascii="Palatino Linotype" w:eastAsia="MS Gothic" w:hAnsi="Palatino Linotype"/>
          <w:lang w:val="es-MX" w:eastAsia="en-US"/>
        </w:rPr>
        <w:t xml:space="preserve">esorería Municipal. </w:t>
      </w:r>
    </w:p>
    <w:p w14:paraId="712DD32E" w14:textId="77777777" w:rsidR="005C59A8" w:rsidRPr="00BC16BD" w:rsidRDefault="005C59A8"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1DD70B0E" w14:textId="573179EC" w:rsidR="005C59A8" w:rsidRPr="00BC16BD" w:rsidRDefault="005C59A8"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En ese sentido y dado que el particular solicita información financiera en relación a la facturación por concepto de pago de Alumbrado Público </w:t>
      </w:r>
      <w:r w:rsidRPr="00BC16BD">
        <w:rPr>
          <w:rFonts w:ascii="Palatino Linotype" w:eastAsia="Calibri" w:hAnsi="Palatino Linotype" w:cs="Arial"/>
          <w:bCs/>
          <w:lang w:val="es-MX" w:eastAsia="en-US"/>
        </w:rPr>
        <w:t>es necesario precisar que la materia elemental de la solicitud de acceso a la información pública, es referente a facturas o pólizas, debemos primeramente conocer a que nos referimos por “factura”, al respecto, nos referiremos a éste concepto aunque sea sucintamente de acuerdo a lo que dispone el Glosario de Términos Hacendarios que emite el Instituto Hacendario del Estado de México, mismo que expresa lo siguiente:</w:t>
      </w:r>
    </w:p>
    <w:p w14:paraId="5DCFD78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98D104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“FACTURA</w:t>
      </w:r>
    </w:p>
    <w:p w14:paraId="03B6DF7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Es el documento fiscal que emite la persona física o moral para comprobar la venta o adquisición de un bien y/o servicio.” (Sic)</w:t>
      </w:r>
    </w:p>
    <w:p w14:paraId="19A6D5D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30670A4D" w14:textId="5BD440D6"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lastRenderedPageBreak/>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7C02FA58" w14:textId="6BC3E933"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 como se señaló anteriormente.</w:t>
      </w:r>
    </w:p>
    <w:p w14:paraId="194B0206"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Como se ha dicho anteriormente, es atribución del Tesorero Municipal la de llevar los registros contables, financieros y administrativos de los ingresos, egresos e inventarios.</w:t>
      </w:r>
    </w:p>
    <w:p w14:paraId="6D9963FD"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09DC983"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lang w:val="es-MX" w:eastAsia="en-US"/>
        </w:rPr>
      </w:pPr>
    </w:p>
    <w:p w14:paraId="30486FF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r w:rsidRPr="00BC16BD">
        <w:rPr>
          <w:rFonts w:ascii="Palatino Linotype" w:eastAsia="Calibri" w:hAnsi="Palatino Linotype" w:cs="Arial"/>
          <w:b/>
          <w:bCs/>
          <w:i/>
          <w:lang w:val="es-MX" w:eastAsia="en-US"/>
        </w:rPr>
        <w:t>Artículo 342.-</w:t>
      </w:r>
      <w:r w:rsidRPr="00BC16BD">
        <w:rPr>
          <w:rFonts w:ascii="Palatino Linotype" w:eastAsia="Calibri" w:hAnsi="Palatino Linotype" w:cs="Arial"/>
          <w:bCs/>
          <w:i/>
          <w:lang w:val="es-MX" w:eastAsia="en-US"/>
        </w:rPr>
        <w:t xml:space="preserve"> El registro contable del efecto patrimonial y presupuestal de las operaciones financieras, se realizará conforme al sistema y a las disposiciones que </w:t>
      </w:r>
      <w:r w:rsidRPr="00BC16BD">
        <w:rPr>
          <w:rFonts w:ascii="Palatino Linotype" w:eastAsia="Calibri" w:hAnsi="Palatino Linotype" w:cs="Arial"/>
          <w:bCs/>
          <w:i/>
          <w:lang w:val="es-MX" w:eastAsia="en-US"/>
        </w:rPr>
        <w:lastRenderedPageBreak/>
        <w:t xml:space="preserve">se aprueben en materia de planeación, programación, presupuestación, evaluación y contabilidad gubernamental. </w:t>
      </w:r>
    </w:p>
    <w:p w14:paraId="65FB6A15"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p>
    <w:p w14:paraId="7921994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Artículo 343.-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902C125" w14:textId="18DA016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El sistema de contabilidad sobre base acumulativa total se sustentará en los postulados básicos y el marco conceptual de la contabilidad gubernamental. </w:t>
      </w:r>
    </w:p>
    <w:p w14:paraId="7E747B9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19B85553"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
          <w:bCs/>
          <w:i/>
          <w:lang w:val="es-MX" w:eastAsia="en-US"/>
        </w:rPr>
        <w:t>Artículo 344</w:t>
      </w:r>
      <w:r w:rsidRPr="00BC16BD">
        <w:rPr>
          <w:rFonts w:ascii="Palatino Linotype" w:eastAsia="Calibri" w:hAnsi="Palatino Linotype" w:cs="Arial"/>
          <w:bCs/>
          <w:i/>
          <w:lang w:val="es-MX"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4FAE236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Derogado. </w:t>
      </w:r>
    </w:p>
    <w:p w14:paraId="6691D101"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w:t>
      </w:r>
      <w:r w:rsidRPr="00BC16BD">
        <w:rPr>
          <w:rFonts w:ascii="Palatino Linotype" w:eastAsia="Calibri" w:hAnsi="Palatino Linotype" w:cs="Arial"/>
          <w:bCs/>
          <w:i/>
          <w:lang w:val="es-MX" w:eastAsia="en-US"/>
        </w:rPr>
        <w:lastRenderedPageBreak/>
        <w:t xml:space="preserve">años contados a partir del ejercicio presupuestal siguiente al que corresponda, en el caso de los municipios se hará por la Tesorería. </w:t>
      </w:r>
    </w:p>
    <w:p w14:paraId="030C0D5A"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p>
    <w:p w14:paraId="0068DE16" w14:textId="53854540"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
          <w:bCs/>
          <w:i/>
          <w:lang w:val="es-MX" w:eastAsia="en-US"/>
        </w:rPr>
        <w:t>Artículo 345</w:t>
      </w:r>
      <w:r w:rsidRPr="00BC16BD">
        <w:rPr>
          <w:rFonts w:ascii="Palatino Linotype" w:eastAsia="Calibri" w:hAnsi="Palatino Linotype" w:cs="Arial"/>
          <w:bCs/>
          <w:i/>
          <w:lang w:val="es-MX"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3ABE944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521CA1C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 xml:space="preserve">El plazo señalado en el párrafo anterior, empezará a contar a partir de la publicación en el Periódico Oficial, del decreto correspondiente. “(Sic) </w:t>
      </w:r>
    </w:p>
    <w:p w14:paraId="28FC0D20" w14:textId="09695499"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89057B8" w14:textId="77777777" w:rsidR="005C59A8" w:rsidRPr="00BC16BD" w:rsidRDefault="005C59A8" w:rsidP="00694F4C">
      <w:pPr>
        <w:pStyle w:val="Prrafodelista"/>
        <w:numPr>
          <w:ilvl w:val="0"/>
          <w:numId w:val="5"/>
        </w:numPr>
        <w:spacing w:after="160" w:line="360" w:lineRule="auto"/>
        <w:ind w:left="0" w:hanging="11"/>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w:t>
      </w:r>
      <w:r w:rsidRPr="00BC16BD">
        <w:rPr>
          <w:rFonts w:ascii="Palatino Linotype" w:eastAsia="Calibri" w:hAnsi="Palatino Linotype" w:cs="Arial"/>
          <w:bCs/>
          <w:lang w:val="es-MX" w:eastAsia="en-US"/>
        </w:rPr>
        <w:lastRenderedPageBreak/>
        <w:t xml:space="preserve">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0482188C"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DF45927"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 xml:space="preserve">“REGISTRO CONTABLE </w:t>
      </w:r>
    </w:p>
    <w:p w14:paraId="720CD9A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Asiento que se realiza en los libros de contabilidad de las actividades relacionadas con el ingreso y egresos de un ente económico.” (Sic)</w:t>
      </w:r>
    </w:p>
    <w:p w14:paraId="720797A3"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285147A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“REGISTRO PRESUPUESTARIO</w:t>
      </w:r>
    </w:p>
    <w:p w14:paraId="513743E9"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Asiento contable de las erogaciones realizadas por las dependencias y entidades con relación a la asignación, modificación y ejercicio de los recursos presupuestarios que se les hayan autorizado.” (Sic)</w:t>
      </w:r>
    </w:p>
    <w:p w14:paraId="503524D9"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21D3858E"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Por otra parte, se establece que el sistema de contabilidad sobre base acumulativa total se sustentará en los principios de contabilidad gubernamental.</w:t>
      </w:r>
    </w:p>
    <w:p w14:paraId="4AB76191"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7826CE5D"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03C7CC10" w14:textId="77777777" w:rsidR="005C59A8" w:rsidRPr="00BC16BD" w:rsidRDefault="005C59A8" w:rsidP="00BC16BD">
      <w:pPr>
        <w:pStyle w:val="Prrafodelista"/>
        <w:spacing w:line="360" w:lineRule="auto"/>
        <w:rPr>
          <w:rFonts w:ascii="Palatino Linotype" w:eastAsia="Calibri" w:hAnsi="Palatino Linotype" w:cs="Arial"/>
          <w:bCs/>
          <w:lang w:val="es-MX" w:eastAsia="en-US"/>
        </w:rPr>
      </w:pPr>
    </w:p>
    <w:p w14:paraId="22EC221C"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Correlativo a lo anterior, es preciso referir una definición de póliza contable, la cual, primeramente, no está definida en el Código Financiero del Estado de México y Municipios; no obstante, los ya mencionados Glosarios la definen como: </w:t>
      </w:r>
    </w:p>
    <w:p w14:paraId="57E54AA9"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126E21F8"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
          <w:bCs/>
          <w:i/>
          <w:lang w:val="es-MX" w:eastAsia="en-US"/>
        </w:rPr>
      </w:pPr>
      <w:r w:rsidRPr="00BC16BD">
        <w:rPr>
          <w:rFonts w:ascii="Palatino Linotype" w:eastAsia="Calibri" w:hAnsi="Palatino Linotype" w:cs="Arial"/>
          <w:b/>
          <w:bCs/>
          <w:i/>
          <w:lang w:val="es-MX" w:eastAsia="en-US"/>
        </w:rPr>
        <w:t>“PÓLIZA CONTABLE</w:t>
      </w:r>
    </w:p>
    <w:p w14:paraId="2619E224"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Documento en el cual se asientan en forma individual todas y cada una de las operaciones desarrolladas por una institución, así como la información necesaria para la identificación de dichas operaciones.” (sic)</w:t>
      </w:r>
    </w:p>
    <w:p w14:paraId="4A0537A6"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4534BA77"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2E234EF" w14:textId="77777777" w:rsidR="005C59A8" w:rsidRPr="00BC16BD" w:rsidRDefault="005C59A8" w:rsidP="00BC16BD">
      <w:pPr>
        <w:pStyle w:val="Prrafodelista"/>
        <w:spacing w:after="160" w:line="360" w:lineRule="auto"/>
        <w:ind w:left="0"/>
        <w:jc w:val="both"/>
        <w:rPr>
          <w:rFonts w:ascii="Palatino Linotype" w:eastAsia="Calibri" w:hAnsi="Palatino Linotype" w:cs="Arial"/>
          <w:bCs/>
          <w:lang w:val="es-MX" w:eastAsia="en-US"/>
        </w:rPr>
      </w:pPr>
    </w:p>
    <w:p w14:paraId="0B15762A" w14:textId="65D92D58"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En este sentido, existen diversos tipos de pólizas contables de acuerdo a las operaciones realizadas, dentro de las cuales, encontramos las llamadas pólizas de </w:t>
      </w:r>
      <w:r w:rsidRPr="00BC16BD">
        <w:rPr>
          <w:rFonts w:ascii="Palatino Linotype" w:eastAsia="Calibri" w:hAnsi="Palatino Linotype" w:cs="Arial"/>
          <w:bCs/>
          <w:lang w:val="es-MX" w:eastAsia="en-US"/>
        </w:rPr>
        <w:lastRenderedPageBreak/>
        <w:t xml:space="preserve">egresos, en las cuales se anotan diariamente las operaciones que representan egresos, es decir, salidas de dinero para, la </w:t>
      </w:r>
      <w:r w:rsidR="00694F4C" w:rsidRPr="00BC16BD">
        <w:rPr>
          <w:rFonts w:ascii="Palatino Linotype" w:eastAsia="Calibri" w:hAnsi="Palatino Linotype" w:cs="Arial"/>
          <w:bCs/>
          <w:lang w:val="es-MX" w:eastAsia="en-US"/>
        </w:rPr>
        <w:t>cual,</w:t>
      </w:r>
      <w:r w:rsidRPr="00BC16BD">
        <w:rPr>
          <w:rFonts w:ascii="Palatino Linotype" w:eastAsia="Calibri" w:hAnsi="Palatino Linotype" w:cs="Arial"/>
          <w:bCs/>
          <w:lang w:val="es-MX" w:eastAsia="en-US"/>
        </w:rPr>
        <w:t xml:space="preserve"> además, debe encontrarse acompañada de las documentales que sirven de soporte de dicho movimiento. </w:t>
      </w:r>
    </w:p>
    <w:p w14:paraId="5162EBB8" w14:textId="77777777" w:rsidR="005C59A8" w:rsidRPr="00BC16BD" w:rsidRDefault="005C59A8" w:rsidP="00BC16BD">
      <w:pPr>
        <w:pStyle w:val="Prrafodelista"/>
        <w:spacing w:line="360" w:lineRule="auto"/>
        <w:rPr>
          <w:rFonts w:ascii="Palatino Linotype" w:eastAsia="Calibri" w:hAnsi="Palatino Linotype" w:cs="Arial"/>
          <w:bCs/>
          <w:lang w:val="es-MX" w:eastAsia="en-US"/>
        </w:rPr>
      </w:pPr>
    </w:p>
    <w:p w14:paraId="3F775D6D" w14:textId="4B62257D" w:rsidR="005C59A8" w:rsidRPr="00694F4C"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 xml:space="preserve">En este sentido, los Lineamientos para la Integración del Informe Mensual emitidos por el Órgano Superior de Fiscalización del Estado de México y </w:t>
      </w:r>
      <w:r w:rsidR="00BC16BD" w:rsidRPr="00BC16BD">
        <w:rPr>
          <w:rFonts w:ascii="Palatino Linotype" w:eastAsia="Calibri" w:hAnsi="Palatino Linotype" w:cs="Arial"/>
          <w:bCs/>
          <w:lang w:val="es-MX" w:eastAsia="en-US"/>
        </w:rPr>
        <w:t>la Capacitación; Integración del Informe Trimestral de los Sujetos de  Fiscalización Municipales para el Ejercicio 2021</w:t>
      </w:r>
      <w:r w:rsidRPr="00BC16BD">
        <w:rPr>
          <w:rFonts w:ascii="Palatino Linotype" w:eastAsia="Calibri" w:hAnsi="Palatino Linotype" w:cs="Arial"/>
          <w:bCs/>
          <w:lang w:val="es-MX" w:eastAsia="en-US"/>
        </w:rPr>
        <w:t>, contienen los formatos e información que debe ser proporcionada para la integración de los informes mensuales</w:t>
      </w:r>
      <w:r w:rsidR="00BC16BD" w:rsidRPr="00BC16BD">
        <w:rPr>
          <w:rFonts w:ascii="Palatino Linotype" w:eastAsia="Calibri" w:hAnsi="Palatino Linotype" w:cs="Arial"/>
          <w:bCs/>
          <w:lang w:val="es-MX" w:eastAsia="en-US"/>
        </w:rPr>
        <w:t xml:space="preserve">, </w:t>
      </w:r>
      <w:r w:rsidRPr="00BC16BD">
        <w:rPr>
          <w:rFonts w:ascii="Palatino Linotype" w:eastAsia="Calibri" w:hAnsi="Palatino Linotype" w:cs="Arial"/>
          <w:bCs/>
          <w:lang w:val="es-MX" w:eastAsia="en-US"/>
        </w:rPr>
        <w:t>siendo uno de ellos la información relativa a las Pólizas de Ingresos con los documentos, Pólizas de Diario con</w:t>
      </w:r>
      <w:r w:rsidR="00BC16BD" w:rsidRPr="00BC16BD">
        <w:rPr>
          <w:rFonts w:ascii="Palatino Linotype" w:eastAsia="Calibri" w:hAnsi="Palatino Linotype" w:cs="Arial"/>
          <w:bCs/>
          <w:lang w:val="es-MX" w:eastAsia="en-US"/>
        </w:rPr>
        <w:t xml:space="preserve"> los documentos comprobatorios</w:t>
      </w:r>
      <w:r w:rsidRPr="00BC16BD">
        <w:rPr>
          <w:rFonts w:ascii="Palatino Linotype" w:eastAsia="Calibri" w:hAnsi="Palatino Linotype" w:cs="Arial"/>
          <w:bCs/>
          <w:lang w:val="es-MX" w:eastAsia="en-US"/>
        </w:rPr>
        <w:t xml:space="preserve">, dichos formatos constituyen un soporte documental de que la información solicitada por el hoy </w:t>
      </w:r>
      <w:r w:rsidRPr="00BC16BD">
        <w:rPr>
          <w:rFonts w:ascii="Palatino Linotype" w:eastAsia="Calibri" w:hAnsi="Palatino Linotype" w:cs="Arial"/>
          <w:b/>
          <w:bCs/>
          <w:lang w:val="es-MX" w:eastAsia="en-US"/>
        </w:rPr>
        <w:t xml:space="preserve">RECURRENTE </w:t>
      </w:r>
      <w:r w:rsidRPr="00BC16BD">
        <w:rPr>
          <w:rFonts w:ascii="Palatino Linotype" w:eastAsia="Calibri" w:hAnsi="Palatino Linotype" w:cs="Arial"/>
          <w:bCs/>
          <w:lang w:val="es-MX" w:eastAsia="en-US"/>
        </w:rPr>
        <w:t xml:space="preserve">obra en los archivos del </w:t>
      </w:r>
      <w:r w:rsidR="00BC16BD" w:rsidRPr="00BC16BD">
        <w:rPr>
          <w:rFonts w:ascii="Palatino Linotype" w:eastAsia="Calibri" w:hAnsi="Palatino Linotype" w:cs="Arial"/>
          <w:b/>
          <w:bCs/>
          <w:lang w:val="es-MX" w:eastAsia="en-US"/>
        </w:rPr>
        <w:t>SUJETO OBLIGADO.</w:t>
      </w:r>
    </w:p>
    <w:p w14:paraId="0F4512FE" w14:textId="65B01BD7" w:rsidR="00694F4C" w:rsidRPr="00BC16BD" w:rsidRDefault="00694F4C" w:rsidP="00694F4C">
      <w:pPr>
        <w:pStyle w:val="Prrafodelista"/>
        <w:spacing w:after="160" w:line="360" w:lineRule="auto"/>
        <w:ind w:left="0"/>
        <w:jc w:val="both"/>
        <w:rPr>
          <w:rFonts w:ascii="Palatino Linotype" w:eastAsia="Calibri" w:hAnsi="Palatino Linotype" w:cs="Arial"/>
          <w:bCs/>
          <w:lang w:val="es-MX" w:eastAsia="en-US"/>
        </w:rPr>
      </w:pPr>
    </w:p>
    <w:p w14:paraId="6147F2BE" w14:textId="77777777" w:rsidR="005C59A8" w:rsidRPr="00BC16BD" w:rsidRDefault="005C59A8" w:rsidP="00694F4C">
      <w:pPr>
        <w:pStyle w:val="Prrafodelista"/>
        <w:numPr>
          <w:ilvl w:val="0"/>
          <w:numId w:val="5"/>
        </w:numPr>
        <w:spacing w:after="160" w:line="360" w:lineRule="auto"/>
        <w:ind w:left="0" w:firstLine="0"/>
        <w:jc w:val="both"/>
        <w:rPr>
          <w:rFonts w:ascii="Palatino Linotype" w:eastAsia="Calibri" w:hAnsi="Palatino Linotype" w:cs="Arial"/>
          <w:bCs/>
          <w:lang w:val="es-MX" w:eastAsia="en-US"/>
        </w:rPr>
      </w:pPr>
      <w:r w:rsidRPr="00BC16BD">
        <w:rPr>
          <w:rFonts w:ascii="Palatino Linotype" w:eastAsia="Calibri" w:hAnsi="Palatino Linotype" w:cs="Arial"/>
          <w:bCs/>
          <w:lang w:val="es-MX" w:eastAsia="en-US"/>
        </w:rPr>
        <w:t>Por otro lado, los Lineamientos de Control Financiero y Administrativo para las Entidades Fiscalizables Municipales del Estado de México, en sus numerales 4 y 11 fracción IV, establecen en su literalidad:</w:t>
      </w:r>
    </w:p>
    <w:p w14:paraId="20383C31"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p>
    <w:p w14:paraId="2869DD1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w:t>
      </w:r>
      <w:r w:rsidRPr="00BC16BD">
        <w:rPr>
          <w:rFonts w:ascii="Palatino Linotype" w:eastAsia="Calibri" w:hAnsi="Palatino Linotype" w:cs="Arial"/>
          <w:b/>
          <w:bCs/>
          <w:i/>
          <w:lang w:val="es-MX" w:eastAsia="en-US"/>
        </w:rPr>
        <w:t>CUARTO:</w:t>
      </w:r>
      <w:r w:rsidRPr="00BC16BD">
        <w:rPr>
          <w:rFonts w:ascii="Palatino Linotype" w:eastAsia="Calibri" w:hAnsi="Palatino Linotype" w:cs="Arial"/>
          <w:bCs/>
          <w:i/>
          <w:lang w:val="es-MX" w:eastAsia="en-US"/>
        </w:rPr>
        <w:t xml:space="preserve"> Son sujetos de los presentes Lineamientos:</w:t>
      </w:r>
    </w:p>
    <w:p w14:paraId="0054C662"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I. En los Municipios:</w:t>
      </w:r>
    </w:p>
    <w:p w14:paraId="4F4B4217"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a) Presidente;</w:t>
      </w:r>
    </w:p>
    <w:p w14:paraId="153357C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b) Síndico (s);</w:t>
      </w:r>
    </w:p>
    <w:p w14:paraId="6DBC4DD4"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lastRenderedPageBreak/>
        <w:t>c) Regidores;</w:t>
      </w:r>
    </w:p>
    <w:p w14:paraId="6C02AF9B"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 Secretario del ayuntamiento;</w:t>
      </w:r>
    </w:p>
    <w:p w14:paraId="3E17B53C"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e) Tesorero o equivalente;</w:t>
      </w:r>
    </w:p>
    <w:p w14:paraId="2E90963D"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f) Director de administración o su equivalente;</w:t>
      </w:r>
    </w:p>
    <w:p w14:paraId="7BE07B06"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g) Director de obras públicas; y</w:t>
      </w:r>
    </w:p>
    <w:p w14:paraId="6DDC7F5A"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h) Titular del órgano de control interno.</w:t>
      </w:r>
    </w:p>
    <w:p w14:paraId="3F0E885F" w14:textId="77777777"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DÉCIMO PRIMERO: Los servidores públicos municipales, tendrán en el ámbito de su competencia, respecto de los presentes Lineamientos, las obligaciones siguientes:</w:t>
      </w:r>
    </w:p>
    <w:p w14:paraId="5ED561E8" w14:textId="42892A9C" w:rsidR="005C59A8" w:rsidRPr="00BC16BD" w:rsidRDefault="005C59A8" w:rsidP="00BC16BD">
      <w:pPr>
        <w:pStyle w:val="Prrafodelista"/>
        <w:spacing w:after="160" w:line="360" w:lineRule="auto"/>
        <w:ind w:left="567" w:right="616"/>
        <w:jc w:val="both"/>
        <w:rPr>
          <w:rFonts w:ascii="Palatino Linotype" w:eastAsia="Calibri" w:hAnsi="Palatino Linotype" w:cs="Arial"/>
          <w:bCs/>
          <w:i/>
          <w:lang w:val="es-MX" w:eastAsia="en-US"/>
        </w:rPr>
      </w:pPr>
      <w:r w:rsidRPr="00BC16BD">
        <w:rPr>
          <w:rFonts w:ascii="Palatino Linotype" w:eastAsia="Calibri" w:hAnsi="Palatino Linotype" w:cs="Arial"/>
          <w:bCs/>
          <w:i/>
          <w:lang w:val="es-MX" w:eastAsia="en-US"/>
        </w:rPr>
        <w:t>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(Sic)</w:t>
      </w:r>
    </w:p>
    <w:p w14:paraId="1DF5B757" w14:textId="2E9400B1" w:rsidR="00B92A80" w:rsidRPr="00BC16BD" w:rsidRDefault="00624241"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Pr>
          <w:rFonts w:ascii="Palatino Linotype" w:eastAsia="MS Gothic" w:hAnsi="Palatino Linotype"/>
          <w:lang w:val="es-MX" w:eastAsia="en-US"/>
        </w:rPr>
        <w:t>Ahora bien</w:t>
      </w:r>
      <w:r w:rsidR="00B92A80" w:rsidRPr="00BC16BD">
        <w:rPr>
          <w:rFonts w:ascii="Palatino Linotype" w:eastAsia="MS Gothic" w:hAnsi="Palatino Linotype"/>
          <w:lang w:val="es-MX" w:eastAsia="en-US"/>
        </w:rPr>
        <w:t xml:space="preserve">, </w:t>
      </w:r>
      <w:r w:rsidR="00627D79" w:rsidRPr="00BC16BD">
        <w:rPr>
          <w:rFonts w:ascii="Palatino Linotype" w:eastAsia="MS Gothic" w:hAnsi="Palatino Linotype"/>
          <w:lang w:val="es-MX" w:eastAsia="en-US"/>
        </w:rPr>
        <w:t xml:space="preserve">no pasa desapercibido que el particular anexó en su solicitud de información un recuadro esquematizando la forma en que requería la información solicitada, así </w:t>
      </w:r>
      <w:r w:rsidR="00B92A80" w:rsidRPr="00BC16BD">
        <w:rPr>
          <w:rFonts w:ascii="Palatino Linotype" w:eastAsia="MS Gothic" w:hAnsi="Palatino Linotype"/>
          <w:lang w:val="es-MX" w:eastAsia="en-US"/>
        </w:rPr>
        <w:t xml:space="preserve">es necesario traer a contexto los numerales 11 y 12 de la Ley de </w:t>
      </w:r>
      <w:r w:rsidR="00B92A80" w:rsidRPr="00BC16BD">
        <w:rPr>
          <w:rFonts w:ascii="Palatino Linotype" w:eastAsia="MS Gothic" w:hAnsi="Palatino Linotype"/>
          <w:lang w:val="es-MX" w:eastAsia="en-US"/>
        </w:rPr>
        <w:lastRenderedPageBreak/>
        <w:t>Transparencia y Acceso a la Información Pública del Estado de México y Municipios, los cuales, exponen lo siguiente:</w:t>
      </w:r>
    </w:p>
    <w:p w14:paraId="768736BB"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3C4B91A1"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t>“Artículo 11.-</w:t>
      </w:r>
      <w:r w:rsidRPr="00BC16BD">
        <w:rPr>
          <w:rFonts w:ascii="Palatino Linotype" w:eastAsia="Calibri" w:hAnsi="Palatino Linotype" w:cs="Arial"/>
          <w:bCs/>
          <w:i/>
          <w:noProof/>
          <w:lang w:val="es-MX" w:eastAsia="en-US"/>
        </w:rPr>
        <w:t xml:space="preserve"> </w:t>
      </w:r>
      <w:r w:rsidRPr="00BC16BD">
        <w:rPr>
          <w:rFonts w:ascii="Palatino Linotype" w:eastAsia="Calibri" w:hAnsi="Palatino Linotype" w:cs="Arial"/>
          <w:b/>
          <w:bCs/>
          <w:i/>
          <w:noProof/>
          <w:lang w:val="es-MX" w:eastAsia="en-US"/>
        </w:rPr>
        <w:t>Los Sujetos Obligados sólo proporcionarán la información que generen en el ejercicio de sus atribuciones</w:t>
      </w:r>
      <w:r w:rsidRPr="00BC16BD">
        <w:rPr>
          <w:rFonts w:ascii="Palatino Linotype" w:eastAsia="Calibri" w:hAnsi="Palatino Linotype" w:cs="Arial"/>
          <w:bCs/>
          <w:i/>
          <w:noProof/>
          <w:lang w:val="es-MX" w:eastAsia="en-US"/>
        </w:rPr>
        <w:t>.</w:t>
      </w:r>
    </w:p>
    <w:p w14:paraId="3A1EA455"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t>Artículo 12.</w:t>
      </w:r>
      <w:r w:rsidRPr="00BC16BD">
        <w:rPr>
          <w:rFonts w:ascii="Palatino Linotype" w:eastAsia="Calibri" w:hAnsi="Palatino Linotype" w:cs="Arial"/>
          <w:bCs/>
          <w:i/>
          <w:noProof/>
          <w:lang w:val="es-MX" w:eastAsia="en-US"/>
        </w:rPr>
        <w:t xml:space="preserve"> Quienes generen, recopilen, </w:t>
      </w:r>
      <w:r w:rsidRPr="00BC16BD">
        <w:rPr>
          <w:rFonts w:ascii="Palatino Linotype" w:eastAsia="Calibri" w:hAnsi="Palatino Linotype"/>
          <w:i/>
          <w:lang w:val="es-MX" w:eastAsia="en-US"/>
        </w:rPr>
        <w:t>administren</w:t>
      </w:r>
      <w:r w:rsidRPr="00BC16BD">
        <w:rPr>
          <w:rFonts w:ascii="Palatino Linotype" w:eastAsia="Calibri" w:hAnsi="Palatino Linotype" w:cs="Arial"/>
          <w:bCs/>
          <w:i/>
          <w:noProof/>
          <w:lang w:val="es-MX" w:eastAsia="en-US"/>
        </w:rPr>
        <w:t>, manejen, procesen, archiven o conserven información pública</w:t>
      </w:r>
      <w:r w:rsidRPr="00BC16BD">
        <w:rPr>
          <w:rFonts w:ascii="Palatino Linotype" w:eastAsia="Calibri" w:hAnsi="Palatino Linotype" w:cs="Arial"/>
          <w:b/>
          <w:bCs/>
          <w:i/>
          <w:noProof/>
          <w:lang w:val="es-MX" w:eastAsia="en-US"/>
        </w:rPr>
        <w:t xml:space="preserve"> </w:t>
      </w:r>
      <w:r w:rsidRPr="00BC16BD">
        <w:rPr>
          <w:rFonts w:ascii="Palatino Linotype" w:eastAsia="Calibri" w:hAnsi="Palatino Linotype" w:cs="Arial"/>
          <w:bCs/>
          <w:i/>
          <w:noProof/>
          <w:lang w:val="es-MX" w:eastAsia="en-US"/>
        </w:rPr>
        <w:t xml:space="preserve">serán responsables de la misma en los términos de las disposiciones jurídicas </w:t>
      </w:r>
      <w:r w:rsidRPr="00BC16BD">
        <w:rPr>
          <w:rFonts w:ascii="Palatino Linotype" w:eastAsia="Calibri" w:hAnsi="Palatino Linotype" w:cs="Arial"/>
          <w:i/>
          <w:color w:val="000000"/>
          <w:lang w:val="es-MX" w:eastAsia="en-US"/>
        </w:rPr>
        <w:t>aplicables</w:t>
      </w:r>
      <w:r w:rsidRPr="00BC16BD">
        <w:rPr>
          <w:rFonts w:ascii="Palatino Linotype" w:eastAsia="Calibri" w:hAnsi="Palatino Linotype" w:cs="Arial"/>
          <w:bCs/>
          <w:i/>
          <w:noProof/>
          <w:lang w:val="es-MX" w:eastAsia="en-US"/>
        </w:rPr>
        <w:t xml:space="preserve">. </w:t>
      </w:r>
    </w:p>
    <w:p w14:paraId="4493185C"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bCs/>
          <w:i/>
          <w:noProof/>
          <w:lang w:val="es-MX" w:eastAsia="en-US"/>
        </w:rPr>
      </w:pPr>
      <w:r w:rsidRPr="00BC16BD">
        <w:rPr>
          <w:rFonts w:ascii="Palatino Linotype" w:eastAsia="Calibri" w:hAnsi="Palatino Linotype" w:cs="Arial"/>
          <w:b/>
          <w:bCs/>
          <w:i/>
          <w:noProof/>
          <w:lang w:val="es-MX" w:eastAsia="en-US"/>
        </w:rPr>
        <w:t>Los sujetos obligados sólo proporcionarán la información pública que se les requiera y que obre en sus archivos</w:t>
      </w:r>
      <w:r w:rsidRPr="00BC16BD">
        <w:rPr>
          <w:rFonts w:ascii="Palatino Linotype" w:eastAsia="Calibri" w:hAnsi="Palatino Linotype" w:cs="Arial"/>
          <w:bCs/>
          <w:i/>
          <w:noProof/>
          <w:lang w:val="es-MX" w:eastAsia="en-US"/>
        </w:rPr>
        <w:t xml:space="preserve"> </w:t>
      </w:r>
      <w:r w:rsidRPr="00BC16BD">
        <w:rPr>
          <w:rFonts w:ascii="Palatino Linotype" w:eastAsia="Calibri" w:hAnsi="Palatino Linotype" w:cs="Arial"/>
          <w:b/>
          <w:bCs/>
          <w:i/>
          <w:noProof/>
          <w:lang w:val="es-MX" w:eastAsia="en-US"/>
        </w:rPr>
        <w:t xml:space="preserve">y en el estado en que ésta se encuentre. La obligación de proporcionar información no </w:t>
      </w:r>
      <w:r w:rsidRPr="00BC16BD">
        <w:rPr>
          <w:rFonts w:ascii="Palatino Linotype" w:eastAsia="Calibri" w:hAnsi="Palatino Linotype"/>
          <w:b/>
          <w:i/>
          <w:lang w:val="es-MX" w:eastAsia="en-US"/>
        </w:rPr>
        <w:t>comprende</w:t>
      </w:r>
      <w:r w:rsidRPr="00BC16BD">
        <w:rPr>
          <w:rFonts w:ascii="Palatino Linotype" w:eastAsia="Calibri" w:hAnsi="Palatino Linotype" w:cs="Arial"/>
          <w:b/>
          <w:bCs/>
          <w:i/>
          <w:noProof/>
          <w:lang w:val="es-MX" w:eastAsia="en-US"/>
        </w:rPr>
        <w:t xml:space="preserve"> el procesamiento de la misma, ni el presentarla conforme al interés del solicitante; no estarán obligados a generarla, resumirla, efectuar cálculos o practicar investigaciones.</w:t>
      </w:r>
      <w:r w:rsidRPr="00BC16BD">
        <w:rPr>
          <w:rFonts w:ascii="Palatino Linotype" w:eastAsia="Calibri" w:hAnsi="Palatino Linotype" w:cs="Arial"/>
          <w:bCs/>
          <w:i/>
          <w:noProof/>
          <w:lang w:val="es-MX" w:eastAsia="en-US"/>
        </w:rPr>
        <w:t>”</w:t>
      </w:r>
    </w:p>
    <w:p w14:paraId="5A1A6633" w14:textId="77777777" w:rsidR="00B92A80" w:rsidRPr="00BC16BD" w:rsidRDefault="00B92A80" w:rsidP="00BC16BD">
      <w:pPr>
        <w:autoSpaceDE w:val="0"/>
        <w:autoSpaceDN w:val="0"/>
        <w:adjustRightInd w:val="0"/>
        <w:spacing w:before="160" w:after="160" w:line="360" w:lineRule="auto"/>
        <w:ind w:left="709" w:right="567"/>
        <w:jc w:val="both"/>
        <w:rPr>
          <w:rFonts w:ascii="Palatino Linotype" w:eastAsia="Calibri" w:hAnsi="Palatino Linotype" w:cs="Arial"/>
          <w:color w:val="000000"/>
          <w:lang w:val="es-MX" w:eastAsia="en-US"/>
        </w:rPr>
      </w:pPr>
      <w:r w:rsidRPr="00BC16BD">
        <w:rPr>
          <w:rFonts w:ascii="Palatino Linotype" w:eastAsia="Calibri" w:hAnsi="Palatino Linotype" w:cs="Arial"/>
          <w:color w:val="000000"/>
          <w:lang w:val="es-MX" w:eastAsia="en-US"/>
        </w:rPr>
        <w:t>(Énfasis añadido)</w:t>
      </w:r>
    </w:p>
    <w:p w14:paraId="41CF9821"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540C0F84"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De lo anterior se entiende que el ejercicio del derecho de acceso a la información pública se centra en la potestad de los particulares de tener </w:t>
      </w:r>
      <w:r w:rsidRPr="00BC16BD">
        <w:rPr>
          <w:rFonts w:ascii="Palatino Linotype" w:eastAsia="MS Gothic" w:hAnsi="Palatino Linotype"/>
          <w:b/>
          <w:lang w:val="es-MX" w:eastAsia="en-US"/>
        </w:rPr>
        <w:t>acceso a los documentos públicos que obren en los archivos de los Sujetos Obligados</w:t>
      </w:r>
      <w:r w:rsidRPr="00BC16BD">
        <w:rPr>
          <w:rFonts w:ascii="Palatino Linotype" w:eastAsia="MS Gothic" w:hAnsi="Palatino Linotype"/>
          <w:lang w:val="es-MX" w:eastAsia="en-US"/>
        </w:rPr>
        <w:t xml:space="preserve">, ya sea porque los generen en el uso de sus atribuciones, los administren o simplemente los posean. </w:t>
      </w:r>
    </w:p>
    <w:p w14:paraId="6DBC1983"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42B994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En consecuencia, el derecho de acceso a la información pública se satisface en aquellos casos en que se entregue el soporte documental en que conste la </w:t>
      </w:r>
      <w:r w:rsidRPr="00BC16BD">
        <w:rPr>
          <w:rFonts w:ascii="Palatino Linotype" w:eastAsia="MS Gothic" w:hAnsi="Palatino Linotype"/>
          <w:lang w:val="es-MX" w:eastAsia="en-US"/>
        </w:rPr>
        <w:lastRenderedPageBreak/>
        <w:t xml:space="preserve">información pública, toda vez que los Sujetos Obligados no tienen el deber de generar, poseer o administrar la información pública con el grado de detalle que se señala en la solicitud de información pública, como puede ser un informe detallado de forma bimestral, como fuera requerido por el </w:t>
      </w:r>
      <w:r w:rsidRPr="00BC16BD">
        <w:rPr>
          <w:rFonts w:ascii="Palatino Linotype" w:eastAsia="MS Gothic" w:hAnsi="Palatino Linotype"/>
          <w:b/>
          <w:lang w:val="es-MX" w:eastAsia="en-US"/>
        </w:rPr>
        <w:t>RECURRENTE</w:t>
      </w:r>
      <w:r w:rsidRPr="00BC16BD">
        <w:rPr>
          <w:rFonts w:ascii="Palatino Linotype" w:eastAsia="MS Gothic" w:hAnsi="Palatino Linotype"/>
          <w:lang w:val="es-MX" w:eastAsia="en-US"/>
        </w:rPr>
        <w:t xml:space="preserve"> en su solicitud de información; esto es, que no tienen el deber de generar un documento </w:t>
      </w:r>
      <w:r w:rsidRPr="00BC16BD">
        <w:rPr>
          <w:rFonts w:ascii="Palatino Linotype" w:eastAsia="MS Gothic" w:hAnsi="Palatino Linotype"/>
          <w:b/>
          <w:i/>
          <w:lang w:val="es-MX" w:eastAsia="en-US"/>
        </w:rPr>
        <w:t>ad hoc</w:t>
      </w:r>
      <w:r w:rsidRPr="00BC16BD">
        <w:rPr>
          <w:rFonts w:ascii="Palatino Linotype" w:eastAsia="MS Gothic" w:hAnsi="Palatino Linotype"/>
          <w:lang w:val="es-MX" w:eastAsia="en-US"/>
        </w:rPr>
        <w:t>, para satisfacer el derecho de acceso a la información pública.</w:t>
      </w:r>
    </w:p>
    <w:p w14:paraId="77A3CE72"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6233D835" w14:textId="77777777" w:rsidR="00B92A80" w:rsidRPr="00BC16BD" w:rsidRDefault="00B92A80" w:rsidP="00694F4C">
      <w:pPr>
        <w:numPr>
          <w:ilvl w:val="0"/>
          <w:numId w:val="5"/>
        </w:numPr>
        <w:tabs>
          <w:tab w:val="left" w:pos="142"/>
          <w:tab w:val="left" w:pos="284"/>
          <w:tab w:val="left" w:pos="426"/>
        </w:tabs>
        <w:spacing w:before="240" w:after="240" w:line="360" w:lineRule="auto"/>
        <w:ind w:left="0" w:firstLine="0"/>
        <w:contextualSpacing/>
        <w:jc w:val="both"/>
        <w:rPr>
          <w:rFonts w:ascii="Palatino Linotype" w:eastAsia="MS Gothic" w:hAnsi="Palatino Linotype"/>
          <w:b/>
          <w:lang w:val="es-MX" w:eastAsia="en-US"/>
        </w:rPr>
      </w:pPr>
      <w:r w:rsidRPr="00BC16BD">
        <w:rPr>
          <w:rFonts w:ascii="Palatino Linotype" w:eastAsia="MS Gothic" w:hAnsi="Palatino Linotype"/>
          <w:lang w:val="es-MX" w:eastAsia="en-US"/>
        </w:rPr>
        <w:t xml:space="preserve">Robustece lo anterior el Criterio 09/10, emitido por el Pleno del entonces </w:t>
      </w:r>
      <w:r w:rsidRPr="00BC16BD">
        <w:rPr>
          <w:rFonts w:ascii="Palatino Linotype" w:eastAsia="MS Gothic" w:hAnsi="Palatino Linotype"/>
          <w:bCs/>
          <w:lang w:val="es-MX" w:eastAsia="en-US"/>
        </w:rPr>
        <w:t xml:space="preserve">Instituto Federal </w:t>
      </w:r>
      <w:r w:rsidRPr="00BC16BD">
        <w:rPr>
          <w:rFonts w:ascii="Palatino Linotype" w:eastAsia="MS Gothic" w:hAnsi="Palatino Linotype"/>
          <w:lang w:val="es-MX" w:eastAsia="en-US"/>
        </w:rPr>
        <w:t>de</w:t>
      </w:r>
      <w:r w:rsidRPr="00BC16BD">
        <w:rPr>
          <w:rFonts w:ascii="Palatino Linotype" w:eastAsia="MS Gothic" w:hAnsi="Palatino Linotype"/>
          <w:bCs/>
          <w:lang w:val="es-MX" w:eastAsia="en-US"/>
        </w:rPr>
        <w:t xml:space="preserve"> Acceso a la Información y Protección de Datos (IFAI), </w:t>
      </w:r>
      <w:r w:rsidRPr="00BC16BD">
        <w:rPr>
          <w:rFonts w:ascii="Palatino Linotype" w:eastAsia="MS Gothic" w:hAnsi="Palatino Linotype"/>
          <w:lang w:val="es-MX" w:eastAsia="en-US"/>
        </w:rPr>
        <w:t>ahora Instituto Nacional de Transparencia, Acceso a la Información y Protección de Datos Personales (INAI),</w:t>
      </w:r>
      <w:r w:rsidRPr="00BC16BD">
        <w:rPr>
          <w:rFonts w:ascii="Palatino Linotype" w:eastAsia="MS Gothic" w:hAnsi="Palatino Linotype"/>
          <w:bCs/>
          <w:lang w:val="es-MX" w:eastAsia="en-US"/>
        </w:rPr>
        <w:t xml:space="preserve"> que dice:</w:t>
      </w:r>
    </w:p>
    <w:p w14:paraId="79FA5F90" w14:textId="77777777" w:rsidR="00B92A80" w:rsidRPr="00BC16BD" w:rsidRDefault="00B92A80" w:rsidP="00BC16BD">
      <w:pPr>
        <w:tabs>
          <w:tab w:val="left" w:pos="142"/>
          <w:tab w:val="left" w:pos="284"/>
          <w:tab w:val="left" w:pos="426"/>
        </w:tabs>
        <w:spacing w:before="240" w:after="240" w:line="360" w:lineRule="auto"/>
        <w:contextualSpacing/>
        <w:jc w:val="both"/>
        <w:rPr>
          <w:rFonts w:ascii="Palatino Linotype" w:eastAsia="MS Gothic" w:hAnsi="Palatino Linotype"/>
          <w:b/>
          <w:lang w:val="es-MX" w:eastAsia="en-US"/>
        </w:rPr>
      </w:pPr>
    </w:p>
    <w:p w14:paraId="15311040" w14:textId="77777777" w:rsidR="00B92A80" w:rsidRPr="00BC16BD" w:rsidRDefault="00B92A80" w:rsidP="00BC16BD">
      <w:pPr>
        <w:autoSpaceDE w:val="0"/>
        <w:autoSpaceDN w:val="0"/>
        <w:adjustRightInd w:val="0"/>
        <w:spacing w:before="160" w:after="160" w:line="360" w:lineRule="auto"/>
        <w:ind w:left="567" w:right="567"/>
        <w:jc w:val="both"/>
        <w:rPr>
          <w:rFonts w:ascii="Palatino Linotype" w:eastAsia="Calibri" w:hAnsi="Palatino Linotype" w:cs="Arial"/>
          <w:i/>
          <w:lang w:val="es-MX" w:eastAsia="en-US"/>
        </w:rPr>
      </w:pPr>
      <w:r w:rsidRPr="00BC16BD">
        <w:rPr>
          <w:rFonts w:ascii="Palatino Linotype" w:eastAsia="Calibri" w:hAnsi="Palatino Linotype" w:cs="Arial"/>
          <w:i/>
          <w:lang w:val="es-MX" w:eastAsia="en-US"/>
        </w:rPr>
        <w:t>“</w:t>
      </w:r>
      <w:r w:rsidRPr="00BC16BD">
        <w:rPr>
          <w:rFonts w:ascii="Palatino Linotype" w:eastAsia="Calibri" w:hAnsi="Palatino Linotype" w:cs="Arial"/>
          <w:b/>
          <w:i/>
          <w:lang w:val="es-MX" w:eastAsia="en-US"/>
        </w:rPr>
        <w:t>Las dependencias y entidades no están obligadas a generar documentos ad hoc para responder una solicitud de acceso a la información.</w:t>
      </w:r>
      <w:r w:rsidRPr="00BC16BD">
        <w:rPr>
          <w:rFonts w:ascii="Palatino Linotype" w:eastAsia="Calibri" w:hAnsi="Palatino Linotype" w:cs="Arial"/>
          <w:i/>
          <w:lang w:val="es-MX" w:eastAsia="en-US"/>
        </w:rPr>
        <w:t xml:space="preserve"> Tomando en consideración lo establecido por el artículo 42 de la Ley Federal de Transparencia y Acceso a la Información Pública Gubernamental, que establece que </w:t>
      </w:r>
      <w:r w:rsidRPr="00BC16BD">
        <w:rPr>
          <w:rFonts w:ascii="Palatino Linotype" w:eastAsia="Calibri" w:hAnsi="Palatino Linotype" w:cs="Arial"/>
          <w:b/>
          <w:i/>
          <w:lang w:val="es-MX" w:eastAsia="en-US"/>
        </w:rPr>
        <w:t>las dependencias y entidades sólo estarán obligadas a entregar documentos que se encuentren en sus archivos</w:t>
      </w:r>
      <w:r w:rsidRPr="00BC16BD">
        <w:rPr>
          <w:rFonts w:ascii="Palatino Linotype" w:eastAsia="Calibri" w:hAnsi="Palatino Linotype" w:cs="Arial"/>
          <w:i/>
          <w:lang w:val="es-MX" w:eastAsia="en-US"/>
        </w:rPr>
        <w:t xml:space="preserve">, las dependencias y entidades </w:t>
      </w:r>
      <w:r w:rsidRPr="00BC16BD">
        <w:rPr>
          <w:rFonts w:ascii="Palatino Linotype" w:eastAsia="Calibri" w:hAnsi="Palatino Linotype" w:cs="Arial"/>
          <w:b/>
          <w:i/>
          <w:lang w:val="es-MX" w:eastAsia="en-US"/>
        </w:rPr>
        <w:t>no están obligadas a elaborar documentos ad hoc para atender las solicitudes de información</w:t>
      </w:r>
      <w:r w:rsidRPr="00BC16BD">
        <w:rPr>
          <w:rFonts w:ascii="Palatino Linotype" w:eastAsia="Calibri" w:hAnsi="Palatino Linotype" w:cs="Arial"/>
          <w:i/>
          <w:lang w:val="es-MX" w:eastAsia="en-US"/>
        </w:rPr>
        <w:t xml:space="preserve">, sino que deben garantizar el acceso a la información con la que cuentan en el formato que la misma así lo permita o se encuentre, en aras de dar </w:t>
      </w:r>
      <w:r w:rsidRPr="00BC16BD">
        <w:rPr>
          <w:rFonts w:ascii="Palatino Linotype" w:eastAsia="Calibri" w:hAnsi="Palatino Linotype"/>
          <w:i/>
          <w:lang w:val="es-MX" w:eastAsia="en-US"/>
        </w:rPr>
        <w:t>satisfacción</w:t>
      </w:r>
      <w:r w:rsidRPr="00BC16BD">
        <w:rPr>
          <w:rFonts w:ascii="Palatino Linotype" w:eastAsia="Calibri" w:hAnsi="Palatino Linotype" w:cs="Arial"/>
          <w:i/>
          <w:lang w:val="es-MX" w:eastAsia="en-US"/>
        </w:rPr>
        <w:t xml:space="preserve"> a la solicitud presentada.”</w:t>
      </w:r>
    </w:p>
    <w:p w14:paraId="68C43936" w14:textId="2E769166" w:rsidR="00627D79" w:rsidRPr="00624241" w:rsidRDefault="00624241" w:rsidP="00624241">
      <w:pPr>
        <w:pStyle w:val="Prrafodelista"/>
        <w:numPr>
          <w:ilvl w:val="0"/>
          <w:numId w:val="5"/>
        </w:numPr>
        <w:spacing w:before="100" w:beforeAutospacing="1" w:after="100" w:afterAutospacing="1" w:line="360" w:lineRule="auto"/>
        <w:ind w:left="0" w:firstLine="0"/>
        <w:contextualSpacing/>
        <w:jc w:val="both"/>
        <w:rPr>
          <w:rFonts w:ascii="Palatino Linotype" w:eastAsia="MS Mincho" w:hAnsi="Palatino Linotype" w:cs="Segoe UI"/>
          <w:lang w:val="es-ES_tradnl"/>
        </w:rPr>
      </w:pPr>
      <w:r>
        <w:rPr>
          <w:rFonts w:ascii="Palatino Linotype" w:eastAsia="MS Mincho" w:hAnsi="Palatino Linotype"/>
          <w:color w:val="222222"/>
          <w:lang w:val="es-MX"/>
        </w:rPr>
        <w:t>Finalmente</w:t>
      </w:r>
      <w:r w:rsidRPr="00775A11">
        <w:rPr>
          <w:rFonts w:ascii="Palatino Linotype" w:eastAsia="MS Mincho" w:hAnsi="Palatino Linotype"/>
          <w:color w:val="222222"/>
          <w:lang w:val="es-ES_tradnl"/>
        </w:rPr>
        <w:t xml:space="preserve">, si </w:t>
      </w:r>
      <w:r>
        <w:rPr>
          <w:rFonts w:ascii="Palatino Linotype" w:eastAsia="MS Mincho" w:hAnsi="Palatino Linotype"/>
          <w:color w:val="222222"/>
          <w:lang w:val="es-ES_tradnl"/>
        </w:rPr>
        <w:t xml:space="preserve">se </w:t>
      </w:r>
      <w:r w:rsidRPr="00775A11">
        <w:rPr>
          <w:rFonts w:ascii="Palatino Linotype" w:eastAsia="MS Mincho" w:hAnsi="Palatino Linotype"/>
          <w:color w:val="222222"/>
          <w:lang w:val="es-ES_tradnl"/>
        </w:rPr>
        <w:t>advierte que la</w:t>
      </w:r>
      <w:r>
        <w:rPr>
          <w:rFonts w:ascii="Palatino Linotype" w:eastAsia="MS Mincho" w:hAnsi="Palatino Linotype"/>
          <w:color w:val="222222"/>
          <w:lang w:val="es-ES_tradnl"/>
        </w:rPr>
        <w:t xml:space="preserve"> información de la cual se ordena hacer entrega</w:t>
      </w:r>
      <w:r w:rsidRPr="00775A11">
        <w:rPr>
          <w:rFonts w:ascii="Palatino Linotype" w:eastAsia="MS Mincho" w:hAnsi="Palatino Linotype"/>
          <w:color w:val="222222"/>
          <w:lang w:val="es-ES_tradnl"/>
        </w:rPr>
        <w:t xml:space="preserve"> no obra en los archivos del </w:t>
      </w:r>
      <w:r w:rsidRPr="00775A11">
        <w:rPr>
          <w:rFonts w:ascii="Palatino Linotype" w:eastAsia="MS Mincho" w:hAnsi="Palatino Linotype"/>
          <w:b/>
          <w:color w:val="222222"/>
          <w:lang w:val="es-ES_tradnl"/>
        </w:rPr>
        <w:t xml:space="preserve">SUJETO OBLIGADO, </w:t>
      </w:r>
      <w:r>
        <w:rPr>
          <w:rFonts w:ascii="Palatino Linotype" w:eastAsia="MS Mincho" w:hAnsi="Palatino Linotype"/>
          <w:b/>
          <w:color w:val="222222"/>
          <w:lang w:val="es-ES_tradnl"/>
        </w:rPr>
        <w:t>por no haberse generado,</w:t>
      </w:r>
      <w:r w:rsidRPr="00775A11">
        <w:rPr>
          <w:rFonts w:ascii="Palatino Linotype" w:eastAsia="MS Mincho" w:hAnsi="Palatino Linotype"/>
          <w:b/>
          <w:color w:val="222222"/>
          <w:lang w:val="es-ES_tradnl"/>
        </w:rPr>
        <w:t xml:space="preserve"> </w:t>
      </w:r>
      <w:r w:rsidRPr="00775A11">
        <w:rPr>
          <w:rFonts w:ascii="Palatino Linotype" w:eastAsia="MS Mincho" w:hAnsi="Palatino Linotype"/>
          <w:b/>
          <w:color w:val="222222"/>
          <w:lang w:val="es-ES_tradnl"/>
        </w:rPr>
        <w:lastRenderedPageBreak/>
        <w:t>poseído o administrado</w:t>
      </w:r>
      <w:r w:rsidRPr="00775A11">
        <w:rPr>
          <w:rFonts w:ascii="Palatino Linotype" w:eastAsia="MS Mincho" w:hAnsi="Palatino Linotype" w:cs="Segoe UI"/>
          <w:lang w:val="es-MX"/>
        </w:rPr>
        <w:t>, se deberá de motivar la respuesta en función de las causas que motiven tal circunstancia</w:t>
      </w:r>
      <w:r w:rsidRPr="00775A11">
        <w:rPr>
          <w:rFonts w:ascii="Palatino Linotype" w:eastAsia="MS Mincho" w:hAnsi="Palatino Linotype"/>
          <w:b/>
          <w:color w:val="222222"/>
          <w:lang w:val="es-ES_tradnl"/>
        </w:rPr>
        <w:t xml:space="preserve">, </w:t>
      </w:r>
      <w:r w:rsidRPr="00775A11">
        <w:rPr>
          <w:rFonts w:ascii="Palatino Linotype" w:eastAsia="MS Mincho" w:hAnsi="Palatino Linotype" w:cs="Segoe UI"/>
          <w:lang w:val="es-MX"/>
        </w:rPr>
        <w:t>en términos del segundo parrado del artículo 19 de la Ley de Transparencia.</w:t>
      </w:r>
    </w:p>
    <w:p w14:paraId="2475EF13" w14:textId="2C012477" w:rsidR="00B14987" w:rsidRPr="00BC16BD" w:rsidRDefault="00464C89" w:rsidP="00BC16BD">
      <w:pPr>
        <w:keepNext/>
        <w:keepLines/>
        <w:spacing w:before="240" w:line="360" w:lineRule="auto"/>
        <w:outlineLvl w:val="0"/>
        <w:rPr>
          <w:rFonts w:ascii="Palatino Linotype" w:eastAsia="MS Mincho" w:hAnsi="Palatino Linotype"/>
          <w:b/>
          <w:lang w:val="es-ES_tradnl"/>
        </w:rPr>
      </w:pPr>
      <w:bookmarkStart w:id="64" w:name="_Toc84433126"/>
      <w:bookmarkStart w:id="65" w:name="_Toc95344561"/>
      <w:bookmarkStart w:id="66" w:name="_Toc34310247"/>
      <w:bookmarkStart w:id="67" w:name="_Toc34849558"/>
      <w:bookmarkStart w:id="68" w:name="_Toc53659481"/>
      <w:bookmarkStart w:id="69" w:name="_Toc67598514"/>
      <w:bookmarkStart w:id="70" w:name="_Toc69999203"/>
      <w:bookmarkStart w:id="71" w:name="_Toc73033012"/>
      <w:bookmarkStart w:id="72" w:name="_Toc466371865"/>
      <w:bookmarkStart w:id="73" w:name="_Toc466377653"/>
      <w:bookmarkEnd w:id="54"/>
      <w:bookmarkEnd w:id="55"/>
      <w:bookmarkEnd w:id="56"/>
      <w:bookmarkEnd w:id="57"/>
      <w:bookmarkEnd w:id="58"/>
      <w:r w:rsidRPr="00BC16BD">
        <w:rPr>
          <w:rFonts w:ascii="Palatino Linotype" w:eastAsia="MS Gothic" w:hAnsi="Palatino Linotype"/>
          <w:b/>
          <w:lang w:val="es-ES_tradnl" w:eastAsia="es-ES_tradnl"/>
        </w:rPr>
        <w:t xml:space="preserve">QUINTO. </w:t>
      </w:r>
      <w:r w:rsidRPr="00BC16BD">
        <w:rPr>
          <w:rFonts w:ascii="Palatino Linotype" w:eastAsia="MS Mincho" w:hAnsi="Palatino Linotype"/>
          <w:b/>
          <w:lang w:val="es-ES_tradnl"/>
        </w:rPr>
        <w:t>De la elaboración de la versión pública y el acuerdo de clasificación como información confidencial.</w:t>
      </w:r>
      <w:bookmarkEnd w:id="64"/>
      <w:bookmarkEnd w:id="65"/>
    </w:p>
    <w:p w14:paraId="6F81AC78" w14:textId="5E071E53" w:rsidR="00464C89" w:rsidRPr="00BC16BD" w:rsidRDefault="00464C89" w:rsidP="00694F4C">
      <w:pPr>
        <w:pStyle w:val="Prrafodelista"/>
        <w:numPr>
          <w:ilvl w:val="0"/>
          <w:numId w:val="5"/>
        </w:numPr>
        <w:spacing w:before="240" w:after="240" w:line="360" w:lineRule="auto"/>
        <w:ind w:left="0" w:hanging="11"/>
        <w:contextualSpacing/>
        <w:jc w:val="both"/>
        <w:rPr>
          <w:rFonts w:ascii="Palatino Linotype" w:hAnsi="Palatino Linotype" w:cs="Arial"/>
        </w:rPr>
      </w:pPr>
      <w:r w:rsidRPr="00BC16BD">
        <w:rPr>
          <w:rFonts w:ascii="Palatino Linotype" w:hAnsi="Palatino Linotype" w:cs="Arial"/>
          <w:color w:val="000000"/>
          <w:lang w:val="es-ES_tradnl"/>
        </w:rPr>
        <w:t xml:space="preserve"> Debe destacarse que debido a la naturaleza de </w:t>
      </w:r>
      <w:r w:rsidRPr="00BC16BD">
        <w:rPr>
          <w:rFonts w:ascii="Palatino Linotype" w:hAnsi="Palatino Linotype"/>
          <w:color w:val="000000"/>
          <w:lang w:val="es-ES_tradnl"/>
        </w:rPr>
        <w:t xml:space="preserve">la información solicitada, en la misma pudieran obrar datos personales o información reservada susceptibles de protegerse </w:t>
      </w:r>
      <w:r w:rsidRPr="00BC16BD">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5CC26F07" w14:textId="77777777" w:rsidR="00464C89" w:rsidRPr="00BC16BD" w:rsidRDefault="00464C89" w:rsidP="00BC16BD">
      <w:pPr>
        <w:spacing w:before="240" w:after="240" w:line="360" w:lineRule="auto"/>
        <w:contextualSpacing/>
        <w:jc w:val="both"/>
        <w:rPr>
          <w:rFonts w:ascii="Palatino Linotype" w:hAnsi="Palatino Linotype" w:cs="Arial"/>
        </w:rPr>
      </w:pPr>
    </w:p>
    <w:p w14:paraId="2A2A4E10" w14:textId="77777777" w:rsidR="00464C89" w:rsidRPr="00BC16BD" w:rsidRDefault="00464C89" w:rsidP="00694F4C">
      <w:pPr>
        <w:numPr>
          <w:ilvl w:val="0"/>
          <w:numId w:val="5"/>
        </w:numPr>
        <w:spacing w:before="240" w:after="240" w:line="360" w:lineRule="auto"/>
        <w:ind w:left="0" w:hanging="11"/>
        <w:contextualSpacing/>
        <w:jc w:val="both"/>
        <w:rPr>
          <w:rFonts w:ascii="Palatino Linotype" w:hAnsi="Palatino Linotype" w:cs="Arial"/>
        </w:rPr>
      </w:pPr>
      <w:r w:rsidRPr="00BC16BD">
        <w:rPr>
          <w:rFonts w:ascii="Palatino Linotype" w:eastAsia="Calibri" w:hAnsi="Palatino Linotype" w:cs="Arial"/>
          <w:color w:val="000000"/>
          <w:lang w:eastAsia="es-MX"/>
        </w:rPr>
        <w:t xml:space="preserve">Es de señalar que, por lo que hace a las versiones públicas, el </w:t>
      </w:r>
      <w:r w:rsidRPr="00BC16BD">
        <w:rPr>
          <w:rFonts w:ascii="Palatino Linotype" w:eastAsia="Calibri" w:hAnsi="Palatino Linotype" w:cs="Arial"/>
          <w:b/>
          <w:color w:val="000000"/>
          <w:lang w:eastAsia="es-MX"/>
        </w:rPr>
        <w:t>SUJETO OBLIGADO</w:t>
      </w:r>
      <w:r w:rsidRPr="00BC16BD">
        <w:rPr>
          <w:rFonts w:ascii="Palatino Linotype" w:eastAsia="Calibri" w:hAnsi="Palatino Linotype" w:cs="Arial"/>
          <w:color w:val="000000"/>
          <w:lang w:eastAsia="es-MX"/>
        </w:rPr>
        <w:t xml:space="preserve"> debe cumplir con las formalidades exigidas en la Ley, por lo que </w:t>
      </w:r>
      <w:r w:rsidRPr="00BC16BD">
        <w:rPr>
          <w:rFonts w:ascii="Palatino Linotype" w:hAnsi="Palatino Linotype" w:cs="Arial"/>
          <w:color w:val="000000"/>
          <w:lang w:val="es-ES_tradnl" w:eastAsia="es-MX"/>
        </w:rPr>
        <w:t xml:space="preserve">para tal efecto emitirá el </w:t>
      </w:r>
      <w:r w:rsidRPr="00BC16BD">
        <w:rPr>
          <w:rFonts w:ascii="Palatino Linotype" w:eastAsia="Calibri" w:hAnsi="Palatino Linotype" w:cs="Arial"/>
          <w:color w:val="000000"/>
          <w:lang w:eastAsia="es-MX"/>
        </w:rPr>
        <w:t xml:space="preserve">Acuerdo del Comité de Transparencia en términos de los </w:t>
      </w:r>
      <w:r w:rsidRPr="00BC16BD">
        <w:rPr>
          <w:rFonts w:ascii="Palatino Linotype" w:eastAsia="Calibri" w:hAnsi="Palatino Linotype" w:cs="Arial"/>
          <w:color w:val="000000"/>
          <w:lang w:eastAsia="es-MX"/>
        </w:rPr>
        <w:lastRenderedPageBreak/>
        <w:t>artículos 49 fracción</w:t>
      </w:r>
      <w:r w:rsidRPr="00BC16BD">
        <w:rPr>
          <w:rFonts w:ascii="Palatino Linotype" w:eastAsia="Calibri" w:hAnsi="Palatino Linotype" w:cs="Arial"/>
          <w:bCs/>
          <w:color w:val="000000"/>
          <w:lang w:val="es-ES_tradnl"/>
        </w:rPr>
        <w:t xml:space="preserve"> VIII,</w:t>
      </w:r>
      <w:r w:rsidRPr="00BC16BD">
        <w:rPr>
          <w:rFonts w:ascii="Palatino Linotype" w:eastAsia="Calibri" w:hAnsi="Palatino Linotype" w:cs="Arial"/>
          <w:color w:val="000000"/>
          <w:lang w:eastAsia="es-MX"/>
        </w:rPr>
        <w:t xml:space="preserve"> 122</w:t>
      </w:r>
      <w:r w:rsidRPr="00BC16BD">
        <w:rPr>
          <w:rFonts w:ascii="Palatino Linotype" w:hAnsi="Palatino Linotype"/>
          <w:vertAlign w:val="superscript"/>
          <w:lang w:eastAsia="es-MX"/>
        </w:rPr>
        <w:footnoteReference w:id="5"/>
      </w:r>
      <w:r w:rsidRPr="00BC16BD">
        <w:rPr>
          <w:rFonts w:ascii="Palatino Linotype" w:eastAsia="Calibri" w:hAnsi="Palatino Linotype" w:cs="Arial"/>
          <w:color w:val="000000"/>
          <w:lang w:eastAsia="es-MX"/>
        </w:rPr>
        <w:t>, 135</w:t>
      </w:r>
      <w:r w:rsidRPr="00BC16BD">
        <w:rPr>
          <w:rFonts w:ascii="Palatino Linotype" w:hAnsi="Palatino Linotype"/>
          <w:vertAlign w:val="superscript"/>
          <w:lang w:eastAsia="es-MX"/>
        </w:rPr>
        <w:footnoteReference w:id="6"/>
      </w:r>
      <w:r w:rsidRPr="00BC16BD">
        <w:rPr>
          <w:rFonts w:ascii="Palatino Linotype" w:eastAsia="Calibri" w:hAnsi="Palatino Linotype" w:cs="Arial"/>
          <w:color w:val="000000"/>
          <w:lang w:eastAsia="es-MX"/>
        </w:rPr>
        <w:t xml:space="preserve"> y 149 de la </w:t>
      </w:r>
      <w:r w:rsidRPr="00BC16BD">
        <w:rPr>
          <w:rFonts w:ascii="Palatino Linotype" w:eastAsia="Calibri" w:hAnsi="Palatino Linotype" w:cs="Arial"/>
          <w:b/>
          <w:color w:val="000000"/>
          <w:lang w:eastAsia="es-MX"/>
        </w:rPr>
        <w:t>Ley de Transparencia y Acceso a la Información Pública del Estado de México y Municipios</w:t>
      </w:r>
      <w:r w:rsidRPr="00BC16BD">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4019295" w14:textId="77777777" w:rsidR="00464C89" w:rsidRPr="00BC16BD" w:rsidRDefault="00464C89" w:rsidP="00BC16BD">
      <w:pPr>
        <w:spacing w:before="240" w:after="240" w:line="360" w:lineRule="auto"/>
        <w:contextualSpacing/>
        <w:jc w:val="both"/>
        <w:rPr>
          <w:rFonts w:ascii="Palatino Linotype" w:hAnsi="Palatino Linotype" w:cs="Arial"/>
        </w:rPr>
      </w:pPr>
    </w:p>
    <w:p w14:paraId="3B611EA5" w14:textId="77777777" w:rsidR="00464C89" w:rsidRPr="00BC16BD" w:rsidRDefault="00464C89" w:rsidP="00BC16BD">
      <w:pPr>
        <w:keepNext/>
        <w:keepLines/>
        <w:numPr>
          <w:ilvl w:val="0"/>
          <w:numId w:val="23"/>
        </w:numPr>
        <w:spacing w:before="240" w:line="360" w:lineRule="auto"/>
        <w:ind w:left="284" w:hanging="284"/>
        <w:outlineLvl w:val="0"/>
        <w:rPr>
          <w:rFonts w:ascii="Palatino Linotype" w:eastAsiaTheme="majorEastAsia" w:hAnsi="Palatino Linotype" w:cstheme="majorBidi"/>
          <w:b/>
          <w:color w:val="000000" w:themeColor="text1"/>
          <w:lang w:val="es-ES_tradnl"/>
        </w:rPr>
      </w:pPr>
      <w:bookmarkStart w:id="74" w:name="_Toc84433127"/>
      <w:bookmarkStart w:id="75" w:name="_Toc95344562"/>
      <w:r w:rsidRPr="00BC16BD">
        <w:rPr>
          <w:rFonts w:ascii="Palatino Linotype" w:eastAsiaTheme="majorEastAsia" w:hAnsi="Palatino Linotype" w:cstheme="majorBidi"/>
          <w:b/>
          <w:color w:val="000000" w:themeColor="text1"/>
          <w:lang w:val="es-ES_tradnl"/>
        </w:rPr>
        <w:t>De la clasificación de la información.</w:t>
      </w:r>
      <w:bookmarkEnd w:id="74"/>
      <w:bookmarkEnd w:id="75"/>
      <w:r w:rsidRPr="00BC16BD">
        <w:rPr>
          <w:rFonts w:ascii="Palatino Linotype" w:eastAsiaTheme="majorEastAsia" w:hAnsi="Palatino Linotype" w:cstheme="majorBidi"/>
          <w:b/>
          <w:color w:val="000000" w:themeColor="text1"/>
          <w:lang w:val="es-ES_tradnl"/>
        </w:rPr>
        <w:t xml:space="preserve"> </w:t>
      </w:r>
    </w:p>
    <w:p w14:paraId="17E1627B" w14:textId="77777777" w:rsidR="00464C89" w:rsidRPr="00BC16BD" w:rsidRDefault="00464C89" w:rsidP="00BC16BD">
      <w:pPr>
        <w:shd w:val="clear" w:color="auto" w:fill="FFFFFF"/>
        <w:spacing w:before="240" w:after="200" w:line="360" w:lineRule="auto"/>
        <w:contextualSpacing/>
        <w:jc w:val="both"/>
        <w:rPr>
          <w:rFonts w:ascii="Palatino Linotype" w:hAnsi="Palatino Linotype" w:cs="Arial"/>
          <w:b/>
          <w:color w:val="000000"/>
          <w:lang w:val="es-ES_tradnl"/>
        </w:rPr>
      </w:pPr>
    </w:p>
    <w:p w14:paraId="3C8BC78D"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L</w:t>
      </w:r>
      <w:r w:rsidRPr="00BC16BD">
        <w:rPr>
          <w:rFonts w:ascii="Palatino Linotype" w:hAnsi="Palatino Linotype"/>
          <w:color w:val="000000"/>
          <w:lang w:val="es-ES_tradnl"/>
        </w:rPr>
        <w:t>a</w:t>
      </w:r>
      <w:r w:rsidRPr="00BC16BD">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C16BD">
        <w:rPr>
          <w:rFonts w:ascii="Palatino Linotype" w:hAnsi="Palatino Linotype"/>
          <w:vertAlign w:val="superscript"/>
          <w:lang w:val="es-ES_tradnl"/>
        </w:rPr>
        <w:footnoteReference w:id="7"/>
      </w:r>
      <w:r w:rsidRPr="00BC16BD">
        <w:rPr>
          <w:rFonts w:ascii="Palatino Linotype" w:hAnsi="Palatino Linotype"/>
          <w:lang w:val="es-ES_tradnl"/>
        </w:rPr>
        <w:t xml:space="preserve"> aunque cualquier límite o restricción, </w:t>
      </w:r>
      <w:r w:rsidRPr="00BC16BD">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BC16BD">
        <w:rPr>
          <w:rFonts w:ascii="Palatino Linotype" w:hAnsi="Palatino Linotype"/>
          <w:vertAlign w:val="superscript"/>
          <w:lang w:val="es-ES_tradnl"/>
        </w:rPr>
        <w:footnoteReference w:id="8"/>
      </w:r>
      <w:r w:rsidRPr="00BC16BD">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2DB6D72"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27028F39" w14:textId="77777777" w:rsidR="00464C89" w:rsidRPr="00BC16BD" w:rsidRDefault="00464C89" w:rsidP="00BC16BD">
      <w:pPr>
        <w:keepNext/>
        <w:keepLines/>
        <w:spacing w:before="240" w:line="360" w:lineRule="auto"/>
        <w:outlineLvl w:val="0"/>
        <w:rPr>
          <w:rFonts w:ascii="Palatino Linotype" w:hAnsi="Palatino Linotype"/>
          <w:b/>
          <w:lang w:val="es-MX" w:eastAsia="en-US"/>
        </w:rPr>
      </w:pPr>
      <w:bookmarkStart w:id="76" w:name="_Toc95344563"/>
      <w:r w:rsidRPr="00BC16BD">
        <w:rPr>
          <w:rFonts w:ascii="Palatino Linotype" w:hAnsi="Palatino Linotype"/>
          <w:b/>
          <w:lang w:val="es-MX" w:eastAsia="en-US"/>
        </w:rPr>
        <w:t xml:space="preserve">II. </w:t>
      </w:r>
      <w:bookmarkStart w:id="77" w:name="_Toc5890461"/>
      <w:bookmarkStart w:id="78" w:name="_Toc50062187"/>
      <w:bookmarkStart w:id="79" w:name="_Toc63348478"/>
      <w:bookmarkStart w:id="80" w:name="_Toc67598515"/>
      <w:bookmarkStart w:id="81" w:name="_Toc69999204"/>
      <w:bookmarkStart w:id="82" w:name="_Toc73033013"/>
      <w:bookmarkStart w:id="83" w:name="_Toc84433128"/>
      <w:r w:rsidRPr="00BC16BD">
        <w:rPr>
          <w:rFonts w:ascii="Palatino Linotype" w:hAnsi="Palatino Linotype"/>
          <w:b/>
          <w:lang w:val="es-MX" w:eastAsia="en-US"/>
        </w:rPr>
        <w:t>Requisitos previos.</w:t>
      </w:r>
      <w:bookmarkEnd w:id="76"/>
      <w:bookmarkEnd w:id="77"/>
      <w:bookmarkEnd w:id="78"/>
      <w:bookmarkEnd w:id="79"/>
      <w:bookmarkEnd w:id="80"/>
      <w:bookmarkEnd w:id="81"/>
      <w:bookmarkEnd w:id="82"/>
      <w:bookmarkEnd w:id="83"/>
    </w:p>
    <w:p w14:paraId="304339A6" w14:textId="77777777" w:rsidR="001D6A83" w:rsidRPr="00BC16BD" w:rsidRDefault="001D6A83" w:rsidP="00BC16BD">
      <w:pPr>
        <w:keepNext/>
        <w:keepLines/>
        <w:spacing w:before="240" w:line="360" w:lineRule="auto"/>
        <w:outlineLvl w:val="0"/>
        <w:rPr>
          <w:rFonts w:ascii="Palatino Linotype" w:hAnsi="Palatino Linotype"/>
          <w:b/>
          <w:lang w:val="es-MX" w:eastAsia="en-US"/>
        </w:rPr>
      </w:pPr>
    </w:p>
    <w:p w14:paraId="283D4B42"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lang w:val="es-ES_tradnl"/>
        </w:rPr>
        <w:t>Los</w:t>
      </w:r>
      <w:r w:rsidRPr="00BC16BD">
        <w:rPr>
          <w:rFonts w:ascii="Palatino Linotype" w:hAnsi="Palatino Linotype" w:cs="Arial"/>
          <w:color w:val="000000"/>
          <w:lang w:val="es-ES_tradnl"/>
        </w:rPr>
        <w:t xml:space="preserve"> </w:t>
      </w:r>
      <w:r w:rsidRPr="00BC16BD">
        <w:rPr>
          <w:rFonts w:ascii="Palatino Linotype" w:hAnsi="Palatino Linotype"/>
          <w:lang w:val="es-ES_tradnl"/>
        </w:rPr>
        <w:t>artículos</w:t>
      </w:r>
      <w:r w:rsidRPr="00BC16BD">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w:t>
      </w:r>
      <w:r w:rsidRPr="00BC16BD">
        <w:rPr>
          <w:rFonts w:ascii="Palatino Linotype" w:hAnsi="Palatino Linotype" w:cs="Arial"/>
          <w:color w:val="000000"/>
          <w:lang w:val="es-ES_tradnl"/>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27CFCBD"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FF8CFBB"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745F015" w14:textId="77777777" w:rsidR="00464C89" w:rsidRPr="00BC16BD" w:rsidRDefault="00464C89" w:rsidP="00BC16BD">
      <w:pPr>
        <w:spacing w:line="360" w:lineRule="auto"/>
        <w:ind w:left="708"/>
        <w:rPr>
          <w:rFonts w:ascii="Palatino Linotype" w:hAnsi="Palatino Linotype" w:cs="Arial"/>
          <w:color w:val="000000"/>
          <w:lang w:val="es-ES_tradnl"/>
        </w:rPr>
      </w:pPr>
    </w:p>
    <w:p w14:paraId="5ED72462" w14:textId="365988F4" w:rsidR="006A74E5"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BC16BD">
        <w:rPr>
          <w:rFonts w:ascii="Palatino Linotype" w:hAnsi="Palatino Linotype" w:cs="Arial"/>
          <w:b/>
          <w:color w:val="000000"/>
          <w:lang w:val="es-ES_tradnl"/>
        </w:rPr>
        <w:t xml:space="preserve">no se puede hacer un acuerdo para clasificar de manera general todos los documentos de un expediente o área,  </w:t>
      </w:r>
      <w:r w:rsidRPr="00BC16BD">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23E7D421" w14:textId="77777777" w:rsidR="006A74E5" w:rsidRPr="00BC16BD" w:rsidRDefault="006A74E5" w:rsidP="00BC16BD">
      <w:pPr>
        <w:spacing w:before="240" w:after="240" w:line="360" w:lineRule="auto"/>
        <w:contextualSpacing/>
        <w:jc w:val="both"/>
        <w:rPr>
          <w:rFonts w:ascii="Palatino Linotype" w:hAnsi="Palatino Linotype" w:cs="Arial"/>
          <w:color w:val="000000"/>
          <w:lang w:val="es-ES_tradnl"/>
        </w:rPr>
      </w:pPr>
    </w:p>
    <w:p w14:paraId="5615F4F5" w14:textId="77777777" w:rsidR="00464C89" w:rsidRPr="00BC16BD" w:rsidRDefault="00464C89" w:rsidP="00BC16BD">
      <w:pPr>
        <w:keepNext/>
        <w:keepLines/>
        <w:spacing w:before="240" w:line="360" w:lineRule="auto"/>
        <w:outlineLvl w:val="0"/>
        <w:rPr>
          <w:rFonts w:ascii="Palatino Linotype" w:hAnsi="Palatino Linotype" w:cs="Arial"/>
          <w:color w:val="000000"/>
          <w:lang w:val="es-ES_tradnl"/>
        </w:rPr>
      </w:pPr>
      <w:bookmarkStart w:id="84" w:name="_Toc5890462"/>
      <w:bookmarkStart w:id="85" w:name="_Toc50062188"/>
      <w:bookmarkStart w:id="86" w:name="_Toc63348479"/>
      <w:bookmarkStart w:id="87" w:name="_Toc67598516"/>
      <w:bookmarkStart w:id="88" w:name="_Toc69999205"/>
      <w:bookmarkStart w:id="89" w:name="_Toc73033014"/>
      <w:bookmarkStart w:id="90" w:name="_Toc84433129"/>
      <w:bookmarkStart w:id="91" w:name="_Toc95344564"/>
      <w:r w:rsidRPr="00BC16BD">
        <w:rPr>
          <w:rFonts w:ascii="Palatino Linotype" w:hAnsi="Palatino Linotype"/>
          <w:b/>
          <w:lang w:val="es-MX" w:eastAsia="en-US"/>
        </w:rPr>
        <w:lastRenderedPageBreak/>
        <w:t>III</w:t>
      </w:r>
      <w:bookmarkStart w:id="92" w:name="_Toc5890463"/>
      <w:bookmarkStart w:id="93" w:name="_Toc50062189"/>
      <w:bookmarkStart w:id="94" w:name="_Toc63348480"/>
      <w:bookmarkStart w:id="95" w:name="_Toc67598517"/>
      <w:bookmarkStart w:id="96" w:name="_Toc69999206"/>
      <w:bookmarkStart w:id="97" w:name="_Toc73033015"/>
      <w:bookmarkEnd w:id="84"/>
      <w:bookmarkEnd w:id="85"/>
      <w:bookmarkEnd w:id="86"/>
      <w:bookmarkEnd w:id="87"/>
      <w:bookmarkEnd w:id="88"/>
      <w:bookmarkEnd w:id="89"/>
      <w:r w:rsidRPr="00BC16BD">
        <w:rPr>
          <w:rFonts w:ascii="Palatino Linotype" w:hAnsi="Palatino Linotype"/>
          <w:b/>
          <w:lang w:val="es-MX" w:eastAsia="en-US"/>
        </w:rPr>
        <w:t>. La intervención del comité de transparencia.</w:t>
      </w:r>
      <w:bookmarkEnd w:id="90"/>
      <w:bookmarkEnd w:id="91"/>
      <w:bookmarkEnd w:id="92"/>
      <w:bookmarkEnd w:id="93"/>
      <w:bookmarkEnd w:id="94"/>
      <w:bookmarkEnd w:id="95"/>
      <w:bookmarkEnd w:id="96"/>
      <w:bookmarkEnd w:id="97"/>
    </w:p>
    <w:p w14:paraId="23633B97" w14:textId="77777777" w:rsidR="00464C89" w:rsidRPr="00BC16BD" w:rsidRDefault="00464C89" w:rsidP="00BC16BD">
      <w:pPr>
        <w:keepNext/>
        <w:keepLines/>
        <w:numPr>
          <w:ilvl w:val="0"/>
          <w:numId w:val="21"/>
        </w:numPr>
        <w:spacing w:before="240" w:after="160" w:line="360" w:lineRule="auto"/>
        <w:ind w:left="0" w:firstLine="0"/>
        <w:outlineLvl w:val="0"/>
        <w:rPr>
          <w:rFonts w:ascii="Palatino Linotype" w:hAnsi="Palatino Linotype"/>
          <w:b/>
          <w:lang w:val="es-MX" w:eastAsia="en-US"/>
        </w:rPr>
      </w:pPr>
      <w:bookmarkStart w:id="98" w:name="_Toc5890464"/>
      <w:bookmarkStart w:id="99" w:name="_Toc50062190"/>
      <w:bookmarkStart w:id="100" w:name="_Toc63348481"/>
      <w:bookmarkStart w:id="101" w:name="_Toc67598518"/>
      <w:bookmarkStart w:id="102" w:name="_Toc69999207"/>
      <w:bookmarkStart w:id="103" w:name="_Toc73033016"/>
      <w:bookmarkStart w:id="104" w:name="_Toc84433130"/>
      <w:bookmarkStart w:id="105" w:name="_Toc95344565"/>
      <w:r w:rsidRPr="00BC16BD">
        <w:rPr>
          <w:rFonts w:ascii="Palatino Linotype" w:hAnsi="Palatino Linotype"/>
          <w:b/>
          <w:lang w:val="es-MX" w:eastAsia="en-US"/>
        </w:rPr>
        <w:t>Formalidades para emitir el acuerdo de clasificación.</w:t>
      </w:r>
      <w:bookmarkEnd w:id="98"/>
      <w:bookmarkEnd w:id="99"/>
      <w:bookmarkEnd w:id="100"/>
      <w:bookmarkEnd w:id="101"/>
      <w:bookmarkEnd w:id="102"/>
      <w:bookmarkEnd w:id="103"/>
      <w:bookmarkEnd w:id="104"/>
      <w:bookmarkEnd w:id="105"/>
    </w:p>
    <w:p w14:paraId="30F1C881"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BC16BD">
        <w:rPr>
          <w:rFonts w:ascii="Palatino Linotype" w:hAnsi="Palatino Linotype"/>
          <w:lang w:val="es-ES_tradnl"/>
        </w:rPr>
        <w:t xml:space="preserve">la fracción III del numeral Segundo de los </w:t>
      </w:r>
      <w:r w:rsidRPr="00BC16BD">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BC16BD">
        <w:rPr>
          <w:rFonts w:ascii="Palatino Linotype" w:hAnsi="Palatino Linotype"/>
          <w:lang w:val="es-ES_tradnl"/>
        </w:rPr>
        <w:t xml:space="preserve"> </w:t>
      </w:r>
      <w:r w:rsidRPr="00BC16BD">
        <w:rPr>
          <w:rFonts w:ascii="Palatino Linotype" w:hAnsi="Palatino Linotype" w:cs="Arial"/>
          <w:color w:val="000000"/>
          <w:lang w:val="es-ES_tradnl"/>
        </w:rPr>
        <w:t xml:space="preserve">cuenta con las facultades para </w:t>
      </w:r>
      <w:r w:rsidRPr="00BC16BD">
        <w:rPr>
          <w:rFonts w:ascii="Palatino Linotype" w:hAnsi="Palatino Linotype" w:cs="Arial"/>
          <w:b/>
          <w:color w:val="000000"/>
          <w:lang w:val="es-ES_tradnl"/>
        </w:rPr>
        <w:t>confirmar, modificar o revocar</w:t>
      </w:r>
      <w:r w:rsidRPr="00BC16BD">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BC16BD">
        <w:rPr>
          <w:rFonts w:ascii="Palatino Linotype" w:hAnsi="Palatino Linotype" w:cs="Arial"/>
          <w:b/>
          <w:color w:val="000000"/>
          <w:lang w:val="es-ES_tradnl"/>
        </w:rPr>
        <w:t>no aprueba</w:t>
      </w:r>
      <w:r w:rsidRPr="00BC16BD">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46A5BCA1" w14:textId="77777777" w:rsidR="00464C89" w:rsidRPr="00BC16BD" w:rsidRDefault="00464C89" w:rsidP="00BC16BD">
      <w:pPr>
        <w:spacing w:before="240" w:after="240" w:line="360" w:lineRule="auto"/>
        <w:contextualSpacing/>
        <w:jc w:val="both"/>
        <w:rPr>
          <w:rFonts w:ascii="Palatino Linotype" w:hAnsi="Palatino Linotype"/>
          <w:lang w:val="es-ES_tradnl" w:eastAsia="es-ES_tradnl"/>
        </w:rPr>
      </w:pPr>
    </w:p>
    <w:p w14:paraId="5F423611"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BC16BD">
        <w:rPr>
          <w:rFonts w:ascii="Palatino Linotype" w:hAnsi="Palatino Linotype" w:cs="Arial"/>
          <w:b/>
          <w:color w:val="000000"/>
          <w:lang w:val="es-ES_tradnl"/>
        </w:rPr>
        <w:t>el acto reúna con los requisitos elementales</w:t>
      </w:r>
      <w:r w:rsidRPr="00BC16BD">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A211241" w14:textId="77777777" w:rsidR="00464C89" w:rsidRPr="00BC16BD" w:rsidRDefault="00464C89" w:rsidP="00BC16BD">
      <w:pPr>
        <w:spacing w:line="360" w:lineRule="auto"/>
        <w:ind w:left="708"/>
        <w:rPr>
          <w:rFonts w:ascii="Palatino Linotype" w:hAnsi="Palatino Linotype"/>
          <w:lang w:val="es-ES_tradnl"/>
        </w:rPr>
      </w:pPr>
    </w:p>
    <w:p w14:paraId="31C6068E"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lang w:val="es-ES_tradnl" w:eastAsia="es-ES_tradnl"/>
        </w:rPr>
      </w:pPr>
      <w:r w:rsidRPr="00BC16BD">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11FEFF" w14:textId="77777777" w:rsidR="001D6A83" w:rsidRPr="00BC16BD" w:rsidRDefault="001D6A83" w:rsidP="00BC16BD">
      <w:pPr>
        <w:spacing w:before="240" w:after="240" w:line="360" w:lineRule="auto"/>
        <w:contextualSpacing/>
        <w:jc w:val="both"/>
        <w:rPr>
          <w:rFonts w:ascii="Palatino Linotype" w:hAnsi="Palatino Linotype"/>
          <w:lang w:val="es-ES_tradnl" w:eastAsia="es-ES_tradnl"/>
        </w:rPr>
      </w:pPr>
    </w:p>
    <w:p w14:paraId="026B71F7" w14:textId="7D6BEBD5" w:rsidR="001D6A83" w:rsidRPr="00BC16BD" w:rsidRDefault="00464C89" w:rsidP="00BC16BD">
      <w:pPr>
        <w:pStyle w:val="Prrafodelista"/>
        <w:keepNext/>
        <w:keepLines/>
        <w:numPr>
          <w:ilvl w:val="0"/>
          <w:numId w:val="21"/>
        </w:numPr>
        <w:spacing w:before="240" w:line="360" w:lineRule="auto"/>
        <w:ind w:left="142" w:hanging="142"/>
        <w:outlineLvl w:val="0"/>
        <w:rPr>
          <w:rFonts w:ascii="Palatino Linotype" w:hAnsi="Palatino Linotype"/>
          <w:b/>
          <w:lang w:val="es-MX" w:eastAsia="en-US"/>
        </w:rPr>
      </w:pPr>
      <w:bookmarkStart w:id="106" w:name="_Toc63348482"/>
      <w:bookmarkStart w:id="107" w:name="_Toc67598519"/>
      <w:bookmarkStart w:id="108" w:name="_Toc69999208"/>
      <w:bookmarkStart w:id="109" w:name="_Toc73033017"/>
      <w:bookmarkStart w:id="110" w:name="_Toc84433131"/>
      <w:bookmarkStart w:id="111" w:name="_Toc5890465"/>
      <w:bookmarkStart w:id="112" w:name="_Toc50062191"/>
      <w:bookmarkStart w:id="113" w:name="_Toc95344566"/>
      <w:r w:rsidRPr="00BC16BD">
        <w:rPr>
          <w:rFonts w:ascii="Palatino Linotype" w:hAnsi="Palatino Linotype"/>
          <w:b/>
          <w:lang w:val="es-MX" w:eastAsia="en-US"/>
        </w:rPr>
        <w:t>Requisitos de fondo del acuerdo de clasificación.</w:t>
      </w:r>
      <w:bookmarkEnd w:id="106"/>
      <w:bookmarkEnd w:id="107"/>
      <w:bookmarkEnd w:id="108"/>
      <w:bookmarkEnd w:id="109"/>
      <w:bookmarkEnd w:id="110"/>
      <w:bookmarkEnd w:id="111"/>
      <w:bookmarkEnd w:id="112"/>
      <w:bookmarkEnd w:id="113"/>
    </w:p>
    <w:p w14:paraId="45E4F634" w14:textId="287D7A2E"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694F4C" w:rsidRPr="00BC16BD">
        <w:rPr>
          <w:rFonts w:ascii="Palatino Linotype" w:hAnsi="Palatino Linotype" w:cs="Arial"/>
          <w:color w:val="000000"/>
          <w:lang w:val="es-ES_tradnl"/>
        </w:rPr>
        <w:t>Generales, al</w:t>
      </w:r>
      <w:r w:rsidRPr="00BC16BD">
        <w:rPr>
          <w:rFonts w:ascii="Palatino Linotype" w:hAnsi="Palatino Linotype" w:cs="Arial"/>
          <w:color w:val="000000"/>
          <w:lang w:val="es-ES_tradnl"/>
        </w:rPr>
        <w:t xml:space="preserve"> señalar que la carga de la prueba, para justificar las restricciones, corresponde a los sujetos obligados, por lo que deberán fundar y motivar debidamente la clasificación. </w:t>
      </w:r>
    </w:p>
    <w:p w14:paraId="7BC60A12"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777D44EE" w14:textId="47665822"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lang w:val="es-ES_tradnl"/>
        </w:rPr>
        <w:t xml:space="preserve">De lo anterior, se desprende </w:t>
      </w:r>
      <w:r w:rsidR="00694F4C" w:rsidRPr="00BC16BD">
        <w:rPr>
          <w:rFonts w:ascii="Palatino Linotype" w:hAnsi="Palatino Linotype"/>
          <w:lang w:val="es-ES_tradnl"/>
        </w:rPr>
        <w:t>que,</w:t>
      </w:r>
      <w:r w:rsidRPr="00BC16BD">
        <w:rPr>
          <w:rFonts w:ascii="Palatino Linotype" w:hAnsi="Palatino Linotype"/>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BC16BD">
        <w:rPr>
          <w:rFonts w:ascii="Palatino Linotype" w:hAnsi="Palatino Linotype"/>
          <w:lang w:val="es-ES_tradnl"/>
        </w:rPr>
        <w:lastRenderedPageBreak/>
        <w:t>expresar los fundamentos legales que le dieron origen y las razones por las que se deben aplicar al caso concreto.</w:t>
      </w:r>
    </w:p>
    <w:p w14:paraId="1BCA49FC" w14:textId="77777777" w:rsidR="00464C89" w:rsidRPr="00BC16BD" w:rsidRDefault="00464C89" w:rsidP="00BC16BD">
      <w:pPr>
        <w:spacing w:line="360" w:lineRule="auto"/>
        <w:ind w:left="708"/>
        <w:rPr>
          <w:rFonts w:ascii="Palatino Linotype" w:hAnsi="Palatino Linotype" w:cs="Arial"/>
          <w:color w:val="000000"/>
          <w:lang w:val="es-ES_tradnl"/>
        </w:rPr>
      </w:pPr>
    </w:p>
    <w:p w14:paraId="3A851533"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E8B1867"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C16BD">
        <w:rPr>
          <w:rFonts w:ascii="Palatino Linotype" w:hAnsi="Palatino Linotype"/>
          <w:vertAlign w:val="superscript"/>
          <w:lang w:val="es-ES_tradnl"/>
        </w:rPr>
        <w:footnoteReference w:id="9"/>
      </w:r>
    </w:p>
    <w:p w14:paraId="5933D6D9" w14:textId="77777777" w:rsidR="00464C89" w:rsidRPr="00BC16BD" w:rsidRDefault="00464C89" w:rsidP="00BC16BD">
      <w:pPr>
        <w:spacing w:line="360" w:lineRule="auto"/>
        <w:ind w:left="708"/>
        <w:rPr>
          <w:rFonts w:ascii="Palatino Linotype" w:hAnsi="Palatino Linotype" w:cs="Arial"/>
          <w:color w:val="222222"/>
          <w:lang w:val="es-ES_tradnl" w:eastAsia="es-MX"/>
        </w:rPr>
      </w:pPr>
    </w:p>
    <w:p w14:paraId="34C61BD9"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2F272595"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0BD97F20"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b/>
          <w:i/>
          <w:color w:val="000000"/>
          <w:lang w:val="es-ES_tradnl"/>
        </w:rPr>
        <w:lastRenderedPageBreak/>
        <w:t>FUNDAMENTACIÓN Y MOTIVACIÓN.</w:t>
      </w:r>
      <w:r w:rsidRPr="00BC16BD">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EEB8BB"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SEGUNDO TRIBUNAL COLEGIADO DEL SEXTO CIRCUITO.</w:t>
      </w:r>
    </w:p>
    <w:p w14:paraId="2E31AA10"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directo 194/88. Bufete Industrial Construcciones, S.A. de C.V. 28 de junio de 1988. Unanimidad de votos. Ponente: Gustavo Calvillo Rangel. Secretario: Jorge Alberto González Álvarez.</w:t>
      </w:r>
    </w:p>
    <w:p w14:paraId="4255F045"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Revisión fiscal 103/88. Instituto Mexicano del Seguro Social. 18 de octubre de 1988. Unanimidad de votos. Ponente: Arnoldo Nájera Virgen. Secretario: Alejandro Esponda Rincón.</w:t>
      </w:r>
    </w:p>
    <w:p w14:paraId="75EF5357"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en revisión 333/88. Adilia Romero. 26 de octubre de 1988. Unanimidad de votos. Ponente: Arnoldo Nájera Virgen. Secretario: Enrique Crispín Campos Ramírez.</w:t>
      </w:r>
    </w:p>
    <w:p w14:paraId="795D2D5C"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en revisión 597/95. Emilio Maurer Bretón. 15 de noviembre de 1995. Unanimidad de votos. Ponente: Clementina Ramírez Moguel Goyzueta. Secretario: Gonzalo Carrera Molina.</w:t>
      </w:r>
    </w:p>
    <w:p w14:paraId="06A20CE6" w14:textId="77777777" w:rsidR="00464C89" w:rsidRPr="00BC16BD" w:rsidRDefault="00464C89" w:rsidP="00BC16BD">
      <w:pPr>
        <w:spacing w:line="360" w:lineRule="auto"/>
        <w:ind w:left="851" w:right="618"/>
        <w:contextualSpacing/>
        <w:jc w:val="both"/>
        <w:rPr>
          <w:rFonts w:ascii="Palatino Linotype" w:hAnsi="Palatino Linotype" w:cs="Arial"/>
          <w:i/>
          <w:color w:val="000000"/>
          <w:lang w:val="es-ES_tradnl"/>
        </w:rPr>
      </w:pPr>
      <w:r w:rsidRPr="00BC16BD">
        <w:rPr>
          <w:rFonts w:ascii="Palatino Linotype" w:hAnsi="Palatino Linotype" w:cs="Arial"/>
          <w:i/>
          <w:color w:val="000000"/>
          <w:lang w:val="es-ES_tradnl"/>
        </w:rPr>
        <w:t>Amparo directo 7/96. Pedro Vicente López Miro. 21 de febrero de 1996. Unanimidad de votos. Ponente: María Eugenia Estela Martínez Cardiel. Secretario: Enrique Baigts Muñoz.</w:t>
      </w:r>
    </w:p>
    <w:p w14:paraId="11D58B61" w14:textId="77777777" w:rsidR="00464C89" w:rsidRPr="00BC16BD" w:rsidRDefault="00464C89" w:rsidP="00BC16BD">
      <w:pPr>
        <w:spacing w:line="360" w:lineRule="auto"/>
        <w:contextualSpacing/>
        <w:jc w:val="both"/>
        <w:rPr>
          <w:rFonts w:ascii="Palatino Linotype" w:hAnsi="Palatino Linotype" w:cs="Arial"/>
          <w:i/>
          <w:color w:val="000000"/>
          <w:lang w:val="es-ES_tradnl"/>
        </w:rPr>
      </w:pPr>
    </w:p>
    <w:p w14:paraId="4850C814"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 xml:space="preserve">Así, en un acto de autoridad se cumple con la debida fundamentación cuando se cita el precepto legal aplicable al caso concreto y la debida motivación cuando se </w:t>
      </w:r>
      <w:r w:rsidRPr="00BC16BD">
        <w:rPr>
          <w:rFonts w:ascii="Palatino Linotype" w:hAnsi="Palatino Linotype" w:cs="Arial"/>
          <w:color w:val="222222"/>
          <w:lang w:val="es-ES_tradnl" w:eastAsia="es-MX"/>
        </w:rPr>
        <w:lastRenderedPageBreak/>
        <w:t>expresan las razones, motivos o circunstancias que tomó en cuenta la autoridad para adecuar el hecho a los fundamentos de derecho.</w:t>
      </w:r>
    </w:p>
    <w:p w14:paraId="5E1877D0"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6BB94A84"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E6C8FA2"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65CF000F"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514220DB" w14:textId="77777777" w:rsidR="00464C89" w:rsidRPr="00BC16BD" w:rsidRDefault="00464C89" w:rsidP="00BC16BD">
      <w:pPr>
        <w:spacing w:before="240" w:after="240" w:line="360" w:lineRule="auto"/>
        <w:contextualSpacing/>
        <w:jc w:val="both"/>
        <w:rPr>
          <w:rFonts w:ascii="Palatino Linotype" w:hAnsi="Palatino Linotype" w:cs="Arial"/>
          <w:color w:val="222222"/>
          <w:lang w:val="es-ES_tradnl" w:eastAsia="es-MX"/>
        </w:rPr>
      </w:pPr>
    </w:p>
    <w:p w14:paraId="70F3507D" w14:textId="77777777" w:rsidR="00464C89" w:rsidRPr="00BC16BD" w:rsidRDefault="00464C89" w:rsidP="00BC16BD">
      <w:pPr>
        <w:spacing w:line="360" w:lineRule="auto"/>
        <w:ind w:left="708"/>
        <w:rPr>
          <w:rFonts w:ascii="Palatino Linotype" w:hAnsi="Palatino Linotype" w:cs="Arial"/>
          <w:color w:val="222222"/>
          <w:lang w:val="es-ES_tradnl" w:eastAsia="es-MX"/>
        </w:rPr>
      </w:pPr>
    </w:p>
    <w:p w14:paraId="4163D0EF"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hAnsi="Palatino Linotype" w:cs="Arial"/>
          <w:color w:val="222222"/>
          <w:lang w:val="es-ES_tradnl" w:eastAsia="es-MX"/>
        </w:rPr>
        <w:t xml:space="preserve">Ahora bien, </w:t>
      </w:r>
      <w:r w:rsidRPr="00BC16BD">
        <w:rPr>
          <w:rFonts w:ascii="Palatino Linotype" w:hAnsi="Palatino Linotype" w:cs="Arial"/>
          <w:b/>
          <w:color w:val="222222"/>
          <w:lang w:val="es-ES_tradnl" w:eastAsia="es-MX"/>
        </w:rPr>
        <w:t>para cada caso además de fundar y motivar</w:t>
      </w:r>
      <w:r w:rsidRPr="00BC16BD">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BC16BD">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2D532EAD" w14:textId="2BB033B0" w:rsidR="00464C89" w:rsidRPr="00BC16BD" w:rsidRDefault="00B6182F" w:rsidP="00694F4C">
      <w:pPr>
        <w:numPr>
          <w:ilvl w:val="0"/>
          <w:numId w:val="5"/>
        </w:numPr>
        <w:spacing w:before="240" w:after="240" w:line="360" w:lineRule="auto"/>
        <w:ind w:left="0" w:firstLine="0"/>
        <w:contextualSpacing/>
        <w:jc w:val="both"/>
        <w:rPr>
          <w:rFonts w:ascii="Palatino Linotype" w:hAnsi="Palatino Linotype" w:cs="Arial"/>
          <w:color w:val="222222"/>
          <w:lang w:val="es-ES_tradnl" w:eastAsia="es-MX"/>
        </w:rPr>
      </w:pPr>
      <w:r w:rsidRPr="00BC16BD">
        <w:rPr>
          <w:rFonts w:ascii="Palatino Linotype" w:eastAsia="Calibri" w:hAnsi="Palatino Linotype" w:cs="Arial"/>
          <w:lang w:eastAsia="es-MX"/>
        </w:rPr>
        <w:t>Finalmente,</w:t>
      </w:r>
      <w:r w:rsidR="00464C89" w:rsidRPr="00BC16BD">
        <w:rPr>
          <w:rFonts w:ascii="Palatino Linotype" w:eastAsia="Calibri" w:hAnsi="Palatino Linotype" w:cs="Arial"/>
          <w:lang w:eastAsia="es-MX"/>
        </w:rPr>
        <w:t xml:space="preserve"> no pasa desapercibido que se solicita acceso al Expediente Laboral de una persona, por lo que de existir documentos que por su naturaleza </w:t>
      </w:r>
      <w:r w:rsidR="00464C89" w:rsidRPr="00BC16BD">
        <w:rPr>
          <w:rFonts w:ascii="Palatino Linotype" w:eastAsia="Calibri" w:hAnsi="Palatino Linotype" w:cs="Arial"/>
          <w:lang w:eastAsia="es-MX"/>
        </w:rPr>
        <w:lastRenderedPageBreak/>
        <w:t xml:space="preserve">contengan datos personales en su totalidad, se deberá proceder a su clasificación total, como de manera enunciativa más no limitativa pueden ser el acta de nacimiento, la credencial de elector o la cartilla militar. </w:t>
      </w:r>
    </w:p>
    <w:p w14:paraId="6B32721F" w14:textId="77777777" w:rsidR="00464C89" w:rsidRPr="00BC16BD" w:rsidRDefault="00464C89" w:rsidP="00BC16BD">
      <w:pPr>
        <w:spacing w:before="240" w:after="240" w:line="360" w:lineRule="auto"/>
        <w:contextualSpacing/>
        <w:jc w:val="both"/>
        <w:rPr>
          <w:rFonts w:ascii="Palatino Linotype" w:eastAsia="Calibri" w:hAnsi="Palatino Linotype" w:cs="Arial"/>
          <w:lang w:eastAsia="es-MX"/>
        </w:rPr>
      </w:pPr>
    </w:p>
    <w:p w14:paraId="0950EFD9" w14:textId="77777777" w:rsidR="00464C89" w:rsidRPr="00BC16BD" w:rsidRDefault="00464C89" w:rsidP="00BC16BD">
      <w:pPr>
        <w:keepNext/>
        <w:keepLines/>
        <w:spacing w:before="240" w:line="360" w:lineRule="auto"/>
        <w:jc w:val="both"/>
        <w:outlineLvl w:val="0"/>
        <w:rPr>
          <w:rFonts w:ascii="Palatino Linotype" w:hAnsi="Palatino Linotype"/>
          <w:b/>
          <w:lang w:val="es-MX" w:eastAsia="en-US"/>
        </w:rPr>
      </w:pPr>
      <w:bookmarkStart w:id="114" w:name="_Toc5711929"/>
      <w:bookmarkStart w:id="115" w:name="_Toc5890466"/>
      <w:bookmarkStart w:id="116" w:name="_Toc50062192"/>
      <w:bookmarkStart w:id="117" w:name="_Toc63348483"/>
      <w:bookmarkStart w:id="118" w:name="_Toc67598520"/>
      <w:bookmarkStart w:id="119" w:name="_Toc69999209"/>
      <w:bookmarkStart w:id="120" w:name="_Toc73033018"/>
      <w:bookmarkStart w:id="121" w:name="_Toc84433132"/>
      <w:bookmarkStart w:id="122" w:name="_Toc95344567"/>
      <w:r w:rsidRPr="00BC16BD">
        <w:rPr>
          <w:rFonts w:ascii="Palatino Linotype" w:hAnsi="Palatino Linotype"/>
          <w:b/>
          <w:lang w:val="es-MX" w:eastAsia="en-US"/>
        </w:rPr>
        <w:t>IV. Condiciones especiales de la clasificación de la información como confidencial.</w:t>
      </w:r>
      <w:bookmarkEnd w:id="114"/>
      <w:bookmarkEnd w:id="115"/>
      <w:bookmarkEnd w:id="116"/>
      <w:bookmarkEnd w:id="117"/>
      <w:bookmarkEnd w:id="118"/>
      <w:bookmarkEnd w:id="119"/>
      <w:bookmarkEnd w:id="120"/>
      <w:bookmarkEnd w:id="121"/>
      <w:bookmarkEnd w:id="122"/>
    </w:p>
    <w:p w14:paraId="010E108F" w14:textId="77777777" w:rsidR="00464C89" w:rsidRPr="00BC16BD" w:rsidRDefault="00464C89" w:rsidP="00BC16BD">
      <w:pPr>
        <w:keepNext/>
        <w:keepLines/>
        <w:spacing w:before="240" w:line="360" w:lineRule="auto"/>
        <w:jc w:val="both"/>
        <w:outlineLvl w:val="0"/>
        <w:rPr>
          <w:rFonts w:ascii="Palatino Linotype" w:hAnsi="Palatino Linotype"/>
          <w:b/>
          <w:lang w:val="es-MX" w:eastAsia="en-US"/>
        </w:rPr>
      </w:pPr>
    </w:p>
    <w:p w14:paraId="139DDE52" w14:textId="77777777" w:rsidR="00464C89" w:rsidRPr="00BC16BD" w:rsidRDefault="00464C89" w:rsidP="00694F4C">
      <w:pPr>
        <w:numPr>
          <w:ilvl w:val="0"/>
          <w:numId w:val="5"/>
        </w:numPr>
        <w:spacing w:before="240" w:after="240" w:line="360" w:lineRule="auto"/>
        <w:ind w:left="-142" w:firstLine="142"/>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A66B540"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414425D7"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6E6C732B"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518B3AD9"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 </w:t>
      </w:r>
      <w:r w:rsidRPr="00BC16BD">
        <w:rPr>
          <w:rFonts w:ascii="Palatino Linotype" w:hAnsi="Palatino Linotype" w:cs="Bookman Old Style"/>
          <w:i/>
          <w:color w:val="000000"/>
          <w:lang w:val="es-ES_tradnl"/>
        </w:rPr>
        <w:t xml:space="preserve">Se refiera a la información privada y los datos personales concernientes a una persona física o jurídico colectiva identificada o identificable; </w:t>
      </w:r>
    </w:p>
    <w:p w14:paraId="655D64FB"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II. </w:t>
      </w:r>
      <w:r w:rsidRPr="00BC16BD">
        <w:rPr>
          <w:rFonts w:ascii="Palatino Linotype" w:hAnsi="Palatino Linotype" w:cs="Bookman Old Style"/>
          <w:i/>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AF7DC55"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bCs/>
          <w:i/>
          <w:color w:val="000000"/>
          <w:lang w:val="es-ES_tradnl"/>
        </w:rPr>
        <w:t xml:space="preserve">III. </w:t>
      </w:r>
      <w:r w:rsidRPr="00BC16BD">
        <w:rPr>
          <w:rFonts w:ascii="Palatino Linotype" w:hAnsi="Palatino Linotype" w:cs="Bookman Old Style"/>
          <w:i/>
          <w:color w:val="000000"/>
          <w:lang w:val="es-ES_tradnl"/>
        </w:rPr>
        <w:t xml:space="preserve">La que presenten los particulares a los sujetos obligados, de conformidad con lo dispuesto por las leyes o los tratados internacionales. </w:t>
      </w:r>
    </w:p>
    <w:p w14:paraId="21CC78FB"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rPr>
      </w:pPr>
      <w:r w:rsidRPr="00BC16BD">
        <w:rPr>
          <w:rFonts w:ascii="Palatino Linotype" w:hAnsi="Palatino Linotype" w:cs="Bookman Old Style"/>
          <w:i/>
          <w:color w:val="000000"/>
          <w:lang w:val="es-ES_tradnl"/>
        </w:rPr>
        <w:t xml:space="preserve">La información confidencial no estará sujeta a temporalidad alguna y sólo podrán </w:t>
      </w:r>
      <w:r w:rsidRPr="00BC16BD">
        <w:rPr>
          <w:rFonts w:ascii="Palatino Linotype" w:hAnsi="Palatino Linotype" w:cs="Bookman Old Style"/>
          <w:i/>
          <w:color w:val="000000"/>
          <w:lang w:val="es-ES_tradnl"/>
        </w:rPr>
        <w:lastRenderedPageBreak/>
        <w:t xml:space="preserve">tener acceso a ella los titulares de la misma, sus representantes y los servidores públicos facultados para ello. </w:t>
      </w:r>
    </w:p>
    <w:p w14:paraId="3C49EF54" w14:textId="77777777" w:rsidR="00464C89" w:rsidRPr="00BC16BD" w:rsidRDefault="00464C89" w:rsidP="00BC16BD">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rPr>
      </w:pPr>
      <w:r w:rsidRPr="00BC16BD">
        <w:rPr>
          <w:rFonts w:ascii="Palatino Linotype" w:hAnsi="Palatino Linotype" w:cs="Bookman Old Style"/>
          <w:i/>
          <w:color w:val="000000"/>
          <w:lang w:val="es-ES_tradnl"/>
        </w:rPr>
        <w:t xml:space="preserve">No se considerará confidencial la información que se encuentre en los registros públicos o en fuentes de acceso público, ni tampoco la que sea considerada por la presente ley como información pública. </w:t>
      </w:r>
    </w:p>
    <w:p w14:paraId="7B6F418E"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32CED5"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635B11A"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 xml:space="preserve">Como consecuencia de lo anterior, el </w:t>
      </w:r>
      <w:r w:rsidRPr="00BC16BD">
        <w:rPr>
          <w:rFonts w:ascii="Palatino Linotype" w:hAnsi="Palatino Linotype" w:cs="Arial"/>
          <w:b/>
          <w:color w:val="000000"/>
          <w:lang w:val="es-ES_tradnl"/>
        </w:rPr>
        <w:t>SUJETO OBLIGADO</w:t>
      </w:r>
      <w:r w:rsidRPr="00BC16BD">
        <w:rPr>
          <w:rFonts w:ascii="Palatino Linotype" w:hAnsi="Palatino Linotype" w:cs="Arial"/>
          <w:color w:val="000000"/>
          <w:lang w:val="es-ES_tradnl"/>
        </w:rPr>
        <w:t xml:space="preserve"> debe identificar claramente el tipo de información y hacer un juicio de subsunción o encaje</w:t>
      </w:r>
      <w:r w:rsidRPr="00BC16BD">
        <w:rPr>
          <w:rFonts w:ascii="Palatino Linotype" w:hAnsi="Palatino Linotype"/>
          <w:vertAlign w:val="superscript"/>
          <w:lang w:val="es-ES_tradnl"/>
        </w:rPr>
        <w:footnoteReference w:id="10"/>
      </w:r>
      <w:r w:rsidRPr="00BC16BD">
        <w:rPr>
          <w:rFonts w:ascii="Palatino Linotype" w:hAnsi="Palatino Linotype" w:cs="Arial"/>
          <w:color w:val="000000"/>
          <w:lang w:val="es-ES_tradnl"/>
        </w:rPr>
        <w:t xml:space="preserve"> para acreditar que el supuesto de hecho corresponde estrictamente con la hipótesis </w:t>
      </w:r>
      <w:r w:rsidRPr="00BC16BD">
        <w:rPr>
          <w:rFonts w:ascii="Palatino Linotype" w:hAnsi="Palatino Linotype" w:cs="Arial"/>
          <w:color w:val="000000"/>
          <w:lang w:val="es-ES_tradnl"/>
        </w:rPr>
        <w:lastRenderedPageBreak/>
        <w:t>jurídica. Esto también lo debe de realizar el servidor público habilitado y el titular del área que administra la información.</w:t>
      </w:r>
    </w:p>
    <w:p w14:paraId="24D7DF54" w14:textId="77777777" w:rsidR="00464C89" w:rsidRPr="00BC16BD" w:rsidRDefault="00464C89" w:rsidP="00BC16BD">
      <w:pPr>
        <w:spacing w:line="360" w:lineRule="auto"/>
        <w:ind w:left="708"/>
        <w:rPr>
          <w:rFonts w:ascii="Palatino Linotype" w:hAnsi="Palatino Linotype" w:cs="Arial"/>
          <w:color w:val="000000"/>
          <w:lang w:val="es-ES_tradnl"/>
        </w:rPr>
      </w:pPr>
    </w:p>
    <w:p w14:paraId="089F6BCA" w14:textId="77777777" w:rsidR="00464C89" w:rsidRPr="00BC16BD" w:rsidRDefault="00464C89" w:rsidP="00694F4C">
      <w:pPr>
        <w:numPr>
          <w:ilvl w:val="0"/>
          <w:numId w:val="5"/>
        </w:numPr>
        <w:spacing w:before="240" w:after="240" w:line="360" w:lineRule="auto"/>
        <w:ind w:left="0" w:firstLine="0"/>
        <w:contextualSpacing/>
        <w:jc w:val="both"/>
        <w:rPr>
          <w:rFonts w:ascii="Palatino Linotype" w:hAnsi="Palatino Linotype" w:cs="Arial"/>
          <w:color w:val="000000"/>
          <w:lang w:val="es-ES_tradnl"/>
        </w:rPr>
      </w:pPr>
      <w:r w:rsidRPr="00BC16BD">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6F6E8CA" w14:textId="77777777" w:rsidR="00464C89" w:rsidRPr="00BC16BD" w:rsidRDefault="00464C89" w:rsidP="00BC16BD">
      <w:pPr>
        <w:spacing w:line="360" w:lineRule="auto"/>
        <w:ind w:left="708"/>
        <w:rPr>
          <w:rFonts w:ascii="Palatino Linotype" w:hAnsi="Palatino Linotype" w:cs="Arial"/>
          <w:color w:val="000000"/>
          <w:lang w:val="es-ES_tradnl"/>
        </w:rPr>
      </w:pPr>
    </w:p>
    <w:p w14:paraId="294D875E" w14:textId="77777777" w:rsidR="00464C89" w:rsidRPr="00BC16BD" w:rsidRDefault="00464C89" w:rsidP="00BC16BD">
      <w:pPr>
        <w:spacing w:before="240" w:after="240" w:line="360" w:lineRule="auto"/>
        <w:contextualSpacing/>
        <w:jc w:val="both"/>
        <w:rPr>
          <w:rFonts w:ascii="Palatino Linotype" w:hAnsi="Palatino Linotype" w:cs="Arial"/>
          <w:color w:val="000000"/>
          <w:lang w:val="es-ES_tradnl"/>
        </w:rPr>
      </w:pPr>
    </w:p>
    <w:p w14:paraId="1E4EEFE7" w14:textId="77777777" w:rsidR="00464C89" w:rsidRPr="00BC16BD" w:rsidRDefault="00464C89" w:rsidP="00BC16BD">
      <w:pPr>
        <w:keepNext/>
        <w:keepLines/>
        <w:numPr>
          <w:ilvl w:val="0"/>
          <w:numId w:val="22"/>
        </w:numPr>
        <w:spacing w:before="240" w:after="160" w:line="360" w:lineRule="auto"/>
        <w:ind w:left="0" w:firstLine="0"/>
        <w:outlineLvl w:val="0"/>
        <w:rPr>
          <w:rFonts w:ascii="Palatino Linotype" w:eastAsia="MS Gothic" w:hAnsi="Palatino Linotype"/>
          <w:b/>
          <w:lang w:val="es-MX" w:eastAsia="en-US"/>
        </w:rPr>
      </w:pPr>
      <w:bookmarkStart w:id="123" w:name="_Toc5711930"/>
      <w:bookmarkStart w:id="124" w:name="_Toc5890467"/>
      <w:bookmarkStart w:id="125" w:name="_Toc50062193"/>
      <w:r w:rsidRPr="00BC16BD">
        <w:rPr>
          <w:rFonts w:ascii="Palatino Linotype" w:eastAsia="MS Gothic" w:hAnsi="Palatino Linotype"/>
          <w:b/>
          <w:lang w:val="es-MX" w:eastAsia="en-US"/>
        </w:rPr>
        <w:t xml:space="preserve"> </w:t>
      </w:r>
      <w:bookmarkStart w:id="126" w:name="_Toc63348484"/>
      <w:bookmarkStart w:id="127" w:name="_Toc67598521"/>
      <w:bookmarkStart w:id="128" w:name="_Toc69999210"/>
      <w:bookmarkStart w:id="129" w:name="_Toc73033019"/>
      <w:bookmarkStart w:id="130" w:name="_Toc84433133"/>
      <w:bookmarkStart w:id="131" w:name="_Toc95344568"/>
      <w:r w:rsidRPr="00BC16BD">
        <w:rPr>
          <w:rFonts w:ascii="Palatino Linotype" w:eastAsia="MS Gothic" w:hAnsi="Palatino Linotype"/>
          <w:b/>
          <w:lang w:val="es-MX" w:eastAsia="en-US"/>
        </w:rPr>
        <w:t>Del consentimiento.</w:t>
      </w:r>
      <w:bookmarkEnd w:id="123"/>
      <w:bookmarkEnd w:id="124"/>
      <w:bookmarkEnd w:id="125"/>
      <w:bookmarkEnd w:id="126"/>
      <w:bookmarkEnd w:id="127"/>
      <w:bookmarkEnd w:id="128"/>
      <w:bookmarkEnd w:id="129"/>
      <w:bookmarkEnd w:id="130"/>
      <w:bookmarkEnd w:id="131"/>
    </w:p>
    <w:p w14:paraId="555620B9" w14:textId="77777777" w:rsidR="00464C89" w:rsidRPr="00BC16BD" w:rsidRDefault="00464C89" w:rsidP="00BC16BD">
      <w:pPr>
        <w:spacing w:line="360" w:lineRule="auto"/>
        <w:rPr>
          <w:rFonts w:ascii="Palatino Linotype" w:eastAsia="MS Mincho" w:hAnsi="Palatino Linotype"/>
          <w:lang w:val="es-MX" w:eastAsia="en-US"/>
        </w:rPr>
      </w:pPr>
    </w:p>
    <w:p w14:paraId="64322EB3" w14:textId="44137D98" w:rsidR="00464C89" w:rsidRPr="00BC16BD" w:rsidRDefault="00464C89" w:rsidP="00694F4C">
      <w:pPr>
        <w:numPr>
          <w:ilvl w:val="0"/>
          <w:numId w:val="5"/>
        </w:numPr>
        <w:spacing w:after="120" w:line="360" w:lineRule="auto"/>
        <w:ind w:left="0" w:right="49"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 xml:space="preserve">Los artículos 148 y 120 de la Ley Estatal y de la Ley General, respectivamente, establecen </w:t>
      </w:r>
      <w:r w:rsidR="00B6182F" w:rsidRPr="00BC16BD">
        <w:rPr>
          <w:rFonts w:ascii="Palatino Linotype" w:eastAsia="MS Mincho" w:hAnsi="Palatino Linotype" w:cs="Arial"/>
          <w:color w:val="000000"/>
          <w:lang w:val="es-ES_tradnl"/>
        </w:rPr>
        <w:t>que,</w:t>
      </w:r>
      <w:r w:rsidRPr="00BC16BD">
        <w:rPr>
          <w:rFonts w:ascii="Palatino Linotype" w:eastAsia="MS Mincho" w:hAnsi="Palatino Linotype" w:cs="Arial"/>
          <w:color w:val="000000"/>
          <w:lang w:val="es-ES_tradnl"/>
        </w:rPr>
        <w:t xml:space="preserve"> aun tratándose de datos personales, se podrán proporcionar, incluso sin solicitar el consentimiento de su titular, cuando dichos datos correspondan a los siguientes supuestos: </w:t>
      </w:r>
    </w:p>
    <w:p w14:paraId="74366C87" w14:textId="77777777" w:rsidR="00464C89" w:rsidRPr="00BC16BD" w:rsidRDefault="00464C89" w:rsidP="00BC16BD">
      <w:pPr>
        <w:spacing w:after="120" w:line="360" w:lineRule="auto"/>
        <w:ind w:left="426" w:right="49" w:hanging="426"/>
        <w:contextualSpacing/>
        <w:jc w:val="both"/>
        <w:rPr>
          <w:rFonts w:ascii="Palatino Linotype" w:eastAsia="MS Mincho" w:hAnsi="Palatino Linotype" w:cs="Arial"/>
          <w:color w:val="000000"/>
          <w:lang w:val="es-ES_tradnl"/>
        </w:rPr>
      </w:pPr>
    </w:p>
    <w:p w14:paraId="66EE7FA3"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bCs/>
          <w:i/>
          <w:color w:val="000000"/>
          <w:lang w:val="es-MX"/>
        </w:rPr>
      </w:pPr>
      <w:r w:rsidRPr="00BC16BD">
        <w:rPr>
          <w:rFonts w:ascii="Palatino Linotype" w:eastAsia="MS Mincho" w:hAnsi="Palatino Linotype" w:cs="Arial"/>
          <w:bCs/>
          <w:i/>
          <w:color w:val="000000"/>
          <w:lang w:val="es-MX"/>
        </w:rPr>
        <w:t>I.</w:t>
      </w:r>
      <w:r w:rsidRPr="00BC16BD">
        <w:rPr>
          <w:rFonts w:ascii="Palatino Linotype" w:eastAsia="MS Mincho" w:hAnsi="Palatino Linotype" w:cs="Arial"/>
          <w:i/>
          <w:color w:val="000000"/>
          <w:lang w:val="es-MX"/>
        </w:rPr>
        <w:t xml:space="preserve"> La información se encuentre en registros públicos o fuentes de acceso público;</w:t>
      </w:r>
    </w:p>
    <w:p w14:paraId="66A36F26"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bCs/>
          <w:i/>
          <w:color w:val="000000"/>
          <w:lang w:val="es-MX"/>
        </w:rPr>
      </w:pPr>
      <w:r w:rsidRPr="00BC16BD">
        <w:rPr>
          <w:rFonts w:ascii="Palatino Linotype" w:eastAsia="MS Mincho" w:hAnsi="Palatino Linotype" w:cs="Arial"/>
          <w:bCs/>
          <w:i/>
          <w:color w:val="000000"/>
          <w:lang w:val="es-MX"/>
        </w:rPr>
        <w:t xml:space="preserve">II. </w:t>
      </w:r>
      <w:r w:rsidRPr="00BC16BD">
        <w:rPr>
          <w:rFonts w:ascii="Palatino Linotype" w:eastAsia="MS Mincho" w:hAnsi="Palatino Linotype" w:cs="Arial"/>
          <w:i/>
          <w:color w:val="000000"/>
          <w:lang w:val="es-MX"/>
        </w:rPr>
        <w:t>Por Ley tenga el carácter de pública;</w:t>
      </w:r>
    </w:p>
    <w:p w14:paraId="26EBE3F7"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III. </w:t>
      </w:r>
      <w:r w:rsidRPr="00BC16BD">
        <w:rPr>
          <w:rFonts w:ascii="Palatino Linotype" w:eastAsia="MS Mincho" w:hAnsi="Palatino Linotype" w:cs="Arial"/>
          <w:i/>
          <w:color w:val="000000"/>
          <w:lang w:val="es-MX"/>
        </w:rPr>
        <w:t xml:space="preserve">Exista una orden judicial; </w:t>
      </w:r>
    </w:p>
    <w:p w14:paraId="4295486E"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IV. </w:t>
      </w:r>
      <w:r w:rsidRPr="00BC16BD">
        <w:rPr>
          <w:rFonts w:ascii="Palatino Linotype" w:eastAsia="MS Mincho" w:hAnsi="Palatino Linotype" w:cs="Arial"/>
          <w:i/>
          <w:color w:val="000000"/>
          <w:lang w:val="es-MX"/>
        </w:rPr>
        <w:t xml:space="preserve">Por razones de seguridad pública, o para proteger los derechos de terceros, se requiera su publicación; o </w:t>
      </w:r>
    </w:p>
    <w:p w14:paraId="74088BA9" w14:textId="77777777" w:rsidR="00464C89" w:rsidRPr="00BC16BD" w:rsidRDefault="00464C89" w:rsidP="00BC16BD">
      <w:pPr>
        <w:spacing w:after="120" w:line="360" w:lineRule="auto"/>
        <w:ind w:left="567" w:right="567"/>
        <w:contextualSpacing/>
        <w:jc w:val="both"/>
        <w:rPr>
          <w:rFonts w:ascii="Palatino Linotype" w:eastAsia="MS Mincho" w:hAnsi="Palatino Linotype" w:cs="Arial"/>
          <w:i/>
          <w:color w:val="000000"/>
          <w:lang w:val="es-MX"/>
        </w:rPr>
      </w:pPr>
      <w:r w:rsidRPr="00BC16BD">
        <w:rPr>
          <w:rFonts w:ascii="Palatino Linotype" w:eastAsia="MS Mincho" w:hAnsi="Palatino Linotype" w:cs="Arial"/>
          <w:bCs/>
          <w:i/>
          <w:color w:val="000000"/>
          <w:lang w:val="es-MX"/>
        </w:rPr>
        <w:t xml:space="preserve">V. </w:t>
      </w:r>
      <w:r w:rsidRPr="00BC16BD">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6E2BB39" w14:textId="77777777" w:rsidR="00464C89" w:rsidRPr="00BC16BD" w:rsidRDefault="00464C89" w:rsidP="00BC16BD">
      <w:pPr>
        <w:spacing w:after="120" w:line="360" w:lineRule="auto"/>
        <w:ind w:left="426" w:right="49" w:hanging="426"/>
        <w:contextualSpacing/>
        <w:jc w:val="both"/>
        <w:rPr>
          <w:rFonts w:ascii="Palatino Linotype" w:eastAsia="MS Mincho" w:hAnsi="Palatino Linotype" w:cs="Arial"/>
          <w:color w:val="000000"/>
          <w:lang w:val="es-ES_tradnl"/>
        </w:rPr>
      </w:pPr>
    </w:p>
    <w:p w14:paraId="433531AE" w14:textId="77777777" w:rsidR="00464C89" w:rsidRPr="00BC16BD" w:rsidRDefault="00464C89" w:rsidP="00694F4C">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BFADFC" w14:textId="77777777" w:rsidR="00464C89" w:rsidRPr="00BC16BD" w:rsidRDefault="00464C89" w:rsidP="00BC16BD">
      <w:pPr>
        <w:spacing w:after="120" w:line="360" w:lineRule="auto"/>
        <w:contextualSpacing/>
        <w:jc w:val="both"/>
        <w:rPr>
          <w:rFonts w:ascii="Palatino Linotype" w:eastAsia="MS Mincho" w:hAnsi="Palatino Linotype" w:cs="Arial"/>
          <w:color w:val="000000"/>
          <w:lang w:val="es-ES_tradnl"/>
        </w:rPr>
      </w:pPr>
    </w:p>
    <w:p w14:paraId="22C52860" w14:textId="31DC6097" w:rsidR="00B14987" w:rsidRPr="001F089A" w:rsidRDefault="00464C89" w:rsidP="00694F4C">
      <w:pPr>
        <w:numPr>
          <w:ilvl w:val="0"/>
          <w:numId w:val="5"/>
        </w:numPr>
        <w:spacing w:after="120" w:line="360" w:lineRule="auto"/>
        <w:ind w:left="0" w:firstLine="0"/>
        <w:contextualSpacing/>
        <w:jc w:val="both"/>
        <w:rPr>
          <w:rFonts w:ascii="Palatino Linotype" w:eastAsia="MS Mincho" w:hAnsi="Palatino Linotype" w:cs="Arial"/>
          <w:color w:val="000000"/>
          <w:lang w:val="es-ES_tradnl"/>
        </w:rPr>
      </w:pPr>
      <w:r w:rsidRPr="00BC16BD">
        <w:rPr>
          <w:rFonts w:ascii="Palatino Linotype" w:eastAsia="MS Mincho" w:hAnsi="Palatino Linotype" w:cs="Arial"/>
          <w:color w:val="000000"/>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6839595" w14:textId="61C857A7" w:rsidR="00EA0165" w:rsidRPr="00BC16BD" w:rsidRDefault="00A272BC" w:rsidP="00BC16BD">
      <w:pPr>
        <w:pStyle w:val="Ttulo1"/>
        <w:spacing w:line="360" w:lineRule="auto"/>
        <w:rPr>
          <w:rFonts w:ascii="Palatino Linotype" w:eastAsia="MS Mincho" w:hAnsi="Palatino Linotype"/>
          <w:sz w:val="24"/>
          <w:szCs w:val="24"/>
          <w:lang w:val="es-ES_tradnl"/>
        </w:rPr>
      </w:pPr>
      <w:bookmarkStart w:id="132" w:name="_Toc95344569"/>
      <w:r w:rsidRPr="00BC16BD">
        <w:rPr>
          <w:rFonts w:ascii="Palatino Linotype" w:eastAsia="MS Gothic" w:hAnsi="Palatino Linotype"/>
          <w:b/>
          <w:color w:val="auto"/>
          <w:sz w:val="24"/>
          <w:szCs w:val="24"/>
          <w:lang w:val="es-ES_tradnl" w:eastAsia="es-ES_tradnl"/>
        </w:rPr>
        <w:t>SEXTO</w:t>
      </w:r>
      <w:r w:rsidR="008F1049" w:rsidRPr="00BC16BD">
        <w:rPr>
          <w:rFonts w:ascii="Palatino Linotype" w:eastAsia="MS Gothic" w:hAnsi="Palatino Linotype"/>
          <w:b/>
          <w:color w:val="auto"/>
          <w:sz w:val="24"/>
          <w:szCs w:val="24"/>
          <w:lang w:val="es-ES_tradnl" w:eastAsia="es-ES_tradnl"/>
        </w:rPr>
        <w:t xml:space="preserve">. </w:t>
      </w:r>
      <w:bookmarkStart w:id="133" w:name="_Toc67588008"/>
      <w:bookmarkStart w:id="134" w:name="_Toc68804770"/>
      <w:bookmarkEnd w:id="66"/>
      <w:bookmarkEnd w:id="67"/>
      <w:bookmarkEnd w:id="68"/>
      <w:bookmarkEnd w:id="69"/>
      <w:bookmarkEnd w:id="70"/>
      <w:bookmarkEnd w:id="71"/>
      <w:r w:rsidR="00EA0165" w:rsidRPr="00BC16BD">
        <w:rPr>
          <w:rFonts w:ascii="Palatino Linotype" w:eastAsia="MS Mincho" w:hAnsi="Palatino Linotype"/>
          <w:b/>
          <w:color w:val="000000"/>
          <w:sz w:val="24"/>
          <w:szCs w:val="24"/>
          <w:lang w:val="es-ES_tradnl"/>
        </w:rPr>
        <w:t>De la decisión.</w:t>
      </w:r>
      <w:bookmarkEnd w:id="132"/>
      <w:bookmarkEnd w:id="133"/>
      <w:bookmarkEnd w:id="134"/>
      <w:r w:rsidR="00EA0165" w:rsidRPr="00BC16BD">
        <w:rPr>
          <w:rFonts w:ascii="Palatino Linotype" w:eastAsia="MS Mincho" w:hAnsi="Palatino Linotype"/>
          <w:b/>
          <w:color w:val="000000"/>
          <w:sz w:val="24"/>
          <w:szCs w:val="24"/>
          <w:lang w:val="es-ES_tradnl"/>
        </w:rPr>
        <w:t xml:space="preserve"> </w:t>
      </w:r>
    </w:p>
    <w:p w14:paraId="74EA7B37" w14:textId="682F88CA" w:rsidR="000200EF" w:rsidRPr="00BC16BD" w:rsidRDefault="00EA0165" w:rsidP="00694F4C">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C16BD">
        <w:rPr>
          <w:rFonts w:ascii="Palatino Linotype" w:hAnsi="Palatino Linotype" w:cs="Tahoma"/>
          <w:lang w:val="es-MX"/>
        </w:rPr>
        <w:t>Con base en todo lo expuesto, y con fundamento en el artículo 186, fracción II</w:t>
      </w:r>
      <w:r w:rsidR="002F750C" w:rsidRPr="00BC16BD">
        <w:rPr>
          <w:rFonts w:ascii="Palatino Linotype" w:hAnsi="Palatino Linotype" w:cs="Tahoma"/>
          <w:lang w:val="es-MX"/>
        </w:rPr>
        <w:t>I</w:t>
      </w:r>
      <w:r w:rsidRPr="00BC16BD">
        <w:rPr>
          <w:rFonts w:ascii="Palatino Linotype" w:hAnsi="Palatino Linotype" w:cs="Tahoma"/>
          <w:lang w:val="es-MX"/>
        </w:rPr>
        <w:t>, de la Ley de Transparencia y Acceso a la Información Pública del Estado de México y Municipios, este Instituto considera procedente</w:t>
      </w:r>
      <w:r w:rsidRPr="00BC16BD">
        <w:rPr>
          <w:rFonts w:ascii="Palatino Linotype" w:hAnsi="Palatino Linotype" w:cs="Tahoma"/>
          <w:b/>
          <w:lang w:val="es-MX"/>
        </w:rPr>
        <w:t xml:space="preserve"> </w:t>
      </w:r>
      <w:r w:rsidR="009F6E82" w:rsidRPr="00BC16BD">
        <w:rPr>
          <w:rFonts w:ascii="Palatino Linotype" w:hAnsi="Palatino Linotype" w:cs="Tahoma"/>
          <w:b/>
          <w:lang w:val="es-MX"/>
        </w:rPr>
        <w:t>MODIFICAR</w:t>
      </w:r>
      <w:r w:rsidR="0049105B" w:rsidRPr="00BC16BD">
        <w:rPr>
          <w:rFonts w:ascii="Palatino Linotype" w:hAnsi="Palatino Linotype" w:cs="Tahoma"/>
          <w:b/>
          <w:lang w:val="es-MX"/>
        </w:rPr>
        <w:t xml:space="preserve"> </w:t>
      </w:r>
      <w:r w:rsidR="00602229">
        <w:rPr>
          <w:rFonts w:ascii="Palatino Linotype" w:hAnsi="Palatino Linotype" w:cs="Tahoma"/>
          <w:lang w:val="es-MX"/>
        </w:rPr>
        <w:t xml:space="preserve">la respuesta otorgada por el </w:t>
      </w:r>
      <w:r w:rsidR="00602229" w:rsidRPr="00602229">
        <w:rPr>
          <w:rFonts w:ascii="Palatino Linotype" w:eastAsia="MS Mincho" w:hAnsi="Palatino Linotype"/>
          <w:b/>
          <w:lang w:val="es-ES_tradnl"/>
        </w:rPr>
        <w:t>Ayuntamiento de Papalotla</w:t>
      </w:r>
      <w:r w:rsidR="007F4FC6" w:rsidRPr="00BC16BD">
        <w:rPr>
          <w:rFonts w:ascii="Palatino Linotype" w:eastAsia="MS Mincho" w:hAnsi="Palatino Linotype"/>
          <w:lang w:val="es-ES_tradnl"/>
        </w:rPr>
        <w:t xml:space="preserve"> ordenar</w:t>
      </w:r>
      <w:r w:rsidR="00B14987" w:rsidRPr="00BC16BD">
        <w:rPr>
          <w:rFonts w:ascii="Palatino Linotype" w:eastAsia="MS Mincho" w:hAnsi="Palatino Linotype"/>
          <w:lang w:val="es-ES_tradnl"/>
        </w:rPr>
        <w:t xml:space="preserve">, </w:t>
      </w:r>
      <w:r w:rsidR="007F4FC6" w:rsidRPr="00BC16BD">
        <w:rPr>
          <w:rFonts w:ascii="Palatino Linotype" w:eastAsia="MS Mincho" w:hAnsi="Palatino Linotype"/>
          <w:lang w:val="es-ES_tradnl"/>
        </w:rPr>
        <w:t xml:space="preserve">la entrega </w:t>
      </w:r>
      <w:r w:rsidR="00B14987" w:rsidRPr="00BC16BD">
        <w:rPr>
          <w:rFonts w:ascii="Palatino Linotype" w:eastAsia="MS Mincho" w:hAnsi="Palatino Linotype"/>
          <w:lang w:val="es-ES_tradnl"/>
        </w:rPr>
        <w:t xml:space="preserve">de la información solicitada. </w:t>
      </w:r>
    </w:p>
    <w:p w14:paraId="2EAC2E3C" w14:textId="7FD5CA33" w:rsidR="00117030" w:rsidRPr="00BC16BD" w:rsidRDefault="00EA0165" w:rsidP="00694F4C">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BC16BD">
        <w:rPr>
          <w:rFonts w:ascii="Palatino Linotype" w:eastAsia="MS Mincho" w:hAnsi="Palatino Linotype"/>
          <w:color w:val="000000"/>
        </w:rPr>
        <w:t xml:space="preserve">Por lo anteriormente expuesto y fundado, este </w:t>
      </w:r>
      <w:r w:rsidRPr="00BC16BD">
        <w:rPr>
          <w:rFonts w:ascii="Palatino Linotype" w:eastAsia="MS Mincho" w:hAnsi="Palatino Linotype"/>
          <w:b/>
          <w:bCs/>
          <w:color w:val="000000"/>
        </w:rPr>
        <w:t>ÓRGANO GARANTE</w:t>
      </w:r>
      <w:r w:rsidRPr="00BC16BD">
        <w:rPr>
          <w:rFonts w:ascii="Palatino Linotype" w:eastAsia="MS Mincho" w:hAnsi="Palatino Linotype"/>
          <w:color w:val="000000"/>
        </w:rPr>
        <w:t xml:space="preserve"> emite los siguientes:</w:t>
      </w:r>
      <w:bookmarkStart w:id="135" w:name="_Toc495427547"/>
      <w:bookmarkStart w:id="136" w:name="_Toc497905366"/>
    </w:p>
    <w:p w14:paraId="7434775D" w14:textId="72688BAE" w:rsidR="00985D90" w:rsidRDefault="00EA0165" w:rsidP="001F089A">
      <w:pPr>
        <w:pStyle w:val="Ttulo1"/>
        <w:spacing w:line="360" w:lineRule="auto"/>
        <w:jc w:val="center"/>
        <w:rPr>
          <w:rFonts w:ascii="Palatino Linotype" w:hAnsi="Palatino Linotype"/>
          <w:b/>
          <w:color w:val="000000" w:themeColor="text1"/>
          <w:sz w:val="24"/>
          <w:szCs w:val="24"/>
          <w:lang w:val="es-ES_tradnl"/>
        </w:rPr>
      </w:pPr>
      <w:bookmarkStart w:id="137" w:name="_Toc95344570"/>
      <w:r w:rsidRPr="00BC16BD">
        <w:rPr>
          <w:rFonts w:ascii="Palatino Linotype" w:hAnsi="Palatino Linotype"/>
          <w:b/>
          <w:color w:val="000000" w:themeColor="text1"/>
          <w:sz w:val="24"/>
          <w:szCs w:val="24"/>
          <w:lang w:val="es-ES_tradnl"/>
        </w:rPr>
        <w:t>R E S O L U T I V O S</w:t>
      </w:r>
      <w:bookmarkEnd w:id="72"/>
      <w:bookmarkEnd w:id="73"/>
      <w:bookmarkEnd w:id="135"/>
      <w:bookmarkEnd w:id="136"/>
      <w:bookmarkEnd w:id="137"/>
    </w:p>
    <w:p w14:paraId="2FC376C4" w14:textId="77777777" w:rsidR="00694F4C" w:rsidRPr="00694F4C" w:rsidRDefault="00694F4C" w:rsidP="00694F4C">
      <w:pPr>
        <w:rPr>
          <w:rFonts w:eastAsiaTheme="minorEastAsia"/>
          <w:lang w:val="es-ES_tradnl"/>
        </w:rPr>
      </w:pPr>
    </w:p>
    <w:p w14:paraId="69D049B8" w14:textId="7B99149B" w:rsidR="00F85D73" w:rsidRPr="00BC16BD" w:rsidRDefault="002F750C" w:rsidP="00BC16BD">
      <w:pPr>
        <w:spacing w:line="360" w:lineRule="auto"/>
        <w:jc w:val="both"/>
        <w:rPr>
          <w:rFonts w:ascii="Palatino Linotype" w:eastAsiaTheme="minorEastAsia" w:hAnsi="Palatino Linotype" w:cs="Arial"/>
          <w:bCs/>
          <w:lang w:val="es-ES_tradnl"/>
        </w:rPr>
      </w:pPr>
      <w:r w:rsidRPr="00BC16BD">
        <w:rPr>
          <w:rFonts w:ascii="Palatino Linotype" w:hAnsi="Palatino Linotype" w:cs="Arial"/>
          <w:b/>
          <w:lang w:val="es-ES_tradnl"/>
        </w:rPr>
        <w:t xml:space="preserve">PRIMERO. </w:t>
      </w:r>
      <w:r w:rsidRPr="00BC16BD">
        <w:rPr>
          <w:rFonts w:ascii="Palatino Linotype" w:hAnsi="Palatino Linotype" w:cs="Arial"/>
          <w:lang w:val="es-ES_tradnl"/>
        </w:rPr>
        <w:t>Resultan</w:t>
      </w:r>
      <w:r w:rsidR="00B14987" w:rsidRPr="00BC16BD">
        <w:rPr>
          <w:rFonts w:ascii="Palatino Linotype" w:hAnsi="Palatino Linotype" w:cs="Arial"/>
          <w:lang w:val="es-ES_tradnl"/>
        </w:rPr>
        <w:t xml:space="preserve"> </w:t>
      </w:r>
      <w:r w:rsidRPr="00BC16BD">
        <w:rPr>
          <w:rFonts w:ascii="Palatino Linotype" w:hAnsi="Palatino Linotype" w:cs="Arial"/>
          <w:lang w:val="es-ES_tradnl"/>
        </w:rPr>
        <w:t>fundadas las</w:t>
      </w:r>
      <w:r w:rsidRPr="00BC16BD">
        <w:rPr>
          <w:rFonts w:ascii="Palatino Linotype" w:hAnsi="Palatino Linotype" w:cs="Arial"/>
          <w:b/>
          <w:lang w:val="es-ES_tradnl"/>
        </w:rPr>
        <w:t xml:space="preserve"> </w:t>
      </w:r>
      <w:r w:rsidRPr="00BC16BD">
        <w:rPr>
          <w:rFonts w:ascii="Palatino Linotype" w:hAnsi="Palatino Linotype" w:cs="Arial"/>
          <w:lang w:val="es-ES_tradnl"/>
        </w:rPr>
        <w:t xml:space="preserve">razones y motivos de inconformidad hechos valer </w:t>
      </w:r>
      <w:r w:rsidRPr="00BC16BD">
        <w:rPr>
          <w:rFonts w:ascii="Palatino Linotype" w:eastAsia="Calibri" w:hAnsi="Palatino Linotype" w:cs="Arial"/>
          <w:lang w:val="es-ES_tradnl"/>
        </w:rPr>
        <w:t>en el recurso de revisión</w:t>
      </w:r>
      <w:r w:rsidR="00602229" w:rsidRPr="00602229">
        <w:rPr>
          <w:rFonts w:ascii="Verdana" w:hAnsi="Verdana"/>
          <w:b/>
          <w:bCs/>
          <w:color w:val="FF0000"/>
        </w:rPr>
        <w:t xml:space="preserve"> </w:t>
      </w:r>
      <w:r w:rsidR="00602229" w:rsidRPr="00602229">
        <w:rPr>
          <w:rFonts w:ascii="Palatino Linotype" w:eastAsia="Calibri" w:hAnsi="Palatino Linotype" w:cs="Arial"/>
          <w:b/>
          <w:bCs/>
        </w:rPr>
        <w:t>06373/INFOEM/IP/RR/2021</w:t>
      </w:r>
      <w:r w:rsidRPr="00BC16BD">
        <w:rPr>
          <w:rFonts w:ascii="Palatino Linotype" w:eastAsiaTheme="minorEastAsia" w:hAnsi="Palatino Linotype" w:cs="Arial"/>
          <w:b/>
          <w:bCs/>
          <w:lang w:val="es-ES_tradnl"/>
        </w:rPr>
        <w:t xml:space="preserve">, </w:t>
      </w:r>
      <w:r w:rsidR="00B95CDD" w:rsidRPr="00BC16BD">
        <w:rPr>
          <w:rFonts w:ascii="Palatino Linotype" w:eastAsiaTheme="minorEastAsia" w:hAnsi="Palatino Linotype" w:cs="Arial"/>
          <w:bCs/>
          <w:lang w:val="es-ES_tradnl"/>
        </w:rPr>
        <w:t>en términos de</w:t>
      </w:r>
      <w:r w:rsidR="00602229">
        <w:rPr>
          <w:rFonts w:ascii="Palatino Linotype" w:eastAsiaTheme="minorEastAsia" w:hAnsi="Palatino Linotype" w:cs="Arial"/>
          <w:bCs/>
          <w:lang w:val="es-ES_tradnl"/>
        </w:rPr>
        <w:t xml:space="preserve"> </w:t>
      </w:r>
      <w:r w:rsidR="00B95CDD" w:rsidRPr="00BC16BD">
        <w:rPr>
          <w:rFonts w:ascii="Palatino Linotype" w:eastAsiaTheme="minorEastAsia" w:hAnsi="Palatino Linotype" w:cs="Arial"/>
          <w:bCs/>
          <w:lang w:val="es-ES_tradnl"/>
        </w:rPr>
        <w:t>l</w:t>
      </w:r>
      <w:r w:rsidR="00602229">
        <w:rPr>
          <w:rFonts w:ascii="Palatino Linotype" w:eastAsiaTheme="minorEastAsia" w:hAnsi="Palatino Linotype" w:cs="Arial"/>
          <w:bCs/>
          <w:lang w:val="es-ES_tradnl"/>
        </w:rPr>
        <w:t>os</w:t>
      </w:r>
      <w:r w:rsidR="0077107A" w:rsidRPr="00BC16BD">
        <w:rPr>
          <w:rFonts w:ascii="Palatino Linotype" w:eastAsiaTheme="minorEastAsia" w:hAnsi="Palatino Linotype" w:cs="Arial"/>
          <w:bCs/>
          <w:lang w:val="es-ES_tradnl"/>
        </w:rPr>
        <w:t xml:space="preserve"> </w:t>
      </w:r>
      <w:r w:rsidRPr="00BC16BD">
        <w:rPr>
          <w:rFonts w:ascii="Palatino Linotype" w:eastAsiaTheme="minorEastAsia" w:hAnsi="Palatino Linotype" w:cs="Arial"/>
          <w:b/>
          <w:bCs/>
          <w:lang w:val="es-ES_tradnl"/>
        </w:rPr>
        <w:t>Considerando</w:t>
      </w:r>
      <w:r w:rsidR="00F86921" w:rsidRPr="00BC16BD">
        <w:rPr>
          <w:rFonts w:ascii="Palatino Linotype" w:eastAsiaTheme="minorEastAsia" w:hAnsi="Palatino Linotype" w:cs="Arial"/>
          <w:b/>
          <w:bCs/>
          <w:lang w:val="es-ES_tradnl"/>
        </w:rPr>
        <w:t>s</w:t>
      </w:r>
      <w:r w:rsidRPr="00BC16BD">
        <w:rPr>
          <w:rFonts w:ascii="Palatino Linotype" w:eastAsiaTheme="minorEastAsia" w:hAnsi="Palatino Linotype" w:cs="Arial"/>
          <w:bCs/>
          <w:lang w:val="es-ES_tradnl"/>
        </w:rPr>
        <w:t xml:space="preserve"> </w:t>
      </w:r>
      <w:r w:rsidR="00B95CDD" w:rsidRPr="00BC16BD">
        <w:rPr>
          <w:rFonts w:ascii="Palatino Linotype" w:eastAsiaTheme="minorEastAsia" w:hAnsi="Palatino Linotype" w:cs="Arial"/>
          <w:b/>
          <w:bCs/>
          <w:lang w:val="es-ES_tradnl"/>
        </w:rPr>
        <w:t>CUARTO</w:t>
      </w:r>
      <w:r w:rsidR="00F86921" w:rsidRPr="00BC16BD">
        <w:rPr>
          <w:rFonts w:ascii="Palatino Linotype" w:eastAsiaTheme="minorEastAsia" w:hAnsi="Palatino Linotype" w:cs="Arial"/>
          <w:b/>
          <w:bCs/>
          <w:lang w:val="es-ES_tradnl"/>
        </w:rPr>
        <w:t xml:space="preserve"> y QUINTO</w:t>
      </w:r>
      <w:r w:rsidRPr="00BC16BD">
        <w:rPr>
          <w:rFonts w:ascii="Palatino Linotype" w:eastAsiaTheme="minorEastAsia" w:hAnsi="Palatino Linotype" w:cs="Arial"/>
          <w:b/>
          <w:bCs/>
          <w:lang w:val="es-ES_tradnl"/>
        </w:rPr>
        <w:t xml:space="preserve"> </w:t>
      </w:r>
      <w:r w:rsidRPr="00BC16BD">
        <w:rPr>
          <w:rFonts w:ascii="Palatino Linotype" w:eastAsiaTheme="minorEastAsia" w:hAnsi="Palatino Linotype" w:cs="Arial"/>
          <w:bCs/>
          <w:lang w:val="es-ES_tradnl"/>
        </w:rPr>
        <w:t>de la presente resolución.</w:t>
      </w:r>
    </w:p>
    <w:p w14:paraId="00AACAFE" w14:textId="7311A486" w:rsidR="00DC76A4" w:rsidRDefault="00985D90" w:rsidP="00BC16BD">
      <w:pPr>
        <w:spacing w:before="240" w:line="360" w:lineRule="auto"/>
        <w:jc w:val="both"/>
        <w:rPr>
          <w:rFonts w:ascii="Palatino Linotype" w:eastAsia="MS Mincho" w:hAnsi="Palatino Linotype" w:cs="Arial"/>
          <w:lang w:val="es-MX"/>
        </w:rPr>
      </w:pPr>
      <w:bookmarkStart w:id="138" w:name="_Toc477891768"/>
      <w:bookmarkStart w:id="139" w:name="_Toc477891858"/>
      <w:bookmarkStart w:id="140" w:name="_Toc481576259"/>
      <w:bookmarkStart w:id="141" w:name="_Toc492590391"/>
      <w:bookmarkStart w:id="142" w:name="_Toc462653937"/>
      <w:bookmarkStart w:id="143" w:name="_Toc453696502"/>
      <w:bookmarkStart w:id="144" w:name="_Toc454301155"/>
      <w:r w:rsidRPr="00BC16BD">
        <w:rPr>
          <w:rFonts w:ascii="Palatino Linotype" w:eastAsiaTheme="minorEastAsia" w:hAnsi="Palatino Linotype" w:cstheme="minorBidi"/>
          <w:b/>
          <w:lang w:val="es-ES_tradnl"/>
        </w:rPr>
        <w:lastRenderedPageBreak/>
        <w:t>SEGUNDO.</w:t>
      </w:r>
      <w:r w:rsidRPr="00BC16BD">
        <w:rPr>
          <w:rFonts w:ascii="Palatino Linotype" w:eastAsiaTheme="majorEastAsia" w:hAnsi="Palatino Linotype" w:cstheme="majorBidi"/>
          <w:b/>
          <w:color w:val="365F91" w:themeColor="accent1" w:themeShade="BF"/>
          <w:lang w:val="es-MX" w:eastAsia="en-US"/>
        </w:rPr>
        <w:t xml:space="preserve"> </w:t>
      </w:r>
      <w:bookmarkEnd w:id="138"/>
      <w:bookmarkEnd w:id="139"/>
      <w:bookmarkEnd w:id="140"/>
      <w:bookmarkEnd w:id="141"/>
      <w:bookmarkEnd w:id="142"/>
      <w:bookmarkEnd w:id="143"/>
      <w:bookmarkEnd w:id="144"/>
      <w:r w:rsidRPr="00BC16BD">
        <w:rPr>
          <w:rFonts w:ascii="Palatino Linotype" w:eastAsia="Calibri" w:hAnsi="Palatino Linotype" w:cs="Arial"/>
          <w:lang w:val="es-ES_tradnl"/>
        </w:rPr>
        <w:t>Se</w:t>
      </w:r>
      <w:r w:rsidR="00B95CDD" w:rsidRPr="00BC16BD">
        <w:rPr>
          <w:rFonts w:ascii="Palatino Linotype" w:eastAsia="Calibri" w:hAnsi="Palatino Linotype" w:cs="Arial"/>
          <w:b/>
          <w:lang w:val="es-ES_tradnl"/>
        </w:rPr>
        <w:t xml:space="preserve"> MODIFICA</w:t>
      </w:r>
      <w:r w:rsidR="009015DD" w:rsidRPr="00BC16BD">
        <w:rPr>
          <w:rFonts w:ascii="Palatino Linotype" w:eastAsia="Calibri" w:hAnsi="Palatino Linotype" w:cs="Arial"/>
          <w:b/>
          <w:lang w:val="es-ES_tradnl"/>
        </w:rPr>
        <w:t xml:space="preserve"> </w:t>
      </w:r>
      <w:r w:rsidR="00B14987" w:rsidRPr="00BC16BD">
        <w:rPr>
          <w:rFonts w:ascii="Palatino Linotype" w:eastAsia="Calibri" w:hAnsi="Palatino Linotype" w:cs="Arial"/>
          <w:lang w:val="es-ES_tradnl"/>
        </w:rPr>
        <w:t xml:space="preserve">la respuesta emitida por la </w:t>
      </w:r>
      <w:r w:rsidR="00602229" w:rsidRPr="00602229">
        <w:rPr>
          <w:rFonts w:ascii="Palatino Linotype" w:eastAsia="Calibri" w:hAnsi="Palatino Linotype" w:cs="Arial"/>
          <w:b/>
          <w:lang w:val="es-ES_tradnl"/>
        </w:rPr>
        <w:t>Ayuntamiento de Papalotla</w:t>
      </w:r>
      <w:r w:rsidR="00602229">
        <w:rPr>
          <w:rFonts w:ascii="Palatino Linotype" w:eastAsia="Calibri" w:hAnsi="Palatino Linotype" w:cs="Arial"/>
          <w:lang w:val="es-ES_tradnl"/>
        </w:rPr>
        <w:t xml:space="preserve"> </w:t>
      </w:r>
      <w:r w:rsidRPr="00BC16BD">
        <w:rPr>
          <w:rFonts w:ascii="Palatino Linotype" w:eastAsia="Calibri" w:hAnsi="Palatino Linotype" w:cs="Arial"/>
          <w:lang w:val="es-ES_tradnl"/>
        </w:rPr>
        <w:t>y se</w:t>
      </w:r>
      <w:r w:rsidRPr="00BC16BD">
        <w:rPr>
          <w:rFonts w:ascii="Palatino Linotype" w:eastAsia="Calibri" w:hAnsi="Palatino Linotype" w:cs="Arial"/>
          <w:b/>
          <w:lang w:val="es-ES_tradnl"/>
        </w:rPr>
        <w:t xml:space="preserve"> ORDENA </w:t>
      </w:r>
      <w:r w:rsidRPr="00BC16BD">
        <w:rPr>
          <w:rFonts w:ascii="Palatino Linotype" w:hAnsi="Palatino Linotype" w:cs="Arial"/>
          <w:lang w:val="es-ES_tradnl"/>
        </w:rPr>
        <w:t xml:space="preserve">entregar vía Sistema de Acceso a la Información Mexiquense </w:t>
      </w:r>
      <w:r w:rsidR="0077107A" w:rsidRPr="00BC16BD">
        <w:rPr>
          <w:rFonts w:ascii="Palatino Linotype" w:hAnsi="Palatino Linotype" w:cs="Arial"/>
          <w:b/>
          <w:lang w:val="es-ES_tradnl"/>
        </w:rPr>
        <w:t>(SAIMEX)</w:t>
      </w:r>
      <w:r w:rsidR="0049105B" w:rsidRPr="00BC16BD">
        <w:rPr>
          <w:rFonts w:ascii="Palatino Linotype" w:eastAsia="MS Mincho" w:hAnsi="Palatino Linotype" w:cs="Arial"/>
          <w:lang w:val="es-MX"/>
        </w:rPr>
        <w:t>,</w:t>
      </w:r>
      <w:r w:rsidR="002D0878" w:rsidRPr="00BC16BD">
        <w:rPr>
          <w:rFonts w:ascii="Palatino Linotype" w:eastAsia="MS Mincho" w:hAnsi="Palatino Linotype" w:cs="Arial"/>
          <w:lang w:val="es-MX"/>
        </w:rPr>
        <w:t xml:space="preserve"> </w:t>
      </w:r>
      <w:r w:rsidR="000B07E5" w:rsidRPr="00BC16BD">
        <w:rPr>
          <w:rFonts w:ascii="Palatino Linotype" w:eastAsia="MS Mincho" w:hAnsi="Palatino Linotype" w:cs="Arial"/>
          <w:lang w:val="es-MX"/>
        </w:rPr>
        <w:t>en versión pública</w:t>
      </w:r>
      <w:r w:rsidR="00892AF9" w:rsidRPr="00BC16BD">
        <w:rPr>
          <w:rFonts w:ascii="Palatino Linotype" w:eastAsia="MS Mincho" w:hAnsi="Palatino Linotype" w:cs="Arial"/>
          <w:lang w:val="es-MX"/>
        </w:rPr>
        <w:t xml:space="preserve"> de ser procedente</w:t>
      </w:r>
      <w:r w:rsidR="00B14987" w:rsidRPr="00BC16BD">
        <w:rPr>
          <w:rFonts w:ascii="Palatino Linotype" w:eastAsia="MS Mincho" w:hAnsi="Palatino Linotype" w:cs="Arial"/>
          <w:lang w:val="es-MX"/>
        </w:rPr>
        <w:t>,</w:t>
      </w:r>
      <w:r w:rsidR="00A272BC" w:rsidRPr="00BC16BD">
        <w:rPr>
          <w:rFonts w:ascii="Palatino Linotype" w:eastAsia="MS Mincho" w:hAnsi="Palatino Linotype" w:cs="Arial"/>
          <w:lang w:val="es-MX"/>
        </w:rPr>
        <w:t xml:space="preserve"> la siguiente información</w:t>
      </w:r>
      <w:r w:rsidR="00F85D73" w:rsidRPr="00BC16BD">
        <w:rPr>
          <w:rFonts w:ascii="Palatino Linotype" w:eastAsia="MS Mincho" w:hAnsi="Palatino Linotype" w:cs="Arial"/>
          <w:lang w:val="es-MX"/>
        </w:rPr>
        <w:t xml:space="preserve">: </w:t>
      </w:r>
      <w:r w:rsidR="00B14987" w:rsidRPr="00BC16BD">
        <w:rPr>
          <w:rFonts w:ascii="Palatino Linotype" w:eastAsia="MS Mincho" w:hAnsi="Palatino Linotype" w:cs="Arial"/>
          <w:lang w:val="es-MX"/>
        </w:rPr>
        <w:t xml:space="preserve"> </w:t>
      </w:r>
    </w:p>
    <w:p w14:paraId="5FB9F360" w14:textId="77777777" w:rsidR="00C971BA" w:rsidRDefault="00C971BA" w:rsidP="00602229">
      <w:pPr>
        <w:spacing w:before="240" w:line="360" w:lineRule="auto"/>
        <w:ind w:right="738"/>
        <w:jc w:val="both"/>
        <w:rPr>
          <w:rFonts w:ascii="Palatino Linotype" w:eastAsia="MS Mincho" w:hAnsi="Palatino Linotype" w:cs="Arial"/>
          <w:lang w:val="es-MX"/>
        </w:rPr>
      </w:pPr>
    </w:p>
    <w:p w14:paraId="01EB1C25" w14:textId="2622872F" w:rsidR="00DC76A4" w:rsidRPr="00BC16BD" w:rsidRDefault="00602229" w:rsidP="00602229">
      <w:pPr>
        <w:pStyle w:val="Prrafodelista"/>
        <w:numPr>
          <w:ilvl w:val="1"/>
          <w:numId w:val="38"/>
        </w:numPr>
        <w:spacing w:after="160" w:line="360" w:lineRule="auto"/>
        <w:ind w:left="900" w:right="738"/>
        <w:contextualSpacing/>
        <w:jc w:val="both"/>
        <w:rPr>
          <w:rFonts w:ascii="Palatino Linotype" w:eastAsia="Calibri" w:hAnsi="Palatino Linotype"/>
          <w:b/>
          <w:lang w:val="es-MX" w:eastAsia="en-US"/>
        </w:rPr>
      </w:pPr>
      <w:r>
        <w:rPr>
          <w:rFonts w:ascii="Palatino Linotype" w:eastAsia="Calibri" w:hAnsi="Palatino Linotype"/>
          <w:b/>
          <w:lang w:val="es-MX" w:eastAsia="en-US"/>
        </w:rPr>
        <w:t xml:space="preserve">Convenio </w:t>
      </w:r>
      <w:r w:rsidR="00DC76A4" w:rsidRPr="00BC16BD">
        <w:rPr>
          <w:rFonts w:ascii="Palatino Linotype" w:eastAsia="Calibri" w:hAnsi="Palatino Linotype"/>
          <w:b/>
          <w:lang w:val="es-MX" w:eastAsia="en-US"/>
        </w:rPr>
        <w:t>(s) para la recaudación de</w:t>
      </w:r>
      <w:r w:rsidR="00DC76A4">
        <w:rPr>
          <w:rFonts w:ascii="Palatino Linotype" w:eastAsia="Calibri" w:hAnsi="Palatino Linotype"/>
          <w:b/>
          <w:lang w:val="es-MX" w:eastAsia="en-US"/>
        </w:rPr>
        <w:t>l Derecho de Alumbrado Público</w:t>
      </w:r>
      <w:r w:rsidR="00DC76A4" w:rsidRPr="00BC16BD">
        <w:rPr>
          <w:rFonts w:ascii="Palatino Linotype" w:eastAsia="Calibri" w:hAnsi="Palatino Linotype"/>
          <w:b/>
          <w:lang w:val="es-MX" w:eastAsia="en-US"/>
        </w:rPr>
        <w:t xml:space="preserve">, </w:t>
      </w:r>
      <w:r w:rsidR="00C971BA">
        <w:rPr>
          <w:rFonts w:ascii="Palatino Linotype" w:eastAsia="Calibri" w:hAnsi="Palatino Linotype"/>
          <w:b/>
          <w:lang w:val="es-MX" w:eastAsia="en-US"/>
        </w:rPr>
        <w:t xml:space="preserve">suscritos </w:t>
      </w:r>
      <w:r w:rsidR="00DC76A4" w:rsidRPr="00BC16BD">
        <w:rPr>
          <w:rFonts w:ascii="Palatino Linotype" w:eastAsia="Calibri" w:hAnsi="Palatino Linotype"/>
          <w:b/>
          <w:lang w:val="es-MX" w:eastAsia="en-US"/>
        </w:rPr>
        <w:t>entre la Comisión Federal de Electricidad y el Ayuntamiento de Papalotla</w:t>
      </w:r>
      <w:r>
        <w:rPr>
          <w:rFonts w:ascii="Palatino Linotype" w:eastAsia="Calibri" w:hAnsi="Palatino Linotype"/>
          <w:b/>
          <w:lang w:val="es-MX" w:eastAsia="en-US"/>
        </w:rPr>
        <w:t xml:space="preserve">, </w:t>
      </w:r>
      <w:r w:rsidR="00DC76A4" w:rsidRPr="00BC16BD">
        <w:rPr>
          <w:rFonts w:ascii="Palatino Linotype" w:eastAsia="Calibri" w:hAnsi="Palatino Linotype"/>
          <w:b/>
          <w:lang w:val="es-MX" w:eastAsia="en-US"/>
        </w:rPr>
        <w:t>del primero (01) de enero de d</w:t>
      </w:r>
      <w:r w:rsidR="00CC78B7">
        <w:rPr>
          <w:rFonts w:ascii="Palatino Linotype" w:eastAsia="Calibri" w:hAnsi="Palatino Linotype"/>
          <w:b/>
          <w:lang w:val="es-MX" w:eastAsia="en-US"/>
        </w:rPr>
        <w:t>os mil dieciocho al veintidós (22</w:t>
      </w:r>
      <w:r w:rsidR="00DC76A4" w:rsidRPr="00BC16BD">
        <w:rPr>
          <w:rFonts w:ascii="Palatino Linotype" w:eastAsia="Calibri" w:hAnsi="Palatino Linotype"/>
          <w:b/>
          <w:lang w:val="es-MX" w:eastAsia="en-US"/>
        </w:rPr>
        <w:t>)</w:t>
      </w:r>
      <w:r>
        <w:rPr>
          <w:rFonts w:ascii="Palatino Linotype" w:eastAsia="Calibri" w:hAnsi="Palatino Linotype"/>
          <w:b/>
          <w:lang w:val="es-MX" w:eastAsia="en-US"/>
        </w:rPr>
        <w:t xml:space="preserve"> de noviembre</w:t>
      </w:r>
      <w:r w:rsidR="00DC76A4" w:rsidRPr="00BC16BD">
        <w:rPr>
          <w:rFonts w:ascii="Palatino Linotype" w:eastAsia="Calibri" w:hAnsi="Palatino Linotype"/>
          <w:b/>
          <w:lang w:val="es-MX" w:eastAsia="en-US"/>
        </w:rPr>
        <w:t xml:space="preserve"> de dos mil veintiuno. </w:t>
      </w:r>
    </w:p>
    <w:p w14:paraId="33A35F14" w14:textId="77777777" w:rsidR="00DC76A4" w:rsidRPr="00BC16BD" w:rsidRDefault="00DC76A4" w:rsidP="00602229">
      <w:pPr>
        <w:pStyle w:val="Prrafodelista"/>
        <w:spacing w:after="160" w:line="360" w:lineRule="auto"/>
        <w:ind w:left="900" w:right="738" w:hanging="360"/>
        <w:contextualSpacing/>
        <w:jc w:val="both"/>
        <w:rPr>
          <w:rFonts w:ascii="Palatino Linotype" w:eastAsia="Calibri" w:hAnsi="Palatino Linotype"/>
          <w:b/>
          <w:lang w:val="es-MX" w:eastAsia="en-US"/>
        </w:rPr>
      </w:pPr>
    </w:p>
    <w:p w14:paraId="1D835F7B" w14:textId="18CF8004" w:rsidR="00DC76A4" w:rsidRPr="00DC76A4" w:rsidRDefault="00DC76A4" w:rsidP="00602229">
      <w:pPr>
        <w:pStyle w:val="Prrafodelista"/>
        <w:numPr>
          <w:ilvl w:val="1"/>
          <w:numId w:val="38"/>
        </w:numPr>
        <w:spacing w:after="160" w:line="360" w:lineRule="auto"/>
        <w:ind w:left="900" w:right="738"/>
        <w:contextualSpacing/>
        <w:jc w:val="both"/>
        <w:rPr>
          <w:rFonts w:ascii="Palatino Linotype" w:eastAsia="Calibri" w:hAnsi="Palatino Linotype"/>
          <w:lang w:val="es-MX" w:eastAsia="en-US"/>
        </w:rPr>
      </w:pPr>
      <w:r>
        <w:rPr>
          <w:rFonts w:ascii="Palatino Linotype" w:hAnsi="Palatino Linotype"/>
          <w:b/>
          <w:lang w:val="es-MX"/>
        </w:rPr>
        <w:t>Facturas, pólizas contables o documento análogo, donde conste el</w:t>
      </w:r>
      <w:r w:rsidR="00602229">
        <w:rPr>
          <w:rFonts w:ascii="Palatino Linotype" w:hAnsi="Palatino Linotype"/>
          <w:b/>
          <w:lang w:val="es-MX"/>
        </w:rPr>
        <w:t xml:space="preserve"> egreso </w:t>
      </w:r>
      <w:r>
        <w:rPr>
          <w:rFonts w:ascii="Palatino Linotype" w:hAnsi="Palatino Linotype"/>
          <w:b/>
          <w:lang w:val="es-MX"/>
        </w:rPr>
        <w:t xml:space="preserve">e ingreso presupuestal por concepto del </w:t>
      </w:r>
      <w:r w:rsidRPr="00DC76A4">
        <w:rPr>
          <w:rFonts w:ascii="Palatino Linotype" w:hAnsi="Palatino Linotype"/>
          <w:b/>
          <w:lang w:val="es-MX"/>
        </w:rPr>
        <w:t xml:space="preserve">Derecho de Alumbrado Público </w:t>
      </w:r>
      <w:r>
        <w:rPr>
          <w:rFonts w:ascii="Palatino Linotype" w:hAnsi="Palatino Linotype"/>
          <w:b/>
          <w:lang w:val="es-MX"/>
        </w:rPr>
        <w:t xml:space="preserve">del </w:t>
      </w:r>
      <w:r w:rsidRPr="00DC76A4">
        <w:rPr>
          <w:rFonts w:ascii="Palatino Linotype" w:hAnsi="Palatino Linotype"/>
          <w:b/>
          <w:lang w:val="es-MX"/>
        </w:rPr>
        <w:t>primero (01) de enero de dos mil diecio</w:t>
      </w:r>
      <w:r w:rsidR="00CC78B7">
        <w:rPr>
          <w:rFonts w:ascii="Palatino Linotype" w:hAnsi="Palatino Linotype"/>
          <w:b/>
          <w:lang w:val="es-MX"/>
        </w:rPr>
        <w:t>cho al veintidós (22</w:t>
      </w:r>
      <w:r w:rsidRPr="00DC76A4">
        <w:rPr>
          <w:rFonts w:ascii="Palatino Linotype" w:hAnsi="Palatino Linotype"/>
          <w:b/>
          <w:lang w:val="es-MX"/>
        </w:rPr>
        <w:t>)</w:t>
      </w:r>
      <w:r w:rsidR="00602229">
        <w:rPr>
          <w:rFonts w:ascii="Palatino Linotype" w:hAnsi="Palatino Linotype"/>
          <w:b/>
          <w:lang w:val="es-MX"/>
        </w:rPr>
        <w:t xml:space="preserve"> de noviembre </w:t>
      </w:r>
      <w:r w:rsidRPr="00DC76A4">
        <w:rPr>
          <w:rFonts w:ascii="Palatino Linotype" w:hAnsi="Palatino Linotype"/>
          <w:b/>
          <w:lang w:val="es-MX"/>
        </w:rPr>
        <w:t>de dos mil veintiuno.</w:t>
      </w:r>
    </w:p>
    <w:p w14:paraId="5A854730" w14:textId="2908D65C" w:rsidR="00DC76A4" w:rsidRPr="00BC16BD" w:rsidRDefault="00DC76A4" w:rsidP="00BC16BD">
      <w:pPr>
        <w:spacing w:before="240" w:line="360" w:lineRule="auto"/>
        <w:jc w:val="both"/>
        <w:rPr>
          <w:rFonts w:ascii="Palatino Linotype" w:eastAsia="MS Mincho" w:hAnsi="Palatino Linotype" w:cs="Arial"/>
          <w:lang w:val="es-MX"/>
        </w:rPr>
      </w:pPr>
    </w:p>
    <w:p w14:paraId="53C2BD4B" w14:textId="137FFB1C" w:rsidR="00B14987" w:rsidRDefault="002D0878" w:rsidP="00BC16BD">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BC16BD">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2FD12E20" w14:textId="0FB3D487" w:rsidR="00624241" w:rsidRDefault="00624241" w:rsidP="00BC16BD">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294A36DA" w14:textId="7CB27BFB" w:rsidR="00B14987" w:rsidRPr="00624241" w:rsidRDefault="00624241" w:rsidP="00624241">
      <w:pPr>
        <w:tabs>
          <w:tab w:val="left" w:pos="7088"/>
        </w:tabs>
        <w:autoSpaceDE w:val="0"/>
        <w:autoSpaceDN w:val="0"/>
        <w:adjustRightInd w:val="0"/>
        <w:spacing w:line="360" w:lineRule="auto"/>
        <w:ind w:right="49"/>
        <w:contextualSpacing/>
        <w:jc w:val="both"/>
        <w:rPr>
          <w:rFonts w:ascii="Palatino Linotype" w:eastAsia="Calibri" w:hAnsi="Palatino Linotype" w:cs="Arial"/>
        </w:rPr>
      </w:pPr>
      <w:r w:rsidRPr="003A3518">
        <w:rPr>
          <w:rFonts w:ascii="Palatino Linotype" w:eastAsia="Calibri" w:hAnsi="Palatino Linotype"/>
          <w:bCs/>
        </w:rPr>
        <w:t xml:space="preserve">De ser el caso de que la </w:t>
      </w:r>
      <w:r w:rsidRPr="003A3518">
        <w:rPr>
          <w:rFonts w:ascii="Palatino Linotype" w:eastAsia="Calibri" w:hAnsi="Palatino Linotype"/>
          <w:b/>
        </w:rPr>
        <w:t xml:space="preserve">información de la que se ordena hacer entrega </w:t>
      </w:r>
      <w:r w:rsidR="00FF6B2C">
        <w:rPr>
          <w:rFonts w:ascii="Palatino Linotype" w:eastAsia="Calibri" w:hAnsi="Palatino Linotype"/>
          <w:b/>
        </w:rPr>
        <w:t xml:space="preserve">en el inciso </w:t>
      </w:r>
      <w:r w:rsidR="007D47BF">
        <w:rPr>
          <w:rFonts w:ascii="Palatino Linotype" w:eastAsia="Calibri" w:hAnsi="Palatino Linotype"/>
          <w:b/>
        </w:rPr>
        <w:t>“</w:t>
      </w:r>
      <w:r w:rsidR="00FF6B2C">
        <w:rPr>
          <w:rFonts w:ascii="Palatino Linotype" w:eastAsia="Calibri" w:hAnsi="Palatino Linotype"/>
          <w:b/>
        </w:rPr>
        <w:t>a)</w:t>
      </w:r>
      <w:r w:rsidR="007D47BF">
        <w:rPr>
          <w:rFonts w:ascii="Palatino Linotype" w:eastAsia="Calibri" w:hAnsi="Palatino Linotype"/>
          <w:b/>
        </w:rPr>
        <w:t>”</w:t>
      </w:r>
      <w:r w:rsidR="00FF6B2C">
        <w:rPr>
          <w:rFonts w:ascii="Palatino Linotype" w:eastAsia="Calibri" w:hAnsi="Palatino Linotype"/>
          <w:b/>
        </w:rPr>
        <w:t xml:space="preserve"> </w:t>
      </w:r>
      <w:r w:rsidRPr="003A3518">
        <w:rPr>
          <w:rFonts w:ascii="Palatino Linotype" w:eastAsia="Calibri" w:hAnsi="Palatino Linotype"/>
          <w:bCs/>
        </w:rPr>
        <w:t>no haya sido generada, poseída o administrada, el </w:t>
      </w:r>
      <w:r w:rsidRPr="003A3518">
        <w:rPr>
          <w:rFonts w:ascii="Palatino Linotype" w:eastAsia="Calibri" w:hAnsi="Palatino Linotype"/>
          <w:b/>
          <w:bCs/>
        </w:rPr>
        <w:t xml:space="preserve">SUJETO </w:t>
      </w:r>
      <w:r w:rsidRPr="003A3518">
        <w:rPr>
          <w:rFonts w:ascii="Palatino Linotype" w:eastAsia="Calibri" w:hAnsi="Palatino Linotype"/>
          <w:b/>
          <w:bCs/>
        </w:rPr>
        <w:lastRenderedPageBreak/>
        <w:t>OBLIGADO </w:t>
      </w:r>
      <w:r w:rsidRPr="003A3518">
        <w:rPr>
          <w:rFonts w:ascii="Palatino Linotype" w:eastAsia="Calibri" w:hAnsi="Palatino Linotype"/>
          <w:bCs/>
        </w:rPr>
        <w:t>deberá manifestar de manera clara y precisa las razones que expliquen las causas por las cuales no se haya generado, poseído o administrado.</w:t>
      </w:r>
    </w:p>
    <w:p w14:paraId="7833DA77" w14:textId="77777777" w:rsidR="00397B04" w:rsidRPr="00BC16BD" w:rsidRDefault="00397B04" w:rsidP="00BC16BD">
      <w:pPr>
        <w:shd w:val="clear" w:color="auto" w:fill="FFFFFF"/>
        <w:spacing w:before="240" w:line="360" w:lineRule="auto"/>
        <w:ind w:right="49"/>
        <w:jc w:val="both"/>
        <w:rPr>
          <w:rFonts w:ascii="Palatino Linotype" w:hAnsi="Palatino Linotype" w:cs="Arial"/>
          <w:b/>
          <w:bCs/>
          <w:color w:val="222222"/>
          <w:lang w:val="es-ES_tradnl" w:eastAsia="es-MX"/>
        </w:rPr>
      </w:pPr>
      <w:r w:rsidRPr="00BC16BD">
        <w:rPr>
          <w:rFonts w:ascii="Palatino Linotype" w:hAnsi="Palatino Linotype" w:cs="Arial"/>
          <w:b/>
          <w:bCs/>
          <w:color w:val="222222"/>
          <w:lang w:val="es-ES_tradnl" w:eastAsia="es-MX"/>
        </w:rPr>
        <w:t xml:space="preserve">TERCERO. </w:t>
      </w:r>
      <w:r w:rsidRPr="00BC16BD">
        <w:rPr>
          <w:rFonts w:ascii="Palatino Linotype" w:hAnsi="Palatino Linotype" w:cs="Arial"/>
          <w:b/>
          <w:color w:val="222222"/>
          <w:lang w:val="es-ES_tradnl" w:eastAsia="es-MX"/>
        </w:rPr>
        <w:t>Notifíquese</w:t>
      </w:r>
      <w:r w:rsidRPr="00BC16BD">
        <w:rPr>
          <w:rFonts w:ascii="Palatino Linotype" w:hAnsi="Palatino Linotype" w:cs="Arial"/>
          <w:b/>
          <w:bCs/>
          <w:color w:val="222222"/>
          <w:lang w:val="es-ES_tradnl" w:eastAsia="es-MX"/>
        </w:rPr>
        <w:t xml:space="preserve"> </w:t>
      </w:r>
      <w:r w:rsidRPr="00BC16BD">
        <w:rPr>
          <w:rFonts w:ascii="Palatino Linotype" w:hAnsi="Palatino Linotype" w:cs="Arial"/>
          <w:color w:val="222222"/>
          <w:lang w:val="es-ES_tradnl" w:eastAsia="es-MX"/>
        </w:rPr>
        <w:t xml:space="preserve">al Titular de la Unidad de Transparencia del </w:t>
      </w:r>
      <w:r w:rsidRPr="00BC16BD">
        <w:rPr>
          <w:rFonts w:ascii="Palatino Linotype" w:hAnsi="Palatino Linotype" w:cs="Arial"/>
          <w:b/>
          <w:bCs/>
          <w:color w:val="222222"/>
          <w:lang w:val="es-ES_tradnl" w:eastAsia="es-MX"/>
        </w:rPr>
        <w:t>SUJETO OBLIGADO la presente resolución vía Sistema de Acceso a la Información Mexiquense (SAIMEX)</w:t>
      </w:r>
      <w:r w:rsidRPr="00BC16BD">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850F6CC" w14:textId="77777777" w:rsidR="00397B04" w:rsidRPr="00BC16BD" w:rsidRDefault="00397B04" w:rsidP="00BC16BD">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BC16BD" w:rsidRDefault="00397B04" w:rsidP="00BC16BD">
      <w:pPr>
        <w:shd w:val="clear" w:color="auto" w:fill="FFFFFF"/>
        <w:spacing w:line="360" w:lineRule="auto"/>
        <w:jc w:val="both"/>
        <w:rPr>
          <w:rFonts w:ascii="Palatino Linotype" w:eastAsia="MS Mincho" w:hAnsi="Palatino Linotype"/>
          <w:color w:val="000000"/>
          <w:shd w:val="clear" w:color="auto" w:fill="FFFFFF"/>
          <w:lang w:val="es-ES_tradnl"/>
        </w:rPr>
      </w:pPr>
      <w:r w:rsidRPr="00BC16BD">
        <w:rPr>
          <w:rFonts w:ascii="Palatino Linotype" w:eastAsia="Calibri" w:hAnsi="Palatino Linotype" w:cs="Arial"/>
          <w:b/>
          <w:bCs/>
          <w:color w:val="000000"/>
          <w:lang w:val="es-MX" w:eastAsia="en-US"/>
        </w:rPr>
        <w:t>CUARTO.</w:t>
      </w:r>
      <w:r w:rsidRPr="00BC16BD">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BC16BD" w:rsidRDefault="00397B04" w:rsidP="00BC16BD">
      <w:pPr>
        <w:spacing w:line="360" w:lineRule="auto"/>
        <w:rPr>
          <w:rFonts w:ascii="Palatino Linotype" w:eastAsia="MS Mincho" w:hAnsi="Palatino Linotype"/>
        </w:rPr>
      </w:pPr>
    </w:p>
    <w:p w14:paraId="6429D583" w14:textId="77777777" w:rsidR="00397B04" w:rsidRPr="00BC16BD" w:rsidRDefault="00397B04" w:rsidP="00BC16BD">
      <w:pPr>
        <w:shd w:val="clear" w:color="auto" w:fill="FFFFFF"/>
        <w:spacing w:line="360" w:lineRule="auto"/>
        <w:jc w:val="both"/>
        <w:rPr>
          <w:rFonts w:ascii="Palatino Linotype" w:hAnsi="Palatino Linotype"/>
          <w:color w:val="000000" w:themeColor="text1"/>
          <w:lang w:val="es-ES_tradnl"/>
        </w:rPr>
      </w:pPr>
      <w:r w:rsidRPr="00BC16BD">
        <w:rPr>
          <w:rFonts w:ascii="Palatino Linotype" w:hAnsi="Palatino Linotype" w:cs="Arial"/>
          <w:b/>
          <w:lang w:val="es-ES_tradnl"/>
        </w:rPr>
        <w:t xml:space="preserve">QUINTO. </w:t>
      </w:r>
      <w:r w:rsidRPr="00BC16BD">
        <w:rPr>
          <w:rFonts w:ascii="Palatino Linotype" w:hAnsi="Palatino Linotype"/>
          <w:b/>
          <w:bCs/>
          <w:color w:val="222222"/>
        </w:rPr>
        <w:t xml:space="preserve">Notifíquese </w:t>
      </w:r>
      <w:r w:rsidRPr="00BC16BD">
        <w:rPr>
          <w:rFonts w:ascii="Palatino Linotype" w:hAnsi="Palatino Linotype"/>
          <w:bCs/>
          <w:color w:val="222222"/>
        </w:rPr>
        <w:t xml:space="preserve">al </w:t>
      </w:r>
      <w:r w:rsidRPr="00BC16BD">
        <w:rPr>
          <w:rFonts w:ascii="Palatino Linotype" w:hAnsi="Palatino Linotype"/>
          <w:b/>
          <w:bCs/>
          <w:color w:val="222222"/>
        </w:rPr>
        <w:t>RECURRENTE</w:t>
      </w:r>
      <w:r w:rsidRPr="00BC16BD">
        <w:rPr>
          <w:rFonts w:ascii="Palatino Linotype" w:hAnsi="Palatino Linotype"/>
          <w:bCs/>
          <w:color w:val="222222"/>
        </w:rPr>
        <w:t xml:space="preserve"> </w:t>
      </w:r>
      <w:r w:rsidRPr="00BC16BD">
        <w:rPr>
          <w:rFonts w:ascii="Palatino Linotype" w:hAnsi="Palatino Linotype"/>
          <w:lang w:val="es-ES_tradnl"/>
        </w:rPr>
        <w:t xml:space="preserve">la presente resolución vía </w:t>
      </w:r>
      <w:r w:rsidRPr="00BC16BD">
        <w:rPr>
          <w:rFonts w:ascii="Palatino Linotype" w:hAnsi="Palatino Linotype" w:cs="Arial"/>
          <w:lang w:val="es-ES_tradnl"/>
        </w:rPr>
        <w:t xml:space="preserve">Sistema de Acceso a la Información Mexiquense </w:t>
      </w:r>
      <w:r w:rsidRPr="00BC16BD">
        <w:rPr>
          <w:rFonts w:ascii="Palatino Linotype" w:hAnsi="Palatino Linotype" w:cs="Arial"/>
          <w:b/>
          <w:lang w:val="es-ES_tradnl"/>
        </w:rPr>
        <w:t>(SAIMEX).</w:t>
      </w:r>
    </w:p>
    <w:p w14:paraId="33F0FF7F" w14:textId="77777777" w:rsidR="00397B04" w:rsidRPr="00BC16BD" w:rsidRDefault="00397B04" w:rsidP="00BC16BD">
      <w:pPr>
        <w:shd w:val="clear" w:color="auto" w:fill="FFFFFF"/>
        <w:spacing w:line="360" w:lineRule="auto"/>
        <w:jc w:val="both"/>
        <w:rPr>
          <w:rFonts w:ascii="Palatino Linotype" w:hAnsi="Palatino Linotype"/>
          <w:lang w:val="es-ES_tradnl"/>
        </w:rPr>
      </w:pPr>
    </w:p>
    <w:p w14:paraId="3F867D1C" w14:textId="77777777" w:rsidR="00397B04" w:rsidRPr="00BC16BD" w:rsidRDefault="00397B04" w:rsidP="00BC16BD">
      <w:pPr>
        <w:spacing w:line="360" w:lineRule="auto"/>
        <w:jc w:val="both"/>
        <w:rPr>
          <w:rFonts w:ascii="Palatino Linotype" w:hAnsi="Palatino Linotype"/>
          <w:b/>
          <w:lang w:val="es-MX" w:eastAsia="es-MX"/>
        </w:rPr>
      </w:pPr>
      <w:r w:rsidRPr="00BC16BD">
        <w:rPr>
          <w:rFonts w:ascii="Palatino Linotype" w:eastAsia="MS Mincho" w:hAnsi="Palatino Linotype"/>
          <w:b/>
          <w:lang w:val="es-MX"/>
        </w:rPr>
        <w:t>SEXTO.</w:t>
      </w:r>
      <w:r w:rsidRPr="00BC16BD">
        <w:rPr>
          <w:rFonts w:ascii="Palatino Linotype" w:eastAsia="MS Mincho" w:hAnsi="Palatino Linotype"/>
          <w:lang w:val="es-MX"/>
        </w:rPr>
        <w:t xml:space="preserve"> </w:t>
      </w:r>
      <w:r w:rsidRPr="00BC16BD">
        <w:rPr>
          <w:rFonts w:ascii="Palatino Linotype" w:eastAsia="MS Mincho" w:hAnsi="Palatino Linotype"/>
        </w:rPr>
        <w:t xml:space="preserve">Se hace del conocimiento del </w:t>
      </w:r>
      <w:r w:rsidRPr="00BC16BD">
        <w:rPr>
          <w:rFonts w:ascii="Palatino Linotype" w:eastAsia="MS Mincho" w:hAnsi="Palatino Linotype"/>
          <w:b/>
          <w:bCs/>
        </w:rPr>
        <w:t>RECURRENTE</w:t>
      </w:r>
      <w:r w:rsidRPr="00BC16BD">
        <w:rPr>
          <w:rFonts w:ascii="Palatino Linotype" w:hAnsi="Palatino Linotype"/>
          <w:bCs/>
          <w:color w:val="222222"/>
          <w:lang w:val="es-ES_tradnl"/>
        </w:rPr>
        <w:t xml:space="preserve"> </w:t>
      </w:r>
      <w:r w:rsidRPr="00BC16B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C16BD">
        <w:rPr>
          <w:rFonts w:ascii="Palatino Linotype" w:eastAsia="MS Mincho" w:hAnsi="Palatino Linotype"/>
          <w:bCs/>
        </w:rPr>
        <w:t>vía juicio de amparo</w:t>
      </w:r>
      <w:r w:rsidRPr="00BC16BD">
        <w:rPr>
          <w:rFonts w:ascii="Palatino Linotype" w:eastAsia="MS Mincho" w:hAnsi="Palatino Linotype"/>
        </w:rPr>
        <w:t> en los términos de las leyes aplicables.</w:t>
      </w:r>
      <w:r w:rsidRPr="00BC16BD">
        <w:rPr>
          <w:rFonts w:ascii="Palatino Linotype" w:eastAsia="MS Mincho" w:hAnsi="Palatino Linotype"/>
        </w:rPr>
        <w:tab/>
      </w:r>
      <w:r w:rsidRPr="00BC16BD">
        <w:rPr>
          <w:rFonts w:ascii="Palatino Linotype" w:hAnsi="Palatino Linotype"/>
          <w:b/>
          <w:lang w:val="es-MX" w:eastAsia="es-MX"/>
        </w:rPr>
        <w:t xml:space="preserve"> </w:t>
      </w:r>
    </w:p>
    <w:p w14:paraId="39A65755" w14:textId="77777777" w:rsidR="006D5285" w:rsidRDefault="006D5285" w:rsidP="006D5285">
      <w:pPr>
        <w:spacing w:before="240" w:after="240" w:line="360" w:lineRule="auto"/>
        <w:ind w:firstLine="1"/>
        <w:jc w:val="both"/>
        <w:rPr>
          <w:rFonts w:ascii="Palatino Linotype" w:hAnsi="Palatino Linotype"/>
          <w:lang w:val="es-MX"/>
        </w:rPr>
      </w:pPr>
      <w:r>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 </w:t>
      </w:r>
    </w:p>
    <w:p w14:paraId="4453F8E6" w14:textId="0CDC3D99" w:rsidR="00090DE6" w:rsidRPr="00BC16BD" w:rsidRDefault="00090DE6" w:rsidP="00BC16BD">
      <w:pPr>
        <w:spacing w:before="240" w:after="240" w:line="360" w:lineRule="auto"/>
        <w:ind w:firstLine="1"/>
        <w:jc w:val="both"/>
        <w:rPr>
          <w:rFonts w:ascii="Palatino Linotype" w:hAnsi="Palatino Linotype"/>
          <w:lang w:val="es-ES_tradnl"/>
        </w:rPr>
      </w:pPr>
    </w:p>
    <w:sectPr w:rsidR="00090DE6" w:rsidRPr="00BC16BD" w:rsidSect="009F07F4">
      <w:headerReference w:type="default" r:id="rId14"/>
      <w:footerReference w:type="default" r:id="rId15"/>
      <w:headerReference w:type="first" r:id="rId16"/>
      <w:footerReference w:type="first" r:id="rId17"/>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8F7F6" w14:textId="77777777" w:rsidR="00B9298F" w:rsidRDefault="00B9298F" w:rsidP="00C80F8C">
      <w:r>
        <w:separator/>
      </w:r>
    </w:p>
  </w:endnote>
  <w:endnote w:type="continuationSeparator" w:id="0">
    <w:p w14:paraId="17698E68" w14:textId="77777777" w:rsidR="00B9298F" w:rsidRDefault="00B9298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013903DE" w:rsidR="00395DDA" w:rsidRPr="00817AAB" w:rsidRDefault="00395DDA"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7464E">
      <w:rPr>
        <w:rFonts w:ascii="Palatino Linotype" w:hAnsi="Palatino Linotype" w:cs="Arial"/>
        <w:b/>
        <w:bCs/>
        <w:noProof/>
      </w:rPr>
      <w:t>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7464E">
      <w:rPr>
        <w:rFonts w:ascii="Palatino Linotype" w:hAnsi="Palatino Linotype" w:cs="Arial"/>
        <w:b/>
        <w:bCs/>
        <w:noProof/>
      </w:rPr>
      <w:t>63</w:t>
    </w:r>
    <w:r w:rsidRPr="00817AAB">
      <w:rPr>
        <w:rFonts w:ascii="Palatino Linotype" w:hAnsi="Palatino Linotype" w:cs="Arial"/>
        <w:b/>
        <w:bCs/>
      </w:rPr>
      <w:fldChar w:fldCharType="end"/>
    </w:r>
  </w:p>
  <w:p w14:paraId="1192A578" w14:textId="77777777" w:rsidR="00395DDA" w:rsidRDefault="00395DDA" w:rsidP="00935A0D">
    <w:pPr>
      <w:pStyle w:val="Piedepgina"/>
      <w:rPr>
        <w:rFonts w:ascii="Times New Roman" w:hAnsi="Times New Roman" w:cs="Times New Roman"/>
      </w:rPr>
    </w:pPr>
  </w:p>
  <w:p w14:paraId="14A770F8" w14:textId="77777777" w:rsidR="00395DDA" w:rsidRDefault="00395DDA"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19AF3DC4" w:rsidR="00395DDA" w:rsidRDefault="00395DD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7464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7464E">
      <w:rPr>
        <w:rFonts w:ascii="Arial" w:hAnsi="Arial" w:cs="Arial"/>
        <w:b/>
        <w:bCs/>
        <w:noProof/>
        <w:sz w:val="20"/>
        <w:szCs w:val="20"/>
      </w:rPr>
      <w:t>63</w:t>
    </w:r>
    <w:r>
      <w:rPr>
        <w:rFonts w:ascii="Arial" w:hAnsi="Arial" w:cs="Arial"/>
        <w:b/>
        <w:bCs/>
        <w:sz w:val="20"/>
        <w:szCs w:val="20"/>
      </w:rPr>
      <w:fldChar w:fldCharType="end"/>
    </w:r>
  </w:p>
  <w:p w14:paraId="5D98ABD5" w14:textId="77777777" w:rsidR="00395DDA" w:rsidRDefault="00395D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0D316" w14:textId="77777777" w:rsidR="00B9298F" w:rsidRDefault="00B9298F" w:rsidP="00C80F8C">
      <w:r>
        <w:separator/>
      </w:r>
    </w:p>
  </w:footnote>
  <w:footnote w:type="continuationSeparator" w:id="0">
    <w:p w14:paraId="0BD7F4FD" w14:textId="77777777" w:rsidR="00B9298F" w:rsidRDefault="00B9298F" w:rsidP="00C80F8C">
      <w:r>
        <w:continuationSeparator/>
      </w:r>
    </w:p>
  </w:footnote>
  <w:footnote w:id="1">
    <w:p w14:paraId="39D7764F" w14:textId="77777777" w:rsidR="00395DDA" w:rsidRDefault="00395DDA"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395DDA" w:rsidRDefault="00395DDA" w:rsidP="009C4F62">
      <w:pPr>
        <w:pStyle w:val="Textonotapie"/>
        <w:jc w:val="both"/>
        <w:rPr>
          <w:lang w:val="es-ES"/>
        </w:rPr>
      </w:pPr>
      <w:r>
        <w:rPr>
          <w:lang w:val="es-ES"/>
        </w:rPr>
        <w:t>(…)</w:t>
      </w:r>
    </w:p>
    <w:p w14:paraId="64F123DA" w14:textId="150C0AE8" w:rsidR="00395DDA" w:rsidRDefault="00395DDA" w:rsidP="009C4F62">
      <w:pPr>
        <w:pStyle w:val="Textonotapie"/>
        <w:jc w:val="both"/>
        <w:rPr>
          <w:lang w:val="es-ES"/>
        </w:rPr>
      </w:pPr>
      <w:r w:rsidRPr="00A2042B">
        <w:rPr>
          <w:lang w:val="es-ES"/>
        </w:rPr>
        <w:t>V. La entrega de información incompleta;</w:t>
      </w:r>
    </w:p>
    <w:p w14:paraId="1A8DFF2E" w14:textId="27F7B540" w:rsidR="00395DDA" w:rsidRDefault="00395DDA" w:rsidP="009C4F62">
      <w:pPr>
        <w:pStyle w:val="Textonotapie"/>
        <w:jc w:val="both"/>
        <w:rPr>
          <w:lang w:val="es-ES"/>
        </w:rPr>
      </w:pPr>
      <w:r>
        <w:rPr>
          <w:lang w:val="es-ES"/>
        </w:rPr>
        <w:t xml:space="preserve"> (…)</w:t>
      </w:r>
    </w:p>
    <w:p w14:paraId="3EBA8880" w14:textId="5E3164DF" w:rsidR="00395DDA" w:rsidRDefault="00395DDA" w:rsidP="00A2042B">
      <w:pPr>
        <w:pStyle w:val="Textonotapie"/>
        <w:jc w:val="both"/>
        <w:rPr>
          <w:lang w:val="es-ES"/>
        </w:rPr>
      </w:pPr>
    </w:p>
    <w:p w14:paraId="1867D448" w14:textId="3D0D5CA2" w:rsidR="00395DDA" w:rsidRDefault="00395DDA" w:rsidP="009C4F62">
      <w:pPr>
        <w:pStyle w:val="Textonotapie"/>
        <w:jc w:val="both"/>
      </w:pPr>
    </w:p>
  </w:footnote>
  <w:footnote w:id="2">
    <w:p w14:paraId="6E57EC4F" w14:textId="77777777" w:rsidR="00395DDA" w:rsidRPr="00F5102E" w:rsidRDefault="00395DDA" w:rsidP="00C548CF">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3E119021" w14:textId="77777777" w:rsidR="00395DDA" w:rsidRPr="00F5102E" w:rsidRDefault="00395DDA" w:rsidP="00C548CF">
      <w:pPr>
        <w:pStyle w:val="Textonotapie"/>
        <w:jc w:val="both"/>
        <w:rPr>
          <w:rFonts w:ascii="Palatino Linotype" w:hAnsi="Palatino Linotype"/>
        </w:rPr>
      </w:pPr>
      <w:r w:rsidRPr="00F5102E">
        <w:rPr>
          <w:rFonts w:ascii="Palatino Linotype" w:hAnsi="Palatino Linotype"/>
        </w:rPr>
        <w:t>(…)</w:t>
      </w:r>
    </w:p>
    <w:p w14:paraId="42D31E86" w14:textId="77777777" w:rsidR="00395DDA" w:rsidRPr="00F5102E" w:rsidRDefault="00395DDA" w:rsidP="00C548CF">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3846E108" w14:textId="77777777" w:rsidR="00395DDA" w:rsidRPr="00F5102E" w:rsidRDefault="00395DDA" w:rsidP="00C548CF">
      <w:pPr>
        <w:pStyle w:val="Textonotapie"/>
        <w:jc w:val="both"/>
        <w:rPr>
          <w:rFonts w:ascii="Palatino Linotype" w:hAnsi="Palatino Linotype"/>
          <w:lang w:val="es-ES"/>
        </w:rPr>
      </w:pPr>
      <w:r w:rsidRPr="00F5102E">
        <w:rPr>
          <w:rFonts w:ascii="Palatino Linotype" w:hAnsi="Palatino Linotype"/>
          <w:lang w:val="es-ES"/>
        </w:rPr>
        <w:t>(…)</w:t>
      </w:r>
    </w:p>
    <w:p w14:paraId="1233CE65" w14:textId="77777777" w:rsidR="00395DDA" w:rsidRDefault="00395DDA" w:rsidP="00C548CF">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3">
    <w:p w14:paraId="2A96AAF2" w14:textId="77777777" w:rsidR="00395DDA" w:rsidRDefault="00395DDA" w:rsidP="00B1531D">
      <w:pPr>
        <w:pStyle w:val="Textonotapie"/>
        <w:jc w:val="both"/>
      </w:pPr>
      <w:r>
        <w:rPr>
          <w:rStyle w:val="Refdenotaalpie"/>
        </w:rPr>
        <w:footnoteRef/>
      </w:r>
      <w:r>
        <w:t xml:space="preserve"> Artículo 75. La prestación de los servicios públicos municipales estará a cargo del Gobierno Municipal,</w:t>
      </w:r>
    </w:p>
    <w:p w14:paraId="7128CBF8" w14:textId="77777777" w:rsidR="00395DDA" w:rsidRDefault="00395DDA" w:rsidP="00B1531D">
      <w:pPr>
        <w:pStyle w:val="Textonotapie"/>
        <w:jc w:val="both"/>
      </w:pPr>
      <w:r>
        <w:t>quien los prestará de manera directa o descentralizada, o bien podrá otorgar la concesión a particulares</w:t>
      </w:r>
    </w:p>
    <w:p w14:paraId="4525E2ED" w14:textId="77777777" w:rsidR="00395DDA" w:rsidRDefault="00395DDA" w:rsidP="00B1531D">
      <w:pPr>
        <w:pStyle w:val="Textonotapie"/>
        <w:ind w:right="-252"/>
        <w:jc w:val="both"/>
      </w:pPr>
      <w:r>
        <w:t>siempre y cuando exista previo acuerdo del Ayuntamiento y cuando no se trate de los servicios de</w:t>
      </w:r>
    </w:p>
    <w:p w14:paraId="05E84035" w14:textId="7A20F1E2" w:rsidR="00395DDA" w:rsidRDefault="00395DDA" w:rsidP="00B1531D">
      <w:pPr>
        <w:pStyle w:val="Textonotapie"/>
        <w:jc w:val="both"/>
      </w:pPr>
      <w:r>
        <w:t>seguridad pública preventiva, vialidad y aquellos que alteren las estructura y organización municipal.</w:t>
      </w:r>
      <w:r>
        <w:cr/>
      </w:r>
    </w:p>
  </w:footnote>
  <w:footnote w:id="4">
    <w:p w14:paraId="464C3199" w14:textId="77777777" w:rsidR="00395DDA" w:rsidRPr="00FB2052" w:rsidRDefault="00395DDA" w:rsidP="00B92A80">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Artículo 93 de la Ley Orgánica Municipal del Estado de México.</w:t>
      </w:r>
    </w:p>
  </w:footnote>
  <w:footnote w:id="5">
    <w:p w14:paraId="4EE5ADB0" w14:textId="77777777" w:rsidR="00395DDA" w:rsidRPr="00985DD4" w:rsidRDefault="00395DDA" w:rsidP="00464C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C450596" w14:textId="77777777" w:rsidR="00395DDA" w:rsidRPr="00985DD4" w:rsidRDefault="00395DDA" w:rsidP="00464C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5EF444B9" w14:textId="77777777" w:rsidR="00395DDA" w:rsidRPr="00BE13A0" w:rsidRDefault="00395DDA" w:rsidP="00464C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6">
    <w:p w14:paraId="5BFD695D" w14:textId="77777777" w:rsidR="00395DDA" w:rsidRPr="00985DD4" w:rsidRDefault="00395DDA" w:rsidP="00464C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23BFEDCD" w14:textId="77777777" w:rsidR="00395DDA" w:rsidRPr="009F19BE" w:rsidRDefault="00395DDA" w:rsidP="00464C89">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12A339" w14:textId="77777777" w:rsidR="00395DDA" w:rsidRPr="009F19BE" w:rsidRDefault="00395DDA" w:rsidP="00464C89">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8">
    <w:p w14:paraId="070C7BB5" w14:textId="77777777" w:rsidR="00395DDA" w:rsidRPr="009F19BE" w:rsidRDefault="00395DDA" w:rsidP="00464C89">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9">
    <w:p w14:paraId="04F27280" w14:textId="77777777" w:rsidR="00395DDA" w:rsidRPr="00034B44" w:rsidRDefault="00395DDA"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641F3E43" w14:textId="77777777" w:rsidR="00395DDA" w:rsidRPr="00034B44" w:rsidRDefault="00395DDA" w:rsidP="00464C8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DA47F29" w14:textId="77777777" w:rsidR="00395DDA" w:rsidRPr="00034B44" w:rsidRDefault="00395DDA" w:rsidP="00464C8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AAF142C" w14:textId="77777777" w:rsidR="00395DDA" w:rsidRPr="00034B44" w:rsidRDefault="00395DDA" w:rsidP="00464C8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447" w:type="dxa"/>
      <w:tblInd w:w="2964" w:type="dxa"/>
      <w:tblLayout w:type="fixed"/>
      <w:tblLook w:val="04A0" w:firstRow="1" w:lastRow="0" w:firstColumn="1" w:lastColumn="0" w:noHBand="0" w:noVBand="1"/>
    </w:tblPr>
    <w:tblGrid>
      <w:gridCol w:w="2701"/>
      <w:gridCol w:w="3746"/>
    </w:tblGrid>
    <w:tr w:rsidR="00395DDA" w14:paraId="6B4E3B81" w14:textId="77777777" w:rsidTr="00B4299A">
      <w:tc>
        <w:tcPr>
          <w:tcW w:w="2701" w:type="dxa"/>
          <w:vAlign w:val="center"/>
          <w:hideMark/>
        </w:tcPr>
        <w:p w14:paraId="0ABBC6C0" w14:textId="1226DAAF" w:rsidR="00395DDA" w:rsidRPr="00B4299A" w:rsidRDefault="00395DDA"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70B44E1B" w:rsidR="00395DDA" w:rsidRPr="00B4299A" w:rsidRDefault="00395DDA" w:rsidP="006E011A">
          <w:pPr>
            <w:rPr>
              <w:rFonts w:ascii="Palatino Linotype" w:hAnsi="Palatino Linotype"/>
              <w:b/>
              <w:szCs w:val="22"/>
              <w:lang w:val="es-ES_tradnl"/>
            </w:rPr>
          </w:pPr>
          <w:r w:rsidRPr="00AA18DD">
            <w:rPr>
              <w:rFonts w:ascii="Palatino Linotype" w:hAnsi="Palatino Linotype"/>
              <w:b/>
              <w:bCs/>
              <w:szCs w:val="22"/>
            </w:rPr>
            <w:t>06373/INFOEM/IP/RR/2021</w:t>
          </w:r>
        </w:p>
      </w:tc>
    </w:tr>
    <w:tr w:rsidR="00395DDA" w14:paraId="31CB780F" w14:textId="77777777" w:rsidTr="00B4299A">
      <w:trPr>
        <w:trHeight w:val="228"/>
      </w:trPr>
      <w:tc>
        <w:tcPr>
          <w:tcW w:w="2701" w:type="dxa"/>
          <w:vAlign w:val="center"/>
          <w:hideMark/>
        </w:tcPr>
        <w:p w14:paraId="4F49CB4A" w14:textId="6966D32E" w:rsidR="00395DDA" w:rsidRPr="00B4299A" w:rsidRDefault="00395DDA"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CDAD4AF" w:rsidR="00395DDA" w:rsidRPr="00B4299A" w:rsidRDefault="00395DDA" w:rsidP="00EA0165">
          <w:pPr>
            <w:jc w:val="both"/>
            <w:rPr>
              <w:rFonts w:ascii="Palatino Linotype" w:hAnsi="Palatino Linotype"/>
              <w:b/>
              <w:szCs w:val="22"/>
              <w:lang w:val="es-ES_tradnl"/>
            </w:rPr>
          </w:pPr>
          <w:r w:rsidRPr="00AA18DD">
            <w:rPr>
              <w:rFonts w:ascii="Palatino Linotype" w:hAnsi="Palatino Linotype"/>
              <w:b/>
              <w:szCs w:val="22"/>
              <w:lang w:val="es-ES_tradnl"/>
            </w:rPr>
            <w:t>Ayuntamiento de Papalotla</w:t>
          </w:r>
        </w:p>
      </w:tc>
    </w:tr>
    <w:tr w:rsidR="00395DDA" w14:paraId="69050F56" w14:textId="77777777" w:rsidTr="00B4299A">
      <w:tc>
        <w:tcPr>
          <w:tcW w:w="2701" w:type="dxa"/>
          <w:vAlign w:val="center"/>
          <w:hideMark/>
        </w:tcPr>
        <w:p w14:paraId="65C9B735" w14:textId="75C78F81" w:rsidR="00395DDA" w:rsidRPr="00B4299A" w:rsidRDefault="00395DDA"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395DDA" w:rsidRPr="00B4299A" w:rsidRDefault="00395DDA"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395DDA" w:rsidRDefault="00395DDA" w:rsidP="006F30F8">
    <w:pPr>
      <w:pStyle w:val="Encabezado"/>
      <w:tabs>
        <w:tab w:val="clear" w:pos="4252"/>
        <w:tab w:val="clear" w:pos="8504"/>
        <w:tab w:val="left" w:pos="2326"/>
      </w:tabs>
    </w:pPr>
    <w:r>
      <w:rPr>
        <w:noProof/>
        <w:lang w:val="en-US" w:eastAsia="en-US"/>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95DDA" w:rsidRDefault="00395DDA"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786D2B05" w:rsidR="00395DDA" w:rsidRDefault="00395DDA" w:rsidP="00C47D1B">
    <w:pPr>
      <w:pStyle w:val="Encabezado"/>
      <w:jc w:val="both"/>
    </w:pPr>
    <w:r>
      <w:rPr>
        <w:noProof/>
        <w:lang w:val="en-US" w:eastAsia="en-US"/>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395DDA" w14:paraId="477E149B" w14:textId="77777777" w:rsidTr="00CB57FD">
      <w:trPr>
        <w:trHeight w:val="277"/>
      </w:trPr>
      <w:tc>
        <w:tcPr>
          <w:tcW w:w="2693" w:type="dxa"/>
          <w:vAlign w:val="center"/>
          <w:hideMark/>
        </w:tcPr>
        <w:p w14:paraId="5C0586E4" w14:textId="77777777" w:rsidR="00395DDA" w:rsidRPr="009B3353" w:rsidRDefault="00395DDA"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3CECA671" w:rsidR="00395DDA" w:rsidRPr="009B3353" w:rsidRDefault="00395DDA" w:rsidP="00761460">
          <w:pPr>
            <w:rPr>
              <w:rFonts w:ascii="Palatino Linotype" w:hAnsi="Palatino Linotype"/>
              <w:b/>
              <w:szCs w:val="22"/>
              <w:lang w:val="es-ES_tradnl"/>
            </w:rPr>
          </w:pPr>
          <w:r w:rsidRPr="00AA18DD">
            <w:rPr>
              <w:rFonts w:ascii="Palatino Linotype" w:hAnsi="Palatino Linotype"/>
              <w:b/>
              <w:bCs/>
              <w:szCs w:val="22"/>
            </w:rPr>
            <w:t>06373/INFOEM/IP/RR/2021</w:t>
          </w:r>
        </w:p>
      </w:tc>
    </w:tr>
    <w:tr w:rsidR="00395DDA" w14:paraId="5B5BE21C" w14:textId="77777777" w:rsidTr="00CB57FD">
      <w:tc>
        <w:tcPr>
          <w:tcW w:w="2693" w:type="dxa"/>
          <w:vAlign w:val="center"/>
          <w:hideMark/>
        </w:tcPr>
        <w:p w14:paraId="4AE96902" w14:textId="4E063913" w:rsidR="00395DDA" w:rsidRPr="009B3353" w:rsidRDefault="00395DDA"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F5C485A" w:rsidR="00395DDA" w:rsidRPr="009B3353" w:rsidRDefault="0067464E" w:rsidP="002B7BCC">
          <w:pPr>
            <w:rPr>
              <w:rFonts w:ascii="Palatino Linotype" w:hAnsi="Palatino Linotype"/>
              <w:b/>
              <w:szCs w:val="22"/>
              <w:lang w:val="es-ES_tradnl"/>
            </w:rPr>
          </w:pPr>
          <w:r>
            <w:rPr>
              <w:rFonts w:ascii="Palatino Linotype" w:hAnsi="Palatino Linotype"/>
              <w:b/>
              <w:szCs w:val="22"/>
            </w:rPr>
            <w:t>XXXXXXX XXXX XXXXXXXX</w:t>
          </w:r>
        </w:p>
      </w:tc>
    </w:tr>
    <w:tr w:rsidR="00395DDA" w14:paraId="22601A11" w14:textId="77777777" w:rsidTr="00CB57FD">
      <w:trPr>
        <w:trHeight w:val="228"/>
      </w:trPr>
      <w:tc>
        <w:tcPr>
          <w:tcW w:w="2693" w:type="dxa"/>
          <w:vAlign w:val="center"/>
          <w:hideMark/>
        </w:tcPr>
        <w:p w14:paraId="6EFE221D" w14:textId="49C5F800" w:rsidR="00395DDA" w:rsidRPr="009B3353" w:rsidRDefault="00395DDA"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54C5093" w:rsidR="00395DDA" w:rsidRPr="009B3353" w:rsidRDefault="00395DDA" w:rsidP="00AA18DD">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Ayuntamiento de Papalotla</w:t>
          </w:r>
        </w:p>
      </w:tc>
    </w:tr>
    <w:tr w:rsidR="00395DDA" w14:paraId="2D6C630E" w14:textId="77777777" w:rsidTr="00CB57FD">
      <w:tc>
        <w:tcPr>
          <w:tcW w:w="2693" w:type="dxa"/>
          <w:vAlign w:val="center"/>
          <w:hideMark/>
        </w:tcPr>
        <w:p w14:paraId="5BD4C6DB" w14:textId="7CF21504" w:rsidR="00395DDA" w:rsidRPr="009B3353" w:rsidRDefault="00395DDA"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395DDA" w:rsidRPr="009B3353" w:rsidRDefault="00395DDA"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395DDA" w:rsidRDefault="00395DDA"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C4985"/>
    <w:multiLevelType w:val="hybridMultilevel"/>
    <w:tmpl w:val="641E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E4CC9"/>
    <w:multiLevelType w:val="multilevel"/>
    <w:tmpl w:val="B3E041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Palatino Linotype" w:eastAsia="MS Gothic" w:hAnsi="Palatino Linotype"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859F5"/>
    <w:multiLevelType w:val="multilevel"/>
    <w:tmpl w:val="BFD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27D1D"/>
    <w:multiLevelType w:val="hybridMultilevel"/>
    <w:tmpl w:val="C978BE2E"/>
    <w:lvl w:ilvl="0" w:tplc="62BAF630">
      <w:start w:val="9"/>
      <w:numFmt w:val="decimal"/>
      <w:lvlText w:val="%1."/>
      <w:lvlJc w:val="left"/>
      <w:pPr>
        <w:ind w:left="810" w:hanging="360"/>
      </w:pPr>
      <w:rPr>
        <w:rFonts w:hint="default"/>
        <w:b/>
        <w:i w:val="0"/>
        <w:lang w:val="es-MX"/>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ED27CE"/>
    <w:multiLevelType w:val="hybridMultilevel"/>
    <w:tmpl w:val="8C08A924"/>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6B2E"/>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D2383E"/>
    <w:multiLevelType w:val="hybridMultilevel"/>
    <w:tmpl w:val="57805DAC"/>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301DF0"/>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2C7106"/>
    <w:multiLevelType w:val="hybridMultilevel"/>
    <w:tmpl w:val="63FC220A"/>
    <w:lvl w:ilvl="0" w:tplc="16F4E19A">
      <w:start w:val="3"/>
      <w:numFmt w:val="bullet"/>
      <w:lvlText w:val="-"/>
      <w:lvlJc w:val="left"/>
      <w:pPr>
        <w:ind w:left="927"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15:restartNumberingAfterBreak="0">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1477DAE"/>
    <w:multiLevelType w:val="hybridMultilevel"/>
    <w:tmpl w:val="80C4466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53510D"/>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0"/>
  </w:num>
  <w:num w:numId="3">
    <w:abstractNumId w:val="4"/>
  </w:num>
  <w:num w:numId="4">
    <w:abstractNumId w:val="0"/>
  </w:num>
  <w:num w:numId="5">
    <w:abstractNumId w:val="14"/>
  </w:num>
  <w:num w:numId="6">
    <w:abstractNumId w:val="9"/>
  </w:num>
  <w:num w:numId="7">
    <w:abstractNumId w:val="8"/>
  </w:num>
  <w:num w:numId="8">
    <w:abstractNumId w:val="19"/>
  </w:num>
  <w:num w:numId="9">
    <w:abstractNumId w:val="24"/>
  </w:num>
  <w:num w:numId="10">
    <w:abstractNumId w:val="11"/>
  </w:num>
  <w:num w:numId="11">
    <w:abstractNumId w:val="36"/>
  </w:num>
  <w:num w:numId="12">
    <w:abstractNumId w:val="15"/>
  </w:num>
  <w:num w:numId="13">
    <w:abstractNumId w:val="39"/>
  </w:num>
  <w:num w:numId="14">
    <w:abstractNumId w:val="45"/>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5"/>
  </w:num>
  <w:num w:numId="18">
    <w:abstractNumId w:val="3"/>
  </w:num>
  <w:num w:numId="19">
    <w:abstractNumId w:val="17"/>
  </w:num>
  <w:num w:numId="20">
    <w:abstractNumId w:val="44"/>
  </w:num>
  <w:num w:numId="21">
    <w:abstractNumId w:val="6"/>
  </w:num>
  <w:num w:numId="22">
    <w:abstractNumId w:val="41"/>
  </w:num>
  <w:num w:numId="23">
    <w:abstractNumId w:val="38"/>
  </w:num>
  <w:num w:numId="24">
    <w:abstractNumId w:val="23"/>
  </w:num>
  <w:num w:numId="25">
    <w:abstractNumId w:val="30"/>
  </w:num>
  <w:num w:numId="26">
    <w:abstractNumId w:val="42"/>
  </w:num>
  <w:num w:numId="27">
    <w:abstractNumId w:val="31"/>
  </w:num>
  <w:num w:numId="28">
    <w:abstractNumId w:val="43"/>
  </w:num>
  <w:num w:numId="29">
    <w:abstractNumId w:val="25"/>
  </w:num>
  <w:num w:numId="30">
    <w:abstractNumId w:val="27"/>
  </w:num>
  <w:num w:numId="31">
    <w:abstractNumId w:val="2"/>
  </w:num>
  <w:num w:numId="32">
    <w:abstractNumId w:val="16"/>
  </w:num>
  <w:num w:numId="33">
    <w:abstractNumId w:val="1"/>
  </w:num>
  <w:num w:numId="34">
    <w:abstractNumId w:val="34"/>
  </w:num>
  <w:num w:numId="35">
    <w:abstractNumId w:val="33"/>
  </w:num>
  <w:num w:numId="36">
    <w:abstractNumId w:val="18"/>
  </w:num>
  <w:num w:numId="37">
    <w:abstractNumId w:val="10"/>
  </w:num>
  <w:num w:numId="38">
    <w:abstractNumId w:val="12"/>
  </w:num>
  <w:num w:numId="39">
    <w:abstractNumId w:val="29"/>
  </w:num>
  <w:num w:numId="40">
    <w:abstractNumId w:val="22"/>
  </w:num>
  <w:num w:numId="41">
    <w:abstractNumId w:val="32"/>
  </w:num>
  <w:num w:numId="42">
    <w:abstractNumId w:val="20"/>
  </w:num>
  <w:num w:numId="43">
    <w:abstractNumId w:val="37"/>
  </w:num>
  <w:num w:numId="44">
    <w:abstractNumId w:val="13"/>
  </w:num>
  <w:num w:numId="45">
    <w:abstractNumId w:val="46"/>
  </w:num>
  <w:num w:numId="46">
    <w:abstractNumId w:val="21"/>
  </w:num>
  <w:num w:numId="47">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4769"/>
    <w:rsid w:val="00045165"/>
    <w:rsid w:val="00045FD8"/>
    <w:rsid w:val="00047F41"/>
    <w:rsid w:val="00051773"/>
    <w:rsid w:val="0005205E"/>
    <w:rsid w:val="000535B0"/>
    <w:rsid w:val="00053D74"/>
    <w:rsid w:val="00054EFE"/>
    <w:rsid w:val="00055938"/>
    <w:rsid w:val="00055F7A"/>
    <w:rsid w:val="00057073"/>
    <w:rsid w:val="00060CD1"/>
    <w:rsid w:val="0006108A"/>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27EE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089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7E6"/>
    <w:rsid w:val="00251C63"/>
    <w:rsid w:val="002529ED"/>
    <w:rsid w:val="0025386B"/>
    <w:rsid w:val="00253F03"/>
    <w:rsid w:val="002556CA"/>
    <w:rsid w:val="00255E4E"/>
    <w:rsid w:val="00256193"/>
    <w:rsid w:val="00256BFD"/>
    <w:rsid w:val="00257AA8"/>
    <w:rsid w:val="0026164E"/>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504"/>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5DDA"/>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9D"/>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53D4"/>
    <w:rsid w:val="00455768"/>
    <w:rsid w:val="00456E2C"/>
    <w:rsid w:val="00456F5D"/>
    <w:rsid w:val="00457077"/>
    <w:rsid w:val="004572C3"/>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7D2"/>
    <w:rsid w:val="005C5929"/>
    <w:rsid w:val="005C59A8"/>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2229"/>
    <w:rsid w:val="006031FE"/>
    <w:rsid w:val="00603E10"/>
    <w:rsid w:val="006047FC"/>
    <w:rsid w:val="006048D2"/>
    <w:rsid w:val="00605233"/>
    <w:rsid w:val="006056EF"/>
    <w:rsid w:val="00605A1F"/>
    <w:rsid w:val="00607550"/>
    <w:rsid w:val="00607726"/>
    <w:rsid w:val="006077EB"/>
    <w:rsid w:val="006078A0"/>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241"/>
    <w:rsid w:val="00624BDB"/>
    <w:rsid w:val="00625AFD"/>
    <w:rsid w:val="00625E1B"/>
    <w:rsid w:val="006274A1"/>
    <w:rsid w:val="00627B5D"/>
    <w:rsid w:val="00627D79"/>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64E"/>
    <w:rsid w:val="006747B5"/>
    <w:rsid w:val="00675974"/>
    <w:rsid w:val="00676566"/>
    <w:rsid w:val="00680270"/>
    <w:rsid w:val="006803E8"/>
    <w:rsid w:val="006804B2"/>
    <w:rsid w:val="006808AD"/>
    <w:rsid w:val="00681481"/>
    <w:rsid w:val="00682656"/>
    <w:rsid w:val="00683617"/>
    <w:rsid w:val="00683EAC"/>
    <w:rsid w:val="00684313"/>
    <w:rsid w:val="006843DA"/>
    <w:rsid w:val="00684EF6"/>
    <w:rsid w:val="00686279"/>
    <w:rsid w:val="00686A8A"/>
    <w:rsid w:val="00686C5C"/>
    <w:rsid w:val="006870C8"/>
    <w:rsid w:val="006871B3"/>
    <w:rsid w:val="006878A4"/>
    <w:rsid w:val="00690415"/>
    <w:rsid w:val="00691811"/>
    <w:rsid w:val="0069305F"/>
    <w:rsid w:val="006937F3"/>
    <w:rsid w:val="00694CB5"/>
    <w:rsid w:val="00694F4C"/>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5285"/>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49EB"/>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7BF"/>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17"/>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91D"/>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441"/>
    <w:rsid w:val="00995953"/>
    <w:rsid w:val="009969DF"/>
    <w:rsid w:val="009A00BC"/>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077D5"/>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86B"/>
    <w:rsid w:val="00A57AFC"/>
    <w:rsid w:val="00A6004F"/>
    <w:rsid w:val="00A6220A"/>
    <w:rsid w:val="00A64A07"/>
    <w:rsid w:val="00A650DC"/>
    <w:rsid w:val="00A65237"/>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8DD"/>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076BE"/>
    <w:rsid w:val="00B10802"/>
    <w:rsid w:val="00B11A30"/>
    <w:rsid w:val="00B11E6A"/>
    <w:rsid w:val="00B125CC"/>
    <w:rsid w:val="00B13EF8"/>
    <w:rsid w:val="00B13F95"/>
    <w:rsid w:val="00B14987"/>
    <w:rsid w:val="00B1522A"/>
    <w:rsid w:val="00B1531D"/>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82F"/>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98F"/>
    <w:rsid w:val="00B92A80"/>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6BD"/>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1BA"/>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C78B7"/>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0D82"/>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565B"/>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C93"/>
    <w:rsid w:val="00DC3E83"/>
    <w:rsid w:val="00DC4A66"/>
    <w:rsid w:val="00DC4AFD"/>
    <w:rsid w:val="00DC5B57"/>
    <w:rsid w:val="00DC60C7"/>
    <w:rsid w:val="00DC6415"/>
    <w:rsid w:val="00DC6829"/>
    <w:rsid w:val="00DC7022"/>
    <w:rsid w:val="00DC752F"/>
    <w:rsid w:val="00DC76A4"/>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2690"/>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4A9"/>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6B2C"/>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6523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0572216">
      <w:bodyDiv w:val="1"/>
      <w:marLeft w:val="0"/>
      <w:marRight w:val="0"/>
      <w:marTop w:val="0"/>
      <w:marBottom w:val="0"/>
      <w:divBdr>
        <w:top w:val="none" w:sz="0" w:space="0" w:color="auto"/>
        <w:left w:val="none" w:sz="0" w:space="0" w:color="auto"/>
        <w:bottom w:val="none" w:sz="0" w:space="0" w:color="auto"/>
        <w:right w:val="none" w:sz="0" w:space="0" w:color="auto"/>
      </w:divBdr>
    </w:div>
    <w:div w:id="65152547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9247837">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36875983">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246679">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8053027">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544287">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8795.page"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90674.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93215.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290674.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208617.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5ED26-A8CA-441D-982B-70994990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11212</Words>
  <Characters>63911</Characters>
  <Application>Microsoft Office Word</Application>
  <DocSecurity>0</DocSecurity>
  <Lines>532</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Marco Benítez Ramírez</cp:lastModifiedBy>
  <cp:revision>2</cp:revision>
  <cp:lastPrinted>2021-11-30T23:45:00Z</cp:lastPrinted>
  <dcterms:created xsi:type="dcterms:W3CDTF">2022-03-09T05:48:00Z</dcterms:created>
  <dcterms:modified xsi:type="dcterms:W3CDTF">2022-03-09T05:48:00Z</dcterms:modified>
</cp:coreProperties>
</file>