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C1C" w:rsidRDefault="00BC6F47">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cuatro de mayo del dos mil veintidós.</w:t>
      </w:r>
      <w:bookmarkStart w:id="1" w:name="_GoBack"/>
      <w:bookmarkEnd w:id="1"/>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03614/INFOEM/IP/RR/2022</w:t>
      </w:r>
      <w:r>
        <w:rPr>
          <w:rFonts w:ascii="Palatino Linotype" w:eastAsia="Palatino Linotype" w:hAnsi="Palatino Linotype" w:cs="Palatino Linotype"/>
        </w:rPr>
        <w:t xml:space="preserve">, interpuesto por </w:t>
      </w:r>
      <w:r w:rsidR="00564B15">
        <w:rPr>
          <w:rFonts w:ascii="Palatino Linotype" w:eastAsia="Palatino Linotype" w:hAnsi="Palatino Linotype" w:cs="Palatino Linotype"/>
          <w:b/>
        </w:rPr>
        <w:t>XXXXXX XXXXX XXXXX</w:t>
      </w:r>
      <w:r>
        <w:rPr>
          <w:rFonts w:ascii="Palatino Linotype" w:eastAsia="Palatino Linotype" w:hAnsi="Palatino Linotype" w:cs="Palatino Linotype"/>
        </w:rPr>
        <w:t xml:space="preserve"> como supuesta representante de la persona moral </w:t>
      </w:r>
      <w:r>
        <w:rPr>
          <w:rFonts w:ascii="Palatino Linotype" w:eastAsia="Palatino Linotype" w:hAnsi="Palatino Linotype" w:cs="Palatino Linotype"/>
          <w:b/>
        </w:rPr>
        <w:t>INSTITUTO DE EVALUACION GUBERNAMENTAL</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contra de la falta de respuesta a la solicitud de acceso a la información con número de folio </w:t>
      </w:r>
      <w:r>
        <w:rPr>
          <w:rFonts w:ascii="Palatino Linotype" w:eastAsia="Palatino Linotype" w:hAnsi="Palatino Linotype" w:cs="Palatino Linotype"/>
          <w:b/>
        </w:rPr>
        <w:t xml:space="preserve">00045/IXTAPALU/IP/2022,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075C1C" w:rsidRDefault="00BC6F47">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tres de febrero del dos mil veintidós,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075C1C" w:rsidRDefault="00BC6F47">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“NOMINA GENERAL CON INFORMACIÓN DE NOMBRE DEL TRABAJADOR, CARGO Y SUELDO QUINCENAL, CORRESPONDIENTE A LA QUINCENA DEL 31 DE ENERO DEL 2022” (Sic)</w:t>
      </w:r>
    </w:p>
    <w:p w:rsidR="00075C1C" w:rsidRDefault="00075C1C">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075C1C" w:rsidRDefault="00BC6F4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la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nueve de marzo del año dos mil veintidós, expresando lo siguiente:</w:t>
      </w:r>
    </w:p>
    <w:p w:rsidR="00075C1C" w:rsidRDefault="00BC6F4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075C1C" w:rsidRDefault="00BC6F47">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“NEGATIVA DEL SUJETO OBLIGADO A PROPORCIONAR LA INFORMACIÓN SOLICITADA” (Sic)</w:t>
      </w:r>
    </w:p>
    <w:p w:rsidR="00075C1C" w:rsidRDefault="00BC6F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075C1C" w:rsidRDefault="00BC6F47">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“OPACIDAD DEL SUJETO OBLIGADO” (Sic)</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03614/INFOEM/IP/RR/2022 </w:t>
      </w:r>
      <w:r>
        <w:rPr>
          <w:rFonts w:ascii="Palatino Linotype" w:eastAsia="Palatino Linotype" w:hAnsi="Palatino Linotype" w:cs="Palatino Linotype"/>
        </w:rPr>
        <w:t xml:space="preserve">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En fecha catorce de marzo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omitió realizar manifestaciones, como observa a continuación:</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FF0000"/>
        </w:rPr>
        <w:t xml:space="preserve"> </w:t>
      </w:r>
      <w:r>
        <w:rPr>
          <w:noProof/>
          <w:lang w:val="en-US" w:eastAsia="en-US"/>
        </w:rPr>
        <w:drawing>
          <wp:inline distT="0" distB="0" distL="0" distR="0">
            <wp:extent cx="5581650" cy="12763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6902" t="50513" r="8010" b="9036"/>
                    <a:stretch>
                      <a:fillRect/>
                    </a:stretch>
                  </pic:blipFill>
                  <pic:spPr>
                    <a:xfrm>
                      <a:off x="0" y="0"/>
                      <a:ext cx="5581650" cy="1276350"/>
                    </a:xfrm>
                    <a:prstGeom prst="rect">
                      <a:avLst/>
                    </a:prstGeom>
                    <a:ln/>
                  </pic:spPr>
                </pic:pic>
              </a:graphicData>
            </a:graphic>
          </wp:inline>
        </w:drawing>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veintiocho de abril </w:t>
      </w:r>
      <w:r>
        <w:rPr>
          <w:rFonts w:ascii="Palatino Linotype" w:eastAsia="Palatino Linotype" w:hAnsi="Palatino Linotype" w:cs="Palatino Linotype"/>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075C1C" w:rsidRDefault="00BC6F47">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fecha tres de mayo del año dos mil veintidós, con fundamento en el artículo 181, párrafo tercero de la Ley de Transparencia y Acceso a la Información Pública del Estado de México y Municipios, se acordó la ampliación del plazo para su resolución.</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075C1C" w:rsidRDefault="00BC6F47">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075C1C" w:rsidRDefault="00BC6F47">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(Sic)</w:t>
      </w:r>
    </w:p>
    <w:p w:rsidR="00075C1C" w:rsidRDefault="00075C1C">
      <w:pPr>
        <w:ind w:left="851" w:right="851"/>
        <w:jc w:val="both"/>
        <w:rPr>
          <w:rFonts w:ascii="Palatino Linotype" w:eastAsia="Palatino Linotype" w:hAnsi="Palatino Linotype" w:cs="Palatino Linotype"/>
          <w:i/>
        </w:rPr>
      </w:pP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rsidR="00075C1C" w:rsidRDefault="00BC6F4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75C1C" w:rsidRDefault="00BC6F4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 la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75C1C" w:rsidRDefault="00BC6F4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75C1C" w:rsidRDefault="00BC6F4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075C1C" w:rsidRDefault="00075C1C">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075C1C" w:rsidRDefault="00BC6F47">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000000"/>
        </w:rPr>
        <w:t xml:space="preserve">Al mismo tiempo, </w:t>
      </w:r>
      <w:r>
        <w:rPr>
          <w:rFonts w:ascii="Palatino Linotype" w:eastAsia="Palatino Linotype" w:hAnsi="Palatino Linotype" w:cs="Palatino Linotype"/>
          <w:color w:val="222222"/>
        </w:rPr>
        <w:t xml:space="preserve">no pasa </w:t>
      </w:r>
      <w:r>
        <w:rPr>
          <w:rFonts w:ascii="Palatino Linotype" w:eastAsia="Palatino Linotype" w:hAnsi="Palatino Linotype" w:cs="Palatino Linotype"/>
        </w:rPr>
        <w:t xml:space="preserve">inadvertido para este Organismo Garante que la parte solicitante en ejercicio de su derecho de acceso a la información pública, si bien dice tratarse de una persona moral cuya razón </w:t>
      </w:r>
      <w:r>
        <w:rPr>
          <w:rFonts w:ascii="Palatino Linotype" w:eastAsia="Palatino Linotype" w:hAnsi="Palatino Linotype" w:cs="Palatino Linotype"/>
          <w:color w:val="222222"/>
        </w:rPr>
        <w:t>o denominación social es “</w:t>
      </w:r>
      <w:r>
        <w:rPr>
          <w:rFonts w:ascii="Palatino Linotype" w:eastAsia="Palatino Linotype" w:hAnsi="Palatino Linotype" w:cs="Palatino Linotype"/>
          <w:b/>
          <w:color w:val="222222"/>
        </w:rPr>
        <w:t>INSTITUTO DE EVALUACION GUBERNAMENTAL”</w:t>
      </w:r>
      <w:r>
        <w:rPr>
          <w:rFonts w:ascii="Palatino Linotype" w:eastAsia="Palatino Linotype" w:hAnsi="Palatino Linotype" w:cs="Palatino Linotype"/>
          <w:color w:val="222222"/>
        </w:rPr>
        <w:t xml:space="preserve">, lo </w:t>
      </w:r>
      <w:r>
        <w:rPr>
          <w:rFonts w:ascii="Palatino Linotype" w:eastAsia="Palatino Linotype" w:hAnsi="Palatino Linotype" w:cs="Palatino Linotype"/>
        </w:rPr>
        <w:t xml:space="preserve">cierto es que se observa que no proporcionó el documento que tenga por </w:t>
      </w:r>
      <w:r>
        <w:rPr>
          <w:rFonts w:ascii="Palatino Linotype" w:eastAsia="Palatino Linotype" w:hAnsi="Palatino Linotype" w:cs="Palatino Linotype"/>
          <w:color w:val="222222"/>
        </w:rPr>
        <w:t>acreditada su constitución como persona moral, no obstante, de una interpretación sistemática</w:t>
      </w:r>
      <w:r>
        <w:rPr>
          <w:rFonts w:ascii="Palatino Linotype" w:eastAsia="Palatino Linotype" w:hAnsi="Palatino Linotype" w:cs="Palatino Linotype"/>
        </w:rPr>
        <w:t xml:space="preserve">, armónica y progresiva del derecho humano de acceso a la información pública se tiene que toda persona, sin necesidad </w:t>
      </w:r>
      <w:r>
        <w:rPr>
          <w:rFonts w:ascii="Palatino Linotype" w:eastAsia="Palatino Linotype" w:hAnsi="Palatino Linotype" w:cs="Palatino Linotype"/>
          <w:color w:val="222222"/>
        </w:rPr>
        <w:t xml:space="preserve">de acreditar interés alguno o justificar su utilización, tiene derecho a </w:t>
      </w:r>
      <w:r>
        <w:rPr>
          <w:rFonts w:ascii="Palatino Linotype" w:eastAsia="Palatino Linotype" w:hAnsi="Palatino Linotype" w:cs="Palatino Linotype"/>
          <w:color w:val="222222"/>
        </w:rPr>
        <w:lastRenderedPageBreak/>
        <w:t>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75C1C" w:rsidRDefault="00075C1C">
      <w:pPr>
        <w:spacing w:line="360" w:lineRule="auto"/>
        <w:jc w:val="both"/>
        <w:rPr>
          <w:rFonts w:ascii="Palatino Linotype" w:eastAsia="Palatino Linotype" w:hAnsi="Palatino Linotype" w:cs="Palatino Linotype"/>
          <w:color w:val="000000"/>
        </w:rPr>
      </w:pPr>
    </w:p>
    <w:p w:rsidR="00075C1C" w:rsidRDefault="00BC6F47">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075C1C" w:rsidRDefault="00075C1C">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075C1C" w:rsidRDefault="00BC6F47">
      <w:pPr>
        <w:spacing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 xml:space="preserve">Ahora bien, resulta procedente la interposición del recurso de revisión, según lo aducido por la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075C1C" w:rsidRDefault="00BC6F47">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075C1C" w:rsidRDefault="00BC6F47">
      <w:pPr>
        <w:numPr>
          <w:ilvl w:val="0"/>
          <w:numId w:val="5"/>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075C1C" w:rsidRDefault="00075C1C">
      <w:pPr>
        <w:spacing w:before="240" w:line="360" w:lineRule="auto"/>
        <w:jc w:val="both"/>
        <w:rPr>
          <w:rFonts w:ascii="Palatino Linotype" w:eastAsia="Palatino Linotype" w:hAnsi="Palatino Linotype" w:cs="Palatino Linotype"/>
          <w:b/>
        </w:rPr>
      </w:pPr>
    </w:p>
    <w:p w:rsidR="00075C1C" w:rsidRDefault="00BC6F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esta, el derecho de acceso a la información </w:t>
      </w:r>
      <w:r>
        <w:rPr>
          <w:rFonts w:ascii="Palatino Linotype" w:eastAsia="Palatino Linotype" w:hAnsi="Palatino Linotype" w:cs="Palatino Linotype"/>
        </w:rPr>
        <w:lastRenderedPageBreak/>
        <w:t xml:space="preserve">previsto en la Constitución Política de los Estados Unidos Mexicanos y en la Constitución Política del Estado Libre y Soberano de México. </w:t>
      </w:r>
    </w:p>
    <w:p w:rsidR="00075C1C" w:rsidRDefault="00075C1C">
      <w:pPr>
        <w:spacing w:line="360" w:lineRule="auto"/>
        <w:jc w:val="both"/>
        <w:rPr>
          <w:rFonts w:ascii="Palatino Linotype" w:eastAsia="Palatino Linotype" w:hAnsi="Palatino Linotype" w:cs="Palatino Linotype"/>
        </w:rPr>
      </w:pPr>
    </w:p>
    <w:p w:rsidR="00075C1C" w:rsidRDefault="00BC6F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rsidR="00075C1C" w:rsidRDefault="00075C1C">
      <w:pPr>
        <w:spacing w:line="360" w:lineRule="auto"/>
        <w:jc w:val="both"/>
        <w:rPr>
          <w:rFonts w:ascii="Palatino Linotype" w:eastAsia="Palatino Linotype" w:hAnsi="Palatino Linotype" w:cs="Palatino Linotype"/>
        </w:rPr>
      </w:pPr>
    </w:p>
    <w:p w:rsidR="00075C1C" w:rsidRDefault="00BC6F4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075C1C" w:rsidRDefault="00BC6F47">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nomina general con información de nombre del trabajador, cargo y sueldo quincenal, correspondiente a la quincena del 31 de enero del 2022</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Organismo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rsidR="00075C1C" w:rsidRDefault="00BC6F4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75C1C" w:rsidRDefault="00075C1C">
      <w:pPr>
        <w:tabs>
          <w:tab w:val="left" w:pos="709"/>
        </w:tabs>
        <w:ind w:left="851" w:right="850"/>
        <w:jc w:val="both"/>
        <w:rPr>
          <w:rFonts w:ascii="Palatino Linotype" w:eastAsia="Palatino Linotype" w:hAnsi="Palatino Linotype" w:cs="Palatino Linotype"/>
        </w:rPr>
      </w:pPr>
    </w:p>
    <w:p w:rsidR="00075C1C" w:rsidRDefault="00BC6F4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75C1C" w:rsidRDefault="00BC6F4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75C1C" w:rsidRDefault="00BC6F4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75C1C" w:rsidRDefault="00BC6F4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w:t>
      </w:r>
      <w:r>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75C1C" w:rsidRDefault="00075C1C">
      <w:pPr>
        <w:ind w:left="851" w:right="851"/>
        <w:jc w:val="both"/>
        <w:rPr>
          <w:rFonts w:ascii="Palatino Linotype" w:eastAsia="Palatino Linotype" w:hAnsi="Palatino Linotype" w:cs="Palatino Linotype"/>
          <w:i/>
          <w:sz w:val="22"/>
          <w:szCs w:val="22"/>
        </w:rPr>
      </w:pP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75C1C" w:rsidRDefault="00BC6F4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075C1C" w:rsidRDefault="00BC6F4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Pr>
          <w:rFonts w:ascii="Palatino Linotype" w:eastAsia="Palatino Linotype" w:hAnsi="Palatino Linotype" w:cs="Palatino Linotype"/>
        </w:rPr>
        <w:lastRenderedPageBreak/>
        <w:t>que reciba y ejerza recursos públicos, siendo pública toda la información que posean con las excepciones enmarcadas, para lo cual queda demostrado que los sujetos obligados deben cumplir con dichos dispositivos legales.</w:t>
      </w:r>
    </w:p>
    <w:p w:rsidR="00075C1C" w:rsidRDefault="00BC6F47">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075C1C" w:rsidRDefault="00BC6F47">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075C1C" w:rsidRDefault="00BC6F47">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075C1C" w:rsidRDefault="00075C1C">
      <w:pPr>
        <w:ind w:left="851" w:right="902"/>
        <w:jc w:val="both"/>
        <w:rPr>
          <w:rFonts w:ascii="Palatino Linotype" w:eastAsia="Palatino Linotype" w:hAnsi="Palatino Linotype" w:cs="Palatino Linotype"/>
          <w:sz w:val="22"/>
          <w:szCs w:val="22"/>
        </w:rPr>
      </w:pP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75C1C" w:rsidRDefault="00BC6F4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75C1C" w:rsidRDefault="00BC6F4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75C1C" w:rsidRDefault="00BC6F4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075C1C" w:rsidRDefault="00BC6F4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éste</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Organismo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75C1C" w:rsidRDefault="00BC6F47">
      <w:pPr>
        <w:spacing w:before="280" w:after="28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confidencial.”(Sic)</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075C1C" w:rsidRDefault="00BC6F4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075C1C" w:rsidRDefault="00BC6F4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075C1C" w:rsidRDefault="00BC6F4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75C1C" w:rsidRDefault="00BC6F47">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075C1C" w:rsidRDefault="00BC6F47">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075C1C" w:rsidRDefault="00BC6F47">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075C1C" w:rsidRDefault="00BC6F47">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075C1C" w:rsidRDefault="00BC6F4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éste Organismo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Colegiado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75C1C" w:rsidRDefault="00BC6F4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075C1C" w:rsidRDefault="00BC6F47">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075C1C" w:rsidRDefault="00BC6F47">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075C1C" w:rsidRDefault="00BC6F47">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075C1C" w:rsidRDefault="00BC6F4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w:t>
      </w:r>
      <w:r>
        <w:rPr>
          <w:rFonts w:ascii="Palatino Linotype" w:eastAsia="Palatino Linotype" w:hAnsi="Palatino Linotype" w:cs="Palatino Linotype"/>
          <w:color w:val="000000"/>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Pr>
          <w:rFonts w:ascii="Palatino Linotype" w:eastAsia="Palatino Linotype" w:hAnsi="Palatino Linotype" w:cs="Palatino Linotype"/>
          <w:i/>
          <w:sz w:val="22"/>
          <w:szCs w:val="22"/>
        </w:rPr>
        <w:lastRenderedPageBreak/>
        <w:t>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075C1C" w:rsidRDefault="00BC6F4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75C1C" w:rsidRDefault="00BC6F4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075C1C" w:rsidRDefault="00BC6F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075C1C" w:rsidRDefault="00BC6F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075C1C" w:rsidRDefault="00BC6F4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75C1C" w:rsidRDefault="00BC6F47">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075C1C" w:rsidRDefault="00BC6F4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color w:val="222222"/>
        </w:rPr>
        <w:t>03614/INFOEM/IP/RR/2022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075C1C" w:rsidRDefault="00BC6F4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lastRenderedPageBreak/>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75C1C" w:rsidRDefault="00BC6F4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 vía SAIMEX a la</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75C1C" w:rsidRDefault="00BC6F47">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Pr>
          <w:rFonts w:ascii="Palatino Linotype" w:eastAsia="Palatino Linotype" w:hAnsi="Palatino Linotype" w:cs="Palatino Linotype"/>
          <w:b/>
          <w:color w:val="222222"/>
        </w:rPr>
        <w:t xml:space="preserve">Notifíquese vía SAIMEX a la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75C1C" w:rsidRDefault="00BC6F47">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075C1C" w:rsidRDefault="00BC6F47">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lastRenderedPageBreak/>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bookmarkStart w:id="3" w:name="_heading=h.1fob9te" w:colFirst="0" w:colLast="0"/>
    <w:bookmarkEnd w:id="3"/>
    <w:p w:rsidR="00075C1C" w:rsidRDefault="00BC6F47">
      <w:pPr>
        <w:spacing w:line="360" w:lineRule="auto"/>
        <w:ind w:right="49"/>
        <w:jc w:val="both"/>
        <w:rPr>
          <w:rFonts w:ascii="Palatino Linotype" w:eastAsia="Palatino Linotype" w:hAnsi="Palatino Linotype" w:cs="Palatino Linotype"/>
        </w:rPr>
        <w:sectPr w:rsidR="00075C1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2865120</wp:posOffset>
                </wp:positionV>
                <wp:extent cx="5391150" cy="27241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91150" cy="272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BED7F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225.6pt" to="436.9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" strokecolor="black [3200]" strokeweight=".5pt">
                <v:stroke joinstyle="miter"/>
              </v:line>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075C1C" w:rsidRDefault="00075C1C">
      <w:pPr>
        <w:spacing w:line="360" w:lineRule="auto"/>
        <w:ind w:right="49"/>
        <w:jc w:val="both"/>
        <w:rPr>
          <w:rFonts w:ascii="Palatino Linotype" w:eastAsia="Palatino Linotype" w:hAnsi="Palatino Linotype" w:cs="Palatino Linotype"/>
        </w:rPr>
      </w:pPr>
    </w:p>
    <w:p w:rsidR="00075C1C" w:rsidRDefault="00BC6F4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075C1C" w:rsidRDefault="00075C1C"/>
    <w:p w:rsidR="00075C1C" w:rsidRDefault="00075C1C"/>
    <w:sectPr w:rsidR="00075C1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BC" w:rsidRDefault="00BC6F47">
      <w:r>
        <w:separator/>
      </w:r>
    </w:p>
  </w:endnote>
  <w:endnote w:type="continuationSeparator" w:id="0">
    <w:p w:rsidR="00FA7FBC" w:rsidRDefault="00BC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1C" w:rsidRDefault="00BC6F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12A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12A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075C1C" w:rsidRDefault="00075C1C">
    <w:pPr>
      <w:pBdr>
        <w:top w:val="nil"/>
        <w:left w:val="nil"/>
        <w:bottom w:val="nil"/>
        <w:right w:val="nil"/>
        <w:between w:val="nil"/>
      </w:pBdr>
      <w:tabs>
        <w:tab w:val="center" w:pos="4252"/>
        <w:tab w:val="right" w:pos="8504"/>
      </w:tabs>
      <w:rPr>
        <w:color w:val="000000"/>
      </w:rPr>
    </w:pPr>
  </w:p>
  <w:p w:rsidR="00075C1C" w:rsidRDefault="00075C1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1C" w:rsidRDefault="00BC6F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12A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12A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075C1C" w:rsidRDefault="00075C1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BC" w:rsidRDefault="00BC6F47">
      <w:r>
        <w:separator/>
      </w:r>
    </w:p>
  </w:footnote>
  <w:footnote w:type="continuationSeparator" w:id="0">
    <w:p w:rsidR="00FA7FBC" w:rsidRDefault="00BC6F47">
      <w:r>
        <w:continuationSeparator/>
      </w:r>
    </w:p>
  </w:footnote>
  <w:footnote w:id="1">
    <w:p w:rsidR="00075C1C" w:rsidRDefault="00BC6F47">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075C1C" w:rsidRDefault="00BC6F4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1C" w:rsidRDefault="00075C1C">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075C1C">
      <w:tc>
        <w:tcPr>
          <w:tcW w:w="2552" w:type="dxa"/>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075C1C" w:rsidRDefault="00BC6F4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03614/INFOEM/IP/RR/2022 </w:t>
          </w:r>
        </w:p>
      </w:tc>
    </w:tr>
    <w:tr w:rsidR="00075C1C">
      <w:trPr>
        <w:trHeight w:val="228"/>
      </w:trPr>
      <w:tc>
        <w:tcPr>
          <w:tcW w:w="2552" w:type="dxa"/>
          <w:shd w:val="clear" w:color="auto" w:fill="auto"/>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075C1C" w:rsidRDefault="00BC6F4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075C1C">
      <w:tc>
        <w:tcPr>
          <w:tcW w:w="2552" w:type="dxa"/>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075C1C" w:rsidRDefault="00BC6F4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75C1C" w:rsidRDefault="00BC6F4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-689276</wp:posOffset>
          </wp:positionH>
          <wp:positionV relativeFrom="paragraph">
            <wp:posOffset>-1171014</wp:posOffset>
          </wp:positionV>
          <wp:extent cx="7635875" cy="99434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1C" w:rsidRDefault="00BC6F4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n-US" w:eastAsia="en-US"/>
      </w:rPr>
      <w:drawing>
        <wp:anchor distT="0" distB="0" distL="0" distR="0" simplePos="0" relativeHeight="251659264" behindDoc="1" locked="0" layoutInCell="1" hidden="0" allowOverlap="1">
          <wp:simplePos x="0" y="0"/>
          <wp:positionH relativeFrom="column">
            <wp:posOffset>-675563</wp:posOffset>
          </wp:positionH>
          <wp:positionV relativeFrom="paragraph">
            <wp:posOffset>-341827</wp:posOffset>
          </wp:positionV>
          <wp:extent cx="7635875" cy="99434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075C1C">
      <w:tc>
        <w:tcPr>
          <w:tcW w:w="2551" w:type="dxa"/>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075C1C" w:rsidRDefault="00BC6F4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03614/INFOEM/IP/RR/2022</w:t>
          </w:r>
        </w:p>
      </w:tc>
    </w:tr>
    <w:tr w:rsidR="00075C1C">
      <w:tc>
        <w:tcPr>
          <w:tcW w:w="2551" w:type="dxa"/>
          <w:vAlign w:val="center"/>
        </w:tcPr>
        <w:p w:rsidR="00075C1C" w:rsidRDefault="00BC6F47">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075C1C" w:rsidRDefault="00564B1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rPr>
            <w:t xml:space="preserve">XXXXX XXXXX XXXXX </w:t>
          </w:r>
        </w:p>
      </w:tc>
    </w:tr>
    <w:tr w:rsidR="00075C1C">
      <w:trPr>
        <w:trHeight w:val="228"/>
      </w:trPr>
      <w:tc>
        <w:tcPr>
          <w:tcW w:w="2551" w:type="dxa"/>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075C1C" w:rsidRDefault="00BC6F4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075C1C">
      <w:tc>
        <w:tcPr>
          <w:tcW w:w="2551" w:type="dxa"/>
          <w:vAlign w:val="center"/>
        </w:tcPr>
        <w:p w:rsidR="00075C1C" w:rsidRDefault="00BC6F4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075C1C" w:rsidRDefault="00BC6F4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75C1C" w:rsidRDefault="00075C1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C1C" w:rsidRDefault="00BC6F4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75C1C" w:rsidRDefault="00075C1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4A71"/>
    <w:multiLevelType w:val="multilevel"/>
    <w:tmpl w:val="149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F5214D"/>
    <w:multiLevelType w:val="multilevel"/>
    <w:tmpl w:val="7C74EEB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687E10"/>
    <w:multiLevelType w:val="multilevel"/>
    <w:tmpl w:val="1B526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5D1D7B"/>
    <w:multiLevelType w:val="multilevel"/>
    <w:tmpl w:val="82240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4364A6"/>
    <w:multiLevelType w:val="multilevel"/>
    <w:tmpl w:val="04F69A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1C"/>
    <w:rsid w:val="00075C1C"/>
    <w:rsid w:val="004512A1"/>
    <w:rsid w:val="00564B15"/>
    <w:rsid w:val="00BC6F47"/>
    <w:rsid w:val="00FA7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AB64"/>
  <w15:docId w15:val="{B49650D1-6DF3-4044-B4C9-B6D4BC71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cVwG3WwjoiaP23bgDzMBTJgzSQ==">AMUW2mWBSRNiy5KngQNW7y/IOrc+d0L4sSw/blO9priIN6v13RA9qMbbKhQk0LlUZAr3ZvpOItXT83tMvyxHMBgKNZKqmw26CIeI9zfU3xWW2fh4w8fR6n/yJzM9gsu95Q/TMSgmSlrV0870Njm8/cSMDHG6xU0ZfA==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7141</Words>
  <Characters>40705</Characters>
  <Application>Microsoft Office Word</Application>
  <DocSecurity>0</DocSecurity>
  <Lines>339</Lines>
  <Paragraphs>95</Paragraphs>
  <ScaleCrop>false</ScaleCrop>
  <Company>HP Inc.</Company>
  <LinksUpToDate>false</LinksUpToDate>
  <CharactersWithSpaces>47751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4</cp:revision>
  <dcterms:created xsi:type="dcterms:W3CDTF">2022-04-28T16:42:00Z</dcterms:created>
  <dcterms:modified xsi:type="dcterms:W3CDTF">2022-06-06T22:05:00Z</dcterms:modified>
</cp:coreProperties>
</file>