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782" w:rsidRDefault="00A42285">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treinta de marzo del dos mil veintidós</w:t>
      </w:r>
      <w:r>
        <w:rPr>
          <w:rFonts w:ascii="Palatino Linotype" w:eastAsia="Palatino Linotype" w:hAnsi="Palatino Linotype" w:cs="Palatino Linotype"/>
        </w:rPr>
        <w:t>.</w:t>
      </w:r>
    </w:p>
    <w:p w:rsidR="00C46782" w:rsidRDefault="00A422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00294/INFOEM/IP/RR/2022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Tenancingo,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46782" w:rsidRDefault="00A4228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C46782" w:rsidRDefault="00A422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diez de enero de dos mil veintidós,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00015/TENANCIN/IP/2022, </w:t>
      </w:r>
      <w:r>
        <w:rPr>
          <w:rFonts w:ascii="Palatino Linotype" w:eastAsia="Palatino Linotype" w:hAnsi="Palatino Linotype" w:cs="Palatino Linotype"/>
        </w:rPr>
        <w:t xml:space="preserve">mediante la cual requirió la información siguiente: </w:t>
      </w:r>
    </w:p>
    <w:p w:rsidR="00C46782" w:rsidRDefault="00A42285">
      <w:pPr>
        <w:spacing w:before="240" w:after="240" w:line="360" w:lineRule="auto"/>
        <w:ind w:left="426"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todas las altas de la gente que ingresa al ayuntamiento” (Sic). </w:t>
      </w:r>
    </w:p>
    <w:p w:rsidR="00C46782" w:rsidRDefault="00A422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C46782" w:rsidRDefault="00A422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veintiuno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rsidR="00C46782" w:rsidRDefault="00A4228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C46782" w:rsidRDefault="00A4228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00015/TENANCIN/IP/2021, en archivo anexo PDF como se describe a continuación: 1.- OFICIO SOL. 00015 ADMON”</w:t>
      </w:r>
    </w:p>
    <w:p w:rsidR="00C46782" w:rsidRDefault="00A42285">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repuesta </w:t>
      </w:r>
      <w:r>
        <w:rPr>
          <w:rFonts w:ascii="Palatino Linotype" w:eastAsia="Palatino Linotype" w:hAnsi="Palatino Linotype" w:cs="Palatino Linotype"/>
          <w:b/>
        </w:rPr>
        <w:t xml:space="preserve">dos </w:t>
      </w:r>
      <w:r>
        <w:rPr>
          <w:rFonts w:ascii="Palatino Linotype" w:eastAsia="Palatino Linotype" w:hAnsi="Palatino Linotype" w:cs="Palatino Linotype"/>
          <w:b/>
          <w:color w:val="000000"/>
        </w:rPr>
        <w:t>archivos electrónicos, sin embargo, de la revisión al contenido de los mismos, se advierte que ambos tienen la misma información</w:t>
      </w:r>
      <w:r>
        <w:rPr>
          <w:rFonts w:ascii="Palatino Linotype" w:eastAsia="Palatino Linotype" w:hAnsi="Palatino Linotype" w:cs="Palatino Linotype"/>
          <w:color w:val="000000"/>
        </w:rPr>
        <w:t xml:space="preserve">, por lo que a continuación se describe: </w:t>
      </w:r>
    </w:p>
    <w:p w:rsidR="00C46782" w:rsidRDefault="00A4228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“RESP TS 00015 ADMON.pdf”: </w:t>
      </w:r>
      <w:r>
        <w:rPr>
          <w:rFonts w:ascii="Palatino Linotype" w:eastAsia="Palatino Linotype" w:hAnsi="Palatino Linotype" w:cs="Palatino Linotype"/>
          <w:color w:val="000000"/>
        </w:rPr>
        <w:t xml:space="preserve">Documento de dos fojas, consistente en los oficios emitidos por el Director de Administración, quien remite a la Titular de la Unidad de Transparencia, la respuesta del Subdirector de Recursos Humanos, en los siguientes términos: </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381000</wp:posOffset>
                </wp:positionH>
                <wp:positionV relativeFrom="paragraph">
                  <wp:posOffset>1104900</wp:posOffset>
                </wp:positionV>
                <wp:extent cx="4648200" cy="2628900"/>
                <wp:effectExtent l="0" t="0" r="0" b="0"/>
                <wp:wrapNone/>
                <wp:docPr id="76" name=""/>
                <wp:cNvGraphicFramePr/>
                <a:graphic xmlns:a="http://schemas.openxmlformats.org/drawingml/2006/main">
                  <a:graphicData uri="http://schemas.microsoft.com/office/word/2010/wordprocessingShape">
                    <wps:wsp>
                      <wps:cNvCnPr/>
                      <wps:spPr>
                        <a:xfrm>
                          <a:off x="3026663" y="2470313"/>
                          <a:ext cx="4638675" cy="26193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381000</wp:posOffset>
                </wp:positionH>
                <wp:positionV relativeFrom="paragraph">
                  <wp:posOffset>1104900</wp:posOffset>
                </wp:positionV>
                <wp:extent cx="4648200" cy="2628900"/>
                <wp:effectExtent b="0" l="0" r="0" t="0"/>
                <wp:wrapNone/>
                <wp:docPr id="76"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4648200" cy="2628900"/>
                        </a:xfrm>
                        <a:prstGeom prst="rect"/>
                        <a:ln/>
                      </pic:spPr>
                    </pic:pic>
                  </a:graphicData>
                </a:graphic>
              </wp:anchor>
            </w:drawing>
          </mc:Fallback>
        </mc:AlternateContent>
      </w:r>
    </w:p>
    <w:p w:rsidR="00C46782" w:rsidRDefault="00A42285">
      <w:pPr>
        <w:spacing w:before="240" w:after="240" w:line="360" w:lineRule="auto"/>
        <w:ind w:left="567" w:right="900"/>
        <w:jc w:val="center"/>
        <w:rPr>
          <w:rFonts w:ascii="Palatino Linotype" w:eastAsia="Palatino Linotype" w:hAnsi="Palatino Linotype" w:cs="Palatino Linotype"/>
          <w:color w:val="000000"/>
        </w:rPr>
      </w:pPr>
      <w:r>
        <w:rPr>
          <w:noProof/>
          <w:lang w:val="es-MX"/>
        </w:rPr>
        <w:lastRenderedPageBreak/>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5834477" cy="5715000"/>
            <wp:effectExtent l="0" t="0" r="0" b="0"/>
            <wp:wrapTopAndBottom distT="0" dist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34477" cy="5715000"/>
                    </a:xfrm>
                    <a:prstGeom prst="rect">
                      <a:avLst/>
                    </a:prstGeom>
                    <a:ln/>
                  </pic:spPr>
                </pic:pic>
              </a:graphicData>
            </a:graphic>
          </wp:anchor>
        </w:drawing>
      </w:r>
    </w:p>
    <w:p w:rsidR="00C46782" w:rsidRDefault="00A4228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419725" cy="6448425"/>
            <wp:effectExtent l="0" t="0" r="0" b="0"/>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19725" cy="6448425"/>
                    </a:xfrm>
                    <a:prstGeom prst="rect">
                      <a:avLst/>
                    </a:prstGeom>
                    <a:ln/>
                  </pic:spPr>
                </pic:pic>
              </a:graphicData>
            </a:graphic>
          </wp:inline>
        </w:drawing>
      </w:r>
    </w:p>
    <w:p w:rsidR="00C46782" w:rsidRDefault="00C46782">
      <w:pPr>
        <w:spacing w:before="240" w:after="240" w:line="360" w:lineRule="auto"/>
        <w:ind w:left="567" w:right="900"/>
        <w:jc w:val="center"/>
        <w:rPr>
          <w:rFonts w:ascii="Palatino Linotype" w:eastAsia="Palatino Linotype" w:hAnsi="Palatino Linotype" w:cs="Palatino Linotype"/>
          <w:color w:val="000000"/>
        </w:rPr>
      </w:pPr>
    </w:p>
    <w:p w:rsidR="00C46782" w:rsidRDefault="00A42285">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veinticuatro de enero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C46782" w:rsidRDefault="00A42285">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SOLICITAN LAS ALTAS DE LA GENTE QUE INGRESA AL AYUNTAMIENTO Y SE NIEGA LA INFORMACIÓN” (Sic)</w:t>
      </w:r>
    </w:p>
    <w:p w:rsidR="00C46782" w:rsidRDefault="00A42285">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CONFORMIDAD CON LO QUE ESTABLECE LA LEY DEL TRABAJO DE LOS SERVIDORES PUBLICOS DEL ESTADO DE MEXICO Y MUNICIPIOS, LA RELACIÓN LABORAL DE LOS TRABAJADORES SE TIENE ENTENDIDA MEDIANTE UN FORMATO UNICO DE MOVIMIENTOS DE PERSONAL, NOMBRAMIENTO, CONTRATO Y SOBRE DICHAS DOCUMENTALES SE TIENE QUE REALIZAR UN MOVIMIENTO DE ALTA, SI EMBARGO LA RESPUESTA DEL SERVIDOR PUBLICO HABILITADO SE LIMITA A DECIR QUE POR FALTA DE PRESUPUESTO NO SE HAN REALIZADO ALTAS, </w:t>
      </w:r>
      <w:r>
        <w:rPr>
          <w:rFonts w:ascii="Palatino Linotype" w:eastAsia="Palatino Linotype" w:hAnsi="Palatino Linotype" w:cs="Palatino Linotype"/>
          <w:b/>
          <w:i/>
          <w:sz w:val="22"/>
          <w:szCs w:val="22"/>
          <w:u w:val="single"/>
        </w:rPr>
        <w:t>SIN EMBARGO EL NUEVO AYUNTAMIENTO ES INTEGRADO</w:t>
      </w:r>
      <w:r>
        <w:rPr>
          <w:rFonts w:ascii="Palatino Linotype" w:eastAsia="Palatino Linotype" w:hAnsi="Palatino Linotype" w:cs="Palatino Linotype"/>
          <w:i/>
          <w:sz w:val="22"/>
          <w:szCs w:val="22"/>
        </w:rPr>
        <w:t xml:space="preserve"> POR UN CABILDO, TITULARES DE LA ESTRUCTURA ORGANICA Y DEMAS PERSONAL QUE SE ENCUENTRA LABORANDO EN LAS OFICINAS, COMO EJEMPLO CLARO LO MUESTRA EL PROPIO SERVIDOR PÚBLICO HABILITADO EN EL SELLO DE RECEPCIÓN DE LA DIRECCIÓN DE ADMINISTRACIÓN YA QUE QUIEN RECIBE LLEVA EL NOMBRE DE "CRISTINA LOPEZ". ASIMISMO ES DE RESALTAR LA POCA IMPORTANCIA QUE LE DA EL SERVIDOR PUBLICO HABILITADO A LOS REQUERIMIENTOS DE INFORMACIÓN PUBLICA, TODA VEZ QUE EN EL OFICIO SIGNADO POR EL COORDINADOR DE RECURSOS HUMANOS REFIERE EN EL RUBRO QUE SE TRATA DE LA "SUBDIRECCIÓN DE RECURSOS HUMANOS" CUANDO SE FIRMA COMO COORDINACIÓN; DE IGUAL MANERA REDACTA Y LO CITO "En respuesta a la solicitud MTM058/DA/008" </w:t>
      </w:r>
      <w:r>
        <w:rPr>
          <w:rFonts w:ascii="Palatino Linotype" w:eastAsia="Palatino Linotype" w:hAnsi="Palatino Linotype" w:cs="Palatino Linotype"/>
          <w:i/>
          <w:sz w:val="22"/>
          <w:szCs w:val="22"/>
        </w:rPr>
        <w:lastRenderedPageBreak/>
        <w:t xml:space="preserve">REDACCIÓN QUE ES TOTALMENTE ERRONEA PUES EL FOLIO DE MI SOLICITUD ES" 0015/TENANCIN/IP/2022" POR ULTIMO NO SE OMITE MENCIONAR QUE LA TITULAR DE LA UNIDAD DE TRANSPARENCIA INCUMPLE CON LO ESTABLECIDO EN LA LEY DE TRANSPARENCIA LOCAL, PUES ESTA SEÑALA QUE SE DEBERÁ TURNAR A TODAS LAS AREAS QUE PUEDAN CONTAR CON LA INFORMACIÓN SOLICITADA, Y SOLO SE LIMITA A TURNARLA A LA DIRECCIÓN DE ADMINISTRACIÓN OMITIENDO A </w:t>
      </w:r>
      <w:r>
        <w:rPr>
          <w:rFonts w:ascii="Palatino Linotype" w:eastAsia="Palatino Linotype" w:hAnsi="Palatino Linotype" w:cs="Palatino Linotype"/>
          <w:b/>
          <w:i/>
          <w:sz w:val="22"/>
          <w:szCs w:val="22"/>
          <w:u w:val="single"/>
        </w:rPr>
        <w:t>LA TESORERIA MUNICIPAL, AREA QUE PUEDE CONTAR CON LO REQUERIDO TODA VEZ QUE ES QUIEN GENERA ALTAS ANTE ISSEMYM Y PARA SU DEBIDO PAGO</w:t>
      </w:r>
      <w:r>
        <w:rPr>
          <w:rFonts w:ascii="Palatino Linotype" w:eastAsia="Palatino Linotype" w:hAnsi="Palatino Linotype" w:cs="Palatino Linotype"/>
          <w:i/>
          <w:sz w:val="22"/>
          <w:szCs w:val="22"/>
        </w:rPr>
        <w:t>. ANTE LA NEGATIVA DE LA INFORMACIÓN SOLICITADA Y LA FALTA DE COMPROMISO AL ATENDER LAS SOLICITUDES DE INFORMACIÓN PUBLICA SOLICITO SE ORDENE AL SUJETO OBLIGADO A ENTREGAR LA INFORMACIÓN SOLICITADA AL SER INFORMACION DE CARACTER PUBLICA.” (Sic)</w:t>
      </w: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veintisiete de enero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tres de febrero del dos mil veintidós</w:t>
      </w:r>
      <w:r>
        <w:rPr>
          <w:rFonts w:ascii="Palatino Linotype" w:eastAsia="Palatino Linotype" w:hAnsi="Palatino Linotype" w:cs="Palatino Linotype"/>
        </w:rPr>
        <w:t>, mediante los archivos electrónicos siguientes:</w:t>
      </w:r>
    </w:p>
    <w:p w:rsidR="00C46782" w:rsidRDefault="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“294 cont.pdf</w:t>
      </w:r>
      <w:r>
        <w:rPr>
          <w:rFonts w:ascii="Palatino Linotype" w:eastAsia="Palatino Linotype" w:hAnsi="Palatino Linotype" w:cs="Palatino Linotype"/>
          <w:b/>
          <w:i/>
        </w:rPr>
        <w:tab/>
        <w:t>“</w:t>
      </w:r>
      <w:r>
        <w:rPr>
          <w:rFonts w:ascii="Palatino Linotype" w:eastAsia="Palatino Linotype" w:hAnsi="Palatino Linotype" w:cs="Palatino Linotype"/>
        </w:rPr>
        <w:t xml:space="preserve">: Documentos consistente en dos fojas signado por el Coordinador de Recursos Humanos, el cual medularmente ratifica su pronunciamiento vertido en la respuesta inicial.         </w:t>
      </w:r>
      <w:r>
        <w:rPr>
          <w:rFonts w:ascii="Palatino Linotype" w:eastAsia="Palatino Linotype" w:hAnsi="Palatino Linotype" w:cs="Palatino Linotype"/>
          <w:noProof/>
          <w:lang w:val="es-MX"/>
        </w:rPr>
        <w:drawing>
          <wp:inline distT="0" distB="0" distL="0" distR="0">
            <wp:extent cx="4791460" cy="5299512"/>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91460" cy="5299512"/>
                    </a:xfrm>
                    <a:prstGeom prst="rect">
                      <a:avLst/>
                    </a:prstGeom>
                    <a:ln/>
                  </pic:spPr>
                </pic:pic>
              </a:graphicData>
            </a:graphic>
          </wp:inline>
        </w:drawing>
      </w:r>
    </w:p>
    <w:p w:rsidR="00C46782" w:rsidRDefault="00C46782">
      <w:pPr>
        <w:widowControl w:val="0"/>
        <w:spacing w:before="240" w:after="240" w:line="360" w:lineRule="auto"/>
        <w:ind w:right="49"/>
        <w:jc w:val="both"/>
        <w:rPr>
          <w:rFonts w:ascii="Palatino Linotype" w:eastAsia="Palatino Linotype" w:hAnsi="Palatino Linotype" w:cs="Palatino Linotype"/>
        </w:rPr>
      </w:pP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6867525"/>
            <wp:effectExtent l="0" t="0" r="0" b="0"/>
            <wp:docPr id="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581650" cy="6867525"/>
                    </a:xfrm>
                    <a:prstGeom prst="rect">
                      <a:avLst/>
                    </a:prstGeom>
                    <a:ln/>
                  </pic:spPr>
                </pic:pic>
              </a:graphicData>
            </a:graphic>
          </wp:inline>
        </w:drawing>
      </w:r>
    </w:p>
    <w:p w:rsidR="00C46782" w:rsidRDefault="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lastRenderedPageBreak/>
        <w:t>“SEGUNDA SESION EXTRAORDINARIA.pdf”</w:t>
      </w:r>
      <w:r>
        <w:rPr>
          <w:rFonts w:ascii="Palatino Linotype" w:eastAsia="Palatino Linotype" w:hAnsi="Palatino Linotype" w:cs="Palatino Linotype"/>
        </w:rPr>
        <w:t>: Archivo digital que se compone de cuatro fojas y consiste en el acta de la Segunda Sesión Extraordinaria del Comité de Transparencia de Tenancingo, correspondiente al ejercicio 2022-2024, mediante el cual se aprueba la confirmación de la respuesta emitida inicialmente.</w:t>
      </w:r>
    </w:p>
    <w:p w:rsidR="00C46782" w:rsidRDefault="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746889" cy="5217521"/>
            <wp:effectExtent l="0" t="0" r="0" b="0"/>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46889" cy="5217521"/>
                    </a:xfrm>
                    <a:prstGeom prst="rect">
                      <a:avLst/>
                    </a:prstGeom>
                    <a:ln/>
                  </pic:spPr>
                </pic:pic>
              </a:graphicData>
            </a:graphic>
          </wp:inline>
        </w:drawing>
      </w:r>
    </w:p>
    <w:p w:rsidR="00C46782" w:rsidRDefault="00C46782">
      <w:pPr>
        <w:widowControl w:val="0"/>
        <w:spacing w:before="240" w:after="240" w:line="360" w:lineRule="auto"/>
        <w:ind w:left="567" w:right="851"/>
        <w:jc w:val="both"/>
        <w:rPr>
          <w:rFonts w:ascii="Palatino Linotype" w:eastAsia="Palatino Linotype" w:hAnsi="Palatino Linotype" w:cs="Palatino Linotype"/>
        </w:rPr>
      </w:pPr>
    </w:p>
    <w:p w:rsidR="00C46782" w:rsidRDefault="00A42285" w:rsidP="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72125" cy="6600825"/>
            <wp:effectExtent l="0" t="0" r="0" b="0"/>
            <wp:docPr id="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572125" cy="6600825"/>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698500</wp:posOffset>
                </wp:positionH>
                <wp:positionV relativeFrom="paragraph">
                  <wp:posOffset>127000</wp:posOffset>
                </wp:positionV>
                <wp:extent cx="5343525" cy="733425"/>
                <wp:effectExtent l="0" t="0" r="0" b="0"/>
                <wp:wrapNone/>
                <wp:docPr id="72" name=""/>
                <wp:cNvGraphicFramePr/>
                <a:graphic xmlns:a="http://schemas.openxmlformats.org/drawingml/2006/main">
                  <a:graphicData uri="http://schemas.microsoft.com/office/word/2010/wordprocessingShape">
                    <wps:wsp>
                      <wps:cNvSpPr/>
                      <wps:spPr>
                        <a:xfrm>
                          <a:off x="2688525" y="3427575"/>
                          <a:ext cx="5314950" cy="704850"/>
                        </a:xfrm>
                        <a:prstGeom prst="rect">
                          <a:avLst/>
                        </a:prstGeom>
                        <a:noFill/>
                        <a:ln w="28575" cap="flat" cmpd="sng">
                          <a:solidFill>
                            <a:srgbClr val="002060"/>
                          </a:solidFill>
                          <a:prstDash val="solid"/>
                          <a:round/>
                          <a:headEnd type="none" w="sm" len="sm"/>
                          <a:tailEnd type="none" w="sm" len="sm"/>
                        </a:ln>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698500</wp:posOffset>
                </wp:positionH>
                <wp:positionV relativeFrom="paragraph">
                  <wp:posOffset>127000</wp:posOffset>
                </wp:positionV>
                <wp:extent cx="5343525" cy="733425"/>
                <wp:effectExtent b="0" l="0" r="0" t="0"/>
                <wp:wrapNone/>
                <wp:docPr id="7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343525" cy="733425"/>
                        </a:xfrm>
                        <a:prstGeom prst="rect"/>
                        <a:ln/>
                      </pic:spPr>
                    </pic:pic>
                  </a:graphicData>
                </a:graphic>
              </wp:anchor>
            </w:drawing>
          </mc:Fallback>
        </mc:AlternateContent>
      </w: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81650" cy="4343400"/>
            <wp:effectExtent l="0" t="0" r="0" b="0"/>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581650" cy="4343400"/>
                    </a:xfrm>
                    <a:prstGeom prst="rect">
                      <a:avLst/>
                    </a:prstGeom>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152400</wp:posOffset>
                </wp:positionH>
                <wp:positionV relativeFrom="paragraph">
                  <wp:posOffset>3556000</wp:posOffset>
                </wp:positionV>
                <wp:extent cx="5400675" cy="619125"/>
                <wp:effectExtent l="0" t="0" r="0" b="0"/>
                <wp:wrapNone/>
                <wp:docPr id="78" name=""/>
                <wp:cNvGraphicFramePr/>
                <a:graphic xmlns:a="http://schemas.openxmlformats.org/drawingml/2006/main">
                  <a:graphicData uri="http://schemas.microsoft.com/office/word/2010/wordprocessingShape">
                    <wps:wsp>
                      <wps:cNvSpPr/>
                      <wps:spPr>
                        <a:xfrm>
                          <a:off x="2659950" y="3484725"/>
                          <a:ext cx="5372100" cy="590550"/>
                        </a:xfrm>
                        <a:prstGeom prst="rect">
                          <a:avLst/>
                        </a:prstGeom>
                        <a:noFill/>
                        <a:ln w="28575" cap="flat" cmpd="sng">
                          <a:solidFill>
                            <a:srgbClr val="002060"/>
                          </a:solidFill>
                          <a:prstDash val="solid"/>
                          <a:round/>
                          <a:headEnd type="none" w="sm" len="sm"/>
                          <a:tailEnd type="none" w="sm" len="sm"/>
                        </a:ln>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152400</wp:posOffset>
                </wp:positionH>
                <wp:positionV relativeFrom="paragraph">
                  <wp:posOffset>3556000</wp:posOffset>
                </wp:positionV>
                <wp:extent cx="5400675" cy="619125"/>
                <wp:effectExtent b="0" l="0" r="0" t="0"/>
                <wp:wrapNone/>
                <wp:docPr id="78"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5400675" cy="619125"/>
                        </a:xfrm>
                        <a:prstGeom prst="rect"/>
                        <a:ln/>
                      </pic:spPr>
                    </pic:pic>
                  </a:graphicData>
                </a:graphic>
              </wp:anchor>
            </w:drawing>
          </mc:Fallback>
        </mc:AlternateContent>
      </w: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Dichos documentos se pusieron a la vista del particular en fecha </w:t>
      </w:r>
      <w:r>
        <w:rPr>
          <w:rFonts w:ascii="Palatino Linotype" w:eastAsia="Palatino Linotype" w:hAnsi="Palatino Linotype" w:cs="Palatino Linotype"/>
          <w:b/>
        </w:rPr>
        <w:t>cuatro de febrero de dos mil veintidós</w:t>
      </w:r>
      <w:r>
        <w:rPr>
          <w:rFonts w:ascii="Palatino Linotype" w:eastAsia="Palatino Linotype" w:hAnsi="Palatino Linotype" w:cs="Palatino Linotype"/>
        </w:rPr>
        <w:t xml:space="preserve">, asimismo cabe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emitir pronunciamientos, ofrecer pruebas o alegatos, por lo que se tiene por precluido su derecho.</w:t>
      </w:r>
    </w:p>
    <w:p w:rsidR="00C46782" w:rsidRDefault="00A42285">
      <w:pPr>
        <w:widowControl w:val="0"/>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extent cx="5581650" cy="1981200"/>
            <wp:effectExtent l="0" t="0" r="0" b="0"/>
            <wp:docPr id="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581650" cy="1981200"/>
                    </a:xfrm>
                    <a:prstGeom prst="rect">
                      <a:avLst/>
                    </a:prstGeom>
                    <a:ln/>
                  </pic:spPr>
                </pic:pic>
              </a:graphicData>
            </a:graphic>
          </wp:inline>
        </w:drawing>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once</w:t>
      </w:r>
      <w:r>
        <w:rPr>
          <w:rFonts w:ascii="Palatino Linotype" w:eastAsia="Palatino Linotype" w:hAnsi="Palatino Linotype" w:cs="Palatino Linotype"/>
          <w:b/>
          <w:color w:val="000000"/>
        </w:rPr>
        <w:t xml:space="preserve"> de febrero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veintitrés de</w:t>
      </w:r>
      <w:r>
        <w:rPr>
          <w:rFonts w:ascii="Palatino Linotype" w:eastAsia="Palatino Linotype" w:hAnsi="Palatino Linotype" w:cs="Palatino Linotype"/>
          <w:b/>
          <w:strike/>
        </w:rPr>
        <w:t xml:space="preserve"> </w:t>
      </w:r>
      <w:r>
        <w:rPr>
          <w:rFonts w:ascii="Palatino Linotype" w:eastAsia="Palatino Linotype" w:hAnsi="Palatino Linotype" w:cs="Palatino Linotype"/>
          <w:b/>
          <w:color w:val="000000"/>
        </w:rPr>
        <w:t>marzo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rsidR="00C46782" w:rsidRDefault="00A4228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C46782" w:rsidRDefault="00A4228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veintiuno de enero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veinticuatro de enero 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C46782" w:rsidRDefault="00A42285">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o seudónimo </w:t>
      </w:r>
      <w:r>
        <w:rPr>
          <w:rFonts w:ascii="Palatino Linotype" w:eastAsia="Palatino Linotype" w:hAnsi="Palatino Linotype" w:cs="Palatino Linotype"/>
          <w:color w:val="000000"/>
        </w:rPr>
        <w:lastRenderedPageBreak/>
        <w:t>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46782" w:rsidRDefault="00A42285">
      <w:pPr>
        <w:spacing w:before="240" w:after="240" w:line="276" w:lineRule="auto"/>
        <w:ind w:left="567"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rsidR="00C46782" w:rsidRDefault="00A42285">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la parte Recurrente e</w:t>
      </w:r>
      <w:r>
        <w:rPr>
          <w:rFonts w:ascii="Palatino Linotype" w:eastAsia="Palatino Linotype" w:hAnsi="Palatino Linotype" w:cs="Palatino Linotype"/>
        </w:rPr>
        <w:t>n sus motivos de inconformidad, de acuerdo al artículo 179, fracción I del ordenamiento legal citado, que a la letra dice: </w:t>
      </w:r>
    </w:p>
    <w:p w:rsidR="00C46782" w:rsidRDefault="00A4228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C46782" w:rsidRDefault="00A4228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46782" w:rsidRDefault="00A42285">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 La negativa a la información solicitada;</w:t>
      </w:r>
    </w:p>
    <w:p w:rsidR="00C46782" w:rsidRDefault="00A42285">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C46782" w:rsidRDefault="00A42285">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C46782" w:rsidRDefault="00A42285">
      <w:pPr>
        <w:numPr>
          <w:ilvl w:val="0"/>
          <w:numId w:val="1"/>
        </w:numPr>
        <w:pBdr>
          <w:top w:val="nil"/>
          <w:left w:val="nil"/>
          <w:bottom w:val="nil"/>
          <w:right w:val="nil"/>
          <w:between w:val="nil"/>
        </w:pBdr>
        <w:tabs>
          <w:tab w:val="left" w:pos="7513"/>
        </w:tabs>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Todas las altas de la gente que ingresa al ayuntamiento</w:t>
      </w:r>
    </w:p>
    <w:p w:rsidR="00C46782" w:rsidRDefault="00A42285">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Director de Administración, y a su vez del Subdirector de Recursos Humanos, que no se habían realizado altas de personal.</w:t>
      </w:r>
    </w:p>
    <w:p w:rsidR="00C46782" w:rsidRDefault="00A42285">
      <w:pPr>
        <w:tabs>
          <w:tab w:val="left" w:pos="7513"/>
        </w:tabs>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297491" cy="6304852"/>
            <wp:effectExtent l="0" t="0" r="0" b="0"/>
            <wp:docPr id="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297491" cy="6304852"/>
                    </a:xfrm>
                    <a:prstGeom prst="rect">
                      <a:avLst/>
                    </a:prstGeom>
                    <a:ln/>
                  </pic:spPr>
                </pic:pic>
              </a:graphicData>
            </a:graphic>
          </wp:inline>
        </w:drawing>
      </w:r>
    </w:p>
    <w:p w:rsidR="00C46782" w:rsidRDefault="00A42285">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 xml:space="preserve">“DE CONFORMIDAD CON </w:t>
      </w:r>
      <w:r>
        <w:rPr>
          <w:rFonts w:ascii="Palatino Linotype" w:eastAsia="Palatino Linotype" w:hAnsi="Palatino Linotype" w:cs="Palatino Linotype"/>
          <w:i/>
        </w:rPr>
        <w:lastRenderedPageBreak/>
        <w:t xml:space="preserve">LO QUE ESTABLECE LA LEY DEL TRABAJO DE LOS SERVIDORES PUBLICOS DEL ESTADO DE MEXICO Y MUNICIPIOS, LA RELACIÓN LABORAL DE LOS TRABAJADORES SE TIENE ENTENDIDA MEDIANTE UN FORMATO UNICO DE MOVIMIENTOS DE PERSONAL, NOMBRAMIENTO, CONTRATO Y SOBRE DICHAS DOCUMENTALES SE TIENE QUE REALIZAR UN MOVIMIENTO DE ALTA, SI EMBARGO LA RESPUESTA DEL SERVIDOR PUBLICO HABILITADO SE LIMITA A DECIR QUE POR FALTA DE PRESUPUESTO NO SE HAN REALIZADO ALTAS, SIN EMBARGO </w:t>
      </w:r>
      <w:r>
        <w:rPr>
          <w:rFonts w:ascii="Palatino Linotype" w:eastAsia="Palatino Linotype" w:hAnsi="Palatino Linotype" w:cs="Palatino Linotype"/>
          <w:b/>
          <w:i/>
          <w:u w:val="single"/>
        </w:rPr>
        <w:t>EL NUEVO AYUNTAMIENTO ES INTEGRADO POR UN CABILDO, TITULARES DE LA ESTRUCTURA ORGANICA Y DEMAS PERSONAL QUE SE ENCUENTRA LABORANDO EN LAS OFICINAS,</w:t>
      </w:r>
      <w:r>
        <w:rPr>
          <w:rFonts w:ascii="Palatino Linotype" w:eastAsia="Palatino Linotype" w:hAnsi="Palatino Linotype" w:cs="Palatino Linotype"/>
          <w:i/>
        </w:rPr>
        <w:t xml:space="preserve"> COMO EJEMPLO CLARO LO MUESTRA EL PROPIO SERVIDOR PÚBLICO HABILITADO EN EL SELLO DE RECEPCIÓN DE LA DIRECCIÓN DE ADMINISTRACIÓN YA QUE QUIEN RECIBE LLEVA EL NOMBRE DE "CRISTINA LOPEZ". ASIMISMO ES DE RESALTAR LA POCA IMPORTANCIA QUE LE DA EL SERVIDOR PUBLICO HABILITADO A LOS REQUERIMIENTOS DE INFORMACIÓN PUBLICA, TODA VEZ QUE EN EL OFICIO SIGNADO POR EL COORDINADOR DE RECURSOS HUMANOS REFIERE EN EL RUBRO QUE SE TRATA DE LA "SUBDIRECCIÓN DE RECURSOS HUMANOS" CUANDO SE FIRMA COMO COORDINACIÓN; DE IGUAL MANERA REDACTA Y LO CITO "En respuesta a la solicitud MTM058/DA/008" REDACCIÓN QUE ES TOTALMENTE ERRONEA PUES EL FOLIO DE MI SOLICITUD ES" 0015/TENANCIN/IP/2022" POR ULTIMO NO SE OMITE MENCIONAR QUE LA TITULAR DE LA UNIDAD DE TRANSPARENCIA INCUMPLE CON LO ESTABLECIDO EN LA LEY DE TRANSPARENCIA LOCAL, PUES ESTA SEÑALA QUE SE DEBERÁ TURNAR A TODAS LAS AREAS QUE PUEDAN CONTAR CON LA INFORMACIÓN SOLICITADA, Y SOLO SE LIMITA A TURNARLA A LA DIRECCIÓN DE ADMINISTRACIÓN OMITIENDO A LA TESORERIA MUNICIPAL, AREA QUE PUEDE CONTAR CON LO REQUERIDO TODA VEZ QUE ES QUIEN GENERA ALTAS ANTE ISSEMYM Y PARA SU DEBIDO PAGO. ANTE LA NEGATIVA DE LA INFORMACIÓN SOLICITADA Y LA FALTA DE COMPROMISO AL ATENDER LAS SOLICITUDES DE INFORMACIÓN PUBLICA SOLICITO SE ORDENE AL SUJETO OBLIGADO A ENTREGAR LA </w:t>
      </w:r>
      <w:r>
        <w:rPr>
          <w:rFonts w:ascii="Palatino Linotype" w:eastAsia="Palatino Linotype" w:hAnsi="Palatino Linotype" w:cs="Palatino Linotype"/>
          <w:i/>
        </w:rPr>
        <w:lastRenderedPageBreak/>
        <w:t>INFORMACIÓN SOLICITADA AL SER INFORMACION DE CARACTER PUBLICA.” (Sic)</w:t>
      </w:r>
    </w:p>
    <w:p w:rsidR="00C46782" w:rsidRDefault="00A42285">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los archivos electrónicos: </w:t>
      </w:r>
      <w:r>
        <w:rPr>
          <w:rFonts w:ascii="Palatino Linotype" w:eastAsia="Palatino Linotype" w:hAnsi="Palatino Linotype" w:cs="Palatino Linotype"/>
          <w:b/>
          <w:i/>
        </w:rPr>
        <w:t xml:space="preserve">“294 cont.pdf” y “SEGUNDA SESION EXTRAORDINARIA.pdf”, </w:t>
      </w:r>
      <w:r>
        <w:rPr>
          <w:rFonts w:ascii="Palatino Linotype" w:eastAsia="Palatino Linotype" w:hAnsi="Palatino Linotype" w:cs="Palatino Linotype"/>
        </w:rPr>
        <w:t xml:space="preserve">los cuales medularmente ratifican la respuesta,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mejor proveer del presente estudio, se insertan capturas de pantalla en las que se aprecia el contenido del informe justificado, el cual se dio medularmente en los siguientes términos:</w:t>
      </w:r>
    </w:p>
    <w:p w:rsidR="00C46782" w:rsidRDefault="00A42285">
      <w:pPr>
        <w:widowControl w:val="0"/>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Respecto del archivo digital </w:t>
      </w:r>
      <w:r>
        <w:rPr>
          <w:rFonts w:ascii="Palatino Linotype" w:eastAsia="Palatino Linotype" w:hAnsi="Palatino Linotype" w:cs="Palatino Linotype"/>
          <w:b/>
          <w:i/>
        </w:rPr>
        <w:t xml:space="preserve">“294 cont.pdf”, </w:t>
      </w:r>
      <w:r>
        <w:rPr>
          <w:rFonts w:ascii="Palatino Linotype" w:eastAsia="Palatino Linotype" w:hAnsi="Palatino Linotype" w:cs="Palatino Linotype"/>
        </w:rPr>
        <w:t xml:space="preserve">resulta pertinente traer a colación los siguientes argumentos vertidos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50801</wp:posOffset>
                </wp:positionH>
                <wp:positionV relativeFrom="paragraph">
                  <wp:posOffset>558800</wp:posOffset>
                </wp:positionV>
                <wp:extent cx="5191125" cy="3067050"/>
                <wp:effectExtent l="0" t="0" r="0" b="0"/>
                <wp:wrapNone/>
                <wp:docPr id="71" name=""/>
                <wp:cNvGraphicFramePr/>
                <a:graphic xmlns:a="http://schemas.openxmlformats.org/drawingml/2006/main">
                  <a:graphicData uri="http://schemas.microsoft.com/office/word/2010/wordprocessingShape">
                    <wps:wsp>
                      <wps:cNvCnPr/>
                      <wps:spPr>
                        <a:xfrm>
                          <a:off x="2755200" y="2251238"/>
                          <a:ext cx="5181600" cy="3057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558800</wp:posOffset>
                </wp:positionV>
                <wp:extent cx="5191125" cy="3067050"/>
                <wp:effectExtent b="0" l="0" r="0" t="0"/>
                <wp:wrapNone/>
                <wp:docPr id="7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5191125" cy="3067050"/>
                        </a:xfrm>
                        <a:prstGeom prst="rect"/>
                        <a:ln/>
                      </pic:spPr>
                    </pic:pic>
                  </a:graphicData>
                </a:graphic>
              </wp:anchor>
            </w:drawing>
          </mc:Fallback>
        </mc:AlternateContent>
      </w:r>
    </w:p>
    <w:p w:rsidR="00C46782" w:rsidRDefault="00C46782">
      <w:pPr>
        <w:widowControl w:val="0"/>
        <w:spacing w:before="240" w:after="240" w:line="360" w:lineRule="auto"/>
        <w:ind w:left="567" w:right="851"/>
        <w:jc w:val="both"/>
        <w:rPr>
          <w:rFonts w:ascii="Palatino Linotype" w:eastAsia="Palatino Linotype" w:hAnsi="Palatino Linotype" w:cs="Palatino Linotype"/>
          <w:b/>
          <w:i/>
        </w:rPr>
      </w:pP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noProof/>
          <w:lang w:val="es-MX"/>
        </w:rPr>
        <w:drawing>
          <wp:inline distT="0" distB="0" distL="0" distR="0">
            <wp:extent cx="4787812" cy="6104047"/>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87812" cy="6104047"/>
                    </a:xfrm>
                    <a:prstGeom prst="rect">
                      <a:avLst/>
                    </a:prstGeom>
                    <a:ln/>
                  </pic:spPr>
                </pic:pic>
              </a:graphicData>
            </a:graphic>
          </wp:inline>
        </w:drawing>
      </w:r>
    </w:p>
    <w:p w:rsidR="00C46782" w:rsidRDefault="00C46782">
      <w:pPr>
        <w:widowControl w:val="0"/>
        <w:spacing w:before="240" w:after="240" w:line="360" w:lineRule="auto"/>
        <w:ind w:right="49"/>
        <w:jc w:val="both"/>
        <w:rPr>
          <w:rFonts w:ascii="Palatino Linotype" w:eastAsia="Palatino Linotype" w:hAnsi="Palatino Linotype" w:cs="Palatino Linotype"/>
        </w:rPr>
      </w:pP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81650" cy="6867525"/>
            <wp:effectExtent l="0" t="0" r="0" b="0"/>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581650" cy="6867525"/>
                    </a:xfrm>
                    <a:prstGeom prst="rect">
                      <a:avLst/>
                    </a:prstGeom>
                    <a:ln/>
                  </pic:spPr>
                </pic:pic>
              </a:graphicData>
            </a:graphic>
          </wp:inline>
        </w:drawing>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304800</wp:posOffset>
                </wp:positionH>
                <wp:positionV relativeFrom="paragraph">
                  <wp:posOffset>4064000</wp:posOffset>
                </wp:positionV>
                <wp:extent cx="5048250" cy="600075"/>
                <wp:effectExtent l="0" t="0" r="0" b="0"/>
                <wp:wrapNone/>
                <wp:docPr id="74" name=""/>
                <wp:cNvGraphicFramePr/>
                <a:graphic xmlns:a="http://schemas.openxmlformats.org/drawingml/2006/main">
                  <a:graphicData uri="http://schemas.microsoft.com/office/word/2010/wordprocessingShape">
                    <wps:wsp>
                      <wps:cNvSpPr/>
                      <wps:spPr>
                        <a:xfrm>
                          <a:off x="2836163" y="3494250"/>
                          <a:ext cx="5019675" cy="571500"/>
                        </a:xfrm>
                        <a:prstGeom prst="rect">
                          <a:avLst/>
                        </a:prstGeom>
                        <a:noFill/>
                        <a:ln w="28575" cap="flat" cmpd="sng">
                          <a:solidFill>
                            <a:srgbClr val="002060"/>
                          </a:solidFill>
                          <a:prstDash val="solid"/>
                          <a:round/>
                          <a:headEnd type="none" w="sm" len="sm"/>
                          <a:tailEnd type="none" w="sm" len="sm"/>
                        </a:ln>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wp:posOffset>
                </wp:positionH>
                <wp:positionV relativeFrom="paragraph">
                  <wp:posOffset>4064000</wp:posOffset>
                </wp:positionV>
                <wp:extent cx="5048250" cy="600075"/>
                <wp:effectExtent b="0" l="0" r="0" t="0"/>
                <wp:wrapNone/>
                <wp:docPr id="74"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5048250" cy="600075"/>
                        </a:xfrm>
                        <a:prstGeom prst="rect"/>
                        <a:ln/>
                      </pic:spPr>
                    </pic:pic>
                  </a:graphicData>
                </a:graphic>
              </wp:anchor>
            </w:drawing>
          </mc:Fallback>
        </mc:AlternateContent>
      </w:r>
    </w:p>
    <w:p w:rsidR="00C46782" w:rsidRDefault="00C46782">
      <w:pPr>
        <w:widowControl w:val="0"/>
        <w:spacing w:before="240" w:after="240" w:line="360" w:lineRule="auto"/>
        <w:ind w:right="49"/>
        <w:jc w:val="both"/>
        <w:rPr>
          <w:rFonts w:ascii="Palatino Linotype" w:eastAsia="Palatino Linotype" w:hAnsi="Palatino Linotype" w:cs="Palatino Linotype"/>
        </w:rPr>
      </w:pPr>
    </w:p>
    <w:p w:rsidR="00C46782" w:rsidRDefault="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lastRenderedPageBreak/>
        <w:t>“SEGUNDA SESION EXTRAORDINARIA.pdf”</w:t>
      </w:r>
      <w:r>
        <w:rPr>
          <w:rFonts w:ascii="Palatino Linotype" w:eastAsia="Palatino Linotype" w:hAnsi="Palatino Linotype" w:cs="Palatino Linotype"/>
        </w:rPr>
        <w:t>: Archivo digital que se compone de cuatro fojas y consiste en el acta de la Segunda Sesión Extraordinaria del Comité de Transparencia de Tenancingo, correspondiente al ejercicio 2022-2024, mediante el cual se aprueba la confirmación de la respuesta emitida inicialmente.</w:t>
      </w:r>
    </w:p>
    <w:p w:rsidR="00C46782" w:rsidRDefault="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746889" cy="5217521"/>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46889" cy="5217521"/>
                    </a:xfrm>
                    <a:prstGeom prst="rect">
                      <a:avLst/>
                    </a:prstGeom>
                    <a:ln/>
                  </pic:spPr>
                </pic:pic>
              </a:graphicData>
            </a:graphic>
          </wp:inline>
        </w:drawing>
      </w:r>
    </w:p>
    <w:p w:rsidR="00C46782" w:rsidRDefault="00C46782">
      <w:pPr>
        <w:widowControl w:val="0"/>
        <w:spacing w:before="240" w:after="240" w:line="360" w:lineRule="auto"/>
        <w:ind w:left="567" w:right="851"/>
        <w:jc w:val="both"/>
        <w:rPr>
          <w:rFonts w:ascii="Palatino Linotype" w:eastAsia="Palatino Linotype" w:hAnsi="Palatino Linotype" w:cs="Palatino Linotype"/>
        </w:rPr>
      </w:pPr>
    </w:p>
    <w:p w:rsidR="00C46782" w:rsidRDefault="00A42285">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72125" cy="6600825"/>
            <wp:effectExtent l="0" t="0" r="0" b="0"/>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572125" cy="6600825"/>
                    </a:xfrm>
                    <a:prstGeom prst="rect">
                      <a:avLst/>
                    </a:prstGeom>
                    <a:ln/>
                  </pic:spPr>
                </pic:pic>
              </a:graphicData>
            </a:graphic>
          </wp:inline>
        </w:drawing>
      </w:r>
      <w:r>
        <w:rPr>
          <w:noProof/>
          <w:lang w:val="es-MX"/>
        </w:rPr>
        <mc:AlternateContent>
          <mc:Choice Requires="wpg">
            <w:drawing>
              <wp:anchor distT="0" distB="0" distL="114300" distR="114300" simplePos="0" relativeHeight="251664384" behindDoc="0" locked="0" layoutInCell="1" hidden="0" allowOverlap="1">
                <wp:simplePos x="0" y="0"/>
                <wp:positionH relativeFrom="column">
                  <wp:posOffset>698500</wp:posOffset>
                </wp:positionH>
                <wp:positionV relativeFrom="paragraph">
                  <wp:posOffset>127000</wp:posOffset>
                </wp:positionV>
                <wp:extent cx="5343525" cy="733425"/>
                <wp:effectExtent l="0" t="0" r="0" b="0"/>
                <wp:wrapNone/>
                <wp:docPr id="73" name=""/>
                <wp:cNvGraphicFramePr/>
                <a:graphic xmlns:a="http://schemas.openxmlformats.org/drawingml/2006/main">
                  <a:graphicData uri="http://schemas.microsoft.com/office/word/2010/wordprocessingShape">
                    <wps:wsp>
                      <wps:cNvSpPr/>
                      <wps:spPr>
                        <a:xfrm>
                          <a:off x="2688525" y="3427575"/>
                          <a:ext cx="5314950" cy="704850"/>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901"/>
                            </a:srgbClr>
                          </a:outerShdw>
                        </a:effectLst>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698500</wp:posOffset>
                </wp:positionH>
                <wp:positionV relativeFrom="paragraph">
                  <wp:posOffset>127000</wp:posOffset>
                </wp:positionV>
                <wp:extent cx="5343525" cy="733425"/>
                <wp:effectExtent b="0" l="0" r="0" t="0"/>
                <wp:wrapNone/>
                <wp:docPr id="73"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5343525" cy="733425"/>
                        </a:xfrm>
                        <a:prstGeom prst="rect"/>
                        <a:ln/>
                      </pic:spPr>
                    </pic:pic>
                  </a:graphicData>
                </a:graphic>
              </wp:anchor>
            </w:drawing>
          </mc:Fallback>
        </mc:AlternateContent>
      </w:r>
    </w:p>
    <w:p w:rsidR="00C46782" w:rsidRDefault="00A42285">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81650" cy="4343400"/>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581650" cy="4343400"/>
                    </a:xfrm>
                    <a:prstGeom prst="rect">
                      <a:avLst/>
                    </a:prstGeom>
                    <a:ln/>
                  </pic:spPr>
                </pic:pic>
              </a:graphicData>
            </a:graphic>
          </wp:inline>
        </w:drawing>
      </w:r>
      <w:r>
        <w:rPr>
          <w:noProof/>
          <w:lang w:val="es-MX"/>
        </w:rPr>
        <mc:AlternateContent>
          <mc:Choice Requires="wpg">
            <w:drawing>
              <wp:anchor distT="0" distB="0" distL="114300" distR="114300" simplePos="0" relativeHeight="251665408" behindDoc="0" locked="0" layoutInCell="1" hidden="0" allowOverlap="1">
                <wp:simplePos x="0" y="0"/>
                <wp:positionH relativeFrom="column">
                  <wp:posOffset>152400</wp:posOffset>
                </wp:positionH>
                <wp:positionV relativeFrom="paragraph">
                  <wp:posOffset>3556000</wp:posOffset>
                </wp:positionV>
                <wp:extent cx="5400675" cy="619125"/>
                <wp:effectExtent l="0" t="0" r="0" b="0"/>
                <wp:wrapNone/>
                <wp:docPr id="79" name=""/>
                <wp:cNvGraphicFramePr/>
                <a:graphic xmlns:a="http://schemas.openxmlformats.org/drawingml/2006/main">
                  <a:graphicData uri="http://schemas.microsoft.com/office/word/2010/wordprocessingShape">
                    <wps:wsp>
                      <wps:cNvSpPr/>
                      <wps:spPr>
                        <a:xfrm>
                          <a:off x="2659950" y="3484725"/>
                          <a:ext cx="5372100" cy="590550"/>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901"/>
                            </a:srgbClr>
                          </a:outerShdw>
                        </a:effectLst>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152400</wp:posOffset>
                </wp:positionH>
                <wp:positionV relativeFrom="paragraph">
                  <wp:posOffset>3556000</wp:posOffset>
                </wp:positionV>
                <wp:extent cx="5400675" cy="619125"/>
                <wp:effectExtent b="0" l="0" r="0" t="0"/>
                <wp:wrapNone/>
                <wp:docPr id="79"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5400675" cy="619125"/>
                        </a:xfrm>
                        <a:prstGeom prst="rect"/>
                        <a:ln/>
                      </pic:spPr>
                    </pic:pic>
                  </a:graphicData>
                </a:graphic>
              </wp:anchor>
            </w:drawing>
          </mc:Fallback>
        </mc:AlternateConten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w:t>
      </w:r>
      <w:r>
        <w:rPr>
          <w:rFonts w:ascii="Palatino Linotype" w:eastAsia="Palatino Linotype" w:hAnsi="Palatino Linotype" w:cs="Palatino Linotype"/>
          <w:color w:val="000000"/>
        </w:rPr>
        <w:t>se procede al análisis</w:t>
      </w:r>
      <w:r>
        <w:rPr>
          <w:rFonts w:ascii="Palatino Linotype" w:eastAsia="Palatino Linotype" w:hAnsi="Palatino Linotype" w:cs="Palatino Linotype"/>
        </w:rPr>
        <w:t xml:space="preserve"> de 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efecto de determinar si satisface el derecho de acceso a la información pública, de lo cual se obtuvo lo siguiente: </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l Servidor Público </w:t>
      </w:r>
      <w:r>
        <w:rPr>
          <w:rFonts w:ascii="Palatino Linotype" w:eastAsia="Palatino Linotype" w:hAnsi="Palatino Linotype" w:cs="Palatino Linotype"/>
          <w:color w:val="000000"/>
        </w:rPr>
        <w:lastRenderedPageBreak/>
        <w:t xml:space="preserve">Habilitado competente, </w:t>
      </w:r>
      <w:r>
        <w:rPr>
          <w:rFonts w:ascii="Palatino Linotype" w:eastAsia="Palatino Linotype" w:hAnsi="Palatino Linotype" w:cs="Palatino Linotype"/>
        </w:rPr>
        <w:t xml:space="preserve">quien funge dentro de la administración municipal como Director de Administración y a su vez, remitió el archivo electrónico que fue puesto a disposición de la parte solicitante en respuesta a su solicitud, para mayor referencia resulta importante traer a colación las siguientes capturas de pantalla: </w:t>
      </w:r>
      <w:r>
        <w:rPr>
          <w:noProof/>
          <w:lang w:val="es-MX"/>
        </w:rPr>
        <w:drawing>
          <wp:anchor distT="0" distB="0" distL="114300" distR="114300" simplePos="0" relativeHeight="251666432" behindDoc="0" locked="0" layoutInCell="1" hidden="0" allowOverlap="1">
            <wp:simplePos x="0" y="0"/>
            <wp:positionH relativeFrom="column">
              <wp:posOffset>-471169</wp:posOffset>
            </wp:positionH>
            <wp:positionV relativeFrom="paragraph">
              <wp:posOffset>2045335</wp:posOffset>
            </wp:positionV>
            <wp:extent cx="6780530" cy="962025"/>
            <wp:effectExtent l="0" t="0" r="0" b="0"/>
            <wp:wrapTopAndBottom distT="0" dist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780530" cy="962025"/>
                    </a:xfrm>
                    <a:prstGeom prst="rect">
                      <a:avLst/>
                    </a:prstGeom>
                    <a:ln/>
                  </pic:spPr>
                </pic:pic>
              </a:graphicData>
            </a:graphic>
          </wp:anchor>
        </w:drawing>
      </w:r>
      <w:r>
        <w:rPr>
          <w:noProof/>
          <w:lang w:val="es-MX"/>
        </w:rPr>
        <mc:AlternateContent>
          <mc:Choice Requires="wpg">
            <w:drawing>
              <wp:anchor distT="0" distB="0" distL="114300" distR="114300" simplePos="0" relativeHeight="251667456" behindDoc="0" locked="0" layoutInCell="1" hidden="0" allowOverlap="1">
                <wp:simplePos x="0" y="0"/>
                <wp:positionH relativeFrom="column">
                  <wp:posOffset>1003300</wp:posOffset>
                </wp:positionH>
                <wp:positionV relativeFrom="paragraph">
                  <wp:posOffset>2209800</wp:posOffset>
                </wp:positionV>
                <wp:extent cx="600075" cy="457200"/>
                <wp:effectExtent l="0" t="0" r="0" b="0"/>
                <wp:wrapNone/>
                <wp:docPr id="75" name=""/>
                <wp:cNvGraphicFramePr/>
                <a:graphic xmlns:a="http://schemas.openxmlformats.org/drawingml/2006/main">
                  <a:graphicData uri="http://schemas.microsoft.com/office/word/2010/wordprocessingShape">
                    <wps:wsp>
                      <wps:cNvSpPr/>
                      <wps:spPr>
                        <a:xfrm>
                          <a:off x="5060250" y="3565688"/>
                          <a:ext cx="571500" cy="428625"/>
                        </a:xfrm>
                        <a:prstGeom prst="rect">
                          <a:avLst/>
                        </a:prstGeom>
                        <a:noFill/>
                        <a:ln w="28575" cap="flat" cmpd="sng">
                          <a:solidFill>
                            <a:srgbClr val="002060"/>
                          </a:solidFill>
                          <a:prstDash val="solid"/>
                          <a:round/>
                          <a:headEnd type="none" w="sm" len="sm"/>
                          <a:tailEnd type="none" w="sm" len="sm"/>
                        </a:ln>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1003300</wp:posOffset>
                </wp:positionH>
                <wp:positionV relativeFrom="paragraph">
                  <wp:posOffset>2209800</wp:posOffset>
                </wp:positionV>
                <wp:extent cx="600075" cy="457200"/>
                <wp:effectExtent b="0" l="0" r="0" t="0"/>
                <wp:wrapNone/>
                <wp:docPr id="75"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600075" cy="457200"/>
                        </a:xfrm>
                        <a:prstGeom prst="rect"/>
                        <a:ln/>
                      </pic:spPr>
                    </pic:pic>
                  </a:graphicData>
                </a:graphic>
              </wp:anchor>
            </w:drawing>
          </mc:Fallback>
        </mc:AlternateContent>
      </w:r>
    </w:p>
    <w:p w:rsidR="00C46782" w:rsidRDefault="00C46782">
      <w:pPr>
        <w:widowControl w:val="0"/>
        <w:tabs>
          <w:tab w:val="left" w:pos="1701"/>
          <w:tab w:val="left" w:pos="1843"/>
        </w:tabs>
        <w:spacing w:before="240" w:after="240" w:line="360" w:lineRule="auto"/>
        <w:rPr>
          <w:rFonts w:ascii="Palatino Linotype" w:eastAsia="Palatino Linotype" w:hAnsi="Palatino Linotype" w:cs="Palatino Linotype"/>
        </w:rPr>
      </w:pPr>
    </w:p>
    <w:p w:rsidR="00C46782" w:rsidRDefault="00A422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resulta pertinente traer a colación lo previsto por el Bando Municipal de Tenancingo, así como el Código Reglamentario vigente para dilucidar las funciones de la Dirección de Administración y a su vez, la Coordinación de Recursos Humanos: </w:t>
      </w:r>
    </w:p>
    <w:p w:rsidR="00C46782" w:rsidRDefault="00A42285">
      <w:pPr>
        <w:spacing w:before="240" w:after="240" w:line="360" w:lineRule="auto"/>
        <w:ind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Bando de Policía y Gobierno Municipal de Tenancingo, Estado de México, 2022.</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 La estructura de la administración pública municipal centralizada estará subordinada al Presidente Municipal, siendo esta la siguiente:</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13. Dirección de Administración:</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13.1. Coordinación de Recursos Humanos;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13.2. Coordinación de Recursos Materiales; y</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13.3. Coordinador de Parque Vehicular”</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(Énfasis añadido)</w:t>
      </w:r>
    </w:p>
    <w:p w:rsidR="00C46782" w:rsidRDefault="00A42285">
      <w:pPr>
        <w:spacing w:before="240" w:after="240" w:line="276" w:lineRule="auto"/>
        <w:ind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Código Reglamentario Para el Municipio de Tenancingo, Estado De México.</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3.45.- </w:t>
      </w:r>
      <w:r>
        <w:rPr>
          <w:rFonts w:ascii="Palatino Linotype" w:eastAsia="Palatino Linotype" w:hAnsi="Palatino Linotype" w:cs="Palatino Linotype"/>
          <w:b/>
          <w:i/>
          <w:sz w:val="22"/>
          <w:szCs w:val="22"/>
        </w:rPr>
        <w:t>El titular de la Dirección de Administración tiene las siguientes atribuciones: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Emitir las políticas, normas y lineamientos en los renglones de personal, de recursos materiales, financieros, servicios generales e informática de la Administración Pública Municipal;</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Organizar, coordinar y dirigir los sistemas de reclutamiento, selección, contratación y desarrollo de personal, adquisiciones, guarda y distribución de bienes materiales y servicios generales;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Elaborar y actualizar los manuales de operación y sistemas administrativos existentes, adecuándolos a las necesidades de la institución;</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Llevar a cabo el mantenimiento y resguardo de los bienes muebles del Ayuntamiento;</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Elaborar e instrumentar sistemas automatizados que coadyuven a una mejor Administración Pública Municipal;</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Establecer y mantener una coordinación permanente con las dependencias correspondientes para el ágil y adecuado aprovisionamiento de recursos;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Coordinar la elaboración del programa anual de adquisiciones del Ayuntamiento, con base en los lineamientos establecidos para tal efecto;</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Verificar que se cumplan las disposiciones en materia de trabajo, seguridad e higiene laboral, así como las del presente ordenamiento, respecto de los derechos y obligaciones del personal;</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Registrar las altas</w:t>
      </w:r>
      <w:r>
        <w:rPr>
          <w:rFonts w:ascii="Palatino Linotype" w:eastAsia="Palatino Linotype" w:hAnsi="Palatino Linotype" w:cs="Palatino Linotype"/>
          <w:i/>
          <w:sz w:val="22"/>
          <w:szCs w:val="22"/>
        </w:rPr>
        <w:t>, bajas, cambios, permisos y licencias por incapacidad, entre otras</w:t>
      </w:r>
      <w:r>
        <w:rPr>
          <w:rFonts w:ascii="Palatino Linotype" w:eastAsia="Palatino Linotype" w:hAnsi="Palatino Linotype" w:cs="Palatino Linotype"/>
          <w:b/>
          <w:i/>
          <w:sz w:val="22"/>
          <w:szCs w:val="22"/>
        </w:rPr>
        <w:t>, del personal y su correcta aplicación en el archivo de expedientes;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 Elaborar y distribuir oportunamente la nómina para el pago al personal que labora en el Ayuntamiento, apegándose al presupuesto autorizado y a los movimientos establecidos;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Elaborar programas de capacitación y adiestramiento de personal, conforme a las necesidades institucionales y a las propias del personal;</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Fortalecer las relaciones con las agrupaciones sindicales del Ayuntamiento para acordar los asuntos laborales del personal;</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Dotar adecuada y oportunamente a las dependencias, de acuerdo al presupuesto de egresos respectivo, de los elementos necesarios para su operación y proporcionar los servicios de correspondencia, conmutador, impresión, fotocopiado, transporte, mantenimiento de edificios, vehículos e intendencia y todos aquellos que sean necesarios para el eficaz desempeño de la oficina;</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Integrar y actualizar el catálogo general de proveedores para conocer las oportunidades de calidad y precio de los recursos materiales;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Vigilar el cumplimiento de las políticas generales establecidas para llevar a cabo las compras y suministro de los artículos y materiales solicitados;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 Elaborar los manuales de organización y procedimientos por área, los sistemas de informática y demás documentos en materia de organización que se consideren de importancia;</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 Implementar y controlar el funcionamiento del sistema de orientación e información al público;</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Coordinar, conjuntamente con las instancias correspondientes, las políticas y lineamientos a seguir en materia de organización, operación y control de la documentación generada por las dependencias municipales; y</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Las demás que le confieran otros ordenamientos.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3.46.- </w:t>
      </w:r>
      <w:r>
        <w:rPr>
          <w:rFonts w:ascii="Palatino Linotype" w:eastAsia="Palatino Linotype" w:hAnsi="Palatino Linotype" w:cs="Palatino Linotype"/>
          <w:b/>
          <w:i/>
          <w:sz w:val="22"/>
          <w:szCs w:val="22"/>
          <w:u w:val="single"/>
        </w:rPr>
        <w:t>Para el cumplimiento de sus atribuciones, la Dirección de Administración se auxiliará de las Coordinaciones de Recursos Humanos</w:t>
      </w:r>
      <w:r>
        <w:rPr>
          <w:rFonts w:ascii="Palatino Linotype" w:eastAsia="Palatino Linotype" w:hAnsi="Palatino Linotype" w:cs="Palatino Linotype"/>
          <w:i/>
          <w:sz w:val="22"/>
          <w:szCs w:val="22"/>
        </w:rPr>
        <w:t xml:space="preserve"> y de la Coordinación de Recursos Materiales y el Departamento de Control y Mantenimiento Vehicular.</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COORDINACIÓN DE RECURSOS HUMANOS</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3.47.- El titular de Recursos Humanos cuenta con las siguientes atribuciones:</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Elaborar mecanismos de control para la selección, contratación, inducción, rotación y promoción del personal al servicio del Ayuntamiento;</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Analizar y vigilar que se cumplan las disposiciones en materia de trabajo, seguridad e higiene, así como las demás normas vigentes en la institución, respecto de los derechos y obligaciones del personal;</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Aplicar las disposiciones legales laborales que rigen al personal del Ayuntamiento;</w:t>
      </w:r>
    </w:p>
    <w:p w:rsidR="00C46782" w:rsidRDefault="00A42285">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Registrar las altas</w:t>
      </w:r>
      <w:r>
        <w:rPr>
          <w:rFonts w:ascii="Palatino Linotype" w:eastAsia="Palatino Linotype" w:hAnsi="Palatino Linotype" w:cs="Palatino Linotype"/>
          <w:i/>
          <w:sz w:val="22"/>
          <w:szCs w:val="22"/>
        </w:rPr>
        <w:t xml:space="preserve">, bajas, cambios de categoría y adscripción, permisos y licencias por incapacidad, entre otras, </w:t>
      </w:r>
      <w:r>
        <w:rPr>
          <w:rFonts w:ascii="Palatino Linotype" w:eastAsia="Palatino Linotype" w:hAnsi="Palatino Linotype" w:cs="Palatino Linotype"/>
          <w:b/>
          <w:i/>
          <w:sz w:val="22"/>
          <w:szCs w:val="22"/>
        </w:rPr>
        <w:t>del personal, y su correcta aplicación en el archivo de expedientes;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Elaborar y distribuir oportunamente la nómina para el pago al personal que labora en  el Ayuntamiento, apegándose al presupuesto autorizado y descontar la percepción económica correspondiente cuando exista orden de autoridad competente;</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Elaborar programas de capacitación y adiestramiento del personal, conforme a las necesidades institucionales y a las del mismo personal;</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Fortalecer las relaciones con las agrupaciones sindicales del Ayuntamiento para acordar los asuntos laborales del personal;</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Verificar el correcto cumplimiento de los lineamientos laborales establecidos en los convenios de condiciones de trabajo del personal sindicalizado;</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IX. Elaborar los manuales de organización del Ayuntamiento, los manuales de procedimientos por área, así como su actualización, adecuándolos a las necesidades de la institución; y</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Las demás que le confieran otros ordenamientos.”</w:t>
      </w:r>
    </w:p>
    <w:p w:rsidR="00C46782" w:rsidRDefault="00A4228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46782" w:rsidRDefault="00A422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citado con antelación, se vislumbra que en el presente asunto, se pronunció la unidad administrativa competente que es la Dirección de Administración, por conducto de la Coordinación de Recursos Humanos, en el sentido de no haber realizado altas de personal.</w:t>
      </w:r>
    </w:p>
    <w:p w:rsidR="00C46782" w:rsidRDefault="00A42285">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Expuesto lo anterior, resulta conveniente apuntar que si</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bien es cierto que de acuerdo a lo establecido en el artículo 19 de la Ley Orgánica Municipal mandata que “</w:t>
      </w:r>
      <w:r>
        <w:rPr>
          <w:rFonts w:ascii="Palatino Linotype" w:eastAsia="Palatino Linotype" w:hAnsi="Palatino Linotype" w:cs="Palatino Linotype"/>
          <w:i/>
          <w:color w:val="000000"/>
          <w:sz w:val="22"/>
          <w:szCs w:val="22"/>
        </w:rPr>
        <w:t xml:space="preserve">A las nueve horas del día 1 de enero del año inmediato siguiente a aquel en que se hayan efectuado las elecciones municipales, </w:t>
      </w:r>
      <w:r>
        <w:rPr>
          <w:rFonts w:ascii="Palatino Linotype" w:eastAsia="Palatino Linotype" w:hAnsi="Palatino Linotype" w:cs="Palatino Linotype"/>
          <w:b/>
          <w:i/>
          <w:color w:val="000000"/>
          <w:sz w:val="22"/>
          <w:szCs w:val="22"/>
        </w:rPr>
        <w:t>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rPr>
        <w:t xml:space="preserve">no menos cierto es que la fecha de presentación de la solicitud data del 1 de enero de 2022, sin embargo, de conformidad con el ACUERDO MEDIANTE EL CUAL SE EXPIDE EL CALENDARIO OFICIAL EN MATERIA DE TRANSPARENCIA, ACCESO A LA INFORMACIÓN PÚBLICA Y PROTECCIÓN DE DATOS PERSONALES DEL ESTADO DE MÉXICO Y MUNICIPIOS, ASÍ COMO DE LABORES DEL INSTITUTO PARA EL AÑO DOS MIL VEINTIDÓS Y ENERO DOS MIL VEINTITRÉS, aprobado por el Pleno de este Instituto en la Cuadragésima Quinta Sesión de fecha quince de diciembre de dos mil veintiuno, esta fecha corresponde a un día inhábil, por lo que se tuvo por registrada en el </w:t>
      </w:r>
      <w:r>
        <w:rPr>
          <w:rFonts w:ascii="Palatino Linotype" w:eastAsia="Palatino Linotype" w:hAnsi="Palatino Linotype" w:cs="Palatino Linotype"/>
          <w:color w:val="000000"/>
        </w:rPr>
        <w:lastRenderedPageBreak/>
        <w:t xml:space="preserve">Sistema de Acceso a la Información Mexiquense (SAIMEX), el diez de enero de dos mil veintidós, tal como se visualiza a continuación en las capturas de pantalla: </w:t>
      </w:r>
      <w:r>
        <w:rPr>
          <w:noProof/>
          <w:lang w:val="es-MX"/>
        </w:rPr>
        <w:drawing>
          <wp:anchor distT="0" distB="0" distL="114300" distR="114300" simplePos="0" relativeHeight="251668480" behindDoc="0" locked="0" layoutInCell="1" hidden="0" allowOverlap="1">
            <wp:simplePos x="0" y="0"/>
            <wp:positionH relativeFrom="column">
              <wp:posOffset>-280034</wp:posOffset>
            </wp:positionH>
            <wp:positionV relativeFrom="paragraph">
              <wp:posOffset>738505</wp:posOffset>
            </wp:positionV>
            <wp:extent cx="6462395" cy="838200"/>
            <wp:effectExtent l="0" t="0" r="0" b="0"/>
            <wp:wrapTopAndBottom distT="0" dist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6462395" cy="838200"/>
                    </a:xfrm>
                    <a:prstGeom prst="rect">
                      <a:avLst/>
                    </a:prstGeom>
                    <a:ln/>
                  </pic:spPr>
                </pic:pic>
              </a:graphicData>
            </a:graphic>
          </wp:anchor>
        </w:drawing>
      </w:r>
      <w:r>
        <w:rPr>
          <w:noProof/>
          <w:lang w:val="es-MX"/>
        </w:rPr>
        <mc:AlternateContent>
          <mc:Choice Requires="wpg">
            <w:drawing>
              <wp:anchor distT="0" distB="0" distL="114300" distR="114300" simplePos="0" relativeHeight="251669504" behindDoc="0" locked="0" layoutInCell="1" hidden="0" allowOverlap="1">
                <wp:simplePos x="0" y="0"/>
                <wp:positionH relativeFrom="column">
                  <wp:posOffset>1498600</wp:posOffset>
                </wp:positionH>
                <wp:positionV relativeFrom="paragraph">
                  <wp:posOffset>1041400</wp:posOffset>
                </wp:positionV>
                <wp:extent cx="904875" cy="533400"/>
                <wp:effectExtent l="0" t="0" r="0" b="0"/>
                <wp:wrapNone/>
                <wp:docPr id="77" name=""/>
                <wp:cNvGraphicFramePr/>
                <a:graphic xmlns:a="http://schemas.openxmlformats.org/drawingml/2006/main">
                  <a:graphicData uri="http://schemas.microsoft.com/office/word/2010/wordprocessingShape">
                    <wps:wsp>
                      <wps:cNvSpPr/>
                      <wps:spPr>
                        <a:xfrm>
                          <a:off x="4907850" y="3527588"/>
                          <a:ext cx="876300" cy="504825"/>
                        </a:xfrm>
                        <a:prstGeom prst="rect">
                          <a:avLst/>
                        </a:prstGeom>
                        <a:noFill/>
                        <a:ln w="28575" cap="flat" cmpd="sng">
                          <a:solidFill>
                            <a:srgbClr val="002060"/>
                          </a:solidFill>
                          <a:prstDash val="solid"/>
                          <a:round/>
                          <a:headEnd type="none" w="sm" len="sm"/>
                          <a:tailEnd type="none" w="sm" len="sm"/>
                        </a:ln>
                      </wps:spPr>
                      <wps:txbx>
                        <w:txbxContent>
                          <w:p w:rsidR="00C46782" w:rsidRDefault="00C467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1498600</wp:posOffset>
                </wp:positionH>
                <wp:positionV relativeFrom="paragraph">
                  <wp:posOffset>1041400</wp:posOffset>
                </wp:positionV>
                <wp:extent cx="904875" cy="533400"/>
                <wp:effectExtent b="0" l="0" r="0" t="0"/>
                <wp:wrapNone/>
                <wp:docPr id="77"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904875" cy="533400"/>
                        </a:xfrm>
                        <a:prstGeom prst="rect"/>
                        <a:ln/>
                      </pic:spPr>
                    </pic:pic>
                  </a:graphicData>
                </a:graphic>
              </wp:anchor>
            </w:drawing>
          </mc:Fallback>
        </mc:AlternateContent>
      </w:r>
    </w:p>
    <w:p w:rsidR="00C46782" w:rsidRDefault="00C46782">
      <w:pPr>
        <w:spacing w:before="240" w:after="240" w:line="360" w:lineRule="auto"/>
        <w:ind w:right="49"/>
        <w:jc w:val="both"/>
        <w:rPr>
          <w:rFonts w:ascii="Palatino Linotype" w:eastAsia="Palatino Linotype" w:hAnsi="Palatino Linotype" w:cs="Palatino Linotype"/>
          <w:color w:val="000000"/>
        </w:rPr>
      </w:pP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es pertinente mencionar que en efecto es posible que a la fecha en la que se formuló la solicitud de información el Sujeto Obligado, esto es al primero de enero de dos mil veintidós, aún no hubiera generado el documento donde conste lo solicitado por el particular, por lo que no hay manera de dar satisfacción a la información específica requerida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debido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estas circunstancias no resulta exigible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requerirle la entrega de información que no obra en sus archivos.   </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cabe traer a cuenta lo previsto por el artículo 12, párrafo segundo de la Ley de Transparencia y Acceso a la Información Pública del Estado de México y Municipios que la letra establece:</w:t>
      </w:r>
    </w:p>
    <w:p w:rsidR="00C46782" w:rsidRDefault="00A42285">
      <w:pPr>
        <w:spacing w:before="240" w:after="240"/>
        <w:ind w:left="567" w:right="146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 </w:t>
      </w:r>
    </w:p>
    <w:p w:rsidR="00C46782" w:rsidRDefault="00A42285">
      <w:pPr>
        <w:ind w:left="567" w:right="146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manera que interpretado a </w:t>
      </w:r>
      <w:r>
        <w:rPr>
          <w:rFonts w:ascii="Palatino Linotype" w:eastAsia="Palatino Linotype" w:hAnsi="Palatino Linotype" w:cs="Palatino Linotype"/>
          <w:b/>
          <w:i/>
        </w:rPr>
        <w:t>contrario sensu</w:t>
      </w:r>
      <w:r>
        <w:rPr>
          <w:rFonts w:ascii="Palatino Linotype" w:eastAsia="Palatino Linotype" w:hAnsi="Palatino Linotype" w:cs="Palatino Linotype"/>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rsidR="00C46782" w:rsidRDefault="00A42285">
      <w:pPr>
        <w:spacing w:before="120" w:after="120"/>
        <w:ind w:left="567" w:right="146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 xml:space="preserve">. </w:t>
      </w:r>
    </w:p>
    <w:p w:rsidR="00C46782" w:rsidRDefault="00A42285">
      <w:pPr>
        <w:ind w:left="567" w:right="146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C46782" w:rsidRDefault="00C46782">
      <w:pPr>
        <w:ind w:left="567" w:right="1466"/>
        <w:jc w:val="both"/>
        <w:rPr>
          <w:rFonts w:ascii="Palatino Linotype" w:eastAsia="Palatino Linotype" w:hAnsi="Palatino Linotype" w:cs="Palatino Linotype"/>
          <w:i/>
          <w:sz w:val="22"/>
          <w:szCs w:val="22"/>
        </w:rPr>
      </w:pPr>
    </w:p>
    <w:p w:rsidR="00C46782" w:rsidRDefault="00A42285">
      <w:pPr>
        <w:spacing w:before="120" w:after="120"/>
        <w:ind w:left="567" w:right="146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rsidR="00C46782" w:rsidRDefault="00A4228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anteriormente, se reitera que además  la respuesta fue vertida por la unidad administrativa competente, ello en virtud de que la Dirección de Administración es la encargada de registrar las altas, bajas, cambios de categoría y adscripción, permisos y licencias por incapacidad, entre otras, del personal, y su correcta aplicación en el archivo de expedientes; por lo que al haber existido un pronunciamiento por parte del Servidor Público Habilitado competente, este Instituto no está facultado para manifestarse sobre la veracidad del mismo, pues no existe precepto legal alguno en la Ley de la materia que lo faculte para que vía </w:t>
      </w:r>
      <w:r>
        <w:rPr>
          <w:rFonts w:ascii="Palatino Linotype" w:eastAsia="Palatino Linotype" w:hAnsi="Palatino Linotype" w:cs="Palatino Linotype"/>
        </w:rPr>
        <w:lastRenderedPageBreak/>
        <w:t>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C46782" w:rsidRDefault="00C46782">
      <w:pPr>
        <w:tabs>
          <w:tab w:val="left" w:pos="709"/>
        </w:tabs>
        <w:ind w:left="567" w:right="1324"/>
        <w:jc w:val="both"/>
        <w:rPr>
          <w:rFonts w:ascii="Palatino Linotype" w:eastAsia="Palatino Linotype" w:hAnsi="Palatino Linotype" w:cs="Palatino Linotype"/>
          <w:b/>
          <w:i/>
          <w:sz w:val="22"/>
          <w:szCs w:val="22"/>
        </w:rPr>
      </w:pPr>
    </w:p>
    <w:p w:rsidR="00C46782" w:rsidRDefault="00A42285">
      <w:pPr>
        <w:tabs>
          <w:tab w:val="left" w:pos="709"/>
        </w:tabs>
        <w:ind w:left="567" w:right="132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rsidR="00C46782" w:rsidRDefault="00A42285">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recurso revisión, al respecto.</w:t>
      </w:r>
      <w:r>
        <w:rPr>
          <w:rFonts w:ascii="Palatino Linotype" w:eastAsia="Palatino Linotype" w:hAnsi="Palatino Linotype" w:cs="Palatino Linotype"/>
          <w:b/>
          <w:i/>
          <w:sz w:val="22"/>
          <w:szCs w:val="22"/>
        </w:rPr>
        <w:t>”</w:t>
      </w:r>
    </w:p>
    <w:p w:rsidR="00C46782" w:rsidRDefault="00A42285">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es preciso mencionar que se dejan a salvo los derechos del particular para presentar una nueva solicitud si así lo desea. </w:t>
      </w:r>
    </w:p>
    <w:p w:rsidR="00C46782" w:rsidRDefault="00A4228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Sujeto Obligado.</w:t>
      </w:r>
    </w:p>
    <w:p w:rsidR="00C46782" w:rsidRDefault="00C46782">
      <w:pPr>
        <w:spacing w:line="360" w:lineRule="auto"/>
        <w:jc w:val="both"/>
        <w:rPr>
          <w:rFonts w:ascii="Palatino Linotype" w:eastAsia="Palatino Linotype" w:hAnsi="Palatino Linotype" w:cs="Palatino Linotype"/>
        </w:rPr>
      </w:pPr>
    </w:p>
    <w:p w:rsidR="00C46782" w:rsidRDefault="00A4228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C46782" w:rsidRDefault="00A42285">
      <w:pPr>
        <w:spacing w:before="240" w:after="240" w:line="360" w:lineRule="auto"/>
        <w:ind w:right="49"/>
        <w:jc w:val="both"/>
        <w:rPr>
          <w:rFonts w:ascii="Palatino Linotype" w:eastAsia="Palatino Linotype" w:hAnsi="Palatino Linotype" w:cs="Palatino Linotype"/>
          <w:b/>
        </w:rPr>
      </w:pPr>
      <w:bookmarkStart w:id="1" w:name="_heading=h.1fob9te" w:colFirst="0" w:colLast="0"/>
      <w:bookmarkEnd w:id="1"/>
      <w:r>
        <w:rPr>
          <w:rFonts w:ascii="Palatino Linotype" w:eastAsia="Palatino Linotype" w:hAnsi="Palatino Linotype" w:cs="Palatino Linotype"/>
          <w:color w:val="FF0000"/>
        </w:rPr>
        <w:t xml:space="preserve">                                                          </w:t>
      </w:r>
      <w:r>
        <w:rPr>
          <w:rFonts w:ascii="Palatino Linotype" w:eastAsia="Palatino Linotype" w:hAnsi="Palatino Linotype" w:cs="Palatino Linotype"/>
          <w:b/>
        </w:rPr>
        <w:t>R E S U E L V E:</w:t>
      </w:r>
    </w:p>
    <w:p w:rsidR="00C46782" w:rsidRDefault="00A42285">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infundados</w:t>
      </w:r>
      <w:r>
        <w:rPr>
          <w:rFonts w:ascii="Palatino Linotype" w:eastAsia="Palatino Linotype" w:hAnsi="Palatino Linotype" w:cs="Palatino Linotype"/>
        </w:rPr>
        <w:t xml:space="preserve"> los motivos de inconformidad aducidos por la parte Recurrente en el Recurso de revisión </w:t>
      </w:r>
      <w:r>
        <w:rPr>
          <w:rFonts w:ascii="Palatino Linotype" w:eastAsia="Palatino Linotype" w:hAnsi="Palatino Linotype" w:cs="Palatino Linotype"/>
          <w:b/>
        </w:rPr>
        <w:t xml:space="preserve">00294/INFOEM/IP/RR/2022, </w:t>
      </w:r>
      <w:r>
        <w:rPr>
          <w:rFonts w:ascii="Palatino Linotype" w:eastAsia="Palatino Linotype" w:hAnsi="Palatino Linotype" w:cs="Palatino Linotype"/>
        </w:rPr>
        <w:t>por lo que, en términos de los argumentos señalados en 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se</w:t>
      </w:r>
      <w:r>
        <w:rPr>
          <w:rFonts w:ascii="Palatino Linotype" w:eastAsia="Palatino Linotype" w:hAnsi="Palatino Linotype" w:cs="Palatino Linotype"/>
          <w:b/>
        </w:rPr>
        <w:t xml:space="preserve"> 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Notifíquese al Titular de la Unidad de Transparencia, vía Sistema de Acceso a la Información Mexiquense</w:t>
      </w:r>
      <w:r>
        <w:rPr>
          <w:rFonts w:ascii="Palatino Linotype" w:eastAsia="Palatino Linotype" w:hAnsi="Palatino Linotype" w:cs="Palatino Linotype"/>
          <w:b/>
        </w:rPr>
        <w:t xml:space="preserve"> (SAIMEX), </w:t>
      </w:r>
      <w:r>
        <w:rPr>
          <w:rFonts w:ascii="Palatino Linotype" w:eastAsia="Palatino Linotype" w:hAnsi="Palatino Linotype" w:cs="Palatino Linotype"/>
        </w:rPr>
        <w:t>para su conocimiento.</w:t>
      </w:r>
    </w:p>
    <w:p w:rsidR="00C46782" w:rsidRDefault="00A42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Sistema de Acceso a la Información Mexiquense (SAIMEX), </w:t>
      </w:r>
      <w:r>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C46782" w:rsidRDefault="00A42285">
      <w:pPr>
        <w:spacing w:before="240" w:after="240" w:line="360" w:lineRule="auto"/>
        <w:jc w:val="both"/>
        <w:rPr>
          <w:rFonts w:ascii="Palatino Linotype" w:eastAsia="Palatino Linotype" w:hAnsi="Palatino Linotype" w:cs="Palatino Linotype"/>
        </w:rPr>
        <w:sectPr w:rsidR="00C46782">
          <w:headerReference w:type="default" r:id="rId28"/>
          <w:footerReference w:type="default" r:id="rId29"/>
          <w:headerReference w:type="first" r:id="rId30"/>
          <w:footerReference w:type="first" r:id="rId31"/>
          <w:pgSz w:w="12240" w:h="15840"/>
          <w:pgMar w:top="1417" w:right="1750"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 xml:space="preserve">VILCHIS; SHARON CRISTINA MORALES MARTÍNEZ,  MARÍA DEL ROSARIO MEJÍA AYALA; LUIS GUSTAVO PARRA NORIEGA Y GUADALUPE RAMÍREZ PEÑA; EN LA DÉCIMA SEGUNDA SESIÓN ORDINARIA CELEBRADA EL TREINTA DE MARZO DEL DOS MIL VEINTIDÓS, ANTE EL SECRETARIO </w:t>
      </w:r>
      <w:r>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simplePos x="0" y="0"/>
                <wp:positionH relativeFrom="column">
                  <wp:posOffset>43814</wp:posOffset>
                </wp:positionH>
                <wp:positionV relativeFrom="paragraph">
                  <wp:posOffset>1471930</wp:posOffset>
                </wp:positionV>
                <wp:extent cx="5248275" cy="58293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48275" cy="5829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49CBA"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5pt,115.9pt" to="416.7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" strokecolor="black [3040]"/>
            </w:pict>
          </mc:Fallback>
        </mc:AlternateContent>
      </w:r>
      <w:r>
        <w:rPr>
          <w:rFonts w:ascii="Palatino Linotype" w:eastAsia="Palatino Linotype" w:hAnsi="Palatino Linotype" w:cs="Palatino Linotype"/>
        </w:rPr>
        <w:t>TÉCNICO DEL PLENO, ALEXIS TAPIA RAMÍREZ.</w:t>
      </w:r>
    </w:p>
    <w:p w:rsidR="00C46782" w:rsidRDefault="00C4678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C46782" w:rsidRDefault="00C4678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C46782" w:rsidRDefault="00C4678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C46782">
      <w:headerReference w:type="first" r:id="rId32"/>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0EB" w:rsidRDefault="00A42285">
      <w:r>
        <w:separator/>
      </w:r>
    </w:p>
  </w:endnote>
  <w:endnote w:type="continuationSeparator" w:id="0">
    <w:p w:rsidR="00A610EB" w:rsidRDefault="00A4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82" w:rsidRDefault="00A422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34642">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34642">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C46782" w:rsidRDefault="00C46782">
    <w:pPr>
      <w:pBdr>
        <w:top w:val="nil"/>
        <w:left w:val="nil"/>
        <w:bottom w:val="nil"/>
        <w:right w:val="nil"/>
        <w:between w:val="nil"/>
      </w:pBdr>
      <w:tabs>
        <w:tab w:val="center" w:pos="4252"/>
        <w:tab w:val="right" w:pos="8504"/>
      </w:tabs>
      <w:rPr>
        <w:color w:val="000000"/>
      </w:rPr>
    </w:pPr>
  </w:p>
  <w:p w:rsidR="00C46782" w:rsidRDefault="00C4678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82" w:rsidRDefault="00A422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34642">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34642">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C46782" w:rsidRDefault="00C4678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0EB" w:rsidRDefault="00A42285">
      <w:r>
        <w:separator/>
      </w:r>
    </w:p>
  </w:footnote>
  <w:footnote w:type="continuationSeparator" w:id="0">
    <w:p w:rsidR="00A610EB" w:rsidRDefault="00A42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82" w:rsidRDefault="00A42285">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-345438</wp:posOffset>
          </wp:positionV>
          <wp:extent cx="7635600" cy="9943200"/>
          <wp:effectExtent l="0" t="0" r="0" b="0"/>
          <wp:wrapNone/>
          <wp:docPr id="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746" w:type="dxa"/>
      <w:tblLayout w:type="fixed"/>
      <w:tblLook w:val="0400" w:firstRow="0" w:lastRow="0" w:firstColumn="0" w:lastColumn="0" w:noHBand="0" w:noVBand="1"/>
    </w:tblPr>
    <w:tblGrid>
      <w:gridCol w:w="2553"/>
      <w:gridCol w:w="3687"/>
    </w:tblGrid>
    <w:tr w:rsidR="00C46782">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00294/INFOEM/IP/RR/2022</w:t>
          </w:r>
        </w:p>
      </w:tc>
    </w:tr>
    <w:tr w:rsidR="00C46782">
      <w:trPr>
        <w:trHeight w:val="228"/>
      </w:trPr>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46782" w:rsidRDefault="00A42285">
          <w:pPr>
            <w:ind w:right="94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C46782">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46782" w:rsidRDefault="00A4228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46782" w:rsidRDefault="00A4228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C46782" w:rsidRDefault="00C46782">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82" w:rsidRDefault="00A4228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-1080132</wp:posOffset>
          </wp:positionH>
          <wp:positionV relativeFrom="paragraph">
            <wp:posOffset>-343532</wp:posOffset>
          </wp:positionV>
          <wp:extent cx="7635600" cy="9943200"/>
          <wp:effectExtent l="0" t="0" r="0" b="0"/>
          <wp:wrapNone/>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685" w:type="dxa"/>
      <w:tblLayout w:type="fixed"/>
      <w:tblLook w:val="0400" w:firstRow="0" w:lastRow="0" w:firstColumn="0" w:lastColumn="0" w:noHBand="0" w:noVBand="1"/>
    </w:tblPr>
    <w:tblGrid>
      <w:gridCol w:w="2553"/>
      <w:gridCol w:w="3687"/>
    </w:tblGrid>
    <w:tr w:rsidR="00C46782">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00294/INFOEM/IP/RR/2022</w:t>
          </w:r>
        </w:p>
      </w:tc>
    </w:tr>
    <w:tr w:rsidR="00C46782">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C46782" w:rsidRDefault="00C46782">
          <w:pPr>
            <w:rPr>
              <w:rFonts w:ascii="Palatino Linotype" w:eastAsia="Palatino Linotype" w:hAnsi="Palatino Linotype" w:cs="Palatino Linotype"/>
              <w:b/>
              <w:sz w:val="22"/>
              <w:szCs w:val="22"/>
            </w:rPr>
          </w:pPr>
        </w:p>
      </w:tc>
    </w:tr>
    <w:tr w:rsidR="00C46782">
      <w:trPr>
        <w:trHeight w:val="228"/>
      </w:trPr>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46782" w:rsidRDefault="00A42285">
          <w:pPr>
            <w:ind w:right="144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C46782">
      <w:tc>
        <w:tcPr>
          <w:tcW w:w="2553" w:type="dxa"/>
          <w:vAlign w:val="center"/>
        </w:tcPr>
        <w:p w:rsidR="00C46782" w:rsidRDefault="00A42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46782" w:rsidRDefault="00A4228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46782" w:rsidRDefault="00C4678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82" w:rsidRDefault="00A4228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C46782" w:rsidRDefault="00C4678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371623"/>
    <w:multiLevelType w:val="multilevel"/>
    <w:tmpl w:val="FA9CB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782"/>
    <w:rsid w:val="00734642"/>
    <w:rsid w:val="00A42285"/>
    <w:rsid w:val="00A610EB"/>
    <w:rsid w:val="00C467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14FF36-050C-410C-9E11-6652466C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3F6"/>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2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nRSM6kWW4itSDlHDK8Mh6svCQ==">AMUW2mWqeQFQRp7YpeGvE+Y5N35G+KQMU4Vj/1FAWwduPRoIekMNdqHkdNyImYvllth/amS1f1nRdBjaX+tdNT47jvD4jkUEzSs4zgKpq2PyOVUdyCgtVNpJsQeF0iIsycDdJDLimzccO45GhO699tOZLHpoh6UpWw==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4642</Words>
  <Characters>25531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2022-04-04T23:13:00Z</dcterms:created>
  <dcterms:modified xsi:type="dcterms:W3CDTF">2022-04-04T23:13:00Z</dcterms:modified>
</cp:coreProperties>
</file>